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66A59" w14:textId="77777777" w:rsidR="00250044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5425D154" w14:textId="77777777" w:rsidR="00250044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2646BA1C" w14:textId="77777777" w:rsidR="00250044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02C3EC0F" w14:textId="17A395A6" w:rsidR="00250044" w:rsidRDefault="00694AE6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  <w:r>
        <w:rPr>
          <w:rFonts w:ascii="宋体" w:eastAsia="宋体" w:hAnsi="宋体" w:cs="方正小标宋简体" w:hint="eastAsia"/>
          <w:b/>
          <w:bCs/>
          <w:sz w:val="40"/>
          <w:szCs w:val="40"/>
        </w:rPr>
        <w:t xml:space="preserve"> </w:t>
      </w:r>
    </w:p>
    <w:p w14:paraId="1795E08F" w14:textId="77777777" w:rsidR="00250044" w:rsidRDefault="00250044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1873EC64" w14:textId="36F1EF76" w:rsidR="007D6142" w:rsidRPr="008362BE" w:rsidRDefault="008353F8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bookmarkStart w:id="0" w:name="_Hlk88059638"/>
      <w:r w:rsidRPr="008353F8">
        <w:rPr>
          <w:rFonts w:ascii="宋体" w:eastAsia="宋体" w:hAnsi="宋体" w:cs="方正小标宋简体" w:hint="eastAsia"/>
          <w:b/>
          <w:bCs/>
          <w:sz w:val="40"/>
          <w:szCs w:val="40"/>
        </w:rPr>
        <w:t>北京市海淀区建材城中路</w:t>
      </w:r>
      <w:r w:rsidRPr="008353F8">
        <w:rPr>
          <w:rFonts w:ascii="宋体" w:eastAsia="宋体" w:hAnsi="宋体" w:cs="方正小标宋简体"/>
          <w:b/>
          <w:bCs/>
          <w:sz w:val="40"/>
          <w:szCs w:val="40"/>
        </w:rPr>
        <w:t>2号</w:t>
      </w:r>
      <w:r>
        <w:rPr>
          <w:rFonts w:ascii="宋体" w:eastAsia="宋体" w:hAnsi="宋体" w:cs="方正小标宋简体"/>
          <w:b/>
          <w:bCs/>
          <w:sz w:val="40"/>
          <w:szCs w:val="40"/>
        </w:rPr>
        <w:t>项目</w:t>
      </w:r>
    </w:p>
    <w:p w14:paraId="1098FC88" w14:textId="257C5E8C" w:rsidR="007D6142" w:rsidRPr="008362BE" w:rsidRDefault="00AE21EC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r>
        <w:rPr>
          <w:rFonts w:ascii="宋体" w:eastAsia="宋体" w:hAnsi="宋体" w:cs="方正小标宋简体" w:hint="eastAsia"/>
          <w:b/>
          <w:bCs/>
          <w:sz w:val="40"/>
          <w:szCs w:val="40"/>
        </w:rPr>
        <w:t>经济分析</w:t>
      </w:r>
      <w:r w:rsidR="007D6142" w:rsidRPr="008362BE">
        <w:rPr>
          <w:rFonts w:ascii="宋体" w:eastAsia="宋体" w:hAnsi="宋体" w:cs="方正小标宋简体" w:hint="eastAsia"/>
          <w:b/>
          <w:bCs/>
          <w:sz w:val="40"/>
          <w:szCs w:val="40"/>
        </w:rPr>
        <w:t>报告</w:t>
      </w:r>
      <w:bookmarkEnd w:id="0"/>
    </w:p>
    <w:p w14:paraId="332CF341" w14:textId="77777777" w:rsidR="007D6142" w:rsidRPr="008362BE" w:rsidRDefault="007D6142" w:rsidP="001A21A6">
      <w:pPr>
        <w:ind w:firstLineChars="200" w:firstLine="420"/>
        <w:jc w:val="center"/>
        <w:rPr>
          <w:rFonts w:ascii="宋体" w:eastAsia="宋体" w:hAnsi="宋体"/>
        </w:rPr>
      </w:pPr>
    </w:p>
    <w:p w14:paraId="777A594B" w14:textId="77777777" w:rsidR="007D6142" w:rsidRPr="008362BE" w:rsidRDefault="007D6142" w:rsidP="001A21A6">
      <w:pPr>
        <w:ind w:firstLineChars="200" w:firstLine="420"/>
        <w:jc w:val="center"/>
        <w:rPr>
          <w:rFonts w:ascii="宋体" w:eastAsia="宋体" w:hAnsi="宋体"/>
        </w:rPr>
      </w:pPr>
    </w:p>
    <w:p w14:paraId="56361913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0CD88E75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5AAADD68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66E16ACF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48532BE7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5DF5A860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7ADAE6C5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3F39EF23" w14:textId="49545FE3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proofErr w:type="gramStart"/>
      <w:r w:rsidRPr="008362BE">
        <w:rPr>
          <w:rFonts w:ascii="宋体" w:eastAsia="宋体" w:hAnsi="宋体" w:hint="eastAsia"/>
          <w:sz w:val="28"/>
          <w:szCs w:val="36"/>
        </w:rPr>
        <w:t>北京康正宏</w:t>
      </w:r>
      <w:proofErr w:type="gramEnd"/>
      <w:r w:rsidRPr="008362BE">
        <w:rPr>
          <w:rFonts w:ascii="宋体" w:eastAsia="宋体" w:hAnsi="宋体" w:hint="eastAsia"/>
          <w:sz w:val="28"/>
          <w:szCs w:val="36"/>
        </w:rPr>
        <w:t>基房地产评估有限公司</w:t>
      </w:r>
    </w:p>
    <w:p w14:paraId="2C97D66D" w14:textId="596C7A9C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r w:rsidRPr="008362BE">
        <w:rPr>
          <w:rFonts w:ascii="宋体" w:eastAsia="宋体" w:hAnsi="宋体"/>
          <w:sz w:val="28"/>
          <w:szCs w:val="36"/>
        </w:rPr>
        <w:t>20</w:t>
      </w:r>
      <w:r w:rsidR="00F9046D">
        <w:rPr>
          <w:rFonts w:ascii="宋体" w:eastAsia="宋体" w:hAnsi="宋体"/>
          <w:sz w:val="28"/>
          <w:szCs w:val="36"/>
        </w:rPr>
        <w:t>25</w:t>
      </w:r>
      <w:r w:rsidRPr="008362BE">
        <w:rPr>
          <w:rFonts w:ascii="宋体" w:eastAsia="宋体" w:hAnsi="宋体"/>
          <w:sz w:val="28"/>
          <w:szCs w:val="36"/>
        </w:rPr>
        <w:t>年</w:t>
      </w:r>
      <w:r w:rsidR="00F9046D">
        <w:rPr>
          <w:rFonts w:ascii="宋体" w:eastAsia="宋体" w:hAnsi="宋体"/>
          <w:sz w:val="28"/>
          <w:szCs w:val="36"/>
        </w:rPr>
        <w:t xml:space="preserve"> 7</w:t>
      </w:r>
      <w:r w:rsidRPr="008362BE">
        <w:rPr>
          <w:rFonts w:ascii="宋体" w:eastAsia="宋体" w:hAnsi="宋体"/>
          <w:sz w:val="28"/>
          <w:szCs w:val="36"/>
        </w:rPr>
        <w:t xml:space="preserve"> 月</w:t>
      </w:r>
    </w:p>
    <w:p w14:paraId="5809DCBA" w14:textId="7F64166A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1ECD2331" w14:textId="067DBF59" w:rsidR="0028541C" w:rsidRPr="008362BE" w:rsidRDefault="00033D2C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/>
          <w:sz w:val="28"/>
          <w:szCs w:val="36"/>
        </w:rPr>
        <w:br w:type="column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4"/>
          <w:lang w:val="zh-CN"/>
        </w:rPr>
        <w:id w:val="-94607231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8"/>
        </w:rPr>
      </w:sdtEndPr>
      <w:sdtContent>
        <w:p w14:paraId="4A92E9B8" w14:textId="19215CAA" w:rsidR="0066628E" w:rsidRPr="008362BE" w:rsidRDefault="0066628E" w:rsidP="000E0E10">
          <w:pPr>
            <w:pStyle w:val="TOC"/>
            <w:spacing w:before="600" w:afterLines="200" w:after="624" w:line="480" w:lineRule="auto"/>
            <w:jc w:val="center"/>
            <w:rPr>
              <w:b/>
              <w:bCs/>
              <w:sz w:val="40"/>
              <w:szCs w:val="40"/>
            </w:rPr>
          </w:pPr>
          <w:r w:rsidRPr="008362BE">
            <w:rPr>
              <w:b/>
              <w:bCs/>
              <w:sz w:val="40"/>
              <w:szCs w:val="40"/>
              <w:lang w:val="zh-CN"/>
            </w:rPr>
            <w:t>目录</w:t>
          </w:r>
        </w:p>
        <w:p w14:paraId="78CDFF50" w14:textId="2BCDE043" w:rsidR="00FF4FAE" w:rsidRDefault="0066628E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r w:rsidRPr="008362BE">
            <w:rPr>
              <w:sz w:val="22"/>
              <w:szCs w:val="28"/>
            </w:rPr>
            <w:fldChar w:fldCharType="begin"/>
          </w:r>
          <w:r w:rsidRPr="008362BE">
            <w:rPr>
              <w:sz w:val="22"/>
              <w:szCs w:val="28"/>
            </w:rPr>
            <w:instrText xml:space="preserve"> TOC \o "1-3" \h \z \u </w:instrText>
          </w:r>
          <w:r w:rsidRPr="008362BE">
            <w:rPr>
              <w:sz w:val="22"/>
              <w:szCs w:val="28"/>
            </w:rPr>
            <w:fldChar w:fldCharType="separate"/>
          </w:r>
          <w:hyperlink w:anchor="_Toc149909377" w:history="1">
            <w:r w:rsidR="00FF4FAE" w:rsidRPr="000808FD">
              <w:rPr>
                <w:rStyle w:val="ab"/>
                <w:noProof/>
              </w:rPr>
              <w:t>一、项目基本情况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_Toc149909377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2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11C888F7" w14:textId="50B4CD1E" w:rsidR="00FF4FAE" w:rsidRDefault="00337BFA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hyperlink w:anchor="_Toc149909378" w:history="1">
            <w:r w:rsidR="00FF4FAE" w:rsidRPr="000808FD">
              <w:rPr>
                <w:rStyle w:val="ab"/>
                <w:noProof/>
              </w:rPr>
              <w:t>二、经济分析过程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_Toc149909378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3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553B2A98" w14:textId="4F0DBA41" w:rsidR="00FF4FAE" w:rsidRDefault="00337BFA">
          <w:pPr>
            <w:pStyle w:val="30"/>
            <w:rPr>
              <w:noProof/>
              <w:szCs w:val="22"/>
            </w:rPr>
          </w:pPr>
          <w:hyperlink w:anchor="_Toc149909379" w:history="1">
            <w:r w:rsidR="00FF4FAE" w:rsidRPr="000808FD">
              <w:rPr>
                <w:rStyle w:val="ab"/>
                <w:noProof/>
              </w:rPr>
              <w:t>（一）区域因素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_Toc149909379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3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59DDF244" w14:textId="49235E4D" w:rsidR="00FF4FAE" w:rsidRDefault="00337BFA">
          <w:pPr>
            <w:pStyle w:val="30"/>
            <w:rPr>
              <w:noProof/>
              <w:szCs w:val="22"/>
            </w:rPr>
          </w:pPr>
          <w:hyperlink w:anchor="_Toc149909380" w:history="1">
            <w:r w:rsidR="00FF4FAE" w:rsidRPr="000808FD">
              <w:rPr>
                <w:rStyle w:val="ab"/>
                <w:noProof/>
              </w:rPr>
              <w:t>（二）测算过程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_Toc149909380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4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32A40DDE" w14:textId="3CB3E46F" w:rsidR="00FF4FAE" w:rsidRDefault="00337BFA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hyperlink w:anchor="_Toc149909381" w:history="1">
            <w:r w:rsidR="00FF4FAE" w:rsidRPr="000808FD">
              <w:rPr>
                <w:rStyle w:val="ab"/>
                <w:noProof/>
              </w:rPr>
              <w:t>三、经济分析建议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_Toc149909381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9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011D0A92" w14:textId="5AB4DE74" w:rsidR="0066628E" w:rsidRPr="008362BE" w:rsidRDefault="0066628E" w:rsidP="000E0E10">
          <w:pPr>
            <w:spacing w:line="480" w:lineRule="auto"/>
            <w:rPr>
              <w:sz w:val="22"/>
              <w:szCs w:val="28"/>
            </w:rPr>
          </w:pPr>
          <w:r w:rsidRPr="008362BE">
            <w:rPr>
              <w:b/>
              <w:bCs/>
              <w:sz w:val="22"/>
              <w:szCs w:val="28"/>
              <w:lang w:val="zh-CN"/>
            </w:rPr>
            <w:fldChar w:fldCharType="end"/>
          </w:r>
        </w:p>
      </w:sdtContent>
    </w:sdt>
    <w:p w14:paraId="6EDB3103" w14:textId="38D629CE" w:rsidR="0066628E" w:rsidRPr="008362BE" w:rsidRDefault="0066628E" w:rsidP="006C574B">
      <w:pPr>
        <w:pStyle w:val="2"/>
      </w:pPr>
    </w:p>
    <w:p w14:paraId="1A07AF61" w14:textId="77777777" w:rsidR="0066628E" w:rsidRPr="008362BE" w:rsidRDefault="0066628E" w:rsidP="006C574B">
      <w:pPr>
        <w:pStyle w:val="2"/>
      </w:pPr>
      <w:r w:rsidRPr="008362BE">
        <w:br w:type="page"/>
      </w:r>
    </w:p>
    <w:p w14:paraId="036B81E6" w14:textId="6CA232E6" w:rsidR="00250044" w:rsidRPr="00E737D6" w:rsidRDefault="006C574B" w:rsidP="006C574B">
      <w:pPr>
        <w:pStyle w:val="2"/>
      </w:pPr>
      <w:bookmarkStart w:id="1" w:name="_Toc149909377"/>
      <w:r w:rsidRPr="00E737D6">
        <w:rPr>
          <w:rFonts w:hint="eastAsia"/>
        </w:rPr>
        <w:lastRenderedPageBreak/>
        <w:t>一、</w:t>
      </w:r>
      <w:r w:rsidR="00250044" w:rsidRPr="00E737D6">
        <w:t>项目</w:t>
      </w:r>
      <w:r w:rsidR="00EE4C90">
        <w:rPr>
          <w:rFonts w:hint="eastAsia"/>
        </w:rPr>
        <w:t>基本</w:t>
      </w:r>
      <w:r w:rsidR="00EE4C90" w:rsidRPr="008362BE">
        <w:rPr>
          <w:rFonts w:hint="eastAsia"/>
        </w:rPr>
        <w:t>情况</w:t>
      </w:r>
      <w:bookmarkEnd w:id="1"/>
    </w:p>
    <w:p w14:paraId="0C702B1A" w14:textId="473A8D8D" w:rsidR="00A35631" w:rsidRDefault="002F26B4" w:rsidP="00EE4C9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bookmarkStart w:id="2" w:name="_Hlk149900189"/>
      <w:r w:rsidRPr="002F26B4">
        <w:rPr>
          <w:rFonts w:ascii="宋体" w:eastAsia="宋体" w:hAnsi="宋体" w:hint="eastAsia"/>
          <w:sz w:val="24"/>
          <w:szCs w:val="32"/>
        </w:rPr>
        <w:t>项目位于海淀区西三旗街道，地处海淀区与</w:t>
      </w:r>
      <w:proofErr w:type="gramStart"/>
      <w:r w:rsidRPr="002F26B4">
        <w:rPr>
          <w:rFonts w:ascii="宋体" w:eastAsia="宋体" w:hAnsi="宋体" w:hint="eastAsia"/>
          <w:sz w:val="24"/>
          <w:szCs w:val="32"/>
        </w:rPr>
        <w:t>昌平区</w:t>
      </w:r>
      <w:proofErr w:type="gramEnd"/>
      <w:r w:rsidRPr="002F26B4">
        <w:rPr>
          <w:rFonts w:ascii="宋体" w:eastAsia="宋体" w:hAnsi="宋体" w:hint="eastAsia"/>
          <w:sz w:val="24"/>
          <w:szCs w:val="32"/>
        </w:rPr>
        <w:t>交汇处，涉及</w:t>
      </w:r>
      <w:r w:rsidRPr="002F26B4">
        <w:rPr>
          <w:rFonts w:ascii="宋体" w:eastAsia="宋体" w:hAnsi="宋体"/>
          <w:sz w:val="24"/>
          <w:szCs w:val="32"/>
        </w:rPr>
        <w:t>HD00-0903及HD00-0904</w:t>
      </w:r>
      <w:proofErr w:type="gramStart"/>
      <w:r w:rsidRPr="002F26B4">
        <w:rPr>
          <w:rFonts w:ascii="宋体" w:eastAsia="宋体" w:hAnsi="宋体"/>
          <w:sz w:val="24"/>
          <w:szCs w:val="32"/>
        </w:rPr>
        <w:t>两个</w:t>
      </w:r>
      <w:proofErr w:type="gramEnd"/>
      <w:r w:rsidRPr="002F26B4">
        <w:rPr>
          <w:rFonts w:ascii="宋体" w:eastAsia="宋体" w:hAnsi="宋体"/>
          <w:sz w:val="24"/>
          <w:szCs w:val="32"/>
        </w:rPr>
        <w:t>街区，规划范围北至京包铁路，南至西三旗北路，西至</w:t>
      </w:r>
      <w:proofErr w:type="gramStart"/>
      <w:r w:rsidRPr="002F26B4">
        <w:rPr>
          <w:rFonts w:ascii="宋体" w:eastAsia="宋体" w:hAnsi="宋体"/>
          <w:sz w:val="24"/>
          <w:szCs w:val="32"/>
        </w:rPr>
        <w:t>龙瑞东二路</w:t>
      </w:r>
      <w:proofErr w:type="gramEnd"/>
      <w:r w:rsidRPr="002F26B4">
        <w:rPr>
          <w:rFonts w:ascii="宋体" w:eastAsia="宋体" w:hAnsi="宋体"/>
          <w:sz w:val="24"/>
          <w:szCs w:val="32"/>
        </w:rPr>
        <w:t>，东至润生园，总占地面积约 19.36 公顷。</w:t>
      </w:r>
    </w:p>
    <w:p w14:paraId="49AD05B1" w14:textId="5C81728F" w:rsidR="00D027BA" w:rsidRDefault="00A35631" w:rsidP="00EE4C9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根据</w:t>
      </w:r>
      <w:r w:rsidR="002F26B4" w:rsidRPr="002F26B4">
        <w:rPr>
          <w:rFonts w:ascii="宋体" w:eastAsia="宋体" w:hAnsi="宋体" w:hint="eastAsia"/>
          <w:sz w:val="24"/>
          <w:szCs w:val="32"/>
        </w:rPr>
        <w:t>规划综合实施方案</w:t>
      </w:r>
      <w:r>
        <w:rPr>
          <w:rFonts w:ascii="宋体" w:eastAsia="宋体" w:hAnsi="宋体" w:hint="eastAsia"/>
          <w:sz w:val="24"/>
          <w:szCs w:val="32"/>
        </w:rPr>
        <w:t>，</w:t>
      </w:r>
      <w:bookmarkEnd w:id="2"/>
      <w:r w:rsidR="00AE21EC">
        <w:rPr>
          <w:rFonts w:ascii="宋体" w:eastAsia="宋体" w:hAnsi="宋体" w:hint="eastAsia"/>
          <w:sz w:val="24"/>
          <w:szCs w:val="32"/>
        </w:rPr>
        <w:t>本次</w:t>
      </w:r>
      <w:r w:rsidR="00EE4C90">
        <w:rPr>
          <w:rFonts w:ascii="宋体" w:eastAsia="宋体" w:hAnsi="宋体" w:hint="eastAsia"/>
          <w:sz w:val="24"/>
          <w:szCs w:val="32"/>
        </w:rPr>
        <w:t>规划地块</w:t>
      </w:r>
      <w:r w:rsidR="00C0284C" w:rsidRPr="00C0284C">
        <w:rPr>
          <w:rFonts w:ascii="宋体" w:eastAsia="宋体" w:hAnsi="宋体" w:hint="eastAsia"/>
          <w:sz w:val="24"/>
          <w:szCs w:val="32"/>
        </w:rPr>
        <w:t>均为</w:t>
      </w:r>
      <w:r w:rsidR="008A5407">
        <w:rPr>
          <w:rFonts w:ascii="宋体" w:eastAsia="宋体" w:hAnsi="宋体" w:hint="eastAsia"/>
          <w:sz w:val="24"/>
          <w:szCs w:val="32"/>
        </w:rPr>
        <w:t>国有</w:t>
      </w:r>
      <w:r w:rsidR="00C0284C" w:rsidRPr="00C0284C">
        <w:rPr>
          <w:rFonts w:ascii="宋体" w:eastAsia="宋体" w:hAnsi="宋体" w:hint="eastAsia"/>
          <w:sz w:val="24"/>
          <w:szCs w:val="32"/>
        </w:rPr>
        <w:t>建设用地。包括二类城镇住宅用地</w:t>
      </w:r>
      <w:r w:rsidR="00C0284C" w:rsidRPr="00C0284C">
        <w:rPr>
          <w:rFonts w:ascii="宋体" w:eastAsia="宋体" w:hAnsi="宋体"/>
          <w:sz w:val="24"/>
          <w:szCs w:val="32"/>
        </w:rPr>
        <w:t>约1.83 公顷、区级及以下机关团体用地约 0.16 公顷、中学约 2.54 公顷、工业研发用地约 9.29 公顷、城镇村道路用地约3.87 公顷、公园绿地约 1.18 公顷、防护绿地约 0.49 公顷。</w:t>
      </w:r>
      <w:r w:rsidR="00C0284C" w:rsidRPr="00C0284C">
        <w:rPr>
          <w:rFonts w:ascii="宋体" w:eastAsia="宋体" w:hAnsi="宋体" w:hint="eastAsia"/>
          <w:sz w:val="24"/>
          <w:szCs w:val="32"/>
        </w:rPr>
        <w:t>规划总建筑规模约</w:t>
      </w:r>
      <w:r w:rsidR="00C0284C" w:rsidRPr="00C0284C">
        <w:rPr>
          <w:rFonts w:ascii="宋体" w:eastAsia="宋体" w:hAnsi="宋体"/>
          <w:sz w:val="24"/>
          <w:szCs w:val="32"/>
        </w:rPr>
        <w:t xml:space="preserve"> 17.42 </w:t>
      </w:r>
      <w:proofErr w:type="gramStart"/>
      <w:r w:rsidR="00C0284C" w:rsidRPr="00C0284C">
        <w:rPr>
          <w:rFonts w:ascii="宋体" w:eastAsia="宋体" w:hAnsi="宋体"/>
          <w:sz w:val="24"/>
          <w:szCs w:val="32"/>
        </w:rPr>
        <w:t>万平方米</w:t>
      </w:r>
      <w:proofErr w:type="gramEnd"/>
      <w:r w:rsidR="00C0284C" w:rsidRPr="00C0284C">
        <w:rPr>
          <w:rFonts w:ascii="宋体" w:eastAsia="宋体" w:hAnsi="宋体"/>
          <w:sz w:val="24"/>
          <w:szCs w:val="32"/>
        </w:rPr>
        <w:t>。</w:t>
      </w:r>
      <w:r w:rsidR="008A5407">
        <w:rPr>
          <w:rFonts w:ascii="宋体" w:eastAsia="宋体" w:hAnsi="宋体"/>
          <w:sz w:val="24"/>
          <w:szCs w:val="32"/>
        </w:rPr>
        <w:t>详见下表：</w:t>
      </w:r>
    </w:p>
    <w:tbl>
      <w:tblPr>
        <w:tblW w:w="8020" w:type="dxa"/>
        <w:tblLook w:val="04A0" w:firstRow="1" w:lastRow="0" w:firstColumn="1" w:lastColumn="0" w:noHBand="0" w:noVBand="1"/>
      </w:tblPr>
      <w:tblGrid>
        <w:gridCol w:w="1838"/>
        <w:gridCol w:w="2126"/>
        <w:gridCol w:w="1418"/>
        <w:gridCol w:w="992"/>
        <w:gridCol w:w="1646"/>
      </w:tblGrid>
      <w:tr w:rsidR="00135144" w:rsidRPr="00135144" w14:paraId="553B98FB" w14:textId="77777777" w:rsidTr="00135144">
        <w:trPr>
          <w:trHeight w:val="6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243E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用地编号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703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用地性质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5BC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用地面积(</w:t>
            </w:r>
            <w:proofErr w:type="gramStart"/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公顷)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4DD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容积率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9C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建筑面积(</w:t>
            </w:r>
            <w:proofErr w:type="gramStart"/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万平方米</w:t>
            </w:r>
            <w:proofErr w:type="gramEnd"/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135144" w:rsidRPr="00135144" w14:paraId="239C4DBE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BAC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HD00-0903-0001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968C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76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68D" w14:textId="1AE8B2EF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19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2.54</w:t>
            </w:r>
          </w:p>
        </w:tc>
      </w:tr>
      <w:tr w:rsidR="00135144" w:rsidRPr="00135144" w14:paraId="6FC6FCF3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41F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C00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CD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042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1C6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13304AC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EC71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6FC2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4F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92B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9AE0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10.15</w:t>
            </w:r>
          </w:p>
        </w:tc>
      </w:tr>
      <w:tr w:rsidR="00135144" w:rsidRPr="00135144" w14:paraId="52EB2C9F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B878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96F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3C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4D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0.675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59F0" w14:textId="77777777" w:rsidR="00135144" w:rsidRPr="00135144" w:rsidRDefault="00135144" w:rsidP="0013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5144" w:rsidRPr="00135144" w14:paraId="78775C64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0D6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9BF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039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33E3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4D53" w14:textId="77777777" w:rsidR="00135144" w:rsidRPr="00135144" w:rsidRDefault="00135144" w:rsidP="0013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5144" w:rsidRPr="00135144" w14:paraId="0EF83EC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01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E550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0F2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CE0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BA3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56FFD295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4E1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43C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一类城镇住宅用地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CC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A1E5" w14:textId="6C253F75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B718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4.4</w:t>
            </w:r>
          </w:p>
        </w:tc>
      </w:tr>
      <w:tr w:rsidR="00135144" w:rsidRPr="00135144" w14:paraId="65F2339B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872E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BC8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CE65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EC9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D012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6D0C4D9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ED2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AC2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B05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4D48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BCE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38C004E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D68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AE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32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9D76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68DE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02521572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3D9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35EC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防护绿地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92CD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83CF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8505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4A5CBEE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703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C21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区级及以下机关团体用地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F72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F241" w14:textId="37D0E97C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794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</w:tr>
    </w:tbl>
    <w:p w14:paraId="2400A159" w14:textId="77777777" w:rsidR="008A5407" w:rsidRDefault="008A5407" w:rsidP="00EE4C9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</w:p>
    <w:p w14:paraId="0BAF6759" w14:textId="17F8182B" w:rsidR="00694AE6" w:rsidRPr="00E737D6" w:rsidRDefault="000C3D52" w:rsidP="00135144">
      <w:pPr>
        <w:spacing w:line="480" w:lineRule="auto"/>
        <w:jc w:val="center"/>
        <w:rPr>
          <w:rFonts w:ascii="宋体" w:eastAsia="宋体" w:hAnsi="宋体"/>
          <w:sz w:val="24"/>
          <w:szCs w:val="32"/>
        </w:rPr>
      </w:pPr>
      <w:r>
        <w:rPr>
          <w:noProof/>
        </w:rPr>
        <w:lastRenderedPageBreak/>
        <w:drawing>
          <wp:inline distT="0" distB="0" distL="0" distR="0" wp14:anchorId="23C3D708" wp14:editId="2A6F3527">
            <wp:extent cx="4875147" cy="39243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8434" cy="392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1A310" w14:textId="7A4AAD3C" w:rsidR="00DE1DC8" w:rsidRDefault="00DE1DC8" w:rsidP="00DE1DC8">
      <w:pPr>
        <w:pStyle w:val="2"/>
      </w:pPr>
      <w:bookmarkStart w:id="3" w:name="_Toc149909378"/>
      <w:r w:rsidRPr="008362BE">
        <w:rPr>
          <w:rFonts w:hint="eastAsia"/>
        </w:rPr>
        <w:t>二、</w:t>
      </w:r>
      <w:r w:rsidR="00A96EB6">
        <w:rPr>
          <w:rFonts w:hint="eastAsia"/>
        </w:rPr>
        <w:t>经济分析过程</w:t>
      </w:r>
      <w:bookmarkEnd w:id="3"/>
    </w:p>
    <w:p w14:paraId="78300EAF" w14:textId="16730A98" w:rsidR="000D1342" w:rsidRPr="00033D2C" w:rsidRDefault="00DE1DC8" w:rsidP="00DE1DC8">
      <w:pPr>
        <w:pStyle w:val="3"/>
        <w:rPr>
          <w:sz w:val="28"/>
          <w:szCs w:val="28"/>
        </w:rPr>
      </w:pPr>
      <w:bookmarkStart w:id="4" w:name="_Toc149909379"/>
      <w:r w:rsidRPr="00033D2C">
        <w:rPr>
          <w:rFonts w:hint="eastAsia"/>
          <w:sz w:val="28"/>
          <w:szCs w:val="28"/>
        </w:rPr>
        <w:t>（</w:t>
      </w:r>
      <w:r w:rsidR="00D10839">
        <w:rPr>
          <w:rFonts w:hint="eastAsia"/>
          <w:sz w:val="28"/>
          <w:szCs w:val="28"/>
        </w:rPr>
        <w:t>一</w:t>
      </w:r>
      <w:r w:rsidRPr="00033D2C">
        <w:rPr>
          <w:rFonts w:hint="eastAsia"/>
          <w:sz w:val="28"/>
          <w:szCs w:val="28"/>
        </w:rPr>
        <w:t>）</w:t>
      </w:r>
      <w:r w:rsidR="00D10839">
        <w:rPr>
          <w:rFonts w:hint="eastAsia"/>
          <w:sz w:val="28"/>
          <w:szCs w:val="28"/>
        </w:rPr>
        <w:t>区域因素</w:t>
      </w:r>
      <w:bookmarkEnd w:id="4"/>
    </w:p>
    <w:p w14:paraId="1E1B2D5E" w14:textId="06FB258C" w:rsidR="004C649D" w:rsidRPr="004C649D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4C649D">
        <w:rPr>
          <w:rFonts w:ascii="宋体" w:eastAsia="宋体" w:hAnsi="宋体"/>
          <w:sz w:val="24"/>
          <w:szCs w:val="32"/>
        </w:rPr>
        <w:t>1.位置状况</w:t>
      </w:r>
    </w:p>
    <w:p w14:paraId="03029033" w14:textId="610AB0DB" w:rsidR="00262C51" w:rsidRPr="00262C51" w:rsidRDefault="00A35631" w:rsidP="00262C51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该</w:t>
      </w:r>
      <w:r w:rsidR="004C649D">
        <w:rPr>
          <w:rFonts w:ascii="宋体" w:eastAsia="宋体" w:hAnsi="宋体" w:hint="eastAsia"/>
          <w:sz w:val="24"/>
          <w:szCs w:val="32"/>
        </w:rPr>
        <w:t>规划地块</w:t>
      </w:r>
      <w:r w:rsidR="00262C51" w:rsidRPr="00262C51">
        <w:rPr>
          <w:rFonts w:ascii="宋体" w:eastAsia="宋体" w:hAnsi="宋体" w:hint="eastAsia"/>
          <w:sz w:val="24"/>
          <w:szCs w:val="32"/>
        </w:rPr>
        <w:t>所属西三旗地区，区域内交通畅达，地铁</w:t>
      </w:r>
      <w:r w:rsidR="00262C51" w:rsidRPr="00262C51">
        <w:rPr>
          <w:rFonts w:ascii="宋体" w:eastAsia="宋体" w:hAnsi="宋体"/>
          <w:sz w:val="24"/>
          <w:szCs w:val="32"/>
        </w:rPr>
        <w:t>5号线、8号线、13号线以及10余条公交线交汇而行。林萃路、</w:t>
      </w:r>
      <w:proofErr w:type="gramStart"/>
      <w:r w:rsidR="00262C51" w:rsidRPr="00262C51">
        <w:rPr>
          <w:rFonts w:ascii="宋体" w:eastAsia="宋体" w:hAnsi="宋体"/>
          <w:sz w:val="24"/>
          <w:szCs w:val="32"/>
        </w:rPr>
        <w:t>京藏高速</w:t>
      </w:r>
      <w:proofErr w:type="gramEnd"/>
      <w:r w:rsidR="00262C51" w:rsidRPr="00262C51">
        <w:rPr>
          <w:rFonts w:ascii="宋体" w:eastAsia="宋体" w:hAnsi="宋体"/>
          <w:sz w:val="24"/>
          <w:szCs w:val="32"/>
        </w:rPr>
        <w:t>直达北京中心城区。配套较齐全，回龙观、清河、奥运村三大商圈环绕，随着北京大学人民医院（海淀分院）入驻该地区，使得该地区配套设施更加完备。海淀教育资源丰富，清华大学、北京大学、北京航空航天大学、北京科技大学等八大</w:t>
      </w:r>
      <w:proofErr w:type="gramStart"/>
      <w:r w:rsidR="00262C51" w:rsidRPr="00262C51">
        <w:rPr>
          <w:rFonts w:ascii="宋体" w:eastAsia="宋体" w:hAnsi="宋体"/>
          <w:sz w:val="24"/>
          <w:szCs w:val="32"/>
        </w:rPr>
        <w:t>学府环</w:t>
      </w:r>
      <w:proofErr w:type="gramEnd"/>
      <w:r w:rsidR="00262C51" w:rsidRPr="00262C51">
        <w:rPr>
          <w:rFonts w:ascii="宋体" w:eastAsia="宋体" w:hAnsi="宋体"/>
          <w:sz w:val="24"/>
          <w:szCs w:val="32"/>
        </w:rPr>
        <w:t>伺；北京师大二附中国际部、北京石油学院附属实验小学、龙岗路幼儿</w:t>
      </w:r>
      <w:proofErr w:type="gramStart"/>
      <w:r w:rsidR="00262C51" w:rsidRPr="00262C51">
        <w:rPr>
          <w:rFonts w:ascii="宋体" w:eastAsia="宋体" w:hAnsi="宋体"/>
          <w:sz w:val="24"/>
          <w:szCs w:val="32"/>
        </w:rPr>
        <w:t>园周</w:t>
      </w:r>
      <w:proofErr w:type="gramEnd"/>
      <w:r w:rsidR="00262C51" w:rsidRPr="00262C51">
        <w:rPr>
          <w:rFonts w:ascii="宋体" w:eastAsia="宋体" w:hAnsi="宋体"/>
          <w:sz w:val="24"/>
          <w:szCs w:val="32"/>
        </w:rPr>
        <w:t>边林立，优质教育资源自成一脉。</w:t>
      </w:r>
    </w:p>
    <w:p w14:paraId="3598568A" w14:textId="47A09624" w:rsidR="004C649D" w:rsidRPr="004C649D" w:rsidRDefault="00262C51" w:rsidP="00262C51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该规划地块</w:t>
      </w:r>
      <w:r w:rsidRPr="00262C51">
        <w:rPr>
          <w:rFonts w:ascii="宋体" w:eastAsia="宋体" w:hAnsi="宋体" w:hint="eastAsia"/>
          <w:sz w:val="24"/>
          <w:szCs w:val="32"/>
        </w:rPr>
        <w:t>位于北京市海淀区西三旗建材城中路</w:t>
      </w:r>
      <w:r w:rsidRPr="00262C51">
        <w:rPr>
          <w:rFonts w:ascii="宋体" w:eastAsia="宋体" w:hAnsi="宋体"/>
          <w:sz w:val="24"/>
          <w:szCs w:val="32"/>
        </w:rPr>
        <w:t>2号，地铁13号</w:t>
      </w:r>
      <w:proofErr w:type="gramStart"/>
      <w:r w:rsidRPr="00262C51">
        <w:rPr>
          <w:rFonts w:ascii="宋体" w:eastAsia="宋体" w:hAnsi="宋体"/>
          <w:sz w:val="24"/>
          <w:szCs w:val="32"/>
        </w:rPr>
        <w:t>线霍营站</w:t>
      </w:r>
      <w:proofErr w:type="gramEnd"/>
      <w:r w:rsidRPr="00262C51">
        <w:rPr>
          <w:rFonts w:ascii="宋体" w:eastAsia="宋体" w:hAnsi="宋体"/>
          <w:sz w:val="24"/>
          <w:szCs w:val="32"/>
        </w:rPr>
        <w:lastRenderedPageBreak/>
        <w:t>东南侧。属于海淀区西三旗街道，靠近</w:t>
      </w:r>
      <w:proofErr w:type="gramStart"/>
      <w:r w:rsidRPr="00262C51">
        <w:rPr>
          <w:rFonts w:ascii="宋体" w:eastAsia="宋体" w:hAnsi="宋体"/>
          <w:sz w:val="24"/>
          <w:szCs w:val="32"/>
        </w:rPr>
        <w:t>昌平区</w:t>
      </w:r>
      <w:proofErr w:type="gramEnd"/>
      <w:r w:rsidRPr="00262C51">
        <w:rPr>
          <w:rFonts w:ascii="宋体" w:eastAsia="宋体" w:hAnsi="宋体"/>
          <w:sz w:val="24"/>
          <w:szCs w:val="32"/>
        </w:rPr>
        <w:t>与朝阳区边界。</w:t>
      </w:r>
    </w:p>
    <w:p w14:paraId="48447674" w14:textId="542CEAD0" w:rsidR="00650EF8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4C649D">
        <w:rPr>
          <w:rFonts w:ascii="宋体" w:eastAsia="宋体" w:hAnsi="宋体"/>
          <w:sz w:val="24"/>
          <w:szCs w:val="32"/>
        </w:rPr>
        <w:t>2.</w:t>
      </w:r>
      <w:r w:rsidR="00650EF8">
        <w:rPr>
          <w:rFonts w:ascii="宋体" w:eastAsia="宋体" w:hAnsi="宋体"/>
          <w:sz w:val="24"/>
          <w:szCs w:val="32"/>
        </w:rPr>
        <w:t>居住社区成熟度</w:t>
      </w:r>
    </w:p>
    <w:p w14:paraId="5A39054D" w14:textId="6BA12DA0" w:rsidR="00650EF8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规划地块周边有</w:t>
      </w:r>
      <w:proofErr w:type="gramStart"/>
      <w:r w:rsidR="00FC3C4F">
        <w:rPr>
          <w:rFonts w:ascii="宋体" w:eastAsia="宋体" w:hAnsi="宋体" w:hint="eastAsia"/>
          <w:sz w:val="24"/>
          <w:szCs w:val="32"/>
        </w:rPr>
        <w:t>翡</w:t>
      </w:r>
      <w:proofErr w:type="gramEnd"/>
      <w:r w:rsidR="00FC3C4F">
        <w:rPr>
          <w:rFonts w:ascii="宋体" w:eastAsia="宋体" w:hAnsi="宋体" w:hint="eastAsia"/>
          <w:sz w:val="24"/>
          <w:szCs w:val="32"/>
        </w:rPr>
        <w:t>丽华庭、</w:t>
      </w:r>
      <w:proofErr w:type="gramStart"/>
      <w:r w:rsidR="00FC3C4F">
        <w:rPr>
          <w:rFonts w:ascii="宋体" w:eastAsia="宋体" w:hAnsi="宋体" w:hint="eastAsia"/>
          <w:sz w:val="24"/>
          <w:szCs w:val="32"/>
        </w:rPr>
        <w:t>旗胜小区</w:t>
      </w:r>
      <w:proofErr w:type="gramEnd"/>
      <w:r w:rsidR="00FC3C4F">
        <w:rPr>
          <w:rFonts w:ascii="宋体" w:eastAsia="宋体" w:hAnsi="宋体" w:hint="eastAsia"/>
          <w:sz w:val="24"/>
          <w:szCs w:val="32"/>
        </w:rPr>
        <w:t>、润生园等住宅小区，分布较集中，居住社区成熟度较好。</w:t>
      </w:r>
    </w:p>
    <w:p w14:paraId="303CAB99" w14:textId="49BD46A1" w:rsidR="004C649D" w:rsidRPr="004C649D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3.</w:t>
      </w:r>
      <w:r w:rsidR="001C533C" w:rsidRPr="001C533C">
        <w:rPr>
          <w:rFonts w:ascii="宋体" w:eastAsia="宋体" w:hAnsi="宋体" w:hint="eastAsia"/>
          <w:sz w:val="24"/>
          <w:szCs w:val="32"/>
        </w:rPr>
        <w:t>产业聚集度</w:t>
      </w:r>
    </w:p>
    <w:p w14:paraId="228FE0A7" w14:textId="28F53CE1" w:rsidR="004C649D" w:rsidRPr="004C649D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1C533C" w:rsidRPr="001C533C">
        <w:rPr>
          <w:rFonts w:ascii="宋体" w:eastAsia="宋体" w:hAnsi="宋体" w:hint="eastAsia"/>
          <w:sz w:val="24"/>
          <w:szCs w:val="32"/>
        </w:rPr>
        <w:t>位于北五环外，工业六级</w:t>
      </w:r>
      <w:r w:rsidR="001C533C" w:rsidRPr="001C533C">
        <w:rPr>
          <w:rFonts w:ascii="宋体" w:eastAsia="宋体" w:hAnsi="宋体"/>
          <w:sz w:val="24"/>
          <w:szCs w:val="32"/>
        </w:rPr>
        <w:t>VI-01地价片区，受城市经济发展扩大的影响，该区域有少量工业用地，如永丰高新技术产业园、东升科技园等产业园区，规模一般，产业集聚程度一般。</w:t>
      </w:r>
    </w:p>
    <w:p w14:paraId="04AA38DE" w14:textId="4037D2CF" w:rsidR="004C649D" w:rsidRPr="004C649D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4</w:t>
      </w:r>
      <w:r w:rsidR="004C649D" w:rsidRPr="004C649D">
        <w:rPr>
          <w:rFonts w:ascii="宋体" w:eastAsia="宋体" w:hAnsi="宋体"/>
          <w:sz w:val="24"/>
          <w:szCs w:val="32"/>
        </w:rPr>
        <w:t>.交通便捷度</w:t>
      </w:r>
    </w:p>
    <w:p w14:paraId="11545A18" w14:textId="66E9C646" w:rsidR="004C649D" w:rsidRPr="004C649D" w:rsidRDefault="00D10839" w:rsidP="00594073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1C533C" w:rsidRPr="001C533C">
        <w:rPr>
          <w:rFonts w:ascii="宋体" w:eastAsia="宋体" w:hAnsi="宋体" w:hint="eastAsia"/>
          <w:sz w:val="24"/>
          <w:szCs w:val="32"/>
        </w:rPr>
        <w:t>所在区域交通道路</w:t>
      </w:r>
      <w:proofErr w:type="gramStart"/>
      <w:r w:rsidR="001C533C" w:rsidRPr="001C533C">
        <w:rPr>
          <w:rFonts w:ascii="宋体" w:eastAsia="宋体" w:hAnsi="宋体" w:hint="eastAsia"/>
          <w:sz w:val="24"/>
          <w:szCs w:val="32"/>
        </w:rPr>
        <w:t>有京藏高速公路</w:t>
      </w:r>
      <w:proofErr w:type="gramEnd"/>
      <w:r w:rsidR="001C533C" w:rsidRPr="001C533C">
        <w:rPr>
          <w:rFonts w:ascii="宋体" w:eastAsia="宋体" w:hAnsi="宋体" w:hint="eastAsia"/>
          <w:sz w:val="24"/>
          <w:szCs w:val="32"/>
        </w:rPr>
        <w:t>、建材城西路、建材城中路、新都路、后屯路、黄平路等，区域路网密集程度好，对外交通状况较好。周边有</w:t>
      </w:r>
      <w:r w:rsidR="001C533C" w:rsidRPr="001C533C">
        <w:rPr>
          <w:rFonts w:ascii="宋体" w:eastAsia="宋体" w:hAnsi="宋体"/>
          <w:sz w:val="24"/>
          <w:szCs w:val="32"/>
        </w:rPr>
        <w:t>315路、462路、520路、运通119路等多条公交线路经过，距地铁13号</w:t>
      </w:r>
      <w:proofErr w:type="gramStart"/>
      <w:r w:rsidR="001C533C" w:rsidRPr="001C533C">
        <w:rPr>
          <w:rFonts w:ascii="宋体" w:eastAsia="宋体" w:hAnsi="宋体"/>
          <w:sz w:val="24"/>
          <w:szCs w:val="32"/>
        </w:rPr>
        <w:t>线霍营站</w:t>
      </w:r>
      <w:proofErr w:type="gramEnd"/>
      <w:r w:rsidR="001C533C" w:rsidRPr="001C533C">
        <w:rPr>
          <w:rFonts w:ascii="宋体" w:eastAsia="宋体" w:hAnsi="宋体"/>
          <w:sz w:val="24"/>
          <w:szCs w:val="32"/>
        </w:rPr>
        <w:t>约0.8公里，综合评价交通便捷度较好。</w:t>
      </w:r>
    </w:p>
    <w:p w14:paraId="6C10FC18" w14:textId="49A63C75" w:rsidR="004C649D" w:rsidRPr="004C649D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5</w:t>
      </w:r>
      <w:r w:rsidR="004C649D" w:rsidRPr="004C649D">
        <w:rPr>
          <w:rFonts w:ascii="宋体" w:eastAsia="宋体" w:hAnsi="宋体"/>
          <w:sz w:val="24"/>
          <w:szCs w:val="32"/>
        </w:rPr>
        <w:t>.环境状况</w:t>
      </w:r>
    </w:p>
    <w:p w14:paraId="62A41975" w14:textId="3F46F9C6" w:rsidR="004C649D" w:rsidRPr="004C649D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1C533C" w:rsidRPr="001C533C">
        <w:rPr>
          <w:rFonts w:ascii="宋体" w:eastAsia="宋体" w:hAnsi="宋体" w:hint="eastAsia"/>
          <w:sz w:val="24"/>
          <w:szCs w:val="32"/>
        </w:rPr>
        <w:t>所在区域内有东小口森林公园等绿地，该区域内无重污染型企业，绿化条件较好，卫生条件良好，整体环境状况良好。</w:t>
      </w:r>
    </w:p>
    <w:p w14:paraId="4C717758" w14:textId="47A66CFB" w:rsidR="004C649D" w:rsidRPr="004C649D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6</w:t>
      </w:r>
      <w:r w:rsidR="004C649D" w:rsidRPr="004C649D">
        <w:rPr>
          <w:rFonts w:ascii="宋体" w:eastAsia="宋体" w:hAnsi="宋体"/>
          <w:sz w:val="24"/>
          <w:szCs w:val="32"/>
        </w:rPr>
        <w:t>.公共配套设施状况</w:t>
      </w:r>
    </w:p>
    <w:p w14:paraId="37FC3CA4" w14:textId="600AD559" w:rsidR="004C649D" w:rsidRPr="004C649D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1C533C" w:rsidRPr="001C533C">
        <w:rPr>
          <w:rFonts w:ascii="宋体" w:eastAsia="宋体" w:hAnsi="宋体" w:hint="eastAsia"/>
          <w:sz w:val="24"/>
          <w:szCs w:val="32"/>
        </w:rPr>
        <w:t>所处区域目前已拥有较完善的基础设施配套保障，区内大部分区域基础设施配套目前可达到</w:t>
      </w:r>
      <w:r w:rsidR="001C533C">
        <w:rPr>
          <w:rFonts w:ascii="宋体" w:eastAsia="宋体" w:hAnsi="宋体" w:hint="eastAsia"/>
          <w:sz w:val="24"/>
          <w:szCs w:val="32"/>
        </w:rPr>
        <w:t>“</w:t>
      </w:r>
      <w:r w:rsidR="001C533C" w:rsidRPr="001C533C">
        <w:rPr>
          <w:rFonts w:ascii="宋体" w:eastAsia="宋体" w:hAnsi="宋体" w:hint="eastAsia"/>
          <w:sz w:val="24"/>
          <w:szCs w:val="32"/>
        </w:rPr>
        <w:t>七通”（即通路、通上水、通下水、通燃气、通电、通讯、通热）条件，保证程度好。</w:t>
      </w:r>
    </w:p>
    <w:p w14:paraId="62AF38F7" w14:textId="45609AF4" w:rsidR="004C649D" w:rsidRPr="004C649D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4C649D" w:rsidRPr="004C649D">
        <w:rPr>
          <w:rFonts w:ascii="宋体" w:eastAsia="宋体" w:hAnsi="宋体" w:hint="eastAsia"/>
          <w:sz w:val="24"/>
          <w:szCs w:val="32"/>
        </w:rPr>
        <w:t>所在区域</w:t>
      </w:r>
      <w:r w:rsidR="001C533C" w:rsidRPr="001C533C">
        <w:rPr>
          <w:rFonts w:ascii="宋体" w:eastAsia="宋体" w:hAnsi="宋体"/>
          <w:sz w:val="24"/>
          <w:szCs w:val="32"/>
        </w:rPr>
        <w:t>配套较齐全，回龙观、清河、奥运村三大商圈环绕，随着北京大学人民医院（海淀分院）入驻该地区，使得该地区配套设施更加完备。海</w:t>
      </w:r>
      <w:r w:rsidR="001C533C" w:rsidRPr="001C533C">
        <w:rPr>
          <w:rFonts w:ascii="宋体" w:eastAsia="宋体" w:hAnsi="宋体"/>
          <w:sz w:val="24"/>
          <w:szCs w:val="32"/>
        </w:rPr>
        <w:lastRenderedPageBreak/>
        <w:t>淀教育资源丰富，清华大学、北京大学、北京航空航天大学、北京科技大学等八大</w:t>
      </w:r>
      <w:proofErr w:type="gramStart"/>
      <w:r w:rsidR="001C533C" w:rsidRPr="001C533C">
        <w:rPr>
          <w:rFonts w:ascii="宋体" w:eastAsia="宋体" w:hAnsi="宋体"/>
          <w:sz w:val="24"/>
          <w:szCs w:val="32"/>
        </w:rPr>
        <w:t>学府环</w:t>
      </w:r>
      <w:proofErr w:type="gramEnd"/>
      <w:r w:rsidR="001C533C" w:rsidRPr="001C533C">
        <w:rPr>
          <w:rFonts w:ascii="宋体" w:eastAsia="宋体" w:hAnsi="宋体"/>
          <w:sz w:val="24"/>
          <w:szCs w:val="32"/>
        </w:rPr>
        <w:t>伺；北京师大二附中国际部、北京石油学院附属实验小学、龙岗路幼儿</w:t>
      </w:r>
      <w:proofErr w:type="gramStart"/>
      <w:r w:rsidR="001C533C" w:rsidRPr="001C533C">
        <w:rPr>
          <w:rFonts w:ascii="宋体" w:eastAsia="宋体" w:hAnsi="宋体"/>
          <w:sz w:val="24"/>
          <w:szCs w:val="32"/>
        </w:rPr>
        <w:t>园周</w:t>
      </w:r>
      <w:proofErr w:type="gramEnd"/>
      <w:r w:rsidR="001C533C" w:rsidRPr="001C533C">
        <w:rPr>
          <w:rFonts w:ascii="宋体" w:eastAsia="宋体" w:hAnsi="宋体"/>
          <w:sz w:val="24"/>
          <w:szCs w:val="32"/>
        </w:rPr>
        <w:t>边林立，优质教育资源自成一脉。</w:t>
      </w:r>
    </w:p>
    <w:p w14:paraId="18455547" w14:textId="3C31356E" w:rsidR="00A96EB6" w:rsidRPr="00D10839" w:rsidRDefault="001C533C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1C533C">
        <w:rPr>
          <w:rFonts w:ascii="宋体" w:eastAsia="宋体" w:hAnsi="宋体" w:hint="eastAsia"/>
          <w:sz w:val="24"/>
          <w:szCs w:val="32"/>
        </w:rPr>
        <w:t>综上所述，估价对象所处区域区位条件状况好，交通便捷度较好，环境状况较好，基础设施配套完善度好，</w:t>
      </w:r>
      <w:r w:rsidR="00650EF8">
        <w:rPr>
          <w:rFonts w:ascii="宋体" w:eastAsia="宋体" w:hAnsi="宋体" w:hint="eastAsia"/>
          <w:sz w:val="24"/>
          <w:szCs w:val="32"/>
        </w:rPr>
        <w:t>居住社区成熟度较好，</w:t>
      </w:r>
      <w:r w:rsidRPr="001C533C">
        <w:rPr>
          <w:rFonts w:ascii="宋体" w:eastAsia="宋体" w:hAnsi="宋体" w:hint="eastAsia"/>
          <w:sz w:val="24"/>
          <w:szCs w:val="32"/>
        </w:rPr>
        <w:t>产业集聚程度一般，区域土地利用方向一般，总体评价影响估价对象的区域因素较好。</w:t>
      </w:r>
    </w:p>
    <w:p w14:paraId="047F7035" w14:textId="1A5F8889" w:rsidR="00D754B2" w:rsidRPr="00033D2C" w:rsidRDefault="00DE1DC8" w:rsidP="00DE1DC8">
      <w:pPr>
        <w:pStyle w:val="3"/>
        <w:rPr>
          <w:sz w:val="28"/>
          <w:szCs w:val="28"/>
        </w:rPr>
      </w:pPr>
      <w:bookmarkStart w:id="5" w:name="_Toc149909380"/>
      <w:r w:rsidRPr="00033D2C">
        <w:rPr>
          <w:rFonts w:hint="eastAsia"/>
          <w:sz w:val="28"/>
          <w:szCs w:val="28"/>
        </w:rPr>
        <w:t>（</w:t>
      </w:r>
      <w:r w:rsidR="00D10839">
        <w:rPr>
          <w:rFonts w:hint="eastAsia"/>
          <w:sz w:val="28"/>
          <w:szCs w:val="28"/>
        </w:rPr>
        <w:t>二</w:t>
      </w:r>
      <w:r w:rsidR="00D754B2" w:rsidRPr="00033D2C">
        <w:rPr>
          <w:rFonts w:hint="eastAsia"/>
          <w:sz w:val="28"/>
          <w:szCs w:val="28"/>
        </w:rPr>
        <w:t>）</w:t>
      </w:r>
      <w:r w:rsidR="00A96EB6">
        <w:rPr>
          <w:rFonts w:hint="eastAsia"/>
          <w:sz w:val="28"/>
          <w:szCs w:val="28"/>
        </w:rPr>
        <w:t>测算过程</w:t>
      </w:r>
      <w:bookmarkEnd w:id="5"/>
    </w:p>
    <w:p w14:paraId="08119E47" w14:textId="11F187D5" w:rsidR="00D10839" w:rsidRPr="004C649D" w:rsidRDefault="00D10839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4C649D">
        <w:rPr>
          <w:rFonts w:ascii="宋体" w:eastAsia="宋体" w:hAnsi="宋体"/>
          <w:sz w:val="24"/>
          <w:szCs w:val="32"/>
        </w:rPr>
        <w:t>1.</w:t>
      </w:r>
      <w:r>
        <w:rPr>
          <w:rFonts w:ascii="宋体" w:eastAsia="宋体" w:hAnsi="宋体" w:hint="eastAsia"/>
          <w:sz w:val="24"/>
          <w:szCs w:val="32"/>
        </w:rPr>
        <w:t>地价定义</w:t>
      </w:r>
    </w:p>
    <w:p w14:paraId="05B60807" w14:textId="3FD752BB" w:rsidR="00945CC7" w:rsidRDefault="00D10839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D10839">
        <w:rPr>
          <w:rFonts w:ascii="宋体" w:eastAsia="宋体" w:hAnsi="宋体" w:hint="eastAsia"/>
          <w:sz w:val="24"/>
          <w:szCs w:val="32"/>
        </w:rPr>
        <w:t>在公开市场条件下，</w:t>
      </w:r>
      <w:r w:rsidR="00B13FC3">
        <w:rPr>
          <w:rFonts w:ascii="宋体" w:eastAsia="宋体" w:hAnsi="宋体" w:hint="eastAsia"/>
          <w:sz w:val="24"/>
          <w:szCs w:val="32"/>
        </w:rPr>
        <w:t>规划地块</w:t>
      </w:r>
      <w:r w:rsidRPr="00D10839">
        <w:rPr>
          <w:rFonts w:ascii="宋体" w:eastAsia="宋体" w:hAnsi="宋体" w:hint="eastAsia"/>
          <w:sz w:val="24"/>
          <w:szCs w:val="32"/>
        </w:rPr>
        <w:t>在估价期日</w:t>
      </w:r>
      <w:r w:rsidRPr="00D10839">
        <w:rPr>
          <w:rFonts w:ascii="宋体" w:eastAsia="宋体" w:hAnsi="宋体"/>
          <w:sz w:val="24"/>
          <w:szCs w:val="32"/>
        </w:rPr>
        <w:t>202</w:t>
      </w:r>
      <w:r w:rsidR="001C533C">
        <w:rPr>
          <w:rFonts w:ascii="宋体" w:eastAsia="宋体" w:hAnsi="宋体"/>
          <w:sz w:val="24"/>
          <w:szCs w:val="32"/>
        </w:rPr>
        <w:t>5</w:t>
      </w:r>
      <w:r w:rsidRPr="00D10839">
        <w:rPr>
          <w:rFonts w:ascii="宋体" w:eastAsia="宋体" w:hAnsi="宋体"/>
          <w:sz w:val="24"/>
          <w:szCs w:val="32"/>
        </w:rPr>
        <w:t>年</w:t>
      </w:r>
      <w:r w:rsidR="001C533C">
        <w:rPr>
          <w:rFonts w:ascii="宋体" w:eastAsia="宋体" w:hAnsi="宋体"/>
          <w:sz w:val="24"/>
          <w:szCs w:val="32"/>
        </w:rPr>
        <w:t>7</w:t>
      </w:r>
      <w:r w:rsidRPr="00D10839">
        <w:rPr>
          <w:rFonts w:ascii="宋体" w:eastAsia="宋体" w:hAnsi="宋体"/>
          <w:sz w:val="24"/>
          <w:szCs w:val="32"/>
        </w:rPr>
        <w:t>月</w:t>
      </w:r>
      <w:r w:rsidR="001C533C">
        <w:rPr>
          <w:rFonts w:ascii="宋体" w:eastAsia="宋体" w:hAnsi="宋体"/>
          <w:sz w:val="24"/>
          <w:szCs w:val="32"/>
        </w:rPr>
        <w:t>14</w:t>
      </w:r>
      <w:r w:rsidRPr="00D10839">
        <w:rPr>
          <w:rFonts w:ascii="宋体" w:eastAsia="宋体" w:hAnsi="宋体"/>
          <w:sz w:val="24"/>
          <w:szCs w:val="32"/>
        </w:rPr>
        <w:t>日，在北京市基准地价</w:t>
      </w:r>
      <w:r w:rsidR="001C533C">
        <w:rPr>
          <w:rFonts w:ascii="宋体" w:eastAsia="宋体" w:hAnsi="宋体" w:hint="eastAsia"/>
          <w:sz w:val="24"/>
          <w:szCs w:val="32"/>
        </w:rPr>
        <w:t>住宅</w:t>
      </w:r>
      <w:r>
        <w:rPr>
          <w:rFonts w:ascii="宋体" w:eastAsia="宋体" w:hAnsi="宋体" w:hint="eastAsia"/>
          <w:sz w:val="24"/>
          <w:szCs w:val="32"/>
        </w:rPr>
        <w:t>类</w:t>
      </w:r>
      <w:r w:rsidR="00B13FC3">
        <w:rPr>
          <w:rFonts w:ascii="宋体" w:eastAsia="宋体" w:hAnsi="宋体" w:hint="eastAsia"/>
          <w:sz w:val="24"/>
          <w:szCs w:val="32"/>
        </w:rPr>
        <w:t>、</w:t>
      </w:r>
      <w:r w:rsidR="001C533C">
        <w:rPr>
          <w:rFonts w:ascii="宋体" w:eastAsia="宋体" w:hAnsi="宋体" w:hint="eastAsia"/>
          <w:sz w:val="24"/>
          <w:szCs w:val="32"/>
        </w:rPr>
        <w:t>工业</w:t>
      </w:r>
      <w:r w:rsidR="00B13FC3">
        <w:rPr>
          <w:rFonts w:ascii="宋体" w:eastAsia="宋体" w:hAnsi="宋体" w:hint="eastAsia"/>
          <w:sz w:val="24"/>
          <w:szCs w:val="32"/>
        </w:rPr>
        <w:t>类</w:t>
      </w:r>
      <w:r w:rsidR="001C533C">
        <w:rPr>
          <w:rFonts w:ascii="宋体" w:eastAsia="宋体" w:hAnsi="宋体" w:hint="eastAsia"/>
          <w:sz w:val="24"/>
          <w:szCs w:val="32"/>
        </w:rPr>
        <w:t>六</w:t>
      </w:r>
      <w:r w:rsidRPr="00D10839">
        <w:rPr>
          <w:rFonts w:ascii="宋体" w:eastAsia="宋体" w:hAnsi="宋体"/>
          <w:sz w:val="24"/>
          <w:szCs w:val="32"/>
        </w:rPr>
        <w:t>级</w:t>
      </w:r>
      <w:r w:rsidR="001C533C">
        <w:rPr>
          <w:rFonts w:ascii="宋体" w:eastAsia="宋体" w:hAnsi="宋体" w:hint="eastAsia"/>
          <w:sz w:val="24"/>
          <w:szCs w:val="32"/>
        </w:rPr>
        <w:t>VI</w:t>
      </w:r>
      <w:r w:rsidR="00B13FC3" w:rsidRPr="00D10839">
        <w:rPr>
          <w:rFonts w:ascii="宋体" w:eastAsia="宋体" w:hAnsi="宋体"/>
          <w:sz w:val="24"/>
          <w:szCs w:val="32"/>
        </w:rPr>
        <w:t>-</w:t>
      </w:r>
      <w:r w:rsidR="001C533C">
        <w:rPr>
          <w:rFonts w:ascii="宋体" w:eastAsia="宋体" w:hAnsi="宋体" w:hint="eastAsia"/>
          <w:sz w:val="24"/>
          <w:szCs w:val="32"/>
        </w:rPr>
        <w:t>0</w:t>
      </w:r>
      <w:r w:rsidR="001C533C">
        <w:rPr>
          <w:rFonts w:ascii="宋体" w:eastAsia="宋体" w:hAnsi="宋体"/>
          <w:sz w:val="24"/>
          <w:szCs w:val="32"/>
        </w:rPr>
        <w:t>1</w:t>
      </w:r>
      <w:r w:rsidR="00B13FC3" w:rsidRPr="00D10839">
        <w:rPr>
          <w:rFonts w:ascii="宋体" w:eastAsia="宋体" w:hAnsi="宋体"/>
          <w:sz w:val="24"/>
          <w:szCs w:val="32"/>
        </w:rPr>
        <w:t>区片</w:t>
      </w:r>
      <w:r w:rsidRPr="00D10839">
        <w:rPr>
          <w:rFonts w:ascii="宋体" w:eastAsia="宋体" w:hAnsi="宋体"/>
          <w:sz w:val="24"/>
          <w:szCs w:val="32"/>
        </w:rPr>
        <w:t>，宗地实际开发程度为宗地外</w:t>
      </w:r>
      <w:r w:rsidR="00B13FC3">
        <w:rPr>
          <w:rFonts w:ascii="宋体" w:eastAsia="宋体" w:hAnsi="宋体" w:hint="eastAsia"/>
          <w:sz w:val="24"/>
          <w:szCs w:val="32"/>
        </w:rPr>
        <w:t>“七</w:t>
      </w:r>
      <w:r w:rsidRPr="00D10839">
        <w:rPr>
          <w:rFonts w:ascii="宋体" w:eastAsia="宋体" w:hAnsi="宋体"/>
          <w:sz w:val="24"/>
          <w:szCs w:val="32"/>
        </w:rPr>
        <w:t>通一平”（通路、通上水（自来水、中水）、通下水（雨水、污水）、通电（管沟、电缆）、</w:t>
      </w:r>
      <w:r w:rsidR="00B13FC3">
        <w:rPr>
          <w:rFonts w:ascii="宋体" w:eastAsia="宋体" w:hAnsi="宋体" w:hint="eastAsia"/>
          <w:sz w:val="24"/>
          <w:szCs w:val="32"/>
        </w:rPr>
        <w:t>通讯、</w:t>
      </w:r>
      <w:r w:rsidRPr="00D10839">
        <w:rPr>
          <w:rFonts w:ascii="宋体" w:eastAsia="宋体" w:hAnsi="宋体"/>
          <w:sz w:val="24"/>
          <w:szCs w:val="32"/>
        </w:rPr>
        <w:t>通燃气、通热力）和场地自然平整；规划用地性质为</w:t>
      </w:r>
      <w:r w:rsidR="000C0E5A">
        <w:rPr>
          <w:rFonts w:ascii="宋体" w:eastAsia="宋体" w:hAnsi="宋体" w:hint="eastAsia"/>
          <w:sz w:val="24"/>
          <w:szCs w:val="32"/>
        </w:rPr>
        <w:t>住宅、工业</w:t>
      </w:r>
      <w:r w:rsidRPr="00D10839">
        <w:rPr>
          <w:rFonts w:ascii="宋体" w:eastAsia="宋体" w:hAnsi="宋体"/>
          <w:sz w:val="24"/>
          <w:szCs w:val="32"/>
        </w:rPr>
        <w:t>用地，评估设定用途为</w:t>
      </w:r>
      <w:r w:rsidR="000C0E5A">
        <w:rPr>
          <w:rFonts w:ascii="宋体" w:eastAsia="宋体" w:hAnsi="宋体" w:hint="eastAsia"/>
          <w:sz w:val="24"/>
          <w:szCs w:val="32"/>
        </w:rPr>
        <w:t>住宅、工业</w:t>
      </w:r>
      <w:r w:rsidRPr="00D10839">
        <w:rPr>
          <w:rFonts w:ascii="宋体" w:eastAsia="宋体" w:hAnsi="宋体"/>
          <w:sz w:val="24"/>
          <w:szCs w:val="32"/>
        </w:rPr>
        <w:t>，评估设定土地使用年限为</w:t>
      </w:r>
      <w:r w:rsidR="000C0E5A">
        <w:rPr>
          <w:rFonts w:ascii="宋体" w:eastAsia="宋体" w:hAnsi="宋体" w:hint="eastAsia"/>
          <w:sz w:val="24"/>
          <w:szCs w:val="32"/>
        </w:rPr>
        <w:t>住宅</w:t>
      </w:r>
      <w:r w:rsidRPr="00D10839">
        <w:rPr>
          <w:rFonts w:ascii="宋体" w:eastAsia="宋体" w:hAnsi="宋体"/>
          <w:sz w:val="24"/>
          <w:szCs w:val="32"/>
        </w:rPr>
        <w:t>用途法定最高使用年限</w:t>
      </w:r>
      <w:r w:rsidR="000C0E5A">
        <w:rPr>
          <w:rFonts w:ascii="宋体" w:eastAsia="宋体" w:hAnsi="宋体"/>
          <w:sz w:val="24"/>
          <w:szCs w:val="32"/>
        </w:rPr>
        <w:t>7</w:t>
      </w:r>
      <w:r w:rsidRPr="00D10839">
        <w:rPr>
          <w:rFonts w:ascii="宋体" w:eastAsia="宋体" w:hAnsi="宋体"/>
          <w:sz w:val="24"/>
          <w:szCs w:val="32"/>
        </w:rPr>
        <w:t>0年，</w:t>
      </w:r>
      <w:r w:rsidR="000C0E5A">
        <w:rPr>
          <w:rFonts w:ascii="宋体" w:eastAsia="宋体" w:hAnsi="宋体" w:hint="eastAsia"/>
          <w:sz w:val="24"/>
          <w:szCs w:val="32"/>
        </w:rPr>
        <w:t>工业</w:t>
      </w:r>
      <w:r w:rsidRPr="00D10839">
        <w:rPr>
          <w:rFonts w:ascii="宋体" w:eastAsia="宋体" w:hAnsi="宋体"/>
          <w:sz w:val="24"/>
          <w:szCs w:val="32"/>
        </w:rPr>
        <w:t>用途法定最高使用年限50年</w:t>
      </w:r>
      <w:r w:rsidR="000C0E5A">
        <w:rPr>
          <w:rFonts w:ascii="宋体" w:eastAsia="宋体" w:hAnsi="宋体" w:hint="eastAsia"/>
          <w:sz w:val="24"/>
          <w:szCs w:val="32"/>
        </w:rPr>
        <w:t>；</w:t>
      </w:r>
      <w:r w:rsidR="00B13FC3">
        <w:rPr>
          <w:rFonts w:ascii="宋体" w:eastAsia="宋体" w:hAnsi="宋体" w:hint="eastAsia"/>
          <w:sz w:val="24"/>
          <w:szCs w:val="32"/>
        </w:rPr>
        <w:t>建设用地</w:t>
      </w:r>
      <w:r w:rsidRPr="00D10839">
        <w:rPr>
          <w:rFonts w:ascii="宋体" w:eastAsia="宋体" w:hAnsi="宋体"/>
          <w:sz w:val="24"/>
          <w:szCs w:val="32"/>
        </w:rPr>
        <w:t>面积为</w:t>
      </w:r>
      <w:r w:rsidR="000C0E5A" w:rsidRPr="000C0E5A">
        <w:rPr>
          <w:rFonts w:ascii="宋体" w:eastAsia="宋体" w:hAnsi="宋体"/>
          <w:sz w:val="24"/>
          <w:szCs w:val="32"/>
        </w:rPr>
        <w:t>19.36 公顷</w:t>
      </w:r>
      <w:r w:rsidRPr="00D10839">
        <w:rPr>
          <w:rFonts w:ascii="宋体" w:eastAsia="宋体" w:hAnsi="宋体"/>
          <w:sz w:val="24"/>
          <w:szCs w:val="32"/>
        </w:rPr>
        <w:t>，</w:t>
      </w:r>
      <w:r w:rsidR="000C0E5A">
        <w:rPr>
          <w:rFonts w:ascii="宋体" w:eastAsia="宋体" w:hAnsi="宋体" w:hint="eastAsia"/>
          <w:sz w:val="24"/>
          <w:szCs w:val="32"/>
        </w:rPr>
        <w:t>其中居住用地1</w:t>
      </w:r>
      <w:r w:rsidR="000C0E5A">
        <w:rPr>
          <w:rFonts w:ascii="宋体" w:eastAsia="宋体" w:hAnsi="宋体"/>
          <w:sz w:val="24"/>
          <w:szCs w:val="32"/>
        </w:rPr>
        <w:t>.83公顷，建筑面积</w:t>
      </w:r>
      <w:r w:rsidR="000C0E5A">
        <w:rPr>
          <w:rFonts w:ascii="宋体" w:eastAsia="宋体" w:hAnsi="宋体" w:hint="eastAsia"/>
          <w:sz w:val="24"/>
          <w:szCs w:val="32"/>
        </w:rPr>
        <w:t>4</w:t>
      </w:r>
      <w:r w:rsidR="000C0E5A">
        <w:rPr>
          <w:rFonts w:ascii="宋体" w:eastAsia="宋体" w:hAnsi="宋体"/>
          <w:sz w:val="24"/>
          <w:szCs w:val="32"/>
        </w:rPr>
        <w:t>.4万平方米；工业用地</w:t>
      </w:r>
      <w:r w:rsidR="000C0E5A">
        <w:rPr>
          <w:rFonts w:ascii="宋体" w:eastAsia="宋体" w:hAnsi="宋体" w:hint="eastAsia"/>
          <w:sz w:val="24"/>
          <w:szCs w:val="32"/>
        </w:rPr>
        <w:t>9</w:t>
      </w:r>
      <w:r w:rsidR="000C0E5A">
        <w:rPr>
          <w:rFonts w:ascii="宋体" w:eastAsia="宋体" w:hAnsi="宋体"/>
          <w:sz w:val="24"/>
          <w:szCs w:val="32"/>
        </w:rPr>
        <w:t>.29公顷，</w:t>
      </w:r>
      <w:r w:rsidR="002C7462">
        <w:rPr>
          <w:rFonts w:ascii="宋体" w:eastAsia="宋体" w:hAnsi="宋体"/>
          <w:sz w:val="24"/>
          <w:szCs w:val="32"/>
        </w:rPr>
        <w:t>建筑面积10.15万平方米</w:t>
      </w:r>
      <w:r w:rsidR="000C0E5A" w:rsidRPr="00C0284C">
        <w:rPr>
          <w:rFonts w:ascii="宋体" w:eastAsia="宋体" w:hAnsi="宋体"/>
          <w:sz w:val="24"/>
          <w:szCs w:val="32"/>
        </w:rPr>
        <w:t>。</w:t>
      </w:r>
      <w:r w:rsidRPr="00D10839">
        <w:rPr>
          <w:rFonts w:ascii="宋体" w:eastAsia="宋体" w:hAnsi="宋体"/>
          <w:sz w:val="24"/>
          <w:szCs w:val="32"/>
        </w:rPr>
        <w:t>在规划利用条件下的出让国有建设用地使用权</w:t>
      </w:r>
      <w:r w:rsidR="005E276A">
        <w:rPr>
          <w:rFonts w:ascii="宋体" w:eastAsia="宋体" w:hAnsi="宋体" w:hint="eastAsia"/>
          <w:sz w:val="24"/>
          <w:szCs w:val="32"/>
        </w:rPr>
        <w:t>市场</w:t>
      </w:r>
      <w:r w:rsidRPr="00D10839">
        <w:rPr>
          <w:rFonts w:ascii="宋体" w:eastAsia="宋体" w:hAnsi="宋体"/>
          <w:sz w:val="24"/>
          <w:szCs w:val="32"/>
        </w:rPr>
        <w:t>价格。</w:t>
      </w:r>
    </w:p>
    <w:p w14:paraId="0817ABE5" w14:textId="65391A39" w:rsidR="00B13FC3" w:rsidRDefault="00B13FC3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2.</w:t>
      </w:r>
      <w:r>
        <w:rPr>
          <w:rFonts w:ascii="宋体" w:eastAsia="宋体" w:hAnsi="宋体" w:hint="eastAsia"/>
          <w:sz w:val="24"/>
          <w:szCs w:val="32"/>
        </w:rPr>
        <w:t>测算过程</w:t>
      </w:r>
    </w:p>
    <w:p w14:paraId="2D4BA873" w14:textId="1C15377F" w:rsidR="00B13FC3" w:rsidRPr="008822D7" w:rsidRDefault="00B13FC3" w:rsidP="00B13FC3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 w:hint="eastAsia"/>
          <w:kern w:val="2"/>
          <w:sz w:val="24"/>
          <w:szCs w:val="32"/>
        </w:rPr>
        <w:t>（1）基准地价系数修正法</w:t>
      </w:r>
    </w:p>
    <w:p w14:paraId="74FEB3EA" w14:textId="7EE13BFA" w:rsidR="00842C11" w:rsidRDefault="00842C11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 w:hint="eastAsia"/>
          <w:kern w:val="2"/>
          <w:sz w:val="24"/>
          <w:szCs w:val="32"/>
        </w:rPr>
        <w:t>1）</w:t>
      </w:r>
      <w:r w:rsidR="000C0E5A">
        <w:rPr>
          <w:rFonts w:hAnsi="宋体" w:cstheme="minorBidi" w:hint="eastAsia"/>
          <w:kern w:val="2"/>
          <w:sz w:val="24"/>
          <w:szCs w:val="32"/>
        </w:rPr>
        <w:t>住宅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4"/>
        <w:gridCol w:w="1275"/>
        <w:gridCol w:w="993"/>
        <w:gridCol w:w="814"/>
        <w:gridCol w:w="178"/>
        <w:gridCol w:w="850"/>
        <w:gridCol w:w="993"/>
        <w:gridCol w:w="934"/>
      </w:tblGrid>
      <w:tr w:rsidR="00435B90" w:rsidRPr="00E97A0C" w14:paraId="392DBE3D" w14:textId="77777777" w:rsidTr="008A5407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784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AA5" w14:textId="77777777" w:rsidR="00435B9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适用的楼面熟地价</w:t>
            </w:r>
          </w:p>
          <w:p w14:paraId="20BAB9A3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90F" w14:textId="6B3912A6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15887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FBE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FF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A)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×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B)</w:t>
            </w:r>
            <w:r w:rsidRPr="004869B0">
              <w:rPr>
                <w:rFonts w:ascii="Arial" w:eastAsia="华文细黑" w:hAnsi="Arial" w:cs="Arial" w:hint="eastAsia"/>
                <w:color w:val="E36C0A"/>
                <w:kern w:val="0"/>
                <w:sz w:val="18"/>
                <w:szCs w:val="18"/>
              </w:rPr>
              <w:t>＋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 xml:space="preserve"> C)</w:t>
            </w:r>
          </w:p>
        </w:tc>
      </w:tr>
      <w:tr w:rsidR="00435B90" w:rsidRPr="00E97A0C" w14:paraId="17D19130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0FC4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915F" w14:textId="77777777" w:rsidR="00435B9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适用的基准地价</w:t>
            </w:r>
          </w:p>
          <w:p w14:paraId="6E22A1B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7F6F" w14:textId="078D5382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15130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A7B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依据估价对象用途及所处区片参照《北京市区片基准地价表》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楼面地价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确定</w:t>
            </w:r>
          </w:p>
        </w:tc>
      </w:tr>
      <w:tr w:rsidR="00435B90" w:rsidRPr="00E97A0C" w14:paraId="486F727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AE62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DE8A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0E0E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23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估价对象用途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44F5" w14:textId="5350EA0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31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土地级别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2CB" w14:textId="174BE3D4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六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A7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区片编号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3A2" w14:textId="648B3FAE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Arial"/>
                <w:color w:val="000000"/>
                <w:sz w:val="18"/>
                <w:szCs w:val="18"/>
              </w:rPr>
              <w:t>VI-01</w:t>
            </w:r>
          </w:p>
        </w:tc>
      </w:tr>
      <w:tr w:rsidR="00435B90" w:rsidRPr="00E97A0C" w14:paraId="2C3C165E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7002" w14:textId="77777777" w:rsidR="00435B90" w:rsidRPr="004869B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</w:pP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B)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9B8" w14:textId="77777777" w:rsidR="00435B90" w:rsidRPr="004869B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  <w:r w:rsidRPr="004869B0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特殊修正系数（</w:t>
            </w:r>
            <w:r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住宅</w:t>
            </w:r>
            <w:r w:rsidRPr="004869B0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B49C24" w14:textId="2C66A66A" w:rsidR="00435B90" w:rsidRPr="00650EF8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 w:rsidRPr="00650EF8"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 w:rsidRPr="00650EF8"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.05</w:t>
            </w:r>
          </w:p>
        </w:tc>
        <w:tc>
          <w:tcPr>
            <w:tcW w:w="6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D1D1" w14:textId="4CC2D841" w:rsidR="00435B90" w:rsidRPr="00E97A0C" w:rsidRDefault="00435B90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i/>
                <w:iCs/>
                <w:color w:val="548DD4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距离估价对象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500</w:t>
            </w:r>
            <w:r w:rsidR="00650EF8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-1000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米内有</w:t>
            </w:r>
            <w:r w:rsidRPr="00E97A0C">
              <w:rPr>
                <w:rFonts w:ascii="Arial" w:eastAsia="华文细黑" w:hAnsi="Arial" w:cs="Arial" w:hint="eastAsia"/>
                <w:color w:val="E26B0A"/>
                <w:kern w:val="0"/>
                <w:sz w:val="18"/>
                <w:szCs w:val="18"/>
              </w:rPr>
              <w:t>轨道交通站点</w:t>
            </w:r>
          </w:p>
        </w:tc>
      </w:tr>
      <w:tr w:rsidR="00650EF8" w:rsidRPr="00E97A0C" w14:paraId="7594C7DC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ED04" w14:textId="77777777" w:rsidR="00650EF8" w:rsidRPr="004869B0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B7643" w14:textId="77777777" w:rsidR="00650EF8" w:rsidRPr="004869B0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B4D0F0" w14:textId="77777777" w:rsidR="00650EF8" w:rsidRPr="00650EF8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6E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公园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573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水系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E9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轨道交通站点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3C2" w14:textId="730216D0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26B0A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E26B0A"/>
                <w:kern w:val="0"/>
                <w:sz w:val="18"/>
                <w:szCs w:val="18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B1E4" w14:textId="1A54B621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26B0A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E26B0A"/>
                <w:kern w:val="0"/>
                <w:sz w:val="18"/>
                <w:szCs w:val="18"/>
              </w:rPr>
              <w:t>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755" w14:textId="6310C41D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26B0A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E26B0A"/>
                <w:kern w:val="0"/>
                <w:sz w:val="18"/>
                <w:szCs w:val="18"/>
              </w:rPr>
              <w:t>无</w:t>
            </w:r>
          </w:p>
        </w:tc>
      </w:tr>
      <w:tr w:rsidR="00650EF8" w:rsidRPr="00E97A0C" w14:paraId="69A618D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36E9" w14:textId="77777777" w:rsidR="00650EF8" w:rsidRPr="004869B0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6960" w14:textId="77777777" w:rsidR="00650EF8" w:rsidRPr="004869B0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74D2" w14:textId="77777777" w:rsidR="00650EF8" w:rsidRPr="00650EF8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A52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9A6C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D3D0" w14:textId="779D7C9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9D5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F716" w14:textId="0FDAFE6C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0BA" w14:textId="62A4428C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</w:tr>
      <w:tr w:rsidR="00435B90" w:rsidRPr="00E97A0C" w14:paraId="5809B8A8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D4F1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4869B0">
              <w:rPr>
                <w:rFonts w:ascii="Arial" w:eastAsia="华文细黑" w:hAnsi="Arial" w:cs="Arial" w:hint="eastAsia"/>
                <w:color w:val="E36C0A"/>
                <w:kern w:val="0"/>
                <w:sz w:val="18"/>
                <w:szCs w:val="18"/>
              </w:rPr>
              <w:t>C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BBC" w14:textId="77777777" w:rsidR="00435B9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开发程度差异修正</w:t>
            </w:r>
          </w:p>
          <w:p w14:paraId="1226CF41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FED" w14:textId="5299CE3F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039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650EF8" w:rsidRPr="00E97A0C" w14:paraId="6DD8CE09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E81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72C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D84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6E6" w14:textId="376B436F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估价对象开发程度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625" w14:textId="2906D975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七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通一平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32F3" w14:textId="238719AB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级别开发程度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4F05" w14:textId="10F07C75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七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通一平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5C3E" w14:textId="4DDA3F0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级别平均容积率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7FCD" w14:textId="48B0D479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2</w:t>
            </w:r>
            <w:r w:rsidRPr="007522C5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.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</w:t>
            </w:r>
          </w:p>
        </w:tc>
      </w:tr>
      <w:tr w:rsidR="00435B90" w:rsidRPr="00E97A0C" w14:paraId="76DFA597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250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789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914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24C7" w14:textId="5ADA1886" w:rsidR="00435B90" w:rsidRPr="00E97A0C" w:rsidRDefault="00435B90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估价对象开发程度与级别开发程度一致</w:t>
            </w:r>
            <w:r w:rsidR="00650EF8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F32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对应的开发费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7008" w14:textId="7BEBA850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35B90" w:rsidRPr="00E97A0C" w14:paraId="4E23DED1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8504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F1B3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用途修正系数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349E" w14:textId="5FA2C25D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1.00</w:t>
            </w:r>
            <w:r w:rsidR="002C7462"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945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用途类别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DD6" w14:textId="363F20E0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i/>
                <w:iCs/>
                <w:color w:val="548DD4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城镇住宅用地</w:t>
            </w:r>
          </w:p>
        </w:tc>
      </w:tr>
      <w:tr w:rsidR="00435B90" w:rsidRPr="00E97A0C" w14:paraId="1103F191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AFB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ADF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期日修正系数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D451" w14:textId="75D490E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 w:rsidRPr="00650EF8"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 w:rsidRPr="00650EF8"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.0807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FD5F" w14:textId="1570A758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i/>
                <w:iCs/>
                <w:color w:val="548DD4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按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北京市规划和自然资源委员会网站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公示的北京市</w:t>
            </w:r>
            <w:r w:rsidR="00650EF8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住宅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用途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2021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季度至今各季度地价增长率连乘计算</w:t>
            </w:r>
          </w:p>
        </w:tc>
      </w:tr>
      <w:tr w:rsidR="00435B90" w:rsidRPr="00E97A0C" w14:paraId="6D415C8A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92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0A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年期修正系数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30D" w14:textId="2D41D178" w:rsidR="00435B90" w:rsidRPr="00E97A0C" w:rsidRDefault="002C7462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1.0000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3147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35B90" w:rsidRPr="00E97A0C" w14:paraId="40CF5879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FB9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9C04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12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5E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土地还原率（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5B6" w14:textId="0C98732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5.0%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E8E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剩余使用年限（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D598" w14:textId="75BA6970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10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出让年限（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87A" w14:textId="44F14867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35B90" w:rsidRPr="00E97A0C" w14:paraId="4905EE15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DFD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0D2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容积率修正</w:t>
            </w:r>
            <w:r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系数</w:t>
            </w: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X</w:t>
            </w: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8D22" w14:textId="4E09C95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.0092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08A7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＝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(X2-X1)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×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(R-R1)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÷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(R2-R1)       R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为估价对象容积率，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对应的容积率修正系数，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X2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R2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对应的容积率修正系数，其容积率修正系数参照《北京市基准地价容积率修正系数表》确定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A417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容积率（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F3BF" w14:textId="2A5CF13D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.4</w:t>
            </w:r>
          </w:p>
        </w:tc>
      </w:tr>
      <w:tr w:rsidR="00435B90" w:rsidRPr="00E97A0C" w14:paraId="714BDD20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73A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515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72B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C213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CD0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8F6C" w14:textId="3358B6F4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.4</w:t>
            </w:r>
          </w:p>
        </w:tc>
      </w:tr>
      <w:tr w:rsidR="00435B90" w:rsidRPr="00E97A0C" w14:paraId="5C9201B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0BF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AA0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C1A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B5B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A66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EDAF" w14:textId="75192D0C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1.0092</w:t>
            </w:r>
          </w:p>
        </w:tc>
      </w:tr>
      <w:tr w:rsidR="00435B90" w:rsidRPr="00E97A0C" w14:paraId="1BBB81EF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9E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E86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61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EE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277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A68E" w14:textId="046C054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.4</w:t>
            </w:r>
          </w:p>
        </w:tc>
      </w:tr>
      <w:tr w:rsidR="00435B90" w:rsidRPr="00E97A0C" w14:paraId="057F2C8A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7A7B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6D31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C69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8E3B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58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65EE" w14:textId="6C2A2214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.0092</w:t>
            </w:r>
          </w:p>
        </w:tc>
      </w:tr>
      <w:tr w:rsidR="00435B90" w:rsidRPr="00E97A0C" w14:paraId="74484673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573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A65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因素修正系数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0FBA" w14:textId="4D4A75B7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.0527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2E5C" w14:textId="6E17B81A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详见附表：《</w:t>
            </w:r>
            <w:r w:rsidR="002C7462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住宅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因素修正表》</w:t>
            </w:r>
          </w:p>
        </w:tc>
      </w:tr>
      <w:tr w:rsidR="00435B90" w:rsidRPr="00E97A0C" w14:paraId="5B7682B7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17A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6FF" w14:textId="169F08B2" w:rsidR="00435B90" w:rsidRPr="00E97A0C" w:rsidRDefault="00435B90" w:rsidP="00AC2C2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楼面熟地价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8EE3" w14:textId="54D0C3CA" w:rsidR="00435B90" w:rsidRPr="00AC2C2C" w:rsidRDefault="00AC2C2C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8240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63A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适用的楼面熟地价×用途修正系数×期日修正系数×年期修正系数×容积率修正系数×因素修正系数</w:t>
            </w:r>
          </w:p>
        </w:tc>
      </w:tr>
      <w:tr w:rsidR="00435B90" w:rsidRPr="00E97A0C" w14:paraId="187F83C5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CD1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C753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总额</w:t>
            </w:r>
            <w:r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834E" w14:textId="35E42FB9" w:rsidR="00435B90" w:rsidRPr="00E97A0C" w:rsidRDefault="00AC2C2C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80256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4478" w14:textId="2403F58B" w:rsidR="00435B90" w:rsidRPr="00E97A0C" w:rsidRDefault="003F7C33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楼面熟地价×</w:t>
            </w:r>
            <w:r w:rsidR="00AC2C2C"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7042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6473" w14:textId="2A5CE182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2C2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AC2C2C"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4000</w:t>
            </w:r>
          </w:p>
        </w:tc>
      </w:tr>
    </w:tbl>
    <w:p w14:paraId="41C2BC5D" w14:textId="7DAEA892" w:rsidR="00650EF8" w:rsidRPr="00C94C3B" w:rsidRDefault="00650EF8" w:rsidP="002C7462">
      <w:pPr>
        <w:spacing w:line="480" w:lineRule="auto"/>
        <w:jc w:val="center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住宅</w:t>
      </w:r>
      <w:r w:rsidRPr="00C94C3B">
        <w:rPr>
          <w:rFonts w:ascii="Arial" w:hAnsi="Arial" w:hint="eastAsia"/>
          <w:szCs w:val="28"/>
        </w:rPr>
        <w:t>因素修正表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2128"/>
        <w:gridCol w:w="4252"/>
        <w:gridCol w:w="1008"/>
        <w:gridCol w:w="1492"/>
      </w:tblGrid>
      <w:tr w:rsidR="00650EF8" w:rsidRPr="00F55BBB" w14:paraId="7178F9C7" w14:textId="77777777" w:rsidTr="00AC2C2C">
        <w:trPr>
          <w:jc w:val="center"/>
        </w:trPr>
        <w:tc>
          <w:tcPr>
            <w:tcW w:w="226" w:type="pct"/>
            <w:vAlign w:val="center"/>
          </w:tcPr>
          <w:p w14:paraId="66C11F83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序号</w:t>
            </w:r>
          </w:p>
        </w:tc>
        <w:tc>
          <w:tcPr>
            <w:tcW w:w="1144" w:type="pct"/>
            <w:vAlign w:val="center"/>
          </w:tcPr>
          <w:p w14:paraId="19E2DBBA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影响因素</w:t>
            </w:r>
          </w:p>
        </w:tc>
        <w:tc>
          <w:tcPr>
            <w:tcW w:w="2286" w:type="pct"/>
            <w:vAlign w:val="center"/>
          </w:tcPr>
          <w:p w14:paraId="2F144111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估价对象情况</w:t>
            </w:r>
          </w:p>
        </w:tc>
        <w:tc>
          <w:tcPr>
            <w:tcW w:w="542" w:type="pct"/>
            <w:vAlign w:val="center"/>
          </w:tcPr>
          <w:p w14:paraId="3711027E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等级</w:t>
            </w:r>
          </w:p>
        </w:tc>
        <w:tc>
          <w:tcPr>
            <w:tcW w:w="802" w:type="pct"/>
            <w:vAlign w:val="center"/>
          </w:tcPr>
          <w:p w14:paraId="22996308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修正系数</w:t>
            </w:r>
          </w:p>
        </w:tc>
      </w:tr>
      <w:tr w:rsidR="00AC2C2C" w:rsidRPr="00F55BBB" w14:paraId="508124AE" w14:textId="77777777" w:rsidTr="00AC2C2C">
        <w:trPr>
          <w:jc w:val="center"/>
        </w:trPr>
        <w:tc>
          <w:tcPr>
            <w:tcW w:w="226" w:type="pct"/>
            <w:vAlign w:val="center"/>
          </w:tcPr>
          <w:p w14:paraId="49133942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a</w:t>
            </w:r>
          </w:p>
        </w:tc>
        <w:tc>
          <w:tcPr>
            <w:tcW w:w="1144" w:type="pct"/>
            <w:vAlign w:val="center"/>
          </w:tcPr>
          <w:p w14:paraId="01887D76" w14:textId="62386AE3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居住社区成熟度</w:t>
            </w:r>
          </w:p>
        </w:tc>
        <w:tc>
          <w:tcPr>
            <w:tcW w:w="2286" w:type="pct"/>
            <w:vAlign w:val="center"/>
          </w:tcPr>
          <w:p w14:paraId="6C41BB3B" w14:textId="56598519" w:rsidR="00AC2C2C" w:rsidRPr="00F55BBB" w:rsidRDefault="00AC2C2C" w:rsidP="00AC2C2C">
            <w:pPr>
              <w:widowControl/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规划地块周边有</w:t>
            </w:r>
            <w:proofErr w:type="gramStart"/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翡</w:t>
            </w:r>
            <w:proofErr w:type="gramEnd"/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丽华庭、</w:t>
            </w:r>
            <w:proofErr w:type="gramStart"/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旗胜小区</w:t>
            </w:r>
            <w:proofErr w:type="gramEnd"/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、润生园等住宅小区，分布较集中，居住社区成熟度较好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30B8BC73" w14:textId="5A5A72E9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3A224A17" w14:textId="60E017ED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1.07%</w:t>
            </w:r>
          </w:p>
        </w:tc>
      </w:tr>
      <w:tr w:rsidR="00AC2C2C" w:rsidRPr="00F55BBB" w14:paraId="46A7D783" w14:textId="77777777" w:rsidTr="00AC2C2C">
        <w:trPr>
          <w:jc w:val="center"/>
        </w:trPr>
        <w:tc>
          <w:tcPr>
            <w:tcW w:w="226" w:type="pct"/>
            <w:vAlign w:val="center"/>
          </w:tcPr>
          <w:p w14:paraId="0568F644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b</w:t>
            </w:r>
          </w:p>
        </w:tc>
        <w:tc>
          <w:tcPr>
            <w:tcW w:w="1144" w:type="pct"/>
            <w:vAlign w:val="center"/>
          </w:tcPr>
          <w:p w14:paraId="26BC3405" w14:textId="29697CDA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交通便捷度</w:t>
            </w:r>
          </w:p>
        </w:tc>
        <w:tc>
          <w:tcPr>
            <w:tcW w:w="2286" w:type="pct"/>
            <w:vAlign w:val="center"/>
          </w:tcPr>
          <w:p w14:paraId="1D2468D4" w14:textId="08A02D9D" w:rsidR="00AC2C2C" w:rsidRPr="00F55BBB" w:rsidRDefault="00AC2C2C" w:rsidP="00AC2C2C">
            <w:pPr>
              <w:jc w:val="left"/>
              <w:outlineLvl w:val="0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规划地块的周边有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315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462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520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路、运通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119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路等多条公交线路经过，距地铁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13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号</w:t>
            </w:r>
            <w:proofErr w:type="gramStart"/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线霍营站</w:t>
            </w:r>
            <w:proofErr w:type="gramEnd"/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约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0.8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公里，综合评价交通便捷度较好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18D64BA9" w14:textId="670A7CB2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021402C" w14:textId="1002CA7A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1.39%</w:t>
            </w:r>
          </w:p>
        </w:tc>
      </w:tr>
      <w:tr w:rsidR="00AC2C2C" w:rsidRPr="00F55BBB" w14:paraId="3FDFE95B" w14:textId="77777777" w:rsidTr="00AC2C2C">
        <w:trPr>
          <w:jc w:val="center"/>
        </w:trPr>
        <w:tc>
          <w:tcPr>
            <w:tcW w:w="226" w:type="pct"/>
            <w:vAlign w:val="center"/>
          </w:tcPr>
          <w:p w14:paraId="30039C6D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c</w:t>
            </w:r>
          </w:p>
        </w:tc>
        <w:tc>
          <w:tcPr>
            <w:tcW w:w="1144" w:type="pct"/>
            <w:vAlign w:val="center"/>
          </w:tcPr>
          <w:p w14:paraId="1594C14A" w14:textId="4EE790BC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城市规划及区域土地利用方向</w:t>
            </w:r>
          </w:p>
        </w:tc>
        <w:tc>
          <w:tcPr>
            <w:tcW w:w="2286" w:type="pct"/>
            <w:vAlign w:val="center"/>
          </w:tcPr>
          <w:p w14:paraId="06C7F67F" w14:textId="253416C6" w:rsidR="00AC2C2C" w:rsidRPr="00F55BBB" w:rsidRDefault="00AC2C2C" w:rsidP="00AC2C2C">
            <w:pPr>
              <w:widowControl/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所在区域目前以住宅用地为主，工业用地、绿化用地、办公用地为辅，该区域土地利用方向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较好</w:t>
            </w: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40482BF8" w14:textId="31684C17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2BCBAE06" w14:textId="561E50FB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0.53%</w:t>
            </w:r>
          </w:p>
        </w:tc>
      </w:tr>
      <w:tr w:rsidR="00AC2C2C" w:rsidRPr="00F55BBB" w14:paraId="6C7C44A1" w14:textId="77777777" w:rsidTr="00AC2C2C">
        <w:trPr>
          <w:jc w:val="center"/>
        </w:trPr>
        <w:tc>
          <w:tcPr>
            <w:tcW w:w="226" w:type="pct"/>
            <w:vAlign w:val="center"/>
          </w:tcPr>
          <w:p w14:paraId="0C082559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d</w:t>
            </w:r>
          </w:p>
        </w:tc>
        <w:tc>
          <w:tcPr>
            <w:tcW w:w="1144" w:type="pct"/>
            <w:vAlign w:val="center"/>
          </w:tcPr>
          <w:p w14:paraId="2F8D8047" w14:textId="24A85876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临路状况</w:t>
            </w:r>
          </w:p>
        </w:tc>
        <w:tc>
          <w:tcPr>
            <w:tcW w:w="2286" w:type="pct"/>
            <w:vAlign w:val="center"/>
          </w:tcPr>
          <w:p w14:paraId="627EFF6E" w14:textId="04028A60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城市支路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——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建材城中路；</w:t>
            </w:r>
          </w:p>
        </w:tc>
        <w:tc>
          <w:tcPr>
            <w:tcW w:w="542" w:type="pct"/>
            <w:vAlign w:val="center"/>
          </w:tcPr>
          <w:p w14:paraId="3D19FE6C" w14:textId="4E881955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29423872" w14:textId="6415A2E5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0.00%</w:t>
            </w:r>
          </w:p>
        </w:tc>
      </w:tr>
      <w:tr w:rsidR="00AC2C2C" w:rsidRPr="00F55BBB" w14:paraId="44B6AFC2" w14:textId="77777777" w:rsidTr="00AC2C2C">
        <w:trPr>
          <w:jc w:val="center"/>
        </w:trPr>
        <w:tc>
          <w:tcPr>
            <w:tcW w:w="226" w:type="pct"/>
            <w:vAlign w:val="center"/>
          </w:tcPr>
          <w:p w14:paraId="7661BECF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e</w:t>
            </w:r>
          </w:p>
        </w:tc>
        <w:tc>
          <w:tcPr>
            <w:tcW w:w="1144" w:type="pct"/>
            <w:vAlign w:val="center"/>
          </w:tcPr>
          <w:p w14:paraId="1EE201D0" w14:textId="69566A60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公共服务设施状况</w:t>
            </w:r>
          </w:p>
        </w:tc>
        <w:tc>
          <w:tcPr>
            <w:tcW w:w="2286" w:type="pct"/>
            <w:vAlign w:val="center"/>
          </w:tcPr>
          <w:p w14:paraId="5F6C50B8" w14:textId="3080BBC6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公共服务设施配套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完善，能够保证工作、生产需要，基础设施配套完善度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5961799C" w14:textId="5640BDED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0B833C8D" w14:textId="2D1712BE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0.42%</w:t>
            </w:r>
          </w:p>
        </w:tc>
      </w:tr>
      <w:tr w:rsidR="00AC2C2C" w:rsidRPr="00F55BBB" w14:paraId="088408C7" w14:textId="77777777" w:rsidTr="00AC2C2C">
        <w:trPr>
          <w:jc w:val="center"/>
        </w:trPr>
        <w:tc>
          <w:tcPr>
            <w:tcW w:w="226" w:type="pct"/>
            <w:vAlign w:val="center"/>
          </w:tcPr>
          <w:p w14:paraId="2F818AB5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f</w:t>
            </w:r>
          </w:p>
        </w:tc>
        <w:tc>
          <w:tcPr>
            <w:tcW w:w="1144" w:type="pct"/>
            <w:vAlign w:val="center"/>
          </w:tcPr>
          <w:p w14:paraId="17B30471" w14:textId="333BD7F7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基础设施完备状况</w:t>
            </w:r>
          </w:p>
        </w:tc>
        <w:tc>
          <w:tcPr>
            <w:tcW w:w="2286" w:type="pct"/>
            <w:vAlign w:val="center"/>
          </w:tcPr>
          <w:p w14:paraId="49BE2FDA" w14:textId="14133C80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七通；</w:t>
            </w:r>
          </w:p>
        </w:tc>
        <w:tc>
          <w:tcPr>
            <w:tcW w:w="542" w:type="pct"/>
            <w:vAlign w:val="center"/>
          </w:tcPr>
          <w:p w14:paraId="203E9F01" w14:textId="55B07777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好</w:t>
            </w:r>
          </w:p>
        </w:tc>
        <w:tc>
          <w:tcPr>
            <w:tcW w:w="802" w:type="pct"/>
            <w:vAlign w:val="center"/>
          </w:tcPr>
          <w:p w14:paraId="1D66B6EB" w14:textId="6936DDE9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0.96%</w:t>
            </w:r>
          </w:p>
        </w:tc>
      </w:tr>
      <w:tr w:rsidR="00AC2C2C" w:rsidRPr="00F55BBB" w14:paraId="51907548" w14:textId="77777777" w:rsidTr="00AC2C2C">
        <w:trPr>
          <w:jc w:val="center"/>
        </w:trPr>
        <w:tc>
          <w:tcPr>
            <w:tcW w:w="226" w:type="pct"/>
            <w:vAlign w:val="center"/>
          </w:tcPr>
          <w:p w14:paraId="4C515EA2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lastRenderedPageBreak/>
              <w:t>g</w:t>
            </w:r>
          </w:p>
        </w:tc>
        <w:tc>
          <w:tcPr>
            <w:tcW w:w="1144" w:type="pct"/>
            <w:vAlign w:val="center"/>
          </w:tcPr>
          <w:p w14:paraId="68A84A5C" w14:textId="19D8F892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宗地形状及可利用程度</w:t>
            </w:r>
          </w:p>
        </w:tc>
        <w:tc>
          <w:tcPr>
            <w:tcW w:w="2286" w:type="pct"/>
            <w:vAlign w:val="center"/>
          </w:tcPr>
          <w:p w14:paraId="1B399FA3" w14:textId="4104AE93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宗地形状较规则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0CADFF7E" w14:textId="6DE3F694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0A2F3EFF" w14:textId="78EC1A25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0.26%</w:t>
            </w:r>
          </w:p>
        </w:tc>
      </w:tr>
      <w:tr w:rsidR="00AC2C2C" w:rsidRPr="00F55BBB" w14:paraId="12D0217C" w14:textId="77777777" w:rsidTr="00AC2C2C">
        <w:trPr>
          <w:jc w:val="center"/>
        </w:trPr>
        <w:tc>
          <w:tcPr>
            <w:tcW w:w="226" w:type="pct"/>
            <w:vAlign w:val="center"/>
          </w:tcPr>
          <w:p w14:paraId="5E93AB72" w14:textId="594041DC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/>
                <w:sz w:val="18"/>
              </w:rPr>
              <w:t>h</w:t>
            </w:r>
          </w:p>
        </w:tc>
        <w:tc>
          <w:tcPr>
            <w:tcW w:w="1144" w:type="pct"/>
          </w:tcPr>
          <w:p w14:paraId="62251991" w14:textId="796767B9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C3C4F">
              <w:rPr>
                <w:rFonts w:ascii="Arial" w:eastAsia="华文细黑" w:hAnsi="Arial" w:hint="eastAsia"/>
                <w:sz w:val="18"/>
              </w:rPr>
              <w:t>自然和人文环境状况</w:t>
            </w:r>
          </w:p>
        </w:tc>
        <w:tc>
          <w:tcPr>
            <w:tcW w:w="2286" w:type="pct"/>
            <w:vAlign w:val="center"/>
          </w:tcPr>
          <w:p w14:paraId="4452B1C2" w14:textId="78AC0749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估价对象所在区域内有东小口森林公园等绿地，该区域内无重污染型企业，绿化条件较好，卫生条件良好，整体环境状况良好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337A3066" w14:textId="5D77909D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19F997C" w14:textId="14B3E9DE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0.64%</w:t>
            </w:r>
          </w:p>
        </w:tc>
      </w:tr>
      <w:tr w:rsidR="00AC2C2C" w:rsidRPr="00F55BBB" w14:paraId="1C587571" w14:textId="77777777" w:rsidTr="00AC2C2C">
        <w:trPr>
          <w:jc w:val="center"/>
        </w:trPr>
        <w:tc>
          <w:tcPr>
            <w:tcW w:w="226" w:type="pct"/>
            <w:vAlign w:val="center"/>
          </w:tcPr>
          <w:p w14:paraId="4DD613BB" w14:textId="112B8B89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proofErr w:type="spellStart"/>
            <w:r>
              <w:rPr>
                <w:rFonts w:ascii="Arial" w:eastAsia="华文细黑" w:hAnsi="Arial" w:hint="eastAsia"/>
                <w:sz w:val="18"/>
              </w:rPr>
              <w:t>i</w:t>
            </w:r>
            <w:proofErr w:type="spellEnd"/>
          </w:p>
        </w:tc>
        <w:tc>
          <w:tcPr>
            <w:tcW w:w="1144" w:type="pct"/>
          </w:tcPr>
          <w:p w14:paraId="28BFCBDF" w14:textId="0F031A4C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C3C4F">
              <w:rPr>
                <w:rFonts w:ascii="Arial" w:eastAsia="华文细黑" w:hAnsi="Arial" w:hint="eastAsia"/>
                <w:sz w:val="18"/>
              </w:rPr>
              <w:t>与区域中心的接近程度</w:t>
            </w:r>
          </w:p>
        </w:tc>
        <w:tc>
          <w:tcPr>
            <w:tcW w:w="2286" w:type="pct"/>
            <w:vAlign w:val="center"/>
          </w:tcPr>
          <w:p w14:paraId="60FCE2CE" w14:textId="54128F26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proofErr w:type="gramStart"/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距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区域</w:t>
            </w:r>
            <w:proofErr w:type="gramEnd"/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中心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约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1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公里，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接近程度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一般。</w:t>
            </w:r>
          </w:p>
        </w:tc>
        <w:tc>
          <w:tcPr>
            <w:tcW w:w="542" w:type="pct"/>
            <w:vAlign w:val="center"/>
          </w:tcPr>
          <w:p w14:paraId="6095ECE6" w14:textId="4EF3B2D2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72AE1B41" w14:textId="551F96D4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0.00%</w:t>
            </w:r>
          </w:p>
        </w:tc>
      </w:tr>
      <w:tr w:rsidR="00650EF8" w:rsidRPr="00F55BBB" w14:paraId="6D0EB228" w14:textId="77777777" w:rsidTr="00650EF8">
        <w:trPr>
          <w:jc w:val="center"/>
        </w:trPr>
        <w:tc>
          <w:tcPr>
            <w:tcW w:w="4198" w:type="pct"/>
            <w:gridSpan w:val="4"/>
            <w:vAlign w:val="center"/>
          </w:tcPr>
          <w:p w14:paraId="2DF03149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合计（∑</w:t>
            </w:r>
            <w:r w:rsidRPr="00F55BBB">
              <w:rPr>
                <w:rFonts w:ascii="Arial" w:eastAsia="华文细黑" w:hAnsi="Arial" w:hint="eastAsia"/>
                <w:sz w:val="18"/>
              </w:rPr>
              <w:t>K</w:t>
            </w:r>
            <w:r w:rsidRPr="00F55BBB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F55BBB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729F8719" w14:textId="7C32C721" w:rsidR="00650EF8" w:rsidRPr="00F55BBB" w:rsidRDefault="00AC2C2C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5</w:t>
            </w:r>
            <w:r>
              <w:rPr>
                <w:rFonts w:ascii="Arial" w:eastAsia="华文细黑" w:hAnsi="Arial"/>
                <w:color w:val="E36C0A"/>
                <w:sz w:val="18"/>
              </w:rPr>
              <w:t>.27%</w:t>
            </w:r>
          </w:p>
        </w:tc>
      </w:tr>
      <w:tr w:rsidR="00650EF8" w:rsidRPr="00F55BBB" w14:paraId="73F79F7E" w14:textId="77777777" w:rsidTr="00650EF8">
        <w:trPr>
          <w:jc w:val="center"/>
        </w:trPr>
        <w:tc>
          <w:tcPr>
            <w:tcW w:w="4198" w:type="pct"/>
            <w:gridSpan w:val="4"/>
            <w:vAlign w:val="center"/>
          </w:tcPr>
          <w:p w14:paraId="67D58DE8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因素修正系数（</w:t>
            </w:r>
            <w:r w:rsidRPr="00F55BBB">
              <w:rPr>
                <w:rFonts w:ascii="Arial" w:eastAsia="华文细黑" w:hAnsi="Arial" w:hint="eastAsia"/>
                <w:sz w:val="18"/>
              </w:rPr>
              <w:t>1+</w:t>
            </w:r>
            <w:r w:rsidRPr="00F55BBB">
              <w:rPr>
                <w:rFonts w:ascii="Arial" w:eastAsia="华文细黑" w:hAnsi="Arial" w:hint="eastAsia"/>
                <w:sz w:val="18"/>
              </w:rPr>
              <w:t>∑</w:t>
            </w:r>
            <w:r w:rsidRPr="00F55BBB">
              <w:rPr>
                <w:rFonts w:ascii="Arial" w:eastAsia="华文细黑" w:hAnsi="Arial" w:hint="eastAsia"/>
                <w:sz w:val="18"/>
              </w:rPr>
              <w:t>K</w:t>
            </w:r>
            <w:r w:rsidRPr="00F55BBB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F55BBB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06B1F459" w14:textId="6795CB63" w:rsidR="00650EF8" w:rsidRPr="00F55BBB" w:rsidRDefault="00AC2C2C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1</w:t>
            </w:r>
            <w:r>
              <w:rPr>
                <w:rFonts w:ascii="Arial" w:eastAsia="华文细黑" w:hAnsi="Arial"/>
                <w:color w:val="E36C0A"/>
                <w:sz w:val="18"/>
              </w:rPr>
              <w:t>.0527</w:t>
            </w:r>
          </w:p>
        </w:tc>
      </w:tr>
    </w:tbl>
    <w:p w14:paraId="39382BF7" w14:textId="77777777" w:rsidR="008C7B7C" w:rsidRDefault="008C7B7C" w:rsidP="008C7B7C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</w:p>
    <w:p w14:paraId="25AE6815" w14:textId="31ECCE10" w:rsidR="008C7B7C" w:rsidRDefault="00842C11" w:rsidP="001D43EE">
      <w:pPr>
        <w:widowControl/>
        <w:jc w:val="left"/>
        <w:rPr>
          <w:rFonts w:hAnsi="宋体"/>
          <w:sz w:val="24"/>
          <w:szCs w:val="32"/>
        </w:rPr>
      </w:pPr>
      <w:r w:rsidRPr="008822D7">
        <w:rPr>
          <w:rFonts w:hAnsi="宋体"/>
          <w:sz w:val="24"/>
          <w:szCs w:val="32"/>
        </w:rPr>
        <w:t>2</w:t>
      </w:r>
      <w:r w:rsidRPr="008822D7">
        <w:rPr>
          <w:rFonts w:hAnsi="宋体" w:hint="eastAsia"/>
          <w:sz w:val="24"/>
          <w:szCs w:val="32"/>
        </w:rPr>
        <w:t>）</w:t>
      </w:r>
      <w:r w:rsidR="000C0E5A">
        <w:rPr>
          <w:rFonts w:hAnsi="宋体" w:hint="eastAsia"/>
          <w:sz w:val="24"/>
          <w:szCs w:val="32"/>
        </w:rPr>
        <w:t>工业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4"/>
        <w:gridCol w:w="1275"/>
        <w:gridCol w:w="993"/>
        <w:gridCol w:w="814"/>
        <w:gridCol w:w="178"/>
        <w:gridCol w:w="850"/>
        <w:gridCol w:w="993"/>
        <w:gridCol w:w="934"/>
      </w:tblGrid>
      <w:tr w:rsidR="008C7B7C" w:rsidRPr="00E97A0C" w14:paraId="550512EF" w14:textId="77777777" w:rsidTr="008A5407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63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B607" w14:textId="77777777" w:rsid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适用的楼面熟地价</w:t>
            </w:r>
          </w:p>
          <w:p w14:paraId="118304E9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145E" w14:textId="0AA78EB3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2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710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D0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FF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A)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×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B)</w:t>
            </w:r>
            <w:r w:rsidRPr="004869B0">
              <w:rPr>
                <w:rFonts w:ascii="Arial" w:eastAsia="华文细黑" w:hAnsi="Arial" w:cs="Arial" w:hint="eastAsia"/>
                <w:color w:val="E36C0A"/>
                <w:kern w:val="0"/>
                <w:sz w:val="18"/>
                <w:szCs w:val="18"/>
              </w:rPr>
              <w:t>＋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 xml:space="preserve"> C)</w:t>
            </w:r>
          </w:p>
        </w:tc>
      </w:tr>
      <w:tr w:rsidR="008C7B7C" w:rsidRPr="00E97A0C" w14:paraId="3F4C8623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44B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E715" w14:textId="77777777" w:rsid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适用的基准地价</w:t>
            </w:r>
          </w:p>
          <w:p w14:paraId="151BCF32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7E57" w14:textId="6BF0F0E2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2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710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CE5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依据估价对象用途及所处区片参照《北京市区片基准地价表》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楼面地价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确定</w:t>
            </w:r>
          </w:p>
        </w:tc>
      </w:tr>
      <w:tr w:rsidR="008C7B7C" w:rsidRPr="00E97A0C" w14:paraId="1D1E767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C85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128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D0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BBF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估价对象用途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631" w14:textId="1555F8A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工业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B79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土地级别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AC99" w14:textId="1E30DD89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六级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22A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区片编号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06D" w14:textId="06E39536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VI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-01</w:t>
            </w:r>
          </w:p>
        </w:tc>
      </w:tr>
      <w:tr w:rsidR="008C7B7C" w:rsidRPr="00E97A0C" w14:paraId="61E6557A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DF4F" w14:textId="205FE72B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E36C0A"/>
                <w:kern w:val="0"/>
                <w:sz w:val="18"/>
                <w:szCs w:val="18"/>
              </w:rPr>
              <w:t>B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CD8A" w14:textId="77777777" w:rsid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开发程度差异修正</w:t>
            </w:r>
          </w:p>
          <w:p w14:paraId="398CF9E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EE48" w14:textId="1A342860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43A8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8C7B7C" w:rsidRPr="00E97A0C" w14:paraId="3177D7D1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142B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9035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240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716D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估价对象开发程度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AEE" w14:textId="2396631B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七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通一平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1BA" w14:textId="471E41BA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级别开发程度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A63" w14:textId="6ECC5A61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七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通一平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C2F" w14:textId="09FAD699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级别平均容积率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736" w14:textId="64D33A8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2</w:t>
            </w:r>
            <w:r w:rsidRPr="007522C5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.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</w:tr>
      <w:tr w:rsidR="008C7B7C" w:rsidRPr="00E97A0C" w14:paraId="063EAE9C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56A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E134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EBB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9C7" w14:textId="6A60C072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估价对象开发程度与级别开发程度一致</w:t>
            </w:r>
            <w:r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CC12" w14:textId="1FE6E013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对应的开发费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B424" w14:textId="772EEBED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C7B7C" w:rsidRPr="00E97A0C" w14:paraId="150BF94B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4ED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D54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用途修正系数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E1D3" w14:textId="6754D795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2</w:t>
            </w:r>
            <w:r w:rsidR="002C7462"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1B1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用途类别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21F8" w14:textId="2F3ECBCD" w:rsidR="008C7B7C" w:rsidRP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8C7B7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工业研发用地</w:t>
            </w:r>
          </w:p>
        </w:tc>
      </w:tr>
      <w:tr w:rsidR="008C7B7C" w:rsidRPr="00E97A0C" w14:paraId="22DBADD0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FB1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AA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期日修正系数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0396" w14:textId="4D25BD3B" w:rsidR="008C7B7C" w:rsidRP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 w:rsidRPr="008C7B7C">
              <w:rPr>
                <w:rFonts w:ascii="Arial" w:eastAsia="华文细黑" w:hAnsi="Arial" w:cs="宋体" w:hint="eastAsia"/>
                <w:iCs/>
                <w:color w:val="548DD4"/>
                <w:kern w:val="0"/>
                <w:sz w:val="18"/>
                <w:szCs w:val="18"/>
              </w:rPr>
              <w:t>1</w:t>
            </w:r>
            <w:r w:rsidRPr="008C7B7C">
              <w:rPr>
                <w:rFonts w:ascii="Arial" w:eastAsia="华文细黑" w:hAnsi="Arial" w:cs="宋体"/>
                <w:iCs/>
                <w:color w:val="548DD4"/>
                <w:kern w:val="0"/>
                <w:sz w:val="18"/>
                <w:szCs w:val="18"/>
              </w:rPr>
              <w:t>.0930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6B2E" w14:textId="21514E39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i/>
                <w:iCs/>
                <w:color w:val="548DD4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按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北京市规划和自然资源委员会网站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公示的北京市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工业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用途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2021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季度至今各季度地价增长率连乘计算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8C7B7C" w:rsidRPr="00E97A0C" w14:paraId="2BE5133D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FD4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1BDB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年期修正系数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735A" w14:textId="15C3E6B3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.0000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38E2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C7B7C" w:rsidRPr="00E97A0C" w14:paraId="46A3E3F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DC89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3148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C3B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4DB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土地还原率（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3301" w14:textId="366FFF31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D95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剩余使用年限（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93CB" w14:textId="1E133357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A219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出让年限（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A46" w14:textId="1E4E1E7E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C7B7C" w:rsidRPr="00E97A0C" w14:paraId="6F42D75C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EE25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C78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容积率修正</w:t>
            </w:r>
            <w:r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系数</w:t>
            </w: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X</w:t>
            </w: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4CF8" w14:textId="6150A6B1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.1384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AD46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＝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(X2-X1)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×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(R-R1)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÷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(R2-R1)       R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为估价对象容积率，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对应的容积率修正系数，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X2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R2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对应的容积率修正系数，其容积率修正系数参照《北京市基准地价容积率修正系数表》确定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0E7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容积率（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3311" w14:textId="7B3E98D0" w:rsidR="008C7B7C" w:rsidRPr="00E97A0C" w:rsidRDefault="002C7462" w:rsidP="002C7462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.09</w:t>
            </w:r>
          </w:p>
        </w:tc>
      </w:tr>
      <w:tr w:rsidR="008C7B7C" w:rsidRPr="00E97A0C" w14:paraId="59E6BE3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C97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0EB1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5207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9315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83D7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A892" w14:textId="343B1641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:rsidR="008C7B7C" w:rsidRPr="00E97A0C" w14:paraId="3BB5B7A2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CB6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075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56C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683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671C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6A5" w14:textId="14916FAE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.1565</w:t>
            </w:r>
          </w:p>
        </w:tc>
      </w:tr>
      <w:tr w:rsidR="008C7B7C" w:rsidRPr="00E97A0C" w14:paraId="73385CA5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8476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8F11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3DBD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F33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4D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0EDF" w14:textId="3F683071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.10</w:t>
            </w:r>
          </w:p>
        </w:tc>
      </w:tr>
      <w:tr w:rsidR="008C7B7C" w:rsidRPr="00E97A0C" w14:paraId="22DDA342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2BC3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C19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9678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3551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EFC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B9FB" w14:textId="4360A738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.1364</w:t>
            </w:r>
          </w:p>
        </w:tc>
      </w:tr>
      <w:tr w:rsidR="008C7B7C" w:rsidRPr="00E97A0C" w14:paraId="4A42EA60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2FC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A66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因素修正系数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FFE" w14:textId="027B52B5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.0461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B7F" w14:textId="54EEB848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详见附表：《</w:t>
            </w:r>
            <w:r w:rsidR="002C7462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工业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因素修正表》</w:t>
            </w:r>
          </w:p>
        </w:tc>
      </w:tr>
      <w:tr w:rsidR="008C7B7C" w:rsidRPr="00E97A0C" w14:paraId="12059DBD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CA8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6C19" w14:textId="65207879" w:rsidR="008C7B7C" w:rsidRPr="00E97A0C" w:rsidRDefault="008C7B7C" w:rsidP="002C7462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楼面熟地价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D538" w14:textId="603895F0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7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055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2E3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适用的楼面熟地价×用途修正系数×期日修正系数×年期修正系数×容积率修正系数×因素修正系数</w:t>
            </w:r>
          </w:p>
        </w:tc>
      </w:tr>
      <w:tr w:rsidR="008C7B7C" w:rsidRPr="00E97A0C" w14:paraId="7196AAAE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826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1AE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总额</w:t>
            </w:r>
            <w:r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4612" w14:textId="1E6214C9" w:rsidR="008C7B7C" w:rsidRPr="00E97A0C" w:rsidRDefault="001D43EE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71355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9D2" w14:textId="7606B7E9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楼面熟地价×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E97D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5633" w14:textId="5F09BA6B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01500</w:t>
            </w:r>
          </w:p>
        </w:tc>
      </w:tr>
    </w:tbl>
    <w:p w14:paraId="64AA1546" w14:textId="77777777" w:rsidR="001D43EE" w:rsidRDefault="001D43EE" w:rsidP="002C7462">
      <w:pPr>
        <w:spacing w:line="480" w:lineRule="auto"/>
        <w:jc w:val="center"/>
        <w:rPr>
          <w:rFonts w:ascii="Arial" w:hAnsi="Arial"/>
          <w:szCs w:val="28"/>
        </w:rPr>
      </w:pPr>
    </w:p>
    <w:p w14:paraId="6BFF19FC" w14:textId="77777777" w:rsidR="001D43EE" w:rsidRDefault="001D43EE" w:rsidP="002C7462">
      <w:pPr>
        <w:spacing w:line="480" w:lineRule="auto"/>
        <w:jc w:val="center"/>
        <w:rPr>
          <w:rFonts w:ascii="Arial" w:hAnsi="Arial"/>
          <w:szCs w:val="28"/>
        </w:rPr>
      </w:pPr>
    </w:p>
    <w:p w14:paraId="7BDB4782" w14:textId="0AAAC907" w:rsidR="002C7462" w:rsidRPr="00C94C3B" w:rsidRDefault="002C7462" w:rsidP="002C7462">
      <w:pPr>
        <w:spacing w:line="480" w:lineRule="auto"/>
        <w:jc w:val="center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lastRenderedPageBreak/>
        <w:t>工业</w:t>
      </w:r>
      <w:r w:rsidRPr="00C94C3B">
        <w:rPr>
          <w:rFonts w:ascii="Arial" w:hAnsi="Arial" w:hint="eastAsia"/>
          <w:szCs w:val="28"/>
        </w:rPr>
        <w:t>因素修正表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2127"/>
        <w:gridCol w:w="4252"/>
        <w:gridCol w:w="1012"/>
        <w:gridCol w:w="1492"/>
      </w:tblGrid>
      <w:tr w:rsidR="002C7462" w:rsidRPr="00F55BBB" w14:paraId="1ECC3114" w14:textId="77777777" w:rsidTr="002C7462">
        <w:trPr>
          <w:jc w:val="center"/>
        </w:trPr>
        <w:tc>
          <w:tcPr>
            <w:tcW w:w="224" w:type="pct"/>
            <w:vAlign w:val="center"/>
          </w:tcPr>
          <w:p w14:paraId="26534289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序号</w:t>
            </w:r>
          </w:p>
        </w:tc>
        <w:tc>
          <w:tcPr>
            <w:tcW w:w="1144" w:type="pct"/>
            <w:vAlign w:val="center"/>
          </w:tcPr>
          <w:p w14:paraId="632C426E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影响因素</w:t>
            </w:r>
          </w:p>
        </w:tc>
        <w:tc>
          <w:tcPr>
            <w:tcW w:w="2286" w:type="pct"/>
            <w:vAlign w:val="center"/>
          </w:tcPr>
          <w:p w14:paraId="33FD6CCC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估价对象情况</w:t>
            </w:r>
          </w:p>
        </w:tc>
        <w:tc>
          <w:tcPr>
            <w:tcW w:w="543" w:type="pct"/>
            <w:vAlign w:val="center"/>
          </w:tcPr>
          <w:p w14:paraId="1C43AB19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等级</w:t>
            </w:r>
          </w:p>
        </w:tc>
        <w:tc>
          <w:tcPr>
            <w:tcW w:w="802" w:type="pct"/>
            <w:vAlign w:val="center"/>
          </w:tcPr>
          <w:p w14:paraId="6B07A184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修正系数</w:t>
            </w:r>
          </w:p>
        </w:tc>
      </w:tr>
      <w:tr w:rsidR="002C7462" w:rsidRPr="00F55BBB" w14:paraId="626B62AA" w14:textId="77777777" w:rsidTr="002C7462">
        <w:trPr>
          <w:jc w:val="center"/>
        </w:trPr>
        <w:tc>
          <w:tcPr>
            <w:tcW w:w="224" w:type="pct"/>
            <w:vAlign w:val="center"/>
          </w:tcPr>
          <w:p w14:paraId="1A8383F1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a</w:t>
            </w:r>
          </w:p>
        </w:tc>
        <w:tc>
          <w:tcPr>
            <w:tcW w:w="1144" w:type="pct"/>
            <w:vAlign w:val="center"/>
          </w:tcPr>
          <w:p w14:paraId="42696674" w14:textId="6FF5E588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产业集聚程度</w:t>
            </w:r>
          </w:p>
        </w:tc>
        <w:tc>
          <w:tcPr>
            <w:tcW w:w="2286" w:type="pct"/>
            <w:vAlign w:val="center"/>
          </w:tcPr>
          <w:p w14:paraId="608C48EE" w14:textId="7A88C3CD" w:rsidR="002C7462" w:rsidRPr="00F55BBB" w:rsidRDefault="002C7462" w:rsidP="002C7462">
            <w:pPr>
              <w:widowControl/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估价对象位于北五环外，工业六级</w:t>
            </w:r>
            <w:r w:rsidRPr="002C7462">
              <w:rPr>
                <w:rFonts w:ascii="Arial" w:eastAsia="华文细黑" w:hAnsi="Arial" w:cs="宋体"/>
                <w:color w:val="E36C0A"/>
                <w:sz w:val="18"/>
              </w:rPr>
              <w:t>VI-01</w:t>
            </w:r>
            <w:r w:rsidRPr="002C7462">
              <w:rPr>
                <w:rFonts w:ascii="Arial" w:eastAsia="华文细黑" w:hAnsi="Arial" w:cs="宋体"/>
                <w:color w:val="E36C0A"/>
                <w:sz w:val="18"/>
              </w:rPr>
              <w:t>地价片区，受城市经济发展扩大的影响，该区域有少量工业用地，如永丰高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新技术产业园、东升科技园等产业园区，规模一般，产业集聚程度一般；</w:t>
            </w:r>
          </w:p>
        </w:tc>
        <w:tc>
          <w:tcPr>
            <w:tcW w:w="543" w:type="pct"/>
            <w:vAlign w:val="center"/>
          </w:tcPr>
          <w:p w14:paraId="00D6B5AC" w14:textId="1E15FB2F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4804277B" w14:textId="2AD322BF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0.00</w:t>
            </w:r>
            <w:r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7AAD4A43" w14:textId="77777777" w:rsidTr="002C7462">
        <w:trPr>
          <w:jc w:val="center"/>
        </w:trPr>
        <w:tc>
          <w:tcPr>
            <w:tcW w:w="224" w:type="pct"/>
            <w:vAlign w:val="center"/>
          </w:tcPr>
          <w:p w14:paraId="4CB4F5EA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b</w:t>
            </w:r>
          </w:p>
        </w:tc>
        <w:tc>
          <w:tcPr>
            <w:tcW w:w="1144" w:type="pct"/>
            <w:vAlign w:val="center"/>
          </w:tcPr>
          <w:p w14:paraId="554AE9E6" w14:textId="346DE338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交通便捷度</w:t>
            </w:r>
          </w:p>
        </w:tc>
        <w:tc>
          <w:tcPr>
            <w:tcW w:w="2286" w:type="pct"/>
            <w:vAlign w:val="center"/>
          </w:tcPr>
          <w:p w14:paraId="35FBF8DE" w14:textId="77777777" w:rsidR="002C7462" w:rsidRPr="00F55BBB" w:rsidRDefault="002C7462" w:rsidP="002C7462">
            <w:pPr>
              <w:jc w:val="left"/>
              <w:outlineLvl w:val="0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规划地块的周边有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315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462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520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路、运通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119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路等多条公交线路经过，距地铁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13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号</w:t>
            </w:r>
            <w:proofErr w:type="gramStart"/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线霍营站</w:t>
            </w:r>
            <w:proofErr w:type="gramEnd"/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约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0.8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公里，综合评价交通便捷度较好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1E872E19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43003991" w14:textId="54803C22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1.</w:t>
            </w:r>
            <w:r>
              <w:rPr>
                <w:rFonts w:ascii="Arial" w:eastAsia="华文细黑" w:hAnsi="Arial"/>
                <w:color w:val="E36C0A"/>
                <w:sz w:val="18"/>
              </w:rPr>
              <w:t>95</w:t>
            </w:r>
            <w:r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22DDF7AF" w14:textId="77777777" w:rsidTr="002C7462">
        <w:trPr>
          <w:jc w:val="center"/>
        </w:trPr>
        <w:tc>
          <w:tcPr>
            <w:tcW w:w="224" w:type="pct"/>
            <w:vAlign w:val="center"/>
          </w:tcPr>
          <w:p w14:paraId="6506DD54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c</w:t>
            </w:r>
          </w:p>
        </w:tc>
        <w:tc>
          <w:tcPr>
            <w:tcW w:w="1144" w:type="pct"/>
            <w:vAlign w:val="center"/>
          </w:tcPr>
          <w:p w14:paraId="5365DC6C" w14:textId="3D6565B5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区域土地利用方向</w:t>
            </w:r>
          </w:p>
        </w:tc>
        <w:tc>
          <w:tcPr>
            <w:tcW w:w="2286" w:type="pct"/>
            <w:vAlign w:val="center"/>
          </w:tcPr>
          <w:p w14:paraId="05C5ED36" w14:textId="64382732" w:rsidR="002C7462" w:rsidRPr="00F55BBB" w:rsidRDefault="002C7462" w:rsidP="002C7462">
            <w:pPr>
              <w:widowControl/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所在区域目前以住宅用地为主，工业用地、绿化用地、办公用地为辅，该区域土地利用方向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一般</w:t>
            </w: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1529D928" w14:textId="7C39098E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017C9147" w14:textId="2DCFEBC5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0.00%</w:t>
            </w:r>
          </w:p>
        </w:tc>
      </w:tr>
      <w:tr w:rsidR="002C7462" w:rsidRPr="00F55BBB" w14:paraId="204BB448" w14:textId="77777777" w:rsidTr="002C7462">
        <w:trPr>
          <w:jc w:val="center"/>
        </w:trPr>
        <w:tc>
          <w:tcPr>
            <w:tcW w:w="224" w:type="pct"/>
            <w:vAlign w:val="center"/>
          </w:tcPr>
          <w:p w14:paraId="3873B278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d</w:t>
            </w:r>
          </w:p>
        </w:tc>
        <w:tc>
          <w:tcPr>
            <w:tcW w:w="1144" w:type="pct"/>
            <w:vAlign w:val="center"/>
          </w:tcPr>
          <w:p w14:paraId="499265EB" w14:textId="53DA8EBC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临路状况</w:t>
            </w:r>
          </w:p>
        </w:tc>
        <w:tc>
          <w:tcPr>
            <w:tcW w:w="2286" w:type="pct"/>
            <w:vAlign w:val="center"/>
          </w:tcPr>
          <w:p w14:paraId="105CD312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城市支路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——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建材城中路；</w:t>
            </w:r>
          </w:p>
        </w:tc>
        <w:tc>
          <w:tcPr>
            <w:tcW w:w="543" w:type="pct"/>
            <w:vAlign w:val="center"/>
          </w:tcPr>
          <w:p w14:paraId="541A2631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0A37F8AD" w14:textId="77777777" w:rsidR="002C7462" w:rsidRPr="00AC2C2C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0.00%</w:t>
            </w:r>
          </w:p>
        </w:tc>
      </w:tr>
      <w:tr w:rsidR="002C7462" w:rsidRPr="00F55BBB" w14:paraId="2646C3CB" w14:textId="77777777" w:rsidTr="002C7462">
        <w:trPr>
          <w:jc w:val="center"/>
        </w:trPr>
        <w:tc>
          <w:tcPr>
            <w:tcW w:w="224" w:type="pct"/>
            <w:vAlign w:val="center"/>
          </w:tcPr>
          <w:p w14:paraId="134FE0D0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e</w:t>
            </w:r>
          </w:p>
        </w:tc>
        <w:tc>
          <w:tcPr>
            <w:tcW w:w="1144" w:type="pct"/>
            <w:vAlign w:val="center"/>
          </w:tcPr>
          <w:p w14:paraId="7A7036F1" w14:textId="32ABC3A1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公共服务设施状况</w:t>
            </w:r>
          </w:p>
        </w:tc>
        <w:tc>
          <w:tcPr>
            <w:tcW w:w="2286" w:type="pct"/>
            <w:vAlign w:val="center"/>
          </w:tcPr>
          <w:p w14:paraId="3DF8C246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公共服务设施配套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完善，能够保证工作、生产需要，基础设施配套完善度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0B41C1B0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4B030A3" w14:textId="1643C7F1" w:rsidR="002C7462" w:rsidRPr="00AC2C2C" w:rsidRDefault="002C7462" w:rsidP="003F7C33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</w:t>
            </w:r>
            <w:r w:rsidR="003F7C33">
              <w:rPr>
                <w:rFonts w:ascii="Arial" w:eastAsia="华文细黑" w:hAnsi="Arial"/>
                <w:color w:val="E36C0A"/>
                <w:sz w:val="18"/>
              </w:rPr>
              <w:t>39</w:t>
            </w:r>
            <w:r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23EFE598" w14:textId="77777777" w:rsidTr="002C7462">
        <w:trPr>
          <w:jc w:val="center"/>
        </w:trPr>
        <w:tc>
          <w:tcPr>
            <w:tcW w:w="224" w:type="pct"/>
            <w:vAlign w:val="center"/>
          </w:tcPr>
          <w:p w14:paraId="03D20FDA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f</w:t>
            </w:r>
          </w:p>
        </w:tc>
        <w:tc>
          <w:tcPr>
            <w:tcW w:w="1144" w:type="pct"/>
            <w:vAlign w:val="center"/>
          </w:tcPr>
          <w:p w14:paraId="2CB6CE27" w14:textId="097D2BEF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基础设施完备状况</w:t>
            </w:r>
          </w:p>
        </w:tc>
        <w:tc>
          <w:tcPr>
            <w:tcW w:w="2286" w:type="pct"/>
            <w:vAlign w:val="center"/>
          </w:tcPr>
          <w:p w14:paraId="7C0F6B3B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七通；</w:t>
            </w:r>
          </w:p>
        </w:tc>
        <w:tc>
          <w:tcPr>
            <w:tcW w:w="543" w:type="pct"/>
            <w:vAlign w:val="center"/>
          </w:tcPr>
          <w:p w14:paraId="7691B80E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好</w:t>
            </w:r>
          </w:p>
        </w:tc>
        <w:tc>
          <w:tcPr>
            <w:tcW w:w="802" w:type="pct"/>
            <w:vAlign w:val="center"/>
          </w:tcPr>
          <w:p w14:paraId="4F4EFA94" w14:textId="4FA7DC86" w:rsidR="002C7462" w:rsidRPr="00AC2C2C" w:rsidRDefault="003F7C33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1.56</w:t>
            </w:r>
            <w:r w:rsidR="002C7462"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0D8C5119" w14:textId="77777777" w:rsidTr="002C7462">
        <w:trPr>
          <w:jc w:val="center"/>
        </w:trPr>
        <w:tc>
          <w:tcPr>
            <w:tcW w:w="224" w:type="pct"/>
            <w:vAlign w:val="center"/>
          </w:tcPr>
          <w:p w14:paraId="4547CC4A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g</w:t>
            </w:r>
          </w:p>
        </w:tc>
        <w:tc>
          <w:tcPr>
            <w:tcW w:w="1144" w:type="pct"/>
            <w:vAlign w:val="center"/>
          </w:tcPr>
          <w:p w14:paraId="6E750514" w14:textId="236CA613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宗地形状及可利用程度</w:t>
            </w:r>
          </w:p>
        </w:tc>
        <w:tc>
          <w:tcPr>
            <w:tcW w:w="2286" w:type="pct"/>
            <w:vAlign w:val="center"/>
          </w:tcPr>
          <w:p w14:paraId="1A50B413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宗地形状较规则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2518EE48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487A0E88" w14:textId="5F62AF40" w:rsidR="002C7462" w:rsidRPr="00AC2C2C" w:rsidRDefault="003F7C33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0.39</w:t>
            </w:r>
            <w:r w:rsidR="002C7462"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741BA716" w14:textId="77777777" w:rsidTr="002C7462">
        <w:trPr>
          <w:jc w:val="center"/>
        </w:trPr>
        <w:tc>
          <w:tcPr>
            <w:tcW w:w="224" w:type="pct"/>
            <w:vAlign w:val="center"/>
          </w:tcPr>
          <w:p w14:paraId="5B0FEFD1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/>
                <w:sz w:val="18"/>
              </w:rPr>
              <w:t>h</w:t>
            </w:r>
          </w:p>
        </w:tc>
        <w:tc>
          <w:tcPr>
            <w:tcW w:w="1144" w:type="pct"/>
            <w:vAlign w:val="center"/>
          </w:tcPr>
          <w:p w14:paraId="0D700690" w14:textId="2412C70C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环境状况</w:t>
            </w:r>
          </w:p>
        </w:tc>
        <w:tc>
          <w:tcPr>
            <w:tcW w:w="2286" w:type="pct"/>
            <w:vAlign w:val="center"/>
          </w:tcPr>
          <w:p w14:paraId="1DB8696D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估价对象所在区域内有东小口森林公园等绿地，该区域内无重污染型企业，绿化条件较好，卫生条件良好，整体环境状况良好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46B14D65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1AF2EA85" w14:textId="25655F29" w:rsidR="002C7462" w:rsidRPr="00AC2C2C" w:rsidRDefault="003F7C33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0.32</w:t>
            </w:r>
            <w:r w:rsidR="002C7462"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0C03BF75" w14:textId="77777777" w:rsidTr="008A5407">
        <w:trPr>
          <w:jc w:val="center"/>
        </w:trPr>
        <w:tc>
          <w:tcPr>
            <w:tcW w:w="4198" w:type="pct"/>
            <w:gridSpan w:val="4"/>
            <w:vAlign w:val="center"/>
          </w:tcPr>
          <w:p w14:paraId="47BE8090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合计（∑</w:t>
            </w:r>
            <w:r w:rsidRPr="00F55BBB">
              <w:rPr>
                <w:rFonts w:ascii="Arial" w:eastAsia="华文细黑" w:hAnsi="Arial" w:hint="eastAsia"/>
                <w:sz w:val="18"/>
              </w:rPr>
              <w:t>K</w:t>
            </w:r>
            <w:r w:rsidRPr="00F55BBB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F55BBB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7256EE60" w14:textId="4E9C0CCE" w:rsidR="002C7462" w:rsidRPr="00F55BBB" w:rsidRDefault="003F7C33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4.61</w:t>
            </w:r>
            <w:r w:rsidR="002C7462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75A75D88" w14:textId="77777777" w:rsidTr="008A5407">
        <w:trPr>
          <w:jc w:val="center"/>
        </w:trPr>
        <w:tc>
          <w:tcPr>
            <w:tcW w:w="4198" w:type="pct"/>
            <w:gridSpan w:val="4"/>
            <w:vAlign w:val="center"/>
          </w:tcPr>
          <w:p w14:paraId="06D4923F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因素修正系数（</w:t>
            </w:r>
            <w:r w:rsidRPr="00F55BBB">
              <w:rPr>
                <w:rFonts w:ascii="Arial" w:eastAsia="华文细黑" w:hAnsi="Arial" w:hint="eastAsia"/>
                <w:sz w:val="18"/>
              </w:rPr>
              <w:t>1+</w:t>
            </w:r>
            <w:r w:rsidRPr="00F55BBB">
              <w:rPr>
                <w:rFonts w:ascii="Arial" w:eastAsia="华文细黑" w:hAnsi="Arial" w:hint="eastAsia"/>
                <w:sz w:val="18"/>
              </w:rPr>
              <w:t>∑</w:t>
            </w:r>
            <w:r w:rsidRPr="00F55BBB">
              <w:rPr>
                <w:rFonts w:ascii="Arial" w:eastAsia="华文细黑" w:hAnsi="Arial" w:hint="eastAsia"/>
                <w:sz w:val="18"/>
              </w:rPr>
              <w:t>K</w:t>
            </w:r>
            <w:r w:rsidRPr="00F55BBB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F55BBB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23FB2AD8" w14:textId="393FC829" w:rsidR="002C7462" w:rsidRPr="00F55BBB" w:rsidRDefault="002C7462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1</w:t>
            </w:r>
            <w:r>
              <w:rPr>
                <w:rFonts w:ascii="Arial" w:eastAsia="华文细黑" w:hAnsi="Arial"/>
                <w:color w:val="E36C0A"/>
                <w:sz w:val="18"/>
              </w:rPr>
              <w:t>.0</w:t>
            </w:r>
            <w:r w:rsidR="003F7C33">
              <w:rPr>
                <w:rFonts w:ascii="Arial" w:eastAsia="华文细黑" w:hAnsi="Arial"/>
                <w:color w:val="E36C0A"/>
                <w:sz w:val="18"/>
              </w:rPr>
              <w:t>461</w:t>
            </w:r>
          </w:p>
        </w:tc>
      </w:tr>
    </w:tbl>
    <w:p w14:paraId="5621E41E" w14:textId="458647DB" w:rsidR="00842C11" w:rsidRPr="008822D7" w:rsidRDefault="00842C11" w:rsidP="00842C11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 w:hint="eastAsia"/>
          <w:kern w:val="2"/>
          <w:sz w:val="24"/>
          <w:szCs w:val="32"/>
        </w:rPr>
        <w:t>（</w:t>
      </w:r>
      <w:r w:rsidRPr="008822D7">
        <w:rPr>
          <w:rFonts w:hAnsi="宋体" w:cstheme="minorBidi"/>
          <w:kern w:val="2"/>
          <w:sz w:val="24"/>
          <w:szCs w:val="32"/>
        </w:rPr>
        <w:t>2</w:t>
      </w:r>
      <w:r w:rsidRPr="008822D7">
        <w:rPr>
          <w:rFonts w:hAnsi="宋体" w:cstheme="minorBidi" w:hint="eastAsia"/>
          <w:kern w:val="2"/>
          <w:sz w:val="24"/>
          <w:szCs w:val="32"/>
        </w:rPr>
        <w:t>）剩余法</w:t>
      </w:r>
    </w:p>
    <w:p w14:paraId="6D393A5F" w14:textId="3D0AF4AA" w:rsidR="00842C11" w:rsidRPr="008822D7" w:rsidRDefault="00842C11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 w:hint="eastAsia"/>
          <w:kern w:val="2"/>
          <w:sz w:val="24"/>
          <w:szCs w:val="32"/>
        </w:rPr>
        <w:t>1）</w:t>
      </w:r>
      <w:r w:rsidR="003F7C33">
        <w:rPr>
          <w:rFonts w:hAnsi="宋体" w:cstheme="minorBidi" w:hint="eastAsia"/>
          <w:kern w:val="2"/>
          <w:sz w:val="24"/>
          <w:szCs w:val="32"/>
        </w:rPr>
        <w:t>住宅</w:t>
      </w:r>
    </w:p>
    <w:p w14:paraId="5F6BD2EC" w14:textId="3051F2B2" w:rsidR="00842C11" w:rsidRPr="00842C11" w:rsidRDefault="00842C11" w:rsidP="00842C11">
      <w:pPr>
        <w:overflowPunct w:val="0"/>
        <w:spacing w:before="50" w:after="50" w:line="300" w:lineRule="auto"/>
        <w:jc w:val="center"/>
        <w:rPr>
          <w:rFonts w:ascii="Arial" w:eastAsia="宋体" w:hAnsi="Arial" w:cs="Arial"/>
          <w:kern w:val="0"/>
          <w:szCs w:val="28"/>
        </w:rPr>
      </w:pPr>
      <w:r w:rsidRPr="00842C11">
        <w:rPr>
          <w:rFonts w:ascii="Arial" w:eastAsia="宋体" w:hAnsi="Arial" w:cs="Arial"/>
          <w:kern w:val="0"/>
          <w:szCs w:val="28"/>
        </w:rPr>
        <w:t>剩余法测算表（</w:t>
      </w:r>
      <w:r w:rsidR="003F7C33">
        <w:rPr>
          <w:rFonts w:ascii="Arial" w:eastAsia="宋体" w:hAnsi="Arial" w:cs="Arial" w:hint="eastAsia"/>
          <w:kern w:val="0"/>
          <w:szCs w:val="28"/>
        </w:rPr>
        <w:t>住宅</w:t>
      </w:r>
      <w:r w:rsidRPr="00842C11">
        <w:rPr>
          <w:rFonts w:ascii="Arial" w:eastAsia="宋体" w:hAnsi="Arial" w:cs="Arial"/>
          <w:kern w:val="0"/>
          <w:szCs w:val="28"/>
        </w:rPr>
        <w:t>）</w:t>
      </w:r>
    </w:p>
    <w:tbl>
      <w:tblPr>
        <w:tblW w:w="5000" w:type="pct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2459"/>
        <w:gridCol w:w="1620"/>
        <w:gridCol w:w="891"/>
        <w:gridCol w:w="554"/>
        <w:gridCol w:w="775"/>
        <w:gridCol w:w="1484"/>
      </w:tblGrid>
      <w:tr w:rsidR="00842C11" w:rsidRPr="00842C11" w14:paraId="42032B7A" w14:textId="77777777" w:rsidTr="00222F80">
        <w:trPr>
          <w:cantSplit/>
          <w:tblHeader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87A0B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C2E8046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975" w:type="pct"/>
            <w:shd w:val="clear" w:color="auto" w:fill="auto"/>
            <w:noWrap/>
            <w:vAlign w:val="center"/>
            <w:hideMark/>
          </w:tcPr>
          <w:p w14:paraId="7EFBE2C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总额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038EFD3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3553636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0D972D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相关系数</w:t>
            </w:r>
          </w:p>
        </w:tc>
        <w:tc>
          <w:tcPr>
            <w:tcW w:w="894" w:type="pct"/>
          </w:tcPr>
          <w:p w14:paraId="1F6D5FDC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备注</w:t>
            </w:r>
          </w:p>
        </w:tc>
      </w:tr>
      <w:tr w:rsidR="00842C11" w:rsidRPr="00842C11" w14:paraId="66800075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EA7B5C6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2F52739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开发完成后不动产总价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21EE9BB0" w14:textId="00B3F7E2" w:rsidR="00842C11" w:rsidRPr="00842C1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375401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9D76A94" w14:textId="3298C586" w:rsidR="00842C11" w:rsidRPr="00842C1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820A015" w14:textId="0C9C4BEF" w:rsidR="00842C11" w:rsidRPr="00842C1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85318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6AA2A2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59211DC5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5E0FF6B6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579E65F0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2B9956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开发成本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5F0F121" w14:textId="1C39B0D1" w:rsidR="00842C11" w:rsidRPr="00222F80" w:rsidRDefault="00222F80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54589+0.03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842C11"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75F421F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C7895DF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91A7A75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47D8AA74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（1）-（7）之和</w:t>
            </w:r>
          </w:p>
        </w:tc>
      </w:tr>
      <w:tr w:rsidR="00842C11" w:rsidRPr="00842C11" w14:paraId="0A7534E5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5788467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B7C268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房屋建造成本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04DFE5D7" w14:textId="00A6C347" w:rsidR="00842C11" w:rsidRPr="00842C11" w:rsidRDefault="00222F80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22352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C810AD3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D891074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E48F6C7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402FF274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下述5项之和</w:t>
            </w:r>
          </w:p>
        </w:tc>
      </w:tr>
      <w:tr w:rsidR="00842C11" w:rsidRPr="00842C11" w14:paraId="69DDE86A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D7AE61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EDAFE3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建安费用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325669DB" w14:textId="72F48EE2" w:rsidR="00842C11" w:rsidRPr="00842C11" w:rsidRDefault="00222F80" w:rsidP="00842C11">
            <w:pPr>
              <w:widowControl/>
              <w:overflowPunct w:val="0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17600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3827B81F" w14:textId="586CFBE0" w:rsidR="00842C11" w:rsidRPr="00842C1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6CF54A0" w14:textId="05BB51C1" w:rsidR="00842C11" w:rsidRPr="00842C11" w:rsidRDefault="00842C11" w:rsidP="00222F80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</w:t>
            </w:r>
            <w:r w:rsidR="00222F80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AEE766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69407BE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331CB419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12A1DC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7C4102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勘察设计和前期工程费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7ACE4B0" w14:textId="0459E109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CE198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3B6A8A9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17139F5" w14:textId="3C8AE2A3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0FC9285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以建安费用为基数计取</w:t>
            </w:r>
          </w:p>
        </w:tc>
      </w:tr>
      <w:tr w:rsidR="00842C11" w:rsidRPr="00842C11" w14:paraId="79EB98C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F35E28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140E8E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公共配套设施费用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3234C4CF" w14:textId="4378168B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D6F049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70F7CC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83248FA" w14:textId="6FF09414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94" w:type="pct"/>
          </w:tcPr>
          <w:p w14:paraId="4C2671E1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以住宅用房建安费用为基数计取</w:t>
            </w:r>
          </w:p>
        </w:tc>
      </w:tr>
      <w:tr w:rsidR="00842C11" w:rsidRPr="00842C11" w14:paraId="20EA516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E520F6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D25799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红线内市政费用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1B5B4BF" w14:textId="39C07C0C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2E3F401" w14:textId="0729DC5B" w:rsidR="00842C11" w:rsidRPr="00842C1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E14A480" w14:textId="4D58C948" w:rsidR="00842C11" w:rsidRPr="00842C11" w:rsidRDefault="00BF43F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8F7B00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3129854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2E017023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842A6A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FFF34C6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相关税费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C9851F1" w14:textId="195F646C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A8C655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7198052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85C93F8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1.5%</w:t>
            </w:r>
          </w:p>
        </w:tc>
        <w:tc>
          <w:tcPr>
            <w:tcW w:w="894" w:type="pct"/>
            <w:vAlign w:val="center"/>
          </w:tcPr>
          <w:p w14:paraId="52A5643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以建安费用为基数计取</w:t>
            </w:r>
          </w:p>
        </w:tc>
      </w:tr>
      <w:tr w:rsidR="00842C11" w:rsidRPr="00842C11" w14:paraId="27A09097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14:paraId="0837BB5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（2）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14:paraId="5D1BD80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城市基础设施建设费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03B0D9D" w14:textId="34385C07" w:rsidR="00842C11" w:rsidRPr="00842C11" w:rsidRDefault="00030F68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485F2B0" w14:textId="055C0EFE" w:rsidR="00842C11" w:rsidRPr="00842C1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1BC1BAF" w14:textId="3EE5B1DF" w:rsidR="00842C11" w:rsidRPr="00842C11" w:rsidRDefault="00030F68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87EE8F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07BAE2E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50FC05D9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5D7B94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lastRenderedPageBreak/>
              <w:t>（3）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FECFE5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管理费用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51E625FF" w14:textId="5518F6BC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54C920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58B3A69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94CB18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894" w:type="pct"/>
          </w:tcPr>
          <w:p w14:paraId="7E424FC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以“（1）-（2）”为基数计算</w:t>
            </w:r>
          </w:p>
        </w:tc>
      </w:tr>
      <w:tr w:rsidR="00842C11" w:rsidRPr="00842C11" w14:paraId="7C06B331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F792D4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6CAAF4C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销售费用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8B3BA91" w14:textId="05738C1B" w:rsidR="00030F68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11262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209433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864563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C4D6A62" w14:textId="5A8CC7EF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60F6ED9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以1为基数计取</w:t>
            </w:r>
          </w:p>
        </w:tc>
      </w:tr>
      <w:tr w:rsidR="00842C11" w:rsidRPr="00842C11" w14:paraId="2C81DDCB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815551D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56F0C2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购地税费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203327F7" w14:textId="6BB74645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0.029</w:t>
            </w:r>
            <w:r w:rsidR="005E276A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bottom"/>
          </w:tcPr>
          <w:p w14:paraId="6590EDB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3FD890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07DFCA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3.05%</w:t>
            </w:r>
          </w:p>
        </w:tc>
        <w:tc>
          <w:tcPr>
            <w:tcW w:w="894" w:type="pct"/>
          </w:tcPr>
          <w:p w14:paraId="6C524DDC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以估价对象土地价格为基数记取</w:t>
            </w:r>
          </w:p>
        </w:tc>
      </w:tr>
      <w:tr w:rsidR="00842C11" w:rsidRPr="00842C11" w14:paraId="59F4E471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D268BB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（6）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ACBA71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投资利息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7A14CD3" w14:textId="35DEA9AE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507+0.0309 P</w:t>
            </w:r>
            <w:r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20D192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B8A2F6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F4A4F07" w14:textId="0AE4793D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3.00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00C67EA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复利计息。后续开发成本、管理费用及销售费用产生的利息</w:t>
            </w:r>
          </w:p>
        </w:tc>
      </w:tr>
      <w:tr w:rsidR="00842C11" w:rsidRPr="00842C11" w14:paraId="0821BB4F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2ECA9D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C3CFD9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土地购买价格及购地税</w:t>
            </w:r>
            <w:proofErr w:type="gramStart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费产生</w:t>
            </w:r>
            <w:proofErr w:type="gramEnd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AD96B2F" w14:textId="0B821EE2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0.0309 P</w:t>
            </w:r>
            <w:r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1F1E87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8707AA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E1DDC1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6A92430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（1+取得税费率/(1+5%)）×年利率×建设期</w:t>
            </w:r>
          </w:p>
        </w:tc>
      </w:tr>
      <w:tr w:rsidR="00842C11" w:rsidRPr="00842C11" w14:paraId="6E79BE06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11B8AC9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8A806A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（1）-（4）</w:t>
            </w:r>
            <w:proofErr w:type="gramStart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项产生</w:t>
            </w:r>
            <w:proofErr w:type="gramEnd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1131E84" w14:textId="624ADD36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5866122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F490B2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03D9AA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7663D1E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（1）-（2）项×年利率×建设期÷2</w:t>
            </w:r>
          </w:p>
        </w:tc>
      </w:tr>
      <w:tr w:rsidR="00842C11" w:rsidRPr="00842C11" w14:paraId="53D0EC2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F7BE44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（7）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EF1CB5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销售税费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D11B37F" w14:textId="0E3C58CF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20021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B1FFD82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54D2D2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CC94112" w14:textId="5B7D99D3" w:rsidR="00842C11" w:rsidRPr="00842C11" w:rsidRDefault="00842C11" w:rsidP="00222F80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5.</w:t>
            </w:r>
            <w:r w:rsidR="00222F80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4FD259E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以“开发完成后不动产总价/（1+5%）”为基数计取</w:t>
            </w:r>
          </w:p>
        </w:tc>
      </w:tr>
      <w:tr w:rsidR="00842C11" w:rsidRPr="00842C11" w14:paraId="5D8A6F13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1101900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14:paraId="04003FC8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投资利润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23B7B28D" w14:textId="4A7DFCBA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5109+0.1544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94989B6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534F7A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0C0EFC59" w14:textId="4F43F76C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  <w:r w:rsid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35F39AE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16215390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22D41FF8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EDB2E6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土地购买价格及购地税费应计的利润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9911AC8" w14:textId="72F4CF3D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0.1544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BD6F4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462E41D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0D606E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5DD381A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（P+P*取得税费）*利润率</w:t>
            </w:r>
          </w:p>
        </w:tc>
      </w:tr>
      <w:tr w:rsidR="00842C11" w:rsidRPr="00842C11" w14:paraId="6D7F0BCA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178F6CC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44C708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（1）-（4）项及销售费用产生的利息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386806E" w14:textId="7680C561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5109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9F9C038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D50106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5391A352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15335636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0C2B2B6D" w14:textId="77777777" w:rsidTr="00222F80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  <w:hideMark/>
          </w:tcPr>
          <w:p w14:paraId="3DF42ABC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 .土地价格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5B184CEE" w14:textId="68FF4457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259987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4C301C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BDE805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1EF094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4A431FE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1-2-3</w:t>
            </w:r>
          </w:p>
        </w:tc>
      </w:tr>
      <w:tr w:rsidR="00842C11" w:rsidRPr="00842C11" w14:paraId="038B5216" w14:textId="77777777" w:rsidTr="00222F80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</w:tcPr>
          <w:p w14:paraId="6F2DA48D" w14:textId="4DF73A3C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 .楼面</w:t>
            </w:r>
            <w:r w:rsidR="00222F80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地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价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50E98A7" w14:textId="4BE5E7B7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59088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C031A01" w14:textId="07CD5CF5" w:rsidR="00842C11" w:rsidRPr="00842C11" w:rsidRDefault="00BF43F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E09824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DD90AC2" w14:textId="4B72A268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1A7E8A46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土地价格÷建筑规模</w:t>
            </w:r>
          </w:p>
        </w:tc>
      </w:tr>
    </w:tbl>
    <w:p w14:paraId="12D8C161" w14:textId="77777777" w:rsidR="00842C11" w:rsidRPr="00842C11" w:rsidRDefault="00842C11" w:rsidP="00842C11">
      <w:pPr>
        <w:overflowPunct w:val="0"/>
        <w:spacing w:before="50" w:after="50" w:line="300" w:lineRule="auto"/>
        <w:rPr>
          <w:rFonts w:ascii="华文细黑" w:eastAsia="华文细黑" w:hAnsi="华文细黑" w:cs="Arial"/>
          <w:color w:val="000000"/>
          <w:sz w:val="18"/>
          <w:szCs w:val="18"/>
        </w:rPr>
      </w:pPr>
      <w:r w:rsidRPr="00842C11">
        <w:rPr>
          <w:rFonts w:ascii="华文细黑" w:eastAsia="华文细黑" w:hAnsi="华文细黑" w:cs="Arial"/>
          <w:color w:val="000000"/>
          <w:sz w:val="18"/>
          <w:szCs w:val="18"/>
        </w:rPr>
        <w:t>单位：万元、平方米、元/平方米</w:t>
      </w:r>
    </w:p>
    <w:p w14:paraId="3294B977" w14:textId="330FBC92" w:rsidR="00030F68" w:rsidRPr="008822D7" w:rsidRDefault="00030F68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/>
          <w:kern w:val="2"/>
          <w:sz w:val="24"/>
          <w:szCs w:val="32"/>
        </w:rPr>
        <w:t>2</w:t>
      </w:r>
      <w:r w:rsidRPr="008822D7">
        <w:rPr>
          <w:rFonts w:hAnsi="宋体" w:cstheme="minorBidi" w:hint="eastAsia"/>
          <w:kern w:val="2"/>
          <w:sz w:val="24"/>
          <w:szCs w:val="32"/>
        </w:rPr>
        <w:t>）</w:t>
      </w:r>
      <w:r w:rsidR="003F7C33">
        <w:rPr>
          <w:rFonts w:hAnsi="宋体" w:cstheme="minorBidi" w:hint="eastAsia"/>
          <w:kern w:val="2"/>
          <w:sz w:val="24"/>
          <w:szCs w:val="32"/>
        </w:rPr>
        <w:t>工业</w:t>
      </w:r>
    </w:p>
    <w:p w14:paraId="0E9BD77C" w14:textId="18B3EA39" w:rsidR="00030F68" w:rsidRPr="00842C11" w:rsidRDefault="00030F68" w:rsidP="00030F68">
      <w:pPr>
        <w:overflowPunct w:val="0"/>
        <w:spacing w:before="50" w:after="50" w:line="300" w:lineRule="auto"/>
        <w:jc w:val="center"/>
        <w:rPr>
          <w:rFonts w:ascii="Arial" w:eastAsia="宋体" w:hAnsi="Arial" w:cs="Arial"/>
          <w:kern w:val="0"/>
          <w:szCs w:val="28"/>
        </w:rPr>
      </w:pPr>
      <w:r w:rsidRPr="00842C11">
        <w:rPr>
          <w:rFonts w:ascii="Arial" w:eastAsia="宋体" w:hAnsi="Arial" w:cs="Arial"/>
          <w:kern w:val="0"/>
          <w:szCs w:val="28"/>
        </w:rPr>
        <w:t>剩余法测算表（</w:t>
      </w:r>
      <w:r w:rsidR="003F7C33">
        <w:rPr>
          <w:rFonts w:ascii="Arial" w:eastAsia="宋体" w:hAnsi="Arial" w:cs="Arial" w:hint="eastAsia"/>
          <w:kern w:val="0"/>
          <w:szCs w:val="28"/>
        </w:rPr>
        <w:t>工业</w:t>
      </w:r>
      <w:r w:rsidRPr="00842C11">
        <w:rPr>
          <w:rFonts w:ascii="Arial" w:eastAsia="宋体" w:hAnsi="Arial" w:cs="Arial"/>
          <w:kern w:val="0"/>
          <w:szCs w:val="28"/>
        </w:rPr>
        <w:t>）</w:t>
      </w:r>
    </w:p>
    <w:tbl>
      <w:tblPr>
        <w:tblW w:w="5000" w:type="pct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2459"/>
        <w:gridCol w:w="1672"/>
        <w:gridCol w:w="775"/>
        <w:gridCol w:w="671"/>
        <w:gridCol w:w="657"/>
        <w:gridCol w:w="1549"/>
      </w:tblGrid>
      <w:tr w:rsidR="00030F68" w:rsidRPr="00842C11" w14:paraId="21D27595" w14:textId="77777777" w:rsidTr="00BF43F1">
        <w:trPr>
          <w:cantSplit/>
          <w:tblHeader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BA66DF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AD46B6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14:paraId="12281DE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总额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0F696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24B696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216D40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相关系数</w:t>
            </w:r>
          </w:p>
        </w:tc>
        <w:tc>
          <w:tcPr>
            <w:tcW w:w="933" w:type="pct"/>
          </w:tcPr>
          <w:p w14:paraId="50D1F5E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备注</w:t>
            </w:r>
          </w:p>
        </w:tc>
      </w:tr>
      <w:tr w:rsidR="00030F68" w:rsidRPr="00842C11" w14:paraId="5A70D9A2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1F59B7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65AD363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开发完成后不动产总价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56C7A05" w14:textId="7E9F6367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102109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D91F1B9" w14:textId="111AF44E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2F3333B" w14:textId="4E36564C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10057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7011D0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20C2562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4FF227FB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3659FB2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5052F8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开发成本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B872EDB" w14:textId="6AC83D49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28309</w:t>
            </w:r>
            <w:r w:rsidR="00BF43F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+0.0599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030F68" w:rsidRPr="00BF43F1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C1D852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3897A0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C1BA1C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2B1B435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（1）-（7）之和</w:t>
            </w:r>
          </w:p>
        </w:tc>
      </w:tr>
      <w:tr w:rsidR="00030F68" w:rsidRPr="00842C11" w14:paraId="75B8A0A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7F4B2C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17C74E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房屋建造成本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E9CD918" w14:textId="032BDF4E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19083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241432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CB9724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160E79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6DA1DD6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下述5项之和</w:t>
            </w:r>
          </w:p>
        </w:tc>
      </w:tr>
      <w:tr w:rsidR="00030F68" w:rsidRPr="00842C11" w14:paraId="2192AC53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F8CCE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1D9EC2C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建安费用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046328C" w14:textId="0F182B34" w:rsidR="00030F68" w:rsidRPr="00842C11" w:rsidRDefault="001D43EE" w:rsidP="00030F68">
            <w:pPr>
              <w:widowControl/>
              <w:overflowPunct w:val="0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15225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00DE12E" w14:textId="73B0F517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F845DA6" w14:textId="342A6F67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409B58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53849D4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361780E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2E9A57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87DEB13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勘察设计和前期工程费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1B002C3" w14:textId="1DCAE696" w:rsidR="00030F68" w:rsidRPr="00842C11" w:rsidRDefault="001D43EE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866918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1EB06EC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07572C2" w14:textId="325034D8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14C0736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以建安费用为基数计取</w:t>
            </w:r>
          </w:p>
        </w:tc>
      </w:tr>
      <w:tr w:rsidR="00030F68" w:rsidRPr="00842C11" w14:paraId="5E46520E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EB99D0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1CAC1D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公共配套设施费用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A7BC900" w14:textId="17173380" w:rsidR="00030F68" w:rsidRPr="00842C11" w:rsidRDefault="00BF43F1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9DAC1C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84861F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BE2C11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不计取</w:t>
            </w:r>
          </w:p>
        </w:tc>
        <w:tc>
          <w:tcPr>
            <w:tcW w:w="933" w:type="pct"/>
          </w:tcPr>
          <w:p w14:paraId="0516FF2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以住宅用房建安费用为基数计取</w:t>
            </w:r>
          </w:p>
        </w:tc>
      </w:tr>
      <w:tr w:rsidR="00030F68" w:rsidRPr="00842C11" w14:paraId="4E378555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AC6BE5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5813F5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红线内市政费用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A66B7E2" w14:textId="7781A4DE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1A90815" w14:textId="275D40C0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CA7E332" w14:textId="326F57D0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FC3DFA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18674E6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7BC90708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302E56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127338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相关税费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7F081BC" w14:textId="79665704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0ADCBE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6746F7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BE5803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1.5%</w:t>
            </w:r>
          </w:p>
        </w:tc>
        <w:tc>
          <w:tcPr>
            <w:tcW w:w="933" w:type="pct"/>
            <w:vAlign w:val="center"/>
          </w:tcPr>
          <w:p w14:paraId="2E75E46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以建安费用为基数计取</w:t>
            </w:r>
          </w:p>
        </w:tc>
      </w:tr>
      <w:tr w:rsidR="00030F68" w:rsidRPr="00842C11" w14:paraId="2F2D54A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14:paraId="6A1FAB2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（2）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14:paraId="5BF5CAB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城市基础设施建设费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7F6E964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08762A1" w14:textId="22E4089D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4DF8FA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F97F43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4380619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25DFAE3A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9160A6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D99C29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管理费用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ECA3ADF" w14:textId="4E224789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F41631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A8245E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2C1DBF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933" w:type="pct"/>
          </w:tcPr>
          <w:p w14:paraId="022022B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以“（1）-（2）”为基数计算</w:t>
            </w:r>
          </w:p>
        </w:tc>
      </w:tr>
      <w:tr w:rsidR="00030F68" w:rsidRPr="00842C11" w14:paraId="12CD3AD6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12BBD5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lastRenderedPageBreak/>
              <w:t>（4）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60A998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销售费用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FB0A65C" w14:textId="17DDA3B0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3063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6EAFAD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FA6588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0B9F435C" w14:textId="636EAAA6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77E7CDC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以1为基数计取</w:t>
            </w:r>
          </w:p>
        </w:tc>
      </w:tr>
      <w:tr w:rsidR="00030F68" w:rsidRPr="00842C11" w14:paraId="211BDD13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656CF6C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B605E7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购地税费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2B14DB37" w14:textId="77253DA5" w:rsidR="00030F68" w:rsidRPr="00842C11" w:rsidRDefault="00030F68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</w:t>
            </w:r>
            <w:r w:rsidR="00BF43F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29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BF43F1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5A2A9A9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F7A0D0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8532593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3.05%</w:t>
            </w:r>
          </w:p>
        </w:tc>
        <w:tc>
          <w:tcPr>
            <w:tcW w:w="933" w:type="pct"/>
          </w:tcPr>
          <w:p w14:paraId="28D57CA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以估价对象土地价格为基数记取</w:t>
            </w:r>
          </w:p>
        </w:tc>
      </w:tr>
      <w:tr w:rsidR="00030F68" w:rsidRPr="00842C11" w14:paraId="0F657639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4FCE38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（6）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4B2037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投资利息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101B64D2" w14:textId="7B7FCFF2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335</w:t>
            </w:r>
            <w:r w:rsidR="00BF43F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+0.0309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5F78AA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48E212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B998BE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4.75%</w:t>
            </w:r>
          </w:p>
        </w:tc>
        <w:tc>
          <w:tcPr>
            <w:tcW w:w="933" w:type="pct"/>
          </w:tcPr>
          <w:p w14:paraId="2C9947D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复利计息。后续开发成本、管理费用及销售费用产生的利息</w:t>
            </w:r>
          </w:p>
        </w:tc>
      </w:tr>
      <w:tr w:rsidR="00030F68" w:rsidRPr="00842C11" w14:paraId="78C858D9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27512E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06298C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土地购买价格及购地税</w:t>
            </w:r>
            <w:proofErr w:type="gramStart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费产生</w:t>
            </w:r>
            <w:proofErr w:type="gramEnd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18C1657" w14:textId="3826B58A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0.0309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641A75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FBEE85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9E333B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4C4471A3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（1+取得税费率/(1+5%)）×年利率×建设期</w:t>
            </w:r>
          </w:p>
        </w:tc>
      </w:tr>
      <w:tr w:rsidR="00030F68" w:rsidRPr="00842C11" w14:paraId="6680B4CD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905667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F395B0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（1）-（4）</w:t>
            </w:r>
            <w:proofErr w:type="gramStart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项产生</w:t>
            </w:r>
            <w:proofErr w:type="gramEnd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76659C97" w14:textId="63A95DA2" w:rsidR="00030F68" w:rsidRPr="00842C11" w:rsidRDefault="00BF43F1" w:rsidP="001D43EE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  <w:r w:rsidR="001D43EE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3353B8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C39687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169361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1C4D8F5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（1）-（2）项×年利率×建设期÷2</w:t>
            </w:r>
          </w:p>
        </w:tc>
      </w:tr>
      <w:tr w:rsidR="00030F68" w:rsidRPr="00842C11" w14:paraId="3AB4C6E5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2A4FF2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（7）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EDD5D7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销售税费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D57D0C9" w14:textId="4213710B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5446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CF1831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83EDB8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E799407" w14:textId="4597DE2F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5.6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5930A84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以“开发完成后不动产总价/（1+5%）”为基数计取</w:t>
            </w:r>
          </w:p>
        </w:tc>
      </w:tr>
      <w:tr w:rsidR="00030F68" w:rsidRPr="00842C11" w14:paraId="227475CE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443F18E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14:paraId="43AA59D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投资利润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1F65859" w14:textId="1961F542" w:rsidR="00030F68" w:rsidRPr="00842C11" w:rsidRDefault="00BF43F1" w:rsidP="001D43EE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  <w:r w:rsidR="001D43EE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352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+0.0617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BF43F1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2A847A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CD13B6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1E12D5E" w14:textId="582320DB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1696638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3C65F082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68D811D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430385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土地购买价格及购地税费应计的利润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8ED80E0" w14:textId="28A967B2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0.0617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Pr="00BF43F1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A75D81C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5F06FA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3F75BF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238EE7F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（P+P*取得税费）*利润率</w:t>
            </w:r>
          </w:p>
        </w:tc>
      </w:tr>
      <w:tr w:rsidR="00030F68" w:rsidRPr="00842C11" w14:paraId="741661DB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2DC875C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E5B493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（1）-（4）项及销售费用产生的利息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F153288" w14:textId="1EE2B716" w:rsidR="00030F68" w:rsidRPr="00842C11" w:rsidRDefault="00BF43F1" w:rsidP="001D43EE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  <w:r w:rsidR="001D43EE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B4033A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90A092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010EBAB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2D1E079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1CF5C397" w14:textId="77777777" w:rsidTr="00BF43F1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  <w:hideMark/>
          </w:tcPr>
          <w:p w14:paraId="19B4FBC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 .土地价格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F2B7155" w14:textId="613BB9EE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64593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0A7AFA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C09A6F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956B4F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7E68FE6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1-2-3</w:t>
            </w:r>
          </w:p>
        </w:tc>
      </w:tr>
      <w:tr w:rsidR="00030F68" w:rsidRPr="00842C11" w14:paraId="6BC9DEFE" w14:textId="77777777" w:rsidTr="00BF43F1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</w:tcPr>
          <w:p w14:paraId="1B5D34A0" w14:textId="5365C8E6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 .楼面</w:t>
            </w:r>
            <w:r w:rsidR="00BF43F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地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价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1B89D83" w14:textId="2E6C7564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6364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27F9E0F" w14:textId="1141D176" w:rsidR="00030F68" w:rsidRPr="00842C11" w:rsidRDefault="001D43EE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101500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4DF556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6DC33DA" w14:textId="53A9B818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38BDFE1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土地价格÷建筑规模</w:t>
            </w:r>
          </w:p>
        </w:tc>
      </w:tr>
    </w:tbl>
    <w:p w14:paraId="3A7CB547" w14:textId="77777777" w:rsidR="00030F68" w:rsidRPr="00842C11" w:rsidRDefault="00030F68" w:rsidP="00030F68">
      <w:pPr>
        <w:overflowPunct w:val="0"/>
        <w:spacing w:before="50" w:after="50" w:line="300" w:lineRule="auto"/>
        <w:rPr>
          <w:rFonts w:ascii="华文细黑" w:eastAsia="华文细黑" w:hAnsi="华文细黑" w:cs="Arial"/>
          <w:color w:val="000000"/>
          <w:sz w:val="18"/>
          <w:szCs w:val="18"/>
        </w:rPr>
      </w:pPr>
      <w:r w:rsidRPr="00842C11">
        <w:rPr>
          <w:rFonts w:ascii="华文细黑" w:eastAsia="华文细黑" w:hAnsi="华文细黑" w:cs="Arial"/>
          <w:color w:val="000000"/>
          <w:sz w:val="18"/>
          <w:szCs w:val="18"/>
        </w:rPr>
        <w:t>单位：万元、平方米、元/平方米</w:t>
      </w:r>
    </w:p>
    <w:p w14:paraId="5AAFF125" w14:textId="3C8160D3" w:rsidR="00B13FC3" w:rsidRDefault="00030F68" w:rsidP="00842C11">
      <w:pPr>
        <w:spacing w:line="480" w:lineRule="auto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（3）估价结果</w:t>
      </w:r>
    </w:p>
    <w:tbl>
      <w:tblPr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09"/>
        <w:gridCol w:w="2077"/>
        <w:gridCol w:w="1759"/>
        <w:gridCol w:w="1258"/>
        <w:gridCol w:w="2293"/>
      </w:tblGrid>
      <w:tr w:rsidR="00030F68" w:rsidRPr="006F16DB" w14:paraId="75C08068" w14:textId="77777777" w:rsidTr="008822D7">
        <w:trPr>
          <w:cantSplit/>
          <w:trHeight w:val="453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8F5C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240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方法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565" w14:textId="5B234F7F" w:rsidR="00030F68" w:rsidRPr="00030F68" w:rsidRDefault="00BF43F1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楼面地价</w:t>
            </w:r>
          </w:p>
          <w:p w14:paraId="59E70CDB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（元/平方米）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0D3F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权重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DBA3" w14:textId="561F2A24" w:rsidR="00030F68" w:rsidRPr="00030F68" w:rsidRDefault="00030F68" w:rsidP="00BF43F1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权重后</w:t>
            </w:r>
            <w:r w:rsidR="00BF43F1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楼面地价</w:t>
            </w:r>
          </w:p>
          <w:p w14:paraId="03ABED6F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（元/平方米）</w:t>
            </w:r>
          </w:p>
        </w:tc>
      </w:tr>
      <w:tr w:rsidR="00030F68" w:rsidRPr="006F16DB" w14:paraId="44667416" w14:textId="77777777" w:rsidTr="00742A0D">
        <w:trPr>
          <w:cantSplit/>
          <w:jc w:val="center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575B" w14:textId="3B91142B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BE8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基准地价系数修正法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B8EB" w14:textId="4A061FC6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18041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01B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30.00%</w:t>
            </w:r>
          </w:p>
        </w:tc>
        <w:tc>
          <w:tcPr>
            <w:tcW w:w="1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0277" w14:textId="416182B6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46774</w:t>
            </w:r>
          </w:p>
        </w:tc>
      </w:tr>
      <w:tr w:rsidR="00030F68" w:rsidRPr="006F16DB" w14:paraId="2A7641B6" w14:textId="77777777" w:rsidTr="00742A0D">
        <w:trPr>
          <w:cantSplit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634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23EF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剩余法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66C3" w14:textId="1CDE8551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59088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FA2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70.00%</w:t>
            </w:r>
          </w:p>
        </w:tc>
        <w:tc>
          <w:tcPr>
            <w:tcW w:w="1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DEA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6F16DB" w14:paraId="293A4503" w14:textId="77777777" w:rsidTr="00742A0D">
        <w:trPr>
          <w:cantSplit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595" w14:textId="18EFCA90" w:rsidR="00030F68" w:rsidRPr="00030F68" w:rsidRDefault="00BF43F1" w:rsidP="00030F68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工业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FD07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基准地价系数修正法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BC5A" w14:textId="39571CE3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951F" w14:textId="54E0D039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</w:t>
            </w:r>
            <w:r w:rsidR="00030F68" w:rsidRPr="00030F68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0</w:t>
            </w:r>
            <w:r w:rsidR="00030F68"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.00%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A98" w14:textId="36C9D0C3" w:rsidR="00030F68" w:rsidRPr="00030F68" w:rsidRDefault="001D43EE" w:rsidP="00030F68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6697</w:t>
            </w:r>
          </w:p>
        </w:tc>
      </w:tr>
      <w:tr w:rsidR="00030F68" w:rsidRPr="006F16DB" w14:paraId="4252A684" w14:textId="77777777" w:rsidTr="00742A0D">
        <w:trPr>
          <w:cantSplit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BFB" w14:textId="77777777" w:rsidR="00030F68" w:rsidRPr="006F16DB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887F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剩余法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4195" w14:textId="7EE08F96" w:rsidR="00030F68" w:rsidRPr="00030F68" w:rsidRDefault="001D43EE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6364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DBFA" w14:textId="6D200D09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</w:t>
            </w:r>
            <w:r w:rsidR="00030F68" w:rsidRPr="00030F68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0</w:t>
            </w:r>
            <w:r w:rsidR="00030F68"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.00%</w:t>
            </w: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E08F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</w:tbl>
    <w:p w14:paraId="04CF405F" w14:textId="5AA02718" w:rsidR="00030F68" w:rsidRDefault="00DB3523" w:rsidP="008822D7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熟地总价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817"/>
        <w:gridCol w:w="2203"/>
        <w:gridCol w:w="2333"/>
        <w:gridCol w:w="1943"/>
      </w:tblGrid>
      <w:tr w:rsidR="00DB3523" w:rsidRPr="006F16DB" w14:paraId="3F67136B" w14:textId="77777777" w:rsidTr="008822D7">
        <w:trPr>
          <w:cantSplit/>
          <w:trHeight w:val="303"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593BCD2F" w14:textId="77777777" w:rsidR="00DB3523" w:rsidRPr="009859A2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1328" w:type="pct"/>
            <w:shd w:val="clear" w:color="auto" w:fill="auto"/>
            <w:vAlign w:val="center"/>
            <w:hideMark/>
          </w:tcPr>
          <w:p w14:paraId="663B64A8" w14:textId="77777777" w:rsidR="00DB3523" w:rsidRPr="009859A2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出让建筑面积（㎡）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14:paraId="0F91600B" w14:textId="77777777" w:rsidR="00DB3523" w:rsidRPr="009859A2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熟地价楼面价（元/㎡）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571E45C2" w14:textId="77777777" w:rsidR="00DB3523" w:rsidRPr="009859A2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熟地总价（万元）</w:t>
            </w:r>
          </w:p>
        </w:tc>
      </w:tr>
      <w:tr w:rsidR="00DB3523" w:rsidRPr="006F16DB" w14:paraId="5DA10E8B" w14:textId="77777777" w:rsidTr="00742A0D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</w:tcPr>
          <w:p w14:paraId="7060D7F2" w14:textId="2C2B5A73" w:rsidR="00DB3523" w:rsidRPr="009859A2" w:rsidRDefault="00BF43F1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4E494437" w14:textId="0C51FA20" w:rsidR="00DB3523" w:rsidRPr="009859A2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BCAE1FF" w14:textId="262F3B55" w:rsidR="00DB3523" w:rsidRPr="009859A2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46774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614CE2AE" w14:textId="52523990" w:rsidR="00DB3523" w:rsidRPr="009859A2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205806</w:t>
            </w:r>
          </w:p>
        </w:tc>
      </w:tr>
      <w:tr w:rsidR="00DB3523" w:rsidRPr="006F16DB" w14:paraId="2C652AAF" w14:textId="77777777" w:rsidTr="00BF43F1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06B7C277" w14:textId="3FBD6051" w:rsidR="00DB3523" w:rsidRPr="009859A2" w:rsidRDefault="00BF43F1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工业</w:t>
            </w:r>
          </w:p>
        </w:tc>
        <w:tc>
          <w:tcPr>
            <w:tcW w:w="1328" w:type="pct"/>
            <w:shd w:val="clear" w:color="auto" w:fill="auto"/>
            <w:vAlign w:val="center"/>
            <w:hideMark/>
          </w:tcPr>
          <w:p w14:paraId="52AC0C25" w14:textId="0A0B9BC2" w:rsidR="00DB3523" w:rsidRPr="009859A2" w:rsidRDefault="001D43EE" w:rsidP="009859A2">
            <w:pPr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101500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14:paraId="2D5ADB22" w14:textId="17FF262A" w:rsidR="00DB3523" w:rsidRPr="009859A2" w:rsidRDefault="001D43EE" w:rsidP="009859A2">
            <w:pPr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6697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11956C37" w14:textId="4B33C37C" w:rsidR="00DB3523" w:rsidRPr="009859A2" w:rsidRDefault="001D43EE" w:rsidP="009859A2">
            <w:pPr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67975</w:t>
            </w:r>
          </w:p>
        </w:tc>
      </w:tr>
      <w:tr w:rsidR="00DB3523" w:rsidRPr="006F16DB" w14:paraId="6A962680" w14:textId="77777777" w:rsidTr="00742A0D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</w:tcPr>
          <w:p w14:paraId="466CC2F5" w14:textId="77777777" w:rsidR="00DB3523" w:rsidRPr="009859A2" w:rsidRDefault="00DB3523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5580127C" w14:textId="012021D7" w:rsidR="00DB3523" w:rsidRPr="009859A2" w:rsidRDefault="001D43EE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145500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2D5204F3" w14:textId="77777777" w:rsidR="00DB3523" w:rsidRPr="009859A2" w:rsidRDefault="00DB3523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3E94B951" w14:textId="74AD1148" w:rsidR="00DB3523" w:rsidRPr="009859A2" w:rsidRDefault="001D43EE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273781</w:t>
            </w:r>
          </w:p>
        </w:tc>
      </w:tr>
    </w:tbl>
    <w:p w14:paraId="48F424FD" w14:textId="77777777" w:rsidR="00DB3523" w:rsidRPr="00842C11" w:rsidRDefault="00DB3523" w:rsidP="00842C11">
      <w:pPr>
        <w:spacing w:line="480" w:lineRule="auto"/>
        <w:rPr>
          <w:rFonts w:ascii="宋体" w:eastAsia="宋体" w:hAnsi="宋体"/>
          <w:sz w:val="24"/>
          <w:szCs w:val="32"/>
        </w:rPr>
      </w:pPr>
    </w:p>
    <w:p w14:paraId="08931F34" w14:textId="583FA932" w:rsidR="005F7F8D" w:rsidRPr="005F7F8D" w:rsidRDefault="00DE1DC8" w:rsidP="005F7F8D">
      <w:pPr>
        <w:pStyle w:val="2"/>
      </w:pPr>
      <w:bookmarkStart w:id="6" w:name="_Toc149909381"/>
      <w:r w:rsidRPr="008362BE">
        <w:rPr>
          <w:rFonts w:hint="eastAsia"/>
        </w:rPr>
        <w:t>三</w:t>
      </w:r>
      <w:r w:rsidR="0066628E" w:rsidRPr="008362BE">
        <w:rPr>
          <w:rFonts w:hint="eastAsia"/>
        </w:rPr>
        <w:t>、</w:t>
      </w:r>
      <w:r w:rsidR="00A96EB6">
        <w:rPr>
          <w:rFonts w:hint="eastAsia"/>
        </w:rPr>
        <w:t>经济分析</w:t>
      </w:r>
      <w:r w:rsidR="00FF4FAE">
        <w:rPr>
          <w:rFonts w:hint="eastAsia"/>
        </w:rPr>
        <w:t>建议</w:t>
      </w:r>
      <w:bookmarkEnd w:id="6"/>
    </w:p>
    <w:p w14:paraId="509F8632" w14:textId="5B2C1450" w:rsidR="00C90C07" w:rsidRPr="00E737D6" w:rsidRDefault="00945CC7" w:rsidP="00691622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E737D6">
        <w:rPr>
          <w:rFonts w:ascii="宋体" w:eastAsia="宋体" w:hAnsi="宋体" w:hint="eastAsia"/>
          <w:sz w:val="24"/>
          <w:szCs w:val="32"/>
        </w:rPr>
        <w:t>该项目地处北京市</w:t>
      </w:r>
      <w:r w:rsidR="00E4738D">
        <w:rPr>
          <w:rFonts w:ascii="宋体" w:eastAsia="宋体" w:hAnsi="宋体" w:hint="eastAsia"/>
          <w:sz w:val="24"/>
          <w:szCs w:val="32"/>
        </w:rPr>
        <w:t>海淀</w:t>
      </w:r>
      <w:r w:rsidRPr="00E737D6">
        <w:rPr>
          <w:rFonts w:ascii="宋体" w:eastAsia="宋体" w:hAnsi="宋体" w:hint="eastAsia"/>
          <w:sz w:val="24"/>
          <w:szCs w:val="32"/>
        </w:rPr>
        <w:t>区</w:t>
      </w:r>
      <w:r w:rsidR="00E4738D" w:rsidRPr="00E4738D">
        <w:rPr>
          <w:rFonts w:ascii="宋体" w:eastAsia="宋体" w:hAnsi="宋体" w:hint="eastAsia"/>
          <w:sz w:val="24"/>
          <w:szCs w:val="32"/>
        </w:rPr>
        <w:t>西三旗</w:t>
      </w:r>
      <w:r w:rsidR="00E4738D">
        <w:rPr>
          <w:rFonts w:ascii="宋体" w:eastAsia="宋体" w:hAnsi="宋体" w:hint="eastAsia"/>
          <w:sz w:val="24"/>
          <w:szCs w:val="32"/>
        </w:rPr>
        <w:t>街道</w:t>
      </w:r>
      <w:r w:rsidR="00E4738D" w:rsidRPr="00E4738D">
        <w:rPr>
          <w:rFonts w:ascii="宋体" w:eastAsia="宋体" w:hAnsi="宋体" w:hint="eastAsia"/>
          <w:sz w:val="24"/>
          <w:szCs w:val="32"/>
        </w:rPr>
        <w:t>，靠近</w:t>
      </w:r>
      <w:proofErr w:type="gramStart"/>
      <w:r w:rsidR="00E4738D" w:rsidRPr="00E4738D">
        <w:rPr>
          <w:rFonts w:ascii="宋体" w:eastAsia="宋体" w:hAnsi="宋体" w:hint="eastAsia"/>
          <w:sz w:val="24"/>
          <w:szCs w:val="32"/>
        </w:rPr>
        <w:t>昌平区</w:t>
      </w:r>
      <w:proofErr w:type="gramEnd"/>
      <w:r w:rsidR="00E4738D" w:rsidRPr="00E4738D">
        <w:rPr>
          <w:rFonts w:ascii="宋体" w:eastAsia="宋体" w:hAnsi="宋体" w:hint="eastAsia"/>
          <w:sz w:val="24"/>
          <w:szCs w:val="32"/>
        </w:rPr>
        <w:t>与朝阳区边界</w:t>
      </w:r>
      <w:r w:rsidR="00E4738D">
        <w:rPr>
          <w:rFonts w:ascii="宋体" w:eastAsia="宋体" w:hAnsi="宋体" w:hint="eastAsia"/>
          <w:sz w:val="24"/>
          <w:szCs w:val="32"/>
        </w:rPr>
        <w:t>。</w:t>
      </w:r>
      <w:r w:rsidR="00E4738D" w:rsidRPr="00E4738D">
        <w:rPr>
          <w:rFonts w:ascii="宋体" w:eastAsia="宋体" w:hAnsi="宋体" w:hint="eastAsia"/>
          <w:sz w:val="24"/>
          <w:szCs w:val="32"/>
        </w:rPr>
        <w:t>林萃路、安立路、</w:t>
      </w:r>
      <w:proofErr w:type="gramStart"/>
      <w:r w:rsidR="00E4738D" w:rsidRPr="00E4738D">
        <w:rPr>
          <w:rFonts w:ascii="宋体" w:eastAsia="宋体" w:hAnsi="宋体" w:hint="eastAsia"/>
          <w:sz w:val="24"/>
          <w:szCs w:val="32"/>
        </w:rPr>
        <w:t>京藏高速</w:t>
      </w:r>
      <w:proofErr w:type="gramEnd"/>
      <w:r w:rsidR="00E4738D" w:rsidRPr="00E4738D">
        <w:rPr>
          <w:rFonts w:ascii="宋体" w:eastAsia="宋体" w:hAnsi="宋体" w:hint="eastAsia"/>
          <w:sz w:val="24"/>
          <w:szCs w:val="32"/>
        </w:rPr>
        <w:t>直达北京中心城区。配套较齐全，回龙观、清河、奥运村三大商圈环绕</w:t>
      </w:r>
      <w:r w:rsidR="00E4738D">
        <w:rPr>
          <w:rFonts w:ascii="宋体" w:eastAsia="宋体" w:hAnsi="宋体" w:hint="eastAsia"/>
          <w:sz w:val="24"/>
          <w:szCs w:val="32"/>
        </w:rPr>
        <w:t>，</w:t>
      </w:r>
      <w:r w:rsidR="00E4738D" w:rsidRPr="00E4738D">
        <w:rPr>
          <w:rFonts w:ascii="宋体" w:eastAsia="宋体" w:hAnsi="宋体" w:hint="eastAsia"/>
          <w:sz w:val="24"/>
          <w:szCs w:val="32"/>
        </w:rPr>
        <w:t>该区域内无重污染型企业，绿化条件较好，卫生条件良好，整体环境状况良好</w:t>
      </w:r>
      <w:r w:rsidR="00CF74E9" w:rsidRPr="00E737D6">
        <w:rPr>
          <w:rFonts w:ascii="宋体" w:eastAsia="宋体" w:hAnsi="宋体" w:hint="eastAsia"/>
          <w:sz w:val="24"/>
          <w:szCs w:val="32"/>
        </w:rPr>
        <w:t>。</w:t>
      </w:r>
      <w:r w:rsidR="00691622" w:rsidRPr="004C649D">
        <w:rPr>
          <w:rFonts w:ascii="宋体" w:eastAsia="宋体" w:hAnsi="宋体" w:hint="eastAsia"/>
          <w:sz w:val="24"/>
          <w:szCs w:val="32"/>
        </w:rPr>
        <w:t>总体评价影响</w:t>
      </w:r>
      <w:r w:rsidR="00E4738D">
        <w:rPr>
          <w:rFonts w:ascii="宋体" w:eastAsia="宋体" w:hAnsi="宋体" w:hint="eastAsia"/>
          <w:sz w:val="24"/>
          <w:szCs w:val="32"/>
        </w:rPr>
        <w:t>该地块</w:t>
      </w:r>
      <w:r w:rsidR="00691622" w:rsidRPr="004C649D">
        <w:rPr>
          <w:rFonts w:ascii="宋体" w:eastAsia="宋体" w:hAnsi="宋体" w:hint="eastAsia"/>
          <w:sz w:val="24"/>
          <w:szCs w:val="32"/>
        </w:rPr>
        <w:t>的区位条件较好。</w:t>
      </w:r>
    </w:p>
    <w:p w14:paraId="059CC8D6" w14:textId="11BA95ED" w:rsidR="00250044" w:rsidRPr="00CD4CC0" w:rsidRDefault="00C90C07" w:rsidP="00CD4CC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033D2C">
        <w:rPr>
          <w:rFonts w:ascii="宋体" w:eastAsia="宋体" w:hAnsi="宋体" w:hint="eastAsia"/>
          <w:sz w:val="24"/>
          <w:szCs w:val="32"/>
        </w:rPr>
        <w:t>经</w:t>
      </w:r>
      <w:r w:rsidR="00691622">
        <w:rPr>
          <w:rFonts w:ascii="宋体" w:eastAsia="宋体" w:hAnsi="宋体" w:hint="eastAsia"/>
          <w:sz w:val="24"/>
          <w:szCs w:val="32"/>
        </w:rPr>
        <w:t>测算</w:t>
      </w:r>
      <w:r w:rsidRPr="00033D2C">
        <w:rPr>
          <w:rFonts w:ascii="宋体" w:eastAsia="宋体" w:hAnsi="宋体" w:hint="eastAsia"/>
          <w:sz w:val="24"/>
          <w:szCs w:val="32"/>
        </w:rPr>
        <w:t>，</w:t>
      </w:r>
      <w:r w:rsidR="00691622">
        <w:rPr>
          <w:rFonts w:ascii="宋体" w:eastAsia="宋体" w:hAnsi="宋体" w:hint="eastAsia"/>
          <w:sz w:val="24"/>
          <w:szCs w:val="32"/>
        </w:rPr>
        <w:t>规划地块在拟规划条件下</w:t>
      </w:r>
      <w:r w:rsidR="00CD4CC0">
        <w:rPr>
          <w:rFonts w:ascii="宋体" w:eastAsia="宋体" w:hAnsi="宋体" w:hint="eastAsia"/>
          <w:sz w:val="24"/>
          <w:szCs w:val="32"/>
        </w:rPr>
        <w:t>的</w:t>
      </w:r>
      <w:r w:rsidR="00E4738D">
        <w:rPr>
          <w:rFonts w:ascii="宋体" w:eastAsia="宋体" w:hAnsi="宋体" w:hint="eastAsia"/>
          <w:sz w:val="24"/>
          <w:szCs w:val="32"/>
        </w:rPr>
        <w:t>出让</w:t>
      </w:r>
      <w:r w:rsidR="00691622">
        <w:rPr>
          <w:rFonts w:ascii="宋体" w:eastAsia="宋体" w:hAnsi="宋体" w:hint="eastAsia"/>
          <w:sz w:val="24"/>
          <w:szCs w:val="32"/>
        </w:rPr>
        <w:t>熟地总价</w:t>
      </w:r>
      <w:r w:rsidR="00E4738D">
        <w:rPr>
          <w:rFonts w:ascii="宋体" w:eastAsia="宋体" w:hAnsi="宋体" w:hint="eastAsia"/>
          <w:sz w:val="24"/>
          <w:szCs w:val="32"/>
        </w:rPr>
        <w:t>约</w:t>
      </w:r>
      <w:r w:rsidR="00691622">
        <w:rPr>
          <w:rFonts w:ascii="宋体" w:eastAsia="宋体" w:hAnsi="宋体" w:hint="eastAsia"/>
          <w:sz w:val="24"/>
          <w:szCs w:val="32"/>
        </w:rPr>
        <w:t>为</w:t>
      </w:r>
      <w:r w:rsidR="001D43EE">
        <w:rPr>
          <w:rFonts w:ascii="宋体" w:eastAsia="宋体" w:hAnsi="宋体"/>
          <w:sz w:val="24"/>
          <w:szCs w:val="32"/>
        </w:rPr>
        <w:t>273781</w:t>
      </w:r>
      <w:r w:rsidR="00691622">
        <w:rPr>
          <w:rFonts w:ascii="宋体" w:eastAsia="宋体" w:hAnsi="宋体" w:hint="eastAsia"/>
          <w:sz w:val="24"/>
          <w:szCs w:val="32"/>
        </w:rPr>
        <w:t>万元，</w:t>
      </w:r>
      <w:r w:rsidR="00CD4CC0">
        <w:rPr>
          <w:rFonts w:ascii="宋体" w:eastAsia="宋体" w:hAnsi="宋体" w:hint="eastAsia"/>
          <w:sz w:val="24"/>
          <w:szCs w:val="32"/>
        </w:rPr>
        <w:t>预计</w:t>
      </w:r>
      <w:r w:rsidRPr="00033D2C">
        <w:rPr>
          <w:rFonts w:ascii="宋体" w:eastAsia="宋体" w:hAnsi="宋体" w:hint="eastAsia"/>
          <w:sz w:val="24"/>
          <w:szCs w:val="32"/>
        </w:rPr>
        <w:t>项目</w:t>
      </w:r>
      <w:r w:rsidR="002D1327">
        <w:rPr>
          <w:rFonts w:ascii="宋体" w:eastAsia="宋体" w:hAnsi="宋体" w:hint="eastAsia"/>
          <w:sz w:val="24"/>
          <w:szCs w:val="32"/>
        </w:rPr>
        <w:t>土地</w:t>
      </w:r>
      <w:r w:rsidRPr="00033D2C">
        <w:rPr>
          <w:rFonts w:ascii="宋体" w:eastAsia="宋体" w:hAnsi="宋体" w:hint="eastAsia"/>
          <w:sz w:val="24"/>
          <w:szCs w:val="32"/>
        </w:rPr>
        <w:t>收购</w:t>
      </w:r>
      <w:r w:rsidR="002D1327">
        <w:rPr>
          <w:rFonts w:ascii="宋体" w:eastAsia="宋体" w:hAnsi="宋体" w:hint="eastAsia"/>
          <w:sz w:val="24"/>
          <w:szCs w:val="32"/>
        </w:rPr>
        <w:t>补偿价格为</w:t>
      </w:r>
      <w:r w:rsidR="001D43EE">
        <w:rPr>
          <w:rFonts w:ascii="宋体" w:eastAsia="宋体" w:hAnsi="宋体"/>
          <w:sz w:val="24"/>
          <w:szCs w:val="32"/>
        </w:rPr>
        <w:t>178260</w:t>
      </w:r>
      <w:bookmarkStart w:id="7" w:name="_GoBack"/>
      <w:bookmarkEnd w:id="7"/>
      <w:r w:rsidR="002D1327">
        <w:rPr>
          <w:rFonts w:ascii="宋体" w:eastAsia="宋体" w:hAnsi="宋体" w:hint="eastAsia"/>
          <w:sz w:val="24"/>
          <w:szCs w:val="32"/>
        </w:rPr>
        <w:t>万元</w:t>
      </w:r>
      <w:r w:rsidRPr="00033D2C">
        <w:rPr>
          <w:rFonts w:ascii="宋体" w:eastAsia="宋体" w:hAnsi="宋体" w:hint="eastAsia"/>
          <w:sz w:val="24"/>
          <w:szCs w:val="32"/>
        </w:rPr>
        <w:t>，收购成本低于</w:t>
      </w:r>
      <w:r w:rsidR="00691622">
        <w:rPr>
          <w:rFonts w:ascii="宋体" w:eastAsia="宋体" w:hAnsi="宋体" w:hint="eastAsia"/>
          <w:sz w:val="24"/>
          <w:szCs w:val="32"/>
        </w:rPr>
        <w:t>拟规划条件下的</w:t>
      </w:r>
      <w:r w:rsidR="002D1327">
        <w:rPr>
          <w:rFonts w:ascii="宋体" w:eastAsia="宋体" w:hAnsi="宋体" w:hint="eastAsia"/>
          <w:sz w:val="24"/>
          <w:szCs w:val="32"/>
        </w:rPr>
        <w:t>出让价格</w:t>
      </w:r>
      <w:r w:rsidRPr="00033D2C">
        <w:rPr>
          <w:rFonts w:ascii="宋体" w:eastAsia="宋体" w:hAnsi="宋体" w:hint="eastAsia"/>
          <w:sz w:val="24"/>
          <w:szCs w:val="32"/>
        </w:rPr>
        <w:t>。</w:t>
      </w:r>
      <w:r w:rsidR="00691622" w:rsidRPr="00033D2C">
        <w:rPr>
          <w:rFonts w:ascii="宋体" w:eastAsia="宋体" w:hAnsi="宋体" w:hint="eastAsia"/>
          <w:sz w:val="24"/>
          <w:szCs w:val="32"/>
        </w:rPr>
        <w:t>从经济收入和费用支出</w:t>
      </w:r>
      <w:r w:rsidR="00CD4CC0">
        <w:rPr>
          <w:rFonts w:ascii="宋体" w:eastAsia="宋体" w:hAnsi="宋体" w:hint="eastAsia"/>
          <w:sz w:val="24"/>
          <w:szCs w:val="32"/>
        </w:rPr>
        <w:t>角度分析</w:t>
      </w:r>
      <w:r w:rsidR="00691622" w:rsidRPr="00033D2C">
        <w:rPr>
          <w:rFonts w:ascii="宋体" w:eastAsia="宋体" w:hAnsi="宋体" w:hint="eastAsia"/>
          <w:sz w:val="24"/>
          <w:szCs w:val="32"/>
        </w:rPr>
        <w:t>，总体收入大于支出，能够实现资金平衡。</w:t>
      </w:r>
      <w:r w:rsidR="00691622">
        <w:rPr>
          <w:rFonts w:ascii="宋体" w:eastAsia="宋体" w:hAnsi="宋体" w:hint="eastAsia"/>
          <w:sz w:val="24"/>
          <w:szCs w:val="32"/>
        </w:rPr>
        <w:t>从</w:t>
      </w:r>
      <w:r w:rsidR="00CD4CC0">
        <w:rPr>
          <w:rFonts w:ascii="宋体" w:eastAsia="宋体" w:hAnsi="宋体" w:hint="eastAsia"/>
          <w:sz w:val="24"/>
          <w:szCs w:val="32"/>
        </w:rPr>
        <w:t>建成后</w:t>
      </w:r>
      <w:r w:rsidR="00691622">
        <w:rPr>
          <w:rFonts w:ascii="宋体" w:eastAsia="宋体" w:hAnsi="宋体" w:hint="eastAsia"/>
          <w:sz w:val="24"/>
          <w:szCs w:val="32"/>
        </w:rPr>
        <w:t>收益</w:t>
      </w:r>
      <w:r w:rsidR="00CD4CC0">
        <w:rPr>
          <w:rFonts w:ascii="宋体" w:eastAsia="宋体" w:hAnsi="宋体" w:hint="eastAsia"/>
          <w:sz w:val="24"/>
          <w:szCs w:val="32"/>
        </w:rPr>
        <w:t>角度分析</w:t>
      </w:r>
      <w:r w:rsidR="00691622">
        <w:rPr>
          <w:rFonts w:ascii="宋体" w:eastAsia="宋体" w:hAnsi="宋体" w:hint="eastAsia"/>
          <w:sz w:val="24"/>
          <w:szCs w:val="32"/>
        </w:rPr>
        <w:t>，规划地块拟规划用途为商业，</w:t>
      </w:r>
      <w:r w:rsidRPr="00033D2C">
        <w:rPr>
          <w:rFonts w:ascii="宋体" w:eastAsia="宋体" w:hAnsi="宋体" w:hint="eastAsia"/>
          <w:sz w:val="24"/>
          <w:szCs w:val="32"/>
        </w:rPr>
        <w:t>近年来项目周边</w:t>
      </w:r>
      <w:r w:rsidR="00691622">
        <w:rPr>
          <w:rFonts w:ascii="宋体" w:eastAsia="宋体" w:hAnsi="宋体" w:hint="eastAsia"/>
          <w:sz w:val="24"/>
          <w:szCs w:val="32"/>
        </w:rPr>
        <w:t>商业</w:t>
      </w:r>
      <w:r w:rsidRPr="00033D2C">
        <w:rPr>
          <w:rFonts w:ascii="宋体" w:eastAsia="宋体" w:hAnsi="宋体" w:hint="eastAsia"/>
          <w:sz w:val="24"/>
          <w:szCs w:val="32"/>
        </w:rPr>
        <w:t>市场租金水平</w:t>
      </w:r>
      <w:r w:rsidR="00691622">
        <w:rPr>
          <w:rFonts w:ascii="宋体" w:eastAsia="宋体" w:hAnsi="宋体" w:hint="eastAsia"/>
          <w:sz w:val="24"/>
          <w:szCs w:val="32"/>
        </w:rPr>
        <w:t>保持稳定</w:t>
      </w:r>
      <w:r w:rsidR="00CD4CC0">
        <w:rPr>
          <w:rFonts w:ascii="宋体" w:eastAsia="宋体" w:hAnsi="宋体" w:hint="eastAsia"/>
          <w:sz w:val="24"/>
          <w:szCs w:val="32"/>
        </w:rPr>
        <w:t>微</w:t>
      </w:r>
      <w:r w:rsidR="00691622">
        <w:rPr>
          <w:rFonts w:ascii="宋体" w:eastAsia="宋体" w:hAnsi="宋体" w:hint="eastAsia"/>
          <w:sz w:val="24"/>
          <w:szCs w:val="32"/>
        </w:rPr>
        <w:t>涨的趋势</w:t>
      </w:r>
      <w:r w:rsidRPr="00033D2C">
        <w:rPr>
          <w:rFonts w:ascii="宋体" w:eastAsia="宋体" w:hAnsi="宋体" w:hint="eastAsia"/>
          <w:sz w:val="24"/>
          <w:szCs w:val="32"/>
        </w:rPr>
        <w:t>，预计可实现持续稳定的净现金流入</w:t>
      </w:r>
      <w:r w:rsidR="00691622">
        <w:rPr>
          <w:rFonts w:ascii="宋体" w:eastAsia="宋体" w:hAnsi="宋体" w:hint="eastAsia"/>
          <w:sz w:val="24"/>
          <w:szCs w:val="32"/>
        </w:rPr>
        <w:t>。</w:t>
      </w:r>
      <w:r w:rsidRPr="00033D2C">
        <w:rPr>
          <w:rFonts w:ascii="宋体" w:eastAsia="宋体" w:hAnsi="宋体" w:hint="eastAsia"/>
          <w:sz w:val="24"/>
          <w:szCs w:val="32"/>
        </w:rPr>
        <w:t>综合</w:t>
      </w:r>
      <w:r w:rsidR="00691622">
        <w:rPr>
          <w:rFonts w:ascii="宋体" w:eastAsia="宋体" w:hAnsi="宋体" w:hint="eastAsia"/>
          <w:sz w:val="24"/>
          <w:szCs w:val="32"/>
        </w:rPr>
        <w:t>评价</w:t>
      </w:r>
      <w:r w:rsidRPr="00033D2C">
        <w:rPr>
          <w:rFonts w:ascii="宋体" w:eastAsia="宋体" w:hAnsi="宋体" w:hint="eastAsia"/>
          <w:sz w:val="24"/>
          <w:szCs w:val="32"/>
        </w:rPr>
        <w:t>，该</w:t>
      </w:r>
      <w:r w:rsidR="00691622">
        <w:rPr>
          <w:rFonts w:ascii="宋体" w:eastAsia="宋体" w:hAnsi="宋体" w:hint="eastAsia"/>
          <w:sz w:val="24"/>
          <w:szCs w:val="32"/>
        </w:rPr>
        <w:t>规划地块</w:t>
      </w:r>
      <w:r w:rsidRPr="00033D2C">
        <w:rPr>
          <w:rFonts w:ascii="宋体" w:eastAsia="宋体" w:hAnsi="宋体" w:hint="eastAsia"/>
          <w:sz w:val="24"/>
          <w:szCs w:val="32"/>
        </w:rPr>
        <w:t>项目投资基本</w:t>
      </w:r>
      <w:r w:rsidR="00691622">
        <w:rPr>
          <w:rFonts w:ascii="宋体" w:eastAsia="宋体" w:hAnsi="宋体" w:hint="eastAsia"/>
          <w:sz w:val="24"/>
          <w:szCs w:val="32"/>
        </w:rPr>
        <w:t>可满足</w:t>
      </w:r>
      <w:r w:rsidR="0021348E" w:rsidRPr="00033D2C">
        <w:rPr>
          <w:rFonts w:ascii="宋体" w:eastAsia="宋体" w:hAnsi="宋体" w:hint="eastAsia"/>
          <w:sz w:val="24"/>
          <w:szCs w:val="32"/>
        </w:rPr>
        <w:t>收购</w:t>
      </w:r>
      <w:r w:rsidRPr="00033D2C">
        <w:rPr>
          <w:rFonts w:ascii="宋体" w:eastAsia="宋体" w:hAnsi="宋体" w:hint="eastAsia"/>
          <w:sz w:val="24"/>
          <w:szCs w:val="32"/>
        </w:rPr>
        <w:t>预期，项目资产价值较高、投资收益能够实现运营平衡、社会效益较好，</w:t>
      </w:r>
      <w:r w:rsidR="00691622">
        <w:rPr>
          <w:rFonts w:ascii="宋体" w:eastAsia="宋体" w:hAnsi="宋体" w:hint="eastAsia"/>
          <w:sz w:val="24"/>
          <w:szCs w:val="32"/>
        </w:rPr>
        <w:t>经济可行</w:t>
      </w:r>
      <w:r w:rsidRPr="00033D2C">
        <w:rPr>
          <w:rFonts w:ascii="宋体" w:eastAsia="宋体" w:hAnsi="宋体" w:hint="eastAsia"/>
          <w:sz w:val="24"/>
          <w:szCs w:val="32"/>
        </w:rPr>
        <w:t>。</w:t>
      </w:r>
    </w:p>
    <w:sectPr w:rsidR="00250044" w:rsidRPr="00CD4CC0" w:rsidSect="00033D2C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A57B1" w14:textId="77777777" w:rsidR="00337BFA" w:rsidRDefault="00337BFA" w:rsidP="007D6142">
      <w:r>
        <w:separator/>
      </w:r>
    </w:p>
  </w:endnote>
  <w:endnote w:type="continuationSeparator" w:id="0">
    <w:p w14:paraId="27BB380F" w14:textId="77777777" w:rsidR="00337BFA" w:rsidRDefault="00337BFA" w:rsidP="007D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006730"/>
      <w:docPartObj>
        <w:docPartGallery w:val="Page Numbers (Bottom of Page)"/>
        <w:docPartUnique/>
      </w:docPartObj>
    </w:sdtPr>
    <w:sdtEndPr/>
    <w:sdtContent>
      <w:p w14:paraId="7ACE7A5C" w14:textId="504A366B" w:rsidR="008A5407" w:rsidRDefault="008A54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3EE" w:rsidRPr="001D43EE">
          <w:rPr>
            <w:noProof/>
            <w:lang w:val="zh-CN"/>
          </w:rPr>
          <w:t>10</w:t>
        </w:r>
        <w:r>
          <w:fldChar w:fldCharType="end"/>
        </w:r>
      </w:p>
    </w:sdtContent>
  </w:sdt>
  <w:p w14:paraId="149C704D" w14:textId="77777777" w:rsidR="008A5407" w:rsidRDefault="008A54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C9190" w14:textId="77777777" w:rsidR="00337BFA" w:rsidRDefault="00337BFA" w:rsidP="007D6142">
      <w:r>
        <w:separator/>
      </w:r>
    </w:p>
  </w:footnote>
  <w:footnote w:type="continuationSeparator" w:id="0">
    <w:p w14:paraId="776C58D7" w14:textId="77777777" w:rsidR="00337BFA" w:rsidRDefault="00337BFA" w:rsidP="007D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43E09"/>
    <w:multiLevelType w:val="hybridMultilevel"/>
    <w:tmpl w:val="371A446A"/>
    <w:lvl w:ilvl="0" w:tplc="7CBA803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F8124C1"/>
    <w:multiLevelType w:val="singleLevel"/>
    <w:tmpl w:val="5F8124C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F894724"/>
    <w:multiLevelType w:val="singleLevel"/>
    <w:tmpl w:val="5F89472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DB"/>
    <w:rsid w:val="0000000E"/>
    <w:rsid w:val="00030F68"/>
    <w:rsid w:val="00033D2C"/>
    <w:rsid w:val="00066EC4"/>
    <w:rsid w:val="000700B0"/>
    <w:rsid w:val="00091ED8"/>
    <w:rsid w:val="00092778"/>
    <w:rsid w:val="000C0E5A"/>
    <w:rsid w:val="000C3D52"/>
    <w:rsid w:val="000D1342"/>
    <w:rsid w:val="000E0E10"/>
    <w:rsid w:val="00100632"/>
    <w:rsid w:val="00117F12"/>
    <w:rsid w:val="001332F0"/>
    <w:rsid w:val="00135144"/>
    <w:rsid w:val="0014474F"/>
    <w:rsid w:val="00171368"/>
    <w:rsid w:val="001A21A6"/>
    <w:rsid w:val="001C1E77"/>
    <w:rsid w:val="001C533C"/>
    <w:rsid w:val="001D43EE"/>
    <w:rsid w:val="001D68F8"/>
    <w:rsid w:val="001F757B"/>
    <w:rsid w:val="00205F20"/>
    <w:rsid w:val="00206D7B"/>
    <w:rsid w:val="0021348E"/>
    <w:rsid w:val="002159B9"/>
    <w:rsid w:val="00222F80"/>
    <w:rsid w:val="0024022F"/>
    <w:rsid w:val="00246622"/>
    <w:rsid w:val="00250044"/>
    <w:rsid w:val="00251EAF"/>
    <w:rsid w:val="00262C51"/>
    <w:rsid w:val="0028541C"/>
    <w:rsid w:val="002A10B3"/>
    <w:rsid w:val="002C7462"/>
    <w:rsid w:val="002D1327"/>
    <w:rsid w:val="002D1DCF"/>
    <w:rsid w:val="002F26B4"/>
    <w:rsid w:val="00321C8A"/>
    <w:rsid w:val="00337BFA"/>
    <w:rsid w:val="00385FB2"/>
    <w:rsid w:val="003A3B06"/>
    <w:rsid w:val="003A5C20"/>
    <w:rsid w:val="003D78CA"/>
    <w:rsid w:val="003F7C33"/>
    <w:rsid w:val="0040511A"/>
    <w:rsid w:val="00411B3A"/>
    <w:rsid w:val="00412A6C"/>
    <w:rsid w:val="00420EA4"/>
    <w:rsid w:val="00425342"/>
    <w:rsid w:val="00425614"/>
    <w:rsid w:val="004353B0"/>
    <w:rsid w:val="00435B90"/>
    <w:rsid w:val="00460CC7"/>
    <w:rsid w:val="004979F5"/>
    <w:rsid w:val="004B10E0"/>
    <w:rsid w:val="004B3987"/>
    <w:rsid w:val="004C649D"/>
    <w:rsid w:val="004D787F"/>
    <w:rsid w:val="004E5A4A"/>
    <w:rsid w:val="004F3D1B"/>
    <w:rsid w:val="00521E6D"/>
    <w:rsid w:val="005231BE"/>
    <w:rsid w:val="00594073"/>
    <w:rsid w:val="005A17A9"/>
    <w:rsid w:val="005A680B"/>
    <w:rsid w:val="005B1FAB"/>
    <w:rsid w:val="005B6272"/>
    <w:rsid w:val="005E1956"/>
    <w:rsid w:val="005E276A"/>
    <w:rsid w:val="005F309F"/>
    <w:rsid w:val="005F5577"/>
    <w:rsid w:val="005F7F8D"/>
    <w:rsid w:val="00601A8C"/>
    <w:rsid w:val="00610C5D"/>
    <w:rsid w:val="00626E7F"/>
    <w:rsid w:val="00642133"/>
    <w:rsid w:val="00645084"/>
    <w:rsid w:val="00650EF8"/>
    <w:rsid w:val="0065118E"/>
    <w:rsid w:val="0066628E"/>
    <w:rsid w:val="00691622"/>
    <w:rsid w:val="00691F51"/>
    <w:rsid w:val="00694AE6"/>
    <w:rsid w:val="006B121D"/>
    <w:rsid w:val="006B6424"/>
    <w:rsid w:val="006C574B"/>
    <w:rsid w:val="007039C1"/>
    <w:rsid w:val="00714F15"/>
    <w:rsid w:val="007161A3"/>
    <w:rsid w:val="00721572"/>
    <w:rsid w:val="00742A0D"/>
    <w:rsid w:val="007522C5"/>
    <w:rsid w:val="007776F3"/>
    <w:rsid w:val="00787168"/>
    <w:rsid w:val="007B0453"/>
    <w:rsid w:val="007D6142"/>
    <w:rsid w:val="007E366E"/>
    <w:rsid w:val="007F0865"/>
    <w:rsid w:val="00800BFE"/>
    <w:rsid w:val="008026F6"/>
    <w:rsid w:val="00821451"/>
    <w:rsid w:val="008353F8"/>
    <w:rsid w:val="008362BE"/>
    <w:rsid w:val="00842C11"/>
    <w:rsid w:val="008622A7"/>
    <w:rsid w:val="008822D7"/>
    <w:rsid w:val="008A11C0"/>
    <w:rsid w:val="008A3874"/>
    <w:rsid w:val="008A5407"/>
    <w:rsid w:val="008C69EE"/>
    <w:rsid w:val="008C7B7C"/>
    <w:rsid w:val="008D276A"/>
    <w:rsid w:val="00905B43"/>
    <w:rsid w:val="00945CC7"/>
    <w:rsid w:val="0097646E"/>
    <w:rsid w:val="009859A2"/>
    <w:rsid w:val="009A3D16"/>
    <w:rsid w:val="009D46C4"/>
    <w:rsid w:val="009E4213"/>
    <w:rsid w:val="00A0197E"/>
    <w:rsid w:val="00A33028"/>
    <w:rsid w:val="00A35631"/>
    <w:rsid w:val="00A35E5F"/>
    <w:rsid w:val="00A751C4"/>
    <w:rsid w:val="00A96EB6"/>
    <w:rsid w:val="00AB47BA"/>
    <w:rsid w:val="00AC2C2C"/>
    <w:rsid w:val="00AD3959"/>
    <w:rsid w:val="00AE21EC"/>
    <w:rsid w:val="00AE6F91"/>
    <w:rsid w:val="00B13FC3"/>
    <w:rsid w:val="00B43F1E"/>
    <w:rsid w:val="00B60395"/>
    <w:rsid w:val="00B6380E"/>
    <w:rsid w:val="00BE1B68"/>
    <w:rsid w:val="00BF43F1"/>
    <w:rsid w:val="00C0284C"/>
    <w:rsid w:val="00C35721"/>
    <w:rsid w:val="00C63265"/>
    <w:rsid w:val="00C65ED4"/>
    <w:rsid w:val="00C67FA2"/>
    <w:rsid w:val="00C90C07"/>
    <w:rsid w:val="00C9459A"/>
    <w:rsid w:val="00C97CB4"/>
    <w:rsid w:val="00CB7585"/>
    <w:rsid w:val="00CC717F"/>
    <w:rsid w:val="00CD4CC0"/>
    <w:rsid w:val="00CE06F3"/>
    <w:rsid w:val="00CE74D3"/>
    <w:rsid w:val="00CF74E9"/>
    <w:rsid w:val="00CF7F41"/>
    <w:rsid w:val="00D027BA"/>
    <w:rsid w:val="00D10839"/>
    <w:rsid w:val="00D233E6"/>
    <w:rsid w:val="00D24B09"/>
    <w:rsid w:val="00D424CB"/>
    <w:rsid w:val="00D52D43"/>
    <w:rsid w:val="00D754B2"/>
    <w:rsid w:val="00DA43BD"/>
    <w:rsid w:val="00DA549B"/>
    <w:rsid w:val="00DB3523"/>
    <w:rsid w:val="00DC561C"/>
    <w:rsid w:val="00DE1DC8"/>
    <w:rsid w:val="00E10215"/>
    <w:rsid w:val="00E25180"/>
    <w:rsid w:val="00E4738D"/>
    <w:rsid w:val="00E737D6"/>
    <w:rsid w:val="00E751AD"/>
    <w:rsid w:val="00E81B71"/>
    <w:rsid w:val="00E82BF4"/>
    <w:rsid w:val="00EB02DB"/>
    <w:rsid w:val="00EB2871"/>
    <w:rsid w:val="00ED4175"/>
    <w:rsid w:val="00EE4C90"/>
    <w:rsid w:val="00F15F31"/>
    <w:rsid w:val="00F17086"/>
    <w:rsid w:val="00F355F9"/>
    <w:rsid w:val="00F40BDA"/>
    <w:rsid w:val="00F47B70"/>
    <w:rsid w:val="00F822D6"/>
    <w:rsid w:val="00F9046D"/>
    <w:rsid w:val="00FB6440"/>
    <w:rsid w:val="00FC3C4F"/>
    <w:rsid w:val="00FE1ADA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C95CB"/>
  <w15:docId w15:val="{8852A9CE-5477-4542-8744-786FF9A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4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662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57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57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C574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C574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142"/>
    <w:rPr>
      <w:sz w:val="18"/>
      <w:szCs w:val="18"/>
    </w:rPr>
  </w:style>
  <w:style w:type="paragraph" w:styleId="a5">
    <w:name w:val="List Paragraph"/>
    <w:basedOn w:val="a"/>
    <w:uiPriority w:val="34"/>
    <w:qFormat/>
    <w:rsid w:val="007D6142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DA43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DA43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117F1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17F1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17F12"/>
    <w:rPr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17F1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17F12"/>
    <w:rPr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117F1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117F1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C5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C574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C57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6C574B"/>
    <w:rPr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66628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6628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6628E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0E0E10"/>
    <w:pPr>
      <w:tabs>
        <w:tab w:val="right" w:leader="dot" w:pos="8296"/>
      </w:tabs>
      <w:spacing w:line="360" w:lineRule="auto"/>
      <w:ind w:leftChars="400" w:left="840"/>
    </w:pPr>
  </w:style>
  <w:style w:type="character" w:styleId="ab">
    <w:name w:val="Hyperlink"/>
    <w:basedOn w:val="a0"/>
    <w:uiPriority w:val="99"/>
    <w:unhideWhenUsed/>
    <w:rsid w:val="0066628E"/>
    <w:rPr>
      <w:color w:val="0563C1" w:themeColor="hyperlink"/>
      <w:u w:val="single"/>
    </w:rPr>
  </w:style>
  <w:style w:type="paragraph" w:customStyle="1" w:styleId="10">
    <w:name w:val="正文1"/>
    <w:rsid w:val="00B13FC3"/>
    <w:pPr>
      <w:widowControl w:val="0"/>
      <w:adjustRightInd w:val="0"/>
      <w:spacing w:before="20" w:after="20" w:line="360" w:lineRule="atLeast"/>
    </w:pPr>
    <w:rPr>
      <w:rFonts w:ascii="宋体" w:eastAsia="宋体" w:hAnsi="Times New Roman" w:cs="Times New Roman"/>
      <w:kern w:val="0"/>
      <w:sz w:val="3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E54E-0E5A-4F1B-BD1B-4460EE8C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12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win10A</cp:lastModifiedBy>
  <cp:revision>14</cp:revision>
  <cp:lastPrinted>2023-11-03T06:57:00Z</cp:lastPrinted>
  <dcterms:created xsi:type="dcterms:W3CDTF">2025-07-16T01:56:00Z</dcterms:created>
  <dcterms:modified xsi:type="dcterms:W3CDTF">2025-07-30T04:21:00Z</dcterms:modified>
</cp:coreProperties>
</file>