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贷后重估价值</w:t>
      </w:r>
      <w:r>
        <w:rPr>
          <w:rFonts w:hint="eastAsia" w:ascii="Arial" w:hAnsi="Arial" w:eastAsia="宋体" w:cs="宋体"/>
          <w:b/>
          <w:bCs/>
          <w:color w:val="auto"/>
          <w:kern w:val="0"/>
          <w:sz w:val="40"/>
          <w:szCs w:val="40"/>
        </w:rPr>
        <w:t>咨询函</w:t>
      </w:r>
    </w:p>
    <w:p>
      <w:pPr>
        <w:jc w:val="right"/>
        <w:rPr>
          <w:rFonts w:ascii="Arial" w:hAnsi="Arial"/>
          <w:color w:val="auto"/>
        </w:rPr>
      </w:pPr>
      <w:r>
        <w:rPr>
          <w:rFonts w:hint="eastAsia" w:ascii="Arial" w:hAnsi="Arial" w:eastAsia="宋体" w:cs="宋体"/>
          <w:color w:val="auto"/>
          <w:kern w:val="0"/>
          <w:sz w:val="20"/>
          <w:szCs w:val="20"/>
        </w:rPr>
        <w:t>报告编号：康正评字2022-1-0687-F0</w:t>
      </w:r>
      <w:r>
        <w:rPr>
          <w:rFonts w:hint="eastAsia" w:ascii="Arial" w:hAnsi="Arial" w:eastAsia="宋体" w:cs="宋体"/>
          <w:color w:val="auto"/>
          <w:kern w:val="0"/>
          <w:sz w:val="20"/>
          <w:szCs w:val="20"/>
          <w:lang w:val="en-US" w:eastAsia="zh-CN"/>
        </w:rPr>
        <w:t>5</w:t>
      </w:r>
      <w:r>
        <w:rPr>
          <w:rFonts w:hint="eastAsia" w:ascii="Arial" w:hAnsi="Arial" w:eastAsia="宋体" w:cs="宋体"/>
          <w:color w:val="auto"/>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上海浦东发展银行股份有限公司北京分行</w:t>
            </w:r>
            <w:bookmarkStart w:id="0" w:name="_GoBack"/>
            <w:bookmarkEnd w:id="0"/>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北京市西城区太平街6号5层E-602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富力摩根中心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217.4</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5</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办公用房</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33291</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724</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柒佰贰拾肆万元整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十七</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BE84ABF"/>
    <w:rsid w:val="13CB129B"/>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19</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2024-01-17T06:27:15Z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