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olor w:val="auto"/>
        </w:rPr>
      </w:pPr>
      <w:r>
        <w:rPr>
          <w:rFonts w:hint="eastAsia" w:ascii="Arial" w:hAnsi="Arial" w:eastAsia="宋体" w:cs="宋体"/>
          <w:b/>
          <w:bCs/>
          <w:kern w:val="0"/>
          <w:sz w:val="40"/>
          <w:szCs w:val="40"/>
        </w:rPr>
        <w:t>贷后重估价值</w:t>
      </w:r>
      <w:r>
        <w:rPr>
          <w:rFonts w:hint="eastAsia" w:ascii="Arial" w:hAnsi="Arial" w:eastAsia="宋体" w:cs="宋体"/>
          <w:b/>
          <w:bCs/>
          <w:color w:val="auto"/>
          <w:kern w:val="0"/>
          <w:sz w:val="40"/>
          <w:szCs w:val="40"/>
        </w:rPr>
        <w:t>咨询函</w:t>
      </w:r>
    </w:p>
    <w:p>
      <w:pPr>
        <w:jc w:val="right"/>
        <w:rPr>
          <w:rFonts w:ascii="Arial" w:hAnsi="Arial"/>
          <w:color w:val="auto"/>
        </w:rPr>
      </w:pPr>
      <w:r>
        <w:rPr>
          <w:rFonts w:hint="eastAsia" w:ascii="Arial" w:hAnsi="Arial" w:eastAsia="宋体" w:cs="宋体"/>
          <w:color w:val="auto"/>
          <w:kern w:val="0"/>
          <w:sz w:val="20"/>
          <w:szCs w:val="20"/>
        </w:rPr>
        <w:t>报告编号：康正评字2022-1-0687-F0</w:t>
      </w:r>
      <w:r>
        <w:rPr>
          <w:rFonts w:hint="eastAsia" w:ascii="Arial" w:hAnsi="Arial" w:eastAsia="宋体" w:cs="宋体"/>
          <w:color w:val="auto"/>
          <w:kern w:val="0"/>
          <w:sz w:val="20"/>
          <w:szCs w:val="20"/>
          <w:lang w:val="en-US" w:eastAsia="zh-CN"/>
        </w:rPr>
        <w:t>5</w:t>
      </w:r>
      <w:r>
        <w:rPr>
          <w:rFonts w:hint="eastAsia" w:ascii="Arial" w:hAnsi="Arial" w:eastAsia="宋体" w:cs="宋体"/>
          <w:color w:val="auto"/>
          <w:kern w:val="0"/>
          <w:sz w:val="20"/>
          <w:szCs w:val="20"/>
        </w:rPr>
        <w:t>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上海浦东发展银行股份有限公司北京分行</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北京市西城区太平街6号5层E-602</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为上海浦东发展银行股份有限公司北京分行确定押品复估抵押价值。</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20</w:t>
            </w:r>
            <w:r>
              <w:rPr>
                <w:rFonts w:hint="eastAsia" w:ascii="Arial" w:hAnsi="Arial" w:eastAsia="宋体" w:cs="宋体"/>
                <w:color w:val="auto"/>
                <w:kern w:val="0"/>
                <w:sz w:val="20"/>
                <w:szCs w:val="20"/>
                <w:lang w:val="en-US" w:eastAsia="zh-CN"/>
              </w:rPr>
              <w:t>24</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1</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17</w:t>
            </w:r>
            <w:r>
              <w:rPr>
                <w:rFonts w:hint="eastAsia" w:ascii="Arial" w:hAnsi="Arial" w:eastAsia="宋体" w:cs="宋体"/>
                <w:color w:val="auto"/>
                <w:kern w:val="0"/>
                <w:sz w:val="20"/>
                <w:szCs w:val="20"/>
              </w:rPr>
              <w:t>日</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富力摩根中心</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lang w:val="en-US" w:eastAsia="zh-CN"/>
              </w:rPr>
              <w:t>217.4</w:t>
            </w:r>
            <w:r>
              <w:rPr>
                <w:rFonts w:hint="eastAsia" w:ascii="Arial" w:hAnsi="Arial" w:eastAsia="宋体" w:cs="宋体"/>
                <w:color w:val="auto"/>
                <w:kern w:val="0"/>
                <w:sz w:val="20"/>
                <w:szCs w:val="20"/>
              </w:rPr>
              <w:t>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9（-03）</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5</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pPr>
              <w:widowControl/>
              <w:spacing w:line="240" w:lineRule="exact"/>
              <w:jc w:val="left"/>
              <w:rPr>
                <w:rFonts w:hint="default"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办公用房</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val="en-US" w:eastAsia="zh-CN"/>
              </w:rPr>
            </w:pPr>
            <w:r>
              <w:rPr>
                <w:rFonts w:hint="eastAsia" w:ascii="Arial" w:hAnsi="Arial" w:eastAsia="宋体" w:cs="宋体"/>
                <w:color w:val="auto"/>
                <w:kern w:val="0"/>
                <w:sz w:val="20"/>
                <w:szCs w:val="20"/>
                <w:lang w:val="en-US" w:eastAsia="zh-CN"/>
              </w:rPr>
              <w:t>钢混</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hint="eastAsia" w:ascii="Arial" w:hAnsi="Arial" w:eastAsia="宋体" w:cs="宋体"/>
                <w:color w:val="auto"/>
                <w:kern w:val="0"/>
                <w:sz w:val="20"/>
                <w:szCs w:val="20"/>
                <w:lang w:eastAsia="zh-CN"/>
              </w:rPr>
            </w:pPr>
            <w:r>
              <w:rPr>
                <w:rFonts w:hint="eastAsia" w:ascii="Arial" w:hAnsi="Arial" w:eastAsia="宋体" w:cs="宋体"/>
                <w:color w:val="auto"/>
                <w:kern w:val="0"/>
                <w:sz w:val="20"/>
                <w:szCs w:val="20"/>
                <w:lang w:eastAsia="zh-CN"/>
              </w:rPr>
              <w:t>——</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估价对象于咨询时点存在抵押权，本次评估以原有的抵押权注销后再设立新的抵押权为假设前提，故不考虑此项优先受偿权。</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32217</w:t>
            </w:r>
            <w:r>
              <w:rPr>
                <w:rFonts w:hint="eastAsia" w:ascii="Arial" w:hAnsi="Arial" w:eastAsia="宋体" w:cs="宋体"/>
                <w:b/>
                <w:bCs/>
                <w:color w:val="auto"/>
                <w:kern w:val="0"/>
                <w:sz w:val="20"/>
                <w:szCs w:val="20"/>
              </w:rPr>
              <w:t>元/平方米</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lang w:val="en-US" w:eastAsia="zh-CN"/>
              </w:rPr>
              <w:t>700</w:t>
            </w:r>
            <w:r>
              <w:rPr>
                <w:rFonts w:hint="eastAsia" w:ascii="Arial" w:hAnsi="Arial" w:eastAsia="宋体" w:cs="宋体"/>
                <w:b/>
                <w:bCs/>
                <w:color w:val="auto"/>
                <w:kern w:val="0"/>
                <w:sz w:val="20"/>
                <w:szCs w:val="20"/>
              </w:rPr>
              <w:t>万元</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pPr>
              <w:widowControl/>
              <w:spacing w:line="240" w:lineRule="exact"/>
              <w:jc w:val="left"/>
              <w:rPr>
                <w:rFonts w:hint="default" w:ascii="Arial" w:hAnsi="Arial" w:eastAsia="宋体" w:cs="宋体"/>
                <w:b/>
                <w:bCs/>
                <w:color w:val="auto"/>
                <w:kern w:val="0"/>
                <w:sz w:val="20"/>
                <w:szCs w:val="20"/>
                <w:lang w:val="en-US" w:eastAsia="zh-CN"/>
              </w:rPr>
            </w:pPr>
            <w:r>
              <w:rPr>
                <w:rFonts w:hint="eastAsia" w:ascii="Arial" w:hAnsi="Arial" w:eastAsia="宋体" w:cs="宋体"/>
                <w:b/>
                <w:bCs/>
                <w:color w:val="auto"/>
                <w:kern w:val="0"/>
                <w:sz w:val="20"/>
                <w:szCs w:val="20"/>
                <w:lang w:val="en-US" w:eastAsia="zh-CN"/>
              </w:rPr>
              <w:t>柒佰万元整</w:t>
            </w:r>
          </w:p>
        </w:tc>
      </w:tr>
      <w:tr>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40" w:lineRule="exact"/>
              <w:jc w:val="left"/>
              <w:rPr>
                <w:rFonts w:ascii="Arial" w:hAnsi="Arial" w:eastAsia="宋体" w:cs="宋体"/>
                <w:b/>
                <w:bCs/>
                <w:color w:val="auto"/>
                <w:kern w:val="0"/>
                <w:sz w:val="20"/>
                <w:szCs w:val="20"/>
              </w:rPr>
            </w:pPr>
            <w:r>
              <w:rPr>
                <w:rFonts w:hint="eastAsia" w:ascii="Arial" w:hAnsi="Arial" w:eastAsia="宋体" w:cs="宋体"/>
                <w:b/>
                <w:bCs/>
                <w:color w:val="auto"/>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1、本次复估单所依据的资料由估价委托人提供，估价人员未对其权属资料的真实性、完整性、准确性进行核验，如实际</w:t>
            </w:r>
            <w:bookmarkStart w:id="0" w:name="_GoBack"/>
            <w:bookmarkEnd w:id="0"/>
            <w:r>
              <w:rPr>
                <w:rFonts w:hint="eastAsia" w:ascii="Arial" w:hAnsi="Arial" w:eastAsia="宋体" w:cs="宋体"/>
                <w:color w:val="auto"/>
                <w:kern w:val="0"/>
                <w:sz w:val="20"/>
                <w:szCs w:val="20"/>
              </w:rPr>
              <w:t>情况与之不符，估价结果需做相应调整。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3、本次复估未对估价对象进行实地勘查，若实际情况与估价委托人提供的信息有所差异时，会对估价结果产生影响，相关数据会发生变化，估价结果需做相应调整。</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nil"/>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Arial" w:hAnsi="Arial" w:eastAsia="宋体" w:cs="宋体"/>
                <w:b/>
                <w:bCs/>
                <w:color w:val="auto"/>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Arial" w:hAnsi="Arial" w:eastAsia="宋体" w:cs="宋体"/>
                <w:b/>
                <w:color w:val="auto"/>
                <w:kern w:val="0"/>
                <w:sz w:val="20"/>
                <w:szCs w:val="20"/>
              </w:rPr>
            </w:pPr>
            <w:r>
              <w:rPr>
                <w:rFonts w:hint="eastAsia" w:ascii="Arial" w:hAnsi="Arial" w:eastAsia="宋体" w:cs="宋体"/>
                <w:b/>
                <w:color w:val="auto"/>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pPr>
              <w:widowControl/>
              <w:spacing w:line="300" w:lineRule="exact"/>
              <w:jc w:val="left"/>
              <w:rPr>
                <w:rFonts w:ascii="Arial" w:hAnsi="Arial" w:eastAsia="宋体" w:cs="宋体"/>
                <w:color w:val="auto"/>
                <w:kern w:val="0"/>
                <w:sz w:val="20"/>
                <w:szCs w:val="20"/>
              </w:rPr>
            </w:pPr>
            <w:r>
              <w:rPr>
                <w:rFonts w:hint="eastAsia" w:ascii="Arial" w:hAnsi="Arial" w:eastAsia="宋体" w:cs="宋体"/>
                <w:color w:val="auto"/>
                <w:kern w:val="0"/>
                <w:sz w:val="20"/>
                <w:szCs w:val="20"/>
              </w:rPr>
              <w:t>本复估单自出具之日起</w:t>
            </w:r>
            <w:r>
              <w:rPr>
                <w:rFonts w:hint="eastAsia" w:ascii="Arial" w:hAnsi="Arial" w:eastAsia="宋体" w:cs="宋体"/>
                <w:b/>
                <w:bCs/>
                <w:color w:val="auto"/>
                <w:kern w:val="0"/>
                <w:sz w:val="20"/>
                <w:szCs w:val="20"/>
              </w:rPr>
              <w:t>壹年</w:t>
            </w:r>
            <w:r>
              <w:rPr>
                <w:rFonts w:hint="eastAsia" w:ascii="Arial" w:hAnsi="Arial" w:eastAsia="宋体" w:cs="宋体"/>
                <w:color w:val="auto"/>
                <w:kern w:val="0"/>
                <w:sz w:val="20"/>
                <w:szCs w:val="20"/>
              </w:rPr>
              <w:t>内有效，但在此期间市场变化较快或国家经济、城市规划、相关税费和银行利率发生变化，应重新评估。</w:t>
            </w:r>
          </w:p>
        </w:tc>
      </w:tr>
    </w:tbl>
    <w:p>
      <w:pPr>
        <w:rPr>
          <w:rFonts w:ascii="Arial" w:hAnsi="Arial"/>
          <w:color w:val="auto"/>
        </w:rPr>
      </w:pPr>
    </w:p>
    <w:p>
      <w:pPr>
        <w:jc w:val="right"/>
        <w:rPr>
          <w:rFonts w:ascii="Arial" w:hAnsi="Arial"/>
          <w:color w:val="auto"/>
        </w:rPr>
      </w:pPr>
      <w:r>
        <w:rPr>
          <w:rFonts w:hint="eastAsia" w:ascii="Arial" w:hAnsi="Arial" w:eastAsia="宋体" w:cs="宋体"/>
          <w:color w:val="auto"/>
          <w:kern w:val="0"/>
          <w:sz w:val="20"/>
          <w:szCs w:val="20"/>
        </w:rPr>
        <w:t>北京康正宏基房地产评估有限公司</w:t>
      </w:r>
    </w:p>
    <w:p>
      <w:pPr>
        <w:jc w:val="right"/>
        <w:rPr>
          <w:rFonts w:hint="eastAsia"/>
          <w:color w:val="auto"/>
        </w:rPr>
      </w:pPr>
      <w:r>
        <w:rPr>
          <w:rFonts w:hint="eastAsia" w:ascii="Arial" w:hAnsi="Arial" w:eastAsia="宋体" w:cs="宋体"/>
          <w:color w:val="auto"/>
          <w:kern w:val="0"/>
          <w:sz w:val="20"/>
          <w:szCs w:val="20"/>
        </w:rPr>
        <w:t>二○二</w:t>
      </w:r>
      <w:r>
        <w:rPr>
          <w:rFonts w:hint="eastAsia" w:ascii="Arial" w:hAnsi="Arial" w:eastAsia="宋体" w:cs="宋体"/>
          <w:color w:val="auto"/>
          <w:kern w:val="0"/>
          <w:sz w:val="20"/>
          <w:szCs w:val="20"/>
          <w:lang w:val="en-US" w:eastAsia="zh-CN"/>
        </w:rPr>
        <w:t>四</w:t>
      </w:r>
      <w:r>
        <w:rPr>
          <w:rFonts w:hint="eastAsia" w:ascii="Arial" w:hAnsi="Arial" w:eastAsia="宋体" w:cs="宋体"/>
          <w:color w:val="auto"/>
          <w:kern w:val="0"/>
          <w:sz w:val="20"/>
          <w:szCs w:val="20"/>
        </w:rPr>
        <w:t>年</w:t>
      </w:r>
      <w:r>
        <w:rPr>
          <w:rFonts w:hint="eastAsia" w:ascii="Arial" w:hAnsi="Arial" w:eastAsia="宋体" w:cs="宋体"/>
          <w:color w:val="auto"/>
          <w:kern w:val="0"/>
          <w:sz w:val="20"/>
          <w:szCs w:val="20"/>
          <w:lang w:val="en-US" w:eastAsia="zh-CN"/>
        </w:rPr>
        <w:t>一</w:t>
      </w:r>
      <w:r>
        <w:rPr>
          <w:rFonts w:hint="eastAsia" w:ascii="Arial" w:hAnsi="Arial" w:eastAsia="宋体" w:cs="宋体"/>
          <w:color w:val="auto"/>
          <w:kern w:val="0"/>
          <w:sz w:val="20"/>
          <w:szCs w:val="20"/>
        </w:rPr>
        <w:t>月</w:t>
      </w:r>
      <w:r>
        <w:rPr>
          <w:rFonts w:hint="eastAsia" w:ascii="Arial" w:hAnsi="Arial" w:eastAsia="宋体" w:cs="宋体"/>
          <w:color w:val="auto"/>
          <w:kern w:val="0"/>
          <w:sz w:val="20"/>
          <w:szCs w:val="20"/>
          <w:lang w:val="en-US" w:eastAsia="zh-CN"/>
        </w:rPr>
        <w:t>十七</w:t>
      </w:r>
      <w:r>
        <w:rPr>
          <w:rFonts w:hint="eastAsia" w:ascii="宋体" w:hAnsi="宋体" w:eastAsia="宋体" w:cs="宋体"/>
          <w:color w:val="auto"/>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ZTJmZjVmOWM2NzhhYmQ1MWFiOGNlMTI0NDU5NDkifQ=="/>
  </w:docVars>
  <w:rsids>
    <w:rsidRoot w:val="00BF20BE"/>
    <w:rsid w:val="0046333F"/>
    <w:rsid w:val="00795B85"/>
    <w:rsid w:val="00863392"/>
    <w:rsid w:val="00A92DEB"/>
    <w:rsid w:val="00BF20BE"/>
    <w:rsid w:val="00E95130"/>
    <w:rsid w:val="0BE84ABF"/>
    <w:rsid w:val="13CB129B"/>
    <w:rsid w:val="3B6C5EDA"/>
    <w:rsid w:val="5C563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autoRedefine/>
    <w:semiHidden/>
    <w:qFormat/>
    <w:uiPriority w:val="99"/>
    <w:rPr>
      <w:sz w:val="18"/>
      <w:szCs w:val="18"/>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Words>
  <Characters>925</Characters>
  <Lines>7</Lines>
  <Paragraphs>2</Paragraphs>
  <TotalTime>20</TotalTime>
  <ScaleCrop>false</ScaleCrop>
  <LinksUpToDate>false</LinksUpToDate>
  <CharactersWithSpaces>1085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解国明</cp:lastModifiedBy>
  <dcterms:modified xsi:type="dcterms:W3CDTF">2024-01-18T05:18:50Z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48C88EF5255F4B79BAA8FFBD4AAA8F06_12</vt:lpwstr>
  </property>
</Properties>
</file>