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rPr>
      </w:pPr>
      <w:r>
        <w:rPr>
          <w:rFonts w:hint="eastAsia" w:ascii="Arial" w:hAnsi="Arial" w:eastAsia="宋体" w:cs="宋体"/>
          <w:b/>
          <w:bCs/>
          <w:kern w:val="0"/>
          <w:sz w:val="40"/>
          <w:szCs w:val="40"/>
        </w:rPr>
        <w:t>房地产抵押评估</w:t>
      </w:r>
      <w:r>
        <w:rPr>
          <w:rFonts w:hint="eastAsia" w:ascii="Arial" w:hAnsi="Arial" w:eastAsia="宋体" w:cs="宋体"/>
          <w:b/>
          <w:bCs/>
          <w:color w:val="000000" w:themeColor="text1"/>
          <w:kern w:val="0"/>
          <w:sz w:val="40"/>
          <w:szCs w:val="40"/>
          <w14:textFill>
            <w14:solidFill>
              <w14:schemeClr w14:val="tx1"/>
            </w14:solidFill>
          </w14:textFill>
        </w:rPr>
        <w:t>复估单</w:t>
      </w:r>
    </w:p>
    <w:p>
      <w:pPr>
        <w:jc w:val="right"/>
        <w:rPr>
          <w:rFonts w:ascii="Arial" w:hAnsi="Arial"/>
        </w:rPr>
      </w:pPr>
      <w:r>
        <w:rPr>
          <w:rFonts w:hint="eastAsia" w:ascii="Arial" w:hAnsi="Arial" w:eastAsia="宋体" w:cs="宋体"/>
          <w:kern w:val="0"/>
          <w:sz w:val="20"/>
          <w:szCs w:val="20"/>
        </w:rPr>
        <w:t>报告编号：康正评字2023-1-0275-P01DYGJ2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上海浦东发展银行股份有限公司北京市分行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北京市朝阳区东坝北东南一期土地储备项目1104-612西侧地块R2二类居住用地“德贤嘉园”部分住宅、地下仓储、地下车库用房分摊出让国有建设用地使用权及在建建筑物房地产</w:t>
            </w:r>
            <w:bookmarkStart w:id="0" w:name="_GoBack"/>
            <w:bookmarkEnd w:id="0"/>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为上海浦东发展银行股份有限公司确定押品复估抵押价值。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2023年1</w:t>
            </w:r>
            <w:r>
              <w:rPr>
                <w:rFonts w:hint="eastAsia" w:ascii="Arial" w:hAnsi="Arial" w:eastAsia="宋体" w:cs="宋体"/>
                <w:kern w:val="0"/>
                <w:sz w:val="20"/>
                <w:szCs w:val="20"/>
                <w:lang w:val="en-US" w:eastAsia="zh-CN"/>
              </w:rPr>
              <w:t>2</w:t>
            </w:r>
            <w:r>
              <w:rPr>
                <w:rFonts w:hint="eastAsia" w:ascii="Arial" w:hAnsi="Arial" w:eastAsia="宋体" w:cs="宋体"/>
                <w:kern w:val="0"/>
                <w:sz w:val="20"/>
                <w:szCs w:val="20"/>
              </w:rPr>
              <w:t>月</w:t>
            </w:r>
            <w:r>
              <w:rPr>
                <w:rFonts w:hint="eastAsia" w:ascii="Arial" w:hAnsi="Arial" w:eastAsia="宋体" w:cs="宋体"/>
                <w:kern w:val="0"/>
                <w:sz w:val="20"/>
                <w:szCs w:val="20"/>
                <w:lang w:val="en-US" w:eastAsia="zh-CN"/>
              </w:rPr>
              <w:t>5</w:t>
            </w:r>
            <w:r>
              <w:rPr>
                <w:rFonts w:hint="eastAsia" w:ascii="Arial" w:hAnsi="Arial" w:eastAsia="宋体" w:cs="宋体"/>
                <w:kern w:val="0"/>
                <w:sz w:val="20"/>
                <w:szCs w:val="20"/>
              </w:rPr>
              <w:t>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德贤嘉园</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lang w:val="en-US" w:eastAsia="zh-CN"/>
              </w:rPr>
              <w:t>规划</w:t>
            </w: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lang w:val="en-US" w:eastAsia="zh-CN"/>
              </w:rPr>
              <w:t>31396.74</w:t>
            </w:r>
            <w:r>
              <w:rPr>
                <w:rFonts w:hint="eastAsia" w:ascii="Arial" w:hAnsi="Arial" w:eastAsia="宋体" w:cs="宋体"/>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lang w:val="en-US" w:eastAsia="zh-CN" w:bidi="ar-SA"/>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kern w:val="0"/>
                <w:sz w:val="20"/>
                <w:szCs w:val="20"/>
                <w:lang w:val="en-US" w:eastAsia="zh-CN" w:bidi="ar-SA"/>
              </w:rPr>
            </w:pPr>
            <w:r>
              <w:rPr>
                <w:rFonts w:hint="eastAsia" w:ascii="Arial" w:hAnsi="Arial" w:eastAsia="宋体" w:cs="宋体"/>
                <w:kern w:val="0"/>
                <w:sz w:val="20"/>
                <w:szCs w:val="20"/>
                <w:lang w:val="en-US" w:eastAsia="zh-CN" w:bidi="ar-SA"/>
              </w:rPr>
              <w:t>住宅、地下仓储、地下车库</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hint="default" w:ascii="Arial" w:hAnsi="Arial" w:eastAsia="宋体" w:cs="宋体"/>
                <w:kern w:val="0"/>
                <w:sz w:val="20"/>
                <w:szCs w:val="20"/>
                <w:lang w:val="en-US" w:eastAsia="zh-CN"/>
              </w:rPr>
            </w:pPr>
            <w:r>
              <w:rPr>
                <w:rFonts w:hint="eastAsia" w:ascii="Arial" w:hAnsi="Arial" w:eastAsia="宋体" w:cs="宋体"/>
                <w:kern w:val="0"/>
                <w:sz w:val="20"/>
                <w:szCs w:val="20"/>
                <w:lang w:val="en-US" w:eastAsia="zh-CN"/>
              </w:rPr>
              <w:t>分摊土地面积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default" w:ascii="Arial" w:hAnsi="Arial" w:eastAsia="宋体" w:cs="宋体"/>
                <w:kern w:val="0"/>
                <w:sz w:val="20"/>
                <w:szCs w:val="20"/>
                <w:lang w:val="en-US" w:eastAsia="zh-CN"/>
              </w:rPr>
            </w:pPr>
            <w:r>
              <w:rPr>
                <w:rFonts w:hint="eastAsia" w:ascii="Arial" w:hAnsi="Arial" w:eastAsia="宋体" w:cs="宋体"/>
                <w:kern w:val="0"/>
                <w:sz w:val="20"/>
                <w:szCs w:val="20"/>
                <w:lang w:val="en-US" w:eastAsia="zh-CN"/>
              </w:rPr>
              <w:t>7610.01</w:t>
            </w:r>
            <w:r>
              <w:rPr>
                <w:rFonts w:hint="eastAsia" w:ascii="Arial" w:hAnsi="Arial" w:eastAsia="宋体" w:cs="宋体"/>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估价对象于咨询时点存在抵押权，由于本次评估为同一抵押权人的续贷房地产抵押估价，故未将已抵押担保的债权数额作为法定优先受偿款予以扣减。</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lang w:val="en-US" w:eastAsia="zh-CN" w:bidi="ar-SA"/>
              </w:rPr>
            </w:pPr>
            <w:r>
              <w:rPr>
                <w:rFonts w:hint="eastAsia" w:ascii="Arial" w:hAnsi="Arial" w:eastAsia="宋体" w:cs="宋体"/>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kern w:val="0"/>
                <w:sz w:val="20"/>
                <w:szCs w:val="20"/>
                <w:highlight w:val="none"/>
                <w:lang w:val="en-US" w:eastAsia="zh-CN" w:bidi="ar-SA"/>
              </w:rPr>
            </w:pPr>
            <w:r>
              <w:rPr>
                <w:rFonts w:hint="eastAsia" w:ascii="Arial" w:hAnsi="Arial" w:eastAsia="宋体" w:cs="宋体"/>
                <w:b/>
                <w:bCs/>
                <w:kern w:val="0"/>
                <w:sz w:val="20"/>
                <w:szCs w:val="20"/>
                <w:highlight w:val="none"/>
                <w:lang w:val="en-US" w:eastAsia="zh-CN"/>
              </w:rPr>
              <w:t>143000</w:t>
            </w:r>
            <w:r>
              <w:rPr>
                <w:rFonts w:hint="eastAsia" w:ascii="Arial" w:hAnsi="Arial" w:eastAsia="宋体" w:cs="宋体"/>
                <w:b/>
                <w:bCs/>
                <w:kern w:val="0"/>
                <w:sz w:val="20"/>
                <w:szCs w:val="20"/>
                <w:highlight w:val="none"/>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bottom"/>
          </w:tcPr>
          <w:p>
            <w:pPr>
              <w:widowControl/>
              <w:jc w:val="left"/>
              <w:textAlignment w:val="bottom"/>
              <w:rPr>
                <w:rFonts w:ascii="宋体" w:hAnsi="宋体" w:eastAsia="宋体" w:cs="宋体"/>
                <w:color w:val="000000"/>
                <w:sz w:val="22"/>
                <w:highlight w:val="none"/>
              </w:rPr>
            </w:pPr>
            <w:r>
              <w:rPr>
                <w:rFonts w:hint="eastAsia" w:ascii="Arial" w:hAnsi="Arial" w:eastAsia="宋体" w:cs="宋体"/>
                <w:b/>
                <w:bCs/>
                <w:kern w:val="0"/>
                <w:sz w:val="20"/>
                <w:szCs w:val="20"/>
                <w:highlight w:val="none"/>
              </w:rPr>
              <w:t>壹拾</w:t>
            </w:r>
            <w:r>
              <w:rPr>
                <w:rFonts w:hint="eastAsia" w:ascii="Arial" w:hAnsi="Arial" w:eastAsia="宋体" w:cs="宋体"/>
                <w:b/>
                <w:bCs/>
                <w:kern w:val="0"/>
                <w:sz w:val="20"/>
                <w:szCs w:val="20"/>
                <w:highlight w:val="none"/>
                <w:lang w:val="en-US" w:eastAsia="zh-CN"/>
              </w:rPr>
              <w:t>肆亿叁仟万</w:t>
            </w:r>
            <w:r>
              <w:rPr>
                <w:rFonts w:hint="eastAsia" w:ascii="Arial" w:hAnsi="Arial" w:eastAsia="宋体" w:cs="宋体"/>
                <w:b/>
                <w:bCs/>
                <w:kern w:val="0"/>
                <w:sz w:val="20"/>
                <w:szCs w:val="20"/>
                <w:highlight w:val="none"/>
              </w:rPr>
              <w:t>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pPr>
        <w:rPr>
          <w:rFonts w:ascii="Arial" w:hAnsi="Arial"/>
        </w:rPr>
      </w:pPr>
    </w:p>
    <w:p>
      <w:pPr>
        <w:jc w:val="right"/>
        <w:rPr>
          <w:rFonts w:ascii="Arial" w:hAnsi="Arial"/>
        </w:rPr>
      </w:pPr>
      <w:r>
        <w:rPr>
          <w:rFonts w:hint="eastAsia" w:ascii="Arial" w:hAnsi="Arial" w:eastAsia="宋体" w:cs="宋体"/>
          <w:kern w:val="0"/>
          <w:sz w:val="20"/>
          <w:szCs w:val="20"/>
        </w:rPr>
        <w:t>北京康正宏基房地产评估有限公司</w:t>
      </w:r>
    </w:p>
    <w:p>
      <w:pPr>
        <w:jc w:val="right"/>
      </w:pPr>
      <w:r>
        <w:rPr>
          <w:rFonts w:hint="eastAsia" w:ascii="Arial" w:hAnsi="Arial" w:eastAsia="宋体" w:cs="宋体"/>
          <w:kern w:val="0"/>
          <w:sz w:val="20"/>
          <w:szCs w:val="20"/>
        </w:rPr>
        <w:t>二○二三年十</w:t>
      </w:r>
      <w:r>
        <w:rPr>
          <w:rFonts w:hint="eastAsia" w:ascii="Arial" w:hAnsi="Arial" w:eastAsia="宋体" w:cs="宋体"/>
          <w:kern w:val="0"/>
          <w:sz w:val="20"/>
          <w:szCs w:val="20"/>
        </w:rPr>
        <w:t>二</w:t>
      </w:r>
      <w:r>
        <w:rPr>
          <w:rFonts w:hint="eastAsia" w:ascii="Arial" w:hAnsi="Arial" w:eastAsia="宋体" w:cs="宋体"/>
          <w:kern w:val="0"/>
          <w:sz w:val="20"/>
          <w:szCs w:val="20"/>
        </w:rPr>
        <w:t>月</w:t>
      </w:r>
      <w:r>
        <w:rPr>
          <w:rFonts w:hint="eastAsia" w:ascii="Arial" w:hAnsi="Arial" w:eastAsia="宋体" w:cs="宋体"/>
          <w:kern w:val="0"/>
          <w:sz w:val="20"/>
          <w:szCs w:val="20"/>
          <w:lang w:val="en-US" w:eastAsia="zh-CN"/>
        </w:rPr>
        <w:t>五</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46333F"/>
    <w:rsid w:val="00791B27"/>
    <w:rsid w:val="00795B85"/>
    <w:rsid w:val="00863392"/>
    <w:rsid w:val="00895F2F"/>
    <w:rsid w:val="00A92DEB"/>
    <w:rsid w:val="00B42607"/>
    <w:rsid w:val="00BF20BE"/>
    <w:rsid w:val="00E95130"/>
    <w:rsid w:val="37CB528D"/>
    <w:rsid w:val="52446B20"/>
    <w:rsid w:val="6CFF77EE"/>
    <w:rsid w:val="72F85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152</Words>
  <Characters>869</Characters>
  <Lines>7</Lines>
  <Paragraphs>2</Paragraphs>
  <TotalTime>15</TotalTime>
  <ScaleCrop>false</ScaleCrop>
  <LinksUpToDate>false</LinksUpToDate>
  <CharactersWithSpaces>1019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win10G</cp:lastModifiedBy>
  <dcterms:modified xsi:type="dcterms:W3CDTF">2023-12-05T06:58:00Z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D698524FE298480885E52BCE814BA498_12</vt:lpwstr>
  </property>
</Properties>
</file>