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8F020">
      <w:pPr>
        <w:shd w:val="clear"/>
        <w:adjustRightInd w:val="0"/>
        <w:spacing w:line="432" w:lineRule="auto"/>
        <w:jc w:val="right"/>
        <w:textAlignment w:val="baseline"/>
        <w:rPr>
          <w:rFonts w:ascii="Arial" w:hAnsi="Arial" w:eastAsia="宋体" w:cs="Arial"/>
          <w:b/>
          <w:kern w:val="0"/>
          <w:sz w:val="36"/>
          <w:szCs w:val="36"/>
          <w:highlight w:val="none"/>
        </w:rPr>
      </w:pPr>
      <w:r>
        <w:rPr>
          <w:rFonts w:hint="default" w:ascii="Arial" w:hAnsi="Arial" w:eastAsia="方正黑体简体" w:cs="Arial"/>
          <w:szCs w:val="21"/>
          <w:highlight w:val="none"/>
        </w:rPr>
        <w:t>康正评字202</w:t>
      </w:r>
      <w:r>
        <w:rPr>
          <w:rFonts w:hint="eastAsia" w:ascii="Arial" w:hAnsi="Arial" w:eastAsia="方正黑体简体" w:cs="Arial"/>
          <w:szCs w:val="21"/>
          <w:highlight w:val="none"/>
          <w:lang w:val="en-US" w:eastAsia="zh-CN"/>
        </w:rPr>
        <w:t>4</w:t>
      </w:r>
      <w:r>
        <w:rPr>
          <w:rFonts w:hint="default" w:ascii="Arial" w:hAnsi="Arial" w:eastAsia="方正黑体简体" w:cs="Arial"/>
          <w:szCs w:val="21"/>
          <w:highlight w:val="none"/>
        </w:rPr>
        <w:t>-1-0</w:t>
      </w:r>
      <w:r>
        <w:rPr>
          <w:rFonts w:hint="eastAsia" w:ascii="Arial" w:hAnsi="Arial" w:eastAsia="方正黑体简体" w:cs="Arial"/>
          <w:szCs w:val="21"/>
          <w:highlight w:val="none"/>
          <w:lang w:val="en-US" w:eastAsia="zh-CN"/>
        </w:rPr>
        <w:t>805</w:t>
      </w:r>
      <w:r>
        <w:rPr>
          <w:rFonts w:hint="default" w:ascii="Arial" w:hAnsi="Arial" w:eastAsia="方正黑体简体" w:cs="Arial"/>
          <w:szCs w:val="21"/>
          <w:highlight w:val="none"/>
        </w:rPr>
        <w:t>-F0</w:t>
      </w:r>
      <w:r>
        <w:rPr>
          <w:rFonts w:hint="eastAsia" w:ascii="Arial" w:hAnsi="Arial" w:eastAsia="方正黑体简体" w:cs="Arial"/>
          <w:szCs w:val="21"/>
          <w:highlight w:val="none"/>
          <w:lang w:val="en-US" w:eastAsia="zh-CN"/>
        </w:rPr>
        <w:t>2</w:t>
      </w:r>
      <w:r>
        <w:rPr>
          <w:rFonts w:hint="default" w:ascii="Arial" w:hAnsi="Arial" w:eastAsia="方正黑体简体" w:cs="Arial"/>
          <w:szCs w:val="21"/>
          <w:highlight w:val="none"/>
        </w:rPr>
        <w:t>DYGJ2号</w:t>
      </w:r>
    </w:p>
    <w:p w14:paraId="4D389D21">
      <w:pPr>
        <w:adjustRightInd w:val="0"/>
        <w:spacing w:line="432" w:lineRule="auto"/>
        <w:jc w:val="center"/>
        <w:textAlignment w:val="baseline"/>
        <w:rPr>
          <w:rFonts w:ascii="Arial" w:hAnsi="Arial" w:eastAsia="方正黑体简体" w:cs="Arial"/>
          <w:b/>
          <w:color w:val="000000"/>
          <w:sz w:val="32"/>
          <w:szCs w:val="32"/>
        </w:rPr>
      </w:pPr>
      <w:r>
        <w:rPr>
          <w:rFonts w:hint="eastAsia" w:ascii="Arial" w:hAnsi="Arial" w:eastAsia="方正黑体简体" w:cs="Arial"/>
          <w:b/>
          <w:color w:val="000000"/>
          <w:sz w:val="32"/>
          <w:szCs w:val="32"/>
          <w:highlight w:val="none"/>
          <w:lang w:val="en-US" w:eastAsia="zh-CN"/>
        </w:rPr>
        <w:t>评 估</w:t>
      </w:r>
      <w:r>
        <w:rPr>
          <w:rFonts w:hint="eastAsia" w:ascii="Arial" w:hAnsi="Arial" w:eastAsia="方正黑体简体" w:cs="Arial"/>
          <w:b/>
          <w:color w:val="000000"/>
          <w:sz w:val="32"/>
          <w:szCs w:val="32"/>
          <w:highlight w:val="none"/>
        </w:rPr>
        <w:t xml:space="preserve"> </w:t>
      </w:r>
      <w:r>
        <w:rPr>
          <w:rFonts w:hint="eastAsia" w:ascii="Arial" w:hAnsi="Arial" w:eastAsia="方正黑体简体" w:cs="Arial"/>
          <w:b/>
          <w:color w:val="000000"/>
          <w:sz w:val="32"/>
          <w:szCs w:val="32"/>
        </w:rPr>
        <w:t>说 明</w:t>
      </w:r>
    </w:p>
    <w:p w14:paraId="7B4B6B9B">
      <w:pPr>
        <w:spacing w:line="480" w:lineRule="auto"/>
        <w:jc w:val="both"/>
        <w:rPr>
          <w:rFonts w:ascii="Arial" w:hAnsi="Arial" w:cs="Arial"/>
          <w:sz w:val="21"/>
          <w:szCs w:val="21"/>
        </w:rPr>
      </w:pPr>
      <w:r>
        <w:rPr>
          <w:rFonts w:hint="eastAsia" w:ascii="Arial" w:hAnsi="Arial" w:cs="Arial"/>
          <w:b/>
          <w:kern w:val="2"/>
          <w:sz w:val="21"/>
          <w:szCs w:val="21"/>
        </w:rPr>
        <w:t>中国建设银行股份有限公司北京通州分行</w:t>
      </w:r>
      <w:r>
        <w:rPr>
          <w:rFonts w:ascii="Arial" w:hAnsi="Arial" w:cs="Arial"/>
          <w:sz w:val="21"/>
          <w:szCs w:val="21"/>
        </w:rPr>
        <w:t>：</w:t>
      </w:r>
    </w:p>
    <w:p w14:paraId="01459FCB">
      <w:pPr>
        <w:overflowPunct w:val="0"/>
        <w:adjustRightInd w:val="0"/>
        <w:spacing w:line="480" w:lineRule="auto"/>
        <w:ind w:firstLine="420" w:firstLineChars="200"/>
        <w:jc w:val="both"/>
        <w:textAlignment w:val="auto"/>
        <w:rPr>
          <w:rFonts w:hint="eastAsia" w:ascii="Arial" w:hAnsi="Arial" w:eastAsia="宋体" w:cs="Arial"/>
          <w:kern w:val="0"/>
          <w:sz w:val="21"/>
          <w:szCs w:val="21"/>
          <w:highlight w:val="none"/>
        </w:rPr>
      </w:pPr>
      <w:r>
        <w:rPr>
          <w:rFonts w:hint="eastAsia" w:ascii="Arial" w:hAnsi="Arial" w:eastAsia="宋体" w:cs="Arial"/>
          <w:kern w:val="0"/>
          <w:sz w:val="21"/>
          <w:szCs w:val="21"/>
        </w:rPr>
        <w:t>受贵公司委托，我公司于202</w:t>
      </w:r>
      <w:r>
        <w:rPr>
          <w:rFonts w:hint="eastAsia" w:ascii="Arial" w:hAnsi="Arial" w:eastAsia="宋体" w:cs="Arial"/>
          <w:kern w:val="0"/>
          <w:sz w:val="21"/>
          <w:szCs w:val="21"/>
          <w:lang w:val="en-US" w:eastAsia="zh-CN"/>
        </w:rPr>
        <w:t>4</w:t>
      </w:r>
      <w:r>
        <w:rPr>
          <w:rFonts w:hint="eastAsia" w:ascii="Arial" w:hAnsi="Arial" w:eastAsia="宋体" w:cs="Arial"/>
          <w:kern w:val="0"/>
          <w:sz w:val="21"/>
          <w:szCs w:val="21"/>
        </w:rPr>
        <w:t>年</w:t>
      </w:r>
      <w:r>
        <w:rPr>
          <w:rFonts w:hint="eastAsia" w:ascii="Arial" w:hAnsi="Arial" w:eastAsia="宋体" w:cs="Arial"/>
          <w:kern w:val="0"/>
          <w:sz w:val="21"/>
          <w:szCs w:val="21"/>
          <w:lang w:val="en-US" w:eastAsia="zh-CN"/>
        </w:rPr>
        <w:t>9</w:t>
      </w:r>
      <w:r>
        <w:rPr>
          <w:rFonts w:hint="eastAsia" w:ascii="Arial" w:hAnsi="Arial" w:eastAsia="宋体" w:cs="Arial"/>
          <w:kern w:val="0"/>
          <w:sz w:val="21"/>
          <w:szCs w:val="21"/>
        </w:rPr>
        <w:t>月</w:t>
      </w:r>
      <w:r>
        <w:rPr>
          <w:rFonts w:hint="eastAsia" w:ascii="Arial" w:hAnsi="Arial" w:eastAsia="宋体" w:cs="Arial"/>
          <w:kern w:val="0"/>
          <w:sz w:val="21"/>
          <w:szCs w:val="21"/>
          <w:lang w:val="en-US" w:eastAsia="zh-CN"/>
        </w:rPr>
        <w:t>19</w:t>
      </w:r>
      <w:r>
        <w:rPr>
          <w:rFonts w:hint="eastAsia" w:ascii="Arial" w:hAnsi="Arial" w:eastAsia="宋体" w:cs="Arial"/>
          <w:kern w:val="0"/>
          <w:sz w:val="21"/>
          <w:szCs w:val="21"/>
        </w:rPr>
        <w:t>日（</w:t>
      </w:r>
      <w:r>
        <w:rPr>
          <w:rFonts w:hint="eastAsia" w:ascii="Arial" w:hAnsi="Arial" w:eastAsia="宋体" w:cs="Arial"/>
          <w:kern w:val="0"/>
          <w:sz w:val="21"/>
          <w:szCs w:val="21"/>
          <w:lang w:val="en-US" w:eastAsia="zh-CN"/>
        </w:rPr>
        <w:t>价值时点</w:t>
      </w:r>
      <w:r>
        <w:rPr>
          <w:rFonts w:hint="eastAsia" w:ascii="Arial" w:hAnsi="Arial" w:eastAsia="宋体" w:cs="Arial"/>
          <w:kern w:val="0"/>
          <w:sz w:val="21"/>
          <w:szCs w:val="21"/>
        </w:rPr>
        <w:t>）对北京市通州区于家务TZ11-0200-6003地块及TZ11-0200-6006地块“帅府君园”居住项目（部分）住宅、</w:t>
      </w:r>
      <w:bookmarkStart w:id="0" w:name="_GoBack"/>
      <w:bookmarkEnd w:id="0"/>
      <w:r>
        <w:rPr>
          <w:rFonts w:hint="eastAsia" w:ascii="Arial" w:hAnsi="Arial" w:eastAsia="宋体" w:cs="Arial"/>
          <w:kern w:val="0"/>
          <w:sz w:val="21"/>
          <w:szCs w:val="21"/>
        </w:rPr>
        <w:t>地下仓储及地下车库用房分摊出让国有建设用地使用权及在建建筑物房地产抵押</w:t>
      </w:r>
      <w:r>
        <w:rPr>
          <w:rFonts w:hint="eastAsia" w:ascii="Arial" w:hAnsi="Arial" w:eastAsia="宋体" w:cs="Arial"/>
          <w:kern w:val="0"/>
          <w:sz w:val="21"/>
          <w:szCs w:val="21"/>
          <w:lang w:val="en-US" w:eastAsia="zh-CN"/>
        </w:rPr>
        <w:t>价值</w:t>
      </w:r>
      <w:r>
        <w:rPr>
          <w:rFonts w:hint="eastAsia" w:ascii="Arial" w:hAnsi="Arial" w:eastAsia="宋体" w:cs="Arial"/>
          <w:kern w:val="0"/>
          <w:sz w:val="21"/>
          <w:szCs w:val="21"/>
        </w:rPr>
        <w:t>进行了评估，并于202</w:t>
      </w:r>
      <w:r>
        <w:rPr>
          <w:rFonts w:hint="eastAsia" w:ascii="Arial" w:hAnsi="Arial" w:eastAsia="宋体" w:cs="Arial"/>
          <w:kern w:val="0"/>
          <w:sz w:val="21"/>
          <w:szCs w:val="21"/>
          <w:lang w:val="en-US" w:eastAsia="zh-CN"/>
        </w:rPr>
        <w:t>4</w:t>
      </w:r>
      <w:r>
        <w:rPr>
          <w:rFonts w:hint="eastAsia" w:ascii="Arial" w:hAnsi="Arial" w:eastAsia="宋体" w:cs="Arial"/>
          <w:kern w:val="0"/>
          <w:sz w:val="21"/>
          <w:szCs w:val="21"/>
        </w:rPr>
        <w:t>年</w:t>
      </w:r>
      <w:r>
        <w:rPr>
          <w:rFonts w:hint="eastAsia" w:ascii="Arial" w:hAnsi="Arial" w:eastAsia="宋体" w:cs="Arial"/>
          <w:kern w:val="0"/>
          <w:sz w:val="21"/>
          <w:szCs w:val="21"/>
          <w:lang w:val="en-US" w:eastAsia="zh-CN"/>
        </w:rPr>
        <w:t>10</w:t>
      </w:r>
      <w:r>
        <w:rPr>
          <w:rFonts w:hint="eastAsia" w:ascii="Arial" w:hAnsi="Arial" w:eastAsia="宋体" w:cs="Arial"/>
          <w:kern w:val="0"/>
          <w:sz w:val="21"/>
          <w:szCs w:val="21"/>
        </w:rPr>
        <w:t>月</w:t>
      </w:r>
      <w:r>
        <w:rPr>
          <w:rFonts w:hint="eastAsia" w:ascii="Arial" w:hAnsi="Arial" w:eastAsia="宋体" w:cs="Arial"/>
          <w:kern w:val="0"/>
          <w:sz w:val="21"/>
          <w:szCs w:val="21"/>
          <w:lang w:val="en-US" w:eastAsia="zh-CN"/>
        </w:rPr>
        <w:t>9</w:t>
      </w:r>
      <w:r>
        <w:rPr>
          <w:rFonts w:hint="eastAsia" w:ascii="Arial" w:hAnsi="Arial" w:eastAsia="宋体" w:cs="Arial"/>
          <w:kern w:val="0"/>
          <w:sz w:val="21"/>
          <w:szCs w:val="21"/>
        </w:rPr>
        <w:t>日出具了《房地产抵押估价报告》，报告编号：康正评字2024-1-0805-F01DYGJ2号</w:t>
      </w:r>
      <w:r>
        <w:rPr>
          <w:rFonts w:hint="eastAsia" w:ascii="Arial" w:hAnsi="Arial" w:eastAsia="宋体" w:cs="Arial"/>
          <w:kern w:val="0"/>
          <w:sz w:val="21"/>
          <w:szCs w:val="21"/>
          <w:lang w:eastAsia="zh-CN"/>
        </w:rPr>
        <w:t>，估价对象分摊出让国有建设用地使用权面积（以下简称‘分摊土地面积’）为18947.09平方米（其中TZ11-0200-6003地块7739.72平方米，TZ11-0200-6006地块11207.37平方米），规划建筑面积为50412.67平方</w:t>
      </w:r>
      <w:r>
        <w:rPr>
          <w:rFonts w:hint="eastAsia" w:ascii="Arial" w:hAnsi="Arial" w:eastAsia="宋体" w:cs="Arial"/>
          <w:kern w:val="0"/>
          <w:sz w:val="21"/>
          <w:szCs w:val="21"/>
          <w:highlight w:val="none"/>
          <w:lang w:eastAsia="zh-CN"/>
        </w:rPr>
        <w:t>米（</w:t>
      </w:r>
      <w:r>
        <w:rPr>
          <w:rFonts w:hint="eastAsia" w:ascii="Arial" w:hAnsi="Arial" w:eastAsia="宋体" w:cs="Arial"/>
          <w:kern w:val="0"/>
          <w:sz w:val="21"/>
          <w:szCs w:val="21"/>
          <w:highlight w:val="none"/>
          <w:lang w:val="en-US" w:eastAsia="zh-CN"/>
        </w:rPr>
        <w:t>其中：住宅用房规划建筑面积34163.91平方米，地下仓储用房规划建筑面积10640.81平方米，地下车库用房规划建筑面积5607.95平方米</w:t>
      </w:r>
      <w:r>
        <w:rPr>
          <w:rFonts w:hint="eastAsia" w:ascii="Arial" w:hAnsi="Arial" w:eastAsia="宋体" w:cs="Arial"/>
          <w:kern w:val="0"/>
          <w:sz w:val="21"/>
          <w:szCs w:val="21"/>
          <w:highlight w:val="none"/>
          <w:lang w:eastAsia="zh-CN"/>
        </w:rPr>
        <w:t>），</w:t>
      </w:r>
      <w:r>
        <w:rPr>
          <w:rFonts w:ascii="Arial" w:hAnsi="Arial" w:cs="Arial"/>
          <w:sz w:val="21"/>
          <w:szCs w:val="21"/>
          <w:highlight w:val="none"/>
        </w:rPr>
        <w:t>房地产</w:t>
      </w:r>
      <w:r>
        <w:rPr>
          <w:rFonts w:hint="eastAsia" w:ascii="Arial" w:hAnsi="Arial" w:cs="Arial"/>
          <w:sz w:val="21"/>
          <w:szCs w:val="21"/>
          <w:highlight w:val="none"/>
          <w:lang w:val="en-US" w:eastAsia="zh-CN"/>
        </w:rPr>
        <w:t>市场</w:t>
      </w:r>
      <w:r>
        <w:rPr>
          <w:rFonts w:ascii="Arial" w:hAnsi="Arial" w:cs="Arial"/>
          <w:sz w:val="21"/>
          <w:szCs w:val="21"/>
          <w:highlight w:val="none"/>
        </w:rPr>
        <w:t>价值</w:t>
      </w:r>
      <w:r>
        <w:rPr>
          <w:rFonts w:hint="eastAsia" w:ascii="Arial" w:hAnsi="Arial" w:cs="Arial"/>
          <w:sz w:val="21"/>
          <w:szCs w:val="21"/>
          <w:highlight w:val="none"/>
          <w:lang w:val="en-US" w:eastAsia="zh-CN"/>
        </w:rPr>
        <w:t>为75527万元</w:t>
      </w:r>
      <w:r>
        <w:rPr>
          <w:rFonts w:hint="eastAsia" w:ascii="Arial" w:hAnsi="Arial" w:eastAsia="宋体" w:cs="Arial"/>
          <w:kern w:val="0"/>
          <w:sz w:val="21"/>
          <w:szCs w:val="21"/>
          <w:highlight w:val="none"/>
        </w:rPr>
        <w:t>。</w:t>
      </w:r>
    </w:p>
    <w:p w14:paraId="5DA4F3DC">
      <w:pPr>
        <w:overflowPunct w:val="0"/>
        <w:adjustRightInd w:val="0"/>
        <w:spacing w:line="480" w:lineRule="auto"/>
        <w:ind w:firstLine="420" w:firstLineChars="200"/>
        <w:jc w:val="both"/>
        <w:textAlignment w:val="auto"/>
        <w:rPr>
          <w:rFonts w:hint="default" w:ascii="Arial" w:hAnsi="Arial" w:eastAsia="宋体" w:cs="Arial"/>
          <w:kern w:val="0"/>
          <w:sz w:val="21"/>
          <w:szCs w:val="21"/>
          <w:lang w:val="en-US"/>
        </w:rPr>
      </w:pPr>
      <w:r>
        <w:rPr>
          <w:rFonts w:hint="eastAsia" w:ascii="Arial" w:hAnsi="Arial" w:eastAsia="宋体" w:cs="Arial"/>
          <w:kern w:val="0"/>
          <w:sz w:val="21"/>
          <w:szCs w:val="21"/>
          <w:highlight w:val="none"/>
        </w:rPr>
        <w:t>应估价委托人要求，</w:t>
      </w:r>
      <w:r>
        <w:rPr>
          <w:rFonts w:hint="eastAsia" w:ascii="Arial" w:hAnsi="Arial" w:eastAsia="宋体" w:cs="Arial"/>
          <w:kern w:val="0"/>
          <w:sz w:val="21"/>
          <w:szCs w:val="21"/>
          <w:highlight w:val="none"/>
          <w:lang w:val="en-US" w:eastAsia="zh-CN"/>
        </w:rPr>
        <w:t>本次对估价对象的评估范围进行调整，调整后</w:t>
      </w:r>
      <w:r>
        <w:rPr>
          <w:rFonts w:hint="eastAsia" w:ascii="Arial" w:hAnsi="Arial" w:eastAsia="宋体" w:cs="Arial"/>
          <w:kern w:val="0"/>
          <w:sz w:val="21"/>
          <w:szCs w:val="21"/>
          <w:highlight w:val="none"/>
          <w:lang w:eastAsia="zh-CN"/>
        </w:rPr>
        <w:t>分摊土地面积为</w:t>
      </w:r>
      <w:r>
        <w:rPr>
          <w:rFonts w:hint="eastAsia" w:ascii="Arial" w:hAnsi="Arial" w:eastAsia="宋体" w:cs="Arial"/>
          <w:kern w:val="0"/>
          <w:sz w:val="21"/>
          <w:szCs w:val="21"/>
          <w:highlight w:val="none"/>
          <w:lang w:val="en-US" w:eastAsia="zh-CN"/>
        </w:rPr>
        <w:t>19263.079</w:t>
      </w:r>
      <w:r>
        <w:rPr>
          <w:rFonts w:hint="eastAsia" w:ascii="Arial" w:hAnsi="Arial" w:eastAsia="宋体" w:cs="Arial"/>
          <w:kern w:val="0"/>
          <w:sz w:val="21"/>
          <w:szCs w:val="21"/>
          <w:highlight w:val="none"/>
          <w:lang w:eastAsia="zh-CN"/>
        </w:rPr>
        <w:t>平方米（其中TZ11-0200-6003地块7739.72平方米，TZ11-0200-6006地块</w:t>
      </w:r>
      <w:r>
        <w:rPr>
          <w:rFonts w:hint="eastAsia" w:ascii="Arial" w:hAnsi="Arial" w:eastAsia="宋体" w:cs="Arial"/>
          <w:kern w:val="0"/>
          <w:sz w:val="21"/>
          <w:szCs w:val="21"/>
          <w:highlight w:val="none"/>
          <w:lang w:val="en-US" w:eastAsia="zh-CN"/>
        </w:rPr>
        <w:t>11523.359</w:t>
      </w:r>
      <w:r>
        <w:rPr>
          <w:rFonts w:hint="eastAsia" w:ascii="Arial" w:hAnsi="Arial" w:eastAsia="宋体" w:cs="Arial"/>
          <w:kern w:val="0"/>
          <w:sz w:val="21"/>
          <w:szCs w:val="21"/>
          <w:highlight w:val="none"/>
          <w:lang w:eastAsia="zh-CN"/>
        </w:rPr>
        <w:t>平方米），规划建筑面积为</w:t>
      </w:r>
      <w:r>
        <w:rPr>
          <w:rFonts w:hint="eastAsia" w:ascii="Arial" w:hAnsi="Arial" w:eastAsia="宋体" w:cs="Arial"/>
          <w:kern w:val="0"/>
          <w:sz w:val="21"/>
          <w:szCs w:val="21"/>
          <w:highlight w:val="none"/>
          <w:lang w:val="en-US" w:eastAsia="zh-CN"/>
        </w:rPr>
        <w:t>51241.74</w:t>
      </w:r>
      <w:r>
        <w:rPr>
          <w:rFonts w:hint="eastAsia" w:ascii="Arial" w:hAnsi="Arial" w:eastAsia="宋体" w:cs="Arial"/>
          <w:kern w:val="0"/>
          <w:sz w:val="21"/>
          <w:szCs w:val="21"/>
          <w:highlight w:val="none"/>
          <w:lang w:eastAsia="zh-CN"/>
        </w:rPr>
        <w:t>平方米（</w:t>
      </w:r>
      <w:r>
        <w:rPr>
          <w:rFonts w:hint="eastAsia" w:ascii="Arial" w:hAnsi="Arial" w:eastAsia="宋体" w:cs="Arial"/>
          <w:kern w:val="0"/>
          <w:sz w:val="21"/>
          <w:szCs w:val="21"/>
          <w:highlight w:val="none"/>
          <w:lang w:val="en-US" w:eastAsia="zh-CN"/>
        </w:rPr>
        <w:t>其中：住宅用</w:t>
      </w:r>
      <w:r>
        <w:rPr>
          <w:rFonts w:hint="eastAsia" w:ascii="Arial" w:hAnsi="Arial" w:eastAsia="宋体" w:cs="Arial"/>
          <w:kern w:val="0"/>
          <w:sz w:val="21"/>
          <w:szCs w:val="21"/>
          <w:lang w:val="en-US" w:eastAsia="zh-CN"/>
        </w:rPr>
        <w:t>房规划建筑面积34694.28平方米，地下仓储用房规划建筑面积10939.51平方米，地下车库用房规划建筑面积5607.95平方米</w:t>
      </w:r>
      <w:r>
        <w:rPr>
          <w:rFonts w:hint="eastAsia" w:ascii="Arial" w:hAnsi="Arial" w:eastAsia="宋体" w:cs="Arial"/>
          <w:kern w:val="0"/>
          <w:sz w:val="21"/>
          <w:szCs w:val="21"/>
          <w:lang w:eastAsia="zh-CN"/>
        </w:rPr>
        <w:t>），</w:t>
      </w:r>
      <w:r>
        <w:rPr>
          <w:rFonts w:hint="eastAsia" w:ascii="Arial" w:hAnsi="Arial" w:eastAsia="宋体" w:cs="Arial"/>
          <w:kern w:val="0"/>
          <w:sz w:val="21"/>
          <w:szCs w:val="21"/>
          <w:lang w:val="en-US" w:eastAsia="zh-CN"/>
        </w:rPr>
        <w:t>较调整前新增住宅用房规划建筑面积530.37平方米，地下仓储用房规划建筑面积298.7平方米</w:t>
      </w:r>
      <w:r>
        <w:rPr>
          <w:rFonts w:hint="eastAsia" w:ascii="Arial" w:hAnsi="Arial" w:eastAsia="宋体" w:cs="Arial"/>
          <w:kern w:val="0"/>
          <w:sz w:val="21"/>
          <w:szCs w:val="21"/>
          <w:lang w:eastAsia="zh-CN"/>
        </w:rPr>
        <w:t>。</w:t>
      </w:r>
      <w:r>
        <w:rPr>
          <w:rFonts w:hint="eastAsia" w:ascii="Arial" w:hAnsi="Arial" w:eastAsia="宋体" w:cs="Arial"/>
          <w:kern w:val="0"/>
          <w:sz w:val="21"/>
          <w:szCs w:val="21"/>
          <w:lang w:val="en-US" w:eastAsia="zh-CN"/>
        </w:rPr>
        <w:t>经评估专业人员测算，于价值时点2024年9月19日，调整评估范围后的房地产市场价值不低于前述评估报告载明房地产市场价值。</w:t>
      </w:r>
    </w:p>
    <w:p w14:paraId="1247D86E">
      <w:pPr>
        <w:overflowPunct w:val="0"/>
        <w:adjustRightInd w:val="0"/>
        <w:spacing w:line="360" w:lineRule="auto"/>
        <w:ind w:firstLine="420" w:firstLineChars="200"/>
        <w:jc w:val="both"/>
        <w:textAlignment w:val="auto"/>
        <w:rPr>
          <w:rFonts w:hint="eastAsia" w:ascii="Arial" w:hAnsi="Arial" w:eastAsia="宋体" w:cs="Arial"/>
          <w:kern w:val="0"/>
          <w:sz w:val="10"/>
          <w:szCs w:val="10"/>
          <w:lang w:val="en-US" w:eastAsia="zh-CN"/>
        </w:rPr>
      </w:pPr>
      <w:r>
        <w:rPr>
          <w:rFonts w:hint="eastAsia" w:ascii="Arial" w:hAnsi="Arial" w:eastAsia="宋体" w:cs="Arial"/>
          <w:kern w:val="0"/>
          <w:sz w:val="21"/>
          <w:szCs w:val="21"/>
          <w:lang w:val="en-US" w:eastAsia="zh-CN"/>
        </w:rPr>
        <w:t>特此说明</w:t>
      </w:r>
    </w:p>
    <w:p w14:paraId="2CBD5E94">
      <w:pPr>
        <w:overflowPunct w:val="0"/>
        <w:adjustRightInd w:val="0"/>
        <w:spacing w:line="360" w:lineRule="auto"/>
        <w:ind w:firstLine="200" w:firstLineChars="200"/>
        <w:jc w:val="both"/>
        <w:textAlignment w:val="auto"/>
        <w:rPr>
          <w:rFonts w:hint="eastAsia" w:ascii="Arial" w:hAnsi="Arial" w:eastAsia="宋体" w:cs="Arial"/>
          <w:kern w:val="0"/>
          <w:sz w:val="10"/>
          <w:szCs w:val="10"/>
          <w:lang w:val="en-US" w:eastAsia="zh-CN"/>
        </w:rPr>
      </w:pPr>
    </w:p>
    <w:tbl>
      <w:tblPr>
        <w:tblStyle w:val="6"/>
        <w:tblW w:w="9299" w:type="dxa"/>
        <w:jc w:val="center"/>
        <w:tblLayout w:type="fixed"/>
        <w:tblCellMar>
          <w:top w:w="0" w:type="dxa"/>
          <w:left w:w="0" w:type="dxa"/>
          <w:bottom w:w="0" w:type="dxa"/>
          <w:right w:w="0" w:type="dxa"/>
        </w:tblCellMar>
      </w:tblPr>
      <w:tblGrid>
        <w:gridCol w:w="6096"/>
        <w:gridCol w:w="3203"/>
      </w:tblGrid>
      <w:tr w14:paraId="3B6B63F7">
        <w:tblPrEx>
          <w:tblCellMar>
            <w:top w:w="0" w:type="dxa"/>
            <w:left w:w="0" w:type="dxa"/>
            <w:bottom w:w="0" w:type="dxa"/>
            <w:right w:w="0" w:type="dxa"/>
          </w:tblCellMar>
        </w:tblPrEx>
        <w:trPr>
          <w:cantSplit/>
          <w:trHeight w:val="413" w:hRule="atLeast"/>
          <w:jc w:val="center"/>
        </w:trPr>
        <w:tc>
          <w:tcPr>
            <w:tcW w:w="6096" w:type="dxa"/>
            <w:noWrap w:val="0"/>
            <w:vAlign w:val="top"/>
          </w:tcPr>
          <w:p w14:paraId="59E9C843">
            <w:pPr>
              <w:spacing w:line="480" w:lineRule="auto"/>
              <w:jc w:val="right"/>
              <w:rPr>
                <w:rFonts w:ascii="Arial" w:hAnsi="Arial" w:cs="Arial"/>
                <w:sz w:val="21"/>
                <w:szCs w:val="21"/>
              </w:rPr>
            </w:pPr>
          </w:p>
        </w:tc>
        <w:tc>
          <w:tcPr>
            <w:tcW w:w="3203" w:type="dxa"/>
            <w:noWrap w:val="0"/>
            <w:vAlign w:val="top"/>
          </w:tcPr>
          <w:p w14:paraId="54FEBD04">
            <w:pPr>
              <w:spacing w:line="480" w:lineRule="auto"/>
              <w:rPr>
                <w:rFonts w:ascii="Arial" w:hAnsi="Arial" w:cs="Arial"/>
                <w:sz w:val="21"/>
                <w:szCs w:val="21"/>
              </w:rPr>
            </w:pPr>
            <w:r>
              <w:rPr>
                <w:rFonts w:ascii="Arial" w:hAnsi="Arial" w:cs="Arial"/>
                <w:sz w:val="21"/>
                <w:szCs w:val="21"/>
              </w:rPr>
              <w:t>北京康正宏基房地产评估有限公司</w:t>
            </w:r>
          </w:p>
        </w:tc>
      </w:tr>
      <w:tr w14:paraId="0761928B">
        <w:tblPrEx>
          <w:tblCellMar>
            <w:top w:w="0" w:type="dxa"/>
            <w:left w:w="0" w:type="dxa"/>
            <w:bottom w:w="0" w:type="dxa"/>
            <w:right w:w="0" w:type="dxa"/>
          </w:tblCellMar>
        </w:tblPrEx>
        <w:trPr>
          <w:cantSplit/>
          <w:trHeight w:val="480" w:hRule="atLeast"/>
          <w:jc w:val="center"/>
        </w:trPr>
        <w:tc>
          <w:tcPr>
            <w:tcW w:w="6096" w:type="dxa"/>
            <w:noWrap w:val="0"/>
            <w:vAlign w:val="top"/>
          </w:tcPr>
          <w:p w14:paraId="0A97EE5C">
            <w:pPr>
              <w:spacing w:line="480" w:lineRule="auto"/>
              <w:jc w:val="right"/>
              <w:rPr>
                <w:rFonts w:ascii="Arial" w:hAnsi="Arial" w:cs="Arial"/>
                <w:sz w:val="21"/>
                <w:szCs w:val="21"/>
              </w:rPr>
            </w:pPr>
          </w:p>
        </w:tc>
        <w:tc>
          <w:tcPr>
            <w:tcW w:w="3203" w:type="dxa"/>
            <w:noWrap w:val="0"/>
            <w:vAlign w:val="top"/>
          </w:tcPr>
          <w:p w14:paraId="3AFF5F88">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○二五</w:t>
            </w:r>
            <w:r>
              <w:rPr>
                <w:rFonts w:ascii="Arial" w:hAnsi="Arial" w:cs="Arial"/>
                <w:sz w:val="21"/>
                <w:szCs w:val="21"/>
              </w:rPr>
              <w:t>年</w:t>
            </w:r>
            <w:r>
              <w:rPr>
                <w:rFonts w:hint="eastAsia" w:ascii="Arial" w:hAnsi="Arial" w:cs="Arial"/>
                <w:sz w:val="21"/>
                <w:szCs w:val="21"/>
                <w:lang w:val="en-US" w:eastAsia="zh-CN"/>
              </w:rPr>
              <w:t>七</w:t>
            </w:r>
            <w:r>
              <w:rPr>
                <w:rFonts w:hint="eastAsia" w:ascii="Arial" w:hAnsi="Arial" w:cs="Arial"/>
                <w:sz w:val="21"/>
                <w:szCs w:val="21"/>
              </w:rPr>
              <w:t>月十</w:t>
            </w:r>
            <w:r>
              <w:rPr>
                <w:rFonts w:hint="eastAsia" w:ascii="Arial" w:hAnsi="Arial" w:cs="Arial"/>
                <w:sz w:val="21"/>
                <w:szCs w:val="21"/>
                <w:lang w:val="en-US" w:eastAsia="zh-CN"/>
              </w:rPr>
              <w:t>六</w:t>
            </w:r>
            <w:r>
              <w:rPr>
                <w:rFonts w:hint="eastAsia" w:ascii="Arial" w:hAnsi="Arial" w:cs="Arial"/>
                <w:sz w:val="21"/>
                <w:szCs w:val="21"/>
              </w:rPr>
              <w:t>日</w:t>
            </w:r>
          </w:p>
        </w:tc>
      </w:tr>
    </w:tbl>
    <w:p w14:paraId="18832684">
      <w:pPr>
        <w:rPr>
          <w:rFonts w:ascii="Arial" w:hAnsi="Arial" w:eastAsia="仿宋_GB2312" w:cs="Arial"/>
          <w:kern w:val="0"/>
          <w:sz w:val="28"/>
          <w:szCs w:val="20"/>
        </w:rPr>
      </w:pPr>
    </w:p>
    <w:sectPr>
      <w:headerReference r:id="rId3" w:type="default"/>
      <w:pgSz w:w="11906" w:h="16838"/>
      <w:pgMar w:top="1355" w:right="1451" w:bottom="1355" w:left="14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D1DCD">
    <w:pPr>
      <w:pStyle w:val="5"/>
    </w:pPr>
    <w:r>
      <w:drawing>
        <wp:inline distT="0" distB="0" distL="114300" distR="114300">
          <wp:extent cx="5902325" cy="284480"/>
          <wp:effectExtent l="0" t="0" r="10795" b="508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dit="readOnly"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28F71645"/>
    <w:rsid w:val="000263DD"/>
    <w:rsid w:val="000D5268"/>
    <w:rsid w:val="00143511"/>
    <w:rsid w:val="001C240C"/>
    <w:rsid w:val="00412E59"/>
    <w:rsid w:val="00605CC5"/>
    <w:rsid w:val="00702FC7"/>
    <w:rsid w:val="00744717"/>
    <w:rsid w:val="007B73CE"/>
    <w:rsid w:val="008A7B41"/>
    <w:rsid w:val="00A44002"/>
    <w:rsid w:val="00A74520"/>
    <w:rsid w:val="00C30223"/>
    <w:rsid w:val="00CC75FF"/>
    <w:rsid w:val="00DA6D09"/>
    <w:rsid w:val="00F21EC7"/>
    <w:rsid w:val="00F6538B"/>
    <w:rsid w:val="07866582"/>
    <w:rsid w:val="11AD4154"/>
    <w:rsid w:val="200D34F7"/>
    <w:rsid w:val="211A411E"/>
    <w:rsid w:val="28F71645"/>
    <w:rsid w:val="2E2666C5"/>
    <w:rsid w:val="334A46BD"/>
    <w:rsid w:val="3CE147AD"/>
    <w:rsid w:val="3DB84049"/>
    <w:rsid w:val="3ECD02AA"/>
    <w:rsid w:val="3F6F3998"/>
    <w:rsid w:val="43A85162"/>
    <w:rsid w:val="45C30776"/>
    <w:rsid w:val="472A5B3C"/>
    <w:rsid w:val="514A7668"/>
    <w:rsid w:val="56AF342B"/>
    <w:rsid w:val="60B749D3"/>
    <w:rsid w:val="64A66221"/>
    <w:rsid w:val="652561BA"/>
    <w:rsid w:val="674A1316"/>
    <w:rsid w:val="69795742"/>
    <w:rsid w:val="6BCF24A3"/>
    <w:rsid w:val="6F833042"/>
    <w:rsid w:val="72921E4D"/>
    <w:rsid w:val="749A370B"/>
    <w:rsid w:val="77AE3374"/>
    <w:rsid w:val="77CD43DF"/>
    <w:rsid w:val="7855316D"/>
    <w:rsid w:val="7F37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00" w:lineRule="auto"/>
      <w:outlineLvl w:val="0"/>
    </w:pPr>
    <w:rPr>
      <w:rFonts w:ascii="Arial" w:hAnsi="Arial" w:eastAsia="仿宋_GB2312" w:cs="Arial"/>
      <w:b/>
      <w:sz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paragraph" w:customStyle="1" w:styleId="10">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框文本 Char"/>
    <w:basedOn w:val="8"/>
    <w:link w:val="3"/>
    <w:qFormat/>
    <w:uiPriority w:val="0"/>
    <w:rPr>
      <w:kern w:val="2"/>
      <w:sz w:val="18"/>
      <w:szCs w:val="18"/>
    </w:rPr>
  </w:style>
  <w:style w:type="character" w:customStyle="1" w:styleId="12">
    <w:name w:val="font21"/>
    <w:basedOn w:val="8"/>
    <w:qFormat/>
    <w:uiPriority w:val="0"/>
    <w:rPr>
      <w:rFonts w:hint="default" w:ascii="Arial" w:hAnsi="Arial" w:cs="Arial"/>
      <w:color w:val="000000"/>
      <w:sz w:val="22"/>
      <w:szCs w:val="22"/>
      <w:u w:val="none"/>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122"/>
    <w:basedOn w:val="8"/>
    <w:qFormat/>
    <w:uiPriority w:val="0"/>
    <w:rPr>
      <w:rFonts w:ascii="仿宋_GB2312" w:eastAsia="仿宋_GB2312" w:cs="仿宋_GB2312"/>
      <w:b/>
      <w:bCs/>
      <w:color w:val="000000"/>
      <w:sz w:val="20"/>
      <w:szCs w:val="20"/>
      <w:u w:val="none"/>
    </w:rPr>
  </w:style>
  <w:style w:type="character" w:customStyle="1" w:styleId="15">
    <w:name w:val="font91"/>
    <w:basedOn w:val="8"/>
    <w:qFormat/>
    <w:uiPriority w:val="0"/>
    <w:rPr>
      <w:rFonts w:hint="default" w:ascii="仿宋_GB2312" w:eastAsia="仿宋_GB2312" w:cs="仿宋_GB2312"/>
      <w:color w:val="000000"/>
      <w:sz w:val="20"/>
      <w:szCs w:val="20"/>
      <w:u w:val="none"/>
    </w:rPr>
  </w:style>
  <w:style w:type="character" w:customStyle="1" w:styleId="16">
    <w:name w:val="font131"/>
    <w:basedOn w:val="8"/>
    <w:qFormat/>
    <w:uiPriority w:val="0"/>
    <w:rPr>
      <w:rFonts w:hint="default" w:ascii="仿宋_GB2312" w:eastAsia="仿宋_GB2312" w:cs="仿宋_GB2312"/>
      <w:b/>
      <w:bCs/>
      <w:color w:val="000000"/>
      <w:sz w:val="20"/>
      <w:szCs w:val="20"/>
      <w:u w:val="none"/>
    </w:rPr>
  </w:style>
  <w:style w:type="character" w:customStyle="1" w:styleId="17">
    <w:name w:val="font71"/>
    <w:basedOn w:val="8"/>
    <w:qFormat/>
    <w:uiPriority w:val="0"/>
    <w:rPr>
      <w:rFonts w:hint="eastAsia" w:ascii="宋体" w:hAnsi="宋体" w:eastAsia="宋体" w:cs="宋体"/>
      <w:color w:val="000000"/>
      <w:sz w:val="20"/>
      <w:szCs w:val="20"/>
      <w:u w:val="none"/>
    </w:rPr>
  </w:style>
  <w:style w:type="character" w:customStyle="1" w:styleId="18">
    <w:name w:val="font12"/>
    <w:basedOn w:val="8"/>
    <w:qFormat/>
    <w:uiPriority w:val="0"/>
    <w:rPr>
      <w:rFonts w:hint="default" w:ascii="Arial" w:hAnsi="Arial" w:cs="Arial"/>
      <w:color w:val="000000"/>
      <w:sz w:val="20"/>
      <w:szCs w:val="20"/>
      <w:u w:val="none"/>
    </w:rPr>
  </w:style>
  <w:style w:type="character" w:customStyle="1" w:styleId="19">
    <w:name w:val="font141"/>
    <w:basedOn w:val="8"/>
    <w:qFormat/>
    <w:uiPriority w:val="0"/>
    <w:rPr>
      <w:rFonts w:hint="default" w:ascii="仿宋_GB2312" w:eastAsia="仿宋_GB2312" w:cs="仿宋_GB2312"/>
      <w:color w:val="000000"/>
      <w:sz w:val="20"/>
      <w:szCs w:val="20"/>
      <w:u w:val="none"/>
    </w:rPr>
  </w:style>
  <w:style w:type="character" w:customStyle="1" w:styleId="20">
    <w:name w:val="font151"/>
    <w:basedOn w:val="8"/>
    <w:qFormat/>
    <w:uiPriority w:val="0"/>
    <w:rPr>
      <w:rFonts w:hint="default" w:ascii="仿宋_GB2312" w:eastAsia="仿宋_GB2312" w:cs="仿宋_GB2312"/>
      <w:color w:val="000000"/>
      <w:sz w:val="18"/>
      <w:szCs w:val="18"/>
      <w:u w:val="none"/>
    </w:rPr>
  </w:style>
  <w:style w:type="character" w:customStyle="1" w:styleId="21">
    <w:name w:val="font161"/>
    <w:basedOn w:val="8"/>
    <w:qFormat/>
    <w:uiPriority w:val="0"/>
    <w:rPr>
      <w:rFonts w:hint="default" w:ascii="仿宋_GB2312" w:eastAsia="仿宋_GB2312" w:cs="仿宋_GB2312"/>
      <w:color w:val="FF0000"/>
      <w:sz w:val="20"/>
      <w:szCs w:val="20"/>
      <w:u w:val="none"/>
    </w:rPr>
  </w:style>
  <w:style w:type="character" w:customStyle="1" w:styleId="22">
    <w:name w:val="font171"/>
    <w:basedOn w:val="8"/>
    <w:qFormat/>
    <w:uiPriority w:val="0"/>
    <w:rPr>
      <w:rFonts w:hint="default" w:ascii="Arial" w:hAnsi="Arial" w:cs="Arial"/>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547</Words>
  <Characters>784</Characters>
  <Lines>14</Lines>
  <Paragraphs>4</Paragraphs>
  <TotalTime>38</TotalTime>
  <ScaleCrop>false</ScaleCrop>
  <LinksUpToDate>false</LinksUpToDate>
  <CharactersWithSpaces>787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2022-10-11T02:21:00Z</dcterms:created>
  <dc:creator>kbb2345</dc:creator>
  <cp:lastModifiedBy>WPS_1673068481</cp:lastModifiedBy>
  <cp:lastPrinted>2025-07-16T08:16:00Z</cp:lastPrinted>
  <dcterms:modified xsi:type="dcterms:W3CDTF">2025-07-17T08:22:25Z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2FF8788149AF4F1393B647753F4F9BF7_13</vt:lpwstr>
  </property>
  <property fmtid="{D5CDD505-2E9C-101B-9397-08002B2CF9AE}" pid="4" name="KSOTemplateDocerSaveRecord">
    <vt:lpwstr>eyJoZGlkIjoiMmE3OTZkMDU4ZmY0NjM3NjQ3MGQzZDk0ZmE4NjBlMjMiLCJ1c2VySWQiOiIxNDY1MTE2MjA1In0=</vt:lpwstr>
  </property>
</Properties>
</file>