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备案号：</w:t>
            </w:r>
          </w:p>
        </w:tc>
        <w:tc>
          <w:tcPr>
            <w:tcW w:w="1939" w:type="pct"/>
            <w:vMerge w:val="restart"/>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查询码：</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bl>
    <w:p>
      <w:pPr>
        <w:spacing w:line="300" w:lineRule="auto"/>
        <w:jc w:val="center"/>
        <w:rPr>
          <w:rFonts w:ascii="Arial" w:hAnsi="Arial" w:eastAsia="楷体_GB2312" w:cs="Arial"/>
          <w:b/>
          <w:sz w:val="32"/>
        </w:rPr>
      </w:pPr>
    </w:p>
    <w:p>
      <w:pPr>
        <w:spacing w:line="300" w:lineRule="auto"/>
        <w:jc w:val="center"/>
        <w:rPr>
          <w:rFonts w:ascii="Arial" w:hAnsi="Arial" w:eastAsia="楷体_GB2312" w:cs="Arial"/>
          <w:b/>
          <w:sz w:val="32"/>
        </w:rPr>
      </w:pPr>
    </w:p>
    <w:p>
      <w:pPr>
        <w:spacing w:line="300"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300" w:lineRule="auto"/>
        <w:jc w:val="center"/>
        <w:rPr>
          <w:rFonts w:ascii="Arial" w:hAnsi="Arial" w:eastAsia="昆仑仿宋" w:cs="Arial"/>
          <w:b/>
          <w:sz w:val="44"/>
        </w:rPr>
      </w:pPr>
    </w:p>
    <w:p>
      <w:pPr>
        <w:spacing w:line="300" w:lineRule="auto"/>
        <w:jc w:val="center"/>
        <w:rPr>
          <w:rFonts w:ascii="Arial" w:hAnsi="Arial" w:eastAsia="楷体_GB2312" w:cs="Arial"/>
          <w:b/>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300" w:lineRule="auto"/>
        <w:jc w:val="both"/>
        <w:rPr>
          <w:rFonts w:ascii="Arial" w:hAnsi="Arial" w:eastAsia="楷体_GB2312" w:cs="Arial"/>
          <w:b/>
          <w:sz w:val="32"/>
        </w:rPr>
      </w:pPr>
    </w:p>
    <w:p>
      <w:pPr>
        <w:spacing w:line="300" w:lineRule="auto"/>
        <w:ind w:left="3213" w:hanging="3213" w:hangingChars="1000"/>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北京康正2023（估）字第0012号</w:t>
      </w:r>
    </w:p>
    <w:p>
      <w:pPr>
        <w:spacing w:line="300" w:lineRule="auto"/>
        <w:ind w:left="2400" w:leftChars="1000" w:firstLine="482" w:firstLineChars="150"/>
        <w:jc w:val="both"/>
        <w:rPr>
          <w:rFonts w:ascii="Arial" w:hAnsi="Arial" w:eastAsia="楷体_GB2312" w:cs="Arial"/>
          <w:b/>
          <w:sz w:val="32"/>
        </w:rPr>
      </w:pPr>
      <w:r>
        <w:rPr>
          <w:rFonts w:hint="eastAsia" w:ascii="Arial" w:hAnsi="Arial" w:eastAsia="楷体_GB2312" w:cs="Arial"/>
          <w:b/>
          <w:sz w:val="32"/>
        </w:rPr>
        <w:t>2023-1-0432-F01TDCR6</w:t>
      </w:r>
    </w:p>
    <w:p>
      <w:pPr>
        <w:spacing w:line="300" w:lineRule="auto"/>
        <w:jc w:val="both"/>
        <w:rPr>
          <w:rFonts w:ascii="Arial" w:hAnsi="Arial" w:eastAsia="楷体_GB2312" w:cs="Arial"/>
          <w:b/>
          <w:sz w:val="32"/>
        </w:rPr>
      </w:pPr>
    </w:p>
    <w:p>
      <w:pPr>
        <w:tabs>
          <w:tab w:val="left" w:pos="6413"/>
        </w:tabs>
        <w:spacing w:line="300" w:lineRule="auto"/>
        <w:jc w:val="both"/>
        <w:rPr>
          <w:rFonts w:ascii="Arial" w:hAnsi="Arial" w:eastAsia="仿宋_GB2312" w:cs="Arial"/>
          <w:sz w:val="44"/>
        </w:rPr>
      </w:pPr>
      <w:r>
        <w:rPr>
          <w:rFonts w:ascii="Arial" w:hAnsi="Arial" w:eastAsia="楷体_GB2312" w:cs="Arial"/>
          <w:b/>
          <w:sz w:val="32"/>
        </w:rPr>
        <w:t>提交估价报告日期：</w:t>
      </w:r>
      <w:r>
        <w:rPr>
          <w:rFonts w:hint="eastAsia" w:ascii="Arial" w:hAnsi="Arial" w:eastAsia="楷体_GB2312" w:cs="Arial"/>
          <w:b/>
          <w:sz w:val="32"/>
        </w:rPr>
        <w:t>2023年6月9日</w:t>
      </w:r>
      <w:r>
        <w:rPr>
          <w:rFonts w:ascii="Arial" w:hAnsi="Arial" w:eastAsia="楷体_GB2312" w:cs="Arial"/>
          <w:b/>
          <w:sz w:val="32"/>
        </w:rPr>
        <w:tab/>
      </w:r>
      <w:r>
        <w:rPr>
          <w:rFonts w:ascii="Arial" w:hAnsi="Arial" w:eastAsia="仿宋_GB2312" w:cs="Arial"/>
          <w:sz w:val="44"/>
        </w:rPr>
        <w:tab/>
      </w:r>
    </w:p>
    <w:p>
      <w:pPr>
        <w:widowControl/>
        <w:adjustRightInd/>
        <w:spacing w:line="30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300" w:lineRule="auto"/>
        <w:jc w:val="both"/>
        <w:rPr>
          <w:rFonts w:ascii="Arial" w:hAnsi="Arial" w:eastAsia="仿宋_GB2312" w:cs="Arial"/>
          <w:sz w:val="44"/>
        </w:rPr>
        <w:sectPr>
          <w:footerReference r:id="rId11" w:type="first"/>
          <w:headerReference r:id="rId7" w:type="default"/>
          <w:footerReference r:id="rId9" w:type="default"/>
          <w:headerReference r:id="rId8" w:type="even"/>
          <w:footerReference r:id="rId10"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rPr>
      </w:pPr>
      <w:r>
        <w:rPr>
          <w:rFonts w:ascii="Arial" w:hAnsi="Arial" w:cs="Arial"/>
          <w:b/>
          <w:sz w:val="32"/>
          <w:szCs w:val="32"/>
        </w:rPr>
        <w:t>目录</w:t>
      </w:r>
    </w:p>
    <w:p>
      <w:pPr>
        <w:pStyle w:val="23"/>
        <w:spacing w:line="300" w:lineRule="auto"/>
        <w:rPr>
          <w:rFonts w:ascii="Arial" w:cs="Arial" w:eastAsiaTheme="minorEastAsia"/>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ascii="Arial" w:cs="Arial"/>
          <w:b/>
        </w:rPr>
        <w:t>第一部分  摘  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"_Toc69393367" </w:instrText>
      </w:r>
      <w:r>
        <w:fldChar w:fldCharType="separate"/>
      </w:r>
      <w:r>
        <w:rPr>
          <w:rStyle w:val="40"/>
          <w:rFonts w:ascii="Arial" w:hAnsi="Arial" w:eastAsia="仿宋_GB2312"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"_Toc69393368" </w:instrText>
      </w:r>
      <w:r>
        <w:fldChar w:fldCharType="separate"/>
      </w:r>
      <w:r>
        <w:rPr>
          <w:rStyle w:val="40"/>
          <w:rFonts w:ascii="Arial" w:hAnsi="Arial" w:eastAsia="仿宋_GB2312"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"_Toc69393369" </w:instrText>
      </w:r>
      <w:r>
        <w:fldChar w:fldCharType="separate"/>
      </w:r>
      <w:r>
        <w:rPr>
          <w:rStyle w:val="40"/>
          <w:rFonts w:ascii="Arial" w:hAnsi="Arial" w:eastAsia="仿宋_GB2312"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"_Toc69393370" </w:instrText>
      </w:r>
      <w:r>
        <w:fldChar w:fldCharType="separate"/>
      </w:r>
      <w:r>
        <w:rPr>
          <w:rStyle w:val="40"/>
          <w:rFonts w:ascii="Arial" w:hAnsi="Arial" w:eastAsia="仿宋_GB2312"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"_Toc69393371" </w:instrText>
      </w:r>
      <w:r>
        <w:fldChar w:fldCharType="separate"/>
      </w:r>
      <w:r>
        <w:rPr>
          <w:rStyle w:val="40"/>
          <w:rFonts w:ascii="Arial" w:hAnsi="Arial" w:eastAsia="仿宋_GB2312"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"_Toc69393372" </w:instrText>
      </w:r>
      <w:r>
        <w:fldChar w:fldCharType="separate"/>
      </w:r>
      <w:r>
        <w:rPr>
          <w:rStyle w:val="40"/>
          <w:rFonts w:ascii="Arial" w:hAnsi="Arial" w:eastAsia="仿宋_GB2312"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"_Toc69393373" </w:instrText>
      </w:r>
      <w:r>
        <w:fldChar w:fldCharType="separate"/>
      </w:r>
      <w:r>
        <w:rPr>
          <w:rStyle w:val="40"/>
          <w:rFonts w:ascii="Arial" w:hAnsi="Arial" w:eastAsia="仿宋_GB2312"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"_Toc69393374" </w:instrText>
      </w:r>
      <w:r>
        <w:fldChar w:fldCharType="separate"/>
      </w:r>
      <w:r>
        <w:rPr>
          <w:rStyle w:val="40"/>
          <w:rFonts w:ascii="Arial" w:hAnsi="Arial" w:cs="Arial"/>
          <w:b/>
          <w:bCs/>
        </w:rPr>
        <w:t>八</w:t>
      </w:r>
      <w:r>
        <w:rPr>
          <w:rStyle w:val="40"/>
          <w:rFonts w:ascii="Arial" w:hAnsi="Arial" w:eastAsia="仿宋_GB2312"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"_Toc69393375" </w:instrText>
      </w:r>
      <w:r>
        <w:fldChar w:fldCharType="separate"/>
      </w:r>
      <w:r>
        <w:rPr>
          <w:rStyle w:val="40"/>
          <w:rFonts w:ascii="Arial" w:hAnsi="Arial" w:eastAsia="仿宋_GB2312"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"_Toc69393376" </w:instrText>
      </w:r>
      <w:r>
        <w:fldChar w:fldCharType="separate"/>
      </w:r>
      <w:r>
        <w:rPr>
          <w:rStyle w:val="40"/>
          <w:rFonts w:ascii="Arial" w:cs="Arial"/>
          <w:b/>
        </w:rPr>
        <w:t>第二部分  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fldChar w:fldCharType="separate"/>
      </w:r>
      <w:r>
        <w:rPr>
          <w:rFonts w:ascii="Arial" w:cs="Arial"/>
        </w:rPr>
        <w:t>12</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"_Toc69393377" </w:instrText>
      </w:r>
      <w:r>
        <w:fldChar w:fldCharType="separate"/>
      </w:r>
      <w:r>
        <w:rPr>
          <w:rStyle w:val="40"/>
          <w:rFonts w:ascii="Arial" w:hAnsi="Arial" w:eastAsia="仿宋_GB2312"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"_Toc69393378" </w:instrText>
      </w:r>
      <w:r>
        <w:fldChar w:fldCharType="separate"/>
      </w:r>
      <w:r>
        <w:rPr>
          <w:rStyle w:val="40"/>
          <w:rFonts w:ascii="Arial" w:hAnsi="Arial" w:eastAsia="仿宋_GB2312"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"_Toc69393379" </w:instrText>
      </w:r>
      <w:r>
        <w:fldChar w:fldCharType="separate"/>
      </w:r>
      <w:r>
        <w:rPr>
          <w:rStyle w:val="40"/>
          <w:rFonts w:ascii="Arial" w:hAnsi="Arial" w:eastAsia="仿宋_GB2312"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"_Toc69393380" </w:instrText>
      </w:r>
      <w:r>
        <w:fldChar w:fldCharType="separate"/>
      </w:r>
      <w:r>
        <w:rPr>
          <w:rStyle w:val="40"/>
          <w:rFonts w:ascii="Arial" w:hAnsi="Arial" w:eastAsia="仿宋_GB2312"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"_Toc69393381" </w:instrText>
      </w:r>
      <w:r>
        <w:fldChar w:fldCharType="separate"/>
      </w:r>
      <w:r>
        <w:rPr>
          <w:rStyle w:val="40"/>
          <w:rFonts w:ascii="Arial" w:cs="Arial"/>
          <w:b/>
        </w:rPr>
        <w:t>第三部分  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fldChar w:fldCharType="separate"/>
      </w:r>
      <w:r>
        <w:rPr>
          <w:rFonts w:ascii="Arial" w:cs="Arial"/>
        </w:rPr>
        <w:t>33</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"_Toc69393382" </w:instrText>
      </w:r>
      <w:r>
        <w:fldChar w:fldCharType="separate"/>
      </w:r>
      <w:r>
        <w:rPr>
          <w:rStyle w:val="40"/>
          <w:rFonts w:ascii="Arial" w:hAnsi="Arial" w:eastAsia="仿宋_GB2312"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"_Toc69393383" </w:instrText>
      </w:r>
      <w:r>
        <w:fldChar w:fldCharType="separate"/>
      </w:r>
      <w:r>
        <w:rPr>
          <w:rStyle w:val="40"/>
          <w:rFonts w:ascii="Arial" w:hAnsi="Arial" w:eastAsia="仿宋_GB2312"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fldChar w:fldCharType="separate"/>
      </w:r>
      <w:r>
        <w:rPr>
          <w:rFonts w:ascii="Arial" w:hAnsi="Arial" w:cs="Arial"/>
        </w:rPr>
        <w:t>37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"_Toc69393384" </w:instrText>
      </w:r>
      <w:r>
        <w:fldChar w:fldCharType="separate"/>
      </w:r>
      <w:r>
        <w:rPr>
          <w:rStyle w:val="40"/>
          <w:rFonts w:ascii="Arial" w:hAnsi="Arial" w:eastAsia="仿宋_GB2312"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fldChar w:fldCharType="separate"/>
      </w:r>
      <w:r>
        <w:rPr>
          <w:rFonts w:ascii="Arial" w:hAnsi="Arial" w:cs="Arial"/>
        </w:rPr>
        <w:t>47</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"_Toc69393385" </w:instrText>
      </w:r>
      <w:r>
        <w:fldChar w:fldCharType="separate"/>
      </w:r>
      <w:r>
        <w:rPr>
          <w:rStyle w:val="40"/>
          <w:rFonts w:ascii="Arial" w:cs="Arial"/>
          <w:b/>
        </w:rPr>
        <w:t>第四部分  附  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fldChar w:fldCharType="separate"/>
      </w:r>
      <w:r>
        <w:rPr>
          <w:rFonts w:ascii="Arial" w:cs="Arial"/>
        </w:rPr>
        <w:t>51</w:t>
      </w:r>
      <w:r>
        <w:rPr>
          <w:rFonts w:ascii="Arial" w:cs="Arial"/>
        </w:rPr>
        <w:fldChar w:fldCharType="end"/>
      </w:r>
      <w:r>
        <w:rPr>
          <w:rFonts w:ascii="Arial" w:cs="Arial"/>
        </w:rPr>
        <w:fldChar w:fldCharType="end"/>
      </w:r>
    </w:p>
    <w:p>
      <w:pPr>
        <w:spacing w:line="300" w:lineRule="auto"/>
        <w:rPr>
          <w:rFonts w:ascii="Arial" w:hAnsi="Arial" w:eastAsia="仿宋_GB2312" w:cs="Arial"/>
          <w:sz w:val="44"/>
        </w:rPr>
        <w:sectPr>
          <w:headerReference r:id="rId12"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00" w:lineRule="auto"/>
        <w:rPr>
          <w:rFonts w:ascii="Arial" w:hAnsi="Arial" w:eastAsia="仿宋_GB2312" w:cs="Arial"/>
          <w:sz w:val="44"/>
        </w:rPr>
        <w:sectPr>
          <w:headerReference r:id="rId14" w:type="first"/>
          <w:footerReference r:id="rId17" w:type="first"/>
          <w:headerReference r:id="rId13" w:type="default"/>
          <w:footerReference r:id="rId15" w:type="default"/>
          <w:footerReference r:id="rId16"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00" w:lineRule="auto"/>
        <w:rPr>
          <w:rFonts w:ascii="Arial" w:hAnsi="Arial" w:eastAsia="楷体_GB2312" w:cs="Arial"/>
          <w:b/>
          <w:sz w:val="32"/>
        </w:rPr>
      </w:pPr>
    </w:p>
    <w:p>
      <w:pPr>
        <w:tabs>
          <w:tab w:val="center" w:pos="4332"/>
          <w:tab w:val="right" w:pos="8664"/>
        </w:tabs>
        <w:spacing w:line="300" w:lineRule="auto"/>
        <w:ind w:firstLine="3534" w:firstLineChars="1100"/>
        <w:outlineLvl w:val="0"/>
        <w:rPr>
          <w:rFonts w:ascii="Arial" w:hAnsi="Arial" w:cs="Arial"/>
          <w:sz w:val="32"/>
        </w:rPr>
      </w:pPr>
      <w:bookmarkStart w:id="0" w:name="_Toc69393366"/>
      <w:bookmarkStart w:id="1" w:name="_Toc524335054"/>
      <w:bookmarkStart w:id="2" w:name="_Toc425250300"/>
      <w:bookmarkStart w:id="3" w:name="_Toc416783516"/>
      <w:bookmarkStart w:id="4" w:name="_Toc469066300"/>
      <w:bookmarkStart w:id="5" w:name="_Toc418750878"/>
      <w:bookmarkStart w:id="6" w:name="_Hlk82856123"/>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00" w:lineRule="auto"/>
        <w:rPr>
          <w:rFonts w:ascii="Arial" w:hAnsi="Arial" w:eastAsia="仿宋_GB2312" w:cs="Arial"/>
          <w:sz w:val="28"/>
        </w:rPr>
      </w:pPr>
    </w:p>
    <w:p>
      <w:pPr>
        <w:spacing w:line="300" w:lineRule="auto"/>
        <w:jc w:val="both"/>
        <w:outlineLvl w:val="1"/>
        <w:rPr>
          <w:rFonts w:ascii="Arial" w:hAnsi="Arial" w:eastAsia="仿宋_GB2312" w:cs="Arial"/>
          <w:b/>
          <w:bCs/>
          <w:sz w:val="28"/>
        </w:rPr>
      </w:pPr>
      <w:bookmarkStart w:id="7" w:name="_Toc524335055"/>
      <w:bookmarkStart w:id="8" w:name="_Toc418750879"/>
      <w:bookmarkStart w:id="9" w:name="_Toc469066301"/>
      <w:bookmarkStart w:id="10" w:name="_Toc515458358"/>
      <w:bookmarkStart w:id="11" w:name="_Toc416783517"/>
      <w:bookmarkStart w:id="12" w:name="_Toc69393367"/>
      <w:bookmarkStart w:id="13" w:name="_Toc425250301"/>
      <w:r>
        <w:rPr>
          <w:rFonts w:ascii="Arial" w:hAnsi="Arial" w:eastAsia="仿宋_GB2312" w:cs="Arial"/>
          <w:b/>
          <w:bCs/>
          <w:sz w:val="28"/>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rPr>
      </w:pPr>
      <w:bookmarkStart w:id="14" w:name="_Hlk79696906"/>
      <w:bookmarkStart w:id="15" w:name="_Hlk79698272"/>
      <w:r>
        <w:rPr>
          <w:rFonts w:hint="eastAsia" w:ascii="Arial" w:hAnsi="Arial" w:eastAsia="仿宋_GB2312" w:cs="Arial"/>
          <w:sz w:val="28"/>
        </w:rPr>
        <w:t>北京市密云区西门外大街8号楼501-505、516-520号现状商业用地国 有建设用地使用权出让价格评估</w:t>
      </w:r>
    </w:p>
    <w:p>
      <w:pPr>
        <w:spacing w:line="300" w:lineRule="auto"/>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6" w:name="_Toc69393368"/>
      <w:r>
        <w:rPr>
          <w:rFonts w:ascii="Arial" w:hAnsi="Arial" w:eastAsia="仿宋_GB2312" w:cs="Arial"/>
          <w:b/>
          <w:bCs/>
          <w:sz w:val="28"/>
        </w:rPr>
        <w:t>二、委托估价方</w:t>
      </w:r>
      <w:bookmarkEnd w:id="16"/>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ind w:left="1" w:right="-85"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7" w:name="_Toc418750881"/>
      <w:bookmarkStart w:id="18" w:name="_Toc469066303"/>
      <w:bookmarkStart w:id="19" w:name="_Toc515261587"/>
      <w:bookmarkStart w:id="20" w:name="_Toc416783519"/>
      <w:bookmarkStart w:id="21" w:name="_Toc69393369"/>
      <w:bookmarkStart w:id="22" w:name="_Toc425250303"/>
      <w:bookmarkStart w:id="23" w:name="_Toc515458360"/>
      <w:bookmarkStart w:id="24" w:name="_Toc524335057"/>
      <w:r>
        <w:rPr>
          <w:rFonts w:ascii="Arial" w:hAnsi="Arial" w:eastAsia="仿宋_GB2312" w:cs="Arial"/>
          <w:b/>
          <w:bCs/>
          <w:sz w:val="28"/>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ind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25" w:name="_Toc469066304"/>
      <w:bookmarkStart w:id="26" w:name="_Toc524335058"/>
      <w:bookmarkStart w:id="27" w:name="_Toc69393370"/>
      <w:bookmarkStart w:id="28" w:name="_Toc515458361"/>
      <w:bookmarkStart w:id="29" w:name="_Toc425250304"/>
      <w:bookmarkStart w:id="30" w:name="_Toc418750882"/>
      <w:bookmarkStart w:id="31" w:name="_Toc515261588"/>
      <w:bookmarkStart w:id="32" w:name="_Toc416783520"/>
      <w:r>
        <w:rPr>
          <w:rFonts w:ascii="Arial" w:hAnsi="Arial" w:eastAsia="仿宋_GB2312" w:cs="Arial"/>
          <w:b/>
          <w:bCs/>
          <w:sz w:val="28"/>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33" w:name="_Toc418750883"/>
      <w:bookmarkStart w:id="34" w:name="_Toc515261589"/>
      <w:bookmarkStart w:id="35" w:name="_Toc69393371"/>
      <w:bookmarkStart w:id="36" w:name="_Toc469066305"/>
      <w:bookmarkStart w:id="37" w:name="_Toc416783521"/>
      <w:bookmarkStart w:id="38" w:name="_Toc425250305"/>
      <w:bookmarkStart w:id="39" w:name="_Toc524335059"/>
      <w:bookmarkStart w:id="40" w:name="_Toc515458362"/>
      <w:r>
        <w:rPr>
          <w:rFonts w:ascii="Arial" w:hAnsi="Arial" w:eastAsia="仿宋_GB2312" w:cs="Arial"/>
          <w:b/>
          <w:bCs/>
          <w:sz w:val="28"/>
        </w:rPr>
        <w:t>五、估价日期</w:t>
      </w:r>
      <w:bookmarkEnd w:id="33"/>
      <w:bookmarkEnd w:id="34"/>
      <w:bookmarkEnd w:id="35"/>
      <w:bookmarkEnd w:id="36"/>
      <w:bookmarkEnd w:id="37"/>
      <w:bookmarkEnd w:id="38"/>
      <w:bookmarkEnd w:id="39"/>
      <w:bookmarkEnd w:id="40"/>
      <w:r>
        <w:rPr>
          <w:rFonts w:ascii="Arial" w:hAnsi="Arial" w:eastAsia="仿宋_GB2312" w:cs="Arial"/>
          <w:b/>
          <w:bCs/>
          <w:sz w:val="28"/>
        </w:rPr>
        <w:tab/>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2023年6月2日</w:t>
      </w:r>
      <w:r>
        <w:rPr>
          <w:rFonts w:ascii="Arial" w:hAnsi="Arial" w:eastAsia="仿宋_GB2312" w:cs="Arial"/>
          <w:sz w:val="28"/>
        </w:rPr>
        <w:t>至</w:t>
      </w:r>
      <w:bookmarkStart w:id="41" w:name="_Toc469066306"/>
      <w:bookmarkStart w:id="42" w:name="_Toc425250306"/>
      <w:bookmarkStart w:id="43" w:name="_Toc416783522"/>
      <w:bookmarkStart w:id="44" w:name="_Toc418750884"/>
      <w:r>
        <w:rPr>
          <w:rFonts w:hint="eastAsia" w:ascii="Arial" w:hAnsi="Arial" w:eastAsia="仿宋_GB2312" w:cs="Arial"/>
          <w:sz w:val="28"/>
        </w:rPr>
        <w:t>2023年6月9日</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45" w:name="_Toc524335060"/>
      <w:bookmarkStart w:id="46" w:name="_Toc69393372"/>
      <w:r>
        <w:rPr>
          <w:rFonts w:ascii="Arial" w:hAnsi="Arial" w:eastAsia="仿宋_GB2312" w:cs="Arial"/>
          <w:b/>
          <w:bCs/>
          <w:sz w:val="28"/>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242.4709平方米的出让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242.4709平方米的划拨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rPr>
      </w:pPr>
      <w:bookmarkStart w:id="47" w:name="_Toc524335061"/>
      <w:bookmarkStart w:id="48" w:name="_Toc515458363"/>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rPr>
      </w:pPr>
      <w:bookmarkStart w:id="49" w:name="_Toc69393373"/>
    </w:p>
    <w:p>
      <w:pPr>
        <w:spacing w:line="300" w:lineRule="auto"/>
        <w:outlineLvl w:val="1"/>
        <w:rPr>
          <w:rFonts w:ascii="Arial" w:hAnsi="Arial" w:eastAsia="仿宋_GB2312" w:cs="Arial"/>
          <w:b/>
          <w:sz w:val="28"/>
        </w:rPr>
      </w:pPr>
      <w:r>
        <w:rPr>
          <w:rFonts w:ascii="Arial" w:hAnsi="Arial" w:eastAsia="仿宋_GB2312" w:cs="Arial"/>
          <w:b/>
          <w:sz w:val="28"/>
        </w:rPr>
        <w:t>七、估价结果</w:t>
      </w:r>
      <w:bookmarkEnd w:id="47"/>
      <w:bookmarkEnd w:id="48"/>
      <w:bookmarkEnd w:id="49"/>
    </w:p>
    <w:p>
      <w:pPr>
        <w:spacing w:line="300" w:lineRule="auto"/>
        <w:ind w:firstLine="560" w:firstLineChars="200"/>
        <w:jc w:val="both"/>
        <w:rPr>
          <w:rFonts w:ascii="Arial" w:hAnsi="Arial" w:eastAsia="仿宋_GB2312" w:cs="Arial"/>
          <w:sz w:val="28"/>
        </w:rPr>
      </w:pPr>
      <w:bookmarkStart w:id="50" w:name="_Toc416783524"/>
      <w:bookmarkStart w:id="51" w:name="_Toc524335062"/>
      <w:bookmarkStart w:id="52" w:name="_Toc418750886"/>
      <w:bookmarkStart w:id="53" w:name="_Toc425250308"/>
      <w:bookmarkStart w:id="54" w:name="_Toc469066308"/>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285.2647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贰佰捌拾伍万贰仟陆佰肆拾柒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5767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11765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247.8197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贰佰肆拾柒万捌仟壹佰玖拾柒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5010</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10221</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71.3285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柒拾壹万叁仟贰佰捌拾伍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1442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5767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285.2647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5010</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247.8197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1442</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71.3285</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5767元/平方米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285.2647万元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5010元/平方米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247.8197万元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＝5767－5010＝757（元/平方米）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＝757×494.65÷10000＝37.4450（万元）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cs="Arial"/>
          <w:szCs w:val="28"/>
        </w:rPr>
        <w:t>5767×25%＝</w:t>
      </w:r>
      <w:r>
        <w:rPr>
          <w:rFonts w:hint="eastAsia" w:ascii="Arial" w:hAnsi="Arial" w:eastAsia="仿宋" w:cs="Arial"/>
        </w:rPr>
        <w:t>1442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＝1422×494.65÷10000＝71.3285</w:t>
      </w:r>
      <w:r>
        <w:rPr>
          <w:rFonts w:hint="eastAsia" w:ascii="Arial" w:hAnsi="Arial" w:cs="Arial"/>
          <w:szCs w:val="28"/>
        </w:rPr>
        <w:t>（万元）</w:t>
      </w:r>
    </w:p>
    <w:p>
      <w:pPr>
        <w:pStyle w:val="52"/>
        <w:adjustRightInd w:val="0"/>
        <w:spacing w:line="300" w:lineRule="auto"/>
        <w:rPr>
          <w:rFonts w:ascii="Arial" w:hAnsi="Arial" w:eastAsia="仿宋" w:cs="Arial"/>
        </w:rPr>
      </w:pPr>
      <w:r>
        <w:rPr>
          <w:rFonts w:ascii="Arial" w:hAnsi="Arial" w:eastAsia="仿宋" w:cs="Arial"/>
          <w:szCs w:val="28"/>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Cs w:val="28"/>
        </w:rPr>
        <w:t>442</w:t>
      </w:r>
      <w:r>
        <w:rPr>
          <w:rFonts w:ascii="Arial" w:hAnsi="Arial" w:eastAsia="仿宋" w:cs="Arial"/>
          <w:szCs w:val="28"/>
        </w:rPr>
        <w:t>元/平方米，应当缴纳的地价款总额为</w:t>
      </w:r>
      <w:r>
        <w:rPr>
          <w:rFonts w:hint="eastAsia" w:ascii="Arial" w:hAnsi="Arial" w:eastAsia="仿宋" w:cs="Arial"/>
          <w:szCs w:val="28"/>
        </w:rPr>
        <w:t>71.3285</w:t>
      </w:r>
      <w:r>
        <w:rPr>
          <w:rFonts w:ascii="Arial" w:hAnsi="Arial" w:eastAsia="仿宋" w:cs="Arial"/>
          <w:szCs w:val="28"/>
        </w:rPr>
        <w:t>万元</w:t>
      </w:r>
      <w:r>
        <w:rPr>
          <w:rFonts w:hint="eastAsia" w:ascii="Arial" w:hAnsi="Arial" w:eastAsia="仿宋" w:cs="Arial"/>
        </w:rPr>
        <w:t>。</w:t>
      </w: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spacing w:line="300" w:lineRule="auto"/>
        <w:outlineLvl w:val="1"/>
        <w:rPr>
          <w:rStyle w:val="38"/>
          <w:rFonts w:ascii="Arial" w:hAnsi="Arial" w:cs="Arial"/>
        </w:rPr>
      </w:pPr>
      <w:bookmarkStart w:id="55" w:name="_Toc69393374"/>
      <w:r>
        <w:rPr>
          <w:rStyle w:val="38"/>
          <w:rFonts w:ascii="Arial" w:hAnsi="Arial" w:cs="Arial"/>
        </w:rPr>
        <w:t>八</w:t>
      </w:r>
      <w:r>
        <w:rPr>
          <w:rFonts w:ascii="Arial" w:hAnsi="Arial" w:eastAsia="仿宋_GB2312" w:cs="Arial"/>
          <w:b/>
          <w:bCs/>
          <w:sz w:val="28"/>
        </w:rPr>
        <w:t>、</w:t>
      </w:r>
      <w:bookmarkEnd w:id="50"/>
      <w:bookmarkEnd w:id="51"/>
      <w:bookmarkEnd w:id="52"/>
      <w:bookmarkEnd w:id="53"/>
      <w:bookmarkEnd w:id="54"/>
      <w:bookmarkEnd w:id="55"/>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hAnsi="Arial" w:eastAsia="仿宋_GB2312" w:cs="Arial"/>
          <w:b/>
          <w:sz w:val="28"/>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二三年六月九日</w:t>
            </w:r>
          </w:p>
        </w:tc>
      </w:tr>
    </w:tbl>
    <w:p>
      <w:pPr>
        <w:spacing w:line="300" w:lineRule="auto"/>
        <w:rPr>
          <w:rFonts w:ascii="Arial" w:hAnsi="Arial" w:eastAsia="仿宋_GB2312" w:cs="Arial"/>
          <w:sz w:val="28"/>
        </w:rPr>
        <w:sectPr>
          <w:footerReference r:id="rId18"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2023-1-0432-F01TDCR6</w:t>
      </w:r>
      <w:r>
        <w:rPr>
          <w:rFonts w:ascii="Arial" w:hAnsi="Arial" w:eastAsia="仿宋_GB2312" w:cs="Arial"/>
          <w:bCs/>
          <w:sz w:val="18"/>
        </w:rPr>
        <w:t xml:space="preserve">    估价期日：</w:t>
      </w:r>
      <w:r>
        <w:rPr>
          <w:rFonts w:hint="eastAsia" w:ascii="Arial" w:hAnsi="Arial" w:eastAsia="仿宋_GB2312" w:cs="Arial"/>
          <w:bCs/>
          <w:sz w:val="18"/>
        </w:rPr>
        <w:t>2023年6月9日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5767</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285.2647</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5010</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247.8197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1442</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20" w:type="first"/>
          <w:headerReference r:id="rId19" w:type="default"/>
          <w:footerReference r:id="rId21" w:type="default"/>
          <w:pgSz w:w="16840" w:h="11907" w:orient="landscape"/>
          <w:pgMar w:top="2041" w:right="1134" w:bottom="1134" w:left="1134" w:header="1134" w:footer="907" w:gutter="340"/>
          <w:cols w:space="720" w:num="1"/>
          <w:titlePg/>
          <w:docGrid w:linePitch="326" w:charSpace="0"/>
        </w:sectPr>
      </w:pPr>
    </w:p>
    <w:bookmarkEnd w:id="6"/>
    <w:p>
      <w:pPr>
        <w:spacing w:line="300" w:lineRule="auto"/>
        <w:ind w:left="1"/>
        <w:jc w:val="both"/>
        <w:rPr>
          <w:rFonts w:ascii="Arial" w:hAnsi="Arial" w:eastAsia="仿宋_GB2312" w:cs="Arial"/>
          <w:b/>
        </w:rPr>
      </w:pPr>
      <w:r>
        <w:rPr>
          <w:rFonts w:ascii="Arial" w:hAnsi="Arial" w:eastAsia="仿宋_GB2312" w:cs="Arial"/>
          <w:b/>
        </w:rPr>
        <w:t>一、上述估价结果的限定条件</w:t>
      </w:r>
    </w:p>
    <w:p>
      <w:pPr>
        <w:spacing w:line="30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rPr>
      </w:pPr>
      <w:r>
        <w:rPr>
          <w:rFonts w:ascii="Arial" w:hAnsi="Arial" w:eastAsia="仿宋_GB2312" w:cs="Arial"/>
          <w:bCs/>
        </w:rPr>
        <w:t>（二）基础设施条件：估价对象实际土地开发程度为宗地</w:t>
      </w:r>
      <w:r>
        <w:rPr>
          <w:rFonts w:hint="eastAsia" w:ascii="Arial" w:hAnsi="Arial" w:eastAsia="仿宋_GB2312" w:cs="Arial"/>
          <w:bCs/>
        </w:rPr>
        <w:t>红线</w:t>
      </w:r>
      <w:r>
        <w:rPr>
          <w:rFonts w:ascii="Arial" w:hAnsi="Arial" w:eastAsia="仿宋_GB2312" w:cs="Arial"/>
          <w:bCs/>
        </w:rPr>
        <w:t>外</w:t>
      </w:r>
      <w:r>
        <w:rPr>
          <w:rFonts w:hint="eastAsia" w:ascii="Arial" w:hAnsi="Arial" w:eastAsia="仿宋_GB2312" w:cs="Arial"/>
          <w:bCs/>
        </w:rPr>
        <w:t>”七通”（即通路、通上水、通下水、通电、通讯、通燃气、通热）</w:t>
      </w:r>
      <w:r>
        <w:rPr>
          <w:rFonts w:ascii="Arial" w:hAnsi="Arial" w:eastAsia="仿宋_GB2312" w:cs="Arial"/>
          <w:bCs/>
        </w:rPr>
        <w:t>及宗地红线内建筑物</w:t>
      </w:r>
      <w:r>
        <w:rPr>
          <w:rFonts w:hint="eastAsia" w:ascii="Arial" w:hAnsi="Arial" w:eastAsia="仿宋_GB2312" w:cs="Arial"/>
          <w:bCs/>
        </w:rPr>
        <w:t>已建成完工</w:t>
      </w:r>
      <w:r>
        <w:rPr>
          <w:rFonts w:ascii="Arial" w:hAnsi="Arial" w:eastAsia="仿宋_GB2312" w:cs="Arial"/>
          <w:bCs/>
        </w:rPr>
        <w:t>；</w:t>
      </w:r>
      <w:r>
        <w:rPr>
          <w:rFonts w:hint="eastAsia" w:ascii="Arial" w:hAnsi="Arial" w:eastAsia="仿宋_GB2312" w:cs="Arial"/>
          <w:bCs/>
        </w:rPr>
        <w:t>根据估价目的，</w:t>
      </w:r>
      <w:r>
        <w:rPr>
          <w:rFonts w:ascii="Arial" w:hAnsi="Arial" w:eastAsia="仿宋_GB2312" w:cs="Arial"/>
          <w:bCs/>
        </w:rPr>
        <w:t>设定开发程度为</w:t>
      </w:r>
      <w:r>
        <w:rPr>
          <w:rFonts w:hint="eastAsia" w:ascii="Arial" w:hAnsi="Arial" w:eastAsia="仿宋_GB2312" w:cs="Arial"/>
          <w:bCs/>
        </w:rPr>
        <w:t>宗地红线外”七通”（即通路、通上水、通下水、通电、通讯、通燃气、通热）</w:t>
      </w:r>
      <w:r>
        <w:rPr>
          <w:rFonts w:ascii="Arial" w:hAnsi="Arial" w:eastAsia="仿宋_GB2312" w:cs="Arial"/>
          <w:bCs/>
        </w:rPr>
        <w:t>及宗地红线内</w:t>
      </w:r>
      <w:r>
        <w:rPr>
          <w:rFonts w:hint="eastAsia" w:ascii="Arial" w:hAnsi="Arial" w:eastAsia="仿宋_GB2312" w:cs="Arial"/>
          <w:bCs/>
        </w:rPr>
        <w:t>“</w:t>
      </w:r>
      <w:r>
        <w:rPr>
          <w:rFonts w:ascii="Arial" w:hAnsi="Arial" w:eastAsia="仿宋_GB2312" w:cs="Arial"/>
          <w:bCs/>
        </w:rPr>
        <w:t>场地平整</w:t>
      </w:r>
      <w:r>
        <w:rPr>
          <w:rFonts w:hint="eastAsia" w:ascii="Arial" w:hAnsi="Arial" w:eastAsia="仿宋_GB2312" w:cs="Arial"/>
          <w:bCs/>
        </w:rPr>
        <w:t>”</w:t>
      </w:r>
      <w:r>
        <w:rPr>
          <w:rFonts w:ascii="Arial" w:hAnsi="Arial" w:eastAsia="仿宋_GB2312" w:cs="Arial"/>
          <w:bCs/>
        </w:rPr>
        <w:t>；</w:t>
      </w:r>
    </w:p>
    <w:p>
      <w:pPr>
        <w:spacing w:line="300" w:lineRule="auto"/>
        <w:jc w:val="both"/>
        <w:rPr>
          <w:rFonts w:ascii="Arial" w:hAnsi="Arial" w:eastAsia="仿宋_GB2312" w:cs="Arial"/>
          <w:bCs/>
          <w:szCs w:val="24"/>
        </w:rPr>
      </w:pPr>
      <w:r>
        <w:rPr>
          <w:rFonts w:ascii="Arial" w:hAnsi="Arial" w:eastAsia="仿宋_GB2312" w:cs="Arial"/>
          <w:bCs/>
        </w:rPr>
        <w:t>（三）规划限制条件：</w:t>
      </w:r>
      <w:r>
        <w:rPr>
          <w:rFonts w:hint="eastAsia" w:ascii="Arial" w:hAnsi="Arial" w:eastAsia="仿宋_GB2312" w:cs="Arial"/>
          <w:bCs/>
        </w:rPr>
        <w:t>根据《土地权属审查告知书》[密权属审〔2023〕字第018号]</w:t>
      </w:r>
      <w:r>
        <w:rPr>
          <w:rFonts w:ascii="Arial" w:hAnsi="Arial" w:eastAsia="仿宋_GB2312" w:cs="Arial"/>
          <w:bCs/>
          <w:kern w:val="2"/>
          <w:szCs w:val="24"/>
        </w:rPr>
        <w:t>、</w:t>
      </w:r>
      <w:r>
        <w:rPr>
          <w:rFonts w:hint="eastAsia" w:ascii="Arial" w:hAnsi="Arial" w:eastAsia="仿宋_GB2312" w:cs="Arial"/>
          <w:bCs/>
        </w:rPr>
        <w:t>《国有建设用地使用权出让地价评估委托书》及</w:t>
      </w:r>
      <w:r>
        <w:rPr>
          <w:rFonts w:hint="eastAsia" w:ascii="Arial" w:hAnsi="Arial" w:eastAsia="仿宋_GB2312" w:cs="Arial"/>
          <w:bCs/>
          <w:kern w:val="2"/>
          <w:szCs w:val="24"/>
        </w:rPr>
        <w:t>《北京市房屋土地登记表》[宗地号：110228002001GB00135]</w:t>
      </w:r>
      <w:r>
        <w:rPr>
          <w:rFonts w:ascii="Arial" w:hAnsi="Arial" w:eastAsia="仿宋_GB2312" w:cs="Arial"/>
          <w:bCs/>
          <w:kern w:val="2"/>
          <w:szCs w:val="24"/>
        </w:rPr>
        <w:t>；</w:t>
      </w:r>
    </w:p>
    <w:p>
      <w:pPr>
        <w:spacing w:line="300" w:lineRule="auto"/>
        <w:ind w:left="2"/>
        <w:jc w:val="both"/>
        <w:rPr>
          <w:rFonts w:ascii="Arial" w:hAnsi="Arial" w:eastAsia="仿宋_GB2312" w:cs="Arial"/>
          <w:bCs/>
        </w:rPr>
      </w:pPr>
      <w:r>
        <w:rPr>
          <w:rFonts w:ascii="Arial" w:hAnsi="Arial" w:eastAsia="仿宋_GB2312" w:cs="Arial"/>
          <w:bCs/>
          <w:szCs w:val="24"/>
        </w:rPr>
        <w:t>（四）影响土地价格的其他限定条件：</w:t>
      </w:r>
      <w:r>
        <w:rPr>
          <w:rFonts w:hint="eastAsia" w:ascii="Arial" w:hAnsi="Arial" w:eastAsia="仿宋_GB2312" w:cs="Arial"/>
          <w:bCs/>
          <w:szCs w:val="24"/>
        </w:rPr>
        <w:t>无</w:t>
      </w:r>
      <w:r>
        <w:rPr>
          <w:rFonts w:ascii="Arial" w:hAnsi="Arial" w:eastAsia="仿宋_GB2312" w:cs="Arial"/>
          <w:bCs/>
        </w:rPr>
        <w:t>。</w:t>
      </w:r>
    </w:p>
    <w:p>
      <w:pPr>
        <w:spacing w:line="30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300" w:lineRule="auto"/>
        <w:rPr>
          <w:rFonts w:ascii="Arial" w:hAnsi="Arial" w:eastAsia="仿宋_GB2312" w:cs="Arial"/>
          <w:bCs/>
        </w:rPr>
      </w:pPr>
      <w:r>
        <w:rPr>
          <w:rFonts w:ascii="Arial" w:hAnsi="Arial" w:eastAsia="仿宋_GB2312" w:cs="Arial"/>
          <w:bCs/>
        </w:rPr>
        <w:t xml:space="preserve"> </w:t>
      </w:r>
    </w:p>
    <w:p>
      <w:pPr>
        <w:spacing w:line="300" w:lineRule="auto"/>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300" w:lineRule="auto"/>
        <w:ind w:firstLine="7384" w:firstLineChars="3077"/>
        <w:jc w:val="right"/>
        <w:rPr>
          <w:rFonts w:ascii="Arial" w:hAnsi="Arial" w:eastAsia="仿宋_GB2312" w:cs="Arial"/>
          <w:sz w:val="28"/>
        </w:rPr>
      </w:pPr>
      <w:r>
        <w:rPr>
          <w:rFonts w:ascii="Arial" w:hAnsi="Arial" w:eastAsia="仿宋_GB2312" w:cs="Arial"/>
          <w:bCs/>
        </w:rPr>
        <w:t xml:space="preserve">                </w:t>
      </w:r>
      <w:r>
        <w:rPr>
          <w:rFonts w:hint="eastAsia" w:ascii="Arial" w:hAnsi="Arial" w:eastAsia="仿宋_GB2312" w:cs="Arial"/>
          <w:bCs/>
        </w:rPr>
        <w:t>2023年6月9日</w:t>
      </w:r>
    </w:p>
    <w:p>
      <w:pPr>
        <w:spacing w:line="300" w:lineRule="auto"/>
        <w:ind w:firstLine="7384" w:firstLineChars="3077"/>
        <w:jc w:val="right"/>
        <w:rPr>
          <w:rFonts w:ascii="Arial" w:hAnsi="Arial" w:eastAsia="仿宋_GB2312" w:cs="Arial"/>
          <w:bCs/>
        </w:rPr>
      </w:pPr>
    </w:p>
    <w:p>
      <w:pPr>
        <w:spacing w:line="300" w:lineRule="auto"/>
        <w:ind w:firstLine="7384" w:firstLineChars="3077"/>
        <w:jc w:val="right"/>
        <w:rPr>
          <w:rFonts w:ascii="Arial" w:hAnsi="Arial" w:eastAsia="仿宋_GB2312" w:cs="Arial"/>
          <w:bCs/>
        </w:rPr>
      </w:pPr>
    </w:p>
    <w:p>
      <w:pPr>
        <w:spacing w:line="300" w:lineRule="auto"/>
        <w:ind w:firstLine="8615" w:firstLineChars="3077"/>
        <w:jc w:val="right"/>
        <w:rPr>
          <w:rFonts w:ascii="Arial" w:hAnsi="Arial" w:eastAsia="仿宋_GB2312" w:cs="Arial"/>
          <w:sz w:val="28"/>
        </w:rPr>
      </w:pPr>
    </w:p>
    <w:p>
      <w:pPr>
        <w:spacing w:line="300" w:lineRule="auto"/>
        <w:ind w:firstLine="4480" w:firstLineChars="1600"/>
        <w:rPr>
          <w:rFonts w:ascii="Arial" w:hAnsi="Arial" w:eastAsia="仿宋_GB2312" w:cs="Arial"/>
          <w:sz w:val="28"/>
        </w:rPr>
        <w:sectPr>
          <w:headerReference r:id="rId22"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rPr>
      </w:pPr>
      <w:bookmarkStart w:id="63" w:name="_Toc418750891"/>
      <w:bookmarkStart w:id="64" w:name="_Toc515458366"/>
      <w:bookmarkStart w:id="65" w:name="_Toc425250313"/>
      <w:bookmarkStart w:id="66" w:name="_Toc416783528"/>
      <w:bookmarkStart w:id="67" w:name="_Toc524335065"/>
      <w:bookmarkStart w:id="68" w:name="_Toc469066311"/>
      <w:bookmarkStart w:id="69" w:name="_Toc69393376"/>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70" w:name="_Toc425250314"/>
      <w:bookmarkStart w:id="71" w:name="_Toc515261594"/>
      <w:bookmarkStart w:id="72" w:name="_Toc469066312"/>
      <w:bookmarkStart w:id="73" w:name="_Toc416783529"/>
      <w:bookmarkStart w:id="74" w:name="_Toc515458367"/>
      <w:bookmarkStart w:id="75" w:name="_Toc524335066"/>
      <w:bookmarkStart w:id="76" w:name="_Toc418750892"/>
      <w:bookmarkStart w:id="77" w:name="_Toc69393377"/>
      <w:bookmarkStart w:id="78" w:name="_Toc418750895"/>
      <w:bookmarkStart w:id="79" w:name="_Toc425250317"/>
      <w:bookmarkStart w:id="80" w:name="_Toc416783532"/>
      <w:bookmarkStart w:id="81" w:name="_Toc469066315"/>
      <w:r>
        <w:rPr>
          <w:rFonts w:ascii="Arial" w:hAnsi="Arial" w:eastAsia="仿宋_GB2312" w:cs="Arial"/>
          <w:b/>
          <w:sz w:val="28"/>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rPr>
      </w:pPr>
      <w:r>
        <w:rPr>
          <w:rFonts w:ascii="Arial" w:hAnsi="Arial" w:eastAsia="仿宋_GB2312" w:cs="Arial"/>
          <w:sz w:val="28"/>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单位名称：北京市规划和自然资源委员会</w:t>
      </w:r>
    </w:p>
    <w:p>
      <w:pPr>
        <w:snapToGrid w:val="0"/>
        <w:spacing w:line="30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00" w:lineRule="auto"/>
        <w:ind w:firstLine="556"/>
        <w:rPr>
          <w:rFonts w:ascii="Arial" w:hAnsi="Arial" w:eastAsia="仿宋_GB2312" w:cs="Arial"/>
          <w:sz w:val="28"/>
          <w:szCs w:val="28"/>
        </w:rPr>
      </w:pPr>
    </w:p>
    <w:p>
      <w:pPr>
        <w:snapToGrid w:val="0"/>
        <w:spacing w:line="300" w:lineRule="auto"/>
        <w:ind w:firstLine="556"/>
        <w:rPr>
          <w:rFonts w:ascii="Arial" w:hAnsi="Arial" w:eastAsia="仿宋_GB2312" w:cs="Arial"/>
          <w:sz w:val="28"/>
        </w:rPr>
      </w:pPr>
      <w:r>
        <w:rPr>
          <w:rFonts w:ascii="Arial" w:hAnsi="Arial" w:eastAsia="仿宋_GB2312" w:cs="Arial"/>
          <w:sz w:val="28"/>
        </w:rPr>
        <w:t>受让方：</w:t>
      </w:r>
      <w:r>
        <w:rPr>
          <w:rFonts w:hint="eastAsia" w:ascii="Arial" w:hAnsi="Arial" w:eastAsia="仿宋_GB2312" w:cs="Arial"/>
          <w:sz w:val="28"/>
        </w:rPr>
        <w:t>樊景云</w:t>
      </w:r>
    </w:p>
    <w:p>
      <w:pPr>
        <w:snapToGrid w:val="0"/>
        <w:spacing w:line="300" w:lineRule="auto"/>
        <w:ind w:firstLine="556"/>
        <w:rPr>
          <w:rFonts w:ascii="Arial" w:hAnsi="Arial" w:eastAsia="仿宋_GB2312" w:cs="Arial"/>
          <w:sz w:val="28"/>
        </w:rPr>
      </w:pPr>
      <w:r>
        <w:rPr>
          <w:rFonts w:hint="eastAsia" w:ascii="Arial" w:hAnsi="Arial" w:eastAsia="仿宋_GB2312" w:cs="Arial"/>
          <w:sz w:val="28"/>
        </w:rPr>
        <w:t>联系人：李海英</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联系电话：1</w:t>
      </w:r>
      <w:r>
        <w:rPr>
          <w:rFonts w:hint="eastAsia" w:ascii="Arial" w:hAnsi="Arial" w:eastAsia="仿宋_GB2312" w:cs="Arial"/>
          <w:sz w:val="28"/>
          <w:szCs w:val="28"/>
        </w:rPr>
        <w:t>3911003895</w:t>
      </w:r>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82" w:name="_Toc418750893"/>
      <w:bookmarkStart w:id="83" w:name="_Toc69393378"/>
      <w:bookmarkStart w:id="84" w:name="_Toc425250315"/>
      <w:bookmarkStart w:id="85" w:name="_Toc515458368"/>
      <w:bookmarkStart w:id="86" w:name="_Toc515261595"/>
      <w:bookmarkStart w:id="87" w:name="_Toc469066313"/>
      <w:bookmarkStart w:id="88" w:name="_Toc524335067"/>
      <w:bookmarkStart w:id="89" w:name="_Toc416783530"/>
      <w:r>
        <w:rPr>
          <w:rFonts w:ascii="Arial" w:hAnsi="Arial" w:eastAsia="仿宋_GB2312" w:cs="Arial"/>
          <w:b/>
          <w:sz w:val="28"/>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rPr>
        <w:t>估价对象为</w:t>
      </w:r>
      <w:r>
        <w:rPr>
          <w:rFonts w:hint="eastAsia" w:ascii="Arial" w:hAnsi="Arial" w:eastAsia="仿宋_GB2312" w:cs="Arial"/>
          <w:sz w:val="28"/>
        </w:rPr>
        <w:t>北京市密云区西门外大街8号楼501-505、516-520号现状商业用地，位于北京市密云区西门外大街</w:t>
      </w:r>
      <w:r>
        <w:rPr>
          <w:rFonts w:ascii="Arial" w:hAnsi="Arial" w:eastAsia="仿宋_GB2312" w:cs="Arial"/>
          <w:sz w:val="28"/>
        </w:rPr>
        <w:t>。</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tabs>
          <w:tab w:val="left" w:pos="9027"/>
        </w:tabs>
        <w:spacing w:line="300" w:lineRule="auto"/>
        <w:ind w:firstLine="360" w:firstLineChars="200"/>
        <w:jc w:val="both"/>
        <w:rPr>
          <w:rFonts w:ascii="Arial" w:hAnsi="Arial" w:eastAsia="仿宋_GB2312" w:cs="Arial"/>
          <w:sz w:val="18"/>
          <w:szCs w:val="18"/>
        </w:rPr>
      </w:pPr>
    </w:p>
    <w:p>
      <w:pPr>
        <w:spacing w:line="300" w:lineRule="auto"/>
        <w:jc w:val="both"/>
        <w:rPr>
          <w:rFonts w:ascii="Arial" w:hAnsi="Arial" w:eastAsia="仿宋_GB2312" w:cs="Arial"/>
          <w:b/>
          <w:sz w:val="21"/>
          <w:szCs w:val="21"/>
        </w:rPr>
      </w:pPr>
    </w:p>
    <w:p>
      <w:pPr>
        <w:spacing w:line="300" w:lineRule="auto"/>
        <w:outlineLvl w:val="1"/>
        <w:rPr>
          <w:rFonts w:ascii="Arial" w:hAnsi="Arial" w:eastAsia="仿宋_GB2312" w:cs="Arial"/>
          <w:b/>
          <w:sz w:val="28"/>
        </w:rPr>
      </w:pPr>
      <w:bookmarkStart w:id="90" w:name="_Toc416783531"/>
      <w:bookmarkStart w:id="91" w:name="_Toc469066314"/>
      <w:bookmarkStart w:id="92" w:name="_Toc524335068"/>
      <w:bookmarkStart w:id="93" w:name="_Toc515261596"/>
      <w:bookmarkStart w:id="94" w:name="_Toc425250316"/>
      <w:bookmarkStart w:id="95" w:name="_Toc418750894"/>
      <w:bookmarkStart w:id="96" w:name="_Toc69393379"/>
      <w:bookmarkStart w:id="97" w:name="_Toc515458369"/>
      <w:r>
        <w:rPr>
          <w:rFonts w:ascii="Arial" w:hAnsi="Arial" w:eastAsia="仿宋_GB2312" w:cs="Arial"/>
          <w:b/>
          <w:sz w:val="28"/>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rPr>
      </w:pPr>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估价对象为北京市密云区西门外大街8号楼501-505、516-520号现状商业用地，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现状土地使用权人（承受人）：樊景云</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分摊使用权面积：242.4709平方米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樊景云</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估价对象所属楼宇为地上总楼层为6层，估价对象位于其5层；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w:t>
      </w:r>
    </w:p>
    <w:p>
      <w:pPr>
        <w:snapToGrid w:val="0"/>
        <w:spacing w:line="300" w:lineRule="auto"/>
        <w:ind w:firstLine="560" w:firstLineChars="200"/>
        <w:jc w:val="both"/>
        <w:rPr>
          <w:rFonts w:ascii="Arial" w:hAnsi="Arial" w:eastAsia="仿宋_GB2312" w:cs="Arial"/>
          <w:sz w:val="28"/>
          <w:szCs w:val="28"/>
        </w:rPr>
      </w:pPr>
    </w:p>
    <w:bookmarkEnd w:id="14"/>
    <w:bookmarkEnd w:id="78"/>
    <w:bookmarkEnd w:id="79"/>
    <w:bookmarkEnd w:id="80"/>
    <w:bookmarkEnd w:id="81"/>
    <w:p>
      <w:pPr>
        <w:spacing w:line="300" w:lineRule="auto"/>
        <w:jc w:val="both"/>
        <w:outlineLvl w:val="1"/>
        <w:rPr>
          <w:rFonts w:ascii="Arial" w:hAnsi="Arial" w:eastAsia="仿宋_GB2312" w:cs="Arial"/>
          <w:b/>
          <w:bCs/>
          <w:sz w:val="28"/>
        </w:rPr>
      </w:pPr>
      <w:bookmarkStart w:id="98" w:name="_Toc524335069"/>
      <w:bookmarkStart w:id="99" w:name="_Toc515458370"/>
      <w:bookmarkStart w:id="100" w:name="_Toc515261597"/>
      <w:bookmarkStart w:id="101" w:name="_Toc69393380"/>
      <w:r>
        <w:rPr>
          <w:rFonts w:ascii="Arial" w:hAnsi="Arial" w:eastAsia="仿宋_GB2312" w:cs="Arial"/>
          <w:b/>
          <w:bCs/>
          <w:sz w:val="28"/>
        </w:rPr>
        <w:t>四、影响地价的因素说明</w:t>
      </w:r>
      <w:bookmarkEnd w:id="98"/>
      <w:bookmarkEnd w:id="99"/>
      <w:bookmarkEnd w:id="100"/>
      <w:bookmarkEnd w:id="101"/>
    </w:p>
    <w:p>
      <w:pPr>
        <w:spacing w:line="30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bookmarkStart w:id="102" w:name="OLE_LINK33"/>
      <w:bookmarkStart w:id="103" w:name="OLE_LINK38"/>
      <w:bookmarkStart w:id="104" w:name="OLE_LINK34"/>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highlight w:val="lightGray"/>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spacing w:line="300" w:lineRule="auto"/>
        <w:jc w:val="center"/>
      </w:pPr>
      <w: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w:t>
      </w:r>
      <w:bookmarkStart w:id="105" w:name="OLE_LINK30"/>
      <w:bookmarkStart w:id="106" w:name="OLE_LINK31"/>
      <w:bookmarkStart w:id="107" w:name="OLE_LINK32"/>
      <w:r>
        <w:rPr>
          <w:rFonts w:hint="eastAsia" w:ascii="Arial" w:hAnsi="Arial" w:eastAsia="仿宋_GB2312" w:cs="Arial"/>
          <w:bCs/>
          <w:color w:val="000000"/>
          <w:sz w:val="28"/>
          <w:szCs w:val="28"/>
        </w:rPr>
        <w:t>，</w:t>
      </w:r>
      <w:bookmarkStart w:id="108" w:name="OLE_LINK1"/>
      <w:r>
        <w:rPr>
          <w:rFonts w:hint="eastAsia" w:ascii="Arial" w:hAnsi="Arial" w:eastAsia="仿宋_GB2312" w:cs="Arial"/>
          <w:bCs/>
          <w:color w:val="000000"/>
          <w:sz w:val="28"/>
          <w:szCs w:val="28"/>
        </w:rPr>
        <w:t>2023年1季度北京市</w:t>
      </w:r>
      <w:bookmarkEnd w:id="105"/>
      <w:bookmarkEnd w:id="106"/>
      <w:bookmarkEnd w:id="107"/>
      <w:bookmarkEnd w:id="108"/>
      <w:r>
        <w:rPr>
          <w:rFonts w:hint="eastAsia" w:ascii="Arial" w:hAnsi="Arial" w:eastAsia="仿宋_GB2312" w:cs="Arial"/>
          <w:bCs/>
          <w:color w:val="000000"/>
          <w:sz w:val="28"/>
          <w:szCs w:val="28"/>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bookmarkStart w:id="109" w:name="_Hlk79697274"/>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北京市密云区西门外大街8号楼501-505、516-520号现状商业用地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bookmarkEnd w:id="109"/>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szCs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515458374"/>
      <w:bookmarkStart w:id="111" w:name="_Toc524335079"/>
      <w:bookmarkStart w:id="112" w:name="_Toc425250319"/>
      <w:bookmarkStart w:id="113" w:name="_Toc416783534"/>
      <w:bookmarkStart w:id="114" w:name="_Toc469066317"/>
      <w:bookmarkStart w:id="115" w:name="_Toc418750897"/>
      <w:r>
        <w:rPr>
          <w:rFonts w:ascii="Arial" w:hAnsi="Arial" w:eastAsia="仿宋_GB2312" w:cs="Arial"/>
          <w:sz w:val="28"/>
          <w:szCs w:val="28"/>
        </w:rPr>
        <w:br w:type="page"/>
      </w:r>
    </w:p>
    <w:p>
      <w:pPr>
        <w:spacing w:line="300" w:lineRule="auto"/>
        <w:jc w:val="center"/>
        <w:outlineLvl w:val="0"/>
        <w:rPr>
          <w:rFonts w:ascii="Arial" w:hAnsi="Arial" w:cs="Arial"/>
          <w:b/>
          <w:sz w:val="32"/>
        </w:rPr>
      </w:pPr>
      <w:bookmarkStart w:id="116"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117" w:name="_Toc416783535"/>
      <w:bookmarkStart w:id="118" w:name="_Toc524335080"/>
      <w:bookmarkStart w:id="119" w:name="_Toc418750898"/>
      <w:bookmarkStart w:id="120" w:name="_Toc515458375"/>
      <w:bookmarkStart w:id="121" w:name="_Toc469066318"/>
      <w:bookmarkStart w:id="122" w:name="_Toc69393382"/>
      <w:bookmarkStart w:id="123" w:name="_Toc515261602"/>
      <w:bookmarkStart w:id="124" w:name="_Toc425250320"/>
      <w:r>
        <w:rPr>
          <w:rFonts w:ascii="Arial" w:hAnsi="Arial" w:eastAsia="仿宋_GB2312" w:cs="Arial"/>
          <w:b/>
          <w:sz w:val="28"/>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bookmarkStart w:id="125" w:name="_Hlk136539666"/>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bookmarkEnd w:id="125"/>
      <w:r>
        <w:rPr>
          <w:rFonts w:hint="eastAsia" w:ascii="Arial" w:hAnsi="Arial" w:eastAsia="仿宋" w:cs="Arial"/>
          <w:sz w:val="28"/>
          <w:szCs w:val="28"/>
        </w:rPr>
        <w:t>）</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126" w:name="_Toc515458376"/>
      <w:bookmarkStart w:id="127" w:name="_Toc416783536"/>
      <w:bookmarkStart w:id="128" w:name="_Toc418750899"/>
      <w:bookmarkStart w:id="129" w:name="_Toc425250321"/>
      <w:bookmarkStart w:id="130" w:name="_Toc469066319"/>
      <w:bookmarkStart w:id="131" w:name="_Toc524335081"/>
      <w:bookmarkStart w:id="132" w:name="_Toc69393383"/>
      <w:r>
        <w:rPr>
          <w:rFonts w:ascii="Arial" w:hAnsi="Arial" w:eastAsia="仿宋_GB2312" w:cs="Arial"/>
          <w:b/>
          <w:sz w:val="28"/>
        </w:rPr>
        <w:t>二、土地估价</w:t>
      </w:r>
      <w:bookmarkEnd w:id="126"/>
      <w:bookmarkEnd w:id="127"/>
      <w:bookmarkEnd w:id="128"/>
      <w:bookmarkEnd w:id="129"/>
      <w:bookmarkEnd w:id="130"/>
      <w:r>
        <w:rPr>
          <w:rFonts w:ascii="Arial" w:hAnsi="Arial" w:eastAsia="仿宋_GB2312" w:cs="Arial"/>
          <w:b/>
          <w:sz w:val="28"/>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（二）估价方法</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commentRangeStart w:id="0"/>
      <w:r>
        <w:rPr>
          <w:rFonts w:hint="eastAsia" w:ascii="Arial" w:hAnsi="Arial" w:eastAsia="仿宋_GB2312" w:cs="Arial"/>
          <w:sz w:val="28"/>
        </w:rPr>
        <w:t>由于估价对象</w:t>
      </w:r>
      <w:r>
        <w:rPr>
          <w:rFonts w:hint="eastAsia" w:ascii="Arial" w:hAnsi="Arial" w:eastAsia="仿宋_GB2312" w:cs="Arial"/>
          <w:sz w:val="28"/>
          <w:lang w:eastAsia="zh-CN"/>
        </w:rPr>
        <w:t>设定</w:t>
      </w:r>
      <w:r>
        <w:rPr>
          <w:rFonts w:hint="eastAsia" w:ascii="Arial" w:hAnsi="Arial" w:eastAsia="仿宋_GB2312" w:cs="Arial"/>
          <w:sz w:val="28"/>
        </w:rPr>
        <w:t>为空地，难以找到土地租</w:t>
      </w:r>
      <w:commentRangeEnd w:id="0"/>
      <w:r>
        <w:commentReference w:id="0"/>
      </w:r>
      <w:r>
        <w:rPr>
          <w:rFonts w:hint="eastAsia" w:ascii="Arial" w:hAnsi="Arial" w:eastAsia="仿宋_GB2312" w:cs="Arial"/>
          <w:sz w:val="28"/>
        </w:rPr>
        <w:t>赁案例，故未采用收益还原法。</w:t>
      </w:r>
    </w:p>
    <w:p>
      <w:pPr>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285.2647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贰佰捌拾伍万贰仟陆佰肆拾柒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5767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11765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247.8197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贰佰肆拾柒万捌仟壹佰玖拾柒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5010</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10221</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71.3285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柒拾壹万叁仟贰佰捌拾伍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1442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5767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285.2647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5010</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247.8197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1442</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71.3285</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5767元/平方米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285.2647万元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5010元/平方米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247.8197万元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＝5767－5010＝757（元/平方米）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＝757×494.65÷10000＝37.4450（万元）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cs="Arial"/>
          <w:szCs w:val="28"/>
        </w:rPr>
        <w:t>5767×25%＝</w:t>
      </w:r>
      <w:r>
        <w:rPr>
          <w:rFonts w:hint="eastAsia" w:ascii="Arial" w:hAnsi="Arial" w:eastAsia="仿宋" w:cs="Arial"/>
        </w:rPr>
        <w:t>1442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＝1422×494.65÷10000＝71.3285</w:t>
      </w:r>
      <w:r>
        <w:rPr>
          <w:rFonts w:hint="eastAsia" w:ascii="Arial" w:hAnsi="Arial" w:cs="Arial"/>
          <w:szCs w:val="28"/>
        </w:rPr>
        <w:t>（万元）</w:t>
      </w:r>
    </w:p>
    <w:p>
      <w:pPr>
        <w:pStyle w:val="52"/>
        <w:spacing w:line="300" w:lineRule="auto"/>
        <w:jc w:val="both"/>
        <w:rPr>
          <w:rFonts w:ascii="Arial" w:hAnsi="Arial" w:cs="Arial"/>
          <w:szCs w:val="28"/>
        </w:rPr>
      </w:pPr>
      <w:r>
        <w:rPr>
          <w:rFonts w:ascii="Arial" w:hAnsi="Arial" w:eastAsia="仿宋" w:cs="Arial"/>
          <w:szCs w:val="28"/>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Cs w:val="28"/>
        </w:rPr>
        <w:t>442</w:t>
      </w:r>
      <w:r>
        <w:rPr>
          <w:rFonts w:ascii="Arial" w:hAnsi="Arial" w:eastAsia="仿宋" w:cs="Arial"/>
          <w:szCs w:val="28"/>
        </w:rPr>
        <w:t>元/平方米，应当缴纳的地价款总额为</w:t>
      </w:r>
      <w:r>
        <w:rPr>
          <w:rFonts w:hint="eastAsia" w:ascii="Arial" w:hAnsi="Arial" w:eastAsia="仿宋" w:cs="Arial"/>
          <w:szCs w:val="28"/>
        </w:rPr>
        <w:t>71.3285</w:t>
      </w:r>
      <w:r>
        <w:rPr>
          <w:rFonts w:ascii="Arial" w:hAnsi="Arial" w:eastAsia="仿宋" w:cs="Arial"/>
          <w:szCs w:val="28"/>
        </w:rPr>
        <w:t>万元</w:t>
      </w:r>
      <w:r>
        <w:rPr>
          <w:rFonts w:hint="eastAsia" w:ascii="Arial" w:hAnsi="Arial" w:cs="Arial"/>
          <w:szCs w:val="28"/>
        </w:rPr>
        <w:t>。</w:t>
      </w:r>
    </w:p>
    <w:p>
      <w:pPr>
        <w:spacing w:line="300" w:lineRule="auto"/>
        <w:ind w:firstLine="561"/>
        <w:rPr>
          <w:rFonts w:ascii="Arial" w:hAnsi="Arial" w:eastAsia="仿宋_GB2312" w:cs="Arial"/>
          <w:sz w:val="28"/>
          <w:szCs w:val="28"/>
        </w:rPr>
        <w:sectPr>
          <w:footerReference r:id="rId25" w:type="first"/>
          <w:headerReference r:id="rId23" w:type="default"/>
          <w:footerReference r:id="rId24" w:type="default"/>
          <w:pgSz w:w="11907" w:h="16840"/>
          <w:pgMar w:top="1843" w:right="1134" w:bottom="1134" w:left="1134" w:header="1134" w:footer="907" w:gutter="340"/>
          <w:cols w:space="425" w:num="1"/>
          <w:docGrid w:linePitch="326" w:charSpace="0"/>
        </w:sectPr>
      </w:pP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2023-1-0432-F01TDCR6</w:t>
      </w:r>
      <w:r>
        <w:rPr>
          <w:rFonts w:ascii="Arial" w:hAnsi="Arial" w:eastAsia="仿宋_GB2312" w:cs="Arial"/>
          <w:bCs/>
          <w:sz w:val="18"/>
        </w:rPr>
        <w:t xml:space="preserve">    估价期日：</w:t>
      </w:r>
      <w:r>
        <w:rPr>
          <w:rFonts w:hint="eastAsia" w:ascii="Arial" w:hAnsi="Arial" w:eastAsia="仿宋_GB2312" w:cs="Arial"/>
          <w:bCs/>
          <w:sz w:val="18"/>
        </w:rPr>
        <w:t>2023年6月9日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5767</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285.2647</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5010</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247.8197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1442</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ind w:firstLine="561"/>
        <w:rPr>
          <w:rFonts w:ascii="Arial" w:hAnsi="Arial" w:eastAsia="仿宋_GB2312" w:cs="Arial"/>
          <w:sz w:val="28"/>
          <w:szCs w:val="28"/>
        </w:rPr>
        <w:sectPr>
          <w:headerReference r:id="rId26" w:type="default"/>
          <w:footerReference r:id="rId27" w:type="default"/>
          <w:pgSz w:w="16840" w:h="11907" w:orient="landscape"/>
          <w:pgMar w:top="2041" w:right="1134" w:bottom="1134" w:left="1134" w:header="1134" w:footer="907" w:gutter="340"/>
          <w:cols w:space="425" w:num="1"/>
          <w:docGrid w:linePitch="326" w:charSpace="0"/>
        </w:sectPr>
      </w:pPr>
    </w:p>
    <w:p>
      <w:pPr>
        <w:spacing w:line="300" w:lineRule="auto"/>
        <w:outlineLvl w:val="1"/>
        <w:rPr>
          <w:rFonts w:ascii="Arial" w:hAnsi="Arial" w:eastAsia="仿宋_GB2312" w:cs="Arial"/>
          <w:b/>
          <w:sz w:val="28"/>
        </w:rPr>
      </w:pPr>
      <w:bookmarkStart w:id="133" w:name="_Toc515458377"/>
      <w:bookmarkStart w:id="134" w:name="_Toc469066320"/>
      <w:bookmarkStart w:id="135" w:name="_Toc418750900"/>
      <w:bookmarkStart w:id="136" w:name="_Toc524335082"/>
      <w:bookmarkStart w:id="137" w:name="_Toc69393384"/>
      <w:bookmarkStart w:id="138" w:name="_Toc416783537"/>
      <w:bookmarkStart w:id="139" w:name="_Toc425250322"/>
      <w:r>
        <w:rPr>
          <w:rFonts w:ascii="Arial" w:hAnsi="Arial" w:eastAsia="仿宋_GB2312" w:cs="Arial"/>
          <w:b/>
          <w:sz w:val="28"/>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rPr>
      </w:pPr>
      <w:bookmarkStart w:id="140" w:name="_Toc416783538"/>
      <w:bookmarkStart w:id="141" w:name="_Toc425250323"/>
      <w:bookmarkStart w:id="142" w:name="_Toc418750901"/>
      <w:bookmarkStart w:id="143" w:name="_Toc469066321"/>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10.本估价报告自报告出具日起计算，从</w:t>
      </w:r>
      <w:r>
        <w:rPr>
          <w:rFonts w:hint="eastAsia" w:ascii="Arial" w:hAnsi="Arial" w:eastAsia="仿宋_GB2312" w:cs="Arial"/>
          <w:sz w:val="28"/>
          <w:szCs w:val="28"/>
        </w:rPr>
        <w:t>2023年6月9日</w:t>
      </w:r>
      <w:r>
        <w:rPr>
          <w:rFonts w:ascii="Arial" w:hAnsi="Arial" w:eastAsia="仿宋_GB2312" w:cs="Arial"/>
          <w:sz w:val="28"/>
          <w:szCs w:val="28"/>
        </w:rPr>
        <w:t>至2024年6月</w:t>
      </w:r>
      <w:r>
        <w:rPr>
          <w:rFonts w:hint="eastAsia" w:ascii="Arial" w:hAnsi="Arial" w:eastAsia="仿宋_GB2312" w:cs="Arial"/>
          <w:sz w:val="28"/>
          <w:szCs w:val="28"/>
        </w:rPr>
        <w:t>8</w:t>
      </w:r>
      <w:r>
        <w:rPr>
          <w:rFonts w:ascii="Arial" w:hAnsi="Arial" w:eastAsia="仿宋_GB2312" w:cs="Arial"/>
          <w:sz w:val="28"/>
          <w:szCs w:val="28"/>
        </w:rPr>
        <w:t>日有效。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60" w:firstLineChars="200"/>
        <w:rPr>
          <w:rFonts w:ascii="Arial" w:hAnsi="Arial" w:eastAsia="仿宋_GB2312" w:cs="Arial"/>
          <w:sz w:val="28"/>
          <w:szCs w:val="28"/>
        </w:rPr>
      </w:pPr>
      <w:bookmarkStart w:id="144" w:name="_Hlk79697750"/>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28"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rPr>
      </w:pPr>
      <w:bookmarkStart w:id="145" w:name="_Toc69393385"/>
      <w:bookmarkStart w:id="146" w:name="_Toc524335083"/>
      <w:bookmarkStart w:id="147" w:name="_Toc515458378"/>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p>
      <w:pPr>
        <w:spacing w:line="300" w:lineRule="auto"/>
        <w:jc w:val="center"/>
        <w:rPr>
          <w:rFonts w:ascii="Arial" w:hAnsi="Arial" w:cs="Arial"/>
          <w:b/>
          <w:sz w:val="44"/>
        </w:rPr>
      </w:pPr>
      <w:bookmarkStart w:id="148" w:name="_Toc416783539"/>
      <w:bookmarkStart w:id="149" w:name="_Toc418750902"/>
      <w:bookmarkStart w:id="150" w:name="_Toc416783635"/>
      <w:r>
        <w:rPr>
          <w:rFonts w:ascii="Arial" w:hAnsi="Arial" w:cs="Arial"/>
          <w:b/>
          <w:sz w:val="44"/>
        </w:rPr>
        <w:br w:type="page"/>
      </w:r>
    </w:p>
    <w:p>
      <w:pPr>
        <w:spacing w:line="300" w:lineRule="auto"/>
        <w:jc w:val="center"/>
        <w:rPr>
          <w:rFonts w:ascii="Arial" w:hAnsi="Arial" w:cs="Arial"/>
          <w:b/>
          <w:sz w:val="44"/>
        </w:rPr>
      </w:pPr>
    </w:p>
    <w:p>
      <w:pPr>
        <w:spacing w:line="300" w:lineRule="auto"/>
        <w:jc w:val="center"/>
        <w:rPr>
          <w:rFonts w:ascii="Arial" w:hAnsi="Arial" w:cs="Arial"/>
          <w:b/>
          <w:sz w:val="44"/>
        </w:rPr>
      </w:pPr>
    </w:p>
    <w:p>
      <w:pPr>
        <w:spacing w:line="300"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8"/>
      <w:bookmarkEnd w:id="149"/>
      <w:bookmarkEnd w:id="150"/>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300" w:lineRule="auto"/>
        <w:ind w:right="-327"/>
        <w:rPr>
          <w:rFonts w:ascii="Arial" w:hAnsi="Arial" w:eastAsia="楷体_GB2312" w:cs="Arial"/>
          <w:b/>
          <w:bCs/>
          <w:sz w:val="32"/>
        </w:rPr>
      </w:pPr>
      <w:bookmarkStart w:id="151" w:name="_Toc416783636"/>
      <w:bookmarkStart w:id="152" w:name="_Toc416783540"/>
    </w:p>
    <w:bookmarkEnd w:id="151"/>
    <w:bookmarkEnd w:id="152"/>
    <w:p>
      <w:pPr>
        <w:spacing w:line="300" w:lineRule="auto"/>
        <w:ind w:left="2891" w:right="-327" w:hanging="2891" w:hangingChars="900"/>
        <w:rPr>
          <w:rFonts w:ascii="Arial" w:hAnsi="Arial" w:eastAsia="楷体_GB2312" w:cs="Arial"/>
          <w:b/>
          <w:sz w:val="32"/>
        </w:rPr>
      </w:pPr>
      <w:bookmarkStart w:id="153" w:name="_Toc418750903"/>
      <w:r>
        <w:rPr>
          <w:rFonts w:ascii="Arial" w:hAnsi="Arial" w:eastAsia="楷体_GB2312" w:cs="Arial"/>
          <w:b/>
          <w:sz w:val="32"/>
        </w:rPr>
        <w:t>土地估价报告编号：</w:t>
      </w:r>
      <w:bookmarkEnd w:id="153"/>
      <w:bookmarkStart w:id="154" w:name="_Toc416783541"/>
      <w:bookmarkStart w:id="155" w:name="_Toc416783637"/>
      <w:r>
        <w:rPr>
          <w:rFonts w:hint="eastAsia" w:ascii="Arial" w:hAnsi="Arial" w:eastAsia="楷体_GB2312" w:cs="Arial"/>
          <w:b/>
          <w:sz w:val="32"/>
        </w:rPr>
        <w:t>北京康正2023（估）字第0012号2023-1-0432-F01TDCR6</w:t>
      </w:r>
    </w:p>
    <w:p>
      <w:pPr>
        <w:spacing w:line="300" w:lineRule="auto"/>
        <w:ind w:right="-327"/>
        <w:rPr>
          <w:rFonts w:ascii="Arial" w:hAnsi="Arial" w:eastAsia="楷体_GB2312" w:cs="Arial"/>
          <w:b/>
          <w:bCs/>
          <w:spacing w:val="-10"/>
          <w:sz w:val="32"/>
        </w:rPr>
      </w:pPr>
    </w:p>
    <w:p>
      <w:pPr>
        <w:spacing w:line="300" w:lineRule="auto"/>
        <w:ind w:left="3314" w:right="-207" w:hanging="3314" w:hangingChars="1100"/>
        <w:rPr>
          <w:rFonts w:ascii="Arial" w:hAnsi="Arial" w:eastAsia="楷体_GB2312" w:cs="Arial"/>
          <w:b/>
          <w:sz w:val="32"/>
        </w:rPr>
      </w:pPr>
      <w:bookmarkStart w:id="156" w:name="_Toc418750904"/>
      <w:r>
        <w:rPr>
          <w:rFonts w:ascii="Arial" w:hAnsi="Arial" w:eastAsia="楷体_GB2312" w:cs="Arial"/>
          <w:b/>
          <w:bCs/>
          <w:spacing w:val="-10"/>
          <w:sz w:val="32"/>
        </w:rPr>
        <w:t>土地估价技术报告编号：</w:t>
      </w:r>
      <w:bookmarkEnd w:id="154"/>
      <w:bookmarkEnd w:id="155"/>
      <w:bookmarkEnd w:id="156"/>
      <w:r>
        <w:rPr>
          <w:rFonts w:hint="eastAsia" w:ascii="Arial" w:hAnsi="Arial" w:eastAsia="楷体_GB2312" w:cs="Arial"/>
          <w:b/>
          <w:sz w:val="32"/>
        </w:rPr>
        <w:t>北京康正2023（估）字第0012号2023-1-0432-F01TDCR6</w:t>
      </w:r>
    </w:p>
    <w:p>
      <w:pPr>
        <w:spacing w:line="300" w:lineRule="auto"/>
        <w:ind w:right="-207"/>
        <w:rPr>
          <w:rFonts w:ascii="Arial" w:hAnsi="Arial" w:eastAsia="楷体_GB2312" w:cs="Arial"/>
          <w:b/>
          <w:sz w:val="32"/>
        </w:rPr>
      </w:pPr>
    </w:p>
    <w:p>
      <w:pPr>
        <w:spacing w:line="300" w:lineRule="auto"/>
        <w:rPr>
          <w:rFonts w:ascii="Arial" w:hAnsi="Arial" w:eastAsia="楷体_GB2312" w:cs="Arial"/>
          <w:b/>
          <w:bCs/>
          <w:spacing w:val="-20"/>
          <w:sz w:val="32"/>
        </w:rPr>
      </w:pPr>
      <w:r>
        <w:rPr>
          <w:rFonts w:ascii="Arial" w:hAnsi="Arial" w:eastAsia="楷体_GB2312" w:cs="Arial"/>
          <w:b/>
          <w:bCs/>
          <w:sz w:val="32"/>
        </w:rPr>
        <w:t>提交估价报告日期：</w:t>
      </w:r>
      <w:r>
        <w:rPr>
          <w:rFonts w:hint="eastAsia" w:ascii="Arial" w:hAnsi="Arial" w:eastAsia="楷体_GB2312" w:cs="Arial"/>
          <w:b/>
          <w:sz w:val="32"/>
        </w:rPr>
        <w:t>2023年6月9日</w:t>
      </w:r>
    </w:p>
    <w:p>
      <w:pPr>
        <w:spacing w:line="300" w:lineRule="auto"/>
        <w:rPr>
          <w:rFonts w:ascii="Arial" w:hAnsi="Arial" w:eastAsia="楷体_GB2312" w:cs="Arial"/>
          <w:b/>
          <w:bCs/>
          <w:sz w:val="32"/>
        </w:rPr>
      </w:pPr>
    </w:p>
    <w:p>
      <w:pPr>
        <w:spacing w:line="300" w:lineRule="auto"/>
        <w:rPr>
          <w:rFonts w:ascii="Arial" w:hAnsi="Arial" w:eastAsia="楷体_GB2312" w:cs="Arial"/>
          <w:b/>
          <w:bCs/>
          <w:sz w:val="32"/>
        </w:rPr>
      </w:pPr>
      <w:r>
        <w:rPr>
          <w:rFonts w:ascii="Arial" w:hAnsi="Arial" w:eastAsia="楷体_GB2312" w:cs="Arial"/>
          <w:b/>
          <w:bCs/>
          <w:sz w:val="32"/>
        </w:rPr>
        <w:t>关键词：北京市、</w:t>
      </w:r>
      <w:r>
        <w:rPr>
          <w:rFonts w:hint="eastAsia" w:ascii="Arial" w:hAnsi="Arial" w:eastAsia="楷体_GB2312" w:cs="Arial"/>
          <w:b/>
          <w:bCs/>
          <w:sz w:val="32"/>
        </w:rPr>
        <w:t>密云</w:t>
      </w:r>
      <w:r>
        <w:rPr>
          <w:rFonts w:ascii="Arial" w:hAnsi="Arial" w:eastAsia="楷体_GB2312" w:cs="Arial"/>
          <w:b/>
          <w:bCs/>
          <w:sz w:val="32"/>
        </w:rPr>
        <w:t>区</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出让</w:t>
      </w:r>
      <w:r>
        <w:rPr>
          <w:rFonts w:hint="eastAsia" w:ascii="Arial" w:hAnsi="Arial" w:eastAsia="楷体_GB2312" w:cs="Arial"/>
          <w:b/>
          <w:bCs/>
          <w:sz w:val="32"/>
        </w:rPr>
        <w:t>、划拨</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30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w:t>
      </w:r>
      <w:r>
        <w:rPr>
          <w:rFonts w:hint="eastAsia" w:ascii="Arial" w:hAnsi="Arial" w:eastAsia="楷体_GB2312" w:cs="Arial"/>
          <w:b/>
          <w:bCs/>
          <w:sz w:val="32"/>
        </w:rPr>
        <w:t>三</w:t>
      </w:r>
      <w:r>
        <w:rPr>
          <w:rFonts w:ascii="Arial" w:hAnsi="Arial" w:eastAsia="楷体_GB2312" w:cs="Arial"/>
          <w:b/>
          <w:bCs/>
          <w:sz w:val="32"/>
        </w:rPr>
        <w:t>年</w:t>
      </w:r>
    </w:p>
    <w:p>
      <w:pPr>
        <w:tabs>
          <w:tab w:val="center" w:pos="4649"/>
        </w:tabs>
        <w:spacing w:line="300" w:lineRule="auto"/>
        <w:rPr>
          <w:rFonts w:ascii="Arial" w:hAnsi="Arial" w:eastAsia="楷体" w:cs="Arial"/>
          <w:bCs/>
          <w:sz w:val="32"/>
        </w:rPr>
        <w:sectPr>
          <w:footerReference r:id="rId29" w:type="default"/>
          <w:pgSz w:w="11907" w:h="16840"/>
          <w:pgMar w:top="1843" w:right="1134" w:bottom="1134" w:left="1134" w:header="1134" w:footer="907" w:gutter="340"/>
          <w:cols w:space="720" w:num="1"/>
          <w:docGrid w:linePitch="326" w:charSpace="0"/>
        </w:sectPr>
      </w:pPr>
      <w:r>
        <w:rPr>
          <w:rFonts w:ascii="Arial" w:hAnsi="Arial" w:eastAsia="楷体" w:cs="Arial"/>
          <w:bCs/>
          <w:sz w:val="32"/>
        </w:rPr>
        <w:tab/>
      </w:r>
    </w:p>
    <w:p>
      <w:pPr>
        <w:pStyle w:val="23"/>
        <w:spacing w:line="300" w:lineRule="auto"/>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spacing w:line="300" w:lineRule="auto"/>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22</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Fonts w:ascii="Arial" w:cs="Arial"/>
        </w:rPr>
        <w:tab/>
      </w:r>
      <w:r>
        <w:rPr>
          <w:rFonts w:ascii="Arial" w:cs="Arial"/>
        </w:rPr>
        <w:t>52</w:t>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ascii="Arial" w:hAnsi="Arial" w:cs="Arial"/>
        </w:rPr>
        <w:t>52</w:t>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ascii="Arial" w:hAnsi="Arial" w:cs="Arial"/>
        </w:rPr>
        <w:t>56</w:t>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82</w:t>
      </w:r>
      <w:r>
        <w:rPr>
          <w:rFonts w:ascii="Arial" w:cs="Arial"/>
        </w:rPr>
        <w:fldChar w:fldCharType="end"/>
      </w:r>
      <w:r>
        <w:rPr>
          <w:rFonts w:ascii="Arial" w:cs="Arial"/>
        </w:rPr>
        <w:fldChar w:fldCharType="end"/>
      </w:r>
    </w:p>
    <w:p>
      <w:pPr>
        <w:pStyle w:val="28"/>
        <w:spacing w:line="300" w:lineRule="auto"/>
        <w:rPr>
          <w:rFonts w:ascii="Arial" w:hAnsi="Arial" w:eastAsia="楷体" w:cs="Arial"/>
          <w:sz w:val="32"/>
        </w:rPr>
        <w:sectPr>
          <w:headerReference r:id="rId30" w:type="first"/>
          <w:footerReference r:id="rId31"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rPr>
        <w:fldChar w:fldCharType="end"/>
      </w:r>
    </w:p>
    <w:p>
      <w:pPr>
        <w:spacing w:line="300" w:lineRule="auto"/>
        <w:jc w:val="center"/>
        <w:rPr>
          <w:rFonts w:ascii="Arial" w:hAnsi="Arial" w:cs="Arial"/>
          <w:sz w:val="32"/>
        </w:rPr>
      </w:pPr>
      <w:bookmarkStart w:id="157" w:name="_Toc416783638"/>
      <w:bookmarkStart w:id="158" w:name="_Toc416783542"/>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7"/>
      <w:bookmarkEnd w:id="158"/>
    </w:p>
    <w:p>
      <w:pPr>
        <w:spacing w:line="300" w:lineRule="auto"/>
        <w:jc w:val="center"/>
        <w:rPr>
          <w:rFonts w:ascii="Arial" w:hAnsi="Arial" w:cs="Arial"/>
          <w:sz w:val="32"/>
        </w:rPr>
      </w:pPr>
    </w:p>
    <w:p>
      <w:pPr>
        <w:spacing w:line="300" w:lineRule="auto"/>
        <w:jc w:val="center"/>
        <w:outlineLvl w:val="0"/>
        <w:rPr>
          <w:rFonts w:ascii="Arial" w:hAnsi="Arial" w:cs="Arial"/>
          <w:sz w:val="32"/>
        </w:rPr>
      </w:pPr>
      <w:bookmarkStart w:id="159" w:name="_Toc515457801"/>
      <w:bookmarkStart w:id="160" w:name="_Toc516488179"/>
      <w:bookmarkStart w:id="161" w:name="_Toc524335084"/>
      <w:bookmarkStart w:id="162" w:name="_Toc416783639"/>
      <w:bookmarkStart w:id="163" w:name="_Toc469066149"/>
      <w:bookmarkStart w:id="164" w:name="_Toc416783543"/>
      <w:bookmarkStart w:id="165" w:name="_Toc66929511"/>
      <w:bookmarkStart w:id="166" w:name="_Toc69393386"/>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rPr>
      </w:pPr>
    </w:p>
    <w:p>
      <w:pPr>
        <w:spacing w:line="300" w:lineRule="auto"/>
        <w:outlineLvl w:val="1"/>
        <w:rPr>
          <w:rFonts w:ascii="Arial" w:hAnsi="Arial" w:eastAsia="仿宋_GB2312" w:cs="Arial"/>
          <w:b/>
          <w:sz w:val="28"/>
        </w:rPr>
      </w:pPr>
      <w:bookmarkStart w:id="167" w:name="_Toc66929512"/>
      <w:bookmarkStart w:id="168" w:name="_Toc516488180"/>
      <w:bookmarkStart w:id="169" w:name="_Toc416783544"/>
      <w:bookmarkStart w:id="170" w:name="_Toc515457802"/>
      <w:bookmarkStart w:id="171" w:name="_Toc469066150"/>
      <w:bookmarkStart w:id="172" w:name="_Toc416783640"/>
      <w:bookmarkStart w:id="173" w:name="_Toc524335085"/>
      <w:bookmarkStart w:id="174" w:name="_Toc69393387"/>
      <w:r>
        <w:rPr>
          <w:rFonts w:ascii="Arial" w:hAnsi="Arial" w:eastAsia="仿宋_GB2312" w:cs="Arial"/>
          <w:b/>
          <w:sz w:val="28"/>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rPr>
      </w:pPr>
      <w:r>
        <w:rPr>
          <w:rFonts w:hint="eastAsia" w:ascii="Arial" w:hAnsi="Arial" w:eastAsia="仿宋_GB2312" w:cs="Arial"/>
          <w:sz w:val="28"/>
        </w:rPr>
        <w:t>北京市密云区西门外大街8号楼501-505、516-520号现状商业用地国 有建设用地使用权出让价格评估</w:t>
      </w:r>
    </w:p>
    <w:p>
      <w:pPr>
        <w:spacing w:line="300" w:lineRule="auto"/>
        <w:ind w:right="-327"/>
        <w:rPr>
          <w:rFonts w:ascii="Arial" w:hAnsi="Arial" w:eastAsia="仿宋_GB2312" w:cs="Arial"/>
          <w:sz w:val="28"/>
        </w:rPr>
      </w:pPr>
    </w:p>
    <w:p>
      <w:pPr>
        <w:spacing w:line="300" w:lineRule="auto"/>
        <w:outlineLvl w:val="1"/>
        <w:rPr>
          <w:rFonts w:ascii="Arial" w:hAnsi="Arial" w:eastAsia="仿宋_GB2312" w:cs="Arial"/>
          <w:b/>
          <w:sz w:val="28"/>
        </w:rPr>
      </w:pPr>
      <w:bookmarkStart w:id="175" w:name="_Toc416783642"/>
      <w:bookmarkStart w:id="176" w:name="_Toc469066151"/>
      <w:bookmarkStart w:id="177" w:name="_Toc515457803"/>
      <w:bookmarkStart w:id="178" w:name="_Toc516488181"/>
      <w:bookmarkStart w:id="179" w:name="_Toc66929513"/>
      <w:bookmarkStart w:id="180" w:name="_Toc69393388"/>
      <w:bookmarkStart w:id="181" w:name="_Toc524335086"/>
      <w:bookmarkStart w:id="182" w:name="_Toc416783546"/>
      <w:r>
        <w:rPr>
          <w:rFonts w:ascii="Arial" w:hAnsi="Arial" w:eastAsia="仿宋_GB2312" w:cs="Arial"/>
          <w:b/>
          <w:sz w:val="28"/>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183" w:name="_Toc516488182"/>
      <w:bookmarkStart w:id="184" w:name="_Toc416783643"/>
      <w:bookmarkStart w:id="185" w:name="_Toc66929514"/>
      <w:bookmarkStart w:id="186" w:name="_Toc515457804"/>
      <w:bookmarkStart w:id="187" w:name="_Toc69393389"/>
      <w:bookmarkStart w:id="188" w:name="_Toc469066152"/>
      <w:bookmarkStart w:id="189" w:name="_Toc416783547"/>
      <w:bookmarkStart w:id="190" w:name="_Toc524335087"/>
      <w:r>
        <w:rPr>
          <w:rFonts w:ascii="Arial" w:hAnsi="Arial" w:eastAsia="仿宋_GB2312" w:cs="Arial"/>
          <w:b/>
          <w:sz w:val="28"/>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rPr>
      </w:pPr>
      <w:bookmarkStart w:id="191" w:name="_Toc416783548"/>
      <w:bookmarkStart w:id="192" w:name="_Toc416783644"/>
      <w:r>
        <w:rPr>
          <w:rFonts w:ascii="Arial" w:hAnsi="Arial" w:eastAsia="仿宋_GB2312" w:cs="Arial"/>
          <w:sz w:val="28"/>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0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00" w:lineRule="auto"/>
        <w:rPr>
          <w:rFonts w:ascii="Arial" w:hAnsi="Arial" w:eastAsia="仿宋_GB2312" w:cs="Arial"/>
          <w:sz w:val="28"/>
        </w:rPr>
      </w:pPr>
      <w:r>
        <w:rPr>
          <w:rFonts w:ascii="Arial" w:hAnsi="Arial" w:eastAsia="仿宋_GB2312" w:cs="Arial"/>
          <w:sz w:val="28"/>
        </w:rPr>
        <w:t xml:space="preserve">    资质证书号：A201111009</w:t>
      </w:r>
    </w:p>
    <w:p>
      <w:pPr>
        <w:spacing w:line="300" w:lineRule="auto"/>
        <w:rPr>
          <w:rFonts w:ascii="Arial" w:hAnsi="Arial" w:eastAsia="仿宋_GB2312" w:cs="Arial"/>
          <w:sz w:val="28"/>
        </w:rPr>
      </w:pPr>
      <w:r>
        <w:rPr>
          <w:rFonts w:ascii="Arial" w:hAnsi="Arial" w:eastAsia="仿宋_GB2312" w:cs="Arial"/>
          <w:sz w:val="28"/>
        </w:rPr>
        <w:t xml:space="preserve">    法人代表：齐  宏</w:t>
      </w:r>
    </w:p>
    <w:p>
      <w:pPr>
        <w:spacing w:line="300" w:lineRule="auto"/>
        <w:rPr>
          <w:rFonts w:hint="eastAsia" w:ascii="Arial" w:hAnsi="Arial" w:eastAsia="仿宋_GB2312" w:cs="Arial"/>
          <w:sz w:val="28"/>
          <w:lang w:val="en-US" w:eastAsia="zh-CN"/>
        </w:rPr>
      </w:pPr>
      <w:r>
        <w:rPr>
          <w:rFonts w:ascii="Arial" w:hAnsi="Arial" w:eastAsia="仿宋_GB2312" w:cs="Arial"/>
          <w:sz w:val="28"/>
        </w:rPr>
        <w:t xml:space="preserve">    </w:t>
      </w:r>
      <w:r>
        <w:rPr>
          <w:rFonts w:hint="eastAsia" w:ascii="Arial" w:hAnsi="Arial" w:eastAsia="仿宋_GB2312" w:cs="Arial"/>
          <w:sz w:val="28"/>
        </w:rPr>
        <w:t>联系人：</w:t>
      </w:r>
      <w:r>
        <w:rPr>
          <w:rFonts w:hint="eastAsia" w:ascii="Arial" w:hAnsi="Arial" w:eastAsia="仿宋_GB2312" w:cs="Arial"/>
          <w:sz w:val="28"/>
          <w:lang w:eastAsia="zh-CN"/>
        </w:rPr>
        <w:t>李诗霖</w:t>
      </w:r>
    </w:p>
    <w:p>
      <w:pPr>
        <w:spacing w:line="300" w:lineRule="auto"/>
        <w:outlineLvl w:val="1"/>
        <w:rPr>
          <w:rFonts w:ascii="Arial" w:hAnsi="Arial" w:eastAsia="仿宋_GB2312" w:cs="Arial"/>
          <w:sz w:val="28"/>
        </w:rPr>
      </w:pPr>
      <w:r>
        <w:rPr>
          <w:rFonts w:hint="eastAsia" w:ascii="Arial" w:hAnsi="Arial" w:eastAsia="仿宋_GB2312" w:cs="Arial"/>
          <w:sz w:val="28"/>
        </w:rPr>
        <w:t>联系电话：</w:t>
      </w:r>
      <w:r>
        <w:rPr>
          <w:rFonts w:ascii="Arial" w:hAnsi="Arial" w:eastAsia="仿宋_GB2312" w:cs="Arial"/>
          <w:sz w:val="28"/>
        </w:rPr>
        <w:t>010-82253558</w:t>
      </w:r>
      <w:bookmarkStart w:id="193" w:name="_Toc69393390"/>
      <w:bookmarkStart w:id="194" w:name="_Toc515457805"/>
      <w:bookmarkStart w:id="195" w:name="_Toc469066153"/>
      <w:bookmarkStart w:id="196" w:name="_Toc416783549"/>
      <w:bookmarkStart w:id="197" w:name="_Toc416783645"/>
      <w:bookmarkStart w:id="198" w:name="_Toc66929515"/>
      <w:bookmarkStart w:id="199" w:name="_Toc516488183"/>
      <w:bookmarkStart w:id="200" w:name="_Toc524335088"/>
    </w:p>
    <w:p>
      <w:pPr>
        <w:spacing w:line="300" w:lineRule="auto"/>
        <w:outlineLvl w:val="1"/>
        <w:rPr>
          <w:rFonts w:ascii="Arial" w:hAnsi="Arial" w:eastAsia="仿宋_GB2312" w:cs="Arial"/>
          <w:sz w:val="28"/>
        </w:rPr>
      </w:pPr>
    </w:p>
    <w:p>
      <w:pPr>
        <w:spacing w:line="300" w:lineRule="auto"/>
        <w:outlineLvl w:val="1"/>
        <w:rPr>
          <w:rFonts w:ascii="Arial" w:hAnsi="Arial" w:eastAsia="仿宋_GB2312" w:cs="Arial"/>
          <w:b/>
          <w:sz w:val="28"/>
        </w:rPr>
      </w:pPr>
      <w:r>
        <w:rPr>
          <w:rFonts w:ascii="Arial" w:hAnsi="Arial" w:eastAsia="仿宋_GB2312" w:cs="Arial"/>
          <w:b/>
          <w:sz w:val="28"/>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1" w:name="_Toc516488184"/>
      <w:bookmarkStart w:id="202" w:name="_Toc469066154"/>
      <w:bookmarkStart w:id="203" w:name="_Toc416783553"/>
      <w:bookmarkStart w:id="204" w:name="_Toc524335089"/>
      <w:bookmarkStart w:id="205" w:name="_Toc416783649"/>
      <w:bookmarkStart w:id="206" w:name="_Toc69393391"/>
      <w:bookmarkStart w:id="207" w:name="_Toc515457806"/>
      <w:bookmarkStart w:id="208" w:name="_Toc66929516"/>
      <w:r>
        <w:rPr>
          <w:rFonts w:ascii="Arial" w:hAnsi="Arial" w:eastAsia="仿宋_GB2312" w:cs="Arial"/>
          <w:b/>
          <w:sz w:val="28"/>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9" w:name="_Toc66929517"/>
      <w:bookmarkStart w:id="210" w:name="_Toc524335090"/>
      <w:bookmarkStart w:id="211" w:name="_Toc515457807"/>
      <w:bookmarkStart w:id="212" w:name="_Toc469066155"/>
      <w:bookmarkStart w:id="213" w:name="_Toc69393392"/>
      <w:bookmarkStart w:id="214" w:name="_Toc516488185"/>
      <w:bookmarkStart w:id="215" w:name="_Toc416783670"/>
      <w:bookmarkStart w:id="216" w:name="_Toc416783574"/>
      <w:r>
        <w:rPr>
          <w:rFonts w:ascii="Arial" w:hAnsi="Arial" w:eastAsia="仿宋_GB2312" w:cs="Arial"/>
          <w:b/>
          <w:sz w:val="28"/>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rPr>
          <w:rFonts w:ascii="Arial" w:hAnsi="Arial" w:eastAsia="仿宋_GB2312" w:cs="Arial"/>
          <w:b/>
          <w:bCs/>
          <w:sz w:val="28"/>
        </w:rPr>
      </w:pPr>
    </w:p>
    <w:p>
      <w:pPr>
        <w:spacing w:line="300" w:lineRule="auto"/>
        <w:outlineLvl w:val="1"/>
        <w:rPr>
          <w:rFonts w:ascii="Arial" w:hAnsi="Arial" w:eastAsia="仿宋_GB2312" w:cs="Arial"/>
          <w:b/>
          <w:bCs/>
          <w:sz w:val="28"/>
        </w:rPr>
      </w:pPr>
      <w:bookmarkStart w:id="217" w:name="_Toc66929518"/>
      <w:bookmarkStart w:id="218" w:name="_Toc69393393"/>
      <w:bookmarkStart w:id="219" w:name="_Toc515457808"/>
      <w:bookmarkStart w:id="220" w:name="_Toc516488186"/>
      <w:bookmarkStart w:id="221" w:name="_Toc469066156"/>
      <w:bookmarkStart w:id="222" w:name="_Toc524335091"/>
      <w:bookmarkStart w:id="223" w:name="_Toc416783671"/>
      <w:bookmarkStart w:id="224" w:name="_Toc416783575"/>
      <w:r>
        <w:rPr>
          <w:rFonts w:ascii="Arial" w:hAnsi="Arial" w:eastAsia="仿宋_GB2312" w:cs="Arial"/>
          <w:b/>
          <w:bCs/>
          <w:sz w:val="28"/>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rPr>
      </w:pPr>
      <w:r>
        <w:rPr>
          <w:rFonts w:hint="eastAsia" w:ascii="Arial" w:hAnsi="Arial" w:eastAsia="仿宋_GB2312" w:cs="Arial"/>
          <w:sz w:val="28"/>
        </w:rPr>
        <w:t>2023年6月2日</w:t>
      </w:r>
      <w:r>
        <w:rPr>
          <w:rFonts w:ascii="Arial" w:hAnsi="Arial" w:eastAsia="仿宋_GB2312" w:cs="Arial"/>
          <w:sz w:val="28"/>
        </w:rPr>
        <w:t>至</w:t>
      </w:r>
      <w:r>
        <w:rPr>
          <w:rFonts w:hint="eastAsia" w:ascii="Arial" w:hAnsi="Arial" w:eastAsia="仿宋_GB2312" w:cs="Arial"/>
          <w:sz w:val="28"/>
        </w:rPr>
        <w:t>2023年6月9日</w:t>
      </w:r>
    </w:p>
    <w:p>
      <w:pPr>
        <w:pStyle w:val="10"/>
        <w:spacing w:line="300" w:lineRule="auto"/>
        <w:ind w:left="1405" w:hanging="1405" w:hangingChars="500"/>
        <w:jc w:val="left"/>
        <w:rPr>
          <w:rFonts w:ascii="Arial" w:eastAsia="仿宋_GB2312" w:cs="Arial"/>
          <w:b/>
          <w:bCs/>
          <w:sz w:val="28"/>
        </w:rPr>
      </w:pPr>
    </w:p>
    <w:p>
      <w:pPr>
        <w:pStyle w:val="10"/>
        <w:spacing w:line="300" w:lineRule="auto"/>
        <w:ind w:left="1405" w:hanging="1405" w:hangingChars="500"/>
        <w:jc w:val="left"/>
        <w:outlineLvl w:val="1"/>
        <w:rPr>
          <w:rFonts w:ascii="Arial" w:eastAsia="仿宋_GB2312" w:cs="Arial"/>
          <w:b/>
          <w:bCs/>
          <w:sz w:val="28"/>
        </w:rPr>
      </w:pPr>
      <w:bookmarkStart w:id="225" w:name="_Toc469066157"/>
      <w:bookmarkStart w:id="226" w:name="_Toc515457809"/>
      <w:bookmarkStart w:id="227" w:name="_Toc524335092"/>
      <w:bookmarkStart w:id="228" w:name="_Toc69393394"/>
      <w:bookmarkStart w:id="229" w:name="_Toc516488187"/>
      <w:bookmarkStart w:id="230" w:name="_Toc66929519"/>
      <w:r>
        <w:rPr>
          <w:rFonts w:ascii="Arial" w:eastAsia="仿宋_GB2312" w:cs="Arial"/>
          <w:b/>
          <w:bCs/>
          <w:sz w:val="28"/>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242.4709平方米的出让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ascii="Arial" w:hAnsi="Arial" w:eastAsia="仿宋_GB2312" w:cs="Arial"/>
          <w:sz w:val="28"/>
        </w:rPr>
        <w:t>其他商服用地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242.4709平方米的划拨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rPr>
        <w:t>。</w:t>
      </w:r>
    </w:p>
    <w:p>
      <w:pPr>
        <w:spacing w:line="300" w:lineRule="auto"/>
        <w:jc w:val="both"/>
        <w:outlineLvl w:val="1"/>
        <w:rPr>
          <w:rFonts w:ascii="Arial" w:hAnsi="Arial" w:eastAsia="仿宋_GB2312" w:cs="Arial"/>
          <w:b/>
          <w:sz w:val="28"/>
        </w:rPr>
      </w:pPr>
      <w:bookmarkStart w:id="231" w:name="_Toc516488188"/>
      <w:bookmarkStart w:id="232" w:name="_Toc515457810"/>
      <w:bookmarkStart w:id="233" w:name="_Toc416783576"/>
      <w:bookmarkStart w:id="234" w:name="_Toc469066158"/>
      <w:bookmarkStart w:id="235" w:name="_Toc66929520"/>
      <w:bookmarkStart w:id="236" w:name="_Toc524335093"/>
      <w:bookmarkStart w:id="237" w:name="_Toc69393395"/>
      <w:bookmarkStart w:id="238" w:name="_Toc416783672"/>
    </w:p>
    <w:p>
      <w:pPr>
        <w:spacing w:line="300" w:lineRule="auto"/>
        <w:jc w:val="both"/>
        <w:outlineLvl w:val="1"/>
        <w:rPr>
          <w:rFonts w:ascii="Arial" w:hAnsi="Arial" w:eastAsia="仿宋_GB2312" w:cs="Arial"/>
          <w:sz w:val="28"/>
        </w:rPr>
      </w:pPr>
      <w:r>
        <w:rPr>
          <w:rFonts w:ascii="Arial" w:hAnsi="Arial" w:eastAsia="仿宋_GB2312" w:cs="Arial"/>
          <w:b/>
          <w:sz w:val="28"/>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rPr>
      </w:pPr>
      <w:bookmarkStart w:id="239" w:name="_Toc416783676"/>
      <w:bookmarkStart w:id="240" w:name="_Toc416783580"/>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285.2647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贰佰捌拾伍万贰仟陆佰肆拾柒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5767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11765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247.8197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贰佰肆拾柒万捌仟壹佰玖拾柒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5010</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10221</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71.3285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柒拾壹万叁仟贰佰捌拾伍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1442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5767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285.2647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5010</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247.8197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1442</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71.3285</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5767元/平方米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285.2647万元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5010元/平方米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247.8197万元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＝5767－5010＝757（元/平方米）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＝757×494.65÷10000＝37.4450（万元）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cs="Arial"/>
          <w:szCs w:val="28"/>
        </w:rPr>
        <w:t>5767×25%＝</w:t>
      </w:r>
      <w:r>
        <w:rPr>
          <w:rFonts w:hint="eastAsia" w:ascii="Arial" w:hAnsi="Arial" w:eastAsia="仿宋" w:cs="Arial"/>
        </w:rPr>
        <w:t>1442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＝1422×494.65÷10000＝71.3285</w:t>
      </w:r>
      <w:r>
        <w:rPr>
          <w:rFonts w:hint="eastAsia" w:ascii="Arial" w:hAnsi="Arial" w:cs="Arial"/>
          <w:szCs w:val="28"/>
        </w:rPr>
        <w:t>（万元）</w:t>
      </w:r>
    </w:p>
    <w:p>
      <w:pPr>
        <w:pStyle w:val="52"/>
        <w:spacing w:line="300" w:lineRule="auto"/>
        <w:jc w:val="both"/>
        <w:rPr>
          <w:rFonts w:ascii="Arial" w:hAnsi="Arial" w:cs="Arial"/>
          <w:szCs w:val="28"/>
        </w:rPr>
      </w:pPr>
      <w:r>
        <w:rPr>
          <w:rFonts w:ascii="Arial" w:hAnsi="Arial" w:eastAsia="仿宋" w:cs="Arial"/>
          <w:szCs w:val="28"/>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Cs w:val="28"/>
        </w:rPr>
        <w:t>442</w:t>
      </w:r>
      <w:r>
        <w:rPr>
          <w:rFonts w:ascii="Arial" w:hAnsi="Arial" w:eastAsia="仿宋" w:cs="Arial"/>
          <w:szCs w:val="28"/>
        </w:rPr>
        <w:t>元/平方米，应当缴纳的地价款总额为</w:t>
      </w:r>
      <w:r>
        <w:rPr>
          <w:rFonts w:hint="eastAsia" w:ascii="Arial" w:hAnsi="Arial" w:eastAsia="仿宋" w:cs="Arial"/>
          <w:szCs w:val="28"/>
        </w:rPr>
        <w:t>71.3285</w:t>
      </w:r>
      <w:r>
        <w:rPr>
          <w:rFonts w:ascii="Arial" w:hAnsi="Arial" w:eastAsia="仿宋" w:cs="Arial"/>
          <w:szCs w:val="28"/>
        </w:rPr>
        <w:t>万元</w:t>
      </w:r>
      <w:r>
        <w:rPr>
          <w:rFonts w:ascii="Arial" w:hAnsi="Arial" w:cs="Arial"/>
          <w:szCs w:val="28"/>
        </w:rPr>
        <w:t>。</w:t>
      </w:r>
    </w:p>
    <w:p>
      <w:pPr>
        <w:pStyle w:val="52"/>
        <w:spacing w:line="300" w:lineRule="auto"/>
        <w:jc w:val="both"/>
        <w:rPr>
          <w:rFonts w:ascii="Arial" w:hAnsi="Arial" w:cs="Arial"/>
          <w:szCs w:val="28"/>
        </w:rPr>
      </w:pPr>
    </w:p>
    <w:p>
      <w:pPr>
        <w:pStyle w:val="52"/>
        <w:spacing w:line="300" w:lineRule="auto"/>
        <w:jc w:val="both"/>
        <w:rPr>
          <w:rFonts w:ascii="Arial" w:hAnsi="Arial" w:cs="Arial"/>
          <w:szCs w:val="28"/>
        </w:rPr>
        <w:sectPr>
          <w:footerReference r:id="rId32" w:type="first"/>
          <w:pgSz w:w="11907" w:h="16840"/>
          <w:pgMar w:top="1843" w:right="1134" w:bottom="1134" w:left="1134" w:header="1134" w:footer="907" w:gutter="340"/>
          <w:cols w:space="720" w:num="1"/>
          <w:titlePg/>
          <w:docGrid w:linePitch="326" w:charSpace="0"/>
        </w:sectPr>
      </w:pPr>
      <w:r>
        <w:rPr>
          <w:rFonts w:ascii="Arial" w:hAnsi="Arial" w:cs="Arial"/>
          <w:szCs w:val="28"/>
        </w:rPr>
        <w:t>（转下页）</w:t>
      </w:r>
    </w:p>
    <w:p>
      <w:pPr>
        <w:pStyle w:val="52"/>
        <w:spacing w:line="300" w:lineRule="auto"/>
        <w:ind w:firstLine="0" w:firstLineChars="0"/>
        <w:rPr>
          <w:rFonts w:ascii="Arial" w:hAnsi="Arial" w:cs="Arial"/>
          <w:b/>
        </w:rPr>
      </w:pP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2023-1-0432-F01TDCR6</w:t>
      </w:r>
      <w:r>
        <w:rPr>
          <w:rFonts w:ascii="Arial" w:hAnsi="Arial" w:eastAsia="仿宋_GB2312" w:cs="Arial"/>
          <w:bCs/>
          <w:sz w:val="18"/>
        </w:rPr>
        <w:t xml:space="preserve">    估价期日：</w:t>
      </w:r>
      <w:r>
        <w:rPr>
          <w:rFonts w:hint="eastAsia" w:ascii="Arial" w:hAnsi="Arial" w:eastAsia="仿宋_GB2312" w:cs="Arial"/>
          <w:bCs/>
          <w:sz w:val="18"/>
        </w:rPr>
        <w:t>2023年6月9日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5767</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285.2647</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5010</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247.8197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1442</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rPr>
          <w:rFonts w:ascii="Arial" w:hAnsi="Arial" w:eastAsia="仿宋_GB2312" w:cs="Arial"/>
          <w:sz w:val="28"/>
          <w:szCs w:val="28"/>
        </w:rPr>
      </w:pPr>
      <w:r>
        <w:rPr>
          <w:rFonts w:ascii="Arial" w:hAnsi="Arial" w:eastAsia="仿宋_GB2312" w:cs="Arial"/>
          <w:sz w:val="28"/>
          <w:szCs w:val="28"/>
        </w:rPr>
        <w:br w:type="page"/>
      </w:r>
    </w:p>
    <w:p>
      <w:pPr>
        <w:spacing w:line="300" w:lineRule="auto"/>
        <w:rPr>
          <w:rFonts w:ascii="Arial" w:hAnsi="Arial" w:eastAsia="仿宋_GB2312" w:cs="Arial"/>
          <w:sz w:val="28"/>
          <w:szCs w:val="28"/>
        </w:rPr>
        <w:sectPr>
          <w:headerReference r:id="rId33" w:type="firs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rPr>
      </w:pPr>
      <w:bookmarkStart w:id="241" w:name="_Toc524335095"/>
      <w:bookmarkStart w:id="242" w:name="_Toc515457812"/>
      <w:bookmarkStart w:id="243" w:name="_Toc69393396"/>
      <w:bookmarkStart w:id="244" w:name="_Toc66929521"/>
      <w:bookmarkStart w:id="245" w:name="_Toc469066160"/>
      <w:bookmarkStart w:id="246" w:name="_Toc516488190"/>
      <w:r>
        <w:rPr>
          <w:rFonts w:ascii="Arial" w:hAnsi="Arial" w:eastAsia="仿宋_GB2312" w:cs="Arial"/>
          <w:b/>
          <w:sz w:val="28"/>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rPr>
      </w:pPr>
      <w:bookmarkStart w:id="247" w:name="_Toc416783581"/>
      <w:bookmarkStart w:id="248" w:name="_Toc469066161"/>
      <w:bookmarkStart w:id="249" w:name="_Toc416783677"/>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10.本估价报告自报告出具日起计算，从</w:t>
      </w:r>
      <w:r>
        <w:rPr>
          <w:rFonts w:hint="eastAsia" w:ascii="Arial" w:hAnsi="Arial" w:eastAsia="仿宋_GB2312" w:cs="Arial"/>
          <w:sz w:val="28"/>
          <w:szCs w:val="28"/>
        </w:rPr>
        <w:t>2023年6月9日</w:t>
      </w:r>
      <w:r>
        <w:rPr>
          <w:rFonts w:ascii="Arial" w:hAnsi="Arial" w:eastAsia="仿宋_GB2312" w:cs="Arial"/>
          <w:sz w:val="28"/>
          <w:szCs w:val="28"/>
        </w:rPr>
        <w:t>至2024年6月</w:t>
      </w:r>
      <w:r>
        <w:rPr>
          <w:rFonts w:hint="eastAsia" w:ascii="Arial" w:hAnsi="Arial" w:eastAsia="仿宋_GB2312" w:cs="Arial"/>
          <w:sz w:val="28"/>
          <w:szCs w:val="28"/>
        </w:rPr>
        <w:t>8</w:t>
      </w:r>
      <w:r>
        <w:rPr>
          <w:rFonts w:ascii="Arial" w:hAnsi="Arial" w:eastAsia="仿宋_GB2312" w:cs="Arial"/>
          <w:sz w:val="28"/>
          <w:szCs w:val="28"/>
        </w:rPr>
        <w:t>日有效。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35" w:type="first"/>
          <w:headerReference r:id="rId34"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p>
      <w:pPr>
        <w:spacing w:line="300" w:lineRule="auto"/>
        <w:outlineLvl w:val="1"/>
        <w:rPr>
          <w:rFonts w:ascii="Arial" w:hAnsi="Arial" w:eastAsia="仿宋_GB2312" w:cs="Arial"/>
          <w:sz w:val="28"/>
        </w:rPr>
      </w:pPr>
      <w:bookmarkStart w:id="250" w:name="_Toc66929522"/>
      <w:bookmarkStart w:id="251" w:name="_Toc516488192"/>
      <w:bookmarkStart w:id="252" w:name="_Toc524335096"/>
      <w:bookmarkStart w:id="253" w:name="_Toc69393397"/>
      <w:bookmarkStart w:id="254" w:name="_Toc515457814"/>
      <w:r>
        <w:rPr>
          <w:rFonts w:ascii="Arial" w:hAnsi="Arial" w:eastAsia="仿宋_GB2312" w:cs="Arial"/>
          <w:b/>
          <w:sz w:val="28"/>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255" w:name="_Toc524335097"/>
      <w:bookmarkStart w:id="256" w:name="_Toc66929523"/>
      <w:bookmarkStart w:id="257" w:name="_Toc69393398"/>
      <w:bookmarkStart w:id="258" w:name="_Toc515457815"/>
      <w:bookmarkStart w:id="259" w:name="_Toc516488193"/>
      <w:r>
        <w:rPr>
          <w:rFonts w:ascii="Arial" w:hAnsi="Arial" w:eastAsia="仿宋_GB2312" w:cs="Arial"/>
          <w:b/>
          <w:sz w:val="28"/>
        </w:rPr>
        <w:t>十二、土地估价机构</w:t>
      </w:r>
      <w:bookmarkEnd w:id="255"/>
      <w:bookmarkEnd w:id="256"/>
      <w:bookmarkEnd w:id="257"/>
      <w:bookmarkEnd w:id="258"/>
      <w:bookmarkEnd w:id="259"/>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二三年六月九日</w:t>
            </w:r>
          </w:p>
        </w:tc>
      </w:tr>
    </w:tbl>
    <w:p>
      <w:pPr>
        <w:spacing w:line="300" w:lineRule="auto"/>
        <w:jc w:val="center"/>
        <w:outlineLvl w:val="0"/>
        <w:rPr>
          <w:rFonts w:ascii="Arial" w:hAnsi="Arial" w:cs="Arial"/>
          <w:b/>
          <w:sz w:val="32"/>
        </w:rPr>
      </w:pPr>
      <w:r>
        <w:rPr>
          <w:rFonts w:ascii="Arial" w:hAnsi="Arial" w:eastAsia="仿宋_GB2312" w:cs="Arial"/>
          <w:sz w:val="28"/>
        </w:rPr>
        <w:br w:type="page"/>
      </w:r>
      <w:bookmarkStart w:id="260" w:name="_Toc515457816"/>
      <w:bookmarkStart w:id="261" w:name="_Toc469066164"/>
      <w:bookmarkStart w:id="262" w:name="_Toc416783682"/>
      <w:bookmarkStart w:id="263" w:name="_Toc524335098"/>
      <w:bookmarkStart w:id="264" w:name="_Toc516488194"/>
      <w:bookmarkStart w:id="265" w:name="_Toc66929524"/>
      <w:bookmarkStart w:id="266" w:name="_Toc69393399"/>
      <w:bookmarkStart w:id="267" w:name="_Toc416783586"/>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268" w:name="_Toc516488195"/>
      <w:bookmarkStart w:id="269" w:name="_Toc515457817"/>
      <w:bookmarkStart w:id="270" w:name="_Toc66929525"/>
      <w:bookmarkStart w:id="271" w:name="_Toc69393400"/>
      <w:bookmarkStart w:id="272" w:name="_Toc469066165"/>
      <w:bookmarkStart w:id="273" w:name="_Toc416783683"/>
      <w:bookmarkStart w:id="274" w:name="_Toc416783587"/>
      <w:bookmarkStart w:id="275" w:name="_Toc524335099"/>
      <w:r>
        <w:rPr>
          <w:rFonts w:ascii="Arial" w:hAnsi="Arial" w:eastAsia="仿宋_GB2312" w:cs="Arial"/>
          <w:b/>
          <w:sz w:val="28"/>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rPr>
      </w:pPr>
      <w:bookmarkStart w:id="276" w:name="_Toc416783690"/>
      <w:bookmarkStart w:id="277" w:name="_Toc469066166"/>
      <w:bookmarkStart w:id="278" w:name="_Toc416783594"/>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估价对象为北京市密云区西门外大街8号楼501-505、516-520号现状商业用地，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现状土地使用权人（承受人）：樊景云</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分摊使用权面积：242.4709平方米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樊景云</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估价对象所属楼宇为地上总楼层为6层，估价对象位于其5层；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w:t>
      </w:r>
      <w:r>
        <w:rPr>
          <w:rFonts w:ascii="Arial" w:hAnsi="Arial" w:eastAsia="仿宋_GB2312" w:cs="Arial"/>
          <w:sz w:val="28"/>
          <w:szCs w:val="28"/>
        </w:rPr>
        <w:t>。</w:t>
      </w:r>
    </w:p>
    <w:p>
      <w:pPr>
        <w:snapToGrid w:val="0"/>
        <w:spacing w:line="300" w:lineRule="auto"/>
        <w:ind w:firstLine="560" w:firstLineChars="200"/>
        <w:jc w:val="both"/>
        <w:rPr>
          <w:rFonts w:ascii="Arial" w:hAnsi="Arial" w:eastAsia="仿宋_GB2312" w:cs="Arial"/>
          <w:sz w:val="28"/>
          <w:szCs w:val="28"/>
        </w:rPr>
      </w:pPr>
    </w:p>
    <w:p>
      <w:pPr>
        <w:spacing w:line="300" w:lineRule="auto"/>
        <w:outlineLvl w:val="1"/>
        <w:rPr>
          <w:rFonts w:ascii="Arial" w:hAnsi="Arial" w:eastAsia="仿宋_GB2312" w:cs="Arial"/>
          <w:b/>
          <w:sz w:val="28"/>
        </w:rPr>
      </w:pPr>
      <w:bookmarkStart w:id="279" w:name="_Toc66929526"/>
      <w:bookmarkStart w:id="280" w:name="_Toc515457818"/>
      <w:bookmarkStart w:id="281" w:name="_Toc524335100"/>
      <w:bookmarkStart w:id="282" w:name="_Toc69393401"/>
      <w:bookmarkStart w:id="283" w:name="_Toc516488196"/>
      <w:r>
        <w:rPr>
          <w:rFonts w:ascii="Arial" w:hAnsi="Arial" w:eastAsia="仿宋_GB2312" w:cs="Arial"/>
          <w:b/>
          <w:sz w:val="28"/>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rPr>
      </w:pPr>
      <w:bookmarkStart w:id="284" w:name="_Toc416783599"/>
      <w:bookmarkStart w:id="285" w:name="_Toc515457822"/>
      <w:bookmarkStart w:id="286" w:name="_Toc69393402"/>
      <w:bookmarkStart w:id="287" w:name="_Toc416783695"/>
      <w:bookmarkStart w:id="288" w:name="_Toc469066168"/>
      <w:bookmarkStart w:id="289" w:name="_Toc524335110"/>
      <w:bookmarkStart w:id="290" w:name="_Toc66929527"/>
      <w:bookmarkStart w:id="291" w:name="_Toc516488204"/>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highlight w:val="lightGray"/>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00" w:lineRule="auto"/>
        <w:jc w:val="center"/>
      </w:pPr>
      <w: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北京市密云区西门外大街8号楼501-505、516-520号现状商业用地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rPr>
        <w:t>。</w:t>
      </w:r>
    </w:p>
    <w:p>
      <w:pPr>
        <w:widowControl/>
        <w:adjustRightInd/>
        <w:spacing w:line="300" w:lineRule="auto"/>
        <w:textAlignment w:val="auto"/>
        <w:rPr>
          <w:rFonts w:ascii="Arial" w:hAnsi="Arial" w:eastAsia="仿宋_GB2312" w:cs="Arial"/>
          <w:sz w:val="28"/>
          <w:szCs w:val="28"/>
        </w:rPr>
      </w:pPr>
      <w:r>
        <w:rPr>
          <w:rFonts w:ascii="Arial" w:hAnsi="Arial" w:eastAsia="仿宋_GB2312" w:cs="Arial"/>
          <w:sz w:val="28"/>
          <w:szCs w:val="28"/>
        </w:rPr>
        <w:br w:type="page"/>
      </w:r>
    </w:p>
    <w:p>
      <w:pPr>
        <w:spacing w:line="300" w:lineRule="auto"/>
        <w:jc w:val="center"/>
        <w:outlineLvl w:val="0"/>
        <w:rPr>
          <w:rFonts w:ascii="Arial" w:hAnsi="Arial" w:cs="Arial"/>
          <w:sz w:val="32"/>
        </w:rPr>
      </w:pPr>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rPr>
      </w:pPr>
    </w:p>
    <w:p>
      <w:pPr>
        <w:spacing w:line="300" w:lineRule="auto"/>
        <w:outlineLvl w:val="1"/>
        <w:rPr>
          <w:rFonts w:ascii="Arial" w:hAnsi="Arial" w:eastAsia="仿宋_GB2312" w:cs="Arial"/>
          <w:sz w:val="28"/>
        </w:rPr>
      </w:pPr>
      <w:bookmarkStart w:id="292" w:name="_Toc66929528"/>
      <w:bookmarkStart w:id="293" w:name="_Toc69393403"/>
      <w:bookmarkStart w:id="294" w:name="_Toc416783696"/>
      <w:bookmarkStart w:id="295" w:name="_Toc469066169"/>
      <w:bookmarkStart w:id="296" w:name="_Toc524335111"/>
      <w:bookmarkStart w:id="297" w:name="_Toc416783600"/>
      <w:bookmarkStart w:id="298" w:name="_Toc515457823"/>
      <w:bookmarkStart w:id="299" w:name="_Toc516488205"/>
      <w:r>
        <w:rPr>
          <w:rFonts w:ascii="Arial" w:hAnsi="Arial" w:eastAsia="仿宋_GB2312" w:cs="Arial"/>
          <w:b/>
          <w:sz w:val="28"/>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rPr>
      </w:pPr>
      <w:bookmarkStart w:id="300" w:name="_Toc515457824"/>
      <w:bookmarkStart w:id="301" w:name="_Toc524335112"/>
      <w:bookmarkStart w:id="302" w:name="_Toc516488206"/>
      <w:bookmarkStart w:id="303" w:name="_Toc416783697"/>
      <w:bookmarkStart w:id="304" w:name="_Toc416783601"/>
      <w:bookmarkStart w:id="305" w:name="_Toc469066170"/>
      <w:bookmarkStart w:id="306" w:name="_Toc69393404"/>
      <w:bookmarkStart w:id="307" w:name="_Toc66929529"/>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2.最有效利用原则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3.预期收益原则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4.供需原则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5.贡献原则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rPr>
      </w:pPr>
    </w:p>
    <w:p>
      <w:pPr>
        <w:spacing w:line="300" w:lineRule="auto"/>
        <w:jc w:val="both"/>
        <w:outlineLvl w:val="1"/>
        <w:rPr>
          <w:rFonts w:ascii="Arial" w:hAnsi="Arial" w:eastAsia="仿宋_GB2312" w:cs="Arial"/>
          <w:b/>
          <w:sz w:val="28"/>
        </w:rPr>
      </w:pPr>
      <w:r>
        <w:rPr>
          <w:rFonts w:ascii="Arial" w:hAnsi="Arial" w:eastAsia="仿宋_GB2312" w:cs="Arial"/>
          <w:b/>
          <w:sz w:val="28"/>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rPr>
      </w:pPr>
      <w:bookmarkStart w:id="308" w:name="_Toc416783698"/>
      <w:bookmarkStart w:id="309" w:name="_Toc416783602"/>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由于估价对象</w:t>
      </w:r>
      <w:r>
        <w:rPr>
          <w:rFonts w:hint="eastAsia" w:ascii="Arial" w:hAnsi="Arial" w:eastAsia="仿宋_GB2312" w:cs="Arial"/>
          <w:sz w:val="28"/>
          <w:lang w:eastAsia="zh-CN"/>
        </w:rPr>
        <w:t>设定</w:t>
      </w:r>
      <w:r>
        <w:rPr>
          <w:rFonts w:hint="eastAsia" w:ascii="Arial" w:hAnsi="Arial" w:eastAsia="仿宋_GB2312" w:cs="Arial"/>
          <w:sz w:val="28"/>
        </w:rPr>
        <w:t>为空地，难以找到土地租赁案例，故未采用收益还原法。</w:t>
      </w:r>
    </w:p>
    <w:p>
      <w:pPr>
        <w:spacing w:line="300" w:lineRule="auto"/>
        <w:jc w:val="both"/>
        <w:rPr>
          <w:rFonts w:ascii="Arial" w:hAnsi="Arial" w:eastAsia="仿宋_GB2312" w:cs="Arial"/>
          <w:sz w:val="28"/>
        </w:rPr>
      </w:pPr>
      <w:r>
        <w:rPr>
          <w:rFonts w:ascii="Arial" w:hAnsi="Arial" w:eastAsia="仿宋_GB2312" w:cs="Arial"/>
          <w:sz w:val="28"/>
        </w:rPr>
        <w:br w:type="page"/>
      </w:r>
    </w:p>
    <w:p>
      <w:pPr>
        <w:spacing w:line="300" w:lineRule="auto"/>
        <w:jc w:val="both"/>
        <w:rPr>
          <w:rFonts w:ascii="Arial" w:hAnsi="Arial" w:eastAsia="仿宋_GB2312" w:cs="Arial"/>
          <w:sz w:val="28"/>
          <w:highlight w:val="yellow"/>
        </w:rPr>
      </w:pPr>
      <w:r>
        <w:rPr>
          <w:rFonts w:ascii="Arial" w:hAnsi="Arial" w:eastAsia="仿宋_GB2312" w:cs="Arial"/>
          <w:sz w:val="28"/>
          <w:highlight w:val="yellow"/>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1.估价对象土地经济技术指标</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r>
        <w:rPr>
          <w:rFonts w:hint="eastAsia" w:ascii="Arial" w:hAnsi="Arial" w:eastAsia="仿宋_GB2312" w:cs="Arial"/>
          <w:spacing w:val="-12"/>
          <w:sz w:val="28"/>
        </w:rPr>
        <w:t>根据《土地权属审查告知书》[密权属审〔2023〕字第018号]及《国有建设用地使用权出让地价评估委托书》，估价对象分摊土地使用权面积为242.4709平方米，用途为商业。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商业</w:t>
      </w:r>
      <w:r>
        <w:rPr>
          <w:rFonts w:ascii="Arial" w:hAnsi="Arial" w:eastAsia="仿宋_GB2312" w:cs="Arial"/>
          <w:sz w:val="28"/>
        </w:rPr>
        <w:t>用房取</w:t>
      </w:r>
      <w:r>
        <w:rPr>
          <w:rFonts w:hint="eastAsia" w:ascii="Arial" w:hAnsi="Arial" w:eastAsia="仿宋_GB2312" w:cs="Arial"/>
          <w:sz w:val="28"/>
        </w:rPr>
        <w:t>2</w:t>
      </w:r>
      <w:r>
        <w:rPr>
          <w:rFonts w:ascii="Arial" w:hAnsi="Arial" w:eastAsia="仿宋_GB2312" w:cs="Arial"/>
          <w:sz w:val="28"/>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土地开发期：</w:t>
      </w:r>
      <w:r>
        <w:rPr>
          <w:rFonts w:hint="eastAsia" w:ascii="Arial" w:hAnsi="Arial" w:eastAsia="仿宋_GB2312" w:cs="Arial"/>
          <w:sz w:val="28"/>
        </w:rPr>
        <w:t>1</w:t>
      </w:r>
      <w:r>
        <w:rPr>
          <w:rFonts w:ascii="Arial" w:hAnsi="Arial" w:eastAsia="仿宋_GB2312" w:cs="Arial"/>
          <w:sz w:val="28"/>
        </w:rPr>
        <w:t>年</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w:t>
      </w:r>
      <w:r>
        <w:rPr>
          <w:rFonts w:hint="eastAsia" w:ascii="Arial" w:hAnsi="Arial" w:eastAsia="仿宋_GB2312" w:cs="Arial"/>
          <w:sz w:val="28"/>
        </w:rPr>
        <w:t>1</w:t>
      </w:r>
      <w:r>
        <w:rPr>
          <w:rFonts w:ascii="Arial" w:hAnsi="Arial" w:eastAsia="仿宋_GB2312" w:cs="Arial"/>
          <w:sz w:val="28"/>
        </w:rPr>
        <w:t>年</w:t>
      </w:r>
    </w:p>
    <w:p>
      <w:pPr>
        <w:spacing w:line="300" w:lineRule="auto"/>
        <w:ind w:firstLine="562" w:firstLineChars="200"/>
        <w:jc w:val="both"/>
        <w:rPr>
          <w:rFonts w:ascii="Arial" w:hAnsi="Arial" w:eastAsia="仿宋_GB2312" w:cs="Arial"/>
          <w:b/>
          <w:sz w:val="28"/>
        </w:rPr>
      </w:pPr>
      <w:r>
        <w:rPr>
          <w:rFonts w:ascii="Arial" w:hAnsi="Arial" w:eastAsia="仿宋_GB2312" w:cs="Arial"/>
          <w:b/>
          <w:sz w:val="28"/>
        </w:rPr>
        <w:br w:type="page"/>
      </w:r>
    </w:p>
    <w:p>
      <w:pPr>
        <w:snapToGrid w:val="0"/>
        <w:spacing w:line="300" w:lineRule="auto"/>
        <w:ind w:firstLine="562" w:firstLineChars="200"/>
        <w:jc w:val="both"/>
        <w:rPr>
          <w:rFonts w:ascii="Arial" w:hAnsi="Arial" w:eastAsia="仿宋_GB2312" w:cs="Arial"/>
          <w:b/>
          <w:sz w:val="28"/>
        </w:rPr>
      </w:pPr>
      <w:r>
        <w:rPr>
          <w:rFonts w:ascii="Arial" w:hAnsi="Arial" w:eastAsia="仿宋_GB2312" w:cs="Arial"/>
          <w:b/>
          <w:sz w:val="28"/>
        </w:rPr>
        <w:t>测算过程：</w:t>
      </w:r>
    </w:p>
    <w:p>
      <w:pPr>
        <w:snapToGrid w:val="0"/>
        <w:spacing w:line="300" w:lineRule="auto"/>
        <w:ind w:firstLine="562" w:firstLineChars="200"/>
        <w:jc w:val="both"/>
        <w:rPr>
          <w:rFonts w:ascii="Arial" w:hAnsi="Arial" w:eastAsia="仿宋_GB2312" w:cs="Arial"/>
          <w:b/>
          <w:sz w:val="28"/>
        </w:rPr>
      </w:pPr>
      <w:r>
        <w:rPr>
          <w:rFonts w:hint="eastAsia" w:ascii="Arial" w:hAnsi="Arial" w:eastAsia="仿宋_GB2312" w:cs="Arial"/>
          <w:b/>
          <w:sz w:val="28"/>
        </w:rPr>
        <w:t>一、出让国有建设用地使用权价格</w:t>
      </w:r>
    </w:p>
    <w:p>
      <w:pPr>
        <w:spacing w:line="300" w:lineRule="auto"/>
        <w:ind w:left="420"/>
        <w:jc w:val="both"/>
        <w:rPr>
          <w:rFonts w:ascii="Arial" w:hAnsi="Arial" w:eastAsia="仿宋_GB2312" w:cs="Arial"/>
          <w:b/>
          <w:bCs/>
          <w:sz w:val="28"/>
        </w:rPr>
      </w:pPr>
      <w:bookmarkStart w:id="310" w:name="_Toc469066172"/>
      <w:bookmarkStart w:id="311" w:name="_Toc416783706"/>
      <w:bookmarkStart w:id="312" w:name="_Toc416783610"/>
      <w:r>
        <w:rPr>
          <w:rFonts w:ascii="Arial" w:hAnsi="Arial" w:eastAsia="仿宋_GB2312" w:cs="Arial"/>
          <w:b/>
          <w:sz w:val="28"/>
        </w:rPr>
        <w:t>方法一：</w:t>
      </w:r>
      <w:r>
        <w:rPr>
          <w:rFonts w:ascii="Arial" w:hAnsi="Arial" w:eastAsia="仿宋_GB2312" w:cs="Arial"/>
          <w:b/>
          <w:bCs/>
          <w:sz w:val="28"/>
        </w:rPr>
        <w:t>基准地价系数修正法</w:t>
      </w:r>
    </w:p>
    <w:p>
      <w:pPr>
        <w:pStyle w:val="11"/>
        <w:spacing w:line="300" w:lineRule="auto"/>
        <w:ind w:firstLine="560" w:firstLineChars="200"/>
        <w:rPr>
          <w:rFonts w:ascii="Arial" w:hAnsi="Arial" w:eastAsia="仿宋" w:cs="Arial"/>
          <w:sz w:val="28"/>
        </w:rPr>
      </w:pPr>
      <w:r>
        <w:rPr>
          <w:rFonts w:ascii="Arial" w:hAnsi="Arial" w:eastAsia="仿宋" w:cs="Arial"/>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rPr>
        <w:t>[</w:t>
      </w:r>
      <w:r>
        <w:rPr>
          <w:rFonts w:ascii="Arial" w:hAnsi="Arial" w:eastAsia="仿宋" w:cs="Arial"/>
          <w:sz w:val="28"/>
        </w:rPr>
        <w:t>2022</w:t>
      </w:r>
      <w:r>
        <w:rPr>
          <w:rFonts w:hint="eastAsia" w:ascii="Arial" w:hAnsi="Arial" w:eastAsia="仿宋" w:cs="Arial"/>
          <w:sz w:val="28"/>
        </w:rPr>
        <w:t>]</w:t>
      </w:r>
      <w:r>
        <w:rPr>
          <w:rFonts w:ascii="Arial" w:hAnsi="Arial" w:eastAsia="仿宋" w:cs="Arial"/>
          <w:sz w:val="28"/>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rPr>
      </w:pPr>
      <w:r>
        <w:rPr>
          <w:rFonts w:ascii="Arial" w:hAnsi="Arial" w:eastAsia="仿宋" w:cs="Arial"/>
          <w:sz w:val="28"/>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rPr>
      </w:pPr>
      <w:r>
        <w:rPr>
          <w:rFonts w:ascii="Arial" w:hAnsi="Arial" w:eastAsia="仿宋" w:cs="Arial"/>
          <w:sz w:val="28"/>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rPr>
      </w:pPr>
      <w:r>
        <w:rPr>
          <w:rFonts w:ascii="Arial" w:hAnsi="Arial" w:eastAsia="仿宋"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）或宗地外通路、通电、通讯、通上水、通下水及宗地内平整（简称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），八至十二级为宗地外通路、通电、通讯、通上水、通下水及宗地内平整（简称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rPr>
            </w:pPr>
            <w:r>
              <w:rPr>
                <w:rFonts w:ascii="Arial" w:hAnsi="Arial" w:eastAsia="仿宋" w:cs="Arial"/>
                <w:sz w:val="18"/>
                <w:szCs w:val="22"/>
              </w:rPr>
              <w:t>土地级别</w:t>
            </w:r>
          </w:p>
          <w:p>
            <w:pPr>
              <w:spacing w:line="300" w:lineRule="auto"/>
              <w:rPr>
                <w:rFonts w:ascii="Arial" w:hAnsi="Arial" w:eastAsia="仿宋" w:cs="Arial"/>
                <w:sz w:val="18"/>
                <w:szCs w:val="22"/>
              </w:rPr>
            </w:pPr>
            <w:r>
              <w:rPr>
                <w:rFonts w:ascii="Arial" w:hAnsi="Arial" w:eastAsia="仿宋" w:cs="Arial"/>
                <w:sz w:val="18"/>
                <w:szCs w:val="22"/>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1.5 </w:t>
            </w:r>
          </w:p>
        </w:tc>
      </w:tr>
    </w:tbl>
    <w:p>
      <w:pPr>
        <w:pStyle w:val="11"/>
        <w:adjustRightInd w:val="0"/>
        <w:snapToGrid w:val="0"/>
        <w:spacing w:line="240" w:lineRule="exact"/>
        <w:ind w:firstLine="360" w:firstLineChars="200"/>
        <w:rPr>
          <w:rFonts w:ascii="Arial" w:hAnsi="Arial" w:eastAsia="仿宋" w:cs="Arial"/>
          <w:sz w:val="18"/>
          <w:szCs w:val="18"/>
        </w:rPr>
      </w:pPr>
    </w:p>
    <w:p>
      <w:pPr>
        <w:pStyle w:val="11"/>
        <w:spacing w:line="300" w:lineRule="auto"/>
        <w:ind w:firstLine="560" w:firstLineChars="200"/>
        <w:rPr>
          <w:rFonts w:ascii="Arial" w:hAnsi="Arial" w:eastAsia="仿宋" w:cs="Arial"/>
          <w:sz w:val="28"/>
        </w:rPr>
      </w:pPr>
      <w:r>
        <w:rPr>
          <w:rFonts w:ascii="Arial" w:hAnsi="Arial" w:eastAsia="仿宋" w:cs="Arial"/>
          <w:sz w:val="28"/>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2.计算公式如下：</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地上部分</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rPr>
      </w:pPr>
      <w:r>
        <w:rPr>
          <w:rFonts w:ascii="Arial" w:hAnsi="Arial" w:eastAsia="仿宋_GB2312" w:cs="Arial"/>
          <w:sz w:val="28"/>
        </w:rPr>
        <w:t>测算过程</w:t>
      </w:r>
    </w:p>
    <w:p>
      <w:pPr>
        <w:spacing w:line="300" w:lineRule="auto"/>
        <w:ind w:left="142" w:firstLine="424" w:firstLineChars="151"/>
        <w:jc w:val="both"/>
        <w:rPr>
          <w:rFonts w:ascii="Arial" w:hAnsi="Arial" w:eastAsia="仿宋_GB2312" w:cs="Arial"/>
          <w:b/>
          <w:sz w:val="28"/>
        </w:rPr>
      </w:pPr>
      <w:r>
        <w:rPr>
          <w:rFonts w:ascii="Arial" w:hAnsi="Arial" w:eastAsia="仿宋_GB2312" w:cs="Arial"/>
          <w:b/>
          <w:sz w:val="28"/>
        </w:rPr>
        <w:t>（1）求取估价对象</w:t>
      </w:r>
      <w:r>
        <w:rPr>
          <w:rFonts w:hint="eastAsia" w:ascii="Arial" w:hAnsi="Arial" w:eastAsia="仿宋_GB2312" w:cs="Arial"/>
          <w:b/>
          <w:sz w:val="28"/>
        </w:rPr>
        <w:t>商业</w:t>
      </w:r>
      <w:r>
        <w:rPr>
          <w:rFonts w:ascii="Arial" w:hAnsi="Arial" w:eastAsia="仿宋_GB2312" w:cs="Arial"/>
          <w:b/>
          <w:sz w:val="28"/>
        </w:rPr>
        <w:t>用房楼面熟地价</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1）宗地适用基准地价水平的确定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（A）</w:t>
      </w:r>
      <w:r>
        <w:rPr>
          <w:rFonts w:hint="eastAsia" w:ascii="Arial" w:hAnsi="Arial" w:eastAsia="仿宋_GB2312" w:cs="Arial"/>
          <w:sz w:val="28"/>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hint="eastAsia" w:ascii="Arial" w:hAnsi="Arial" w:eastAsia="仿宋_GB2312" w:cs="Arial"/>
          <w:sz w:val="28"/>
        </w:rPr>
        <w:t>级地价区，属</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hint="eastAsia" w:ascii="Arial" w:hAnsi="Arial" w:eastAsia="仿宋_GB2312" w:cs="Arial"/>
          <w:sz w:val="28"/>
        </w:rPr>
        <w:t>片。</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_GB2312" w:cs="Arial"/>
          <w:sz w:val="28"/>
        </w:rPr>
        <w:t>北京市区片基准地价详见下表：</w:t>
      </w:r>
    </w:p>
    <w:p>
      <w:pPr>
        <w:pStyle w:val="12"/>
        <w:spacing w:line="300" w:lineRule="auto"/>
        <w:ind w:firstLine="0"/>
        <w:jc w:val="center"/>
        <w:rPr>
          <w:rFonts w:ascii="Arial" w:hAnsi="Arial" w:eastAsia="方正黑体简体"/>
          <w:sz w:val="24"/>
        </w:rPr>
      </w:pPr>
      <w:r>
        <w:rPr>
          <w:rFonts w:hint="eastAsia" w:ascii="Arial" w:hAnsi="Arial" w:eastAsia="方正黑体简体"/>
          <w:sz w:val="24"/>
        </w:rPr>
        <w:t>北京市区片基准地价表（楼面地价）</w:t>
      </w:r>
    </w:p>
    <w:p>
      <w:pPr>
        <w:pStyle w:val="12"/>
        <w:spacing w:line="300" w:lineRule="auto"/>
        <w:ind w:firstLine="0"/>
        <w:rPr>
          <w:rFonts w:ascii="Arial" w:hAnsi="Arial" w:eastAsia="方正黑体简体"/>
          <w:b/>
          <w:sz w:val="24"/>
        </w:rPr>
      </w:pPr>
      <w:r>
        <w:rPr>
          <w:rFonts w:hint="eastAsia" w:ascii="Arial" w:hAnsi="Arial" w:eastAsia="华文细黑"/>
          <w:sz w:val="18"/>
          <w:szCs w:val="24"/>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rPr>
            </w:pPr>
            <w:r>
              <w:rPr>
                <w:rFonts w:ascii="Arial" w:hAnsi="Arial" w:eastAsia="仿宋" w:cs="Arial"/>
                <w:color w:val="000000"/>
                <w:sz w:val="18"/>
                <w:szCs w:val="18"/>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rPr>
      </w:pPr>
      <w:r>
        <w:rPr>
          <w:rFonts w:ascii="Arial" w:hAnsi="Arial" w:eastAsia="仿宋_GB2312" w:cs="Arial"/>
          <w:sz w:val="28"/>
        </w:rPr>
        <w:t>则</w:t>
      </w:r>
      <w:r>
        <w:rPr>
          <w:rFonts w:ascii="Arial" w:hAnsi="Arial" w:eastAsia="仿宋_GB2312" w:cs="Arial"/>
          <w:sz w:val="28"/>
          <w:szCs w:val="21"/>
        </w:rPr>
        <w:t>估价对象所在</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w:t>
      </w:r>
      <w:r>
        <w:rPr>
          <w:rFonts w:ascii="Arial" w:hAnsi="Arial" w:eastAsia="仿宋_GB2312" w:cs="Arial"/>
          <w:sz w:val="28"/>
          <w:szCs w:val="21"/>
        </w:rPr>
        <w:t>的区片基准地价为</w:t>
      </w:r>
      <w:r>
        <w:rPr>
          <w:rFonts w:hint="eastAsia" w:ascii="Arial" w:hAnsi="Arial" w:eastAsia="仿宋_GB2312" w:cs="Arial"/>
          <w:sz w:val="28"/>
          <w:szCs w:val="21"/>
        </w:rPr>
        <w:t>6850</w:t>
      </w:r>
      <w:r>
        <w:rPr>
          <w:rFonts w:ascii="Arial" w:hAnsi="Arial" w:eastAsia="仿宋_GB2312" w:cs="Arial"/>
          <w:sz w:val="28"/>
          <w:szCs w:val="21"/>
        </w:rPr>
        <w:t>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估价对象设定宗地土地开发程度为宗地红线外“七通一平”（</w:t>
      </w:r>
      <w:r>
        <w:rPr>
          <w:rFonts w:ascii="Arial" w:hAnsi="Arial" w:eastAsia="仿宋" w:cs="Arial"/>
          <w:sz w:val="28"/>
          <w:szCs w:val="28"/>
        </w:rPr>
        <w:t>即通路、通上水、通下水、通电、通讯、通热、通燃气</w:t>
      </w:r>
      <w:r>
        <w:rPr>
          <w:rFonts w:hint="eastAsia" w:ascii="Arial" w:hAnsi="Arial" w:eastAsia="仿宋_GB2312" w:cs="Arial"/>
          <w:sz w:val="28"/>
          <w:szCs w:val="21"/>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rPr>
      </w:pPr>
    </w:p>
    <w:p>
      <w:pPr>
        <w:spacing w:line="300" w:lineRule="exact"/>
        <w:jc w:val="center"/>
        <w:rPr>
          <w:rFonts w:ascii="Arial" w:hAnsi="Arial" w:eastAsia="方正黑体简体" w:cs="宋体"/>
          <w:bCs/>
          <w:color w:val="000000"/>
          <w:szCs w:val="24"/>
        </w:rPr>
      </w:pPr>
      <w:r>
        <w:rPr>
          <w:rFonts w:hint="eastAsia" w:ascii="Arial" w:hAnsi="Arial" w:eastAsia="方正黑体简体" w:cs="宋体"/>
          <w:bCs/>
          <w:color w:val="000000"/>
          <w:szCs w:val="24"/>
        </w:rPr>
        <w:t>基础设施建设费（土地开发费）</w:t>
      </w:r>
    </w:p>
    <w:p>
      <w:pPr>
        <w:spacing w:before="120" w:beforeLines="50" w:line="240" w:lineRule="auto"/>
        <w:ind w:right="-23"/>
        <w:jc w:val="right"/>
        <w:rPr>
          <w:rFonts w:ascii="Arial" w:hAnsi="Arial"/>
          <w:sz w:val="21"/>
        </w:rPr>
      </w:pPr>
      <w:r>
        <w:rPr>
          <w:rFonts w:hint="eastAsia" w:ascii="Arial" w:hAnsi="Arial" w:eastAsia="华文细黑" w:cs="宋体"/>
          <w:color w:val="000000"/>
          <w:sz w:val="18"/>
          <w:szCs w:val="24"/>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费用</w:t>
            </w:r>
          </w:p>
          <w:p>
            <w:pPr>
              <w:spacing w:line="240" w:lineRule="exact"/>
              <w:rPr>
                <w:rFonts w:ascii="Arial" w:hAnsi="Arial" w:eastAsia="华文细黑" w:cs="宋体"/>
                <w:color w:val="000000"/>
                <w:sz w:val="18"/>
                <w:szCs w:val="24"/>
              </w:rPr>
            </w:pPr>
            <w:r>
              <w:rPr>
                <w:rFonts w:hint="eastAsia" w:ascii="Arial" w:hAnsi="Arial" w:eastAsia="华文细黑" w:cs="宋体"/>
                <w:color w:val="000000"/>
                <w:sz w:val="18"/>
                <w:szCs w:val="24"/>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255</w:t>
            </w:r>
          </w:p>
        </w:tc>
      </w:tr>
    </w:tbl>
    <w:p>
      <w:pPr>
        <w:widowControl/>
        <w:adjustRightInd/>
        <w:spacing w:line="240" w:lineRule="exact"/>
        <w:textAlignment w:val="auto"/>
        <w:rPr>
          <w:rFonts w:ascii="Arial" w:hAnsi="Arial" w:eastAsia="华文细黑" w:cs="宋体"/>
          <w:color w:val="000000"/>
          <w:sz w:val="18"/>
          <w:szCs w:val="24"/>
        </w:rPr>
      </w:pP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＝6850＋（（40+30）÷2）</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综上，本次评估估价对象适用的基准地价为：6885（元/平方米）</w:t>
      </w:r>
    </w:p>
    <w:p>
      <w:pPr>
        <w:adjustRightInd/>
        <w:spacing w:line="300" w:lineRule="auto"/>
        <w:ind w:firstLine="560" w:firstLineChars="200"/>
        <w:jc w:val="both"/>
        <w:rPr>
          <w:rFonts w:ascii="Arial" w:hAnsi="Arial" w:eastAsia="仿宋" w:cs="Arial"/>
          <w:sz w:val="28"/>
        </w:rPr>
      </w:pPr>
      <w:r>
        <w:rPr>
          <w:rFonts w:ascii="Arial" w:hAnsi="Arial" w:eastAsia="仿宋" w:cs="Arial"/>
          <w:sz w:val="28"/>
        </w:rPr>
        <w:t>2</w:t>
      </w:r>
      <w:r>
        <w:rPr>
          <w:rFonts w:hint="eastAsia" w:ascii="Arial" w:hAnsi="Arial" w:eastAsia="仿宋" w:cs="Arial"/>
          <w:sz w:val="28"/>
        </w:rPr>
        <w:t>）用途修正系数的确定</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《北京市出让国有建设用地使用权基准地价更新成果》根据</w:t>
      </w:r>
      <w:r>
        <w:rPr>
          <w:rFonts w:ascii="Arial" w:hAnsi="Arial" w:eastAsia="仿宋" w:cs="Arial"/>
          <w:sz w:val="28"/>
          <w:szCs w:val="28"/>
        </w:rPr>
        <w:t>《土地利用现状分类》（GB/T21010-2017）</w:t>
      </w:r>
      <w:r>
        <w:rPr>
          <w:rFonts w:hint="eastAsia" w:ascii="Arial" w:hAnsi="Arial" w:eastAsia="仿宋" w:cs="Arial"/>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地上部分：</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估价对象地上用途为商业——其他商服用地，需依据《北京市基准地价土地用</w:t>
      </w:r>
      <w:r>
        <w:rPr>
          <w:rFonts w:ascii="Arial" w:hAnsi="Arial" w:eastAsia="仿宋" w:cs="Arial"/>
          <w:sz w:val="28"/>
        </w:rPr>
        <w:t>途二级分类用地修正系数表》进行用途修正。</w:t>
      </w:r>
    </w:p>
    <w:p>
      <w:pPr>
        <w:overflowPunct w:val="0"/>
        <w:spacing w:line="300" w:lineRule="auto"/>
        <w:jc w:val="center"/>
        <w:textAlignment w:val="auto"/>
        <w:rPr>
          <w:rFonts w:ascii="Arial" w:hAnsi="Arial" w:eastAsia="仿宋_GB2312" w:cs="Arial"/>
          <w:bCs/>
          <w:szCs w:val="24"/>
        </w:rPr>
      </w:pPr>
      <w:r>
        <w:rPr>
          <w:rFonts w:ascii="Arial" w:hAnsi="Arial" w:eastAsia="仿宋_GB2312" w:cs="Arial"/>
          <w:bCs/>
          <w:szCs w:val="24"/>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rPr>
      </w:pPr>
    </w:p>
    <w:p>
      <w:pPr>
        <w:overflowPunct w:val="0"/>
        <w:spacing w:line="300" w:lineRule="auto"/>
        <w:ind w:firstLine="560" w:firstLineChars="200"/>
        <w:jc w:val="both"/>
        <w:textAlignment w:val="auto"/>
        <w:rPr>
          <w:rFonts w:ascii="Arial" w:hAnsi="Arial" w:eastAsia="仿宋" w:cs="仿宋_GB2312"/>
          <w:sz w:val="28"/>
          <w:szCs w:val="29"/>
        </w:rPr>
      </w:pPr>
      <w:r>
        <w:rPr>
          <w:rFonts w:ascii="Arial" w:hAnsi="Arial" w:eastAsia="仿宋" w:cs="Arial"/>
          <w:sz w:val="28"/>
        </w:rPr>
        <w:t>依据上表，估价对象</w:t>
      </w:r>
      <w:r>
        <w:rPr>
          <w:rFonts w:hint="eastAsia" w:ascii="Arial" w:hAnsi="Arial" w:eastAsia="仿宋" w:cs="Arial"/>
          <w:sz w:val="28"/>
        </w:rPr>
        <w:t>其他商服用地</w:t>
      </w:r>
      <w:r>
        <w:rPr>
          <w:rFonts w:ascii="Arial" w:hAnsi="Arial" w:eastAsia="仿宋" w:cs="Arial"/>
          <w:sz w:val="28"/>
        </w:rPr>
        <w:t>修正系数为0.8。</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rPr>
        <w:t>3）</w:t>
      </w:r>
      <w:r>
        <w:rPr>
          <w:rFonts w:ascii="Arial" w:hAnsi="Arial" w:eastAsia="仿宋_GB2312" w:cs="Arial"/>
          <w:sz w:val="28"/>
          <w:szCs w:val="28"/>
        </w:rPr>
        <w:t>期日修正系数的确定</w:t>
      </w:r>
    </w:p>
    <w:p>
      <w:pPr>
        <w:spacing w:line="300" w:lineRule="auto"/>
        <w:ind w:firstLine="560" w:firstLineChars="200"/>
        <w:jc w:val="both"/>
        <w:rPr>
          <w:rFonts w:ascii="Arial" w:hAnsi="Arial" w:eastAsia="仿宋" w:cs="Arial"/>
          <w:sz w:val="28"/>
        </w:rPr>
      </w:pPr>
      <w:r>
        <w:rPr>
          <w:rFonts w:ascii="Arial" w:hAnsi="Arial" w:eastAsia="仿宋" w:cs="Arial"/>
          <w:sz w:val="28"/>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rPr>
      </w:pPr>
      <w:r>
        <w:rPr>
          <w:rFonts w:ascii="Arial" w:hAnsi="Arial" w:eastAsia="仿宋" w:cs="Arial"/>
          <w:sz w:val="28"/>
        </w:rPr>
        <w:t>北京市基准地价更新成果的基准日为2021年1月1日，本次评估的估价期日为</w:t>
      </w:r>
      <w:r>
        <w:rPr>
          <w:rFonts w:hint="eastAsia" w:ascii="Arial" w:hAnsi="Arial" w:eastAsia="仿宋" w:cs="Arial"/>
          <w:sz w:val="28"/>
        </w:rPr>
        <w:t>2023年6月5日</w:t>
      </w:r>
      <w:r>
        <w:rPr>
          <w:rFonts w:hint="eastAsia" w:ascii="Arial" w:hAnsi="Arial" w:eastAsia="仿宋" w:cs="Arial"/>
          <w:sz w:val="28"/>
          <w:szCs w:val="28"/>
        </w:rPr>
        <w:t>，</w:t>
      </w:r>
      <w:r>
        <w:rPr>
          <w:rFonts w:ascii="Arial" w:hAnsi="Arial" w:eastAsia="仿宋" w:cs="Arial"/>
          <w:sz w:val="28"/>
          <w:szCs w:val="28"/>
        </w:rPr>
        <w:t>以北京市地价动态监测成果公布的地价增长率为准：</w:t>
      </w:r>
    </w:p>
    <w:p>
      <w:pPr>
        <w:spacing w:line="300" w:lineRule="auto"/>
        <w:ind w:firstLine="480" w:firstLineChars="200"/>
        <w:jc w:val="center"/>
        <w:rPr>
          <w:rFonts w:ascii="Arial" w:hAnsi="Arial" w:eastAsia="方正黑体简体" w:cs="宋体"/>
          <w:bCs/>
          <w:szCs w:val="24"/>
        </w:rPr>
      </w:pPr>
      <w:r>
        <w:rPr>
          <w:rFonts w:hint="eastAsia" w:ascii="Arial" w:hAnsi="Arial" w:eastAsia="方正黑体简体" w:cs="宋体"/>
          <w:bCs/>
          <w:szCs w:val="24"/>
        </w:rPr>
        <w:t>北京市地价增长率（商业类）</w:t>
      </w:r>
    </w:p>
    <w:p>
      <w:pPr>
        <w:adjustRightInd/>
        <w:spacing w:line="300" w:lineRule="auto"/>
        <w:jc w:val="right"/>
        <w:rPr>
          <w:rFonts w:ascii="Arial" w:hAnsi="Arial" w:eastAsia="华文细黑" w:cs="宋体"/>
          <w:sz w:val="18"/>
          <w:szCs w:val="24"/>
        </w:rPr>
      </w:pPr>
      <w:r>
        <w:rPr>
          <w:rFonts w:hint="eastAsia" w:ascii="Arial" w:hAnsi="Arial" w:eastAsia="华文细黑" w:cs="宋体"/>
          <w:sz w:val="18"/>
          <w:szCs w:val="24"/>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rPr>
            </w:pPr>
            <w:r>
              <w:rPr>
                <w:rFonts w:ascii="Arial" w:hAnsi="Arial" w:eastAsia="仿宋" w:cs="Arial"/>
                <w:sz w:val="18"/>
                <w:szCs w:val="18"/>
              </w:rPr>
              <w:t>季度</w:t>
            </w:r>
          </w:p>
          <w:p>
            <w:pPr>
              <w:tabs>
                <w:tab w:val="left" w:pos="2160"/>
              </w:tabs>
              <w:spacing w:line="300" w:lineRule="auto"/>
              <w:rPr>
                <w:rFonts w:ascii="Arial" w:hAnsi="Arial" w:eastAsia="仿宋" w:cs="Arial"/>
                <w:sz w:val="18"/>
                <w:szCs w:val="18"/>
              </w:rPr>
            </w:pPr>
            <w:r>
              <w:rPr>
                <w:rFonts w:ascii="Arial" w:hAnsi="Arial" w:eastAsia="仿宋" w:cs="Arial"/>
                <w:sz w:val="18"/>
                <w:szCs w:val="18"/>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0.47</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2022</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0.6</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-0.11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2</w:t>
            </w:r>
            <w:r>
              <w:rPr>
                <w:rFonts w:ascii="Arial" w:hAnsi="Arial" w:eastAsia="仿宋" w:cs="Arial"/>
                <w:sz w:val="18"/>
                <w:szCs w:val="18"/>
              </w:rPr>
              <w:t>023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r>
    </w:tbl>
    <w:p>
      <w:pPr>
        <w:spacing w:line="300" w:lineRule="auto"/>
        <w:ind w:firstLine="560" w:firstLineChars="200"/>
        <w:rPr>
          <w:rFonts w:ascii="Arial" w:hAnsi="Arial" w:eastAsia="仿宋_GB2312" w:cs="Arial"/>
          <w:sz w:val="28"/>
        </w:rPr>
      </w:pPr>
      <w:r>
        <w:rPr>
          <w:rFonts w:ascii="Arial" w:hAnsi="Arial" w:eastAsia="仿宋_GB2312" w:cs="Arial"/>
          <w:sz w:val="28"/>
        </w:rPr>
        <w:t>则：</w:t>
      </w:r>
    </w:p>
    <w:p>
      <w:pPr>
        <w:spacing w:line="300" w:lineRule="auto"/>
        <w:ind w:firstLine="560" w:firstLineChars="200"/>
        <w:rPr>
          <w:rFonts w:ascii="Arial" w:hAnsi="Arial" w:eastAsia="仿宋" w:cs="Arial"/>
          <w:sz w:val="28"/>
        </w:rPr>
      </w:pPr>
      <w:r>
        <w:rPr>
          <w:rFonts w:ascii="Arial" w:hAnsi="Arial" w:eastAsia="仿宋" w:cs="Arial"/>
          <w:sz w:val="28"/>
        </w:rPr>
        <w:t>期日修正系数＝（1</w:t>
      </w:r>
      <w:r>
        <w:rPr>
          <w:rFonts w:hint="eastAsia" w:ascii="Arial" w:hAnsi="Arial" w:eastAsia="仿宋" w:cs="Arial"/>
          <w:sz w:val="28"/>
        </w:rPr>
        <w:t>+0.35</w:t>
      </w:r>
      <w:r>
        <w:rPr>
          <w:rFonts w:ascii="Arial" w:hAnsi="Arial" w:eastAsia="仿宋" w:cs="Arial"/>
          <w:sz w:val="28"/>
        </w:rPr>
        <w:t>%）×（1</w:t>
      </w:r>
      <w:r>
        <w:rPr>
          <w:rFonts w:hint="eastAsia" w:ascii="Arial" w:hAnsi="Arial" w:eastAsia="仿宋" w:cs="Arial"/>
          <w:sz w:val="28"/>
        </w:rPr>
        <w:t>+0.55</w:t>
      </w:r>
      <w:r>
        <w:rPr>
          <w:rFonts w:ascii="Arial" w:hAnsi="Arial" w:eastAsia="仿宋" w:cs="Arial"/>
          <w:sz w:val="28"/>
        </w:rPr>
        <w:t>%）×（1+</w:t>
      </w:r>
      <w:r>
        <w:rPr>
          <w:rFonts w:hint="eastAsia" w:ascii="Arial" w:hAnsi="Arial" w:eastAsia="仿宋" w:cs="Arial"/>
          <w:sz w:val="28"/>
        </w:rPr>
        <w:t>0.47</w:t>
      </w:r>
      <w:r>
        <w:rPr>
          <w:rFonts w:ascii="Arial" w:hAnsi="Arial" w:eastAsia="仿宋" w:cs="Arial"/>
          <w:sz w:val="28"/>
        </w:rPr>
        <w:t>%）×（1+0.</w:t>
      </w:r>
      <w:r>
        <w:rPr>
          <w:rFonts w:hint="eastAsia" w:ascii="Arial" w:hAnsi="Arial" w:eastAsia="仿宋" w:cs="Arial"/>
          <w:sz w:val="28"/>
        </w:rPr>
        <w:t>58</w:t>
      </w:r>
      <w:r>
        <w:rPr>
          <w:rFonts w:ascii="Arial" w:hAnsi="Arial" w:eastAsia="仿宋" w:cs="Arial"/>
          <w:sz w:val="28"/>
        </w:rPr>
        <w:t>%）×（1+</w:t>
      </w:r>
      <w:r>
        <w:rPr>
          <w:rFonts w:hint="eastAsia" w:ascii="Arial" w:hAnsi="Arial" w:eastAsia="仿宋" w:cs="Arial"/>
          <w:sz w:val="28"/>
        </w:rPr>
        <w:t>0.6</w:t>
      </w:r>
      <w:r>
        <w:rPr>
          <w:rFonts w:ascii="Arial" w:hAnsi="Arial" w:eastAsia="仿宋" w:cs="Arial"/>
          <w:sz w:val="28"/>
        </w:rPr>
        <w:t>%）×（1</w:t>
      </w:r>
      <w:r>
        <w:rPr>
          <w:rFonts w:hint="eastAsia" w:ascii="Arial" w:hAnsi="Arial" w:eastAsia="仿宋" w:cs="Arial"/>
          <w:sz w:val="28"/>
        </w:rPr>
        <w:t>-</w:t>
      </w:r>
      <w:r>
        <w:rPr>
          <w:rFonts w:ascii="Arial" w:hAnsi="Arial" w:eastAsia="仿宋" w:cs="Arial"/>
          <w:sz w:val="28"/>
        </w:rPr>
        <w:t>0.</w:t>
      </w:r>
      <w:r>
        <w:rPr>
          <w:rFonts w:hint="eastAsia" w:ascii="Arial" w:hAnsi="Arial" w:eastAsia="仿宋" w:cs="Arial"/>
          <w:sz w:val="28"/>
        </w:rPr>
        <w:t>11</w:t>
      </w:r>
      <w:r>
        <w:rPr>
          <w:rFonts w:ascii="Arial" w:hAnsi="Arial" w:eastAsia="仿宋" w:cs="Arial"/>
          <w:sz w:val="28"/>
        </w:rPr>
        <w:t>%）×（1+0.</w:t>
      </w:r>
      <w:r>
        <w:rPr>
          <w:rFonts w:hint="eastAsia" w:ascii="Arial" w:hAnsi="Arial" w:eastAsia="仿宋" w:cs="Arial"/>
          <w:sz w:val="28"/>
        </w:rPr>
        <w:t>3</w:t>
      </w:r>
      <w:r>
        <w:rPr>
          <w:rFonts w:ascii="Arial" w:hAnsi="Arial" w:eastAsia="仿宋" w:cs="Arial"/>
          <w:sz w:val="28"/>
        </w:rPr>
        <w:t>%）×（1+0.</w:t>
      </w:r>
      <w:r>
        <w:rPr>
          <w:rFonts w:hint="eastAsia" w:ascii="Arial" w:hAnsi="Arial" w:eastAsia="仿宋" w:cs="Arial"/>
          <w:sz w:val="28"/>
        </w:rPr>
        <w:t>45</w:t>
      </w:r>
      <w:r>
        <w:rPr>
          <w:rFonts w:ascii="Arial" w:hAnsi="Arial" w:eastAsia="仿宋" w:cs="Arial"/>
          <w:sz w:val="28"/>
        </w:rPr>
        <w:t>%）×（1+0.5</w:t>
      </w:r>
      <w:r>
        <w:rPr>
          <w:rFonts w:hint="eastAsia" w:ascii="Arial" w:hAnsi="Arial" w:eastAsia="仿宋" w:cs="Arial"/>
          <w:sz w:val="28"/>
        </w:rPr>
        <w:t>5</w:t>
      </w:r>
      <w:r>
        <w:rPr>
          <w:rFonts w:ascii="Arial" w:hAnsi="Arial" w:eastAsia="仿宋" w:cs="Arial"/>
          <w:sz w:val="28"/>
        </w:rPr>
        <w:t>%）=1.0</w:t>
      </w:r>
      <w:r>
        <w:rPr>
          <w:rFonts w:hint="eastAsia" w:ascii="Arial" w:hAnsi="Arial" w:eastAsia="仿宋" w:cs="Arial"/>
          <w:sz w:val="28"/>
        </w:rPr>
        <w:t>380</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4）年期修正系数的确定</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rPr>
        <w:t>2015年10月24日公布</w:t>
      </w:r>
      <w:r>
        <w:rPr>
          <w:rFonts w:hint="eastAsia" w:ascii="Arial" w:hAnsi="Arial" w:eastAsia="仿宋" w:cs="Arial"/>
          <w:sz w:val="28"/>
        </w:rPr>
        <w:t>）为</w:t>
      </w:r>
      <w:r>
        <w:rPr>
          <w:rFonts w:ascii="Arial" w:hAnsi="Arial" w:eastAsia="仿宋" w:cs="Arial"/>
          <w:sz w:val="28"/>
        </w:rPr>
        <w:t>4.35</w:t>
      </w:r>
      <w:r>
        <w:rPr>
          <w:rFonts w:hint="eastAsia" w:ascii="Arial" w:hAnsi="Arial" w:eastAsia="仿宋" w:cs="Arial"/>
          <w:sz w:val="28"/>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估价对象剩余土地使用年限为40年，商业用途法定用途最高出让年限为40年，</w:t>
      </w:r>
      <w:r>
        <w:rPr>
          <w:rFonts w:ascii="Arial" w:hAnsi="Arial" w:eastAsia="仿宋" w:cs="Arial"/>
          <w:sz w:val="28"/>
        </w:rPr>
        <w:t>故不做修正。</w:t>
      </w:r>
    </w:p>
    <w:p>
      <w:pPr>
        <w:overflowPunct w:val="0"/>
        <w:spacing w:line="300" w:lineRule="auto"/>
        <w:ind w:firstLine="560" w:firstLineChars="200"/>
        <w:jc w:val="both"/>
        <w:textAlignment w:val="auto"/>
        <w:rPr>
          <w:rFonts w:ascii="Arial" w:hAnsi="Arial" w:eastAsia="仿宋" w:cs="Arial"/>
          <w:sz w:val="28"/>
        </w:rPr>
      </w:pPr>
      <w:r>
        <w:rPr>
          <w:rFonts w:ascii="Arial" w:hAnsi="Arial" w:eastAsia="仿宋" w:cs="Arial"/>
          <w:sz w:val="28"/>
        </w:rPr>
        <w:t>5</w:t>
      </w:r>
      <w:r>
        <w:rPr>
          <w:rFonts w:hint="eastAsia" w:ascii="Arial" w:hAnsi="Arial" w:eastAsia="仿宋" w:cs="Arial"/>
          <w:sz w:val="28"/>
        </w:rPr>
        <w:t>）楼层修正系数的确定</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rPr>
      </w:pPr>
      <w:r>
        <w:rPr>
          <w:rFonts w:hint="eastAsia" w:ascii="Arial" w:hAnsi="Arial" w:eastAsia="方正黑体简体" w:cs="宋体"/>
          <w:bCs/>
          <w:color w:val="000000"/>
          <w:szCs w:val="24"/>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商业</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=(-0.5556F²-0.2719F+8944)×10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=(-0.7912F²-11.3794F+8482)×10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=(-0.989F²-63.78F+7771)×10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r>
    </w:tbl>
    <w:p>
      <w:pPr>
        <w:widowControl/>
        <w:snapToGrid w:val="0"/>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rPr>
      </w:pP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估价对象土地级别为八级，地上容积率为2.04，位于地上5层，依据上表，楼层修正系数为0.7498。</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6</w:t>
      </w:r>
      <w:r>
        <w:rPr>
          <w:rFonts w:ascii="Arial" w:hAnsi="Arial" w:eastAsia="仿宋_GB2312" w:cs="Arial"/>
          <w:sz w:val="28"/>
        </w:rPr>
        <w:t>）因素修正系数的确定</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因素修正系数=1＋</w:t>
      </w:r>
      <w:r>
        <w:rPr>
          <w:rFonts w:ascii="Arial" w:hAnsi="Arial" w:eastAsia="仿宋" w:cs="Arial"/>
          <w:sz w:val="28"/>
        </w:rPr>
        <w:fldChar w:fldCharType="begin"/>
      </w:r>
      <w:r>
        <w:rPr>
          <w:rFonts w:ascii="Arial" w:hAnsi="Arial" w:eastAsia="仿宋" w:cs="Arial"/>
          <w:sz w:val="28"/>
        </w:rPr>
        <w:instrText xml:space="preserve"> QUOTE </w:instrText>
      </w:r>
      <w:r>
        <w:rPr>
          <w:rFonts w:ascii="Arial" w:hAnsi="Arial" w:eastAsia="仿宋" w:cs="Arial"/>
          <w:sz w:val="28"/>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rPr>
        <w:instrText xml:space="preserve"> </w:instrText>
      </w:r>
      <w:r>
        <w:rPr>
          <w:rFonts w:ascii="Arial" w:hAnsi="Arial" w:eastAsia="仿宋" w:cs="Arial"/>
          <w:sz w:val="28"/>
        </w:rPr>
        <w:fldChar w:fldCharType="separate"/>
      </w:r>
      <w:r>
        <w:rPr>
          <w:rFonts w:ascii="Arial" w:hAnsi="Arial" w:eastAsia="仿宋" w:cs="Arial"/>
          <w:sz w:val="28"/>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rPr>
        <w:fldChar w:fldCharType="end"/>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其中ki：第i种因素的修正系数</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 w:cs="Arial"/>
          <w:sz w:val="28"/>
        </w:rPr>
        <w:t>各因素的修正系数根据影响地价的因素权重和因素总修正幅度确定。</w:t>
      </w: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szCs w:val="24"/>
        </w:rPr>
      </w:pPr>
      <w:r>
        <w:rPr>
          <w:rFonts w:hint="eastAsia" w:ascii="方正黑体简体" w:hAnsi="Arial" w:eastAsia="方正黑体简体" w:cs="宋体"/>
          <w:bCs/>
          <w:szCs w:val="24"/>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hint="eastAsia" w:ascii="Arial" w:hAnsi="Arial" w:eastAsia="仿宋" w:cs="Arial"/>
          <w:sz w:val="28"/>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bl>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r>
        <w:rPr>
          <w:rFonts w:hint="eastAsia" w:ascii="方正黑体简体" w:hAnsi="Arial" w:eastAsia="方正黑体简体" w:cs="宋体"/>
          <w:bCs/>
          <w:szCs w:val="24"/>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rPr>
            </w:pPr>
            <w:r>
              <w:rPr>
                <w:rFonts w:hint="eastAsia" w:ascii="仿宋_GB2312" w:hAnsi="Arial" w:eastAsia="仿宋_GB2312" w:cs="宋体"/>
                <w:sz w:val="18"/>
                <w:szCs w:val="24"/>
              </w:rPr>
              <w:t>等级</w:t>
            </w:r>
          </w:p>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ascii="Arial" w:hAnsi="Arial" w:eastAsia="仿宋" w:cs="Arial"/>
          <w:sz w:val="28"/>
        </w:rPr>
        <w:t>估价对象处</w:t>
      </w:r>
      <w:r>
        <w:rPr>
          <w:rFonts w:hint="eastAsia" w:ascii="Arial" w:hAnsi="Arial" w:eastAsia="仿宋" w:cs="Arial"/>
          <w:sz w:val="28"/>
        </w:rPr>
        <w:t>于商业</w:t>
      </w:r>
      <w:r>
        <w:rPr>
          <w:rFonts w:ascii="Arial" w:hAnsi="Arial" w:eastAsia="仿宋" w:cs="Arial"/>
          <w:sz w:val="28"/>
        </w:rPr>
        <w:t>类</w:t>
      </w:r>
      <w:r>
        <w:rPr>
          <w:rFonts w:hint="eastAsia" w:ascii="Arial" w:hAnsi="Arial" w:eastAsia="仿宋" w:cs="Arial"/>
          <w:sz w:val="28"/>
        </w:rPr>
        <w:t>八</w:t>
      </w:r>
      <w:r>
        <w:rPr>
          <w:rFonts w:ascii="Arial" w:hAnsi="Arial" w:eastAsia="仿宋" w:cs="Arial"/>
          <w:sz w:val="28"/>
        </w:rPr>
        <w:t>级</w:t>
      </w:r>
      <w:r>
        <w:rPr>
          <w:rFonts w:ascii="Arial" w:hAnsi="Arial" w:eastAsia="仿宋_GB2312" w:cs="Arial"/>
          <w:sz w:val="28"/>
          <w:szCs w:val="28"/>
        </w:rPr>
        <w:t>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ascii="Arial" w:hAnsi="Arial" w:eastAsia="仿宋" w:cs="Arial"/>
          <w:sz w:val="28"/>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rPr>
      </w:pPr>
      <w:r>
        <w:rPr>
          <w:rFonts w:hint="eastAsia" w:ascii="Arial" w:hAnsi="Arial" w:eastAsia="方正黑体简体"/>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rPr>
            </w:pPr>
            <w:r>
              <w:rPr>
                <w:rFonts w:ascii="Arial" w:hAnsi="Arial" w:eastAsia="仿宋" w:cs="Arial"/>
                <w:sz w:val="18"/>
                <w:szCs w:val="18"/>
              </w:rPr>
              <w:t>等级</w:t>
            </w:r>
          </w:p>
          <w:p>
            <w:pPr>
              <w:widowControl/>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bl>
    <w:p>
      <w:pPr>
        <w:autoSpaceDE w:val="0"/>
        <w:autoSpaceDN w:val="0"/>
        <w:spacing w:line="300" w:lineRule="auto"/>
        <w:rPr>
          <w:rFonts w:ascii="Arial" w:hAnsi="Arial" w:eastAsia="华文细黑" w:cs="宋体"/>
          <w:sz w:val="18"/>
          <w:szCs w:val="24"/>
        </w:rPr>
      </w:pPr>
      <w:r>
        <w:rPr>
          <w:rFonts w:hint="eastAsia" w:ascii="Arial" w:hAnsi="Arial" w:eastAsia="华文细黑" w:cs="宋体"/>
          <w:sz w:val="18"/>
          <w:szCs w:val="24"/>
        </w:rPr>
        <w:t>单位：%</w:t>
      </w:r>
    </w:p>
    <w:p>
      <w:pPr>
        <w:spacing w:line="300" w:lineRule="auto"/>
        <w:jc w:val="center"/>
        <w:rPr>
          <w:rFonts w:ascii="Arial" w:hAnsi="Arial" w:eastAsia="方正黑体简体"/>
        </w:rPr>
      </w:pPr>
      <w:r>
        <w:rPr>
          <w:rFonts w:hint="eastAsia" w:ascii="Arial" w:hAnsi="Arial" w:eastAsia="方正黑体简体"/>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序号</w:t>
            </w:r>
          </w:p>
        </w:tc>
        <w:tc>
          <w:tcPr>
            <w:tcW w:w="919" w:type="pct"/>
            <w:vAlign w:val="center"/>
          </w:tcPr>
          <w:p>
            <w:pPr>
              <w:spacing w:line="300" w:lineRule="auto"/>
              <w:rPr>
                <w:rFonts w:ascii="Arial" w:hAnsi="Arial" w:eastAsia="华文细黑"/>
                <w:sz w:val="18"/>
                <w:szCs w:val="24"/>
              </w:rPr>
            </w:pPr>
            <w:r>
              <w:rPr>
                <w:rFonts w:hint="eastAsia" w:ascii="Arial" w:hAnsi="Arial" w:eastAsia="华文细黑"/>
                <w:sz w:val="18"/>
                <w:szCs w:val="24"/>
              </w:rPr>
              <w:t>影响因素</w:t>
            </w:r>
          </w:p>
        </w:tc>
        <w:tc>
          <w:tcPr>
            <w:tcW w:w="2592" w:type="pct"/>
            <w:vAlign w:val="center"/>
          </w:tcPr>
          <w:p>
            <w:pPr>
              <w:spacing w:line="300" w:lineRule="auto"/>
              <w:rPr>
                <w:rFonts w:ascii="Arial" w:hAnsi="Arial" w:eastAsia="华文细黑"/>
                <w:sz w:val="18"/>
                <w:szCs w:val="24"/>
              </w:rPr>
            </w:pPr>
            <w:r>
              <w:rPr>
                <w:rFonts w:hint="eastAsia" w:ascii="Arial" w:hAnsi="Arial" w:eastAsia="华文细黑"/>
                <w:sz w:val="18"/>
                <w:szCs w:val="24"/>
              </w:rPr>
              <w:t>估价对象情况</w:t>
            </w:r>
          </w:p>
        </w:tc>
        <w:tc>
          <w:tcPr>
            <w:tcW w:w="533" w:type="pct"/>
            <w:vAlign w:val="center"/>
          </w:tcPr>
          <w:p>
            <w:pPr>
              <w:spacing w:line="300" w:lineRule="auto"/>
              <w:rPr>
                <w:rFonts w:ascii="Arial" w:hAnsi="Arial" w:eastAsia="华文细黑"/>
                <w:sz w:val="18"/>
                <w:szCs w:val="24"/>
              </w:rPr>
            </w:pPr>
            <w:r>
              <w:rPr>
                <w:rFonts w:hint="eastAsia" w:ascii="Arial" w:hAnsi="Arial" w:eastAsia="华文细黑"/>
                <w:sz w:val="18"/>
                <w:szCs w:val="24"/>
              </w:rPr>
              <w:t>等级</w:t>
            </w:r>
          </w:p>
        </w:tc>
        <w:tc>
          <w:tcPr>
            <w:tcW w:w="579" w:type="pct"/>
            <w:vAlign w:val="center"/>
          </w:tcPr>
          <w:p>
            <w:pPr>
              <w:spacing w:line="300" w:lineRule="auto"/>
              <w:rPr>
                <w:rFonts w:ascii="Arial" w:hAnsi="Arial" w:eastAsia="华文细黑"/>
                <w:sz w:val="18"/>
                <w:szCs w:val="24"/>
              </w:rPr>
            </w:pPr>
            <w:r>
              <w:rPr>
                <w:rFonts w:hint="eastAsia" w:ascii="Arial" w:hAnsi="Arial" w:eastAsia="华文细黑"/>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a</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商业繁华度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仿宋_GB2312" w:hAnsi="Arial" w:eastAsia="仿宋_GB2312" w:cs="宋体"/>
                <w:sz w:val="18"/>
                <w:szCs w:val="24"/>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b</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交通便捷度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c</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城市规划及</w:t>
            </w:r>
            <w:r>
              <w:rPr>
                <w:rFonts w:ascii="Arial" w:hAnsi="Arial" w:eastAsia="仿宋" w:cs="Arial"/>
                <w:sz w:val="18"/>
                <w:szCs w:val="18"/>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rPr>
            </w:pPr>
            <w:r>
              <w:rPr>
                <w:rFonts w:hint="eastAsia" w:ascii="Arial" w:hAnsi="Arial" w:eastAsia="仿宋" w:cs="Arial"/>
                <w:sz w:val="18"/>
                <w:szCs w:val="18"/>
                <w:lang w:bidi="ar"/>
              </w:rPr>
              <w:t>估价对象周边有部分有其他用地，对本宗地略有影响</w:t>
            </w:r>
            <w:r>
              <w:rPr>
                <w:rFonts w:hint="eastAsia" w:ascii="仿宋_GB2312" w:hAnsi="Arial" w:eastAsia="仿宋_GB2312" w:cs="宋体"/>
                <w:sz w:val="18"/>
                <w:szCs w:val="24"/>
              </w:rPr>
              <w:t>地</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d</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临街宽度和深度</w:t>
            </w:r>
          </w:p>
        </w:tc>
        <w:tc>
          <w:tcPr>
            <w:tcW w:w="2592" w:type="pct"/>
            <w:vAlign w:val="center"/>
          </w:tcPr>
          <w:p>
            <w:pPr>
              <w:adjustRightInd/>
              <w:spacing w:line="300" w:lineRule="auto"/>
              <w:rPr>
                <w:rFonts w:ascii="仿宋" w:hAnsi="仿宋" w:eastAsia="仿宋" w:cs="仿宋"/>
                <w:sz w:val="18"/>
                <w:szCs w:val="18"/>
              </w:rPr>
            </w:pPr>
            <w:r>
              <w:rPr>
                <w:rFonts w:hint="eastAsia" w:ascii="仿宋" w:hAnsi="仿宋" w:eastAsia="仿宋" w:cs="仿宋"/>
                <w:sz w:val="18"/>
                <w:szCs w:val="18"/>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e</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临街道路状况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f</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较差</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g</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h</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估价对象所在区域基础设施水平达到</w:t>
            </w:r>
            <w:r>
              <w:rPr>
                <w:rFonts w:hint="eastAsia" w:ascii="Arial" w:hAnsi="Arial" w:eastAsia="仿宋" w:cs="Arial"/>
                <w:sz w:val="18"/>
                <w:szCs w:val="18"/>
                <w:lang w:bidi="ar"/>
              </w:rPr>
              <w:t>“</w:t>
            </w:r>
            <w:r>
              <w:rPr>
                <w:rFonts w:ascii="Arial" w:hAnsi="Arial" w:eastAsia="仿宋" w:cs="Arial"/>
                <w:sz w:val="18"/>
                <w:szCs w:val="18"/>
                <w:lang w:bidi="ar"/>
              </w:rPr>
              <w:t>七通</w:t>
            </w:r>
            <w:r>
              <w:rPr>
                <w:rFonts w:hint="eastAsia" w:ascii="Arial" w:hAnsi="Arial" w:eastAsia="仿宋" w:cs="Arial"/>
                <w:sz w:val="18"/>
                <w:szCs w:val="18"/>
                <w:lang w:bidi="ar"/>
              </w:rPr>
              <w:t>”</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i</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合计（∑K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hint="eastAsia" w:ascii="Arial" w:hAnsi="Arial" w:eastAsia="华文细黑"/>
                <w:sz w:val="18"/>
                <w:szCs w:val="24"/>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因素修正系数（1+∑K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ascii="Arial" w:hAnsi="Arial" w:eastAsia="华文细黑"/>
                <w:sz w:val="18"/>
                <w:szCs w:val="24"/>
              </w:rPr>
              <w:t>1</w:t>
            </w:r>
            <w:r>
              <w:rPr>
                <w:rFonts w:hint="eastAsia" w:ascii="Arial" w:hAnsi="Arial" w:eastAsia="华文细黑"/>
                <w:sz w:val="18"/>
                <w:szCs w:val="24"/>
              </w:rPr>
              <w:t>.0194</w:t>
            </w:r>
          </w:p>
        </w:tc>
      </w:tr>
    </w:tbl>
    <w:p>
      <w:pPr>
        <w:snapToGrid w:val="0"/>
        <w:spacing w:line="240" w:lineRule="exact"/>
        <w:ind w:firstLine="361" w:firstLineChars="200"/>
        <w:jc w:val="both"/>
        <w:rPr>
          <w:rFonts w:ascii="Arial" w:hAnsi="Arial" w:eastAsia="仿宋_GB2312" w:cs="Arial"/>
          <w:b/>
          <w:sz w:val="18"/>
          <w:szCs w:val="18"/>
        </w:rPr>
      </w:pPr>
    </w:p>
    <w:p>
      <w:pPr>
        <w:snapToGrid w:val="0"/>
        <w:spacing w:line="300" w:lineRule="auto"/>
        <w:ind w:firstLine="562" w:firstLineChars="200"/>
        <w:jc w:val="both"/>
        <w:rPr>
          <w:rFonts w:ascii="Arial" w:hAnsi="Arial" w:eastAsia="仿宋" w:cs="Arial"/>
          <w:b/>
          <w:sz w:val="28"/>
          <w:szCs w:val="28"/>
        </w:rPr>
      </w:pPr>
      <w:r>
        <w:rPr>
          <w:rFonts w:ascii="Arial" w:hAnsi="Arial" w:eastAsia="仿宋" w:cs="Arial"/>
          <w:b/>
          <w:sz w:val="28"/>
          <w:szCs w:val="28"/>
        </w:rPr>
        <w:t>7）估价对象楼面熟地价、政府土地出让收益</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楼面熟地价</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＝6885×0.8×1.0380×1×0.7498×1.0194</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 xml:space="preserve">＝4370（元/平方米） </w:t>
      </w:r>
    </w:p>
    <w:p>
      <w:pPr>
        <w:adjustRightInd/>
        <w:spacing w:line="300" w:lineRule="auto"/>
        <w:ind w:firstLine="562" w:firstLineChars="200"/>
        <w:rPr>
          <w:rFonts w:ascii="Arial" w:hAnsi="Arial" w:eastAsia="仿宋_GB2312" w:cs="Arial"/>
          <w:b/>
          <w:sz w:val="28"/>
        </w:rPr>
      </w:pPr>
    </w:p>
    <w:p>
      <w:pPr>
        <w:adjustRightInd/>
        <w:spacing w:line="300" w:lineRule="auto"/>
        <w:ind w:firstLine="562" w:firstLineChars="200"/>
        <w:rPr>
          <w:rFonts w:ascii="Arial" w:hAnsi="Arial" w:eastAsia="仿宋_GB2312" w:cs="Arial"/>
          <w:b/>
          <w:sz w:val="28"/>
        </w:rPr>
      </w:pPr>
      <w:r>
        <w:rPr>
          <w:rFonts w:ascii="Arial" w:hAnsi="Arial" w:eastAsia="仿宋_GB2312" w:cs="Arial"/>
          <w:b/>
          <w:sz w:val="28"/>
        </w:rPr>
        <w:t>方法二：剩余法</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00" w:lineRule="auto"/>
        <w:ind w:firstLine="560" w:firstLineChars="200"/>
        <w:jc w:val="both"/>
        <w:rPr>
          <w:rFonts w:ascii="Arial" w:hAnsi="Arial" w:eastAsia="仿宋_GB2312" w:cs="Arial"/>
          <w:bCs/>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rPr>
        <w:t>商业</w:t>
      </w:r>
      <w:r>
        <w:rPr>
          <w:rFonts w:ascii="Arial" w:hAnsi="Arial" w:eastAsia="仿宋_GB2312" w:cs="Arial"/>
          <w:sz w:val="28"/>
        </w:rPr>
        <w:t>。结合《土地利用现状分类》</w:t>
      </w:r>
      <w:r>
        <w:rPr>
          <w:rFonts w:hint="eastAsia" w:ascii="Arial" w:hAnsi="Arial" w:eastAsia="仿宋_GB2312" w:cs="Arial"/>
          <w:sz w:val="28"/>
          <w:szCs w:val="28"/>
        </w:rPr>
        <w:t>（</w:t>
      </w:r>
      <w:r>
        <w:rPr>
          <w:rFonts w:ascii="Arial" w:hAnsi="Arial" w:eastAsia="仿宋_GB2312" w:cs="Arial"/>
          <w:caps/>
          <w:sz w:val="28"/>
          <w:szCs w:val="28"/>
        </w:rPr>
        <w:t>GB/T21010-2017</w:t>
      </w:r>
      <w:r>
        <w:rPr>
          <w:rFonts w:hint="eastAsia" w:ascii="Arial" w:hAnsi="Arial" w:eastAsia="仿宋_GB2312" w:cs="Arial"/>
          <w:sz w:val="28"/>
          <w:szCs w:val="28"/>
        </w:rPr>
        <w:t>）</w:t>
      </w:r>
      <w:r>
        <w:rPr>
          <w:rFonts w:ascii="Arial" w:hAnsi="Arial" w:eastAsia="仿宋_GB2312" w:cs="Arial"/>
          <w:sz w:val="28"/>
        </w:rPr>
        <w:t>、</w:t>
      </w:r>
      <w:r>
        <w:rPr>
          <w:rFonts w:ascii="Arial" w:hAnsi="Arial" w:eastAsia="仿宋_GB2312" w:cs="Arial"/>
          <w:sz w:val="28"/>
          <w:szCs w:val="28"/>
        </w:rPr>
        <w:t>《北京市人民政府关于更新出让国有建设用地使用权基准地价的通知》</w:t>
      </w:r>
      <w:r>
        <w:rPr>
          <w:rFonts w:hint="eastAsia" w:ascii="Arial" w:hAnsi="Arial" w:eastAsia="仿宋_GB2312" w:cs="Arial"/>
          <w:sz w:val="28"/>
          <w:szCs w:val="28"/>
        </w:rPr>
        <w:t>[京政发（2022）12号]</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商业</w:t>
      </w:r>
      <w:r>
        <w:rPr>
          <w:rFonts w:ascii="Arial" w:hAnsi="Arial" w:eastAsia="仿宋_GB2312" w:cs="Arial"/>
          <w:bCs/>
          <w:sz w:val="28"/>
        </w:rPr>
        <w:t>为其最有效利用方式。</w:t>
      </w:r>
    </w:p>
    <w:p>
      <w:pPr>
        <w:pStyle w:val="51"/>
        <w:spacing w:line="300" w:lineRule="auto"/>
        <w:ind w:left="987" w:hanging="420" w:firstLineChars="0"/>
        <w:jc w:val="both"/>
        <w:rPr>
          <w:rFonts w:ascii="Arial" w:hAnsi="Arial" w:eastAsia="仿宋_GB2312" w:cs="Arial"/>
          <w:bCs/>
          <w:sz w:val="28"/>
        </w:rPr>
      </w:pPr>
      <w:r>
        <w:rPr>
          <w:rFonts w:hint="eastAsia" w:ascii="Arial" w:hAnsi="Arial" w:eastAsia="仿宋_GB2312" w:cs="Arial"/>
          <w:bCs/>
          <w:sz w:val="28"/>
        </w:rPr>
        <w:t>2</w:t>
      </w:r>
      <w:r>
        <w:rPr>
          <w:rFonts w:ascii="Arial" w:hAnsi="Arial" w:eastAsia="仿宋_GB2312" w:cs="Arial"/>
          <w:bCs/>
          <w:sz w:val="28"/>
        </w:rPr>
        <w:t>.测算过程</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w:t>
      </w:r>
      <w:r>
        <w:rPr>
          <w:rFonts w:ascii="Arial" w:hAnsi="Arial" w:eastAsia="仿宋_GB2312" w:cs="Arial"/>
          <w:bCs/>
          <w:sz w:val="28"/>
        </w:rPr>
        <w:t>开发完成后的不动产总价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1）市场比较法求取估价对象开发完成后不动产总价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ascii="Arial" w:hAnsi="Arial" w:eastAsia="仿宋_GB2312" w:cs="Arial"/>
          <w:b/>
          <w:bCs/>
        </w:rPr>
      </w:pPr>
      <w:r>
        <w:rPr>
          <w:rFonts w:hint="eastAsia" w:ascii="Arial" w:hAnsi="Arial" w:eastAsia="仿宋_GB2312" w:cs="Arial"/>
          <w:b/>
          <w:bCs/>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北京市密云区西门外大街8号楼501-505、516-520号现状商业用地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案例A位于</w:t>
            </w:r>
            <w:r>
              <w:rPr>
                <w:rFonts w:ascii="Arial" w:hAnsi="Arial" w:eastAsia="仿宋_GB2312" w:cs="Arial"/>
                <w:sz w:val="18"/>
                <w:szCs w:val="18"/>
              </w:rPr>
              <w:t>密云区白檀小区</w:t>
            </w:r>
            <w:r>
              <w:rPr>
                <w:rFonts w:ascii="Arial" w:hAnsi="Arial" w:eastAsia="仿宋_GB2312" w:cs="Arial"/>
                <w:sz w:val="18"/>
                <w:szCs w:val="24"/>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101</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案例B位于</w:t>
            </w:r>
            <w:r>
              <w:rPr>
                <w:rFonts w:ascii="Arial" w:hAnsi="Arial" w:eastAsia="仿宋_GB2312" w:cs="Arial"/>
                <w:sz w:val="18"/>
                <w:szCs w:val="18"/>
              </w:rPr>
              <w:t>密云区开园小区</w:t>
            </w:r>
            <w:r>
              <w:rPr>
                <w:rFonts w:ascii="Arial" w:hAnsi="Arial" w:eastAsia="仿宋_GB2312" w:cs="Arial"/>
                <w:sz w:val="18"/>
                <w:szCs w:val="24"/>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案例C位于</w:t>
            </w:r>
            <w:r>
              <w:rPr>
                <w:rFonts w:ascii="Arial" w:hAnsi="Arial" w:eastAsia="仿宋_GB2312" w:cs="Arial"/>
                <w:sz w:val="18"/>
                <w:szCs w:val="18"/>
              </w:rPr>
              <w:t>密云区阳光街</w:t>
            </w:r>
            <w:r>
              <w:rPr>
                <w:rFonts w:ascii="Arial" w:hAnsi="Arial" w:eastAsia="仿宋_GB2312" w:cs="Arial"/>
                <w:sz w:val="18"/>
                <w:szCs w:val="24"/>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r>
              <w:rPr>
                <w:rFonts w:hint="eastAsia" w:ascii="Arial" w:hAnsi="Arial" w:eastAsia="仿宋" w:cs="Arial"/>
                <w:sz w:val="18"/>
                <w:szCs w:val="18"/>
                <w:lang w:bidi="ar"/>
              </w:rPr>
              <w:t>紧邻城市支路—通城胡同，</w:t>
            </w:r>
            <w:r>
              <w:rPr>
                <w:rFonts w:hint="eastAsia" w:ascii="Arial" w:hAnsi="Arial" w:eastAsia="仿宋_GB2312" w:cs="宋体"/>
                <w:color w:val="000000"/>
                <w:sz w:val="18"/>
                <w:szCs w:val="18"/>
              </w:rPr>
              <w:t>案例A</w:t>
            </w:r>
            <w:r>
              <w:rPr>
                <w:rFonts w:hint="eastAsia" w:ascii="Arial" w:hAnsi="Arial" w:eastAsia="仿宋" w:cs="Arial"/>
                <w:sz w:val="18"/>
                <w:szCs w:val="18"/>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r>
              <w:rPr>
                <w:rFonts w:hint="eastAsia" w:ascii="Arial" w:hAnsi="Arial" w:eastAsia="仿宋" w:cs="Arial"/>
                <w:sz w:val="18"/>
                <w:szCs w:val="18"/>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r>
              <w:rPr>
                <w:rFonts w:hint="eastAsia" w:ascii="Arial" w:hAnsi="Arial" w:eastAsia="仿宋" w:cs="Arial"/>
                <w:sz w:val="18"/>
                <w:szCs w:val="18"/>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案例A所在区域有购物场所（</w:t>
            </w:r>
            <w:r>
              <w:rPr>
                <w:rFonts w:ascii="Arial" w:hAnsi="Arial" w:eastAsia="仿宋_GB2312" w:cs="Arial"/>
                <w:sz w:val="18"/>
                <w:szCs w:val="24"/>
              </w:rPr>
              <w:t>燕赛奥特莱斯购物中心、瑞嘉商场</w:t>
            </w:r>
            <w:r>
              <w:rPr>
                <w:rFonts w:hint="eastAsia" w:ascii="Arial" w:hAnsi="Arial" w:eastAsia="仿宋" w:cs="Arial"/>
                <w:sz w:val="18"/>
                <w:szCs w:val="18"/>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案例B所在区域有购物场所（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案例C所在区域有购物场所（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宋体" w:cs="宋体"/>
                <w:color w:val="000000"/>
                <w:sz w:val="18"/>
                <w:szCs w:val="18"/>
                <w:lang w:eastAsia="zh-CN"/>
              </w:rPr>
            </w:pPr>
            <w:commentRangeStart w:id="1"/>
            <w:r>
              <w:rPr>
                <w:rFonts w:ascii="Arial" w:hAnsi="Arial" w:eastAsia="仿宋_GB2312" w:cs="宋体"/>
                <w:color w:val="000000"/>
                <w:sz w:val="18"/>
                <w:szCs w:val="18"/>
              </w:rPr>
              <w:t>494.65</w:t>
            </w:r>
            <w:commentRangeEnd w:id="1"/>
            <w:r>
              <w:rPr>
                <w:rStyle w:val="41"/>
              </w:rPr>
              <w:commentReference w:id="1"/>
            </w:r>
            <w:r>
              <w:rPr>
                <w:rFonts w:hint="eastAsia" w:ascii="Arial" w:hAnsi="Arial" w:eastAsia="仿宋_GB2312" w:cs="宋体"/>
                <w:color w:val="000000"/>
                <w:sz w:val="18"/>
                <w:szCs w:val="18"/>
                <w:lang w:eastAsia="zh-CN"/>
              </w:rPr>
              <w:t>（可分套出售）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102.5</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101</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101</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bl>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rPr>
            </w:pPr>
            <w: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案例A</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案例B</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rPr>
            </w:pPr>
            <w: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5"/>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6"/>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7"/>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白檀</w:t>
            </w:r>
            <w:r>
              <w:rPr>
                <w:rFonts w:hint="eastAsia" w:ascii="Arial" w:hAnsi="Arial" w:eastAsia="仿宋_GB2312" w:cs="宋体"/>
                <w:sz w:val="18"/>
                <w:szCs w:val="18"/>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开园</w:t>
            </w:r>
            <w:r>
              <w:rPr>
                <w:rFonts w:hint="eastAsia" w:ascii="Arial" w:hAnsi="Arial" w:eastAsia="仿宋_GB2312" w:cs="宋体"/>
                <w:sz w:val="18"/>
                <w:szCs w:val="18"/>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101</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102.5</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101</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101</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21748</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21181</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21395</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21441</w:t>
            </w:r>
          </w:p>
        </w:tc>
      </w:tr>
    </w:tbl>
    <w:p>
      <w:pPr>
        <w:snapToGrid w:val="0"/>
        <w:spacing w:line="240" w:lineRule="exact"/>
        <w:ind w:firstLine="360" w:firstLineChars="200"/>
        <w:rPr>
          <w:rFonts w:ascii="Arial" w:hAnsi="Arial" w:eastAsia="仿宋_GB2312" w:cs="Arial"/>
          <w:color w:val="E36C0A"/>
          <w:sz w:val="18"/>
          <w:szCs w:val="18"/>
        </w:rPr>
      </w:pPr>
    </w:p>
    <w:p>
      <w:pPr>
        <w:spacing w:line="360" w:lineRule="auto"/>
        <w:ind w:firstLine="560" w:firstLineChars="200"/>
        <w:rPr>
          <w:rFonts w:ascii="Arial" w:hAnsi="Arial" w:eastAsia="仿宋_GB2312" w:cs="Arial"/>
          <w:sz w:val="28"/>
        </w:rPr>
      </w:pPr>
      <w:r>
        <w:rPr>
          <w:rFonts w:hint="eastAsia"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rPr>
      </w:pPr>
      <w:r>
        <w:rPr>
          <w:rFonts w:hint="eastAsia" w:ascii="Arial" w:hAnsi="Arial" w:eastAsia="仿宋_GB2312" w:cs="Arial"/>
          <w:sz w:val="28"/>
        </w:rPr>
        <w:t xml:space="preserve">楼面单价 </w:t>
      </w:r>
    </w:p>
    <w:p>
      <w:pPr>
        <w:spacing w:line="360" w:lineRule="auto"/>
        <w:ind w:firstLine="560" w:firstLineChars="200"/>
        <w:rPr>
          <w:rFonts w:ascii="Arial" w:hAnsi="Arial" w:eastAsia="仿宋_GB2312"/>
          <w:sz w:val="28"/>
        </w:rPr>
      </w:pPr>
      <w:r>
        <w:rPr>
          <w:rFonts w:hint="eastAsia" w:ascii="Arial" w:hAnsi="Arial" w:eastAsia="仿宋_GB2312"/>
          <w:sz w:val="28"/>
        </w:rPr>
        <w:t>＝（21748＋21181＋21395）÷</w:t>
      </w:r>
      <w:r>
        <w:rPr>
          <w:rFonts w:ascii="Arial" w:hAnsi="Arial" w:eastAsia="仿宋_GB2312"/>
          <w:sz w:val="28"/>
        </w:rPr>
        <w:t>3</w:t>
      </w:r>
    </w:p>
    <w:p>
      <w:pPr>
        <w:spacing w:line="360" w:lineRule="auto"/>
        <w:ind w:right="205" w:firstLine="560" w:firstLineChars="200"/>
        <w:rPr>
          <w:rFonts w:ascii="Arial" w:hAnsi="Arial" w:eastAsia="仿宋_GB2312"/>
          <w:sz w:val="28"/>
        </w:rPr>
      </w:pPr>
      <w:r>
        <w:rPr>
          <w:rFonts w:hint="eastAsia" w:ascii="Arial" w:hAnsi="Arial" w:eastAsia="仿宋_GB2312"/>
          <w:sz w:val="28"/>
        </w:rPr>
        <w:t>＝</w:t>
      </w:r>
      <w:r>
        <w:rPr>
          <w:rFonts w:hint="eastAsia" w:ascii="Arial" w:hAnsi="Arial" w:eastAsia="仿宋_GB2312"/>
          <w:bCs/>
          <w:sz w:val="28"/>
        </w:rPr>
        <w:t>21441</w:t>
      </w:r>
      <w:r>
        <w:rPr>
          <w:rFonts w:hint="eastAsia" w:ascii="Arial" w:hAnsi="Arial" w:eastAsia="仿宋_GB2312"/>
          <w:sz w:val="28"/>
        </w:rPr>
        <w:t>（元</w:t>
      </w:r>
      <w:r>
        <w:rPr>
          <w:rFonts w:ascii="Arial" w:hAnsi="Arial" w:eastAsia="仿宋_GB2312"/>
          <w:sz w:val="28"/>
        </w:rPr>
        <w:t>/</w:t>
      </w:r>
      <w:r>
        <w:rPr>
          <w:rFonts w:hint="eastAsia" w:ascii="Arial" w:hAnsi="Arial" w:eastAsia="仿宋_GB2312"/>
          <w:sz w:val="28"/>
        </w:rPr>
        <w:t>平方米）</w:t>
      </w:r>
    </w:p>
    <w:p>
      <w:pPr>
        <w:spacing w:line="360" w:lineRule="auto"/>
        <w:ind w:right="205" w:firstLine="570"/>
        <w:rPr>
          <w:rFonts w:ascii="Arial" w:hAnsi="Arial" w:eastAsia="仿宋_GB2312"/>
          <w:sz w:val="28"/>
        </w:rPr>
      </w:pPr>
      <w:r>
        <w:rPr>
          <w:rFonts w:hint="eastAsia" w:ascii="Arial" w:hAnsi="Arial" w:eastAsia="仿宋_GB2312"/>
          <w:sz w:val="28"/>
        </w:rPr>
        <w:t>不动产总价</w:t>
      </w:r>
    </w:p>
    <w:p>
      <w:pPr>
        <w:spacing w:line="360" w:lineRule="auto"/>
        <w:ind w:right="205" w:firstLine="570"/>
        <w:rPr>
          <w:rFonts w:ascii="Arial" w:hAnsi="Arial" w:eastAsia="仿宋_GB2312"/>
          <w:sz w:val="28"/>
        </w:rPr>
      </w:pPr>
      <w:r>
        <w:rPr>
          <w:rFonts w:hint="eastAsia" w:ascii="Arial" w:hAnsi="Arial" w:eastAsia="仿宋_GB2312"/>
          <w:sz w:val="28"/>
        </w:rPr>
        <w:t>＝21441×494.65÷10000</w:t>
      </w:r>
    </w:p>
    <w:p>
      <w:pPr>
        <w:spacing w:line="360" w:lineRule="auto"/>
        <w:ind w:right="205" w:firstLine="570"/>
        <w:rPr>
          <w:rFonts w:ascii="Arial" w:hAnsi="Arial" w:eastAsia="仿宋_GB2312"/>
        </w:rPr>
      </w:pPr>
      <w:r>
        <w:rPr>
          <w:rFonts w:hint="eastAsia" w:ascii="Arial" w:hAnsi="Arial" w:eastAsia="仿宋_GB2312"/>
          <w:sz w:val="28"/>
        </w:rPr>
        <w:t>＝1060.5791（万元）</w:t>
      </w:r>
    </w:p>
    <w:p>
      <w:pPr>
        <w:numPr>
          <w:ilvl w:val="0"/>
          <w:numId w:val="7"/>
        </w:numPr>
        <w:spacing w:line="300" w:lineRule="auto"/>
        <w:ind w:firstLine="560" w:firstLineChars="200"/>
        <w:jc w:val="both"/>
        <w:rPr>
          <w:rFonts w:ascii="Arial" w:hAnsi="Arial" w:eastAsia="仿宋_GB2312" w:cs="Arial"/>
          <w:sz w:val="28"/>
        </w:rPr>
      </w:pPr>
      <w:r>
        <w:rPr>
          <w:rFonts w:ascii="Arial" w:hAnsi="Arial" w:eastAsia="仿宋_GB2312" w:cs="Arial"/>
          <w:sz w:val="28"/>
        </w:rPr>
        <w:t>开发成本</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（A）建安费用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根据评估专业人员的调查，北京市商业类型建筑的建安水平一般在2800-4000元/平方米之间，</w:t>
      </w:r>
      <w:commentRangeStart w:id="2"/>
      <w:r>
        <w:rPr>
          <w:rFonts w:hint="eastAsia" w:ascii="Arial" w:hAnsi="Arial" w:eastAsia="仿宋_GB2312" w:cs="Arial"/>
          <w:sz w:val="28"/>
        </w:rPr>
        <w:t>估价对象</w:t>
      </w:r>
      <w:r>
        <w:rPr>
          <w:rFonts w:hint="eastAsia" w:ascii="Arial" w:hAnsi="Arial" w:eastAsia="仿宋_GB2312" w:cs="Arial"/>
          <w:sz w:val="28"/>
          <w:lang w:eastAsia="zh-CN"/>
        </w:rPr>
        <w:t>所属楼宇</w:t>
      </w:r>
      <w:r>
        <w:rPr>
          <w:rFonts w:hint="eastAsia" w:ascii="Arial" w:hAnsi="Arial" w:eastAsia="仿宋_GB2312" w:cs="Arial"/>
          <w:sz w:val="28"/>
        </w:rPr>
        <w:t>为一幢地上6层，钢筋混凝土结构的住宅配套商业楼，外</w:t>
      </w:r>
      <w:commentRangeEnd w:id="2"/>
      <w:r>
        <w:rPr>
          <w:rStyle w:val="41"/>
        </w:rPr>
        <w:commentReference w:id="2"/>
      </w:r>
      <w:r>
        <w:rPr>
          <w:rFonts w:hint="eastAsia" w:ascii="Arial" w:hAnsi="Arial" w:eastAsia="仿宋_GB2312" w:cs="Arial"/>
          <w:sz w:val="28"/>
        </w:rPr>
        <w:t>立面为涂料</w:t>
      </w:r>
      <w:r>
        <w:rPr>
          <w:rFonts w:hint="eastAsia" w:ascii="Arial" w:hAnsi="Arial" w:eastAsia="仿宋_GB2312" w:cs="Arial"/>
          <w:sz w:val="28"/>
          <w:lang w:eastAsia="zh-CN"/>
        </w:rPr>
        <w:t>。估价对象位于其</w:t>
      </w:r>
      <w:r>
        <w:rPr>
          <w:rFonts w:hint="eastAsia" w:ascii="Arial" w:hAnsi="Arial" w:eastAsia="仿宋_GB2312" w:cs="Arial"/>
          <w:sz w:val="28"/>
          <w:lang w:val="en-US" w:eastAsia="zh-CN"/>
        </w:rPr>
        <w:t>5层</w:t>
      </w:r>
      <w:r>
        <w:rPr>
          <w:rFonts w:hint="eastAsia" w:ascii="Arial" w:hAnsi="Arial" w:eastAsia="仿宋_GB2312" w:cs="Arial"/>
          <w:sz w:val="28"/>
          <w:lang w:eastAsia="zh-CN"/>
        </w:rPr>
        <w:t>，</w:t>
      </w:r>
      <w:r>
        <w:rPr>
          <w:rFonts w:hint="eastAsia" w:ascii="Arial" w:hAnsi="Arial" w:eastAsia="仿宋_GB2312" w:cs="Arial"/>
          <w:sz w:val="28"/>
        </w:rPr>
        <w:t>室内公共部分装修为普通装修，室内装修为普通装修，楼内未设立电梯设备</w:t>
      </w:r>
      <w:r>
        <w:rPr>
          <w:rFonts w:hint="eastAsia" w:ascii="Arial" w:hAnsi="Arial" w:eastAsia="仿宋_GB2312" w:cs="Arial"/>
          <w:sz w:val="28"/>
          <w:lang w:eastAsia="zh-CN"/>
        </w:rPr>
        <w:t>，</w:t>
      </w:r>
      <w:r>
        <w:rPr>
          <w:rFonts w:hint="eastAsia" w:ascii="Arial" w:hAnsi="Arial" w:eastAsia="仿宋_GB2312" w:cs="Arial"/>
          <w:sz w:val="28"/>
        </w:rPr>
        <w:t>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建安费用＝单方造价×建筑面积＝3500×494.65÷10000＝173.1275（万元）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（B）勘查设计和前期工程费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勘查设计和前期工程费＝建安费用×取费标准＝173.1275×3%＝5.1938（万元）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（C）公共配套设施费用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（D）红线内市政基础设施费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＝建筑面积×取费标准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＝494.65×200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＝9.893（万元）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相关税费＝建安费用×取费标准＝173.1275×1.5%＝2.5969（万元）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（F）建造成本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建造成本为上述5项之和，则有：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建造成本＝173.1275＋5.1938＋0＋9.893＋2.5969＝190.8112（万元）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＝(190.8112＋1.9081)×4.35%×1/2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＝4.1916（万元）</w:t>
      </w:r>
    </w:p>
    <w:p>
      <w:pPr>
        <w:spacing w:line="360" w:lineRule="auto"/>
        <w:ind w:firstLine="560" w:firstLineChars="200"/>
        <w:jc w:val="both"/>
        <w:rPr>
          <w:rFonts w:ascii="仿宋_GB2312" w:eastAsia="仿宋_GB2312"/>
          <w:sz w:val="28"/>
        </w:rPr>
      </w:pPr>
      <w:r>
        <w:rPr>
          <w:rFonts w:hint="eastAsia" w:ascii="Arial" w:hAnsi="Arial" w:eastAsia="仿宋_GB2312"/>
          <w:sz w:val="28"/>
        </w:rPr>
        <w:t>D.</w:t>
      </w:r>
      <w:r>
        <w:rPr>
          <w:rFonts w:hint="eastAsia" w:ascii="仿宋_GB2312" w:eastAsia="仿宋_GB2312"/>
          <w:sz w:val="28"/>
        </w:rPr>
        <w:t>开发利润（投资利润）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＝（190.8112＋1.9081）×20%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＝38.5439（万元）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房屋重置成新价＝190.8112+1.9081+4.1916+38.5439＝235.4548（万元）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成新度＝1-（1-残值率）×已经使用年限÷经济耐用年限＝1-（1-0%）×18÷60＝70%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房屋现值＝房屋重置成新价×成新率＝235.4548×70%＝164.8184（万元）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（1）增值税及附加</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1610.5791</w:t>
      </w:r>
      <w:r>
        <w:rPr>
          <w:rFonts w:hint="eastAsia" w:ascii="楷体_GB2312" w:hAnsi="楷体" w:eastAsia="楷体_GB2312"/>
          <w:sz w:val="28"/>
        </w:rPr>
        <w:t>÷（</w:t>
      </w:r>
      <w:r>
        <w:rPr>
          <w:rFonts w:hint="eastAsia" w:ascii="Arial" w:hAnsi="Arial" w:eastAsia="楷体_GB2312"/>
          <w:sz w:val="28"/>
        </w:rPr>
        <w:t>1</w:t>
      </w:r>
      <w:r>
        <w:rPr>
          <w:rFonts w:hint="eastAsia" w:ascii="楷体_GB2312" w:hAnsi="楷体" w:eastAsia="楷体_GB2312"/>
          <w:sz w:val="28"/>
        </w:rPr>
        <w:t>+</w:t>
      </w:r>
      <w:r>
        <w:rPr>
          <w:rFonts w:hint="eastAsia" w:ascii="Arial" w:hAnsi="Arial" w:eastAsia="楷体_GB2312"/>
          <w:sz w:val="28"/>
        </w:rPr>
        <w:t>5</w:t>
      </w:r>
      <w:r>
        <w:rPr>
          <w:rFonts w:hint="eastAsia" w:ascii="Arial" w:hAnsi="Arial" w:eastAsia="仿宋_GB2312" w:cs="Arial"/>
          <w:sz w:val="28"/>
        </w:rPr>
        <w:t>%</w:t>
      </w:r>
      <w:r>
        <w:rPr>
          <w:rFonts w:hint="eastAsia" w:ascii="楷体_GB2312" w:hAnsi="楷体" w:eastAsia="楷体_GB2312"/>
          <w:sz w:val="28"/>
        </w:rPr>
        <w:t>）</w:t>
      </w:r>
      <w:r>
        <w:rPr>
          <w:rFonts w:hint="eastAsia" w:ascii="Arial" w:hAnsi="Arial" w:eastAsia="仿宋_GB2312" w:cs="Arial"/>
          <w:sz w:val="28"/>
        </w:rPr>
        <w:t>×</w:t>
      </w:r>
      <w:r>
        <w:rPr>
          <w:rFonts w:ascii="Arial" w:hAnsi="Arial" w:eastAsia="仿宋_GB2312" w:cs="Arial"/>
          <w:sz w:val="28"/>
        </w:rPr>
        <w:t>5.</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55.5541</w:t>
      </w:r>
      <w:r>
        <w:rPr>
          <w:rFonts w:ascii="Arial" w:hAnsi="Arial" w:eastAsia="仿宋_GB2312" w:cs="Arial"/>
          <w:sz w:val="28"/>
        </w:rPr>
        <w:t>（万元）</w:t>
      </w:r>
    </w:p>
    <w:p>
      <w:pPr>
        <w:spacing w:line="360" w:lineRule="auto"/>
        <w:ind w:firstLine="562" w:firstLineChars="201"/>
        <w:jc w:val="both"/>
        <w:rPr>
          <w:rFonts w:ascii="仿宋_GB2312" w:hAnsi="Arial" w:eastAsia="仿宋_GB2312"/>
          <w:sz w:val="28"/>
        </w:rPr>
      </w:pPr>
      <w:r>
        <w:rPr>
          <w:rFonts w:hint="eastAsia" w:ascii="Arial" w:hAnsi="Arial" w:eastAsia="仿宋_GB2312"/>
          <w:sz w:val="28"/>
        </w:rPr>
        <w:t>（</w:t>
      </w:r>
      <w:r>
        <w:rPr>
          <w:rFonts w:hint="eastAsia" w:ascii="仿宋_GB2312" w:hAnsi="Arial" w:eastAsia="仿宋_GB2312"/>
          <w:sz w:val="28"/>
        </w:rPr>
        <w:t>2）销售费用</w:t>
      </w:r>
    </w:p>
    <w:p>
      <w:pPr>
        <w:spacing w:line="360" w:lineRule="auto"/>
        <w:ind w:firstLine="562" w:firstLineChars="201"/>
        <w:jc w:val="both"/>
        <w:rPr>
          <w:rFonts w:ascii="仿宋_GB2312" w:hAnsi="Arial" w:eastAsia="仿宋_GB2312"/>
          <w:sz w:val="28"/>
        </w:rPr>
      </w:pPr>
      <w:r>
        <w:rPr>
          <w:rFonts w:hint="eastAsia" w:ascii="仿宋_GB2312" w:hAnsi="Arial" w:eastAsia="仿宋_GB2312"/>
          <w:sz w:val="28"/>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rPr>
        <w:t>售价（即不动产总价）</w:t>
      </w:r>
      <w:r>
        <w:rPr>
          <w:rFonts w:hint="eastAsia" w:ascii="仿宋_GB2312" w:hAnsi="Arial" w:eastAsia="仿宋_GB2312"/>
          <w:sz w:val="28"/>
        </w:rPr>
        <w:t>的一定比例来测算。</w:t>
      </w:r>
      <w:r>
        <w:rPr>
          <w:rFonts w:hint="eastAsia" w:ascii="仿宋_GB2312" w:eastAsia="仿宋_GB2312"/>
          <w:sz w:val="28"/>
        </w:rPr>
        <w:t>结合项目特点及市场客观水平</w:t>
      </w:r>
      <w:r>
        <w:rPr>
          <w:rFonts w:hint="eastAsia" w:ascii="仿宋_GB2312" w:hAnsi="Arial" w:eastAsia="仿宋_GB2312"/>
          <w:sz w:val="28"/>
        </w:rPr>
        <w:t>，确定销售费用按</w:t>
      </w:r>
      <w:r>
        <w:rPr>
          <w:rFonts w:hint="eastAsia" w:ascii="仿宋_GB2312" w:eastAsia="仿宋_GB2312"/>
          <w:sz w:val="28"/>
        </w:rPr>
        <w:t>不动产总价</w:t>
      </w:r>
      <w:r>
        <w:rPr>
          <w:rFonts w:hint="eastAsia" w:ascii="仿宋_GB2312" w:hAnsi="Arial" w:eastAsia="仿宋_GB2312"/>
          <w:sz w:val="28"/>
        </w:rPr>
        <w:t>的</w:t>
      </w:r>
      <w:r>
        <w:rPr>
          <w:rFonts w:hint="eastAsia" w:ascii="Arial" w:hAnsi="Arial" w:eastAsia="仿宋_GB2312"/>
          <w:sz w:val="28"/>
        </w:rPr>
        <w:t>1</w:t>
      </w:r>
      <w:r>
        <w:rPr>
          <w:rFonts w:ascii="Arial" w:hAnsi="Arial" w:eastAsia="仿宋_GB2312" w:cs="Arial"/>
          <w:sz w:val="28"/>
        </w:rPr>
        <w:t>%</w:t>
      </w:r>
      <w:r>
        <w:rPr>
          <w:rFonts w:hint="eastAsia" w:ascii="仿宋_GB2312" w:hAnsi="Arial" w:eastAsia="仿宋_GB2312"/>
          <w:sz w:val="28"/>
        </w:rPr>
        <w:t>计算。</w:t>
      </w:r>
    </w:p>
    <w:p>
      <w:pPr>
        <w:spacing w:line="360" w:lineRule="auto"/>
        <w:ind w:firstLine="562" w:firstLineChars="201"/>
        <w:jc w:val="both"/>
        <w:rPr>
          <w:rFonts w:ascii="Arial" w:hAnsi="Arial" w:eastAsia="仿宋_GB2312" w:cs="Arial"/>
          <w:sz w:val="28"/>
        </w:rPr>
      </w:pPr>
      <w:r>
        <w:rPr>
          <w:rFonts w:hint="eastAsia" w:ascii="Arial" w:hAnsi="Arial" w:eastAsia="仿宋_GB2312" w:cs="Arial"/>
          <w:sz w:val="28"/>
        </w:rPr>
        <w:t>销售费用</w:t>
      </w:r>
      <w:r>
        <w:rPr>
          <w:rFonts w:hint="eastAsia" w:ascii="仿宋_GB2312" w:eastAsia="仿宋_GB2312"/>
          <w:sz w:val="28"/>
        </w:rPr>
        <w:t>＝</w:t>
      </w:r>
      <w:r>
        <w:rPr>
          <w:rFonts w:hint="eastAsia" w:ascii="Arial" w:hAnsi="Arial" w:eastAsia="仿宋_GB2312" w:cs="Arial"/>
          <w:sz w:val="28"/>
        </w:rPr>
        <w:t>1060.5791</w:t>
      </w:r>
      <w:r>
        <w:rPr>
          <w:rFonts w:ascii="Arial" w:hAnsi="Arial" w:eastAsia="仿宋_GB2312" w:cs="Arial"/>
          <w:sz w:val="28"/>
        </w:rPr>
        <w:t>×</w:t>
      </w:r>
      <w:r>
        <w:rPr>
          <w:rFonts w:hint="eastAsia" w:ascii="Arial" w:hAnsi="Arial" w:eastAsia="仿宋_GB2312" w:cs="Arial"/>
          <w:sz w:val="28"/>
        </w:rPr>
        <w:t>1</w:t>
      </w:r>
      <w:r>
        <w:rPr>
          <w:rFonts w:ascii="Arial" w:hAnsi="Arial" w:eastAsia="仿宋_GB2312" w:cs="Arial"/>
          <w:sz w:val="28"/>
        </w:rPr>
        <w:t>%</w:t>
      </w:r>
      <w:r>
        <w:rPr>
          <w:rFonts w:hint="eastAsia" w:ascii="仿宋_GB2312" w:eastAsia="仿宋_GB2312"/>
          <w:sz w:val="28"/>
        </w:rPr>
        <w:t>＝</w:t>
      </w:r>
      <w:r>
        <w:rPr>
          <w:rFonts w:hint="eastAsia" w:ascii="Arial" w:hAnsi="Arial" w:eastAsia="仿宋_GB2312" w:cs="Arial"/>
          <w:sz w:val="28"/>
        </w:rPr>
        <w:t>10.6058（万元）</w:t>
      </w:r>
    </w:p>
    <w:p>
      <w:pPr>
        <w:spacing w:line="360" w:lineRule="auto"/>
        <w:ind w:firstLine="560" w:firstLineChars="200"/>
        <w:jc w:val="both"/>
        <w:rPr>
          <w:rFonts w:ascii="Arial" w:hAnsi="Arial" w:eastAsia="仿宋_GB2312"/>
          <w:sz w:val="28"/>
        </w:rPr>
      </w:pPr>
      <w:r>
        <w:rPr>
          <w:rFonts w:hint="eastAsia" w:ascii="Arial" w:hAnsi="Arial" w:eastAsia="仿宋_GB2312"/>
          <w:sz w:val="28"/>
        </w:rPr>
        <w:t>（3）购地税费</w:t>
      </w:r>
    </w:p>
    <w:p>
      <w:pPr>
        <w:spacing w:line="360" w:lineRule="auto"/>
        <w:ind w:firstLine="560" w:firstLineChars="200"/>
        <w:jc w:val="both"/>
        <w:rPr>
          <w:rFonts w:ascii="Arial" w:hAnsi="Arial" w:eastAsia="仿宋_GB2312"/>
          <w:sz w:val="28"/>
        </w:rPr>
      </w:pPr>
      <w:r>
        <w:rPr>
          <w:rFonts w:hint="eastAsia" w:ascii="仿宋_GB2312" w:eastAsia="仿宋_GB2312"/>
          <w:color w:val="000000"/>
          <w:sz w:val="28"/>
        </w:rPr>
        <w:t>估价对象税费主要为契税及印花税，税率为</w:t>
      </w:r>
      <w:r>
        <w:rPr>
          <w:rFonts w:hint="eastAsia" w:ascii="Arial" w:hAnsi="Arial" w:eastAsia="仿宋_GB2312"/>
          <w:color w:val="000000"/>
          <w:sz w:val="28"/>
        </w:rPr>
        <w:t>3</w:t>
      </w:r>
      <w:r>
        <w:rPr>
          <w:rFonts w:hint="eastAsia" w:ascii="仿宋_GB2312" w:eastAsia="仿宋_GB2312"/>
          <w:color w:val="000000"/>
          <w:sz w:val="28"/>
        </w:rPr>
        <w:t>.</w:t>
      </w:r>
      <w:r>
        <w:rPr>
          <w:rFonts w:hint="eastAsia" w:ascii="Arial" w:hAnsi="Arial" w:eastAsia="仿宋_GB2312"/>
          <w:color w:val="000000"/>
          <w:sz w:val="28"/>
        </w:rPr>
        <w:t>05</w:t>
      </w:r>
      <w:r>
        <w:rPr>
          <w:rFonts w:hint="eastAsia" w:ascii="仿宋_GB2312" w:eastAsia="仿宋_GB2312"/>
          <w:color w:val="000000"/>
          <w:sz w:val="28"/>
        </w:rPr>
        <w:t>%。</w:t>
      </w:r>
    </w:p>
    <w:p>
      <w:pPr>
        <w:spacing w:line="360" w:lineRule="auto"/>
        <w:ind w:firstLine="560" w:firstLineChars="200"/>
        <w:jc w:val="both"/>
        <w:rPr>
          <w:rFonts w:ascii="仿宋_GB2312" w:eastAsia="仿宋_GB2312"/>
          <w:sz w:val="28"/>
        </w:rPr>
      </w:pPr>
      <w:r>
        <w:rPr>
          <w:rFonts w:hint="eastAsia" w:ascii="Arial" w:hAnsi="Arial" w:eastAsia="仿宋_GB2312"/>
          <w:sz w:val="28"/>
        </w:rPr>
        <w:t>8.</w:t>
      </w:r>
      <w:r>
        <w:rPr>
          <w:rFonts w:hint="eastAsia" w:ascii="仿宋_GB2312" w:eastAsia="仿宋_GB2312"/>
          <w:sz w:val="28"/>
        </w:rPr>
        <w:t>求取估价对象首层土地价格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＝(不动产交易价格-房屋现值-销售税费-销售费用)</w:t>
      </w:r>
      <w:r>
        <w:rPr>
          <w:rFonts w:hint="eastAsia" w:ascii="楷体_GB2312" w:hAnsi="楷体" w:eastAsia="楷体_GB2312"/>
          <w:sz w:val="28"/>
        </w:rPr>
        <w:t>÷</w:t>
      </w:r>
      <w:r>
        <w:rPr>
          <w:rFonts w:ascii="Arial" w:hAnsi="Arial" w:eastAsia="仿宋_GB2312" w:cs="Arial"/>
          <w:sz w:val="28"/>
        </w:rPr>
        <w:t>[(1+管理费率+投资利润率+利息率)×(1+契税及印花税率)]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1060.5791</w:t>
      </w:r>
      <w:r>
        <w:rPr>
          <w:rFonts w:ascii="Arial" w:hAnsi="Arial" w:eastAsia="仿宋_GB2312" w:cs="Arial"/>
          <w:sz w:val="28"/>
        </w:rPr>
        <w:t>-</w:t>
      </w:r>
      <w:r>
        <w:rPr>
          <w:rFonts w:hint="eastAsia" w:ascii="Arial" w:hAnsi="Arial" w:eastAsia="仿宋_GB2312" w:cs="Arial"/>
          <w:sz w:val="28"/>
        </w:rPr>
        <w:t>164.8184</w:t>
      </w:r>
      <w:r>
        <w:rPr>
          <w:rFonts w:ascii="Arial" w:hAnsi="Arial" w:eastAsia="仿宋_GB2312" w:cs="Arial"/>
          <w:sz w:val="28"/>
        </w:rPr>
        <w:t>-</w:t>
      </w:r>
      <w:r>
        <w:rPr>
          <w:rFonts w:hint="eastAsia" w:ascii="Arial" w:hAnsi="Arial" w:eastAsia="仿宋_GB2312" w:cs="Arial"/>
          <w:sz w:val="28"/>
        </w:rPr>
        <w:t>55.5541</w:t>
      </w:r>
      <w:r>
        <w:rPr>
          <w:rFonts w:ascii="Arial" w:hAnsi="Arial" w:eastAsia="仿宋_GB2312" w:cs="Arial"/>
          <w:sz w:val="28"/>
        </w:rPr>
        <w:t>-</w:t>
      </w:r>
      <w:r>
        <w:rPr>
          <w:rFonts w:hint="eastAsia" w:ascii="Arial" w:hAnsi="Arial" w:eastAsia="仿宋_GB2312" w:cs="Arial"/>
          <w:sz w:val="28"/>
        </w:rPr>
        <w:t>10.6058</w:t>
      </w:r>
      <w:r>
        <w:rPr>
          <w:rFonts w:ascii="Arial" w:hAnsi="Arial" w:eastAsia="仿宋_GB2312" w:cs="Arial"/>
          <w:sz w:val="28"/>
        </w:rPr>
        <w:t>)</w:t>
      </w:r>
      <w:r>
        <w:rPr>
          <w:rFonts w:hint="eastAsia" w:ascii="楷体_GB2312" w:hAnsi="楷体" w:eastAsia="楷体_GB2312"/>
          <w:sz w:val="28"/>
        </w:rPr>
        <w:t>÷</w:t>
      </w:r>
      <w:r>
        <w:rPr>
          <w:rFonts w:ascii="Arial" w:hAnsi="Arial" w:eastAsia="仿宋_GB2312" w:cs="Arial"/>
          <w:sz w:val="28"/>
        </w:rPr>
        <w:t>[(1+0+20%+4.</w:t>
      </w:r>
      <w:r>
        <w:rPr>
          <w:rFonts w:hint="eastAsia" w:ascii="Arial" w:hAnsi="Arial" w:eastAsia="仿宋_GB2312" w:cs="Arial"/>
          <w:sz w:val="28"/>
        </w:rPr>
        <w:t>3</w:t>
      </w:r>
      <w:r>
        <w:rPr>
          <w:rFonts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×(1+3.05%)]</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＝647.4040（万元）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9.求取估价对象土地价格</w:t>
      </w:r>
    </w:p>
    <w:p>
      <w:pPr>
        <w:autoSpaceDE w:val="0"/>
        <w:autoSpaceDN w:val="0"/>
        <w:snapToGrid w:val="0"/>
        <w:spacing w:line="300" w:lineRule="auto"/>
        <w:ind w:firstLine="540"/>
        <w:jc w:val="both"/>
        <w:textAlignment w:val="bottom"/>
        <w:rPr>
          <w:rFonts w:ascii="Arial" w:hAnsi="Arial" w:eastAsia="仿宋" w:cs="Arial"/>
          <w:sz w:val="28"/>
        </w:rPr>
      </w:pPr>
      <w:r>
        <w:rPr>
          <w:rFonts w:hint="eastAsia" w:ascii="Arial" w:hAnsi="Arial" w:eastAsia="仿宋_GB2312" w:cs="Arial"/>
          <w:spacing w:val="10"/>
          <w:sz w:val="28"/>
        </w:rPr>
        <w:t>根据</w:t>
      </w:r>
      <w:r>
        <w:rPr>
          <w:rFonts w:ascii="Arial" w:hAnsi="Arial" w:eastAsia="仿宋" w:cs="Arial"/>
          <w:sz w:val="28"/>
        </w:rPr>
        <w:t>《北京市人民政府关于调整本市出让国有土地使用权基准地价的通知》[京政发（2002）32号]</w:t>
      </w:r>
      <w:r>
        <w:rPr>
          <w:rFonts w:hint="eastAsia" w:ascii="Arial" w:hAnsi="Arial" w:eastAsia="仿宋" w:cs="Arial"/>
          <w:sz w:val="28"/>
        </w:rPr>
        <w:t>公布的《商业用途楼层修正系数表》，首层商业的楼层修正系数为1.5418，5层商业的楼层修正系数为0.7498，故估价对象土地价格为：</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hint="eastAsia" w:ascii="Arial" w:hAnsi="Arial" w:eastAsia="仿宋_GB2312" w:cs="Arial"/>
          <w:color w:val="000000"/>
          <w:sz w:val="28"/>
          <w:vertAlign w:val="subscript"/>
        </w:rPr>
        <w:t>土</w:t>
      </w:r>
      <w:r>
        <w:rPr>
          <w:rFonts w:ascii="Arial" w:hAnsi="Arial" w:eastAsia="仿宋_GB2312" w:cs="Arial"/>
          <w:spacing w:val="10"/>
          <w:sz w:val="28"/>
        </w:rPr>
        <w:t>）</w:t>
      </w:r>
      <w:r>
        <w:rPr>
          <w:rFonts w:hint="eastAsia" w:ascii="Arial" w:hAnsi="Arial" w:eastAsia="仿宋_GB2312" w:cs="Arial"/>
          <w:spacing w:val="10"/>
          <w:sz w:val="28"/>
        </w:rPr>
        <w:t>＝647.4040×0.7498÷1.5418</w:t>
      </w:r>
    </w:p>
    <w:p>
      <w:pPr>
        <w:autoSpaceDE w:val="0"/>
        <w:autoSpaceDN w:val="0"/>
        <w:snapToGrid w:val="0"/>
        <w:spacing w:line="300" w:lineRule="auto"/>
        <w:ind w:firstLine="2775" w:firstLineChars="925"/>
        <w:jc w:val="both"/>
        <w:textAlignment w:val="bottom"/>
        <w:rPr>
          <w:rFonts w:ascii="Arial" w:hAnsi="Arial" w:eastAsia="仿宋" w:cs="Arial"/>
          <w:sz w:val="28"/>
        </w:rPr>
      </w:pPr>
      <w:r>
        <w:rPr>
          <w:rFonts w:hint="eastAsia" w:ascii="Arial" w:hAnsi="Arial" w:eastAsia="仿宋_GB2312" w:cs="Arial"/>
          <w:spacing w:val="10"/>
          <w:sz w:val="28"/>
        </w:rPr>
        <w:t>＝314.8421（万元）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楼面单价＝314.8421×10000÷494.65</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 xml:space="preserve">        ＝6365（元/平方米）</w:t>
      </w:r>
    </w:p>
    <w:p>
      <w:pPr>
        <w:autoSpaceDE w:val="0"/>
        <w:autoSpaceDN w:val="0"/>
        <w:snapToGrid w:val="0"/>
        <w:spacing w:line="300" w:lineRule="auto"/>
        <w:ind w:firstLine="540"/>
        <w:jc w:val="both"/>
        <w:textAlignment w:val="bottom"/>
        <w:rPr>
          <w:rFonts w:ascii="Arial" w:hAnsi="Arial" w:eastAsia="仿宋_GB2312" w:cs="Arial"/>
          <w:spacing w:val="10"/>
          <w:sz w:val="28"/>
        </w:rPr>
      </w:pPr>
    </w:p>
    <w:p>
      <w:pPr>
        <w:autoSpaceDE w:val="0"/>
        <w:autoSpaceDN w:val="0"/>
        <w:snapToGrid w:val="0"/>
        <w:spacing w:line="300" w:lineRule="auto"/>
        <w:ind w:firstLine="540"/>
        <w:jc w:val="both"/>
        <w:textAlignment w:val="bottom"/>
        <w:rPr>
          <w:rFonts w:ascii="Arial" w:hAnsi="Arial" w:eastAsia="仿宋_GB2312" w:cs="Arial"/>
          <w:spacing w:val="10"/>
          <w:sz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根据区域土地市场情况，并结合估价对象的具体特点及估价目的等，此次评估采用了基准地价系数修正法和剩余法确定</w:t>
      </w:r>
      <w:r>
        <w:rPr>
          <w:rFonts w:hint="eastAsia" w:ascii="Arial" w:hAnsi="Arial" w:eastAsia="仿宋_GB2312" w:cs="Arial"/>
          <w:bCs/>
          <w:sz w:val="28"/>
        </w:rPr>
        <w:t>商业用途出让国有建设用地使用权</w:t>
      </w:r>
      <w:r>
        <w:rPr>
          <w:rFonts w:ascii="Arial" w:hAnsi="Arial" w:eastAsia="仿宋_GB2312"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rPr>
        <w:t>两种</w:t>
      </w:r>
      <w:r>
        <w:rPr>
          <w:rFonts w:ascii="Arial" w:hAnsi="Arial" w:eastAsia="仿宋_GB2312" w:cs="Arial"/>
          <w:bCs/>
          <w:sz w:val="28"/>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70%</w:t>
            </w:r>
          </w:p>
        </w:tc>
      </w:tr>
    </w:tbl>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基准地价系数修正法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4370</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0.3</w:t>
            </w:r>
          </w:p>
        </w:tc>
        <w:tc>
          <w:tcPr>
            <w:tcW w:w="1900"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6365</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bookmarkStart w:id="313" w:name="_Toc515457832"/>
      <w:bookmarkStart w:id="314" w:name="_Toc524335121"/>
      <w:bookmarkStart w:id="315" w:name="_Toc515458410"/>
    </w:p>
    <w:p>
      <w:pPr>
        <w:pStyle w:val="52"/>
        <w:adjustRightInd w:val="0"/>
        <w:spacing w:line="300" w:lineRule="auto"/>
        <w:rPr>
          <w:rFonts w:ascii="Arial" w:hAnsi="Arial" w:cs="Arial"/>
        </w:rPr>
      </w:pPr>
      <w:r>
        <w:rPr>
          <w:rFonts w:hint="eastAsia" w:ascii="Arial" w:hAnsi="Arial" w:cs="Arial"/>
        </w:rPr>
        <w:t>综上，估价对象楼面单价为5767元/平方米，估价对象建筑面积为494.65平方米，则估价对象出让国有建设用地使用权总价为：</w:t>
      </w:r>
    </w:p>
    <w:p>
      <w:pPr>
        <w:pStyle w:val="52"/>
        <w:adjustRightInd w:val="0"/>
        <w:spacing w:line="300" w:lineRule="auto"/>
        <w:rPr>
          <w:rFonts w:ascii="Arial" w:hAnsi="Arial" w:cs="Arial"/>
        </w:rPr>
      </w:pPr>
      <w:r>
        <w:rPr>
          <w:rFonts w:hint="eastAsia" w:ascii="Arial" w:hAnsi="Arial" w:cs="Arial"/>
        </w:rPr>
        <w:t>总价＝5767×494.65÷10000＝285.2647（万元）</w:t>
      </w:r>
    </w:p>
    <w:p>
      <w:pPr>
        <w:pStyle w:val="52"/>
        <w:spacing w:line="300" w:lineRule="auto"/>
        <w:rPr>
          <w:rFonts w:ascii="Arial" w:hAnsi="Arial" w:cs="Arial"/>
        </w:rPr>
      </w:pPr>
    </w:p>
    <w:p>
      <w:pPr>
        <w:pStyle w:val="52"/>
        <w:numPr>
          <w:ilvl w:val="0"/>
          <w:numId w:val="8"/>
        </w:numPr>
        <w:spacing w:line="300" w:lineRule="auto"/>
        <w:ind w:firstLine="562"/>
        <w:rPr>
          <w:rFonts w:ascii="Arial" w:hAnsi="Arial" w:cs="Arial"/>
          <w:b/>
        </w:rPr>
      </w:pPr>
      <w:r>
        <w:rPr>
          <w:rFonts w:hint="eastAsia" w:ascii="Arial" w:hAnsi="Arial" w:cs="Arial"/>
          <w:b/>
        </w:rPr>
        <w:t>划拨国有建设用地使用权价格</w:t>
      </w: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方法一：成本逼近法</w:t>
      </w:r>
    </w:p>
    <w:p>
      <w:pPr>
        <w:pStyle w:val="52"/>
        <w:adjustRightInd w:val="0"/>
        <w:spacing w:line="300" w:lineRule="auto"/>
        <w:rPr>
          <w:rFonts w:ascii="Arial" w:hAnsi="Arial" w:cs="Arial"/>
        </w:rPr>
      </w:pPr>
      <w:r>
        <w:rPr>
          <w:rFonts w:hint="eastAsia" w:ascii="Arial" w:hAnsi="Arial" w:cs="Arial"/>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rPr>
      </w:pPr>
      <w:r>
        <w:rPr>
          <w:rFonts w:hint="eastAsia" w:ascii="Arial" w:hAnsi="Arial" w:eastAsia="仿宋_GB2312" w:cs="Arial"/>
          <w:kern w:val="2"/>
          <w:sz w:val="28"/>
          <w:szCs w:val="24"/>
        </w:rPr>
        <w:t>1.土地取得成本</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rPr>
      </w:pPr>
      <w:r>
        <w:rPr>
          <w:rFonts w:hint="eastAsia" w:ascii="Arial" w:hAnsi="Arial" w:eastAsia="仿宋_GB2312" w:cs="Arial"/>
          <w:kern w:val="2"/>
          <w:sz w:val="28"/>
          <w:szCs w:val="24"/>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rPr>
      </w:pPr>
      <w:r>
        <w:rPr>
          <w:rFonts w:ascii="仿宋" w:hAnsi="仿宋" w:eastAsia="仿宋" w:cs="仿宋"/>
          <w:spacing w:val="12"/>
          <w:sz w:val="27"/>
          <w:szCs w:val="27"/>
        </w:rPr>
        <w:t>征</w:t>
      </w:r>
      <w:r>
        <w:rPr>
          <w:rFonts w:ascii="仿宋" w:hAnsi="仿宋" w:eastAsia="仿宋" w:cs="仿宋"/>
          <w:spacing w:val="9"/>
          <w:sz w:val="27"/>
          <w:szCs w:val="27"/>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rPr>
              <w:t xml:space="preserve"> </w:t>
            </w:r>
            <w:r>
              <w:rPr>
                <w:rFonts w:ascii="Arial" w:hAnsi="Arial" w:eastAsia="仿宋" w:cs="Arial"/>
                <w:spacing w:val="4"/>
                <w:sz w:val="18"/>
                <w:szCs w:val="18"/>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1</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330867.43</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2</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199464.55</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22.36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1921678.11</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1374980.85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4</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7.61</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527523.92</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380249.92</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r>
              <w:rPr>
                <w:rFonts w:ascii="Arial" w:hAnsi="Arial" w:eastAsia="仿宋" w:cs="Arial"/>
                <w:sz w:val="18"/>
                <w:szCs w:val="18"/>
              </w:rPr>
              <w:t>5</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16.16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179877.36</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125582.25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平</w:t>
            </w:r>
            <w:r>
              <w:rPr>
                <w:rFonts w:ascii="Arial" w:hAnsi="Arial" w:eastAsia="仿宋" w:cs="Arial"/>
                <w:spacing w:val="-2"/>
                <w:sz w:val="18"/>
                <w:szCs w:val="18"/>
              </w:rPr>
              <w:t>均</w:t>
            </w:r>
          </w:p>
        </w:tc>
        <w:tc>
          <w:tcPr>
            <w:tcW w:w="127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804"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59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88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7</w:t>
            </w:r>
            <w:r>
              <w:rPr>
                <w:rFonts w:hint="eastAsia" w:ascii="Arial" w:hAnsi="Arial" w:eastAsia="仿宋" w:cs="Arial"/>
                <w:spacing w:val="-2"/>
                <w:sz w:val="18"/>
                <w:szCs w:val="18"/>
              </w:rPr>
              <w:t>2.18</w:t>
            </w:r>
            <w:r>
              <w:rPr>
                <w:rFonts w:ascii="Arial" w:hAnsi="Arial" w:eastAsia="仿宋" w:cs="Arial"/>
                <w:spacing w:val="-1"/>
                <w:sz w:val="18"/>
                <w:szCs w:val="18"/>
              </w:rPr>
              <w:t>%</w:t>
            </w:r>
          </w:p>
        </w:tc>
      </w:tr>
    </w:tbl>
    <w:p>
      <w:pPr>
        <w:spacing w:line="360" w:lineRule="auto"/>
        <w:ind w:firstLine="560" w:firstLineChars="200"/>
        <w:rPr>
          <w:rFonts w:ascii="仿宋_GB2312" w:hAnsi="Arial" w:eastAsia="仿宋_GB2312"/>
          <w:bCs/>
          <w:sz w:val="28"/>
        </w:rPr>
        <w:sectPr>
          <w:footerReference r:id="rId38" w:type="first"/>
          <w:headerReference r:id="rId36" w:type="default"/>
          <w:footerReference r:id="rId37"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rPr>
      </w:pPr>
      <w:r>
        <w:rPr>
          <w:rFonts w:hint="eastAsia" w:ascii="Arial" w:hAnsi="Arial" w:eastAsia="仿宋_GB2312" w:cs="Arial"/>
          <w:kern w:val="2"/>
          <w:sz w:val="28"/>
          <w:szCs w:val="24"/>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10185</w:t>
            </w:r>
          </w:p>
        </w:tc>
      </w:tr>
    </w:tbl>
    <w:p>
      <w:pPr>
        <w:spacing w:line="360" w:lineRule="auto"/>
        <w:ind w:firstLine="560" w:firstLineChars="200"/>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rPr>
      </w:pPr>
      <w:r>
        <w:rPr>
          <w:rFonts w:hint="eastAsia" w:ascii="仿宋_GB2312" w:hAnsi="Arial" w:eastAsia="仿宋_GB2312"/>
          <w:bCs/>
          <w:sz w:val="28"/>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bl>
    <w:p>
      <w:pPr>
        <w:spacing w:line="360" w:lineRule="auto"/>
        <w:ind w:firstLine="560" w:firstLineChars="200"/>
        <w:jc w:val="both"/>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rPr>
            </w:pPr>
            <w: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8"/>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rPr>
      </w:pPr>
      <w:r>
        <w:rPr>
          <w:rFonts w:hint="eastAsia" w:ascii="Arial" w:hAnsi="Arial" w:eastAsia="仿宋_GB2312" w:cs="Arial"/>
          <w:b/>
          <w:bCs/>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北京市密云区西门外大街8号楼501-505、516-520号现状商业用地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2023年6月5日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D</w:t>
            </w:r>
            <w:r>
              <w:rPr>
                <w:rFonts w:ascii="Arial" w:hAnsi="Arial" w:eastAsia="仿宋_GB2312" w:cs="Arial"/>
                <w:sz w:val="18"/>
                <w:szCs w:val="24"/>
              </w:rPr>
              <w:t>位于</w:t>
            </w:r>
            <w:r>
              <w:rPr>
                <w:rFonts w:hint="eastAsia" w:ascii="Arial" w:hAnsi="Arial" w:eastAsia="仿宋_GB2312" w:cs="宋体"/>
                <w:sz w:val="18"/>
                <w:szCs w:val="18"/>
              </w:rPr>
              <w:t>怀柔区雁栖镇HR00-0211-6031地块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E</w:t>
            </w:r>
            <w:r>
              <w:rPr>
                <w:rFonts w:ascii="Arial" w:hAnsi="Arial" w:eastAsia="仿宋_GB2312" w:cs="Arial"/>
                <w:sz w:val="18"/>
                <w:szCs w:val="24"/>
              </w:rPr>
              <w:t>位于</w:t>
            </w:r>
            <w:r>
              <w:rPr>
                <w:rFonts w:hint="eastAsia" w:ascii="Arial" w:hAnsi="Arial" w:eastAsia="仿宋_GB2312" w:cs="宋体"/>
                <w:sz w:val="18"/>
                <w:szCs w:val="18"/>
              </w:rPr>
              <w:t>怀柔区北房镇、怀北镇HR00-0211-6027、6028、6029、6030地块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F</w:t>
            </w:r>
            <w:r>
              <w:rPr>
                <w:rFonts w:ascii="Arial" w:hAnsi="Arial" w:eastAsia="仿宋_GB2312" w:cs="Arial"/>
                <w:sz w:val="18"/>
                <w:szCs w:val="24"/>
              </w:rPr>
              <w:t>位于</w:t>
            </w:r>
            <w:r>
              <w:rPr>
                <w:rFonts w:hint="eastAsia" w:ascii="Arial" w:hAnsi="Arial" w:eastAsia="仿宋_GB2312" w:cs="宋体"/>
                <w:sz w:val="18"/>
                <w:szCs w:val="18"/>
              </w:rPr>
              <w:t>怀柔区HR00-0211-6002、6009、6010、6011、6019地块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案例D距京加路约500米，</w:t>
            </w:r>
            <w:r>
              <w:rPr>
                <w:rFonts w:hint="eastAsia" w:ascii="Arial" w:hAnsi="Arial" w:eastAsia="仿宋" w:cs="Arial"/>
                <w:sz w:val="18"/>
                <w:szCs w:val="18"/>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案例E距京加路约2.8米，</w:t>
            </w:r>
            <w:r>
              <w:rPr>
                <w:rFonts w:hint="eastAsia" w:ascii="Arial" w:hAnsi="Arial" w:eastAsia="仿宋" w:cs="Arial"/>
                <w:sz w:val="18"/>
                <w:szCs w:val="18"/>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案例F距京加路约1.2公里，</w:t>
            </w:r>
            <w:r>
              <w:rPr>
                <w:rFonts w:hint="eastAsia" w:ascii="Arial" w:hAnsi="Arial" w:eastAsia="仿宋" w:cs="Arial"/>
                <w:sz w:val="18"/>
                <w:szCs w:val="18"/>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案例D所在区域有购物场所（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案例E所在区域有购物场所（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案例F所在区域有购物场所（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r>
    </w:tbl>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5954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5938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6095</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5996</w:t>
            </w:r>
          </w:p>
        </w:tc>
      </w:tr>
    </w:tbl>
    <w:p>
      <w:pPr>
        <w:snapToGrid w:val="0"/>
        <w:spacing w:line="240" w:lineRule="exact"/>
        <w:ind w:firstLine="360" w:firstLineChars="200"/>
        <w:rPr>
          <w:rFonts w:ascii="仿宋_GB2312" w:hAnsi="Arial" w:eastAsia="仿宋_GB2312"/>
          <w:bCs/>
          <w:sz w:val="18"/>
          <w:szCs w:val="18"/>
        </w:rPr>
      </w:pPr>
    </w:p>
    <w:p>
      <w:pPr>
        <w:snapToGrid w:val="0"/>
        <w:spacing w:line="300" w:lineRule="auto"/>
        <w:ind w:firstLine="560" w:firstLineChars="200"/>
        <w:rPr>
          <w:rFonts w:ascii="Arial" w:hAnsi="Arial" w:eastAsia="仿宋_GB2312" w:cs="Arial"/>
          <w:sz w:val="28"/>
        </w:rPr>
      </w:pPr>
      <w:r>
        <w:rPr>
          <w:rFonts w:hint="eastAsia" w:ascii="Arial" w:hAnsi="Arial" w:eastAsia="仿宋_GB2312" w:cs="Arial"/>
          <w:sz w:val="28"/>
        </w:rPr>
        <w:t>依前述，</w:t>
      </w:r>
      <w:r>
        <w:rPr>
          <w:rFonts w:hint="eastAsia" w:ascii="Arial" w:hAnsi="Arial" w:eastAsia="仿宋_GB2312" w:cs="Arial"/>
          <w:kern w:val="2"/>
          <w:sz w:val="28"/>
          <w:szCs w:val="24"/>
        </w:rPr>
        <w:t>征地拆迁费用占土地一级开发补偿费总额的比例约为70%，</w:t>
      </w:r>
      <w:r>
        <w:rPr>
          <w:rFonts w:ascii="Arial" w:hAnsi="Arial" w:eastAsia="仿宋_GB2312" w:cs="Arial"/>
          <w:sz w:val="28"/>
        </w:rPr>
        <w:t>故</w:t>
      </w:r>
      <w:r>
        <w:rPr>
          <w:rFonts w:hint="eastAsia" w:ascii="Arial" w:hAnsi="Arial" w:eastAsia="仿宋_GB2312" w:cs="Arial"/>
          <w:sz w:val="28"/>
        </w:rPr>
        <w:t>：</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土地取得成本单价＝</w:t>
      </w:r>
      <w:r>
        <w:rPr>
          <w:rFonts w:hint="eastAsia" w:ascii="Arial" w:hAnsi="Arial" w:eastAsia="仿宋_GB2312" w:cs="Arial"/>
          <w:sz w:val="28"/>
        </w:rPr>
        <w:t>5996</w:t>
      </w:r>
      <w:r>
        <w:rPr>
          <w:rFonts w:ascii="Arial" w:hAnsi="Arial" w:eastAsia="仿宋_GB2312" w:cs="Arial"/>
          <w:sz w:val="28"/>
        </w:rPr>
        <w:t>×70%＝</w:t>
      </w:r>
      <w:r>
        <w:rPr>
          <w:rFonts w:hint="eastAsia" w:ascii="Arial" w:hAnsi="Arial" w:eastAsia="仿宋_GB2312" w:cs="Arial"/>
          <w:sz w:val="28"/>
        </w:rPr>
        <w:t>4197</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土地取得成本＝4</w:t>
      </w:r>
      <w:r>
        <w:rPr>
          <w:rFonts w:hint="eastAsia" w:ascii="Arial" w:hAnsi="Arial" w:eastAsia="仿宋_GB2312" w:cs="Arial"/>
          <w:sz w:val="28"/>
        </w:rPr>
        <w:t>197</w:t>
      </w:r>
      <w:r>
        <w:rPr>
          <w:rFonts w:ascii="Arial" w:hAnsi="Arial" w:eastAsia="仿宋_GB2312" w:cs="Arial"/>
          <w:sz w:val="28"/>
        </w:rPr>
        <w:t>×494.65÷10000＝2</w:t>
      </w:r>
      <w:r>
        <w:rPr>
          <w:rFonts w:hint="eastAsia" w:ascii="Arial" w:hAnsi="Arial" w:eastAsia="仿宋_GB2312" w:cs="Arial"/>
          <w:sz w:val="28"/>
        </w:rPr>
        <w:t>08</w:t>
      </w:r>
      <w:r>
        <w:rPr>
          <w:rFonts w:ascii="Arial" w:hAnsi="Arial" w:eastAsia="仿宋_GB2312" w:cs="Arial"/>
          <w:bCs/>
          <w:sz w:val="28"/>
        </w:rPr>
        <w:t>（万元）</w:t>
      </w:r>
      <w:r>
        <w:rPr>
          <w:rFonts w:ascii="Arial" w:hAnsi="Arial" w:eastAsia="仿宋_GB2312" w:cs="Arial"/>
          <w:sz w:val="28"/>
        </w:rPr>
        <w:t>。</w:t>
      </w:r>
    </w:p>
    <w:p>
      <w:pPr>
        <w:snapToGrid w:val="0"/>
        <w:spacing w:line="300" w:lineRule="auto"/>
        <w:ind w:firstLine="560" w:firstLineChars="200"/>
        <w:jc w:val="both"/>
        <w:rPr>
          <w:rFonts w:ascii="仿宋_GB2312" w:eastAsia="仿宋_GB2312"/>
          <w:sz w:val="28"/>
        </w:rPr>
      </w:pPr>
      <w:r>
        <w:rPr>
          <w:rFonts w:hint="eastAsia" w:ascii="Arial" w:hAnsi="Arial" w:eastAsia="仿宋_GB2312" w:cs="Arial"/>
          <w:sz w:val="28"/>
        </w:rPr>
        <w:t>2.</w:t>
      </w:r>
      <w:r>
        <w:rPr>
          <w:rFonts w:hint="eastAsia" w:ascii="仿宋_GB2312" w:eastAsia="仿宋_GB2312"/>
          <w:sz w:val="28"/>
        </w:rPr>
        <w:t>土地开发费</w:t>
      </w:r>
    </w:p>
    <w:p>
      <w:pPr>
        <w:snapToGrid w:val="0"/>
        <w:spacing w:line="300" w:lineRule="auto"/>
        <w:ind w:firstLine="560" w:firstLineChars="200"/>
        <w:jc w:val="both"/>
        <w:rPr>
          <w:rFonts w:ascii="Arial" w:hAnsi="Arial" w:eastAsia="仿宋_GB2312" w:cs="Arial"/>
          <w:bCs/>
          <w:sz w:val="28"/>
        </w:rPr>
      </w:pPr>
      <w:r>
        <w:rPr>
          <w:rFonts w:ascii="Arial" w:hAnsi="Arial" w:eastAsia="仿宋_GB2312" w:cs="Arial"/>
          <w:sz w:val="28"/>
        </w:rPr>
        <w:t>本次评估估价对象设定开发程度为宗地红线外“七通”（</w:t>
      </w:r>
      <w:r>
        <w:rPr>
          <w:rFonts w:ascii="Arial" w:hAnsi="Arial" w:eastAsia="仿宋" w:cs="Arial"/>
          <w:sz w:val="28"/>
          <w:szCs w:val="28"/>
        </w:rPr>
        <w:t>即通路、通上水、通下水、通电、通讯、通热、通燃气</w:t>
      </w:r>
      <w:r>
        <w:rPr>
          <w:rFonts w:ascii="Arial" w:hAnsi="Arial" w:eastAsia="仿宋_GB2312" w:cs="Arial"/>
          <w:sz w:val="28"/>
        </w:rPr>
        <w:t>）、红线内场地平整。根据</w:t>
      </w:r>
      <w:r>
        <w:rPr>
          <w:rFonts w:ascii="Arial" w:hAnsi="Arial" w:eastAsia="仿宋" w:cs="Arial"/>
          <w:spacing w:val="9"/>
          <w:sz w:val="27"/>
          <w:szCs w:val="27"/>
        </w:rPr>
        <w:t>《北京市人民政府关于更新出让国有建设用地使用权</w:t>
      </w:r>
      <w:r>
        <w:rPr>
          <w:rFonts w:ascii="Arial" w:hAnsi="Arial" w:eastAsia="仿宋" w:cs="Arial"/>
          <w:spacing w:val="13"/>
          <w:sz w:val="27"/>
          <w:szCs w:val="27"/>
        </w:rPr>
        <w:t>基准地价的通知》(京政发〔2022〕12号) ，估价对象位于商业类用途八级地价区，</w:t>
      </w:r>
      <w:r>
        <w:rPr>
          <w:rFonts w:ascii="Arial" w:hAnsi="Arial" w:eastAsia="仿宋_GB2312" w:cs="Arial"/>
          <w:bCs/>
          <w:sz w:val="28"/>
        </w:rPr>
        <w:t>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土地开发费＝</w:t>
      </w:r>
      <w:r>
        <w:rPr>
          <w:rFonts w:hint="eastAsia" w:ascii="Arial" w:hAnsi="Arial" w:eastAsia="仿宋_GB2312" w:cs="Arial"/>
          <w:sz w:val="28"/>
        </w:rPr>
        <w:t>土地面积</w:t>
      </w:r>
      <w:r>
        <w:rPr>
          <w:rFonts w:ascii="Arial" w:hAnsi="Arial" w:eastAsia="仿宋_GB2312" w:cs="Arial"/>
          <w:sz w:val="28"/>
        </w:rPr>
        <w:t>×取费标准＝</w:t>
      </w:r>
      <w:r>
        <w:rPr>
          <w:rFonts w:hint="eastAsia" w:ascii="Arial" w:hAnsi="Arial" w:eastAsia="仿宋_GB2312" w:cs="Arial"/>
          <w:sz w:val="28"/>
        </w:rPr>
        <w:t>242.47</w:t>
      </w:r>
      <w:r>
        <w:rPr>
          <w:rFonts w:hint="eastAsia" w:ascii="Arial" w:hAnsi="Arial" w:eastAsia="仿宋_GB2312" w:cs="Arial"/>
          <w:sz w:val="28"/>
          <w:lang w:val="en-US" w:eastAsia="zh-CN"/>
        </w:rPr>
        <w:t>10</w:t>
      </w:r>
      <w:r>
        <w:rPr>
          <w:rFonts w:ascii="Arial" w:hAnsi="Arial" w:eastAsia="仿宋_GB2312" w:cs="Arial"/>
          <w:sz w:val="28"/>
        </w:rPr>
        <w:t>×2</w:t>
      </w:r>
      <w:r>
        <w:rPr>
          <w:rFonts w:hint="eastAsia" w:ascii="Arial" w:hAnsi="Arial" w:eastAsia="仿宋_GB2312" w:cs="Arial"/>
          <w:sz w:val="28"/>
        </w:rPr>
        <w:t>5</w:t>
      </w:r>
      <w:r>
        <w:rPr>
          <w:rFonts w:ascii="Arial" w:hAnsi="Arial" w:eastAsia="仿宋_GB2312" w:cs="Arial"/>
          <w:sz w:val="28"/>
        </w:rPr>
        <w:t>5÷10000＝</w:t>
      </w:r>
      <w:r>
        <w:rPr>
          <w:rFonts w:hint="eastAsia" w:ascii="Arial" w:hAnsi="Arial" w:eastAsia="仿宋_GB2312" w:cs="Arial"/>
          <w:sz w:val="28"/>
        </w:rPr>
        <w:t>6</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3.相关税费</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4.利息</w:t>
      </w:r>
    </w:p>
    <w:p>
      <w:pPr>
        <w:snapToGrid w:val="0"/>
        <w:spacing w:line="300" w:lineRule="auto"/>
        <w:ind w:firstLine="700" w:firstLineChars="250"/>
        <w:jc w:val="both"/>
        <w:rPr>
          <w:rFonts w:ascii="Arial" w:hAnsi="Arial" w:eastAsia="仿宋_GB2312" w:cs="Arial"/>
          <w:sz w:val="28"/>
        </w:rPr>
      </w:pPr>
      <w:r>
        <w:rPr>
          <w:rFonts w:ascii="Arial" w:hAnsi="Arial" w:eastAsia="仿宋_GB2312" w:cs="Arial"/>
          <w:sz w:val="28"/>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利息＝((2</w:t>
      </w:r>
      <w:r>
        <w:rPr>
          <w:rFonts w:hint="eastAsia" w:ascii="Arial" w:hAnsi="Arial" w:eastAsia="仿宋_GB2312" w:cs="Arial"/>
          <w:sz w:val="28"/>
        </w:rPr>
        <w:t>08</w:t>
      </w:r>
      <w:r>
        <w:rPr>
          <w:rFonts w:ascii="Arial" w:hAnsi="Arial" w:eastAsia="仿宋_GB2312" w:cs="Arial"/>
          <w:sz w:val="28"/>
        </w:rPr>
        <w:t>+0)×1＋</w:t>
      </w:r>
      <w:r>
        <w:rPr>
          <w:rFonts w:hint="eastAsia" w:ascii="Arial" w:hAnsi="Arial" w:eastAsia="仿宋_GB2312" w:cs="Arial"/>
          <w:sz w:val="28"/>
        </w:rPr>
        <w:t>6</w:t>
      </w:r>
      <w:r>
        <w:rPr>
          <w:rFonts w:ascii="Arial" w:hAnsi="Arial" w:eastAsia="仿宋_GB2312" w:cs="Arial"/>
          <w:sz w:val="28"/>
        </w:rPr>
        <w:t>×(1÷2))×4.35%＝</w:t>
      </w:r>
      <w:r>
        <w:rPr>
          <w:rFonts w:hint="eastAsia" w:ascii="Arial" w:hAnsi="Arial" w:eastAsia="仿宋_GB2312" w:cs="Arial"/>
          <w:sz w:val="28"/>
        </w:rPr>
        <w:t>9</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13%取值，则开发利润为：</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利润＝（2</w:t>
      </w:r>
      <w:r>
        <w:rPr>
          <w:rFonts w:hint="eastAsia" w:ascii="Arial" w:hAnsi="Arial" w:eastAsia="仿宋_GB2312" w:cs="Arial"/>
          <w:sz w:val="28"/>
        </w:rPr>
        <w:t>08</w:t>
      </w: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+0）×13%＝</w:t>
      </w:r>
      <w:r>
        <w:rPr>
          <w:rFonts w:hint="eastAsia" w:ascii="Arial" w:hAnsi="Arial" w:eastAsia="仿宋_GB2312" w:cs="Arial"/>
          <w:sz w:val="28"/>
        </w:rPr>
        <w:t>28</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6.土地成本费用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＝土地取得费＋土地开发费＋税费＋投资利息＋开发利润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rPr>
        <w:t>51</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7.土地增值</w:t>
      </w:r>
    </w:p>
    <w:p>
      <w:pPr>
        <w:pStyle w:val="27"/>
        <w:snapToGrid w:val="0"/>
        <w:spacing w:line="300" w:lineRule="auto"/>
        <w:ind w:firstLine="560" w:firstLineChars="200"/>
        <w:rPr>
          <w:rFonts w:cs="Arial"/>
          <w:szCs w:val="24"/>
        </w:rPr>
      </w:pPr>
      <w:r>
        <w:rPr>
          <w:rFonts w:cs="Arial"/>
          <w:szCs w:val="24"/>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根据《北京市协议出让涉及的划拨地价评估技术指引(试</w:t>
      </w:r>
      <w:r>
        <w:rPr>
          <w:rFonts w:eastAsia="仿宋" w:cs="Arial"/>
          <w:sz w:val="27"/>
          <w:szCs w:val="27"/>
        </w:rPr>
        <w:t xml:space="preserve"> </w:t>
      </w:r>
      <w:r>
        <w:rPr>
          <w:rFonts w:eastAsia="仿宋" w:cs="Arial"/>
          <w:spacing w:val="9"/>
          <w:sz w:val="27"/>
          <w:szCs w:val="27"/>
        </w:rPr>
        <w:t>行)》及国土资发〔2001〕44号文件规定：企业改制时，可依据划拨土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8.</w:t>
      </w:r>
      <w:r>
        <w:rPr>
          <w:rFonts w:ascii="Arial" w:hAnsi="Arial" w:eastAsia="仿宋" w:cs="Arial"/>
          <w:spacing w:val="-3"/>
          <w:sz w:val="27"/>
          <w:szCs w:val="27"/>
        </w:rPr>
        <w:t>区域或个别因素修正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估价对象位于北京市密云区西门外大街，</w:t>
      </w:r>
      <w:r>
        <w:rPr>
          <w:rFonts w:ascii="Arial" w:hAnsi="Arial" w:eastAsia="仿宋_GB2312" w:cs="Arial"/>
          <w:sz w:val="28"/>
        </w:rPr>
        <w:t>属于</w:t>
      </w:r>
      <w:r>
        <w:rPr>
          <w:rFonts w:ascii="Arial" w:hAnsi="Arial" w:eastAsia="仿宋_GB2312" w:cs="Arial"/>
          <w:sz w:val="28"/>
          <w:szCs w:val="28"/>
        </w:rPr>
        <w:t>商业类八级VIII-密1区片地价区内</w:t>
      </w:r>
      <w:r>
        <w:rPr>
          <w:rFonts w:ascii="Arial" w:hAnsi="Arial" w:eastAsia="仿宋_GB2312" w:cs="Arial"/>
          <w:color w:val="000000"/>
          <w:sz w:val="28"/>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9.划拨国有建设用地使用权价格</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划拨国有建设用地使用权总值＝2</w:t>
      </w:r>
      <w:r>
        <w:rPr>
          <w:rFonts w:hint="eastAsia" w:ascii="Arial" w:hAnsi="Arial" w:eastAsia="仿宋_GB2312" w:cs="Arial"/>
          <w:color w:val="000000"/>
          <w:sz w:val="28"/>
        </w:rPr>
        <w:t>51</w:t>
      </w:r>
      <w:r>
        <w:rPr>
          <w:rFonts w:ascii="Arial" w:hAnsi="Arial" w:eastAsia="仿宋_GB2312" w:cs="Arial"/>
          <w:color w:val="000000"/>
          <w:sz w:val="28"/>
        </w:rPr>
        <w:t>×1.0194＝2</w:t>
      </w:r>
      <w:r>
        <w:rPr>
          <w:rFonts w:hint="eastAsia" w:ascii="Arial" w:hAnsi="Arial" w:eastAsia="仿宋_GB2312" w:cs="Arial"/>
          <w:color w:val="000000"/>
          <w:sz w:val="28"/>
        </w:rPr>
        <w:t>56</w:t>
      </w:r>
      <w:r>
        <w:rPr>
          <w:rFonts w:ascii="Arial" w:hAnsi="Arial" w:eastAsia="仿宋_GB2312" w:cs="Arial"/>
          <w:color w:val="000000"/>
          <w:sz w:val="28"/>
        </w:rPr>
        <w:t>（万元）</w:t>
      </w:r>
    </w:p>
    <w:p>
      <w:pPr>
        <w:pStyle w:val="52"/>
        <w:adjustRightInd w:val="0"/>
        <w:spacing w:line="300" w:lineRule="auto"/>
        <w:rPr>
          <w:rFonts w:ascii="Arial" w:hAnsi="Arial" w:cs="Arial"/>
          <w:color w:val="000000"/>
        </w:rPr>
      </w:pPr>
      <w:r>
        <w:rPr>
          <w:rFonts w:ascii="Arial" w:hAnsi="Arial" w:cs="Arial"/>
          <w:color w:val="000000"/>
        </w:rPr>
        <w:t>划拨国有建设用地使用权单价＝2</w:t>
      </w:r>
      <w:r>
        <w:rPr>
          <w:rFonts w:hint="eastAsia" w:ascii="Arial" w:hAnsi="Arial" w:cs="Arial"/>
          <w:color w:val="000000"/>
        </w:rPr>
        <w:t>56</w:t>
      </w:r>
      <w:r>
        <w:rPr>
          <w:rFonts w:ascii="Arial" w:hAnsi="Arial" w:cs="Arial"/>
          <w:color w:val="000000"/>
        </w:rPr>
        <w:t>×10000÷494.65＝5</w:t>
      </w:r>
      <w:r>
        <w:rPr>
          <w:rFonts w:hint="eastAsia" w:ascii="Arial" w:hAnsi="Arial" w:cs="Arial"/>
          <w:color w:val="000000"/>
        </w:rPr>
        <w:t>175</w:t>
      </w:r>
      <w:r>
        <w:rPr>
          <w:rFonts w:ascii="Arial" w:hAnsi="Arial" w:cs="Arial"/>
          <w:color w:val="000000"/>
        </w:rPr>
        <w:t>（元/平方米）</w:t>
      </w:r>
    </w:p>
    <w:p>
      <w:pPr>
        <w:pStyle w:val="52"/>
        <w:adjustRightInd w:val="0"/>
        <w:spacing w:line="300" w:lineRule="auto"/>
        <w:ind w:firstLine="562"/>
        <w:rPr>
          <w:rFonts w:ascii="Arial" w:hAnsi="Arial" w:cs="Arial"/>
          <w:b/>
          <w:kern w:val="0"/>
          <w:szCs w:val="20"/>
        </w:rPr>
      </w:pP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方法二：剩余（增值收益扣减）法</w:t>
      </w:r>
    </w:p>
    <w:p>
      <w:pPr>
        <w:pStyle w:val="52"/>
        <w:adjustRightInd w:val="0"/>
        <w:spacing w:line="300" w:lineRule="auto"/>
        <w:rPr>
          <w:rFonts w:ascii="Arial" w:hAnsi="Arial" w:cs="Arial"/>
          <w:bCs/>
          <w:kern w:val="0"/>
          <w:szCs w:val="20"/>
        </w:rPr>
      </w:pPr>
      <w:r>
        <w:rPr>
          <w:rFonts w:hint="eastAsia" w:ascii="Arial" w:hAnsi="Arial" w:cs="Arial"/>
          <w:bCs/>
          <w:kern w:val="0"/>
          <w:szCs w:val="20"/>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rPr>
      </w:pPr>
      <w:r>
        <w:rPr>
          <w:rFonts w:hint="eastAsia" w:ascii="Arial" w:hAnsi="Arial" w:cs="Arial"/>
          <w:bCs/>
          <w:kern w:val="0"/>
          <w:szCs w:val="20"/>
        </w:rPr>
        <w:t>P</w:t>
      </w:r>
      <w:r>
        <w:rPr>
          <w:rFonts w:hint="eastAsia" w:ascii="Arial" w:hAnsi="Arial" w:cs="Arial"/>
          <w:bCs/>
          <w:kern w:val="0"/>
          <w:szCs w:val="20"/>
          <w:vertAlign w:val="subscript"/>
        </w:rPr>
        <w:t>划</w:t>
      </w:r>
      <w:r>
        <w:rPr>
          <w:rFonts w:hint="eastAsia" w:ascii="Arial" w:hAnsi="Arial" w:cs="Arial"/>
          <w:bCs/>
          <w:kern w:val="0"/>
          <w:szCs w:val="20"/>
        </w:rPr>
        <w:t>＝P</w:t>
      </w:r>
      <w:r>
        <w:rPr>
          <w:rFonts w:hint="eastAsia" w:ascii="Arial" w:hAnsi="Arial" w:cs="Arial"/>
          <w:bCs/>
          <w:kern w:val="0"/>
          <w:szCs w:val="20"/>
          <w:vertAlign w:val="subscript"/>
        </w:rPr>
        <w:t>出</w:t>
      </w:r>
      <w:r>
        <w:rPr>
          <w:rFonts w:hint="eastAsia" w:ascii="Arial" w:hAnsi="Arial" w:cs="Arial"/>
          <w:bCs/>
          <w:kern w:val="0"/>
          <w:szCs w:val="20"/>
        </w:rPr>
        <w:t>×（1-R）</w:t>
      </w:r>
    </w:p>
    <w:p>
      <w:pPr>
        <w:pStyle w:val="52"/>
        <w:adjustRightInd w:val="0"/>
        <w:spacing w:line="300" w:lineRule="auto"/>
        <w:rPr>
          <w:rFonts w:ascii="Arial" w:hAnsi="Arial" w:cs="Arial"/>
          <w:bCs/>
          <w:kern w:val="0"/>
          <w:szCs w:val="20"/>
        </w:rPr>
      </w:pPr>
      <w:r>
        <w:rPr>
          <w:rFonts w:hint="eastAsia" w:ascii="Arial" w:hAnsi="Arial" w:cs="Arial"/>
          <w:bCs/>
          <w:kern w:val="0"/>
          <w:szCs w:val="20"/>
        </w:rPr>
        <w:t>式中：P</w:t>
      </w:r>
      <w:r>
        <w:rPr>
          <w:rFonts w:hint="eastAsia" w:ascii="Arial" w:hAnsi="Arial" w:cs="Arial"/>
          <w:bCs/>
          <w:kern w:val="0"/>
          <w:szCs w:val="20"/>
          <w:vertAlign w:val="subscript"/>
        </w:rPr>
        <w:t>划</w:t>
      </w:r>
      <w:r>
        <w:rPr>
          <w:rFonts w:hint="eastAsia" w:ascii="Arial" w:hAnsi="Arial" w:cs="Arial"/>
          <w:bCs/>
          <w:kern w:val="0"/>
          <w:szCs w:val="20"/>
        </w:rPr>
        <w:t>为估价对象价格，无年期限制划拨地价；</w:t>
      </w:r>
    </w:p>
    <w:p>
      <w:pPr>
        <w:pStyle w:val="52"/>
        <w:adjustRightInd w:val="0"/>
        <w:spacing w:line="300" w:lineRule="auto"/>
        <w:rPr>
          <w:rFonts w:ascii="Arial" w:hAnsi="Arial" w:cs="Arial"/>
          <w:bCs/>
          <w:kern w:val="0"/>
          <w:szCs w:val="20"/>
        </w:rPr>
      </w:pPr>
      <w:r>
        <w:rPr>
          <w:rFonts w:hint="eastAsia" w:ascii="Arial" w:hAnsi="Arial" w:cs="Arial"/>
          <w:bCs/>
          <w:kern w:val="0"/>
          <w:szCs w:val="20"/>
        </w:rPr>
        <w:t xml:space="preserve">      P</w:t>
      </w:r>
      <w:r>
        <w:rPr>
          <w:rFonts w:hint="eastAsia" w:ascii="Arial" w:hAnsi="Arial" w:cs="Arial"/>
          <w:bCs/>
          <w:kern w:val="0"/>
          <w:szCs w:val="20"/>
          <w:vertAlign w:val="subscript"/>
        </w:rPr>
        <w:t>出</w:t>
      </w:r>
      <w:r>
        <w:rPr>
          <w:rFonts w:hint="eastAsia" w:ascii="Arial" w:hAnsi="Arial" w:cs="Arial"/>
          <w:bCs/>
          <w:kern w:val="0"/>
          <w:szCs w:val="20"/>
        </w:rPr>
        <w:t>为法定最高出让年期出让地价；</w:t>
      </w:r>
    </w:p>
    <w:p>
      <w:pPr>
        <w:pStyle w:val="52"/>
        <w:adjustRightInd w:val="0"/>
        <w:spacing w:line="300" w:lineRule="auto"/>
        <w:rPr>
          <w:rFonts w:ascii="Arial" w:hAnsi="Arial" w:cs="Arial"/>
          <w:bCs/>
          <w:kern w:val="0"/>
          <w:szCs w:val="20"/>
        </w:rPr>
      </w:pPr>
      <w:r>
        <w:rPr>
          <w:rFonts w:hint="eastAsia" w:ascii="Arial" w:hAnsi="Arial" w:cs="Arial"/>
          <w:bCs/>
          <w:kern w:val="0"/>
          <w:szCs w:val="20"/>
        </w:rPr>
        <w:t xml:space="preserve">      R为土地增值收益率。</w:t>
      </w:r>
    </w:p>
    <w:p>
      <w:pPr>
        <w:pStyle w:val="52"/>
        <w:adjustRightInd w:val="0"/>
        <w:spacing w:line="300" w:lineRule="auto"/>
        <w:rPr>
          <w:rFonts w:ascii="Arial" w:hAnsi="Arial" w:cs="Arial"/>
          <w:bCs/>
          <w:kern w:val="0"/>
          <w:szCs w:val="20"/>
        </w:rPr>
      </w:pPr>
      <w:r>
        <w:rPr>
          <w:rFonts w:hint="eastAsia" w:ascii="Arial" w:hAnsi="Arial" w:cs="Arial"/>
          <w:bCs/>
          <w:kern w:val="0"/>
          <w:szCs w:val="20"/>
        </w:rPr>
        <w:t>1、求取土地增值收益率</w:t>
      </w:r>
    </w:p>
    <w:p>
      <w:pPr>
        <w:pStyle w:val="52"/>
        <w:adjustRightInd w:val="0"/>
        <w:spacing w:line="300" w:lineRule="auto"/>
        <w:rPr>
          <w:rFonts w:ascii="Arial" w:hAnsi="Arial" w:cs="Arial"/>
          <w:bCs/>
          <w:kern w:val="0"/>
          <w:szCs w:val="20"/>
        </w:rPr>
      </w:pPr>
      <w:r>
        <w:rPr>
          <w:rFonts w:hint="eastAsia" w:ascii="Arial" w:hAnsi="Arial" w:cs="Arial"/>
          <w:bCs/>
          <w:kern w:val="0"/>
          <w:szCs w:val="20"/>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rPr>
          <w:rFonts w:ascii="Arial" w:hAnsi="Arial" w:cs="Arial"/>
          <w:bCs/>
          <w:kern w:val="0"/>
          <w:szCs w:val="20"/>
        </w:rPr>
      </w:pPr>
      <w:r>
        <w:rPr>
          <w:rFonts w:hint="eastAsia" w:ascii="Arial" w:hAnsi="Arial" w:cs="Arial"/>
          <w:bCs/>
          <w:kern w:val="0"/>
          <w:szCs w:val="20"/>
        </w:rPr>
        <w:t>土地增值收益率＝(土地成交总价－土地开发建设补偿费总额)÷土地成交总价</w:t>
      </w:r>
    </w:p>
    <w:p>
      <w:pPr>
        <w:pStyle w:val="52"/>
        <w:adjustRightInd w:val="0"/>
        <w:spacing w:line="300" w:lineRule="auto"/>
        <w:rPr>
          <w:rFonts w:ascii="Arial" w:hAnsi="Arial" w:cs="Arial"/>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rPr>
        <w:t>估价对象位于北京市密云区西门外大街，用途为商业。经评估专业人员对密云区同类型土地出让的市场调查，</w:t>
      </w:r>
      <w:r>
        <w:rPr>
          <w:rFonts w:hint="eastAsia" w:ascii="Arial" w:hAnsi="Arial" w:cs="Arial"/>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北京市平谷区兴谷新消费综合体项目商业地块PG00-0106-0106地块B1商业用地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46654.62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88643.78</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2023/1/10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13831.73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50.60%</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16.51%</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1.82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15.59%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41.26%</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北京市延庆区张山营镇西大庄科村YQ06-0400-0016地块F3其他类多功能用地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26197.17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26500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≤1.01</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2020/12/7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20986.8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18955.35</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9.68%</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16.19%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21.25%</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北京市怀柔区怀北镇栖湖组团F3其他类多功能用地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36823.82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25187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≤0.68</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29500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25653.97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13.04%</w:t>
            </w:r>
          </w:p>
        </w:tc>
      </w:tr>
    </w:tbl>
    <w:p>
      <w:pPr>
        <w:pStyle w:val="52"/>
        <w:adjustRightInd w:val="0"/>
        <w:spacing w:line="300" w:lineRule="auto"/>
        <w:rPr>
          <w:rFonts w:ascii="Arial" w:hAnsi="Arial" w:cs="Arial"/>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rPr>
          <w:rFonts w:ascii="Arial" w:hAnsi="Arial" w:eastAsia="仿宋" w:cs="Arial"/>
          <w:sz w:val="28"/>
          <w:szCs w:val="28"/>
        </w:rPr>
      </w:pPr>
      <w:r>
        <w:rPr>
          <w:rFonts w:ascii="Arial" w:hAnsi="Arial" w:eastAsia="仿宋" w:cs="Arial"/>
          <w:spacing w:val="8"/>
          <w:sz w:val="28"/>
          <w:szCs w:val="28"/>
        </w:rPr>
        <w:t>通过对北</w:t>
      </w:r>
      <w:r>
        <w:rPr>
          <w:rFonts w:ascii="Arial" w:hAnsi="Arial" w:eastAsia="仿宋" w:cs="Arial"/>
          <w:spacing w:val="4"/>
          <w:sz w:val="28"/>
          <w:szCs w:val="28"/>
        </w:rPr>
        <w:t>京市</w:t>
      </w:r>
      <w:r>
        <w:rPr>
          <w:rFonts w:hint="eastAsia" w:ascii="Arial" w:hAnsi="Arial" w:eastAsia="仿宋" w:cs="Arial"/>
          <w:spacing w:val="4"/>
          <w:sz w:val="28"/>
          <w:szCs w:val="28"/>
        </w:rPr>
        <w:t>怀柔区、延庆区、平谷区，</w:t>
      </w:r>
      <w:r>
        <w:rPr>
          <w:rFonts w:ascii="Arial" w:hAnsi="Arial" w:eastAsia="仿宋" w:cs="Arial"/>
          <w:spacing w:val="4"/>
          <w:sz w:val="28"/>
          <w:szCs w:val="28"/>
        </w:rPr>
        <w:t>2020-2023年商业类用地招拍挂成交案例的成</w:t>
      </w:r>
      <w:r>
        <w:rPr>
          <w:rFonts w:ascii="Arial" w:hAnsi="Arial" w:eastAsia="仿宋" w:cs="Arial"/>
          <w:spacing w:val="10"/>
          <w:sz w:val="28"/>
          <w:szCs w:val="28"/>
        </w:rPr>
        <w:t>交总价及土地一级开发补偿费的调查和查询，与估价对象类似区域</w:t>
      </w:r>
      <w:r>
        <w:rPr>
          <w:rFonts w:hint="eastAsia" w:ascii="Arial" w:hAnsi="Arial" w:eastAsia="仿宋" w:cs="Arial"/>
          <w:spacing w:val="10"/>
          <w:sz w:val="28"/>
          <w:szCs w:val="28"/>
        </w:rPr>
        <w:t>和</w:t>
      </w:r>
      <w:r>
        <w:rPr>
          <w:rFonts w:ascii="Arial" w:hAnsi="Arial" w:eastAsia="仿宋" w:cs="Arial"/>
          <w:spacing w:val="10"/>
          <w:sz w:val="28"/>
          <w:szCs w:val="28"/>
        </w:rPr>
        <w:t>用</w:t>
      </w:r>
      <w:r>
        <w:rPr>
          <w:rFonts w:ascii="Arial" w:hAnsi="Arial" w:eastAsia="仿宋" w:cs="Arial"/>
          <w:spacing w:val="3"/>
          <w:sz w:val="28"/>
          <w:szCs w:val="28"/>
        </w:rPr>
        <w:t>途</w:t>
      </w:r>
      <w:r>
        <w:rPr>
          <w:rFonts w:hint="eastAsia" w:ascii="Arial" w:hAnsi="Arial" w:eastAsia="仿宋" w:cs="Arial"/>
          <w:spacing w:val="3"/>
          <w:sz w:val="28"/>
          <w:szCs w:val="28"/>
        </w:rPr>
        <w:t>，容积率相近</w:t>
      </w:r>
      <w:r>
        <w:rPr>
          <w:rFonts w:ascii="Arial" w:hAnsi="Arial" w:eastAsia="仿宋" w:cs="Arial"/>
          <w:spacing w:val="24"/>
          <w:sz w:val="28"/>
          <w:szCs w:val="28"/>
        </w:rPr>
        <w:t>的</w:t>
      </w:r>
      <w:r>
        <w:rPr>
          <w:rFonts w:ascii="Arial" w:hAnsi="Arial" w:eastAsia="仿宋" w:cs="Arial"/>
          <w:spacing w:val="13"/>
          <w:sz w:val="28"/>
          <w:szCs w:val="28"/>
        </w:rPr>
        <w:t>平均土地增值收益率为</w:t>
      </w:r>
      <w:r>
        <w:rPr>
          <w:rFonts w:hint="eastAsia" w:ascii="Arial" w:hAnsi="Arial" w:eastAsia="仿宋" w:cs="Arial"/>
          <w:spacing w:val="13"/>
          <w:sz w:val="28"/>
          <w:szCs w:val="28"/>
        </w:rPr>
        <w:t>16</w:t>
      </w:r>
      <w:r>
        <w:rPr>
          <w:rFonts w:ascii="Arial" w:hAnsi="Arial" w:eastAsia="仿宋" w:cs="Arial"/>
          <w:spacing w:val="13"/>
          <w:sz w:val="28"/>
          <w:szCs w:val="28"/>
        </w:rPr>
        <w:t>%，故本次在使用剩余(增值收益扣减)法测算</w:t>
      </w:r>
      <w:r>
        <w:rPr>
          <w:rFonts w:ascii="Arial" w:hAnsi="Arial" w:eastAsia="仿宋" w:cs="Arial"/>
          <w:spacing w:val="-4"/>
          <w:sz w:val="28"/>
          <w:szCs w:val="28"/>
        </w:rPr>
        <w:t>划拨地价时，将</w:t>
      </w:r>
      <w:r>
        <w:rPr>
          <w:rFonts w:hint="eastAsia" w:ascii="Arial" w:hAnsi="Arial" w:eastAsia="仿宋" w:cs="Arial"/>
          <w:spacing w:val="-2"/>
          <w:sz w:val="28"/>
          <w:szCs w:val="28"/>
        </w:rPr>
        <w:t>16</w:t>
      </w:r>
      <w:r>
        <w:rPr>
          <w:rFonts w:ascii="Arial" w:hAnsi="Arial" w:eastAsia="仿宋" w:cs="Arial"/>
          <w:spacing w:val="-2"/>
          <w:sz w:val="28"/>
          <w:szCs w:val="28"/>
        </w:rPr>
        <w:t>%作为本次增值收益率进行测算，估价对象的出让国有建</w:t>
      </w:r>
      <w:r>
        <w:rPr>
          <w:rFonts w:ascii="Arial" w:hAnsi="Arial" w:eastAsia="仿宋" w:cs="Arial"/>
          <w:spacing w:val="9"/>
          <w:sz w:val="28"/>
          <w:szCs w:val="28"/>
        </w:rPr>
        <w:t>设用地使用权价格为</w:t>
      </w:r>
      <w:r>
        <w:rPr>
          <w:rFonts w:hint="eastAsia" w:ascii="Arial" w:hAnsi="Arial" w:eastAsia="仿宋" w:cs="Arial"/>
          <w:spacing w:val="9"/>
          <w:sz w:val="28"/>
          <w:szCs w:val="28"/>
        </w:rPr>
        <w:t>5767</w:t>
      </w:r>
      <w:r>
        <w:rPr>
          <w:rFonts w:ascii="Arial" w:hAnsi="Arial" w:eastAsia="仿宋" w:cs="Arial"/>
          <w:spacing w:val="9"/>
          <w:sz w:val="28"/>
          <w:szCs w:val="28"/>
        </w:rPr>
        <w:t>元/平方米(测算过程详见出让国有建设用地使用权价格</w:t>
      </w:r>
      <w:r>
        <w:rPr>
          <w:rFonts w:ascii="Arial" w:hAnsi="Arial" w:eastAsia="仿宋" w:cs="Arial"/>
          <w:spacing w:val="4"/>
          <w:sz w:val="28"/>
          <w:szCs w:val="28"/>
        </w:rPr>
        <w:t>)，故：</w:t>
      </w:r>
    </w:p>
    <w:p>
      <w:pPr>
        <w:snapToGrid w:val="0"/>
        <w:spacing w:line="300" w:lineRule="auto"/>
        <w:ind w:firstLine="592" w:firstLineChars="200"/>
        <w:jc w:val="both"/>
        <w:rPr>
          <w:rFonts w:ascii="Arial" w:hAnsi="Arial" w:eastAsia="仿宋" w:cs="Arial"/>
          <w:sz w:val="28"/>
          <w:szCs w:val="28"/>
        </w:rPr>
      </w:pPr>
      <w:r>
        <w:rPr>
          <w:rFonts w:ascii="Arial" w:hAnsi="Arial" w:eastAsia="仿宋" w:cs="Arial"/>
          <w:spacing w:val="8"/>
          <w:sz w:val="28"/>
          <w:szCs w:val="28"/>
        </w:rPr>
        <w:t>划拨楼面单价</w:t>
      </w:r>
      <w:r>
        <w:rPr>
          <w:rFonts w:hint="eastAsia" w:ascii="Arial" w:hAnsi="Arial" w:eastAsia="仿宋" w:cs="Arial"/>
          <w:spacing w:val="8"/>
          <w:sz w:val="28"/>
          <w:szCs w:val="28"/>
        </w:rPr>
        <w:t>＝</w:t>
      </w:r>
      <w:r>
        <w:rPr>
          <w:rFonts w:ascii="Arial" w:hAnsi="Arial" w:eastAsia="仿宋" w:cs="Arial"/>
          <w:spacing w:val="8"/>
          <w:sz w:val="28"/>
          <w:szCs w:val="28"/>
        </w:rPr>
        <w:t>出让地价×( 1-土地增值收益率</w:t>
      </w:r>
      <w:r>
        <w:rPr>
          <w:rFonts w:ascii="Arial" w:hAnsi="Arial" w:eastAsia="仿宋" w:cs="Arial"/>
          <w:spacing w:val="4"/>
          <w:sz w:val="28"/>
          <w:szCs w:val="28"/>
        </w:rPr>
        <w:t>)</w:t>
      </w:r>
    </w:p>
    <w:p>
      <w:pPr>
        <w:snapToGrid w:val="0"/>
        <w:spacing w:line="300" w:lineRule="auto"/>
        <w:ind w:firstLine="2400" w:firstLineChars="800"/>
        <w:jc w:val="both"/>
        <w:rPr>
          <w:rFonts w:ascii="Arial" w:hAnsi="Arial" w:eastAsia="仿宋" w:cs="Arial"/>
          <w:sz w:val="28"/>
          <w:szCs w:val="28"/>
        </w:rPr>
      </w:pPr>
      <w:r>
        <w:rPr>
          <w:rFonts w:hint="eastAsia" w:ascii="Arial" w:hAnsi="Arial" w:eastAsia="仿宋" w:cs="Arial"/>
          <w:spacing w:val="10"/>
          <w:sz w:val="28"/>
          <w:szCs w:val="28"/>
        </w:rPr>
        <w:t>＝4844</w:t>
      </w:r>
      <w:r>
        <w:rPr>
          <w:rFonts w:ascii="Arial" w:hAnsi="Arial" w:eastAsia="仿宋" w:cs="Arial"/>
          <w:spacing w:val="5"/>
          <w:sz w:val="28"/>
          <w:szCs w:val="28"/>
        </w:rPr>
        <w:t>(元/平方米)</w:t>
      </w:r>
    </w:p>
    <w:p>
      <w:pPr>
        <w:pStyle w:val="52"/>
        <w:adjustRightInd w:val="0"/>
        <w:spacing w:line="300" w:lineRule="auto"/>
        <w:rPr>
          <w:rFonts w:ascii="Arial" w:hAnsi="Arial" w:cs="Arial"/>
          <w:szCs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rPr>
      </w:pPr>
      <w:r>
        <w:rPr>
          <w:rFonts w:ascii="仿宋" w:hAnsi="仿宋" w:eastAsia="仿宋" w:cs="仿宋"/>
          <w:spacing w:val="14"/>
          <w:sz w:val="28"/>
          <w:szCs w:val="28"/>
        </w:rPr>
        <w:t>划拨地价评估时，宜遵循谨慎原则，优先选用成本逼近法和剩余(</w:t>
      </w:r>
      <w:r>
        <w:rPr>
          <w:rFonts w:ascii="仿宋" w:hAnsi="仿宋" w:eastAsia="仿宋" w:cs="仿宋"/>
          <w:spacing w:val="13"/>
          <w:sz w:val="28"/>
          <w:szCs w:val="28"/>
        </w:rPr>
        <w:t>增</w:t>
      </w:r>
      <w:r>
        <w:rPr>
          <w:rFonts w:ascii="仿宋" w:hAnsi="仿宋" w:eastAsia="仿宋" w:cs="仿宋"/>
          <w:spacing w:val="18"/>
          <w:sz w:val="28"/>
          <w:szCs w:val="28"/>
        </w:rPr>
        <w:t>值收益扣减)法，故本次采用成本逼近法、剩余(增值收益扣减)法对</w:t>
      </w:r>
      <w:r>
        <w:rPr>
          <w:rFonts w:hint="eastAsia" w:ascii="仿宋" w:hAnsi="仿宋" w:eastAsia="仿宋" w:cs="仿宋"/>
          <w:spacing w:val="18"/>
          <w:sz w:val="28"/>
          <w:szCs w:val="28"/>
        </w:rPr>
        <w:t>估价对象</w:t>
      </w:r>
      <w:r>
        <w:rPr>
          <w:rFonts w:ascii="仿宋" w:hAnsi="仿宋" w:eastAsia="仿宋" w:cs="仿宋"/>
          <w:spacing w:val="6"/>
          <w:sz w:val="28"/>
          <w:szCs w:val="28"/>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hint="eastAsia" w:ascii="Arial" w:hAnsi="Arial" w:eastAsia="仿宋" w:cs="Arial"/>
                <w:sz w:val="18"/>
                <w:szCs w:val="18"/>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2</w:t>
            </w:r>
            <w:r>
              <w:rPr>
                <w:rFonts w:hint="eastAsia" w:ascii="Arial" w:hAnsi="Arial" w:eastAsia="仿宋_GB2312" w:cs="Arial"/>
                <w:sz w:val="21"/>
                <w:szCs w:val="21"/>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r>
    </w:tbl>
    <w:p>
      <w:pPr>
        <w:widowControl/>
        <w:adjustRightInd/>
        <w:spacing w:line="300" w:lineRule="auto"/>
        <w:textAlignment w:val="auto"/>
        <w:rPr>
          <w:rFonts w:ascii="Arial" w:hAnsi="Arial" w:eastAsia="仿宋_GB2312" w:cs="Arial"/>
          <w:sz w:val="28"/>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成本逼近法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5175</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剩余(增值收益扣减)法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4844</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p>
    <w:p>
      <w:pPr>
        <w:pStyle w:val="52"/>
        <w:adjustRightInd w:val="0"/>
        <w:spacing w:line="300" w:lineRule="auto"/>
        <w:rPr>
          <w:rFonts w:ascii="Arial" w:hAnsi="Arial" w:cs="Arial"/>
        </w:rPr>
      </w:pPr>
      <w:r>
        <w:rPr>
          <w:rFonts w:hint="eastAsia" w:ascii="Arial" w:hAnsi="Arial" w:cs="Arial"/>
        </w:rPr>
        <w:t>综上，估价对象楼面单价为5010元/平方米，估价对象建筑面积为494.65平方米，则估价对象划拨国有建设用地使用权总价为：</w:t>
      </w:r>
    </w:p>
    <w:p>
      <w:pPr>
        <w:pStyle w:val="52"/>
        <w:adjustRightInd w:val="0"/>
        <w:spacing w:line="300" w:lineRule="auto"/>
        <w:rPr>
          <w:rFonts w:ascii="Arial" w:hAnsi="Arial" w:cs="Arial"/>
        </w:rPr>
      </w:pPr>
      <w:r>
        <w:rPr>
          <w:rFonts w:hint="eastAsia" w:ascii="Arial" w:hAnsi="Arial" w:cs="Arial"/>
        </w:rPr>
        <w:t>总价＝5010×494.65÷10000＝247.8197（万元）</w:t>
      </w:r>
    </w:p>
    <w:p>
      <w:pPr>
        <w:pStyle w:val="52"/>
        <w:adjustRightInd w:val="0"/>
        <w:spacing w:line="300" w:lineRule="auto"/>
        <w:rPr>
          <w:rFonts w:ascii="Arial" w:hAnsi="Arial" w:cs="Arial"/>
          <w:szCs w:val="28"/>
        </w:rPr>
      </w:pPr>
    </w:p>
    <w:p>
      <w:pPr>
        <w:pStyle w:val="52"/>
        <w:numPr>
          <w:ilvl w:val="0"/>
          <w:numId w:val="9"/>
        </w:numPr>
        <w:spacing w:line="300" w:lineRule="auto"/>
        <w:rPr>
          <w:rFonts w:ascii="Arial" w:hAnsi="Arial" w:cs="Arial"/>
        </w:rPr>
      </w:pPr>
      <w:r>
        <w:rPr>
          <w:rFonts w:ascii="Arial" w:hAnsi="Arial" w:cs="Arial"/>
        </w:rPr>
        <w:t>估价结果</w:t>
      </w:r>
      <w:bookmarkEnd w:id="313"/>
      <w:bookmarkEnd w:id="314"/>
      <w:bookmarkEnd w:id="315"/>
    </w:p>
    <w:p>
      <w:pPr>
        <w:pStyle w:val="52"/>
        <w:adjustRightInd w:val="0"/>
        <w:spacing w:line="300" w:lineRule="auto"/>
        <w:rPr>
          <w:rFonts w:ascii="Arial" w:hAnsi="Arial" w:cs="Arial"/>
        </w:rPr>
      </w:pPr>
      <w:r>
        <w:rPr>
          <w:rFonts w:hint="eastAsia" w:ascii="Arial" w:hAnsi="Arial" w:cs="Arial"/>
        </w:rPr>
        <w:t>1、按出让地价与划拨地价的差额计算应缴纳的地价款</w:t>
      </w:r>
    </w:p>
    <w:p>
      <w:pPr>
        <w:pStyle w:val="52"/>
        <w:spacing w:line="300" w:lineRule="auto"/>
        <w:ind w:firstLineChars="0"/>
        <w:rPr>
          <w:rFonts w:ascii="Arial" w:hAnsi="Arial" w:eastAsia="仿宋" w:cs="Arial"/>
          <w:szCs w:val="28"/>
        </w:rPr>
      </w:pPr>
      <w:r>
        <w:rPr>
          <w:rFonts w:hint="eastAsia" w:ascii="Arial" w:hAnsi="Arial" w:cs="Arial"/>
        </w:rPr>
        <w:t>根据《国土资源部办公厅关于发布&lt;国有建设用地使用权出让地价评估技术规范&gt;的通知》[国土资厅发（2018）4号]及</w:t>
      </w:r>
      <w:r>
        <w:rPr>
          <w:rFonts w:ascii="Arial" w:hAnsi="Arial" w:eastAsia="仿宋" w:cs="Arial"/>
          <w:szCs w:val="28"/>
        </w:rPr>
        <w:t>《北京市国有建设用地使用权出让地价评估技术导则（试行）》</w:t>
      </w:r>
      <w:r>
        <w:rPr>
          <w:rFonts w:hint="eastAsia" w:ascii="Arial" w:hAnsi="Arial" w:eastAsia="仿宋" w:cs="Arial"/>
          <w:szCs w:val="28"/>
        </w:rPr>
        <w:t>[</w:t>
      </w:r>
      <w:r>
        <w:rPr>
          <w:rFonts w:ascii="Arial" w:hAnsi="Arial" w:eastAsia="仿宋" w:cs="Arial"/>
          <w:szCs w:val="28"/>
        </w:rPr>
        <w:t>北估秘（2023）001</w:t>
      </w:r>
      <w:r>
        <w:rPr>
          <w:rFonts w:hint="eastAsia" w:ascii="Arial" w:hAnsi="Arial" w:eastAsia="仿宋" w:cs="Arial"/>
          <w:szCs w:val="28"/>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rPr>
      </w:pPr>
      <w:r>
        <w:rPr>
          <w:rFonts w:ascii="Arial" w:hAnsi="Arial" w:eastAsia="仿宋" w:cs="Arial"/>
          <w:kern w:val="2"/>
          <w:sz w:val="28"/>
          <w:szCs w:val="28"/>
        </w:rPr>
        <w:t>应缴纳的地价款单价</w:t>
      </w:r>
      <w:r>
        <w:rPr>
          <w:rFonts w:hint="eastAsia" w:ascii="Arial" w:hAnsi="Arial" w:eastAsia="仿宋" w:cs="Arial"/>
          <w:kern w:val="2"/>
          <w:sz w:val="28"/>
          <w:szCs w:val="28"/>
        </w:rPr>
        <w:t>＝</w:t>
      </w:r>
      <w:r>
        <w:rPr>
          <w:rFonts w:ascii="Arial" w:hAnsi="Arial" w:eastAsia="仿宋" w:cs="Arial"/>
          <w:kern w:val="2"/>
          <w:sz w:val="28"/>
          <w:szCs w:val="28"/>
        </w:rPr>
        <w:t>出让国有建设用地使用权楼面单价</w:t>
      </w:r>
      <w:r>
        <w:rPr>
          <w:rFonts w:hint="eastAsia" w:ascii="Arial" w:hAnsi="Arial" w:eastAsia="仿宋" w:cs="Arial"/>
          <w:kern w:val="2"/>
          <w:sz w:val="28"/>
          <w:szCs w:val="28"/>
        </w:rPr>
        <w:t>－</w:t>
      </w:r>
      <w:r>
        <w:rPr>
          <w:rFonts w:ascii="Arial" w:hAnsi="Arial" w:eastAsia="仿宋" w:cs="Arial"/>
          <w:kern w:val="2"/>
          <w:sz w:val="28"/>
          <w:szCs w:val="28"/>
        </w:rPr>
        <w:t>划拨国有建 设用地使用权楼面单价</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 xml:space="preserve">＝5767－5010 </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 xml:space="preserve">＝757 </w:t>
      </w:r>
    </w:p>
    <w:p>
      <w:pPr>
        <w:snapToGrid w:val="0"/>
        <w:spacing w:line="300" w:lineRule="auto"/>
        <w:ind w:firstLine="560" w:firstLineChars="200"/>
        <w:rPr>
          <w:rFonts w:ascii="Arial" w:hAnsi="Arial" w:eastAsia="仿宋" w:cs="Arial"/>
          <w:kern w:val="2"/>
          <w:sz w:val="28"/>
          <w:szCs w:val="28"/>
        </w:rPr>
      </w:pPr>
      <w:r>
        <w:rPr>
          <w:rFonts w:ascii="Arial" w:hAnsi="Arial" w:eastAsia="仿宋" w:cs="Arial"/>
          <w:kern w:val="2"/>
          <w:sz w:val="28"/>
          <w:szCs w:val="28"/>
        </w:rPr>
        <w:t>应缴纳的地价款总价</w:t>
      </w:r>
      <w:r>
        <w:rPr>
          <w:rFonts w:hint="eastAsia" w:ascii="Arial" w:hAnsi="Arial" w:eastAsia="仿宋" w:cs="Arial"/>
          <w:kern w:val="2"/>
          <w:sz w:val="28"/>
          <w:szCs w:val="28"/>
        </w:rPr>
        <w:t>＝</w:t>
      </w:r>
      <w:r>
        <w:rPr>
          <w:rFonts w:ascii="Arial" w:hAnsi="Arial" w:eastAsia="仿宋" w:cs="Arial"/>
          <w:kern w:val="2"/>
          <w:sz w:val="28"/>
          <w:szCs w:val="28"/>
        </w:rPr>
        <w:t>应缴纳的地价款单价×建筑面积</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＝757×494.65÷</w:t>
      </w:r>
      <w:r>
        <w:rPr>
          <w:rFonts w:ascii="Arial" w:hAnsi="Arial" w:eastAsia="仿宋" w:cs="Arial"/>
          <w:kern w:val="2"/>
          <w:sz w:val="28"/>
          <w:szCs w:val="28"/>
        </w:rPr>
        <w:t>10000</w:t>
      </w:r>
    </w:p>
    <w:p>
      <w:pPr>
        <w:pStyle w:val="52"/>
        <w:adjustRightInd w:val="0"/>
        <w:spacing w:line="300" w:lineRule="auto"/>
        <w:ind w:firstLine="3080" w:firstLineChars="1100"/>
        <w:rPr>
          <w:rFonts w:ascii="Arial" w:hAnsi="Arial" w:eastAsia="仿宋" w:cs="Arial"/>
          <w:szCs w:val="28"/>
        </w:rPr>
      </w:pPr>
      <w:r>
        <w:rPr>
          <w:rFonts w:hint="eastAsia" w:ascii="Arial" w:hAnsi="Arial" w:eastAsia="仿宋" w:cs="Arial"/>
          <w:szCs w:val="28"/>
        </w:rPr>
        <w:t>＝37.4450</w:t>
      </w:r>
      <w:r>
        <w:rPr>
          <w:rFonts w:ascii="Arial" w:hAnsi="Arial" w:eastAsia="仿宋" w:cs="Arial"/>
          <w:szCs w:val="28"/>
        </w:rPr>
        <w:t>(万元)</w:t>
      </w:r>
    </w:p>
    <w:p>
      <w:pPr>
        <w:pStyle w:val="52"/>
        <w:adjustRightInd w:val="0"/>
        <w:spacing w:line="300" w:lineRule="auto"/>
        <w:rPr>
          <w:rFonts w:ascii="Arial" w:hAnsi="Arial" w:cs="Arial"/>
        </w:rPr>
      </w:pPr>
      <w:r>
        <w:rPr>
          <w:rFonts w:hint="eastAsia" w:ascii="Arial" w:hAnsi="Arial" w:cs="Arial"/>
        </w:rPr>
        <w:t>2.运用基准地价系数修正法中政府收益比例测算政府出让收益</w:t>
      </w:r>
    </w:p>
    <w:p>
      <w:pPr>
        <w:pStyle w:val="52"/>
        <w:adjustRightInd w:val="0"/>
        <w:spacing w:line="300" w:lineRule="auto"/>
        <w:jc w:val="both"/>
        <w:rPr>
          <w:rFonts w:ascii="Arial" w:hAnsi="Arial" w:eastAsia="仿宋" w:cs="Arial"/>
        </w:rPr>
      </w:pPr>
      <w:r>
        <w:rPr>
          <w:rFonts w:ascii="Arial" w:hAnsi="Arial" w:eastAsia="仿宋" w:cs="Arial"/>
        </w:rPr>
        <w:t>根据《北京市人民政府关于更新出让国有建设用地使用权基准地价的通知》</w:t>
      </w:r>
      <w:r>
        <w:rPr>
          <w:rFonts w:hint="eastAsia" w:ascii="Arial" w:hAnsi="Arial" w:cs="Arial"/>
          <w:szCs w:val="28"/>
        </w:rPr>
        <w:t>[京政发 [2022]12号]</w:t>
      </w:r>
      <w:r>
        <w:rPr>
          <w:rFonts w:ascii="Arial" w:hAnsi="Arial" w:eastAsia="仿宋" w:cs="Arial"/>
        </w:rPr>
        <w:t>，政府土地出让收益按照楼面熟地价及政府土地出让收益比例确定。商业用途政府土地出让收益按照政府审定楼面熟地价的25%确定，</w:t>
      </w:r>
      <w:r>
        <w:rPr>
          <w:rFonts w:hint="eastAsia" w:ascii="Arial" w:hAnsi="Arial" w:eastAsia="仿宋" w:cs="Arial"/>
        </w:rPr>
        <w:t>则：</w:t>
      </w:r>
    </w:p>
    <w:p>
      <w:pPr>
        <w:pStyle w:val="52"/>
        <w:adjustRightInd w:val="0"/>
        <w:spacing w:line="300" w:lineRule="auto"/>
        <w:jc w:val="both"/>
        <w:rPr>
          <w:rFonts w:ascii="Arial" w:hAnsi="Arial" w:eastAsia="仿宋" w:cs="Arial"/>
        </w:rPr>
      </w:pPr>
      <w:r>
        <w:rPr>
          <w:rFonts w:hint="eastAsia" w:ascii="Arial" w:hAnsi="Arial" w:eastAsia="仿宋" w:cs="Arial"/>
        </w:rPr>
        <w:t>政府出让收益＝楼面熟地价×政府土地出让收益比例</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＝5767×25%</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＝1442(元/平方米)</w:t>
      </w:r>
    </w:p>
    <w:p>
      <w:pPr>
        <w:pStyle w:val="52"/>
        <w:adjustRightInd w:val="0"/>
        <w:spacing w:line="300" w:lineRule="auto"/>
        <w:jc w:val="both"/>
        <w:rPr>
          <w:rFonts w:ascii="Arial" w:hAnsi="Arial" w:eastAsia="仿宋" w:cs="Arial"/>
        </w:rPr>
      </w:pPr>
      <w:r>
        <w:rPr>
          <w:rFonts w:ascii="Arial" w:hAnsi="Arial" w:eastAsia="仿宋" w:cs="Arial"/>
        </w:rPr>
        <w:t>政府土地出让收益总价</w:t>
      </w:r>
      <w:r>
        <w:rPr>
          <w:rFonts w:hint="eastAsia" w:ascii="Arial" w:hAnsi="Arial" w:eastAsia="仿宋" w:cs="Arial"/>
        </w:rPr>
        <w:t>＝</w:t>
      </w:r>
      <w:r>
        <w:rPr>
          <w:rFonts w:ascii="Arial" w:hAnsi="Arial" w:eastAsia="仿宋" w:cs="Arial"/>
        </w:rPr>
        <w:t>政府土地出让收益单价×建筑面积</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＝1442×494.65÷</w:t>
      </w:r>
      <w:r>
        <w:rPr>
          <w:rFonts w:ascii="Arial" w:hAnsi="Arial" w:eastAsia="仿宋" w:cs="Arial"/>
        </w:rPr>
        <w:t>10000</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＝71.3285</w:t>
      </w:r>
      <w:r>
        <w:rPr>
          <w:rFonts w:ascii="Arial" w:hAnsi="Arial" w:eastAsia="仿宋" w:cs="Arial"/>
        </w:rPr>
        <w:t xml:space="preserve"> (万元)</w:t>
      </w:r>
    </w:p>
    <w:p>
      <w:pPr>
        <w:pStyle w:val="52"/>
        <w:adjustRightInd w:val="0"/>
        <w:spacing w:line="300" w:lineRule="auto"/>
        <w:rPr>
          <w:rFonts w:ascii="Arial" w:hAnsi="Arial" w:cs="Arial"/>
        </w:rPr>
      </w:pPr>
      <w:r>
        <w:rPr>
          <w:rFonts w:hint="eastAsia" w:ascii="Arial" w:hAnsi="Arial" w:cs="Arial"/>
        </w:rPr>
        <w:t>3.估价结果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285.2647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贰佰捌拾伍万贰仟陆佰肆拾柒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5767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11765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247.8197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贰佰肆拾柒万捌仟壹佰玖拾柒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5010</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10221</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71.3285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柒拾壹万叁仟贰佰捌拾伍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1442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5767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285.2647</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5010</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247.8197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1442</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71.3285</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5767元/平方米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285.2647万元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5010元/平方米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247.8197万元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＝5767－5010＝757（元/平方米）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＝757×494.65÷10000＝37.4450（万元）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cs="Arial"/>
          <w:szCs w:val="28"/>
        </w:rPr>
        <w:t>5767×25%＝</w:t>
      </w:r>
      <w:r>
        <w:rPr>
          <w:rFonts w:hint="eastAsia" w:ascii="Arial" w:hAnsi="Arial" w:eastAsia="仿宋" w:cs="Arial"/>
        </w:rPr>
        <w:t>1442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＝14</w:t>
      </w:r>
      <w:r>
        <w:rPr>
          <w:rFonts w:hint="eastAsia" w:ascii="Arial" w:hAnsi="Arial" w:eastAsia="仿宋" w:cs="Arial"/>
          <w:lang w:val="en-US" w:eastAsia="zh-CN"/>
        </w:rPr>
        <w:t>4</w:t>
      </w:r>
      <w:r>
        <w:rPr>
          <w:rFonts w:hint="eastAsia" w:ascii="Arial" w:hAnsi="Arial" w:eastAsia="仿宋" w:cs="Arial"/>
        </w:rPr>
        <w:t>2×494.65÷10000＝71.3285</w:t>
      </w:r>
      <w:r>
        <w:rPr>
          <w:rFonts w:hint="eastAsia" w:ascii="Arial" w:hAnsi="Arial" w:cs="Arial"/>
          <w:szCs w:val="28"/>
        </w:rPr>
        <w:t>（万元）</w:t>
      </w:r>
    </w:p>
    <w:p>
      <w:pPr>
        <w:pStyle w:val="52"/>
        <w:spacing w:line="300" w:lineRule="auto"/>
        <w:rPr>
          <w:rFonts w:hint="eastAsia" w:ascii="Arial" w:hAnsi="Arial" w:eastAsia="仿宋" w:cs="Arial"/>
        </w:rPr>
      </w:pPr>
      <w:r>
        <w:rPr>
          <w:rFonts w:hint="eastAsia" w:ascii="Arial" w:hAnsi="Arial" w:eastAsia="仿宋" w:cs="Arial"/>
        </w:rPr>
        <w:t>经过对比，运用出让地价与划拨地价的差额计</w:t>
      </w:r>
      <w:bookmarkStart w:id="321" w:name="_GoBack"/>
      <w:bookmarkEnd w:id="321"/>
      <w:r>
        <w:rPr>
          <w:rFonts w:hint="eastAsia" w:ascii="Arial" w:hAnsi="Arial" w:eastAsia="仿宋" w:cs="Arial"/>
        </w:rPr>
        <w:t>算出的估价结果低于出让地价×25%确定的政府出让收益。因此本报告根据孰高原则，确定以出让地价×25%确定的政府出让收益的数值作为缴纳的地价款。即，应当缴纳的地价款楼面单价为1442元/平方米，应当缴纳的地价款总额为71.3285万元。</w:t>
      </w:r>
    </w:p>
    <w:p>
      <w:pPr>
        <w:pStyle w:val="52"/>
        <w:spacing w:line="300" w:lineRule="auto"/>
        <w:rPr>
          <w:rFonts w:hint="eastAsia" w:ascii="Arial" w:hAnsi="Arial" w:eastAsia="仿宋" w:cs="Arial"/>
        </w:rPr>
      </w:pPr>
      <w:r>
        <w:rPr>
          <w:rFonts w:hint="eastAsia" w:ascii="Arial" w:hAnsi="Arial" w:eastAsia="仿宋" w:cs="Arial"/>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eastAsia="仿宋_GB2312" w:cs="Arial"/>
          <w:sz w:val="28"/>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（转下页）</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2023-1-0432-F01TDCR6</w:t>
      </w:r>
      <w:r>
        <w:rPr>
          <w:rFonts w:ascii="Arial" w:hAnsi="Arial" w:eastAsia="仿宋_GB2312" w:cs="Arial"/>
          <w:bCs/>
          <w:sz w:val="18"/>
        </w:rPr>
        <w:t xml:space="preserve">    估价期日：</w:t>
      </w:r>
      <w:r>
        <w:rPr>
          <w:rFonts w:hint="eastAsia" w:ascii="Arial" w:hAnsi="Arial" w:eastAsia="仿宋_GB2312" w:cs="Arial"/>
          <w:bCs/>
          <w:sz w:val="18"/>
        </w:rPr>
        <w:t>2023年6月9日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5767</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285.2647</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5010</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247.8197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1442</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71.3285</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39"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rPr>
      </w:pPr>
      <w:bookmarkStart w:id="316" w:name="_Toc66929530"/>
      <w:bookmarkStart w:id="317" w:name="_Toc69393405"/>
      <w:r>
        <w:rPr>
          <w:rFonts w:ascii="Arial" w:hAnsi="Arial" w:eastAsia="仿宋_GB2312" w:cs="Arial"/>
          <w:b/>
          <w:sz w:val="32"/>
        </w:rPr>
        <w:t xml:space="preserve">第四部分  </w:t>
      </w:r>
      <w:bookmarkStart w:id="318" w:name="_Toc516488223"/>
      <w:bookmarkStart w:id="319" w:name="_Toc515457834"/>
      <w:bookmarkStart w:id="320" w:name="_Toc524335123"/>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napToGrid w:val="0"/>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sectPr>
      <w:headerReference r:id="rId40" w:type="default"/>
      <w:footerReference r:id="rId41" w:type="default"/>
      <w:pgSz w:w="11906" w:h="16838"/>
      <w:pgMar w:top="1843" w:right="1134" w:bottom="1134" w:left="1134" w:header="1134" w:footer="907" w:gutter="340"/>
      <w:cols w:space="425" w:num="1"/>
      <w:docGrid w:type="lines"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俊然" w:date="2023-06-10T16:04:14Z" w:initials="">
    <w:p w14:paraId="265D6AFF">
      <w:pPr>
        <w:pStyle w:val="9"/>
        <w:rPr>
          <w:rFonts w:hint="eastAsia" w:eastAsia="宋体"/>
          <w:lang w:eastAsia="zh-CN"/>
        </w:rPr>
      </w:pPr>
      <w:r>
        <w:rPr>
          <w:rFonts w:hint="eastAsia"/>
          <w:lang w:eastAsia="zh-CN"/>
        </w:rPr>
        <w:t>许哥提出的异议，原来写的是：估价对象现状为空地，已修改</w:t>
      </w:r>
    </w:p>
  </w:comment>
  <w:comment w:id="1" w:author="Windows User" w:date="2023-06-10T14:51:00Z" w:initials="WU">
    <w:p w14:paraId="67B1366D">
      <w:pPr>
        <w:pStyle w:val="9"/>
      </w:pPr>
      <w:r>
        <w:rPr>
          <w:rFonts w:hint="eastAsia"/>
        </w:rPr>
        <w:t>(可分隔出售)</w:t>
      </w:r>
    </w:p>
  </w:comment>
  <w:comment w:id="2" w:author="Windows User" w:date="2023-06-10T14:54:00Z" w:initials="WU">
    <w:p w14:paraId="439577BA">
      <w:pPr>
        <w:pStyle w:val="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65D6AFF" w15:done="0"/>
  <w15:commentEx w15:paraId="67B1366D" w15:done="0"/>
  <w15:commentEx w15:paraId="439577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both"/>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6" w:line="216" w:lineRule="auto"/>
      <w:ind w:right="79"/>
      <w:jc w:val="right"/>
      <w:rPr>
        <w:rFonts w:ascii="仿宋" w:hAnsi="仿宋" w:eastAsia="仿宋" w:cs="仿宋"/>
        <w:sz w:val="18"/>
        <w:szCs w:val="18"/>
      </w:rPr>
    </w:pP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俊然">
    <w15:presenceInfo w15:providerId="WPS Office" w15:userId="953370131"/>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4DD7085"/>
    <w:rsid w:val="057E2D21"/>
    <w:rsid w:val="0B001F6C"/>
    <w:rsid w:val="0BF06105"/>
    <w:rsid w:val="0E886A8E"/>
    <w:rsid w:val="124D17EC"/>
    <w:rsid w:val="13767488"/>
    <w:rsid w:val="16692AF8"/>
    <w:rsid w:val="1D0B001B"/>
    <w:rsid w:val="21A4270F"/>
    <w:rsid w:val="231A7AA9"/>
    <w:rsid w:val="253B048B"/>
    <w:rsid w:val="2AB00A8A"/>
    <w:rsid w:val="2B6231C6"/>
    <w:rsid w:val="2ED72FC5"/>
    <w:rsid w:val="2F615F40"/>
    <w:rsid w:val="2FC21485"/>
    <w:rsid w:val="2FE349FC"/>
    <w:rsid w:val="31A17F44"/>
    <w:rsid w:val="346B260B"/>
    <w:rsid w:val="35137983"/>
    <w:rsid w:val="3C9E1C4F"/>
    <w:rsid w:val="3DF72BF8"/>
    <w:rsid w:val="3E260B7E"/>
    <w:rsid w:val="3F9D0255"/>
    <w:rsid w:val="3FF03FFB"/>
    <w:rsid w:val="400F2B50"/>
    <w:rsid w:val="40AC1E16"/>
    <w:rsid w:val="40BF06D7"/>
    <w:rsid w:val="41170329"/>
    <w:rsid w:val="413F165A"/>
    <w:rsid w:val="433546FC"/>
    <w:rsid w:val="43B76D86"/>
    <w:rsid w:val="486D4CB1"/>
    <w:rsid w:val="4A6C1FFC"/>
    <w:rsid w:val="4AC007E9"/>
    <w:rsid w:val="4B4C2FC3"/>
    <w:rsid w:val="4CDA1C53"/>
    <w:rsid w:val="4FCB2C74"/>
    <w:rsid w:val="50C02456"/>
    <w:rsid w:val="53E510C0"/>
    <w:rsid w:val="54407ED1"/>
    <w:rsid w:val="57E91A80"/>
    <w:rsid w:val="5D193B81"/>
    <w:rsid w:val="5FBA46C2"/>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endnotes" Target="endnotes.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chart" Target="charts/chart6.xml"/><Relationship Id="rId51" Type="http://schemas.openxmlformats.org/officeDocument/2006/relationships/chart" Target="charts/chart5.xml"/><Relationship Id="rId50" Type="http://schemas.openxmlformats.org/officeDocument/2006/relationships/chart" Target="charts/chart4.xml"/><Relationship Id="rId5" Type="http://schemas.openxmlformats.org/officeDocument/2006/relationships/footnotes" Target="footnotes.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chart" Target="charts/chart1.xml"/><Relationship Id="rId42" Type="http://schemas.openxmlformats.org/officeDocument/2006/relationships/theme" Target="theme/theme1.xml"/><Relationship Id="rId41" Type="http://schemas.openxmlformats.org/officeDocument/2006/relationships/footer" Target="footer19.xml"/><Relationship Id="rId40" Type="http://schemas.openxmlformats.org/officeDocument/2006/relationships/header" Target="header16.xml"/><Relationship Id="rId4" Type="http://schemas.microsoft.com/office/2011/relationships/commentsExtended" Target="commentsExtended.xml"/><Relationship Id="rId39" Type="http://schemas.openxmlformats.org/officeDocument/2006/relationships/header" Target="header15.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4.xml"/><Relationship Id="rId35" Type="http://schemas.openxmlformats.org/officeDocument/2006/relationships/footer" Target="footer16.xml"/><Relationship Id="rId34" Type="http://schemas.openxmlformats.org/officeDocument/2006/relationships/header" Target="header13.xml"/><Relationship Id="rId33" Type="http://schemas.openxmlformats.org/officeDocument/2006/relationships/header" Target="header12.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header" Target="header11.xml"/><Relationship Id="rId3" Type="http://schemas.openxmlformats.org/officeDocument/2006/relationships/comments" Target="comment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0.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139</Pages>
  <Words>78472</Words>
  <Characters>91670</Characters>
  <Lines>718</Lines>
  <Paragraphs>202</Paragraphs>
  <TotalTime>17</TotalTime>
  <ScaleCrop>false</ScaleCrop>
  <LinksUpToDate>false</LinksUpToDate>
  <CharactersWithSpaces>92471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2023-06-11T06:16:30Z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F10FA06C083C491B89A98FB813A9C447_13</vt:lpwstr>
  </property>
</Properties>
</file>