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比较法</w:t>
      </w:r>
    </w:p>
    <w:tbl>
      <w:tblPr>
        <w:tblW w:w="9298" w:type="dxa"/>
        <w:tblInd w:w="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822"/>
        <w:gridCol w:w="1280"/>
        <w:gridCol w:w="636"/>
        <w:gridCol w:w="8"/>
        <w:gridCol w:w="1256"/>
        <w:gridCol w:w="668"/>
        <w:gridCol w:w="1132"/>
        <w:gridCol w:w="792"/>
        <w:gridCol w:w="1228"/>
        <w:gridCol w:w="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1600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i w:val="0"/>
                <w:iCs w:val="0"/>
                <w:bdr w:val="none" w:color="auto" w:sz="0" w:space="0"/>
                <w:lang w:val="en-US" w:eastAsia="zh-CN" w:bidi="ar"/>
              </w:rPr>
              <w:t>比较因素</w:t>
            </w: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估价对象</w:t>
            </w: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案例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案例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rFonts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案例</w:t>
            </w:r>
            <w:r>
              <w:rPr>
                <w:rStyle w:val="6"/>
                <w:rFonts w:eastAsia="宋体"/>
                <w:bdr w:val="none" w:color="auto" w:sz="0" w:space="0"/>
                <w:lang w:val="en-US" w:eastAsia="zh-CN" w:bidi="ar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tblHeader/>
        </w:trPr>
        <w:tc>
          <w:tcPr>
            <w:tcW w:w="1600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Style w:val="7"/>
                <w:color w:val="auto"/>
                <w:bdr w:val="none" w:color="auto" w:sz="0" w:space="0"/>
                <w:lang w:val="en-US" w:eastAsia="zh-CN" w:bidi="ar"/>
              </w:rPr>
              <w:t>羊坊店</w:t>
            </w:r>
            <w:r>
              <w:rPr>
                <w:rStyle w:val="7"/>
                <w:rFonts w:hint="eastAsia"/>
                <w:color w:val="auto"/>
                <w:bdr w:val="none" w:color="auto" w:sz="0" w:space="0"/>
                <w:lang w:val="en-US" w:eastAsia="zh-CN" w:bidi="ar"/>
              </w:rPr>
              <w:t>17号12栋2门16号</w:t>
            </w: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羊坊店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17号</w:t>
            </w: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羊坊店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17号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羊坊店西路</w:t>
            </w:r>
            <w:r>
              <w:rPr>
                <w:rStyle w:val="7"/>
                <w:rFonts w:hint="eastAsia"/>
                <w:color w:val="auto"/>
                <w:lang w:val="en-US" w:eastAsia="zh-CN" w:bidi="ar"/>
              </w:rPr>
              <w:t>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0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交易时间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2023年3月21日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2023年2月22日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2023年2月8日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2022年11月22日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0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交易情况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正常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7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bdr w:val="none" w:color="auto" w:sz="0" w:space="0"/>
                <w:lang w:val="en-US" w:eastAsia="zh-CN" w:bidi="ar"/>
              </w:rPr>
              <w:t>权益状况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用途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住宅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住宅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住宅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住宅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区位状况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居住社区成熟度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较好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较好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较好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较好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778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交通便捷度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好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好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8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公共配套设施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较好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较好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较好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较好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78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基础设施水平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七通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七通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七通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七通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78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自然及人文环境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较好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较好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较好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较好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8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朝向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南北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102.5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东西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8" w:type="dxa"/>
            <w:vMerge w:val="continue"/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楼层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1/5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5/5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2/5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6/6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实物状况</w:t>
            </w: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建筑类型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多层板楼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多层板楼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多层板楼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多层板楼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项目建筑规模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50.1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50.1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88.1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建筑结构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混合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公共部分装修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简单装修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简单装修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简单装修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简单装修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物业管理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普通物业管理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普通物业管理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普通物业管理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普通物业管理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市政基础设施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七通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七通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七通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七通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78" w:type="dxa"/>
            <w:vMerge w:val="continue"/>
            <w:shd w:val="clear" w:color="auto" w:fill="auto"/>
            <w:textDirection w:val="tbRlV"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bdr w:val="none" w:color="auto" w:sz="0" w:space="0"/>
                <w:lang w:val="en-US" w:eastAsia="zh-CN" w:bidi="ar"/>
              </w:rPr>
              <w:t>内部装修</w:t>
            </w:r>
          </w:p>
        </w:tc>
        <w:tc>
          <w:tcPr>
            <w:tcW w:w="12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简单装修</w:t>
            </w:r>
          </w:p>
        </w:tc>
        <w:tc>
          <w:tcPr>
            <w:tcW w:w="63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普通装修</w:t>
            </w:r>
          </w:p>
        </w:tc>
        <w:tc>
          <w:tcPr>
            <w:tcW w:w="66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13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简单装修</w:t>
            </w:r>
          </w:p>
        </w:tc>
        <w:tc>
          <w:tcPr>
            <w:tcW w:w="7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普通装修</w:t>
            </w:r>
          </w:p>
        </w:tc>
        <w:tc>
          <w:tcPr>
            <w:tcW w:w="69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6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成交单价（元</w:t>
            </w:r>
            <w:r>
              <w:rPr>
                <w:rStyle w:val="12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平方米）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——</w:t>
            </w:r>
          </w:p>
        </w:tc>
        <w:tc>
          <w:tcPr>
            <w:tcW w:w="1932" w:type="dxa"/>
            <w:gridSpan w:val="3"/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93812</w:t>
            </w: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87287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89966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00" w:type="dxa"/>
            <w:gridSpan w:val="2"/>
            <w:shd w:val="clear" w:color="auto" w:fill="auto"/>
            <w:noWrap/>
            <w:vAlign w:val="center"/>
          </w:tcPr>
          <w:p>
            <w:pP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比较价值（元</w:t>
            </w:r>
            <w:r>
              <w:rPr>
                <w:rStyle w:val="12"/>
                <w:rFonts w:eastAsia="宋体"/>
                <w:bdr w:val="none" w:color="auto" w:sz="0" w:space="0"/>
                <w:lang w:val="en-US" w:eastAsia="zh-CN" w:bidi="ar"/>
              </w:rPr>
              <w:t>/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平方米）</w:t>
            </w:r>
          </w:p>
        </w:tc>
        <w:tc>
          <w:tcPr>
            <w:tcW w:w="191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89557</w:t>
            </w:r>
          </w:p>
        </w:tc>
        <w:tc>
          <w:tcPr>
            <w:tcW w:w="1932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92902</w:t>
            </w:r>
          </w:p>
        </w:tc>
        <w:tc>
          <w:tcPr>
            <w:tcW w:w="1924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86036</w:t>
            </w:r>
          </w:p>
        </w:tc>
        <w:tc>
          <w:tcPr>
            <w:tcW w:w="1926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89734</w:t>
            </w:r>
          </w:p>
        </w:tc>
      </w:tr>
    </w:tbl>
    <w:p>
      <w:pPr>
        <w:rPr>
          <w:rFonts w:hint="eastAsia"/>
          <w:sz w:val="30"/>
          <w:szCs w:val="30"/>
          <w:lang w:val="en-US" w:eastAsia="zh-CN"/>
        </w:rPr>
      </w:pP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二、估价对象及可比案例位置图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5895975" cy="5229225"/>
            <wp:effectExtent l="0" t="0" r="9525" b="9525"/>
            <wp:docPr id="1" name="图片 1" descr="羊坊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羊坊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三、补缴的政府土地出让收益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根据《北京市已购公有住房上市出售实施办法》[京政发[2003]3号]，上市出售按房改成本价购买的公有住房，须按当年房改成本价1%补交土地出让金或土地收益后可申请办理商品房房屋所有权证，同时根据《关于2001年向职工出售公有住宅楼房的价格及有关政策的通知》[京国土房管方字（2000）第696号]，自2001年1月1日起，城近郊区（东城、西城、崇文、宣武、海淀、丰台、石景山）新建公有住宅楼房成本价为每建筑平方米1560元，即估价对象应交15.6元/平方米人民币，则需补交的土地出让金为782元人民币（即50.1×15.6=782元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估价结果</w:t>
      </w:r>
    </w:p>
    <w:p>
      <w:pPr>
        <w:spacing w:line="240" w:lineRule="auto"/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Arial" w:hAnsi="Arial" w:eastAsia="方正黑体简体"/>
          <w:szCs w:val="24"/>
        </w:rPr>
        <w:t>估价结果一览表</w:t>
      </w:r>
    </w:p>
    <w:tbl>
      <w:tblPr>
        <w:tblStyle w:val="2"/>
        <w:tblW w:w="9299" w:type="dxa"/>
        <w:jc w:val="center"/>
        <w:tblBorders>
          <w:top w:val="thinThickThinSmallGap" w:color="404040" w:sz="12" w:space="0"/>
          <w:left w:val="dotted" w:color="404040" w:sz="2" w:space="0"/>
          <w:bottom w:val="thinThickThinSmallGap" w:color="404040" w:sz="12" w:space="0"/>
          <w:right w:val="dotted" w:color="404040" w:sz="2" w:space="0"/>
          <w:insideH w:val="dotted" w:color="404040" w:sz="2" w:space="0"/>
          <w:insideV w:val="dotted" w:color="404040" w:sz="2" w:space="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</w:tblPr>
      <w:tblGrid>
        <w:gridCol w:w="2526"/>
        <w:gridCol w:w="1302"/>
        <w:gridCol w:w="5471"/>
      </w:tblGrid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2526" w:type="dxa"/>
            <w:vMerge w:val="restart"/>
            <w:noWrap w:val="0"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  <w:lang w:eastAsia="zh-CN"/>
              </w:rPr>
              <w:t>市场</w: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价值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both"/>
              <w:textAlignment w:val="auto"/>
              <w:rPr>
                <w:rFonts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单价</w:t>
            </w:r>
          </w:p>
        </w:tc>
        <w:tc>
          <w:tcPr>
            <w:tcW w:w="5471" w:type="dxa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both"/>
              <w:textAlignment w:val="auto"/>
              <w:rPr>
                <w:rFonts w:hint="default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89557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2526" w:type="dxa"/>
            <w:vMerge w:val="continue"/>
            <w:noWrap w:val="0"/>
            <w:vAlign w:val="center"/>
          </w:tcPr>
          <w:p>
            <w:pPr>
              <w:widowControl/>
              <w:adjustRightInd/>
              <w:spacing w:line="240" w:lineRule="auto"/>
              <w:textAlignment w:val="auto"/>
              <w:rPr>
                <w:rFonts w:hint="eastAsia" w:ascii="Arial" w:hAnsi="Arial" w:eastAsia="华文细黑" w:cs="宋体"/>
                <w:sz w:val="18"/>
                <w:szCs w:val="18"/>
                <w:lang w:eastAsia="zh-CN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总价</w:t>
            </w:r>
          </w:p>
        </w:tc>
        <w:tc>
          <w:tcPr>
            <w:tcW w:w="5471" w:type="dxa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both"/>
              <w:textAlignment w:val="auto"/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Arial"/>
                <w:sz w:val="18"/>
                <w:szCs w:val="18"/>
                <w:lang w:val="en-US" w:eastAsia="zh-CN"/>
              </w:rPr>
              <w:t>4486806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2526" w:type="dxa"/>
            <w:vMerge w:val="continue"/>
            <w:noWrap w:val="0"/>
            <w:vAlign w:val="center"/>
          </w:tcPr>
          <w:p>
            <w:pPr>
              <w:spacing w:line="24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</w:rPr>
              <w:t>大写金额</w:t>
            </w:r>
          </w:p>
        </w:tc>
        <w:tc>
          <w:tcPr>
            <w:tcW w:w="5471" w:type="dxa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both"/>
              <w:textAlignment w:val="auto"/>
              <w:rPr>
                <w:rFonts w:hint="default" w:ascii="Arial" w:hAnsi="Arial" w:eastAsia="华文细黑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  <w:lang w:eastAsia="zh-CN"/>
              </w:rPr>
              <w:t>肆佰肆拾捌万陆仟捌佰零陆元整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2526" w:type="dxa"/>
            <w:noWrap w:val="0"/>
            <w:vAlign w:val="center"/>
          </w:tcPr>
          <w:p>
            <w:pPr>
              <w:spacing w:line="240" w:lineRule="auto"/>
              <w:rPr>
                <w:rFonts w:hint="eastAsia" w:ascii="Arial" w:hAnsi="Arial" w:eastAsia="宋体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  <w:lang w:eastAsia="zh-CN"/>
              </w:rPr>
              <w:t>需扣除的</w:t>
            </w:r>
            <w:r>
              <w:rPr>
                <w:rFonts w:hint="eastAsia" w:ascii="Arial" w:hAnsi="Arial" w:eastAsia="华文细黑" w:cs="宋体"/>
                <w:sz w:val="18"/>
                <w:szCs w:val="18"/>
              </w:rPr>
              <w:t>政府土地出让收益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  <w:lang w:eastAsia="zh-CN"/>
              </w:rPr>
              <w:t>总价</w:t>
            </w:r>
          </w:p>
        </w:tc>
        <w:tc>
          <w:tcPr>
            <w:tcW w:w="5471" w:type="dxa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both"/>
              <w:textAlignment w:val="auto"/>
              <w:rPr>
                <w:rFonts w:hint="default" w:ascii="Arial" w:hAnsi="Arial" w:eastAsia="华文细黑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  <w:lang w:val="en-US" w:eastAsia="zh-CN"/>
              </w:rPr>
              <w:t>782</w:t>
            </w:r>
          </w:p>
        </w:tc>
      </w:tr>
      <w:tr>
        <w:tblPrEx>
          <w:tblBorders>
            <w:top w:val="thinThickThinSmallGap" w:color="404040" w:sz="12" w:space="0"/>
            <w:left w:val="dotted" w:color="404040" w:sz="2" w:space="0"/>
            <w:bottom w:val="thinThickThinSmallGap" w:color="404040" w:sz="12" w:space="0"/>
            <w:right w:val="dotted" w:color="404040" w:sz="2" w:space="0"/>
            <w:insideH w:val="dotted" w:color="404040" w:sz="2" w:space="0"/>
            <w:insideV w:val="dotted" w:color="404040" w:sz="2" w:space="0"/>
          </w:tblBorders>
          <w:tblCellMar>
            <w:top w:w="85" w:type="dxa"/>
            <w:left w:w="85" w:type="dxa"/>
            <w:bottom w:w="85" w:type="dxa"/>
            <w:right w:w="85" w:type="dxa"/>
          </w:tblCellMar>
        </w:tblPrEx>
        <w:trPr>
          <w:jc w:val="center"/>
        </w:trPr>
        <w:tc>
          <w:tcPr>
            <w:tcW w:w="2526" w:type="dxa"/>
            <w:noWrap w:val="0"/>
            <w:vAlign w:val="center"/>
          </w:tcPr>
          <w:p>
            <w:pPr>
              <w:spacing w:line="240" w:lineRule="auto"/>
              <w:rPr>
                <w:rFonts w:hint="eastAsia" w:ascii="Arial" w:hAnsi="Arial" w:eastAsia="宋体" w:cs="Arial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  <w:lang w:eastAsia="zh-CN"/>
              </w:rPr>
              <w:t>已扣除政府土地出让收益的房地产价值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both"/>
              <w:textAlignment w:val="auto"/>
              <w:rPr>
                <w:rFonts w:hint="eastAsia" w:ascii="Arial" w:hAnsi="Arial" w:eastAsia="华文细黑" w:cs="宋体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华文细黑" w:cs="宋体"/>
                <w:sz w:val="18"/>
                <w:szCs w:val="18"/>
                <w:lang w:eastAsia="zh-CN"/>
              </w:rPr>
              <w:t>总价</w:t>
            </w:r>
          </w:p>
        </w:tc>
        <w:tc>
          <w:tcPr>
            <w:tcW w:w="5471" w:type="dxa"/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both"/>
              <w:textAlignment w:val="auto"/>
              <w:rPr>
                <w:rFonts w:hint="default" w:ascii="Arial" w:hAnsi="Arial" w:eastAsia="华文细黑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华文细黑" w:cs="宋体"/>
                <w:sz w:val="18"/>
                <w:szCs w:val="18"/>
                <w:lang w:val="en-US" w:eastAsia="zh-CN"/>
              </w:rPr>
              <w:t>4486024</w:t>
            </w:r>
          </w:p>
        </w:tc>
      </w:tr>
    </w:tbl>
    <w:p>
      <w:pPr>
        <w:spacing w:line="240" w:lineRule="auto"/>
        <w:rPr>
          <w:rFonts w:hint="default" w:ascii="Arial" w:hAnsi="Arial" w:eastAsia="华文细黑" w:cs="宋体"/>
          <w:sz w:val="18"/>
          <w:szCs w:val="18"/>
          <w:lang w:val="en-US" w:eastAsia="zh-CN"/>
        </w:rPr>
      </w:pPr>
      <w:r>
        <w:rPr>
          <w:rFonts w:hint="eastAsia" w:ascii="Arial" w:hAnsi="Arial" w:eastAsia="华文细黑" w:cs="宋体"/>
          <w:sz w:val="18"/>
          <w:szCs w:val="18"/>
          <w:lang w:val="en-US" w:eastAsia="zh-CN"/>
        </w:rPr>
        <w:t>单位：元/建筑面积平方米、元（币种：人民币）</w:t>
      </w:r>
      <w:bookmarkStart w:id="0" w:name="_GoBack"/>
      <w:bookmarkEnd w:id="0"/>
    </w:p>
    <w:sectPr>
      <w:pgSz w:w="11906" w:h="16838"/>
      <w:pgMar w:top="1843" w:right="1304" w:bottom="1134" w:left="130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42442A"/>
    <w:multiLevelType w:val="singleLevel"/>
    <w:tmpl w:val="C442442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YTgwZWFlNTQxODE0NTkyNTBkYjM5YTFhYzFlZTgifQ=="/>
  </w:docVars>
  <w:rsids>
    <w:rsidRoot w:val="00000000"/>
    <w:rsid w:val="5D52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6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22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">
    <w:name w:val="font171"/>
    <w:basedOn w:val="3"/>
    <w:uiPriority w:val="0"/>
    <w:rPr>
      <w:rFonts w:hint="eastAsia" w:ascii="宋体" w:hAnsi="宋体" w:eastAsia="宋体" w:cs="宋体"/>
      <w:color w:val="E26B0A"/>
      <w:sz w:val="22"/>
      <w:szCs w:val="22"/>
      <w:u w:val="none"/>
    </w:rPr>
  </w:style>
  <w:style w:type="character" w:customStyle="1" w:styleId="8">
    <w:name w:val="font31"/>
    <w:basedOn w:val="3"/>
    <w:uiPriority w:val="0"/>
    <w:rPr>
      <w:rFonts w:hint="default" w:ascii="Arial" w:hAnsi="Arial" w:cs="Arial"/>
      <w:color w:val="E26B0A"/>
      <w:sz w:val="22"/>
      <w:szCs w:val="22"/>
      <w:u w:val="none"/>
    </w:rPr>
  </w:style>
  <w:style w:type="character" w:customStyle="1" w:styleId="9">
    <w:name w:val="font18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19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61"/>
    <w:basedOn w:val="3"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2">
    <w:name w:val="font91"/>
    <w:basedOn w:val="3"/>
    <w:uiPriority w:val="0"/>
    <w:rPr>
      <w:rFonts w:hint="default" w:ascii="Arial" w:hAnsi="Arial" w:cs="Arial"/>
      <w:b/>
      <w:bCs/>
      <w:color w:val="000000"/>
      <w:sz w:val="22"/>
      <w:szCs w:val="22"/>
      <w:u w:val="none"/>
    </w:rPr>
  </w:style>
  <w:style w:type="character" w:customStyle="1" w:styleId="13">
    <w:name w:val="font51"/>
    <w:basedOn w:val="3"/>
    <w:uiPriority w:val="0"/>
    <w:rPr>
      <w:rFonts w:hint="default" w:ascii="Arial" w:hAnsi="Arial" w:cs="Arial"/>
      <w:b/>
      <w:bCs/>
      <w:color w:val="E26B0A"/>
      <w:sz w:val="22"/>
      <w:szCs w:val="22"/>
      <w:u w:val="none"/>
    </w:rPr>
  </w:style>
  <w:style w:type="character" w:customStyle="1" w:styleId="14">
    <w:name w:val="font201"/>
    <w:basedOn w:val="3"/>
    <w:uiPriority w:val="0"/>
    <w:rPr>
      <w:rFonts w:hint="eastAsia" w:ascii="宋体" w:hAnsi="宋体" w:eastAsia="宋体" w:cs="宋体"/>
      <w:b/>
      <w:bCs/>
      <w:color w:val="E26B0A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3</TotalTime>
  <ScaleCrop>false</ScaleCrop>
  <LinksUpToDate>false</LinksUpToDate>
  <CharactersWithSpaces>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2023-03-29T13:28:13Z</dcterms:created>
  <dc:creator>kz</dc:creator>
  <cp:lastModifiedBy>俊然</cp:lastModifiedBy>
  <dcterms:modified xsi:type="dcterms:W3CDTF">2023-03-29T13:55:51Z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C5C11DD970584D288B37B8DC75937B97</vt:lpwstr>
  </property>
</Properties>
</file>