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olor w:val="auto"/>
        </w:rPr>
      </w:pPr>
      <w:r>
        <w:rPr>
          <w:rFonts w:hint="eastAsia" w:ascii="Arial" w:hAnsi="Arial" w:eastAsia="宋体" w:cs="宋体"/>
          <w:b/>
          <w:bCs/>
          <w:color w:val="auto"/>
          <w:kern w:val="0"/>
          <w:sz w:val="40"/>
          <w:szCs w:val="40"/>
        </w:rPr>
        <w:t>房地产抵押评估复估单</w:t>
      </w:r>
    </w:p>
    <w:p>
      <w:pPr>
        <w:jc w:val="right"/>
        <w:rPr>
          <w:rFonts w:ascii="Arial" w:hAnsi="Arial"/>
          <w:color w:val="auto"/>
          <w:highlight w:val="none"/>
        </w:rPr>
      </w:pPr>
      <w:r>
        <w:rPr>
          <w:rFonts w:hint="eastAsia" w:ascii="Arial" w:hAnsi="Arial" w:eastAsia="宋体" w:cs="宋体"/>
          <w:color w:val="auto"/>
          <w:kern w:val="0"/>
          <w:sz w:val="20"/>
          <w:szCs w:val="20"/>
          <w:highlight w:val="none"/>
        </w:rPr>
        <w:t>报告编号：康正评字2024-1-0</w:t>
      </w:r>
      <w:r>
        <w:rPr>
          <w:rFonts w:hint="eastAsia" w:ascii="Arial" w:hAnsi="Arial" w:eastAsia="宋体" w:cs="宋体"/>
          <w:color w:val="auto"/>
          <w:kern w:val="0"/>
          <w:sz w:val="20"/>
          <w:szCs w:val="20"/>
          <w:highlight w:val="none"/>
          <w:lang w:val="en-US" w:eastAsia="zh-CN"/>
        </w:rPr>
        <w:t>509</w:t>
      </w:r>
      <w:r>
        <w:rPr>
          <w:rFonts w:hint="eastAsia" w:ascii="Arial" w:hAnsi="Arial" w:eastAsia="宋体" w:cs="宋体"/>
          <w:color w:val="auto"/>
          <w:kern w:val="0"/>
          <w:sz w:val="20"/>
          <w:szCs w:val="20"/>
          <w:highlight w:val="none"/>
        </w:rPr>
        <w:t>-P01DYGJ2</w:t>
      </w:r>
    </w:p>
    <w:tbl>
      <w:tblPr>
        <w:tblStyle w:val="5"/>
        <w:tblW w:w="9299" w:type="dxa"/>
        <w:jc w:val="center"/>
        <w:tblLayout w:type="fixed"/>
        <w:tblCellMar>
          <w:top w:w="57" w:type="dxa"/>
          <w:left w:w="57" w:type="dxa"/>
          <w:bottom w:w="57" w:type="dxa"/>
          <w:right w:w="57" w:type="dxa"/>
        </w:tblCellMar>
      </w:tblPr>
      <w:tblGrid>
        <w:gridCol w:w="1499"/>
        <w:gridCol w:w="1388"/>
        <w:gridCol w:w="2457"/>
        <w:gridCol w:w="1388"/>
        <w:gridCol w:w="2567"/>
      </w:tblGrid>
      <w:tr>
        <w:trPr>
          <w:cantSpli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color w:val="auto"/>
                <w:kern w:val="0"/>
                <w:sz w:val="20"/>
                <w:szCs w:val="20"/>
              </w:rPr>
            </w:pPr>
            <w:r>
              <w:rPr>
                <w:rFonts w:hint="eastAsia" w:ascii="Arial" w:hAnsi="Arial" w:eastAsia="宋体" w:cs="宋体"/>
                <w:b/>
                <w:bCs/>
                <w:color w:val="auto"/>
                <w:kern w:val="0"/>
                <w:sz w:val="20"/>
                <w:szCs w:val="20"/>
              </w:rPr>
              <w:t>估价委托人</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中国银行股份有限公司北京市分行</w:t>
            </w:r>
            <w:bookmarkStart w:id="0" w:name="_GoBack"/>
            <w:bookmarkEnd w:id="0"/>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color w:val="auto"/>
                <w:kern w:val="0"/>
                <w:sz w:val="20"/>
                <w:szCs w:val="20"/>
              </w:rPr>
            </w:pPr>
            <w:r>
              <w:rPr>
                <w:rFonts w:hint="eastAsia" w:ascii="Arial" w:hAnsi="Arial" w:eastAsia="宋体" w:cs="宋体"/>
                <w:b/>
                <w:bCs/>
                <w:color w:val="auto"/>
                <w:kern w:val="0"/>
                <w:sz w:val="20"/>
                <w:szCs w:val="20"/>
              </w:rPr>
              <w:t>估价对象</w:t>
            </w:r>
          </w:p>
        </w:tc>
        <w:tc>
          <w:tcPr>
            <w:tcW w:w="780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北京市海淀区白家疃尚水园4号楼1层119</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color w:val="auto"/>
                <w:kern w:val="0"/>
                <w:sz w:val="20"/>
                <w:szCs w:val="20"/>
              </w:rPr>
            </w:pPr>
            <w:r>
              <w:rPr>
                <w:rFonts w:hint="eastAsia" w:ascii="Arial" w:hAnsi="Arial" w:eastAsia="宋体" w:cs="宋体"/>
                <w:b/>
                <w:bCs/>
                <w:color w:val="auto"/>
                <w:kern w:val="0"/>
                <w:sz w:val="20"/>
                <w:szCs w:val="20"/>
              </w:rPr>
              <w:t>估价目的</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为中国银行股份有限公司确定押品复估抵押价值。</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color w:val="auto"/>
                <w:kern w:val="0"/>
                <w:sz w:val="20"/>
                <w:szCs w:val="20"/>
              </w:rPr>
            </w:pPr>
            <w:r>
              <w:rPr>
                <w:rFonts w:hint="eastAsia" w:ascii="Arial" w:hAnsi="Arial" w:eastAsia="宋体" w:cs="宋体"/>
                <w:b/>
                <w:bCs/>
                <w:color w:val="auto"/>
                <w:kern w:val="0"/>
                <w:sz w:val="20"/>
                <w:szCs w:val="20"/>
              </w:rPr>
              <w:t>询价时点</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20</w:t>
            </w:r>
            <w:r>
              <w:rPr>
                <w:rFonts w:hint="eastAsia" w:ascii="Arial" w:hAnsi="Arial" w:eastAsia="宋体" w:cs="宋体"/>
                <w:color w:val="auto"/>
                <w:kern w:val="0"/>
                <w:sz w:val="20"/>
                <w:szCs w:val="20"/>
                <w:lang w:val="en-US" w:eastAsia="zh-CN"/>
              </w:rPr>
              <w:t>24</w:t>
            </w:r>
            <w:r>
              <w:rPr>
                <w:rFonts w:hint="eastAsia" w:ascii="Arial" w:hAnsi="Arial" w:eastAsia="宋体" w:cs="宋体"/>
                <w:color w:val="auto"/>
                <w:kern w:val="0"/>
                <w:sz w:val="20"/>
                <w:szCs w:val="20"/>
              </w:rPr>
              <w:t>年</w:t>
            </w:r>
            <w:r>
              <w:rPr>
                <w:rFonts w:hint="eastAsia" w:ascii="Arial" w:hAnsi="Arial" w:eastAsia="宋体" w:cs="宋体"/>
                <w:color w:val="auto"/>
                <w:kern w:val="0"/>
                <w:sz w:val="20"/>
                <w:szCs w:val="20"/>
                <w:lang w:val="en-US" w:eastAsia="zh-CN"/>
              </w:rPr>
              <w:t>6</w:t>
            </w:r>
            <w:r>
              <w:rPr>
                <w:rFonts w:hint="eastAsia" w:ascii="Arial" w:hAnsi="Arial" w:eastAsia="宋体" w:cs="宋体"/>
                <w:color w:val="auto"/>
                <w:kern w:val="0"/>
                <w:sz w:val="20"/>
                <w:szCs w:val="20"/>
              </w:rPr>
              <w:t>月</w:t>
            </w:r>
            <w:r>
              <w:rPr>
                <w:rFonts w:hint="eastAsia" w:ascii="Arial" w:hAnsi="Arial" w:eastAsia="宋体" w:cs="宋体"/>
                <w:color w:val="auto"/>
                <w:kern w:val="0"/>
                <w:sz w:val="20"/>
                <w:szCs w:val="20"/>
                <w:lang w:val="en-US" w:eastAsia="zh-CN"/>
              </w:rPr>
              <w:t>17</w:t>
            </w:r>
            <w:r>
              <w:rPr>
                <w:rFonts w:hint="eastAsia" w:ascii="Arial" w:hAnsi="Arial" w:eastAsia="宋体" w:cs="宋体"/>
                <w:color w:val="auto"/>
                <w:kern w:val="0"/>
                <w:sz w:val="20"/>
                <w:szCs w:val="20"/>
              </w:rPr>
              <w:t>日</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color w:val="auto"/>
                <w:kern w:val="0"/>
                <w:sz w:val="20"/>
                <w:szCs w:val="20"/>
              </w:rPr>
            </w:pPr>
            <w:r>
              <w:rPr>
                <w:rFonts w:hint="eastAsia" w:ascii="Arial" w:hAnsi="Arial" w:eastAsia="宋体" w:cs="宋体"/>
                <w:b/>
                <w:bCs/>
                <w:color w:val="auto"/>
                <w:kern w:val="0"/>
                <w:sz w:val="20"/>
                <w:szCs w:val="20"/>
              </w:rPr>
              <w:t>基础信息</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项目名称</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hint="default" w:ascii="Arial" w:hAnsi="Arial" w:eastAsia="宋体" w:cs="宋体"/>
                <w:color w:val="auto"/>
                <w:kern w:val="0"/>
                <w:sz w:val="20"/>
                <w:szCs w:val="20"/>
                <w:lang w:val="en-US" w:eastAsia="zh-CN"/>
              </w:rPr>
            </w:pPr>
            <w:r>
              <w:rPr>
                <w:rFonts w:hint="eastAsia" w:ascii="Arial" w:hAnsi="Arial" w:eastAsia="宋体" w:cs="宋体"/>
                <w:color w:val="auto"/>
                <w:kern w:val="0"/>
                <w:sz w:val="20"/>
                <w:szCs w:val="20"/>
                <w:lang w:val="en-US" w:eastAsia="zh-CN"/>
              </w:rPr>
              <w:t>正源尚峰尚水</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建筑面积</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lang w:val="en-US" w:eastAsia="zh-CN"/>
              </w:rPr>
              <w:t>333.23</w:t>
            </w:r>
            <w:r>
              <w:rPr>
                <w:rFonts w:hint="eastAsia" w:ascii="Arial" w:hAnsi="Arial" w:eastAsia="宋体" w:cs="宋体"/>
                <w:color w:val="auto"/>
                <w:kern w:val="0"/>
                <w:sz w:val="20"/>
                <w:szCs w:val="20"/>
              </w:rPr>
              <w:t>平方米</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房屋总层数</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ascii="Arial" w:hAnsi="Arial" w:cs="Arial"/>
                <w:color w:val="auto"/>
              </w:rPr>
              <w:t>1</w:t>
            </w:r>
            <w:r>
              <w:rPr>
                <w:rFonts w:hint="eastAsia" w:ascii="Arial" w:hAnsi="Arial" w:cs="Arial"/>
                <w:color w:val="auto"/>
                <w:lang w:val="en-US" w:eastAsia="zh-CN"/>
              </w:rPr>
              <w:t>0</w:t>
            </w:r>
            <w:r>
              <w:rPr>
                <w:rFonts w:ascii="Arial" w:hAnsi="Arial" w:cs="Arial"/>
                <w:color w:val="auto"/>
              </w:rPr>
              <w:t>（-0</w:t>
            </w:r>
            <w:r>
              <w:rPr>
                <w:rFonts w:hint="eastAsia" w:ascii="Arial" w:hAnsi="Arial" w:cs="Arial"/>
                <w:color w:val="auto"/>
                <w:lang w:val="en-US" w:eastAsia="zh-CN"/>
              </w:rPr>
              <w:t>2</w:t>
            </w:r>
            <w:r>
              <w:rPr>
                <w:rFonts w:ascii="Arial" w:hAnsi="Arial" w:cs="Arial"/>
                <w:color w:val="auto"/>
              </w:rPr>
              <w:t>）</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所在层数</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Arial" w:hAnsi="Arial" w:eastAsia="宋体" w:cs="宋体"/>
                <w:color w:val="auto"/>
                <w:kern w:val="0"/>
                <w:sz w:val="20"/>
                <w:szCs w:val="20"/>
                <w:lang w:val="en-US" w:eastAsia="zh-CN"/>
              </w:rPr>
            </w:pPr>
            <w:r>
              <w:rPr>
                <w:rFonts w:hint="eastAsia" w:ascii="Arial" w:hAnsi="Arial" w:eastAsia="宋体" w:cs="宋体"/>
                <w:color w:val="auto"/>
                <w:kern w:val="0"/>
                <w:sz w:val="20"/>
                <w:szCs w:val="20"/>
                <w:lang w:val="en-US" w:eastAsia="zh-CN"/>
              </w:rPr>
              <w:t>1</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规划用途</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hint="eastAsia" w:ascii="Arial" w:hAnsi="Arial" w:eastAsia="宋体" w:cs="宋体"/>
                <w:color w:val="auto"/>
                <w:kern w:val="0"/>
                <w:sz w:val="20"/>
                <w:szCs w:val="20"/>
                <w:lang w:eastAsia="zh-CN"/>
              </w:rPr>
            </w:pPr>
            <w:r>
              <w:rPr>
                <w:rFonts w:hint="eastAsia" w:ascii="Arial" w:hAnsi="Arial" w:eastAsia="宋体" w:cs="Arial"/>
                <w:color w:val="auto"/>
                <w:szCs w:val="28"/>
                <w:lang w:val="en-US" w:eastAsia="zh-CN"/>
              </w:rPr>
              <w:t>办公</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房屋结构</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default" w:ascii="Arial" w:hAnsi="Arial" w:eastAsia="宋体" w:cs="宋体"/>
                <w:color w:val="auto"/>
                <w:kern w:val="0"/>
                <w:sz w:val="20"/>
                <w:szCs w:val="20"/>
                <w:lang w:val="en-US" w:eastAsia="zh-CN"/>
              </w:rPr>
            </w:pPr>
            <w:r>
              <w:rPr>
                <w:rFonts w:hint="eastAsia" w:ascii="Arial" w:hAnsi="Arial" w:eastAsia="宋体" w:cs="宋体"/>
                <w:color w:val="auto"/>
                <w:kern w:val="0"/>
                <w:sz w:val="20"/>
                <w:szCs w:val="20"/>
                <w:lang w:val="en-US" w:eastAsia="zh-CN"/>
              </w:rPr>
              <w:t>钢筋混凝土结构</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其他</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hint="eastAsia" w:ascii="Arial" w:hAnsi="Arial" w:eastAsia="宋体" w:cs="宋体"/>
                <w:color w:val="auto"/>
                <w:kern w:val="0"/>
                <w:sz w:val="20"/>
                <w:szCs w:val="20"/>
                <w:lang w:eastAsia="zh-CN"/>
              </w:rPr>
            </w:pPr>
            <w:r>
              <w:rPr>
                <w:rFonts w:hint="eastAsia" w:ascii="Arial" w:hAnsi="Arial" w:eastAsia="宋体" w:cs="宋体"/>
                <w:color w:val="auto"/>
                <w:kern w:val="0"/>
                <w:sz w:val="20"/>
                <w:szCs w:val="20"/>
                <w:lang w:eastAsia="zh-CN"/>
              </w:rPr>
              <w:t>——</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他项权利状况</w:t>
            </w:r>
          </w:p>
        </w:tc>
        <w:tc>
          <w:tcPr>
            <w:tcW w:w="641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kern w:val="0"/>
                <w:sz w:val="20"/>
                <w:szCs w:val="20"/>
              </w:rPr>
              <w:t>截至</w:t>
            </w:r>
            <w:r>
              <w:rPr>
                <w:rFonts w:hint="eastAsia" w:ascii="Arial" w:hAnsi="Arial" w:eastAsia="宋体" w:cs="宋体"/>
                <w:bCs/>
                <w:kern w:val="0"/>
                <w:sz w:val="20"/>
                <w:szCs w:val="20"/>
              </w:rPr>
              <w:t>询价</w:t>
            </w:r>
            <w:r>
              <w:rPr>
                <w:rFonts w:hint="eastAsia" w:ascii="Arial" w:hAnsi="Arial" w:eastAsia="宋体" w:cs="宋体"/>
                <w:kern w:val="0"/>
                <w:sz w:val="20"/>
                <w:szCs w:val="20"/>
              </w:rPr>
              <w:t>时点，估</w:t>
            </w:r>
            <w:r>
              <w:rPr>
                <w:rFonts w:hint="eastAsia" w:ascii="Arial" w:hAnsi="Arial" w:eastAsia="宋体" w:cs="宋体"/>
                <w:color w:val="auto"/>
                <w:kern w:val="0"/>
                <w:sz w:val="20"/>
                <w:szCs w:val="20"/>
              </w:rPr>
              <w:t>价对象未设定抵押权他项权利。</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color w:val="auto"/>
                <w:kern w:val="0"/>
                <w:sz w:val="20"/>
                <w:szCs w:val="20"/>
              </w:rPr>
            </w:pPr>
            <w:r>
              <w:rPr>
                <w:rFonts w:hint="eastAsia" w:ascii="Arial" w:hAnsi="Arial" w:eastAsia="宋体" w:cs="宋体"/>
                <w:b/>
                <w:bCs/>
                <w:color w:val="auto"/>
                <w:kern w:val="0"/>
                <w:sz w:val="20"/>
                <w:szCs w:val="20"/>
              </w:rPr>
              <w:t>估价结果</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抵押价值单价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b/>
                <w:bCs/>
                <w:color w:val="auto"/>
                <w:kern w:val="0"/>
                <w:sz w:val="20"/>
                <w:szCs w:val="20"/>
              </w:rPr>
            </w:pPr>
            <w:r>
              <w:rPr>
                <w:rFonts w:hint="eastAsia" w:ascii="Arial" w:hAnsi="Arial" w:eastAsia="宋体" w:cs="宋体"/>
                <w:b/>
                <w:bCs/>
                <w:color w:val="auto"/>
                <w:kern w:val="0"/>
                <w:sz w:val="20"/>
                <w:szCs w:val="20"/>
                <w:lang w:val="en-US" w:eastAsia="zh-CN"/>
              </w:rPr>
              <w:t>28929</w:t>
            </w:r>
            <w:r>
              <w:rPr>
                <w:rFonts w:hint="eastAsia" w:ascii="Arial" w:hAnsi="Arial" w:eastAsia="宋体" w:cs="宋体"/>
                <w:b/>
                <w:bCs/>
                <w:color w:val="auto"/>
                <w:kern w:val="0"/>
                <w:sz w:val="20"/>
                <w:szCs w:val="20"/>
              </w:rPr>
              <w:t>元/平方米</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抵押价值总价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b/>
                <w:bCs/>
                <w:color w:val="auto"/>
                <w:kern w:val="0"/>
                <w:sz w:val="20"/>
                <w:szCs w:val="20"/>
              </w:rPr>
            </w:pPr>
            <w:r>
              <w:rPr>
                <w:rFonts w:hint="eastAsia" w:ascii="Arial" w:hAnsi="Arial" w:eastAsia="宋体" w:cs="宋体"/>
                <w:b/>
                <w:bCs/>
                <w:color w:val="auto"/>
                <w:kern w:val="0"/>
                <w:sz w:val="20"/>
                <w:szCs w:val="20"/>
                <w:lang w:val="en-US" w:eastAsia="zh-CN"/>
              </w:rPr>
              <w:t>964</w:t>
            </w:r>
            <w:r>
              <w:rPr>
                <w:rFonts w:hint="eastAsia" w:ascii="Arial" w:hAnsi="Arial" w:eastAsia="宋体" w:cs="宋体"/>
                <w:b/>
                <w:bCs/>
                <w:color w:val="auto"/>
                <w:kern w:val="0"/>
                <w:sz w:val="20"/>
                <w:szCs w:val="20"/>
              </w:rPr>
              <w:t>万元</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1388" w:type="dxa"/>
            <w:tcBorders>
              <w:top w:val="single" w:color="auto" w:sz="4" w:space="0"/>
              <w:left w:val="nil"/>
              <w:bottom w:val="nil"/>
              <w:right w:val="single" w:color="000000" w:sz="4" w:space="0"/>
            </w:tcBorders>
            <w:shd w:val="clear" w:color="auto" w:fill="auto"/>
            <w:noWrap/>
            <w:vAlign w:val="center"/>
          </w:tcPr>
          <w:p>
            <w:pPr>
              <w:widowControl/>
              <w:spacing w:line="24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大写金额</w:t>
            </w:r>
          </w:p>
        </w:tc>
        <w:tc>
          <w:tcPr>
            <w:tcW w:w="6412" w:type="dxa"/>
            <w:gridSpan w:val="3"/>
            <w:tcBorders>
              <w:top w:val="single" w:color="auto" w:sz="4" w:space="0"/>
              <w:left w:val="nil"/>
              <w:bottom w:val="nil"/>
              <w:right w:val="single" w:color="000000" w:sz="4" w:space="0"/>
            </w:tcBorders>
            <w:shd w:val="clear" w:color="auto" w:fill="auto"/>
            <w:noWrap/>
            <w:vAlign w:val="center"/>
          </w:tcPr>
          <w:p>
            <w:pPr>
              <w:widowControl/>
              <w:spacing w:line="240" w:lineRule="exact"/>
              <w:jc w:val="left"/>
              <w:rPr>
                <w:rFonts w:hint="eastAsia" w:ascii="Arial" w:hAnsi="Arial" w:eastAsia="宋体" w:cs="宋体"/>
                <w:b/>
                <w:bCs/>
                <w:color w:val="auto"/>
                <w:kern w:val="0"/>
                <w:sz w:val="20"/>
                <w:szCs w:val="20"/>
                <w:lang w:val="en-US" w:eastAsia="zh-CN"/>
              </w:rPr>
            </w:pPr>
            <w:r>
              <w:rPr>
                <w:rFonts w:hint="eastAsia" w:ascii="Arial" w:hAnsi="Arial" w:eastAsia="宋体" w:cs="宋体"/>
                <w:b/>
                <w:bCs/>
                <w:color w:val="auto"/>
                <w:kern w:val="0"/>
                <w:sz w:val="20"/>
                <w:szCs w:val="20"/>
                <w:lang w:val="en-US" w:eastAsia="zh-CN"/>
              </w:rPr>
              <w:t>玖佰陆拾肆</w:t>
            </w:r>
            <w:r>
              <w:rPr>
                <w:rFonts w:hint="eastAsia" w:ascii="Arial" w:hAnsi="Arial" w:eastAsia="宋体" w:cs="宋体"/>
                <w:b/>
                <w:bCs/>
                <w:color w:val="auto"/>
                <w:kern w:val="0"/>
                <w:sz w:val="20"/>
                <w:szCs w:val="20"/>
              </w:rPr>
              <w:t>万</w:t>
            </w:r>
            <w:r>
              <w:rPr>
                <w:rFonts w:hint="eastAsia" w:ascii="Arial" w:hAnsi="Arial" w:eastAsia="宋体" w:cs="宋体"/>
                <w:b/>
                <w:bCs/>
                <w:color w:val="auto"/>
                <w:kern w:val="0"/>
                <w:sz w:val="20"/>
                <w:szCs w:val="20"/>
                <w:lang w:val="en-US" w:eastAsia="zh-CN"/>
              </w:rPr>
              <w:t>元整</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color w:val="auto"/>
                <w:kern w:val="0"/>
                <w:sz w:val="20"/>
                <w:szCs w:val="20"/>
              </w:rPr>
            </w:pPr>
            <w:r>
              <w:rPr>
                <w:rFonts w:hint="eastAsia" w:ascii="Arial" w:hAnsi="Arial" w:eastAsia="宋体" w:cs="宋体"/>
                <w:b/>
                <w:bCs/>
                <w:color w:val="auto"/>
                <w:kern w:val="0"/>
                <w:sz w:val="20"/>
                <w:szCs w:val="20"/>
              </w:rPr>
              <w:t>有关说明</w:t>
            </w:r>
          </w:p>
        </w:tc>
        <w:tc>
          <w:tcPr>
            <w:tcW w:w="7800" w:type="dxa"/>
            <w:gridSpan w:val="4"/>
            <w:tcBorders>
              <w:top w:val="single" w:color="auto" w:sz="4" w:space="0"/>
              <w:left w:val="nil"/>
              <w:bottom w:val="nil"/>
              <w:right w:val="single" w:color="000000" w:sz="4" w:space="0"/>
            </w:tcBorders>
            <w:shd w:val="clear" w:color="auto" w:fill="auto"/>
            <w:vAlign w:val="center"/>
          </w:tcPr>
          <w:p>
            <w:pPr>
              <w:widowControl/>
              <w:spacing w:line="30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1、本次复估单所依据的资料由估价委托人提供，估价人员未对其权属资料的真实性、完整性、准确性进行核验，如实际情况与之不符，估价结果需做相应调整。</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2、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3、本次复估未对估价对象进行实地勘查，若实际情况与估价委托人提供的信息有所差异时，会对估价结果产生影响，相关数据会发生变化，估价结果需做相应调整。</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4、若改变估价目的、价值时点、估价假设前提及使用条件，估价结果亦会发生变化，需向本估价机构咨询后重新出具复估单。由此对复估单使用人造成的损失，估价机构不承担任何责任。</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color w:val="auto"/>
                <w:kern w:val="0"/>
                <w:sz w:val="20"/>
                <w:szCs w:val="20"/>
              </w:rPr>
            </w:pPr>
          </w:p>
        </w:tc>
        <w:tc>
          <w:tcPr>
            <w:tcW w:w="7800" w:type="dxa"/>
            <w:gridSpan w:val="4"/>
            <w:tcBorders>
              <w:top w:val="nil"/>
              <w:left w:val="nil"/>
              <w:bottom w:val="single" w:color="auto" w:sz="4" w:space="0"/>
              <w:right w:val="single" w:color="000000" w:sz="4" w:space="0"/>
            </w:tcBorders>
            <w:shd w:val="clear" w:color="auto" w:fill="auto"/>
            <w:vAlign w:val="center"/>
          </w:tcPr>
          <w:p>
            <w:pPr>
              <w:widowControl/>
              <w:spacing w:line="30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5、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color w:val="auto"/>
                <w:kern w:val="0"/>
                <w:sz w:val="20"/>
                <w:szCs w:val="20"/>
              </w:rPr>
            </w:pPr>
            <w:r>
              <w:rPr>
                <w:rFonts w:hint="eastAsia" w:ascii="Arial" w:hAnsi="Arial" w:eastAsia="宋体" w:cs="宋体"/>
                <w:b/>
                <w:color w:val="auto"/>
                <w:kern w:val="0"/>
                <w:sz w:val="20"/>
                <w:szCs w:val="20"/>
              </w:rPr>
              <w:t>复估有效期</w:t>
            </w:r>
          </w:p>
        </w:tc>
        <w:tc>
          <w:tcPr>
            <w:tcW w:w="7800" w:type="dxa"/>
            <w:gridSpan w:val="4"/>
            <w:tcBorders>
              <w:top w:val="nil"/>
              <w:left w:val="nil"/>
              <w:bottom w:val="single" w:color="auto" w:sz="4" w:space="0"/>
              <w:right w:val="single" w:color="000000" w:sz="4" w:space="0"/>
            </w:tcBorders>
            <w:shd w:val="clear" w:color="auto" w:fill="auto"/>
            <w:vAlign w:val="center"/>
          </w:tcPr>
          <w:p>
            <w:pPr>
              <w:widowControl/>
              <w:spacing w:line="30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本复估单自出具之日起</w:t>
            </w:r>
            <w:r>
              <w:rPr>
                <w:rFonts w:hint="eastAsia" w:ascii="Arial" w:hAnsi="Arial" w:eastAsia="宋体" w:cs="宋体"/>
                <w:b/>
                <w:bCs/>
                <w:color w:val="auto"/>
                <w:kern w:val="0"/>
                <w:sz w:val="20"/>
                <w:szCs w:val="20"/>
              </w:rPr>
              <w:t>壹年</w:t>
            </w:r>
            <w:r>
              <w:rPr>
                <w:rFonts w:hint="eastAsia" w:ascii="Arial" w:hAnsi="Arial" w:eastAsia="宋体" w:cs="宋体"/>
                <w:color w:val="auto"/>
                <w:kern w:val="0"/>
                <w:sz w:val="20"/>
                <w:szCs w:val="20"/>
              </w:rPr>
              <w:t>内有效，但在此期间市场变化较快或国家经济、城市规划、相关税费和银行利率发生变化，应重新评估。</w:t>
            </w:r>
          </w:p>
        </w:tc>
      </w:tr>
    </w:tbl>
    <w:p>
      <w:pPr>
        <w:rPr>
          <w:rFonts w:ascii="Arial" w:hAnsi="Arial"/>
          <w:color w:val="auto"/>
        </w:rPr>
      </w:pPr>
    </w:p>
    <w:p>
      <w:pPr>
        <w:jc w:val="right"/>
        <w:rPr>
          <w:rFonts w:ascii="Arial" w:hAnsi="Arial"/>
          <w:color w:val="auto"/>
        </w:rPr>
      </w:pPr>
      <w:r>
        <w:rPr>
          <w:rFonts w:hint="eastAsia" w:ascii="Arial" w:hAnsi="Arial" w:eastAsia="宋体" w:cs="宋体"/>
          <w:color w:val="auto"/>
          <w:kern w:val="0"/>
          <w:sz w:val="20"/>
          <w:szCs w:val="20"/>
        </w:rPr>
        <w:t>北京康正宏基房地产评估有限公司</w:t>
      </w:r>
    </w:p>
    <w:p>
      <w:pPr>
        <w:jc w:val="right"/>
        <w:rPr>
          <w:rFonts w:hint="eastAsia"/>
          <w:color w:val="auto"/>
        </w:rPr>
      </w:pPr>
      <w:r>
        <w:rPr>
          <w:rFonts w:hint="eastAsia" w:ascii="Arial" w:hAnsi="Arial" w:eastAsia="宋体" w:cs="宋体"/>
          <w:color w:val="auto"/>
          <w:kern w:val="0"/>
          <w:sz w:val="20"/>
          <w:szCs w:val="20"/>
        </w:rPr>
        <w:t>二○二</w:t>
      </w:r>
      <w:r>
        <w:rPr>
          <w:rFonts w:hint="eastAsia" w:ascii="Arial" w:hAnsi="Arial" w:eastAsia="宋体" w:cs="宋体"/>
          <w:color w:val="auto"/>
          <w:kern w:val="0"/>
          <w:sz w:val="20"/>
          <w:szCs w:val="20"/>
          <w:lang w:val="en-US" w:eastAsia="zh-CN"/>
        </w:rPr>
        <w:t>四</w:t>
      </w:r>
      <w:r>
        <w:rPr>
          <w:rFonts w:hint="eastAsia" w:ascii="Arial" w:hAnsi="Arial" w:eastAsia="宋体" w:cs="宋体"/>
          <w:color w:val="auto"/>
          <w:kern w:val="0"/>
          <w:sz w:val="20"/>
          <w:szCs w:val="20"/>
        </w:rPr>
        <w:t>年</w:t>
      </w:r>
      <w:r>
        <w:rPr>
          <w:rFonts w:hint="eastAsia" w:ascii="Arial" w:hAnsi="Arial" w:eastAsia="宋体" w:cs="宋体"/>
          <w:color w:val="auto"/>
          <w:kern w:val="0"/>
          <w:sz w:val="20"/>
          <w:szCs w:val="20"/>
          <w:lang w:val="en-US" w:eastAsia="zh-CN"/>
        </w:rPr>
        <w:t>六</w:t>
      </w:r>
      <w:r>
        <w:rPr>
          <w:rFonts w:hint="eastAsia" w:ascii="Arial" w:hAnsi="Arial" w:eastAsia="宋体" w:cs="宋体"/>
          <w:color w:val="auto"/>
          <w:kern w:val="0"/>
          <w:sz w:val="20"/>
          <w:szCs w:val="20"/>
        </w:rPr>
        <w:t>月</w:t>
      </w:r>
      <w:r>
        <w:rPr>
          <w:rFonts w:hint="eastAsia" w:ascii="Arial" w:hAnsi="Arial" w:eastAsia="宋体" w:cs="宋体"/>
          <w:color w:val="auto"/>
          <w:kern w:val="0"/>
          <w:sz w:val="20"/>
          <w:szCs w:val="20"/>
          <w:lang w:val="en-US" w:eastAsia="zh-CN"/>
        </w:rPr>
        <w:t>十八</w:t>
      </w:r>
      <w:r>
        <w:rPr>
          <w:rFonts w:hint="eastAsia" w:ascii="宋体" w:hAnsi="宋体" w:eastAsia="宋体" w:cs="宋体"/>
          <w:color w:val="auto"/>
          <w:kern w:val="0"/>
          <w:sz w:val="20"/>
          <w:szCs w:val="20"/>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BF20BE"/>
    <w:rsid w:val="0046333F"/>
    <w:rsid w:val="007203D6"/>
    <w:rsid w:val="00795B85"/>
    <w:rsid w:val="00863392"/>
    <w:rsid w:val="00876164"/>
    <w:rsid w:val="00A92DEB"/>
    <w:rsid w:val="00BF20BE"/>
    <w:rsid w:val="00E95130"/>
    <w:rsid w:val="406E4E0C"/>
    <w:rsid w:val="6FF6194F"/>
    <w:rsid w:val="7497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874</Words>
  <Characters>913</Characters>
  <Lines>7</Lines>
  <Paragraphs>2</Paragraphs>
  <TotalTime>5</TotalTime>
  <ScaleCrop>false</ScaleCrop>
  <LinksUpToDate>false</LinksUpToDate>
  <CharactersWithSpaces>913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2023-09-01T05:04:00Z</dcterms:created>
  <dc:creator>崔锴</dc:creator>
  <cp:lastModifiedBy>win10G</cp:lastModifiedBy>
  <dcterms:modified xsi:type="dcterms:W3CDTF">2024-06-18T05:24:18Z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C13EDFA3F1304E14887EEA68CDD07533_12</vt:lpwstr>
  </property>
</Properties>
</file>