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13F" w:rsidRPr="007E413F" w:rsidRDefault="007E413F" w:rsidP="007E413F">
      <w:pPr>
        <w:jc w:val="center"/>
        <w:rPr>
          <w:rFonts w:ascii="Arial Narrow" w:eastAsia="宋体" w:hAnsi="Arial Narrow"/>
          <w:sz w:val="28"/>
          <w:szCs w:val="28"/>
        </w:rPr>
      </w:pPr>
      <w:r w:rsidRPr="007E413F">
        <w:rPr>
          <w:rFonts w:ascii="Arial Narrow" w:eastAsia="宋体" w:hAnsi="Arial Narrow"/>
          <w:sz w:val="28"/>
          <w:szCs w:val="28"/>
        </w:rPr>
        <w:t>华商储备商品管理中心有限公司</w:t>
      </w:r>
    </w:p>
    <w:p w:rsidR="007E413F" w:rsidRPr="007E413F" w:rsidRDefault="007E413F" w:rsidP="007E413F">
      <w:pPr>
        <w:jc w:val="center"/>
        <w:rPr>
          <w:rFonts w:ascii="Arial Narrow" w:eastAsia="宋体" w:hAnsi="Arial Narrow"/>
          <w:sz w:val="28"/>
          <w:szCs w:val="28"/>
        </w:rPr>
      </w:pPr>
      <w:r w:rsidRPr="007E413F">
        <w:rPr>
          <w:rFonts w:ascii="Arial Narrow" w:eastAsia="宋体" w:hAnsi="Arial Narrow"/>
          <w:sz w:val="28"/>
          <w:szCs w:val="28"/>
        </w:rPr>
        <w:t>写字楼租金项目审核意见</w:t>
      </w:r>
    </w:p>
    <w:p w:rsidR="007E413F" w:rsidRPr="007E413F" w:rsidRDefault="007E413F">
      <w:pPr>
        <w:rPr>
          <w:rFonts w:ascii="Arial Narrow" w:eastAsia="宋体" w:hAnsi="Arial Narrow"/>
          <w:sz w:val="28"/>
          <w:szCs w:val="28"/>
        </w:rPr>
      </w:pPr>
    </w:p>
    <w:p w:rsidR="00944C66"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1</w:t>
      </w:r>
      <w:r>
        <w:rPr>
          <w:rFonts w:ascii="Arial Narrow" w:eastAsia="宋体" w:hAnsi="Arial Narrow" w:hint="eastAsia"/>
          <w:sz w:val="28"/>
          <w:szCs w:val="28"/>
        </w:rPr>
        <w:t>、</w:t>
      </w:r>
      <w:r w:rsidR="000F7FC9" w:rsidRPr="007E413F">
        <w:rPr>
          <w:rFonts w:ascii="Arial Narrow" w:eastAsia="宋体" w:hAnsi="Arial Narrow"/>
          <w:sz w:val="28"/>
          <w:szCs w:val="28"/>
        </w:rPr>
        <w:t>市场法计算中说明</w:t>
      </w:r>
      <w:proofErr w:type="gramStart"/>
      <w:r w:rsidR="000F7FC9" w:rsidRPr="007E413F">
        <w:rPr>
          <w:rFonts w:ascii="Arial Narrow" w:eastAsia="宋体" w:hAnsi="Arial Narrow"/>
          <w:sz w:val="28"/>
          <w:szCs w:val="28"/>
        </w:rPr>
        <w:t>待估对象</w:t>
      </w:r>
      <w:proofErr w:type="gramEnd"/>
      <w:r w:rsidR="000F7FC9" w:rsidRPr="007E413F">
        <w:rPr>
          <w:rFonts w:ascii="Arial Narrow" w:eastAsia="宋体" w:hAnsi="Arial Narrow"/>
          <w:sz w:val="28"/>
          <w:szCs w:val="28"/>
        </w:rPr>
        <w:t>土地年期一致，实物状况描述无重大差差异情况下，成新率修正如何确认</w:t>
      </w:r>
      <w:r w:rsidR="000F7FC9" w:rsidRPr="007E413F">
        <w:rPr>
          <w:rFonts w:ascii="Arial Narrow" w:eastAsia="宋体" w:hAnsi="Arial Narrow"/>
          <w:sz w:val="28"/>
          <w:szCs w:val="28"/>
        </w:rPr>
        <w:t>5%</w:t>
      </w:r>
      <w:r w:rsidR="000F7FC9" w:rsidRPr="007E413F">
        <w:rPr>
          <w:rFonts w:ascii="Arial Narrow" w:eastAsia="宋体" w:hAnsi="Arial Narrow"/>
          <w:sz w:val="28"/>
          <w:szCs w:val="28"/>
        </w:rPr>
        <w:t>差异。</w:t>
      </w:r>
    </w:p>
    <w:p w:rsidR="00687590" w:rsidRPr="00687590" w:rsidRDefault="00687590"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FE0C75">
        <w:rPr>
          <w:rFonts w:ascii="Arial Narrow" w:eastAsia="宋体" w:hAnsi="Arial Narrow" w:hint="eastAsia"/>
          <w:sz w:val="28"/>
          <w:szCs w:val="28"/>
        </w:rPr>
        <w:t>评估</w:t>
      </w:r>
      <w:r>
        <w:rPr>
          <w:rFonts w:ascii="Arial Narrow" w:eastAsia="宋体" w:hAnsi="Arial Narrow" w:hint="eastAsia"/>
          <w:sz w:val="28"/>
          <w:szCs w:val="28"/>
        </w:rPr>
        <w:t>对象直线成新为</w:t>
      </w:r>
      <w:r>
        <w:rPr>
          <w:rFonts w:ascii="Arial Narrow" w:eastAsia="宋体" w:hAnsi="Arial Narrow" w:hint="eastAsia"/>
          <w:sz w:val="28"/>
          <w:szCs w:val="28"/>
        </w:rPr>
        <w:t>70%</w:t>
      </w:r>
      <w:r>
        <w:rPr>
          <w:rFonts w:ascii="Arial Narrow" w:eastAsia="宋体" w:hAnsi="Arial Narrow" w:hint="eastAsia"/>
          <w:sz w:val="28"/>
          <w:szCs w:val="28"/>
        </w:rPr>
        <w:t>，观察成新为</w:t>
      </w:r>
      <w:r>
        <w:rPr>
          <w:rFonts w:ascii="Arial Narrow" w:eastAsia="宋体" w:hAnsi="Arial Narrow" w:hint="eastAsia"/>
          <w:sz w:val="28"/>
          <w:szCs w:val="28"/>
        </w:rPr>
        <w:t>80%</w:t>
      </w:r>
      <w:r>
        <w:rPr>
          <w:rFonts w:ascii="Arial Narrow" w:eastAsia="宋体" w:hAnsi="Arial Narrow" w:hint="eastAsia"/>
          <w:sz w:val="28"/>
          <w:szCs w:val="28"/>
        </w:rPr>
        <w:t>，综合成新率为</w:t>
      </w:r>
      <w:r>
        <w:rPr>
          <w:rFonts w:ascii="Arial Narrow" w:eastAsia="宋体" w:hAnsi="Arial Narrow" w:hint="eastAsia"/>
          <w:sz w:val="28"/>
          <w:szCs w:val="28"/>
        </w:rPr>
        <w:t>75%</w:t>
      </w:r>
      <w:r>
        <w:rPr>
          <w:rFonts w:ascii="Arial Narrow" w:eastAsia="宋体" w:hAnsi="Arial Narrow" w:hint="eastAsia"/>
          <w:sz w:val="28"/>
          <w:szCs w:val="28"/>
        </w:rPr>
        <w:t>，虽然土地年期一致，但可比对象实际建成时间还是存在差异，且</w:t>
      </w:r>
      <w:r w:rsidR="00B655A2">
        <w:rPr>
          <w:rFonts w:ascii="Arial Narrow" w:eastAsia="宋体" w:hAnsi="Arial Narrow" w:hint="eastAsia"/>
          <w:sz w:val="28"/>
          <w:szCs w:val="28"/>
        </w:rPr>
        <w:t>估价对象</w:t>
      </w:r>
      <w:r>
        <w:rPr>
          <w:rFonts w:ascii="Arial Narrow" w:eastAsia="宋体" w:hAnsi="Arial Narrow" w:hint="eastAsia"/>
          <w:sz w:val="28"/>
          <w:szCs w:val="28"/>
        </w:rPr>
        <w:t>观察成新</w:t>
      </w:r>
      <w:r w:rsidR="00B655A2">
        <w:rPr>
          <w:rFonts w:ascii="Arial Narrow" w:eastAsia="宋体" w:hAnsi="Arial Narrow" w:hint="eastAsia"/>
          <w:sz w:val="28"/>
          <w:szCs w:val="28"/>
        </w:rPr>
        <w:t>低。</w:t>
      </w:r>
    </w:p>
    <w:p w:rsidR="000F7FC9"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2</w:t>
      </w:r>
      <w:r>
        <w:rPr>
          <w:rFonts w:ascii="Arial Narrow" w:eastAsia="宋体" w:hAnsi="Arial Narrow" w:hint="eastAsia"/>
          <w:sz w:val="28"/>
          <w:szCs w:val="28"/>
        </w:rPr>
        <w:t>、</w:t>
      </w:r>
      <w:r w:rsidR="000F7FC9" w:rsidRPr="007E413F">
        <w:rPr>
          <w:rFonts w:ascii="Arial Narrow" w:eastAsia="宋体" w:hAnsi="Arial Narrow"/>
          <w:sz w:val="28"/>
          <w:szCs w:val="28"/>
        </w:rPr>
        <w:t>说明本次</w:t>
      </w:r>
      <w:proofErr w:type="gramStart"/>
      <w:r w:rsidR="000F7FC9" w:rsidRPr="007E413F">
        <w:rPr>
          <w:rFonts w:ascii="Arial Narrow" w:eastAsia="宋体" w:hAnsi="Arial Narrow"/>
          <w:sz w:val="28"/>
          <w:szCs w:val="28"/>
        </w:rPr>
        <w:t>待估对象</w:t>
      </w:r>
      <w:proofErr w:type="gramEnd"/>
      <w:r w:rsidR="000F7FC9" w:rsidRPr="007E413F">
        <w:rPr>
          <w:rFonts w:ascii="Arial Narrow" w:eastAsia="宋体" w:hAnsi="Arial Narrow"/>
          <w:sz w:val="28"/>
          <w:szCs w:val="28"/>
        </w:rPr>
        <w:t>与可比案例对比中，收益法建筑面积越大，租金越高、市场法建筑面积越大租金越低的合理性分析</w:t>
      </w:r>
    </w:p>
    <w:p w:rsidR="00EB59BA" w:rsidRPr="007E413F" w:rsidRDefault="00EB59BA"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Pr="00B655A2">
        <w:rPr>
          <w:rFonts w:ascii="Arial Narrow" w:eastAsia="宋体" w:hAnsi="Arial Narrow" w:hint="eastAsia"/>
          <w:sz w:val="28"/>
          <w:szCs w:val="28"/>
          <w:highlight w:val="yellow"/>
        </w:rPr>
        <w:t>建筑面积租金水平是以</w:t>
      </w:r>
      <w:r w:rsidRPr="00B655A2">
        <w:rPr>
          <w:rFonts w:ascii="Arial Narrow" w:eastAsia="宋体" w:hAnsi="Arial Narrow" w:hint="eastAsia"/>
          <w:sz w:val="28"/>
          <w:szCs w:val="28"/>
          <w:highlight w:val="yellow"/>
        </w:rPr>
        <w:t>300-500</w:t>
      </w:r>
      <w:r w:rsidRPr="00B655A2">
        <w:rPr>
          <w:rFonts w:ascii="Arial Narrow" w:eastAsia="宋体" w:hAnsi="Arial Narrow" w:hint="eastAsia"/>
          <w:sz w:val="28"/>
          <w:szCs w:val="28"/>
          <w:highlight w:val="yellow"/>
        </w:rPr>
        <w:t>平方米为基准，向上向下修正，修正区间为</w:t>
      </w:r>
      <w:r w:rsidRPr="00B655A2">
        <w:rPr>
          <w:rFonts w:ascii="Arial Narrow" w:eastAsia="宋体" w:hAnsi="Arial Narrow" w:hint="eastAsia"/>
          <w:sz w:val="28"/>
          <w:szCs w:val="28"/>
          <w:highlight w:val="yellow"/>
        </w:rPr>
        <w:t>300</w:t>
      </w:r>
      <w:r w:rsidRPr="00B655A2">
        <w:rPr>
          <w:rFonts w:ascii="Arial Narrow" w:eastAsia="宋体" w:hAnsi="Arial Narrow" w:hint="eastAsia"/>
          <w:sz w:val="28"/>
          <w:szCs w:val="28"/>
          <w:highlight w:val="yellow"/>
        </w:rPr>
        <w:t>（含）</w:t>
      </w:r>
      <w:r w:rsidRPr="00B655A2">
        <w:rPr>
          <w:rFonts w:ascii="Arial Narrow" w:eastAsia="宋体" w:hAnsi="Arial Narrow" w:hint="eastAsia"/>
          <w:sz w:val="28"/>
          <w:szCs w:val="28"/>
          <w:highlight w:val="yellow"/>
        </w:rPr>
        <w:t>-500</w:t>
      </w:r>
      <w:r w:rsidR="00687590" w:rsidRPr="00B655A2">
        <w:rPr>
          <w:rFonts w:ascii="Arial Narrow" w:eastAsia="宋体" w:hAnsi="Arial Narrow" w:hint="eastAsia"/>
          <w:sz w:val="28"/>
          <w:szCs w:val="28"/>
          <w:highlight w:val="yellow"/>
        </w:rPr>
        <w:t>、</w:t>
      </w:r>
      <w:r w:rsidR="00687590" w:rsidRPr="00B655A2">
        <w:rPr>
          <w:rFonts w:ascii="Arial Narrow" w:eastAsia="宋体" w:hAnsi="Arial Narrow" w:hint="eastAsia"/>
          <w:sz w:val="28"/>
          <w:szCs w:val="28"/>
          <w:highlight w:val="yellow"/>
        </w:rPr>
        <w:t>100</w:t>
      </w:r>
      <w:r w:rsidR="00687590" w:rsidRPr="00B655A2">
        <w:rPr>
          <w:rFonts w:ascii="Arial Narrow" w:eastAsia="宋体" w:hAnsi="Arial Narrow" w:hint="eastAsia"/>
          <w:sz w:val="28"/>
          <w:szCs w:val="28"/>
          <w:highlight w:val="yellow"/>
        </w:rPr>
        <w:t>（含）</w:t>
      </w:r>
      <w:r w:rsidR="00687590" w:rsidRPr="00B655A2">
        <w:rPr>
          <w:rFonts w:ascii="Arial Narrow" w:eastAsia="宋体" w:hAnsi="Arial Narrow" w:hint="eastAsia"/>
          <w:sz w:val="28"/>
          <w:szCs w:val="28"/>
          <w:highlight w:val="yellow"/>
        </w:rPr>
        <w:t>-300</w:t>
      </w:r>
      <w:r w:rsidR="00687590" w:rsidRPr="00B655A2">
        <w:rPr>
          <w:rFonts w:ascii="Arial Narrow" w:eastAsia="宋体" w:hAnsi="Arial Narrow" w:hint="eastAsia"/>
          <w:sz w:val="28"/>
          <w:szCs w:val="28"/>
          <w:highlight w:val="yellow"/>
        </w:rPr>
        <w:t>或</w:t>
      </w:r>
      <w:r w:rsidR="00687590" w:rsidRPr="00B655A2">
        <w:rPr>
          <w:rFonts w:ascii="Arial Narrow" w:eastAsia="宋体" w:hAnsi="Arial Narrow" w:hint="eastAsia"/>
          <w:sz w:val="28"/>
          <w:szCs w:val="28"/>
          <w:highlight w:val="yellow"/>
        </w:rPr>
        <w:t>500</w:t>
      </w:r>
      <w:r w:rsidR="00687590" w:rsidRPr="00B655A2">
        <w:rPr>
          <w:rFonts w:ascii="Arial Narrow" w:eastAsia="宋体" w:hAnsi="Arial Narrow" w:hint="eastAsia"/>
          <w:sz w:val="28"/>
          <w:szCs w:val="28"/>
          <w:highlight w:val="yellow"/>
        </w:rPr>
        <w:t>（含）</w:t>
      </w:r>
      <w:r w:rsidR="00687590" w:rsidRPr="00B655A2">
        <w:rPr>
          <w:rFonts w:ascii="Arial Narrow" w:eastAsia="宋体" w:hAnsi="Arial Narrow" w:hint="eastAsia"/>
          <w:sz w:val="28"/>
          <w:szCs w:val="28"/>
          <w:highlight w:val="yellow"/>
        </w:rPr>
        <w:t>-800</w:t>
      </w:r>
      <w:r w:rsidR="00687590" w:rsidRPr="00B655A2">
        <w:rPr>
          <w:rFonts w:ascii="Arial Narrow" w:eastAsia="宋体" w:hAnsi="Arial Narrow" w:hint="eastAsia"/>
          <w:sz w:val="28"/>
          <w:szCs w:val="28"/>
          <w:highlight w:val="yellow"/>
        </w:rPr>
        <w:t>、</w:t>
      </w:r>
      <w:r w:rsidR="00687590" w:rsidRPr="00B655A2">
        <w:rPr>
          <w:rFonts w:ascii="Arial Narrow" w:eastAsia="宋体" w:hAnsi="Arial Narrow" w:hint="eastAsia"/>
          <w:sz w:val="28"/>
          <w:szCs w:val="28"/>
          <w:highlight w:val="yellow"/>
        </w:rPr>
        <w:t>0</w:t>
      </w:r>
      <w:r w:rsidR="00687590" w:rsidRPr="00B655A2">
        <w:rPr>
          <w:rFonts w:ascii="Arial Narrow" w:eastAsia="宋体" w:hAnsi="Arial Narrow" w:hint="eastAsia"/>
          <w:sz w:val="28"/>
          <w:szCs w:val="28"/>
          <w:highlight w:val="yellow"/>
        </w:rPr>
        <w:t>（含）</w:t>
      </w:r>
      <w:r w:rsidR="00687590" w:rsidRPr="00B655A2">
        <w:rPr>
          <w:rFonts w:ascii="Arial Narrow" w:eastAsia="宋体" w:hAnsi="Arial Narrow" w:hint="eastAsia"/>
          <w:sz w:val="28"/>
          <w:szCs w:val="28"/>
          <w:highlight w:val="yellow"/>
        </w:rPr>
        <w:t>-100</w:t>
      </w:r>
      <w:r w:rsidR="00687590" w:rsidRPr="00B655A2">
        <w:rPr>
          <w:rFonts w:ascii="Arial Narrow" w:eastAsia="宋体" w:hAnsi="Arial Narrow" w:hint="eastAsia"/>
          <w:sz w:val="28"/>
          <w:szCs w:val="28"/>
          <w:highlight w:val="yellow"/>
        </w:rPr>
        <w:t>或</w:t>
      </w:r>
      <w:r w:rsidR="00687590" w:rsidRPr="00B655A2">
        <w:rPr>
          <w:rFonts w:ascii="Arial Narrow" w:eastAsia="宋体" w:hAnsi="Arial Narrow" w:hint="eastAsia"/>
          <w:sz w:val="28"/>
          <w:szCs w:val="28"/>
          <w:highlight w:val="yellow"/>
        </w:rPr>
        <w:t>800</w:t>
      </w:r>
      <w:r w:rsidR="00687590" w:rsidRPr="00B655A2">
        <w:rPr>
          <w:rFonts w:ascii="Arial Narrow" w:eastAsia="宋体" w:hAnsi="Arial Narrow" w:hint="eastAsia"/>
          <w:sz w:val="28"/>
          <w:szCs w:val="28"/>
          <w:highlight w:val="yellow"/>
        </w:rPr>
        <w:t>（含）</w:t>
      </w:r>
      <w:r w:rsidR="00687590" w:rsidRPr="00B655A2">
        <w:rPr>
          <w:rFonts w:ascii="Arial Narrow" w:eastAsia="宋体" w:hAnsi="Arial Narrow" w:hint="eastAsia"/>
          <w:sz w:val="28"/>
          <w:szCs w:val="28"/>
          <w:highlight w:val="yellow"/>
        </w:rPr>
        <w:t>-1000</w:t>
      </w:r>
      <w:r w:rsidR="00687590" w:rsidRPr="00B655A2">
        <w:rPr>
          <w:rFonts w:ascii="Arial Narrow" w:eastAsia="宋体" w:hAnsi="Arial Narrow" w:hint="eastAsia"/>
          <w:sz w:val="28"/>
          <w:szCs w:val="28"/>
          <w:highlight w:val="yellow"/>
        </w:rPr>
        <w:t>、</w:t>
      </w:r>
      <w:r w:rsidR="00687590" w:rsidRPr="00B655A2">
        <w:rPr>
          <w:rFonts w:ascii="Arial Narrow" w:eastAsia="宋体" w:hAnsi="Arial Narrow" w:hint="eastAsia"/>
          <w:sz w:val="28"/>
          <w:szCs w:val="28"/>
          <w:highlight w:val="yellow"/>
        </w:rPr>
        <w:t>1000</w:t>
      </w:r>
      <w:r w:rsidR="00687590" w:rsidRPr="00B655A2">
        <w:rPr>
          <w:rFonts w:ascii="Arial Narrow" w:eastAsia="宋体" w:hAnsi="Arial Narrow" w:hint="eastAsia"/>
          <w:sz w:val="28"/>
          <w:szCs w:val="28"/>
          <w:highlight w:val="yellow"/>
        </w:rPr>
        <w:t>（含）</w:t>
      </w:r>
      <w:r w:rsidR="00687590" w:rsidRPr="00B655A2">
        <w:rPr>
          <w:rFonts w:ascii="Arial Narrow" w:eastAsia="宋体" w:hAnsi="Arial Narrow" w:hint="eastAsia"/>
          <w:sz w:val="28"/>
          <w:szCs w:val="28"/>
          <w:highlight w:val="yellow"/>
        </w:rPr>
        <w:t>-1500</w:t>
      </w:r>
      <w:r w:rsidR="00687590" w:rsidRPr="00B655A2">
        <w:rPr>
          <w:rFonts w:ascii="Arial Narrow" w:eastAsia="宋体" w:hAnsi="Arial Narrow" w:hint="eastAsia"/>
          <w:sz w:val="28"/>
          <w:szCs w:val="28"/>
          <w:highlight w:val="yellow"/>
        </w:rPr>
        <w:t>，修正系数为</w:t>
      </w:r>
      <w:r w:rsidR="00687590" w:rsidRPr="00B655A2">
        <w:rPr>
          <w:rFonts w:ascii="Arial Narrow" w:eastAsia="宋体" w:hAnsi="Arial Narrow" w:hint="eastAsia"/>
          <w:sz w:val="28"/>
          <w:szCs w:val="28"/>
          <w:highlight w:val="yellow"/>
        </w:rPr>
        <w:t>100</w:t>
      </w:r>
      <w:r w:rsidR="00687590" w:rsidRPr="00B655A2">
        <w:rPr>
          <w:rFonts w:ascii="Arial Narrow" w:eastAsia="宋体" w:hAnsi="Arial Narrow" w:hint="eastAsia"/>
          <w:sz w:val="28"/>
          <w:szCs w:val="28"/>
          <w:highlight w:val="yellow"/>
        </w:rPr>
        <w:t>、</w:t>
      </w:r>
      <w:r w:rsidR="00687590" w:rsidRPr="00B655A2">
        <w:rPr>
          <w:rFonts w:ascii="Arial Narrow" w:eastAsia="宋体" w:hAnsi="Arial Narrow" w:hint="eastAsia"/>
          <w:sz w:val="28"/>
          <w:szCs w:val="28"/>
          <w:highlight w:val="yellow"/>
        </w:rPr>
        <w:t>99</w:t>
      </w:r>
      <w:r w:rsidR="00687590" w:rsidRPr="00B655A2">
        <w:rPr>
          <w:rFonts w:ascii="Arial Narrow" w:eastAsia="宋体" w:hAnsi="Arial Narrow" w:hint="eastAsia"/>
          <w:sz w:val="28"/>
          <w:szCs w:val="28"/>
          <w:highlight w:val="yellow"/>
        </w:rPr>
        <w:t>、</w:t>
      </w:r>
      <w:r w:rsidR="00687590" w:rsidRPr="00B655A2">
        <w:rPr>
          <w:rFonts w:ascii="Arial Narrow" w:eastAsia="宋体" w:hAnsi="Arial Narrow" w:hint="eastAsia"/>
          <w:sz w:val="28"/>
          <w:szCs w:val="28"/>
          <w:highlight w:val="yellow"/>
        </w:rPr>
        <w:t>98</w:t>
      </w:r>
      <w:r w:rsidR="00687590" w:rsidRPr="00B655A2">
        <w:rPr>
          <w:rFonts w:ascii="Arial Narrow" w:eastAsia="宋体" w:hAnsi="Arial Narrow" w:hint="eastAsia"/>
          <w:sz w:val="28"/>
          <w:szCs w:val="28"/>
          <w:highlight w:val="yellow"/>
        </w:rPr>
        <w:t>、</w:t>
      </w:r>
      <w:r w:rsidR="00687590" w:rsidRPr="00B655A2">
        <w:rPr>
          <w:rFonts w:ascii="Arial Narrow" w:eastAsia="宋体" w:hAnsi="Arial Narrow" w:hint="eastAsia"/>
          <w:sz w:val="28"/>
          <w:szCs w:val="28"/>
          <w:highlight w:val="yellow"/>
        </w:rPr>
        <w:t>97</w:t>
      </w:r>
    </w:p>
    <w:p w:rsidR="000F7FC9"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3</w:t>
      </w:r>
      <w:r>
        <w:rPr>
          <w:rFonts w:ascii="Arial Narrow" w:eastAsia="宋体" w:hAnsi="Arial Narrow" w:hint="eastAsia"/>
          <w:sz w:val="28"/>
          <w:szCs w:val="28"/>
        </w:rPr>
        <w:t>、</w:t>
      </w:r>
      <w:r w:rsidR="000F7FC9" w:rsidRPr="007E413F">
        <w:rPr>
          <w:rFonts w:ascii="Arial Narrow" w:eastAsia="宋体" w:hAnsi="Arial Narrow"/>
          <w:sz w:val="28"/>
          <w:szCs w:val="28"/>
        </w:rPr>
        <w:t>说明物业管理</w:t>
      </w:r>
      <w:r>
        <w:rPr>
          <w:rFonts w:ascii="Arial Narrow" w:eastAsia="宋体" w:hAnsi="Arial Narrow" w:hint="eastAsia"/>
          <w:sz w:val="28"/>
          <w:szCs w:val="28"/>
        </w:rPr>
        <w:t>因素</w:t>
      </w:r>
      <w:r w:rsidR="000F7FC9" w:rsidRPr="007E413F">
        <w:rPr>
          <w:rFonts w:ascii="Arial Narrow" w:eastAsia="宋体" w:hAnsi="Arial Narrow"/>
          <w:sz w:val="28"/>
          <w:szCs w:val="28"/>
        </w:rPr>
        <w:t>修正</w:t>
      </w:r>
      <w:r w:rsidR="000F7FC9" w:rsidRPr="007E413F">
        <w:rPr>
          <w:rFonts w:ascii="Arial Narrow" w:eastAsia="宋体" w:hAnsi="Arial Narrow"/>
          <w:sz w:val="28"/>
          <w:szCs w:val="28"/>
        </w:rPr>
        <w:t>10%</w:t>
      </w:r>
      <w:r w:rsidR="000F7FC9" w:rsidRPr="007E413F">
        <w:rPr>
          <w:rFonts w:ascii="Arial Narrow" w:eastAsia="宋体" w:hAnsi="Arial Narrow"/>
          <w:sz w:val="28"/>
          <w:szCs w:val="28"/>
        </w:rPr>
        <w:t>的合理性分析</w:t>
      </w:r>
    </w:p>
    <w:p w:rsidR="00811DE8" w:rsidRPr="007E413F" w:rsidRDefault="00811DE8"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答：物业管理因素修正分别从两个方面考虑：</w:t>
      </w:r>
      <w:r w:rsidR="00FE0C75">
        <w:rPr>
          <w:rFonts w:ascii="Arial Narrow" w:eastAsia="宋体" w:hAnsi="Arial Narrow" w:hint="eastAsia"/>
          <w:sz w:val="28"/>
          <w:szCs w:val="28"/>
        </w:rPr>
        <w:t>（</w:t>
      </w:r>
      <w:r w:rsidR="00FE0C75">
        <w:rPr>
          <w:rFonts w:ascii="Arial Narrow" w:eastAsia="宋体" w:hAnsi="Arial Narrow" w:hint="eastAsia"/>
          <w:sz w:val="28"/>
          <w:szCs w:val="28"/>
        </w:rPr>
        <w:t>1</w:t>
      </w:r>
      <w:r w:rsidR="00FE0C75">
        <w:rPr>
          <w:rFonts w:ascii="Arial Narrow" w:eastAsia="宋体" w:hAnsi="Arial Narrow" w:hint="eastAsia"/>
          <w:sz w:val="28"/>
          <w:szCs w:val="28"/>
        </w:rPr>
        <w:t>）评估</w:t>
      </w:r>
      <w:r>
        <w:rPr>
          <w:rFonts w:ascii="Arial Narrow" w:eastAsia="宋体" w:hAnsi="Arial Narrow" w:hint="eastAsia"/>
          <w:sz w:val="28"/>
          <w:szCs w:val="28"/>
        </w:rPr>
        <w:t>对象为自管，可比案例为专业物业管理</w:t>
      </w:r>
      <w:r w:rsidR="00FE0C75">
        <w:rPr>
          <w:rFonts w:ascii="Arial Narrow" w:eastAsia="宋体" w:hAnsi="Arial Narrow" w:hint="eastAsia"/>
          <w:sz w:val="28"/>
          <w:szCs w:val="28"/>
        </w:rPr>
        <w:t>（</w:t>
      </w:r>
      <w:r w:rsidR="00FE0C75">
        <w:rPr>
          <w:rFonts w:ascii="Arial Narrow" w:eastAsia="宋体" w:hAnsi="Arial Narrow" w:hint="eastAsia"/>
          <w:sz w:val="28"/>
          <w:szCs w:val="28"/>
        </w:rPr>
        <w:t>2</w:t>
      </w:r>
      <w:r w:rsidR="00FE0C75">
        <w:rPr>
          <w:rFonts w:ascii="Arial Narrow" w:eastAsia="宋体" w:hAnsi="Arial Narrow" w:hint="eastAsia"/>
          <w:sz w:val="28"/>
          <w:szCs w:val="28"/>
        </w:rPr>
        <w:t>）评估</w:t>
      </w:r>
      <w:r>
        <w:rPr>
          <w:rFonts w:ascii="Arial Narrow" w:eastAsia="宋体" w:hAnsi="Arial Narrow" w:hint="eastAsia"/>
          <w:sz w:val="28"/>
          <w:szCs w:val="28"/>
        </w:rPr>
        <w:t>对象为商住混用，可比案例为纯写字楼</w:t>
      </w: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4</w:t>
      </w:r>
      <w:r>
        <w:rPr>
          <w:rFonts w:ascii="Arial Narrow" w:eastAsia="宋体" w:hAnsi="Arial Narrow" w:hint="eastAsia"/>
          <w:sz w:val="28"/>
          <w:szCs w:val="28"/>
        </w:rPr>
        <w:t>、</w:t>
      </w:r>
      <w:r w:rsidR="000F7FC9" w:rsidRPr="007E413F">
        <w:rPr>
          <w:rFonts w:ascii="Arial Narrow" w:eastAsia="宋体" w:hAnsi="Arial Narrow"/>
          <w:sz w:val="28"/>
          <w:szCs w:val="28"/>
        </w:rPr>
        <w:t>区域因素描述市政设施达到六通，本次</w:t>
      </w:r>
      <w:proofErr w:type="gramStart"/>
      <w:r w:rsidR="000F7FC9" w:rsidRPr="007E413F">
        <w:rPr>
          <w:rFonts w:ascii="Arial Narrow" w:eastAsia="宋体" w:hAnsi="Arial Narrow"/>
          <w:sz w:val="28"/>
          <w:szCs w:val="28"/>
        </w:rPr>
        <w:t>待估对象</w:t>
      </w:r>
      <w:proofErr w:type="gramEnd"/>
      <w:r w:rsidR="000F7FC9" w:rsidRPr="007E413F">
        <w:rPr>
          <w:rFonts w:ascii="Arial Narrow" w:eastAsia="宋体" w:hAnsi="Arial Narrow"/>
          <w:sz w:val="28"/>
          <w:szCs w:val="28"/>
        </w:rPr>
        <w:t>及全部案例均为五通，</w:t>
      </w:r>
      <w:r w:rsidR="00E000C0" w:rsidRPr="007E413F">
        <w:rPr>
          <w:rFonts w:ascii="Arial Narrow" w:eastAsia="宋体" w:hAnsi="Arial Narrow"/>
          <w:sz w:val="28"/>
          <w:szCs w:val="28"/>
        </w:rPr>
        <w:t>核实说明</w:t>
      </w:r>
    </w:p>
    <w:p w:rsidR="00811DE8" w:rsidRPr="007E413F" w:rsidRDefault="00811DE8" w:rsidP="00811DE8">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Pr="00811DE8">
        <w:rPr>
          <w:rFonts w:ascii="Arial Narrow" w:eastAsia="宋体" w:hAnsi="Arial Narrow" w:hint="eastAsia"/>
          <w:sz w:val="28"/>
          <w:szCs w:val="28"/>
        </w:rPr>
        <w:t>区位状况及比较因素条件说明中“六通”为所处区域基础设施水平情况，</w:t>
      </w:r>
      <w:r w:rsidR="00FE0C75">
        <w:rPr>
          <w:rFonts w:ascii="Arial Narrow" w:eastAsia="宋体" w:hAnsi="Arial Narrow" w:hint="eastAsia"/>
          <w:sz w:val="28"/>
          <w:szCs w:val="28"/>
        </w:rPr>
        <w:t>评估</w:t>
      </w:r>
      <w:r w:rsidRPr="00811DE8">
        <w:rPr>
          <w:rFonts w:ascii="Arial Narrow" w:eastAsia="宋体" w:hAnsi="Arial Narrow" w:hint="eastAsia"/>
          <w:sz w:val="28"/>
          <w:szCs w:val="28"/>
        </w:rPr>
        <w:t>对象描述为估价对象自身</w:t>
      </w:r>
      <w:r>
        <w:rPr>
          <w:rFonts w:ascii="Arial Narrow" w:eastAsia="宋体" w:hAnsi="Arial Narrow" w:hint="eastAsia"/>
          <w:sz w:val="28"/>
          <w:szCs w:val="28"/>
        </w:rPr>
        <w:t>及可比案例</w:t>
      </w:r>
      <w:r w:rsidRPr="00811DE8">
        <w:rPr>
          <w:rFonts w:ascii="Arial Narrow" w:eastAsia="宋体" w:hAnsi="Arial Narrow" w:hint="eastAsia"/>
          <w:sz w:val="28"/>
          <w:szCs w:val="28"/>
        </w:rPr>
        <w:t>（即红线内）</w:t>
      </w:r>
      <w:r>
        <w:rPr>
          <w:rFonts w:ascii="Arial Narrow" w:eastAsia="宋体" w:hAnsi="Arial Narrow" w:hint="eastAsia"/>
          <w:sz w:val="28"/>
          <w:szCs w:val="28"/>
        </w:rPr>
        <w:lastRenderedPageBreak/>
        <w:t>基础设施水平情况为五通</w:t>
      </w:r>
      <w:r w:rsidRPr="00811DE8">
        <w:rPr>
          <w:rFonts w:ascii="Arial Narrow" w:eastAsia="宋体" w:hAnsi="Arial Narrow" w:hint="eastAsia"/>
          <w:sz w:val="28"/>
          <w:szCs w:val="28"/>
        </w:rPr>
        <w:t>。</w:t>
      </w: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5</w:t>
      </w:r>
      <w:r>
        <w:rPr>
          <w:rFonts w:ascii="Arial Narrow" w:eastAsia="宋体" w:hAnsi="Arial Narrow" w:hint="eastAsia"/>
          <w:sz w:val="28"/>
          <w:szCs w:val="28"/>
        </w:rPr>
        <w:t>、</w:t>
      </w:r>
      <w:r w:rsidR="001F4F32" w:rsidRPr="007E413F">
        <w:rPr>
          <w:rFonts w:ascii="Arial Narrow" w:eastAsia="宋体" w:hAnsi="Arial Narrow"/>
          <w:sz w:val="28"/>
          <w:szCs w:val="28"/>
        </w:rPr>
        <w:t>房产剩余年限为</w:t>
      </w:r>
      <w:r w:rsidR="001F4F32" w:rsidRPr="007E413F">
        <w:rPr>
          <w:rFonts w:ascii="Arial Narrow" w:eastAsia="宋体" w:hAnsi="Arial Narrow"/>
          <w:sz w:val="28"/>
          <w:szCs w:val="28"/>
        </w:rPr>
        <w:t>40</w:t>
      </w:r>
      <w:r w:rsidR="001F4F32" w:rsidRPr="007E413F">
        <w:rPr>
          <w:rFonts w:ascii="Arial Narrow" w:eastAsia="宋体" w:hAnsi="Arial Narrow"/>
          <w:sz w:val="28"/>
          <w:szCs w:val="28"/>
        </w:rPr>
        <w:t>年，收益年限为</w:t>
      </w:r>
      <w:r w:rsidR="001F4F32" w:rsidRPr="007E413F">
        <w:rPr>
          <w:rFonts w:ascii="Arial Narrow" w:eastAsia="宋体" w:hAnsi="Arial Narrow"/>
          <w:sz w:val="28"/>
          <w:szCs w:val="28"/>
        </w:rPr>
        <w:t>29</w:t>
      </w:r>
      <w:r w:rsidR="001F4F32" w:rsidRPr="007E413F">
        <w:rPr>
          <w:rFonts w:ascii="Arial Narrow" w:eastAsia="宋体" w:hAnsi="Arial Narrow"/>
          <w:sz w:val="28"/>
          <w:szCs w:val="28"/>
        </w:rPr>
        <w:t>年，</w:t>
      </w:r>
      <w:r w:rsidR="00E000C0" w:rsidRPr="007E413F">
        <w:rPr>
          <w:rFonts w:ascii="Arial Narrow" w:eastAsia="宋体" w:hAnsi="Arial Narrow"/>
          <w:sz w:val="28"/>
          <w:szCs w:val="28"/>
        </w:rPr>
        <w:t>说明考虑</w:t>
      </w:r>
      <w:r w:rsidR="001F4F32" w:rsidRPr="007E413F">
        <w:rPr>
          <w:rFonts w:ascii="Arial Narrow" w:eastAsia="宋体" w:hAnsi="Arial Narrow"/>
          <w:sz w:val="28"/>
          <w:szCs w:val="28"/>
        </w:rPr>
        <w:t>计算房地产未来收益时是否考虑期末残值价值。</w:t>
      </w:r>
    </w:p>
    <w:p w:rsidR="00811DE8" w:rsidRPr="00B125ED" w:rsidRDefault="00811DE8"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A66E01">
        <w:rPr>
          <w:rFonts w:ascii="Arial Narrow" w:eastAsia="宋体" w:hAnsi="Arial Narrow" w:hint="eastAsia"/>
          <w:sz w:val="28"/>
          <w:szCs w:val="28"/>
        </w:rPr>
        <w:t>由于本次评估为租金评估</w:t>
      </w:r>
      <w:r w:rsidR="00A01632">
        <w:rPr>
          <w:rFonts w:ascii="Arial Narrow" w:eastAsia="宋体" w:hAnsi="Arial Narrow" w:hint="eastAsia"/>
          <w:sz w:val="28"/>
          <w:szCs w:val="28"/>
        </w:rPr>
        <w:t>，故本次评估未考虑房地产期末残</w:t>
      </w:r>
      <w:r w:rsidR="00A01632" w:rsidRPr="00B125ED">
        <w:rPr>
          <w:rFonts w:ascii="Arial Narrow" w:eastAsia="宋体" w:hAnsi="Arial Narrow" w:hint="eastAsia"/>
          <w:sz w:val="28"/>
          <w:szCs w:val="28"/>
        </w:rPr>
        <w:t>值</w:t>
      </w:r>
    </w:p>
    <w:p w:rsidR="00E000C0" w:rsidRPr="00B125ED" w:rsidRDefault="007E413F" w:rsidP="007E413F">
      <w:pPr>
        <w:spacing w:line="360" w:lineRule="auto"/>
        <w:ind w:firstLineChars="200" w:firstLine="560"/>
        <w:rPr>
          <w:rFonts w:ascii="Arial Narrow" w:eastAsia="宋体" w:hAnsi="Arial Narrow"/>
          <w:sz w:val="28"/>
          <w:szCs w:val="28"/>
        </w:rPr>
      </w:pPr>
      <w:r w:rsidRPr="00B125ED">
        <w:rPr>
          <w:rFonts w:ascii="Arial Narrow" w:eastAsia="宋体" w:hAnsi="Arial Narrow"/>
          <w:sz w:val="28"/>
          <w:szCs w:val="28"/>
        </w:rPr>
        <w:t>6</w:t>
      </w:r>
      <w:r w:rsidRPr="00B125ED">
        <w:rPr>
          <w:rFonts w:ascii="Arial Narrow" w:eastAsia="宋体" w:hAnsi="Arial Narrow" w:hint="eastAsia"/>
          <w:sz w:val="28"/>
          <w:szCs w:val="28"/>
        </w:rPr>
        <w:t>、</w:t>
      </w:r>
      <w:r w:rsidR="00E000C0" w:rsidRPr="00B125ED">
        <w:rPr>
          <w:rFonts w:ascii="Arial Narrow" w:eastAsia="宋体" w:hAnsi="Arial Narrow"/>
          <w:sz w:val="28"/>
          <w:szCs w:val="28"/>
        </w:rPr>
        <w:t>补充说明</w:t>
      </w:r>
      <w:r w:rsidR="001F4F32" w:rsidRPr="00B125ED">
        <w:rPr>
          <w:rFonts w:ascii="Arial Narrow" w:eastAsia="宋体" w:hAnsi="Arial Narrow"/>
          <w:sz w:val="28"/>
          <w:szCs w:val="28"/>
        </w:rPr>
        <w:t>计算表中</w:t>
      </w:r>
      <w:r w:rsidR="00E000C0" w:rsidRPr="00B125ED">
        <w:rPr>
          <w:rFonts w:ascii="Arial Narrow" w:eastAsia="宋体" w:hAnsi="Arial Narrow"/>
          <w:sz w:val="28"/>
          <w:szCs w:val="28"/>
        </w:rPr>
        <w:t>建安单价</w:t>
      </w:r>
      <w:r w:rsidR="00E000C0" w:rsidRPr="00B125ED">
        <w:rPr>
          <w:rFonts w:ascii="Arial Narrow" w:eastAsia="宋体" w:hAnsi="Arial Narrow"/>
          <w:sz w:val="28"/>
          <w:szCs w:val="28"/>
        </w:rPr>
        <w:t>4000/</w:t>
      </w:r>
      <w:r w:rsidR="001F4F32" w:rsidRPr="00B125ED">
        <w:rPr>
          <w:rFonts w:ascii="Arial Narrow" w:eastAsia="宋体" w:hAnsi="Arial Narrow"/>
          <w:sz w:val="28"/>
          <w:szCs w:val="28"/>
        </w:rPr>
        <w:t>平、</w:t>
      </w:r>
      <w:r w:rsidR="00E000C0" w:rsidRPr="00B125ED">
        <w:rPr>
          <w:rFonts w:ascii="Arial Narrow" w:eastAsia="宋体" w:hAnsi="Arial Narrow"/>
          <w:sz w:val="28"/>
          <w:szCs w:val="28"/>
        </w:rPr>
        <w:t>税费</w:t>
      </w:r>
      <w:r w:rsidR="00E000C0" w:rsidRPr="00B125ED">
        <w:rPr>
          <w:rFonts w:ascii="Arial Narrow" w:eastAsia="宋体" w:hAnsi="Arial Narrow"/>
          <w:sz w:val="28"/>
          <w:szCs w:val="28"/>
        </w:rPr>
        <w:t>1.5%</w:t>
      </w:r>
      <w:r w:rsidR="00E000C0" w:rsidRPr="00B125ED">
        <w:rPr>
          <w:rFonts w:ascii="Arial Narrow" w:eastAsia="宋体" w:hAnsi="Arial Narrow"/>
          <w:sz w:val="28"/>
          <w:szCs w:val="28"/>
        </w:rPr>
        <w:t>、税费</w:t>
      </w:r>
      <w:r w:rsidR="00E000C0" w:rsidRPr="00B125ED">
        <w:rPr>
          <w:rFonts w:ascii="Arial Narrow" w:eastAsia="宋体" w:hAnsi="Arial Narrow"/>
          <w:sz w:val="28"/>
          <w:szCs w:val="28"/>
        </w:rPr>
        <w:t>16.</w:t>
      </w:r>
      <w:r w:rsidR="00553A23" w:rsidRPr="00B125ED">
        <w:rPr>
          <w:rFonts w:ascii="Arial Narrow" w:eastAsia="宋体" w:hAnsi="Arial Narrow" w:hint="eastAsia"/>
          <w:sz w:val="28"/>
          <w:szCs w:val="28"/>
        </w:rPr>
        <w:t>76</w:t>
      </w:r>
      <w:r w:rsidR="00E000C0" w:rsidRPr="00B125ED">
        <w:rPr>
          <w:rFonts w:ascii="Arial Narrow" w:eastAsia="宋体" w:hAnsi="Arial Narrow"/>
          <w:sz w:val="28"/>
          <w:szCs w:val="28"/>
        </w:rPr>
        <w:t>%</w:t>
      </w:r>
      <w:r w:rsidR="00553A23" w:rsidRPr="00B125ED">
        <w:rPr>
          <w:rFonts w:ascii="Arial Narrow" w:eastAsia="宋体" w:hAnsi="Arial Narrow"/>
          <w:sz w:val="28"/>
          <w:szCs w:val="28"/>
        </w:rPr>
        <w:t>、</w:t>
      </w:r>
      <w:r w:rsidR="00E000C0" w:rsidRPr="00B125ED">
        <w:rPr>
          <w:rFonts w:ascii="Arial Narrow" w:eastAsia="宋体" w:hAnsi="Arial Narrow"/>
          <w:sz w:val="28"/>
          <w:szCs w:val="28"/>
        </w:rPr>
        <w:t>资本化率</w:t>
      </w:r>
      <w:r w:rsidR="00E000C0" w:rsidRPr="00B125ED">
        <w:rPr>
          <w:rFonts w:ascii="Arial Narrow" w:eastAsia="宋体" w:hAnsi="Arial Narrow"/>
          <w:sz w:val="28"/>
          <w:szCs w:val="28"/>
        </w:rPr>
        <w:t>5.5%</w:t>
      </w:r>
      <w:r w:rsidR="00E000C0" w:rsidRPr="00B125ED">
        <w:rPr>
          <w:rFonts w:ascii="Arial Narrow" w:eastAsia="宋体" w:hAnsi="Arial Narrow"/>
          <w:sz w:val="28"/>
          <w:szCs w:val="28"/>
        </w:rPr>
        <w:t>及增长</w:t>
      </w:r>
      <w:r w:rsidR="00E000C0" w:rsidRPr="00B125ED">
        <w:rPr>
          <w:rFonts w:ascii="Arial Narrow" w:eastAsia="宋体" w:hAnsi="Arial Narrow"/>
          <w:sz w:val="28"/>
          <w:szCs w:val="28"/>
        </w:rPr>
        <w:t>3%</w:t>
      </w:r>
      <w:r w:rsidR="00E000C0" w:rsidRPr="00B125ED">
        <w:rPr>
          <w:rFonts w:ascii="Arial Narrow" w:eastAsia="宋体" w:hAnsi="Arial Narrow"/>
          <w:sz w:val="28"/>
          <w:szCs w:val="28"/>
        </w:rPr>
        <w:t>的分析依据</w:t>
      </w:r>
    </w:p>
    <w:p w:rsidR="00E435C2" w:rsidRDefault="00811DE8" w:rsidP="007E413F">
      <w:pPr>
        <w:spacing w:line="360" w:lineRule="auto"/>
        <w:ind w:firstLineChars="200" w:firstLine="560"/>
        <w:rPr>
          <w:rFonts w:ascii="Arial Narrow" w:eastAsia="宋体" w:hAnsi="Arial Narrow"/>
          <w:sz w:val="28"/>
          <w:szCs w:val="28"/>
        </w:rPr>
      </w:pPr>
      <w:r w:rsidRPr="00B125ED">
        <w:rPr>
          <w:rFonts w:ascii="Arial Narrow" w:eastAsia="宋体" w:hAnsi="Arial Narrow" w:hint="eastAsia"/>
          <w:sz w:val="28"/>
          <w:szCs w:val="28"/>
        </w:rPr>
        <w:t>答：</w:t>
      </w:r>
      <w:r w:rsidR="00E435C2" w:rsidRPr="00B125ED">
        <w:rPr>
          <w:rFonts w:ascii="Arial Narrow" w:eastAsia="宋体" w:hAnsi="Arial Narrow" w:hint="eastAsia"/>
          <w:sz w:val="28"/>
          <w:szCs w:val="28"/>
        </w:rPr>
        <w:t>建安单价</w:t>
      </w:r>
      <w:r w:rsidR="00C44E79" w:rsidRPr="00B125ED">
        <w:rPr>
          <w:rFonts w:ascii="Arial Narrow" w:eastAsia="宋体" w:hAnsi="Arial Narrow" w:hint="eastAsia"/>
          <w:sz w:val="28"/>
          <w:szCs w:val="28"/>
        </w:rPr>
        <w:t>，</w:t>
      </w:r>
      <w:r w:rsidR="00D70BEE" w:rsidRPr="00B125ED">
        <w:rPr>
          <w:rFonts w:ascii="Arial Narrow" w:eastAsia="宋体" w:hAnsi="Arial Narrow" w:hint="eastAsia"/>
          <w:sz w:val="28"/>
          <w:szCs w:val="28"/>
        </w:rPr>
        <w:t>当地</w:t>
      </w:r>
      <w:r w:rsidR="00C44E79" w:rsidRPr="00B125ED">
        <w:rPr>
          <w:rFonts w:ascii="Arial Narrow" w:eastAsia="宋体" w:hAnsi="Arial Narrow" w:hint="eastAsia"/>
          <w:sz w:val="28"/>
          <w:szCs w:val="28"/>
        </w:rPr>
        <w:t>同类物业</w:t>
      </w:r>
      <w:r w:rsidR="00B125ED" w:rsidRPr="00B125ED">
        <w:rPr>
          <w:rFonts w:ascii="Arial Narrow" w:eastAsia="宋体" w:hAnsi="Arial Narrow" w:hint="eastAsia"/>
          <w:sz w:val="28"/>
          <w:szCs w:val="28"/>
        </w:rPr>
        <w:t>毛坯状态</w:t>
      </w:r>
      <w:r w:rsidR="00D70BEE" w:rsidRPr="00B125ED">
        <w:rPr>
          <w:rFonts w:ascii="Arial Narrow" w:eastAsia="宋体" w:hAnsi="Arial Narrow" w:hint="eastAsia"/>
          <w:sz w:val="28"/>
          <w:szCs w:val="28"/>
        </w:rPr>
        <w:t>建安水平</w:t>
      </w:r>
      <w:r w:rsidR="00C44E79" w:rsidRPr="00B125ED">
        <w:rPr>
          <w:rFonts w:ascii="Arial Narrow" w:eastAsia="宋体" w:hAnsi="Arial Narrow" w:hint="eastAsia"/>
          <w:sz w:val="28"/>
          <w:szCs w:val="28"/>
        </w:rPr>
        <w:t>在</w:t>
      </w:r>
      <w:r w:rsidR="00B125ED" w:rsidRPr="00B125ED">
        <w:rPr>
          <w:rFonts w:ascii="Arial Narrow" w:eastAsia="宋体" w:hAnsi="Arial Narrow" w:hint="eastAsia"/>
          <w:sz w:val="28"/>
          <w:szCs w:val="28"/>
        </w:rPr>
        <w:t>3</w:t>
      </w:r>
      <w:r w:rsidR="00C44E79" w:rsidRPr="00B125ED">
        <w:rPr>
          <w:rFonts w:ascii="Arial Narrow" w:eastAsia="宋体" w:hAnsi="Arial Narrow" w:hint="eastAsia"/>
          <w:sz w:val="28"/>
          <w:szCs w:val="28"/>
        </w:rPr>
        <w:t>000-</w:t>
      </w:r>
      <w:r w:rsidR="00B125ED" w:rsidRPr="00B125ED">
        <w:rPr>
          <w:rFonts w:ascii="Arial Narrow" w:eastAsia="宋体" w:hAnsi="Arial Narrow" w:hint="eastAsia"/>
          <w:sz w:val="28"/>
          <w:szCs w:val="28"/>
        </w:rPr>
        <w:t>35</w:t>
      </w:r>
      <w:r w:rsidR="00C44E79" w:rsidRPr="00B125ED">
        <w:rPr>
          <w:rFonts w:ascii="Arial Narrow" w:eastAsia="宋体" w:hAnsi="Arial Narrow" w:hint="eastAsia"/>
          <w:sz w:val="28"/>
          <w:szCs w:val="28"/>
        </w:rPr>
        <w:t>00</w:t>
      </w:r>
      <w:r w:rsidR="00C44E79" w:rsidRPr="00B125ED">
        <w:rPr>
          <w:rFonts w:ascii="Arial Narrow" w:eastAsia="宋体" w:hAnsi="Arial Narrow" w:hint="eastAsia"/>
          <w:sz w:val="28"/>
          <w:szCs w:val="28"/>
        </w:rPr>
        <w:t>元</w:t>
      </w:r>
      <w:r w:rsidR="00C44E79" w:rsidRPr="00B125ED">
        <w:rPr>
          <w:rFonts w:ascii="Arial Narrow" w:eastAsia="宋体" w:hAnsi="Arial Narrow" w:hint="eastAsia"/>
          <w:sz w:val="28"/>
          <w:szCs w:val="28"/>
        </w:rPr>
        <w:t>/</w:t>
      </w:r>
      <w:r w:rsidR="00C44E79" w:rsidRPr="00B125ED">
        <w:rPr>
          <w:rFonts w:ascii="Arial Narrow" w:eastAsia="宋体" w:hAnsi="Arial Narrow" w:hint="eastAsia"/>
          <w:sz w:val="28"/>
          <w:szCs w:val="28"/>
        </w:rPr>
        <w:t>平方米区间，结合评估对象自身装修情况考虑，综合建安水平为</w:t>
      </w:r>
      <w:r w:rsidR="00C44E79" w:rsidRPr="00B125ED">
        <w:rPr>
          <w:rFonts w:ascii="Arial Narrow" w:eastAsia="宋体" w:hAnsi="Arial Narrow" w:hint="eastAsia"/>
          <w:sz w:val="28"/>
          <w:szCs w:val="28"/>
        </w:rPr>
        <w:t>4000</w:t>
      </w:r>
      <w:r w:rsidR="00C44E79" w:rsidRPr="00B125ED">
        <w:rPr>
          <w:rFonts w:ascii="Arial Narrow" w:eastAsia="宋体" w:hAnsi="Arial Narrow" w:hint="eastAsia"/>
          <w:sz w:val="28"/>
          <w:szCs w:val="28"/>
        </w:rPr>
        <w:t>元</w:t>
      </w:r>
      <w:r w:rsidR="00C44E79" w:rsidRPr="00B125ED">
        <w:rPr>
          <w:rFonts w:ascii="Arial Narrow" w:eastAsia="宋体" w:hAnsi="Arial Narrow" w:hint="eastAsia"/>
          <w:sz w:val="28"/>
          <w:szCs w:val="28"/>
        </w:rPr>
        <w:t>/</w:t>
      </w:r>
      <w:r w:rsidR="00C44E79" w:rsidRPr="00B125ED">
        <w:rPr>
          <w:rFonts w:ascii="Arial Narrow" w:eastAsia="宋体" w:hAnsi="Arial Narrow" w:hint="eastAsia"/>
          <w:sz w:val="28"/>
          <w:szCs w:val="28"/>
        </w:rPr>
        <w:t>平方米</w:t>
      </w:r>
    </w:p>
    <w:p w:rsidR="00D40627" w:rsidRDefault="00D40627"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相关税费</w:t>
      </w:r>
      <w:r>
        <w:rPr>
          <w:rFonts w:ascii="Arial Narrow" w:eastAsia="宋体" w:hAnsi="Arial Narrow" w:hint="eastAsia"/>
          <w:sz w:val="28"/>
          <w:szCs w:val="28"/>
        </w:rPr>
        <w:t>1.5%</w:t>
      </w:r>
      <w:r>
        <w:rPr>
          <w:rFonts w:ascii="Arial Narrow" w:eastAsia="宋体" w:hAnsi="Arial Narrow" w:hint="eastAsia"/>
          <w:sz w:val="28"/>
          <w:szCs w:val="28"/>
        </w:rPr>
        <w:t>为房地产相关税费，</w:t>
      </w:r>
      <w:r w:rsidR="00B125ED">
        <w:rPr>
          <w:rFonts w:ascii="Arial Narrow" w:eastAsia="宋体" w:hAnsi="Arial Narrow" w:hint="eastAsia"/>
          <w:sz w:val="28"/>
          <w:szCs w:val="28"/>
        </w:rPr>
        <w:t>按经验记取</w:t>
      </w:r>
    </w:p>
    <w:p w:rsidR="00D40627" w:rsidRDefault="00D40627"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税费</w:t>
      </w:r>
      <w:r>
        <w:rPr>
          <w:rFonts w:ascii="Arial Narrow" w:eastAsia="宋体" w:hAnsi="Arial Narrow" w:hint="eastAsia"/>
          <w:sz w:val="28"/>
          <w:szCs w:val="28"/>
        </w:rPr>
        <w:t>16.76%</w:t>
      </w:r>
      <w:r>
        <w:rPr>
          <w:rFonts w:ascii="Arial Narrow" w:eastAsia="宋体" w:hAnsi="Arial Narrow" w:hint="eastAsia"/>
          <w:sz w:val="28"/>
          <w:szCs w:val="28"/>
        </w:rPr>
        <w:t>为按租金收入计税</w:t>
      </w:r>
      <w:r w:rsidR="00E435C2">
        <w:rPr>
          <w:rFonts w:ascii="Arial Narrow" w:eastAsia="宋体" w:hAnsi="Arial Narrow" w:hint="eastAsia"/>
          <w:sz w:val="28"/>
          <w:szCs w:val="28"/>
        </w:rPr>
        <w:t>（销售税费</w:t>
      </w:r>
      <w:r w:rsidR="00E435C2">
        <w:rPr>
          <w:rFonts w:ascii="Arial Narrow" w:eastAsia="宋体" w:hAnsi="Arial Narrow" w:hint="eastAsia"/>
          <w:sz w:val="28"/>
          <w:szCs w:val="28"/>
        </w:rPr>
        <w:t>5.6%</w:t>
      </w:r>
      <w:r w:rsidR="00E435C2">
        <w:rPr>
          <w:rFonts w:ascii="Arial Narrow" w:eastAsia="宋体" w:hAnsi="Arial Narrow" w:hint="eastAsia"/>
          <w:sz w:val="28"/>
          <w:szCs w:val="28"/>
        </w:rPr>
        <w:t>、租金收入费率</w:t>
      </w:r>
      <w:r w:rsidR="00E435C2">
        <w:rPr>
          <w:rFonts w:ascii="Arial Narrow" w:eastAsia="宋体" w:hAnsi="Arial Narrow" w:hint="eastAsia"/>
          <w:sz w:val="28"/>
          <w:szCs w:val="28"/>
        </w:rPr>
        <w:t>12%</w:t>
      </w:r>
      <w:r w:rsidR="00E435C2">
        <w:rPr>
          <w:rFonts w:ascii="Arial Narrow" w:eastAsia="宋体" w:hAnsi="Arial Narrow" w:hint="eastAsia"/>
          <w:sz w:val="28"/>
          <w:szCs w:val="28"/>
        </w:rPr>
        <w:t>）</w:t>
      </w:r>
      <w:r>
        <w:rPr>
          <w:rFonts w:ascii="Arial Narrow" w:eastAsia="宋体" w:hAnsi="Arial Narrow" w:hint="eastAsia"/>
          <w:sz w:val="28"/>
          <w:szCs w:val="28"/>
        </w:rPr>
        <w:t>，计算公式</w:t>
      </w:r>
      <w:r>
        <w:rPr>
          <w:rFonts w:ascii="Arial Narrow" w:eastAsia="宋体" w:hAnsi="Arial Narrow" w:hint="eastAsia"/>
          <w:sz w:val="28"/>
          <w:szCs w:val="28"/>
        </w:rPr>
        <w:t>=5.6%/1.05+12%/1.05=5.33%+</w:t>
      </w:r>
      <w:r w:rsidR="00E435C2">
        <w:rPr>
          <w:rFonts w:ascii="Arial Narrow" w:eastAsia="宋体" w:hAnsi="Arial Narrow" w:hint="eastAsia"/>
          <w:sz w:val="28"/>
          <w:szCs w:val="28"/>
        </w:rPr>
        <w:t>11.43</w:t>
      </w:r>
      <w:r>
        <w:rPr>
          <w:rFonts w:ascii="Arial Narrow" w:eastAsia="宋体" w:hAnsi="Arial Narrow" w:hint="eastAsia"/>
          <w:sz w:val="28"/>
          <w:szCs w:val="28"/>
        </w:rPr>
        <w:t>%=</w:t>
      </w:r>
      <w:r w:rsidR="00E435C2">
        <w:rPr>
          <w:rFonts w:ascii="Arial Narrow" w:eastAsia="宋体" w:hAnsi="Arial Narrow" w:hint="eastAsia"/>
          <w:sz w:val="28"/>
          <w:szCs w:val="28"/>
        </w:rPr>
        <w:t>16.76%</w:t>
      </w:r>
    </w:p>
    <w:p w:rsidR="00811DE8" w:rsidRDefault="0029473F" w:rsidP="007E413F">
      <w:pPr>
        <w:spacing w:line="360" w:lineRule="auto"/>
        <w:ind w:firstLineChars="200" w:firstLine="560"/>
        <w:rPr>
          <w:rFonts w:ascii="Arial Narrow" w:eastAsia="宋体" w:hAnsi="Arial Narrow"/>
          <w:sz w:val="28"/>
          <w:szCs w:val="28"/>
        </w:rPr>
      </w:pPr>
      <w:r w:rsidRPr="0029473F">
        <w:rPr>
          <w:rFonts w:ascii="Arial Narrow" w:eastAsia="宋体" w:hAnsi="Arial Narrow"/>
          <w:sz w:val="28"/>
          <w:szCs w:val="28"/>
        </w:rPr>
        <w:t>资本化率</w:t>
      </w:r>
      <w:r w:rsidRPr="0029473F">
        <w:rPr>
          <w:rFonts w:ascii="Arial Narrow" w:eastAsia="宋体" w:hAnsi="Arial Narrow" w:hint="eastAsia"/>
          <w:sz w:val="28"/>
          <w:szCs w:val="28"/>
        </w:rPr>
        <w:t>的确定方法有市场提取法、安全利率加风险调整值法、复合投资收益率法、投资收益率排序插入法等方法。本次测算采取安全利率加风险调整值法；以安全利率加上风险调整值作为</w:t>
      </w:r>
      <w:r w:rsidRPr="0029473F">
        <w:rPr>
          <w:rFonts w:ascii="Arial Narrow" w:eastAsia="宋体" w:hAnsi="Arial Narrow"/>
          <w:sz w:val="28"/>
          <w:szCs w:val="28"/>
        </w:rPr>
        <w:t>资本化率</w:t>
      </w:r>
      <w:r w:rsidRPr="0029473F">
        <w:rPr>
          <w:rFonts w:ascii="Arial Narrow" w:eastAsia="宋体" w:hAnsi="Arial Narrow" w:hint="eastAsia"/>
          <w:sz w:val="28"/>
          <w:szCs w:val="28"/>
        </w:rPr>
        <w:t>。其中安全利率可以选用同一时期的一年期过国债年利率或中国人民银行公布的一年定期存款年利率（</w:t>
      </w:r>
      <w:r w:rsidRPr="0029473F">
        <w:rPr>
          <w:rFonts w:ascii="Arial Narrow" w:eastAsia="宋体" w:hAnsi="Arial Narrow"/>
          <w:sz w:val="28"/>
          <w:szCs w:val="28"/>
        </w:rPr>
        <w:t>1.5%</w:t>
      </w:r>
      <w:r w:rsidRPr="0029473F">
        <w:rPr>
          <w:rFonts w:ascii="Arial Narrow" w:eastAsia="宋体" w:hAnsi="Arial Narrow"/>
          <w:sz w:val="28"/>
          <w:szCs w:val="28"/>
        </w:rPr>
        <w:t>），风险调整值则可以根据估价对象所在地区的经济现状及未来预测、估价对象的用途等自身特点确定，经调查，一般为</w:t>
      </w:r>
      <w:r w:rsidRPr="0029473F">
        <w:rPr>
          <w:rFonts w:ascii="Arial Narrow" w:eastAsia="宋体" w:hAnsi="Arial Narrow"/>
          <w:sz w:val="28"/>
          <w:szCs w:val="28"/>
        </w:rPr>
        <w:t>3%-5%</w:t>
      </w:r>
      <w:r w:rsidRPr="0029473F">
        <w:rPr>
          <w:rFonts w:ascii="Arial Narrow" w:eastAsia="宋体" w:hAnsi="Arial Narrow"/>
          <w:sz w:val="28"/>
          <w:szCs w:val="28"/>
        </w:rPr>
        <w:t>之间，本次评估依据估价对象所在项目特点，</w:t>
      </w:r>
      <w:proofErr w:type="gramStart"/>
      <w:r w:rsidRPr="0029473F">
        <w:rPr>
          <w:rFonts w:ascii="Arial Narrow" w:eastAsia="宋体" w:hAnsi="Arial Narrow"/>
          <w:sz w:val="28"/>
          <w:szCs w:val="28"/>
        </w:rPr>
        <w:t>取风险</w:t>
      </w:r>
      <w:proofErr w:type="gramEnd"/>
      <w:r w:rsidRPr="0029473F">
        <w:rPr>
          <w:rFonts w:ascii="Arial Narrow" w:eastAsia="宋体" w:hAnsi="Arial Narrow"/>
          <w:sz w:val="28"/>
          <w:szCs w:val="28"/>
        </w:rPr>
        <w:t>调整值为</w:t>
      </w:r>
      <w:r w:rsidRPr="0029473F">
        <w:rPr>
          <w:rFonts w:ascii="Arial Narrow" w:eastAsia="宋体" w:hAnsi="Arial Narrow"/>
          <w:sz w:val="28"/>
          <w:szCs w:val="28"/>
        </w:rPr>
        <w:t>4%</w:t>
      </w:r>
      <w:r w:rsidRPr="0029473F">
        <w:rPr>
          <w:rFonts w:ascii="Arial Narrow" w:eastAsia="宋体" w:hAnsi="Arial Narrow"/>
          <w:sz w:val="28"/>
          <w:szCs w:val="28"/>
        </w:rPr>
        <w:t>，则依据安全利率加风险调整值法可以得出资本化率为</w:t>
      </w:r>
      <w:r w:rsidRPr="0029473F">
        <w:rPr>
          <w:rFonts w:ascii="Arial Narrow" w:eastAsia="宋体" w:hAnsi="Arial Narrow"/>
          <w:sz w:val="28"/>
          <w:szCs w:val="28"/>
        </w:rPr>
        <w:t>5.5%</w:t>
      </w:r>
    </w:p>
    <w:p w:rsidR="0029473F" w:rsidRPr="007E413F" w:rsidRDefault="0029473F" w:rsidP="0029473F">
      <w:pPr>
        <w:spacing w:line="360" w:lineRule="auto"/>
        <w:ind w:firstLineChars="200" w:firstLine="560"/>
        <w:rPr>
          <w:rFonts w:ascii="Arial Narrow" w:eastAsia="宋体" w:hAnsi="Arial Narrow"/>
          <w:sz w:val="28"/>
          <w:szCs w:val="28"/>
        </w:rPr>
      </w:pPr>
      <w:r w:rsidRPr="0029473F">
        <w:rPr>
          <w:rFonts w:ascii="Arial Narrow" w:eastAsia="宋体" w:hAnsi="Arial Narrow" w:hint="eastAsia"/>
          <w:sz w:val="28"/>
          <w:szCs w:val="28"/>
        </w:rPr>
        <w:lastRenderedPageBreak/>
        <w:t>评估人员通过对</w:t>
      </w:r>
      <w:r>
        <w:rPr>
          <w:rFonts w:ascii="Arial Narrow" w:eastAsia="宋体" w:hAnsi="Arial Narrow" w:hint="eastAsia"/>
          <w:sz w:val="28"/>
          <w:szCs w:val="28"/>
        </w:rPr>
        <w:t>评估</w:t>
      </w:r>
      <w:r w:rsidRPr="0029473F">
        <w:rPr>
          <w:rFonts w:ascii="Arial Narrow" w:eastAsia="宋体" w:hAnsi="Arial Narrow" w:hint="eastAsia"/>
          <w:sz w:val="28"/>
          <w:szCs w:val="28"/>
        </w:rPr>
        <w:t>对象周边</w:t>
      </w:r>
      <w:r>
        <w:rPr>
          <w:rFonts w:ascii="Arial Narrow" w:eastAsia="宋体" w:hAnsi="Arial Narrow" w:hint="eastAsia"/>
          <w:sz w:val="28"/>
          <w:szCs w:val="28"/>
        </w:rPr>
        <w:t>办公</w:t>
      </w:r>
      <w:r w:rsidRPr="0029473F">
        <w:rPr>
          <w:rFonts w:ascii="Arial Narrow" w:eastAsia="宋体" w:hAnsi="Arial Narrow" w:hint="eastAsia"/>
          <w:sz w:val="28"/>
          <w:szCs w:val="28"/>
        </w:rPr>
        <w:t>类项目租赁市场的调查，区域此类用房租赁市场较活跃，目前与</w:t>
      </w:r>
      <w:r>
        <w:rPr>
          <w:rFonts w:ascii="Arial Narrow" w:eastAsia="宋体" w:hAnsi="Arial Narrow" w:hint="eastAsia"/>
          <w:sz w:val="28"/>
          <w:szCs w:val="28"/>
        </w:rPr>
        <w:t>评估</w:t>
      </w:r>
      <w:r w:rsidRPr="0029473F">
        <w:rPr>
          <w:rFonts w:ascii="Arial Narrow" w:eastAsia="宋体" w:hAnsi="Arial Narrow" w:hint="eastAsia"/>
          <w:sz w:val="28"/>
          <w:szCs w:val="28"/>
        </w:rPr>
        <w:t>对象相似的</w:t>
      </w:r>
      <w:r>
        <w:rPr>
          <w:rFonts w:ascii="Arial Narrow" w:eastAsia="宋体" w:hAnsi="Arial Narrow" w:hint="eastAsia"/>
          <w:sz w:val="28"/>
          <w:szCs w:val="28"/>
        </w:rPr>
        <w:t>办公</w:t>
      </w:r>
      <w:r w:rsidRPr="0029473F">
        <w:rPr>
          <w:rFonts w:ascii="Arial Narrow" w:eastAsia="宋体" w:hAnsi="Arial Narrow"/>
          <w:sz w:val="28"/>
          <w:szCs w:val="28"/>
        </w:rPr>
        <w:t>用房</w:t>
      </w:r>
      <w:r>
        <w:rPr>
          <w:rFonts w:ascii="Arial Narrow" w:eastAsia="宋体" w:hAnsi="Arial Narrow" w:hint="eastAsia"/>
          <w:sz w:val="28"/>
          <w:szCs w:val="28"/>
        </w:rPr>
        <w:t>年</w:t>
      </w:r>
      <w:r w:rsidRPr="0029473F">
        <w:rPr>
          <w:rFonts w:ascii="Arial Narrow" w:eastAsia="宋体" w:hAnsi="Arial Narrow"/>
          <w:sz w:val="28"/>
          <w:szCs w:val="28"/>
        </w:rPr>
        <w:t>租金增长率在</w:t>
      </w:r>
      <w:r>
        <w:rPr>
          <w:rFonts w:ascii="Arial Narrow" w:eastAsia="宋体" w:hAnsi="Arial Narrow" w:hint="eastAsia"/>
          <w:sz w:val="28"/>
          <w:szCs w:val="28"/>
        </w:rPr>
        <w:t>3</w:t>
      </w:r>
      <w:r>
        <w:rPr>
          <w:rFonts w:ascii="Arial Narrow" w:eastAsia="宋体" w:hAnsi="Arial Narrow"/>
          <w:sz w:val="28"/>
          <w:szCs w:val="28"/>
        </w:rPr>
        <w:t>%-</w:t>
      </w:r>
      <w:r>
        <w:rPr>
          <w:rFonts w:ascii="Arial Narrow" w:eastAsia="宋体" w:hAnsi="Arial Narrow" w:hint="eastAsia"/>
          <w:sz w:val="28"/>
          <w:szCs w:val="28"/>
        </w:rPr>
        <w:t>5</w:t>
      </w:r>
      <w:r w:rsidRPr="0029473F">
        <w:rPr>
          <w:rFonts w:ascii="Arial Narrow" w:eastAsia="宋体" w:hAnsi="Arial Narrow"/>
          <w:sz w:val="28"/>
          <w:szCs w:val="28"/>
        </w:rPr>
        <w:t>%</w:t>
      </w:r>
      <w:r w:rsidRPr="0029473F">
        <w:rPr>
          <w:rFonts w:ascii="Arial Narrow" w:eastAsia="宋体" w:hAnsi="Arial Narrow"/>
          <w:sz w:val="28"/>
          <w:szCs w:val="28"/>
        </w:rPr>
        <w:t>之间</w:t>
      </w:r>
      <w:r>
        <w:rPr>
          <w:rFonts w:ascii="Arial Narrow" w:eastAsia="宋体" w:hAnsi="Arial Narrow" w:hint="eastAsia"/>
          <w:sz w:val="28"/>
          <w:szCs w:val="28"/>
        </w:rPr>
        <w:t>，结合评估对象自身状况分析，本次评估确定评估对象年租金增长率取</w:t>
      </w:r>
      <w:r>
        <w:rPr>
          <w:rFonts w:ascii="Arial Narrow" w:eastAsia="宋体" w:hAnsi="Arial Narrow" w:hint="eastAsia"/>
          <w:sz w:val="28"/>
          <w:szCs w:val="28"/>
        </w:rPr>
        <w:t>3%</w:t>
      </w: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7</w:t>
      </w:r>
      <w:r>
        <w:rPr>
          <w:rFonts w:ascii="Arial Narrow" w:eastAsia="宋体" w:hAnsi="Arial Narrow" w:hint="eastAsia"/>
          <w:sz w:val="28"/>
          <w:szCs w:val="28"/>
        </w:rPr>
        <w:t>、</w:t>
      </w:r>
      <w:r w:rsidR="00E000C0" w:rsidRPr="007E413F">
        <w:rPr>
          <w:rFonts w:ascii="Arial Narrow" w:eastAsia="宋体" w:hAnsi="Arial Narrow"/>
          <w:sz w:val="28"/>
          <w:szCs w:val="28"/>
        </w:rPr>
        <w:t>计算表成新率为</w:t>
      </w:r>
      <w:r w:rsidR="00E000C0" w:rsidRPr="007E413F">
        <w:rPr>
          <w:rFonts w:ascii="Arial Narrow" w:eastAsia="宋体" w:hAnsi="Arial Narrow"/>
          <w:sz w:val="28"/>
          <w:szCs w:val="28"/>
        </w:rPr>
        <w:t>82%</w:t>
      </w:r>
      <w:r w:rsidR="00E000C0" w:rsidRPr="007E413F">
        <w:rPr>
          <w:rFonts w:ascii="Arial Narrow" w:eastAsia="宋体" w:hAnsi="Arial Narrow"/>
          <w:sz w:val="28"/>
          <w:szCs w:val="28"/>
        </w:rPr>
        <w:t>，与前面描述的</w:t>
      </w:r>
      <w:r w:rsidR="00E000C0" w:rsidRPr="007E413F">
        <w:rPr>
          <w:rFonts w:ascii="Arial Narrow" w:eastAsia="宋体" w:hAnsi="Arial Narrow"/>
          <w:sz w:val="28"/>
          <w:szCs w:val="28"/>
        </w:rPr>
        <w:t>75%</w:t>
      </w:r>
      <w:r w:rsidR="00E000C0" w:rsidRPr="007E413F">
        <w:rPr>
          <w:rFonts w:ascii="Arial Narrow" w:eastAsia="宋体" w:hAnsi="Arial Narrow"/>
          <w:sz w:val="28"/>
          <w:szCs w:val="28"/>
        </w:rPr>
        <w:t>成新率是否一致？</w:t>
      </w:r>
    </w:p>
    <w:p w:rsidR="00A66E01" w:rsidRPr="007E413F" w:rsidRDefault="00A66E01"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553A23">
        <w:rPr>
          <w:rFonts w:ascii="Arial Narrow" w:eastAsia="宋体" w:hAnsi="Arial Narrow" w:hint="eastAsia"/>
          <w:sz w:val="28"/>
          <w:szCs w:val="28"/>
        </w:rPr>
        <w:t>计算表成新率书写有误，应为</w:t>
      </w:r>
      <w:r w:rsidR="00553A23">
        <w:rPr>
          <w:rFonts w:ascii="Arial Narrow" w:eastAsia="宋体" w:hAnsi="Arial Narrow" w:hint="eastAsia"/>
          <w:sz w:val="28"/>
          <w:szCs w:val="28"/>
        </w:rPr>
        <w:t>75%</w:t>
      </w:r>
      <w:r w:rsidR="00553A23">
        <w:rPr>
          <w:rFonts w:ascii="Arial Narrow" w:eastAsia="宋体" w:hAnsi="Arial Narrow" w:hint="eastAsia"/>
          <w:sz w:val="28"/>
          <w:szCs w:val="28"/>
        </w:rPr>
        <w:t>，与前面一致，报告已修改</w:t>
      </w:r>
    </w:p>
    <w:p w:rsidR="001F4F32" w:rsidRPr="003E255D" w:rsidRDefault="007E413F" w:rsidP="007E413F">
      <w:pPr>
        <w:spacing w:line="360" w:lineRule="auto"/>
        <w:ind w:firstLineChars="200" w:firstLine="560"/>
        <w:rPr>
          <w:rFonts w:ascii="Arial Narrow" w:eastAsia="宋体" w:hAnsi="Arial Narrow"/>
          <w:sz w:val="28"/>
          <w:szCs w:val="28"/>
        </w:rPr>
      </w:pPr>
      <w:r w:rsidRPr="003E255D">
        <w:rPr>
          <w:rFonts w:ascii="Arial Narrow" w:eastAsia="宋体" w:hAnsi="Arial Narrow"/>
          <w:sz w:val="28"/>
          <w:szCs w:val="28"/>
        </w:rPr>
        <w:t>8</w:t>
      </w:r>
      <w:r w:rsidRPr="003E255D">
        <w:rPr>
          <w:rFonts w:ascii="Arial Narrow" w:eastAsia="宋体" w:hAnsi="Arial Narrow" w:hint="eastAsia"/>
          <w:sz w:val="28"/>
          <w:szCs w:val="28"/>
        </w:rPr>
        <w:t>、</w:t>
      </w:r>
      <w:r w:rsidR="001F4F32" w:rsidRPr="003E255D">
        <w:rPr>
          <w:rFonts w:ascii="Arial Narrow" w:eastAsia="宋体" w:hAnsi="Arial Narrow"/>
          <w:sz w:val="28"/>
          <w:szCs w:val="28"/>
        </w:rPr>
        <w:t>本次评估采用收益法计算租金主要参数为市场法计算的价值及折现率，资料主要来自于市场，补充说明如何受客观及时效影响造成</w:t>
      </w:r>
      <w:r w:rsidRPr="003E255D">
        <w:rPr>
          <w:rFonts w:ascii="Arial Narrow" w:eastAsia="宋体" w:hAnsi="Arial Narrow"/>
          <w:sz w:val="28"/>
          <w:szCs w:val="28"/>
        </w:rPr>
        <w:t>评估值差异很大。</w:t>
      </w:r>
    </w:p>
    <w:p w:rsidR="00A66E01" w:rsidRPr="007E413F" w:rsidRDefault="003E255D" w:rsidP="007E413F">
      <w:pPr>
        <w:spacing w:line="360" w:lineRule="auto"/>
        <w:ind w:firstLineChars="200" w:firstLine="560"/>
        <w:rPr>
          <w:rFonts w:ascii="Arial Narrow" w:eastAsia="宋体" w:hAnsi="Arial Narrow"/>
          <w:sz w:val="28"/>
          <w:szCs w:val="28"/>
        </w:rPr>
      </w:pPr>
      <w:r w:rsidRPr="003E255D">
        <w:rPr>
          <w:rFonts w:ascii="Arial Narrow" w:eastAsia="宋体" w:hAnsi="Arial Narrow" w:hint="eastAsia"/>
          <w:sz w:val="28"/>
          <w:szCs w:val="28"/>
        </w:rPr>
        <w:t>答：当前该区域办公用房房地产市场的租金售价存在偏离，实际的投资报酬率较低。而收益法中采用的报酬率为正常市场下应达到的客观水平，因此本次收</w:t>
      </w:r>
      <w:r>
        <w:rPr>
          <w:rFonts w:ascii="Arial Narrow" w:eastAsia="宋体" w:hAnsi="Arial Narrow" w:hint="eastAsia"/>
          <w:sz w:val="28"/>
          <w:szCs w:val="28"/>
        </w:rPr>
        <w:t>益法（由售价反推租金模式下）计算出的结果与当前市场租金存在差异</w:t>
      </w:r>
    </w:p>
    <w:p w:rsidR="007E413F"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9</w:t>
      </w:r>
      <w:r>
        <w:rPr>
          <w:rFonts w:ascii="Arial Narrow" w:eastAsia="宋体" w:hAnsi="Arial Narrow" w:hint="eastAsia"/>
          <w:sz w:val="28"/>
          <w:szCs w:val="28"/>
        </w:rPr>
        <w:t>、</w:t>
      </w:r>
      <w:r w:rsidRPr="007E413F">
        <w:rPr>
          <w:rFonts w:ascii="Arial Narrow" w:eastAsia="宋体" w:hAnsi="Arial Narrow"/>
          <w:sz w:val="28"/>
          <w:szCs w:val="28"/>
        </w:rPr>
        <w:t>补充说明事项披露涉及的</w:t>
      </w:r>
      <w:r w:rsidRPr="007E413F">
        <w:rPr>
          <w:rFonts w:ascii="Arial Narrow" w:eastAsia="宋体" w:hAnsi="Arial Narrow"/>
          <w:sz w:val="28"/>
          <w:szCs w:val="28"/>
        </w:rPr>
        <w:t>105</w:t>
      </w:r>
      <w:r w:rsidRPr="007E413F">
        <w:rPr>
          <w:rFonts w:ascii="Arial Narrow" w:eastAsia="宋体" w:hAnsi="Arial Narrow"/>
          <w:sz w:val="28"/>
          <w:szCs w:val="28"/>
        </w:rPr>
        <w:t>平共有事项评估人员履行的相关核查验证程序，如是否到相关部门查档核查等。</w:t>
      </w:r>
    </w:p>
    <w:p w:rsidR="00A66E01" w:rsidRPr="007E413F" w:rsidRDefault="00A66E01"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915831">
        <w:rPr>
          <w:rFonts w:ascii="Arial Narrow" w:eastAsia="宋体" w:hAnsi="Arial Narrow" w:hint="eastAsia"/>
          <w:sz w:val="28"/>
          <w:szCs w:val="28"/>
        </w:rPr>
        <w:t>未经产权方授权，我公司无权到相关部门进行查档，相关部门不予接待</w:t>
      </w:r>
    </w:p>
    <w:p w:rsidR="00E000C0" w:rsidRPr="00A66E01" w:rsidRDefault="00E000C0">
      <w:bookmarkStart w:id="0" w:name="_GoBack"/>
      <w:bookmarkEnd w:id="0"/>
    </w:p>
    <w:p w:rsidR="00E000C0" w:rsidRPr="000F7FC9" w:rsidRDefault="00E000C0"/>
    <w:sectPr w:rsidR="00E000C0" w:rsidRPr="000F7F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C9"/>
    <w:rsid w:val="000F7FC9"/>
    <w:rsid w:val="001F4F32"/>
    <w:rsid w:val="0029473F"/>
    <w:rsid w:val="002B7E71"/>
    <w:rsid w:val="003E255D"/>
    <w:rsid w:val="00445CCB"/>
    <w:rsid w:val="00553A23"/>
    <w:rsid w:val="00575E07"/>
    <w:rsid w:val="00687590"/>
    <w:rsid w:val="006A43C4"/>
    <w:rsid w:val="007D5328"/>
    <w:rsid w:val="007E413F"/>
    <w:rsid w:val="00811DE8"/>
    <w:rsid w:val="008149AB"/>
    <w:rsid w:val="00915831"/>
    <w:rsid w:val="00944C66"/>
    <w:rsid w:val="00962709"/>
    <w:rsid w:val="00A01632"/>
    <w:rsid w:val="00A66E01"/>
    <w:rsid w:val="00B01C25"/>
    <w:rsid w:val="00B125ED"/>
    <w:rsid w:val="00B655A2"/>
    <w:rsid w:val="00C44E79"/>
    <w:rsid w:val="00D40627"/>
    <w:rsid w:val="00D70BEE"/>
    <w:rsid w:val="00E000C0"/>
    <w:rsid w:val="00E435C2"/>
    <w:rsid w:val="00EB59BA"/>
    <w:rsid w:val="00FE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590"/>
    <w:pPr>
      <w:ind w:firstLineChars="200" w:firstLine="420"/>
    </w:pPr>
  </w:style>
  <w:style w:type="character" w:styleId="a4">
    <w:name w:val="annotation reference"/>
    <w:basedOn w:val="a0"/>
    <w:uiPriority w:val="99"/>
    <w:semiHidden/>
    <w:unhideWhenUsed/>
    <w:rsid w:val="006A43C4"/>
    <w:rPr>
      <w:sz w:val="21"/>
      <w:szCs w:val="21"/>
    </w:rPr>
  </w:style>
  <w:style w:type="paragraph" w:styleId="a5">
    <w:name w:val="annotation text"/>
    <w:basedOn w:val="a"/>
    <w:link w:val="Char"/>
    <w:uiPriority w:val="99"/>
    <w:semiHidden/>
    <w:unhideWhenUsed/>
    <w:rsid w:val="006A43C4"/>
    <w:pPr>
      <w:jc w:val="left"/>
    </w:pPr>
  </w:style>
  <w:style w:type="character" w:customStyle="1" w:styleId="Char">
    <w:name w:val="批注文字 Char"/>
    <w:basedOn w:val="a0"/>
    <w:link w:val="a5"/>
    <w:uiPriority w:val="99"/>
    <w:semiHidden/>
    <w:rsid w:val="006A43C4"/>
  </w:style>
  <w:style w:type="paragraph" w:styleId="a6">
    <w:name w:val="annotation subject"/>
    <w:basedOn w:val="a5"/>
    <w:next w:val="a5"/>
    <w:link w:val="Char0"/>
    <w:uiPriority w:val="99"/>
    <w:semiHidden/>
    <w:unhideWhenUsed/>
    <w:rsid w:val="006A43C4"/>
    <w:rPr>
      <w:b/>
      <w:bCs/>
    </w:rPr>
  </w:style>
  <w:style w:type="character" w:customStyle="1" w:styleId="Char0">
    <w:name w:val="批注主题 Char"/>
    <w:basedOn w:val="Char"/>
    <w:link w:val="a6"/>
    <w:uiPriority w:val="99"/>
    <w:semiHidden/>
    <w:rsid w:val="006A43C4"/>
    <w:rPr>
      <w:b/>
      <w:bCs/>
    </w:rPr>
  </w:style>
  <w:style w:type="paragraph" w:styleId="a7">
    <w:name w:val="Balloon Text"/>
    <w:basedOn w:val="a"/>
    <w:link w:val="Char1"/>
    <w:uiPriority w:val="99"/>
    <w:semiHidden/>
    <w:unhideWhenUsed/>
    <w:rsid w:val="006A43C4"/>
    <w:rPr>
      <w:sz w:val="18"/>
      <w:szCs w:val="18"/>
    </w:rPr>
  </w:style>
  <w:style w:type="character" w:customStyle="1" w:styleId="Char1">
    <w:name w:val="批注框文本 Char"/>
    <w:basedOn w:val="a0"/>
    <w:link w:val="a7"/>
    <w:uiPriority w:val="99"/>
    <w:semiHidden/>
    <w:rsid w:val="006A43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590"/>
    <w:pPr>
      <w:ind w:firstLineChars="200" w:firstLine="420"/>
    </w:pPr>
  </w:style>
  <w:style w:type="character" w:styleId="a4">
    <w:name w:val="annotation reference"/>
    <w:basedOn w:val="a0"/>
    <w:uiPriority w:val="99"/>
    <w:semiHidden/>
    <w:unhideWhenUsed/>
    <w:rsid w:val="006A43C4"/>
    <w:rPr>
      <w:sz w:val="21"/>
      <w:szCs w:val="21"/>
    </w:rPr>
  </w:style>
  <w:style w:type="paragraph" w:styleId="a5">
    <w:name w:val="annotation text"/>
    <w:basedOn w:val="a"/>
    <w:link w:val="Char"/>
    <w:uiPriority w:val="99"/>
    <w:semiHidden/>
    <w:unhideWhenUsed/>
    <w:rsid w:val="006A43C4"/>
    <w:pPr>
      <w:jc w:val="left"/>
    </w:pPr>
  </w:style>
  <w:style w:type="character" w:customStyle="1" w:styleId="Char">
    <w:name w:val="批注文字 Char"/>
    <w:basedOn w:val="a0"/>
    <w:link w:val="a5"/>
    <w:uiPriority w:val="99"/>
    <w:semiHidden/>
    <w:rsid w:val="006A43C4"/>
  </w:style>
  <w:style w:type="paragraph" w:styleId="a6">
    <w:name w:val="annotation subject"/>
    <w:basedOn w:val="a5"/>
    <w:next w:val="a5"/>
    <w:link w:val="Char0"/>
    <w:uiPriority w:val="99"/>
    <w:semiHidden/>
    <w:unhideWhenUsed/>
    <w:rsid w:val="006A43C4"/>
    <w:rPr>
      <w:b/>
      <w:bCs/>
    </w:rPr>
  </w:style>
  <w:style w:type="character" w:customStyle="1" w:styleId="Char0">
    <w:name w:val="批注主题 Char"/>
    <w:basedOn w:val="Char"/>
    <w:link w:val="a6"/>
    <w:uiPriority w:val="99"/>
    <w:semiHidden/>
    <w:rsid w:val="006A43C4"/>
    <w:rPr>
      <w:b/>
      <w:bCs/>
    </w:rPr>
  </w:style>
  <w:style w:type="paragraph" w:styleId="a7">
    <w:name w:val="Balloon Text"/>
    <w:basedOn w:val="a"/>
    <w:link w:val="Char1"/>
    <w:uiPriority w:val="99"/>
    <w:semiHidden/>
    <w:unhideWhenUsed/>
    <w:rsid w:val="006A43C4"/>
    <w:rPr>
      <w:sz w:val="18"/>
      <w:szCs w:val="18"/>
    </w:rPr>
  </w:style>
  <w:style w:type="character" w:customStyle="1" w:styleId="Char1">
    <w:name w:val="批注框文本 Char"/>
    <w:basedOn w:val="a0"/>
    <w:link w:val="a7"/>
    <w:uiPriority w:val="99"/>
    <w:semiHidden/>
    <w:rsid w:val="006A43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224</Words>
  <Characters>1283</Characters>
  <Application>Microsoft Office Word</Application>
  <DocSecurity>0</DocSecurity>
  <Lines>10</Lines>
  <Paragraphs>3</Paragraphs>
  <ScaleCrop>false</ScaleCrop>
  <Company>Microsoft</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王浩</dc:creator>
  <cp:lastModifiedBy>Sky123.Org</cp:lastModifiedBy>
  <cp:revision>6</cp:revision>
  <dcterms:created xsi:type="dcterms:W3CDTF">2021-01-27T09:18:00Z</dcterms:created>
  <dcterms:modified xsi:type="dcterms:W3CDTF">2021-01-28T02:59:00Z</dcterms:modified>
</cp:coreProperties>
</file>