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adjustRightInd w:val="0"/>
        <w:spacing w:line="480" w:lineRule="auto"/>
        <w:jc w:val="center"/>
        <w:textAlignment w:val="baseline"/>
        <w:outlineLvl w:val="0"/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132773283"/>
      <w:r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  <w:t>房地产抵押</w:t>
      </w:r>
      <w:bookmarkEnd w:id="0"/>
      <w:r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  <w:t>价值确认书</w:t>
      </w:r>
    </w:p>
    <w:p>
      <w:pPr>
        <w:rPr>
          <w:rFonts w:hint="eastAsia" w:eastAsia="宋体"/>
          <w:lang w:eastAsia="zh-CN"/>
        </w:rPr>
      </w:pPr>
    </w:p>
    <w:p>
      <w:pPr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>
        <w:rPr>
          <w:rFonts w:hint="eastAsia" w:ascii="Arial" w:hAnsi="Arial"/>
          <w:b/>
          <w:sz w:val="21"/>
          <w:szCs w:val="28"/>
        </w:rPr>
        <w:t>北京万港通科技发展有限公司:</w:t>
      </w:r>
    </w:p>
    <w:p>
      <w:pPr>
        <w:tabs>
          <w:tab w:val="left" w:pos="8647"/>
        </w:tabs>
        <w:overflowPunct w:val="0"/>
        <w:spacing w:line="480" w:lineRule="auto"/>
        <w:ind w:right="17" w:firstLine="420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  <w:r>
        <w:rPr>
          <w:rFonts w:hint="eastAsia" w:ascii="Arial" w:hAnsi="Arial"/>
          <w:sz w:val="21"/>
          <w:szCs w:val="28"/>
        </w:rPr>
        <w:t>受贵公司委托，我公司对北京经济技术开发区荣华南路1号院2号楼1层108号等124套办公用房及-1层-101号等18套地下仓储用房房地产市场价值进行了评估，估价对象建筑面积合计为22521.09平方米，其中办公用房建筑面积19094.16平方米，地下仓储用房3426.93平方米，于价值时点为2021年12月31日，评估值为人民币78260万元。</w:t>
      </w:r>
      <w:r>
        <w:rPr>
          <w:rFonts w:hint="eastAsia" w:ascii="Arial" w:hAnsi="Arial" w:cs="Arial"/>
          <w:b/>
          <w:sz w:val="21"/>
          <w:szCs w:val="21"/>
        </w:rPr>
        <w:t>本次估价对象扣减相关处置税费后的余额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>为</w:t>
      </w:r>
      <w:r>
        <w:rPr>
          <w:rFonts w:hint="eastAsia" w:ascii="Arial" w:hAnsi="Arial"/>
          <w:sz w:val="21"/>
          <w:szCs w:val="28"/>
        </w:rPr>
        <w:t>人民币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>68752万元</w:t>
      </w:r>
      <w:r>
        <w:rPr>
          <w:rFonts w:hint="eastAsia" w:ascii="Arial" w:hAnsi="Arial" w:cs="Arial"/>
          <w:b/>
          <w:sz w:val="21"/>
          <w:szCs w:val="21"/>
          <w:lang w:eastAsia="zh-CN"/>
        </w:rPr>
        <w:t>。</w:t>
      </w: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tbl>
      <w:tblPr>
        <w:tblStyle w:val="8"/>
        <w:tblpPr w:leftFromText="180" w:rightFromText="180" w:vertAnchor="text" w:horzAnchor="page" w:tblpX="1550" w:tblpY="305"/>
        <w:tblOverlap w:val="never"/>
        <w:tblW w:w="9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ind w:firstLine="1575" w:firstLineChars="7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法定代表人：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○二二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default" w:ascii="Arial" w:hAnsi="Arial" w:cs="Arial"/>
          <w:b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sz w:val="21"/>
          <w:szCs w:val="21"/>
          <w:lang w:val="en-US" w:eastAsia="zh-CN"/>
        </w:rPr>
        <w:t>附件：计算过程</w:t>
      </w:r>
    </w:p>
    <w:p>
      <w:pPr>
        <w:spacing w:line="240" w:lineRule="auto"/>
        <w:jc w:val="center"/>
        <w:rPr>
          <w:rFonts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</w:t>
      </w:r>
    </w:p>
    <w:tbl>
      <w:tblPr>
        <w:tblStyle w:val="8"/>
        <w:tblW w:w="9300" w:type="dxa"/>
        <w:jc w:val="center"/>
        <w:tblBorders>
          <w:top w:val="dotted" w:color="404040" w:sz="2" w:space="0"/>
          <w:left w:val="dotted" w:color="404040" w:sz="2" w:space="0"/>
          <w:bottom w:val="dotted" w:color="404040" w:sz="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1985"/>
        <w:gridCol w:w="850"/>
        <w:gridCol w:w="2694"/>
        <w:gridCol w:w="1984"/>
        <w:gridCol w:w="1219"/>
      </w:tblGrid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color w:val="E36C0A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估价对象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基本情况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对象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北京经济技术开发区荣华南路1号院2号楼1层108号等124套办公用房及-1层-101号等18套地下仓储用房房地产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202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12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31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日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78260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2052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转让额×税（费）率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39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0.05%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7417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9508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玖仟伍佰零捌万元整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扣减相关处置税费后的余额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68752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陆亿捌仟柒佰伍拾贰万元整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扣减相关处置税费后余额单价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30528</w:t>
            </w:r>
          </w:p>
        </w:tc>
      </w:tr>
    </w:tbl>
    <w:p>
      <w:pPr>
        <w:spacing w:line="240" w:lineRule="auto"/>
        <w:ind w:right="403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单位：万元、元</w:t>
      </w:r>
      <w:r>
        <w:rPr>
          <w:rFonts w:ascii="Arial" w:hAnsi="Arial" w:eastAsia="华文细黑" w:cs="Arial"/>
          <w:bCs/>
          <w:color w:val="000000"/>
          <w:sz w:val="18"/>
          <w:szCs w:val="18"/>
        </w:rPr>
        <w:t>/</w:t>
      </w: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平方米</w:t>
      </w: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注：依据现行税费表调整</w:t>
      </w:r>
    </w:p>
    <w:p>
      <w:pPr>
        <w:widowControl/>
        <w:adjustRightInd/>
        <w:spacing w:line="480" w:lineRule="auto"/>
        <w:textAlignment w:val="auto"/>
        <w:rPr>
          <w:rFonts w:ascii="Arial" w:hAnsi="Arial"/>
          <w:sz w:val="21"/>
          <w:szCs w:val="28"/>
        </w:rPr>
      </w:pPr>
      <w:r>
        <w:rPr>
          <w:rFonts w:hint="eastAsia" w:ascii="Arial" w:hAnsi="Arial"/>
          <w:sz w:val="21"/>
          <w:szCs w:val="28"/>
        </w:rPr>
        <w:t>其中，土地增值税</w:t>
      </w:r>
      <w:r>
        <w:rPr>
          <w:rFonts w:hint="eastAsia" w:ascii="Arial" w:hAnsi="Arial"/>
          <w:sz w:val="21"/>
          <w:szCs w:val="28"/>
          <w:lang w:val="en-US" w:eastAsia="zh-CN"/>
        </w:rPr>
        <w:t>计</w:t>
      </w:r>
      <w:r>
        <w:rPr>
          <w:rFonts w:hint="eastAsia" w:ascii="Arial" w:hAnsi="Arial"/>
          <w:sz w:val="21"/>
          <w:szCs w:val="28"/>
        </w:rPr>
        <w:t>取见下表：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87"/>
        <w:gridCol w:w="1237"/>
        <w:gridCol w:w="87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项目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总额（万元）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系数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转让收入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74533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评估值/（1+5%）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扣除项合计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49811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原购房价及相关税费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49364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40086.78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依据购房合同</w:t>
            </w:r>
            <w:r>
              <w:rPr>
                <w:rFonts w:hint="eastAsia" w:ascii="Arial" w:hAnsi="Arial" w:eastAsia="华文细黑" w:cs="Arial"/>
                <w:bCs/>
                <w:sz w:val="18"/>
                <w:lang w:eastAsia="zh-CN"/>
              </w:rPr>
              <w:t>、</w:t>
            </w: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购房发票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加计扣减项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10022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1164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3.05%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含契税及印花税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转让税金支出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447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0.60%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不含增值税，仅附加税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24722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增值额与扣除项比率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49.6%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增值额超过扣除项目金额50%，未超过100%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应纳增值税税额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7417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土地增值税税额=增值额×40%－扣除项目金额×5% </w:t>
            </w:r>
          </w:p>
        </w:tc>
      </w:tr>
    </w:tbl>
    <w:p>
      <w:pPr>
        <w:spacing w:line="240" w:lineRule="auto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sectPr>
      <w:footerReference r:id="rId5" w:type="default"/>
      <w:pgSz w:w="11906" w:h="16838"/>
      <w:pgMar w:top="1440" w:right="127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snapToGrid/>
      <w:spacing w:line="240" w:lineRule="atLeas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pBdr>
                              <w:top w:val="single" w:color="auto" w:sz="4" w:space="1"/>
                            </w:pBdr>
                            <w:snapToGrid/>
                            <w:spacing w:line="240" w:lineRule="atLeast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single" w:color="auto" w:sz="4" w:space="1"/>
                      </w:pBdr>
                      <w:snapToGrid/>
                      <w:spacing w:line="240" w:lineRule="atLeast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362E"/>
    <w:multiLevelType w:val="multilevel"/>
    <w:tmpl w:val="7906362E"/>
    <w:lvl w:ilvl="0" w:tentative="0">
      <w:start w:val="1"/>
      <w:numFmt w:val="upperLetter"/>
      <w:pStyle w:val="2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C1EE6"/>
    <w:rsid w:val="007C1EE6"/>
    <w:rsid w:val="009F56E5"/>
    <w:rsid w:val="00CB1766"/>
    <w:rsid w:val="36DB5181"/>
    <w:rsid w:val="426E525C"/>
    <w:rsid w:val="42F350F7"/>
    <w:rsid w:val="583849DC"/>
    <w:rsid w:val="632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00" w:lineRule="auto"/>
      <w:jc w:val="both"/>
      <w:outlineLvl w:val="0"/>
    </w:pPr>
    <w:rPr>
      <w:rFonts w:ascii="Arial" w:hAnsi="Arial" w:eastAsia="仿宋_GB2312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8">
    <w:name w:val="批注文字 字符"/>
    <w:basedOn w:val="9"/>
    <w:link w:val="3"/>
    <w:qFormat/>
    <w:uiPriority w:val="0"/>
    <w:rPr>
      <w:sz w:val="24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1</TotalTime>
  <ScaleCrop>false</ScaleCrop>
  <LinksUpToDate>false</LinksUpToDate>
  <CharactersWithSpaces>1010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2022-08-04T01:47:00Z</dcterms:created>
  <dc:creator>kbb2345</dc:creator>
  <cp:lastModifiedBy>李斌</cp:lastModifiedBy>
  <dcterms:modified xsi:type="dcterms:W3CDTF">2022-08-04T06:46:18Z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2FD698AEC9E449AC94A379406218454F</vt:lpwstr>
  </property>
</Properties>
</file>