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left" w:pos="720"/>
        </w:tabs>
        <w:spacing w:line="480" w:lineRule="auto"/>
        <w:jc w:val="center"/>
        <w:rPr>
          <w:rFonts w:hint="eastAsia" w:ascii="方正黑体简体" w:eastAsia="方正黑体简体"/>
          <w:b/>
          <w:kern w:val="2"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b/>
          <w:kern w:val="2"/>
          <w:sz w:val="32"/>
          <w:szCs w:val="32"/>
          <w:lang w:val="en-US" w:eastAsia="zh-CN"/>
        </w:rPr>
        <w:t>补 充 说 明</w:t>
      </w:r>
    </w:p>
    <w:p>
      <w:pPr>
        <w:rPr>
          <w:rFonts w:hint="eastAsia"/>
          <w:lang w:val="en-US" w:eastAsia="zh-CN"/>
        </w:rPr>
      </w:pPr>
    </w:p>
    <w:p>
      <w:pPr>
        <w:overflowPunct w:val="0"/>
        <w:spacing w:line="480" w:lineRule="auto"/>
        <w:jc w:val="both"/>
        <w:textAlignment w:val="auto"/>
        <w:rPr>
          <w:rFonts w:hint="eastAsia" w:ascii="Arial" w:hAnsi="Arial"/>
          <w:b/>
          <w:sz w:val="21"/>
          <w:szCs w:val="28"/>
          <w:lang w:val="en-US" w:eastAsia="zh-CN"/>
        </w:rPr>
      </w:pPr>
      <w:r>
        <w:rPr>
          <w:rFonts w:hint="eastAsia" w:ascii="Arial" w:hAnsi="Arial"/>
          <w:b/>
          <w:sz w:val="21"/>
          <w:szCs w:val="28"/>
          <w:lang w:val="en-US" w:eastAsia="zh-CN"/>
        </w:rPr>
        <w:t>北京万港通科技发展有限公司:</w:t>
      </w:r>
    </w:p>
    <w:p>
      <w:pPr>
        <w:tabs>
          <w:tab w:val="left" w:pos="8647"/>
        </w:tabs>
        <w:overflowPunct w:val="0"/>
        <w:spacing w:line="480" w:lineRule="auto"/>
        <w:ind w:right="17" w:firstLine="420" w:firstLineChars="200"/>
        <w:jc w:val="both"/>
        <w:textAlignment w:val="auto"/>
        <w:rPr>
          <w:rFonts w:hint="eastAsia" w:ascii="Arial" w:hAnsi="Arial"/>
          <w:sz w:val="21"/>
          <w:szCs w:val="28"/>
          <w:lang w:val="en-US" w:eastAsia="zh-CN"/>
        </w:rPr>
      </w:pPr>
      <w:r>
        <w:rPr>
          <w:rFonts w:hint="eastAsia" w:ascii="Arial" w:hAnsi="Arial"/>
          <w:sz w:val="21"/>
          <w:szCs w:val="28"/>
          <w:lang w:val="en-US" w:eastAsia="zh-CN"/>
        </w:rPr>
        <w:t>受贵公司委托，我公司对北京经济技术开发区荣华南路1号院2号楼1层108号等124套办公用房及-1层-101号等18套地下仓储用房房地产市场价值进行了评估，并于2022年3月21日出具《不动产估价报告书》，报告编号为康正评字2022-1-0093-F02DYGJ2号。依上述《不动产估价报告书》记载，估价对象建筑面积合计为22521.09平方米，其中办公用房建筑面积</w:t>
      </w:r>
      <w:r>
        <w:rPr>
          <w:rFonts w:hint="eastAsia" w:ascii="Arial" w:hAnsi="Arial"/>
          <w:sz w:val="21"/>
          <w:szCs w:val="28"/>
        </w:rPr>
        <w:t>19094.16平方米，</w:t>
      </w:r>
      <w:r>
        <w:rPr>
          <w:rFonts w:hint="eastAsia" w:ascii="Arial" w:hAnsi="Arial"/>
          <w:sz w:val="21"/>
          <w:szCs w:val="28"/>
          <w:lang w:val="en-US" w:eastAsia="zh-CN"/>
        </w:rPr>
        <w:t>地下仓储</w:t>
      </w:r>
      <w:r>
        <w:rPr>
          <w:rFonts w:hint="eastAsia" w:ascii="Arial" w:hAnsi="Arial"/>
          <w:sz w:val="21"/>
          <w:szCs w:val="28"/>
        </w:rPr>
        <w:t>用房3426.93平方米，</w:t>
      </w:r>
      <w:r>
        <w:rPr>
          <w:rFonts w:hint="eastAsia" w:ascii="Arial" w:hAnsi="Arial"/>
          <w:sz w:val="21"/>
          <w:szCs w:val="28"/>
          <w:lang w:val="en-US" w:eastAsia="zh-CN"/>
        </w:rPr>
        <w:t>于价值时点为2021年12月31日，评估值为人民币78260万元。</w:t>
      </w:r>
    </w:p>
    <w:p>
      <w:pPr>
        <w:spacing w:line="480" w:lineRule="auto"/>
        <w:rPr>
          <w:rFonts w:hint="eastAsia" w:ascii="Arial" w:hAnsi="Arial" w:eastAsia="宋体" w:cs="Arial"/>
          <w:b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sz w:val="21"/>
          <w:szCs w:val="21"/>
          <w:lang w:val="en-US" w:eastAsia="zh-CN"/>
        </w:rPr>
        <w:t>本次估价</w:t>
      </w:r>
      <w:r>
        <w:rPr>
          <w:rFonts w:hint="eastAsia" w:ascii="Arial" w:hAnsi="Arial" w:cs="Arial"/>
          <w:b/>
          <w:sz w:val="21"/>
          <w:szCs w:val="21"/>
        </w:rPr>
        <w:t>对象扣减相关处置税费后的余额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>据如下：</w:t>
      </w:r>
    </w:p>
    <w:p>
      <w:pPr>
        <w:spacing w:line="240" w:lineRule="auto"/>
        <w:jc w:val="center"/>
        <w:rPr>
          <w:rFonts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</w:t>
      </w:r>
    </w:p>
    <w:tbl>
      <w:tblPr>
        <w:tblStyle w:val="4"/>
        <w:tblW w:w="9300" w:type="dxa"/>
        <w:jc w:val="center"/>
        <w:tblBorders>
          <w:top w:val="dotted" w:color="404040" w:sz="2" w:space="0"/>
          <w:left w:val="dotted" w:color="404040" w:sz="2" w:space="0"/>
          <w:bottom w:val="dotted" w:color="404040" w:sz="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8"/>
        <w:gridCol w:w="1985"/>
        <w:gridCol w:w="850"/>
        <w:gridCol w:w="2694"/>
        <w:gridCol w:w="1984"/>
        <w:gridCol w:w="1219"/>
      </w:tblGrid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color w:val="E36C0A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估价对象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基本情况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估价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对象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北京经济技术开发区荣华南路1号院2号楼1层108号等124套办公用房及-1层-101号等18套地下仓储用房房地产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202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年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31</w:t>
            </w: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日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78260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00" w:type="dxa"/>
            <w:gridSpan w:val="6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2052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转让额×税（费）率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5.6%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0.05%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269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11908</w:t>
            </w:r>
          </w:p>
        </w:tc>
        <w:tc>
          <w:tcPr>
            <w:tcW w:w="198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转让额×税率</w:t>
            </w:r>
          </w:p>
        </w:tc>
        <w:tc>
          <w:tcPr>
            <w:tcW w:w="1219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13999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壹亿叁仟玖佰玖拾玖万元整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</w:tblPrEx>
        <w:trPr>
          <w:jc w:val="center"/>
        </w:trPr>
        <w:tc>
          <w:tcPr>
            <w:tcW w:w="568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扣减相关处置税费后的余额</w:t>
            </w: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64261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  <w:t>陆亿肆仟贰佰陆拾壹万元整</w:t>
            </w:r>
          </w:p>
        </w:tc>
      </w:tr>
      <w:tr>
        <w:tblPrEx>
          <w:tblBorders>
            <w:top w:val="dotted" w:color="404040" w:sz="2" w:space="0"/>
            <w:left w:val="dotted" w:color="404040" w:sz="2" w:space="0"/>
            <w:bottom w:val="dotted" w:color="404040" w:sz="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568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扣减相关处置税费后余额单价</w:t>
            </w:r>
          </w:p>
        </w:tc>
        <w:tc>
          <w:tcPr>
            <w:tcW w:w="5897" w:type="dxa"/>
            <w:gridSpan w:val="3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28534</w:t>
            </w:r>
          </w:p>
        </w:tc>
      </w:tr>
    </w:tbl>
    <w:p>
      <w:pPr>
        <w:spacing w:line="240" w:lineRule="auto"/>
        <w:ind w:right="403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单位：万元、元</w:t>
      </w:r>
      <w:r>
        <w:rPr>
          <w:rFonts w:ascii="Arial" w:hAnsi="Arial" w:eastAsia="华文细黑" w:cs="Arial"/>
          <w:bCs/>
          <w:color w:val="000000"/>
          <w:sz w:val="18"/>
          <w:szCs w:val="18"/>
        </w:rPr>
        <w:t>/</w:t>
      </w: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平方米</w:t>
      </w:r>
    </w:p>
    <w:p>
      <w:pPr>
        <w:spacing w:line="240" w:lineRule="auto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  <w:r>
        <w:rPr>
          <w:rFonts w:hint="eastAsia" w:ascii="Arial" w:hAnsi="Arial" w:eastAsia="华文细黑" w:cs="Arial"/>
          <w:bCs/>
          <w:color w:val="000000"/>
          <w:sz w:val="18"/>
          <w:szCs w:val="18"/>
        </w:rPr>
        <w:t>注：依据现行税费表调整</w:t>
      </w:r>
    </w:p>
    <w:p>
      <w:pPr>
        <w:spacing w:line="240" w:lineRule="auto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</w:p>
    <w:p>
      <w:pPr>
        <w:spacing w:line="240" w:lineRule="auto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</w:p>
    <w:p>
      <w:pPr>
        <w:spacing w:line="240" w:lineRule="auto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</w:p>
    <w:p>
      <w:pPr>
        <w:spacing w:line="240" w:lineRule="auto"/>
        <w:rPr>
          <w:rFonts w:hint="eastAsia" w:ascii="Arial" w:hAnsi="Arial" w:eastAsia="华文细黑" w:cs="Arial"/>
          <w:bCs/>
          <w:color w:val="000000"/>
          <w:sz w:val="18"/>
          <w:szCs w:val="18"/>
        </w:rPr>
      </w:pPr>
    </w:p>
    <w:p>
      <w:pPr>
        <w:widowControl/>
        <w:adjustRightInd/>
        <w:spacing w:line="240" w:lineRule="exact"/>
        <w:textAlignment w:val="auto"/>
        <w:rPr>
          <w:rFonts w:hint="eastAsia"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其中，土地增值税记取见下表：</w:t>
      </w:r>
    </w:p>
    <w:tbl>
      <w:tblPr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987"/>
        <w:gridCol w:w="1237"/>
        <w:gridCol w:w="870"/>
        <w:gridCol w:w="4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项目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</w:rPr>
              <w:t>总额（万元）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系数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转让收入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74533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评估值/（1+5%）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扣除项合计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39789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sz w:val="18"/>
              </w:rPr>
              <w:t>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（1）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原购房价及相关税费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39342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1）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原购房价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40086.78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依据购房合同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加计扣减项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5%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3）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相关税费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1164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3.05%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含契税及印花税</w:t>
            </w:r>
          </w:p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（2）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转让税金支出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447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0.60%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不含增值税，仅附加税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增值额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34744 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增值额与扣除项比率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87.3%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增值额超过扣除项目金额50%，未超过100%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3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5.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ascii="Arial" w:hAnsi="Arial" w:eastAsia="华文细黑" w:cs="Arial"/>
                <w:bCs/>
                <w:sz w:val="18"/>
                <w:lang w:val="en-US" w:eastAsia="zh-CN"/>
              </w:rPr>
              <w:t>应纳增值税税额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11908</w:t>
            </w:r>
          </w:p>
        </w:tc>
        <w:tc>
          <w:tcPr>
            <w:tcW w:w="870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>——</w:t>
            </w:r>
          </w:p>
        </w:tc>
        <w:tc>
          <w:tcPr>
            <w:tcW w:w="4571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textAlignment w:val="auto"/>
              <w:rPr>
                <w:rFonts w:hint="default" w:ascii="Arial" w:hAnsi="Arial" w:eastAsia="华文细黑" w:cs="Arial"/>
                <w:bCs/>
                <w:sz w:val="18"/>
              </w:rPr>
            </w:pPr>
            <w:r>
              <w:rPr>
                <w:rFonts w:hint="default" w:ascii="Arial" w:hAnsi="Arial" w:eastAsia="华文细黑" w:cs="Arial"/>
                <w:bCs/>
                <w:sz w:val="18"/>
                <w:lang w:val="en-US" w:eastAsia="zh-CN"/>
              </w:rPr>
              <w:t xml:space="preserve">土地增值税税额=增值额×40%－扣除项目金额×5% </w:t>
            </w:r>
          </w:p>
        </w:tc>
      </w:tr>
    </w:tbl>
    <w:p>
      <w:pPr>
        <w:spacing w:line="240" w:lineRule="auto"/>
        <w:rPr>
          <w:rFonts w:hint="eastAsia" w:ascii="Arial" w:hAnsi="Arial" w:cs="Arial"/>
          <w:sz w:val="21"/>
          <w:szCs w:val="21"/>
        </w:rPr>
      </w:pPr>
    </w:p>
    <w:p>
      <w:pPr>
        <w:spacing w:line="240" w:lineRule="auto"/>
        <w:rPr>
          <w:rFonts w:hint="eastAsia" w:ascii="Arial" w:hAnsi="Arial" w:cs="Arial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362E"/>
    <w:multiLevelType w:val="multilevel"/>
    <w:tmpl w:val="7906362E"/>
    <w:lvl w:ilvl="0" w:tentative="0">
      <w:start w:val="1"/>
      <w:numFmt w:val="upperLetter"/>
      <w:pStyle w:val="2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japaneseCounting"/>
      <w:lvlText w:val="（%2）"/>
      <w:lvlJc w:val="left"/>
      <w:pPr>
        <w:tabs>
          <w:tab w:val="left" w:pos="1275"/>
        </w:tabs>
        <w:ind w:left="1275" w:hanging="85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583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00" w:lineRule="auto"/>
      <w:jc w:val="both"/>
      <w:outlineLvl w:val="0"/>
    </w:pPr>
    <w:rPr>
      <w:rFonts w:ascii="Arial" w:hAnsi="Arial" w:eastAsia="仿宋_GB2312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8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0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3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2022-08-04T01:47:06Z</dcterms:created>
  <dc:creator>kbb2345</dc:creator>
  <cp:lastModifiedBy>李斌</cp:lastModifiedBy>
  <dcterms:modified xsi:type="dcterms:W3CDTF">2022-08-04T02:04:30Z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2FD698AEC9E449AC94A379406218454F</vt:lpwstr>
  </property>
</Properties>
</file>