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3A4B" w14:textId="474ADF9D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(2023)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执恢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1990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77777777" w:rsidR="00FA3B45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A7353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2551884D" w14:textId="210B5E4F"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北京市朝阳区清林东路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6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01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02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1301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1303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办公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分别于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023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8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23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康正评字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</w:t>
      </w:r>
      <w:r w:rsidR="00D7418F">
        <w:rPr>
          <w:rFonts w:ascii="Arial" w:eastAsia="楷体_GB2312" w:hAnsi="Arial" w:cs="Arial"/>
          <w:kern w:val="0"/>
          <w:sz w:val="28"/>
          <w:szCs w:val="28"/>
        </w:rPr>
        <w:t>1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SFZC6</w:t>
      </w:r>
      <w:r w:rsidR="004212E9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2023-1-0530-F02SFZC6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5BCC41D0" w:rsidR="005D2BB7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11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执行异议申请</w:t>
      </w:r>
      <w:r w:rsidR="00D7418F">
        <w:rPr>
          <w:rFonts w:ascii="Arial" w:eastAsia="楷体_GB2312" w:hAnsi="Arial" w:cs="Times New Roman" w:hint="eastAsia"/>
          <w:kern w:val="0"/>
          <w:sz w:val="28"/>
          <w:szCs w:val="28"/>
        </w:rPr>
        <w:t>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喻飞熊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76F55FFE" w:rsidR="006A7FFE" w:rsidRDefault="00822B9F" w:rsidP="003C769A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评估报告书中记载的评估价值与实际市场价值严重偏离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7A310612" w14:textId="3C8732EA" w:rsidR="00822B9F" w:rsidRPr="006A7FFE" w:rsidRDefault="00822B9F" w:rsidP="006A7FFE">
      <w:pPr>
        <w:kinsoku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6A7FFE" w:rsidRPr="006A7FFE">
        <w:rPr>
          <w:rFonts w:ascii="Arial" w:eastAsia="楷体_GB2312" w:hAnsi="Arial" w:cs="Arial"/>
          <w:kern w:val="0"/>
          <w:sz w:val="28"/>
          <w:szCs w:val="28"/>
        </w:rPr>
        <w:t>用房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位于北京</w:t>
      </w:r>
      <w:r w:rsidRPr="006A7FFE">
        <w:rPr>
          <w:rFonts w:ascii="Arial" w:eastAsia="楷体_GB2312" w:hAnsi="Arial" w:cs="Arial"/>
          <w:kern w:val="0"/>
          <w:sz w:val="28"/>
          <w:szCs w:val="28"/>
        </w:rPr>
        <w:t>市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朝阳区清林东路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。经调查，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估价对象所在小区</w:t>
      </w:r>
      <w:r w:rsidR="005D308B">
        <w:rPr>
          <w:rFonts w:ascii="Arial" w:eastAsia="楷体_GB2312" w:hAnsi="Arial" w:cs="Arial" w:hint="eastAsia"/>
          <w:kern w:val="0"/>
          <w:sz w:val="28"/>
          <w:szCs w:val="28"/>
        </w:rPr>
        <w:t>土地用途为城镇住宅用地、办公、办公（公共服务设施）、地下车库、地下仓储、商业，</w:t>
      </w:r>
      <w:r w:rsidR="002F1540">
        <w:rPr>
          <w:rFonts w:ascii="Arial" w:eastAsia="楷体_GB2312" w:hAnsi="Arial" w:cs="Arial" w:hint="eastAsia"/>
          <w:kern w:val="0"/>
          <w:sz w:val="28"/>
          <w:szCs w:val="28"/>
        </w:rPr>
        <w:t>其中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号楼为办公用途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估价对象登记用途为办公，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同时根据估价专业人员现场勘查，现状为办公用房，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不存在</w:t>
      </w:r>
      <w:r w:rsidR="002F1540">
        <w:rPr>
          <w:rFonts w:ascii="Arial" w:eastAsia="楷体_GB2312" w:hAnsi="Arial" w:cs="Arial" w:hint="eastAsia"/>
          <w:kern w:val="0"/>
          <w:sz w:val="28"/>
          <w:szCs w:val="28"/>
        </w:rPr>
        <w:t>房屋登记用途与土地用途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不一致</w:t>
      </w:r>
      <w:r w:rsidR="002F1540">
        <w:rPr>
          <w:rFonts w:ascii="Arial" w:eastAsia="楷体_GB2312" w:hAnsi="Arial" w:cs="Arial" w:hint="eastAsia"/>
          <w:kern w:val="0"/>
          <w:sz w:val="28"/>
          <w:szCs w:val="28"/>
        </w:rPr>
        <w:t>、登记用途与现状用途不一致</w:t>
      </w:r>
      <w:bookmarkStart w:id="0" w:name="_GoBack"/>
      <w:bookmarkEnd w:id="0"/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情况，根据合法性原则，本次评估应根据估价对象登记用途进行评估。</w:t>
      </w:r>
      <w:r w:rsidR="006907E1"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估价对象同小区</w:t>
      </w:r>
      <w:r w:rsidR="006C7E89">
        <w:rPr>
          <w:rFonts w:ascii="Arial" w:eastAsia="楷体_GB2312" w:hAnsi="Arial" w:cs="Arial" w:hint="eastAsia"/>
          <w:kern w:val="0"/>
          <w:sz w:val="28"/>
          <w:szCs w:val="28"/>
        </w:rPr>
        <w:t>有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用房成交实例</w:t>
      </w:r>
      <w:r w:rsidR="006C7E89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因此本次评估采用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估价对象同类办公用房交易实例进行比较评估得到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，不存在评估价值与实际市场价值严重偏离的情况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F34D65B" w14:textId="79198CE4" w:rsidR="00822B9F" w:rsidRPr="00846724" w:rsidRDefault="00822B9F" w:rsidP="00822B9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  <w:highlight w:val="yellow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我们调取了估价对象同小区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-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林奥嘉园</w:t>
      </w:r>
      <w:r w:rsidR="00370C2F">
        <w:rPr>
          <w:rFonts w:ascii="Arial" w:eastAsia="楷体_GB2312" w:hAnsi="Arial" w:cs="Arial"/>
          <w:kern w:val="0"/>
          <w:sz w:val="28"/>
          <w:szCs w:val="28"/>
        </w:rPr>
        <w:t>3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个</w:t>
      </w:r>
      <w:r w:rsidR="00D044CB">
        <w:rPr>
          <w:rFonts w:ascii="Arial" w:eastAsia="楷体_GB2312" w:hAnsi="Arial" w:cs="Arial" w:hint="eastAsia"/>
          <w:kern w:val="0"/>
          <w:sz w:val="28"/>
          <w:szCs w:val="28"/>
        </w:rPr>
        <w:t>具有较高可比性的交易</w:t>
      </w: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实例，</w:t>
      </w:r>
      <w:r w:rsidRPr="00846724">
        <w:rPr>
          <w:rFonts w:ascii="Arial" w:eastAsia="楷体_GB2312" w:hAnsi="Arial" w:cs="Arial" w:hint="eastAsia"/>
          <w:kern w:val="0"/>
          <w:sz w:val="28"/>
          <w:szCs w:val="28"/>
          <w:highlight w:val="yellow"/>
        </w:rPr>
        <w:t>详见下表。</w:t>
      </w:r>
    </w:p>
    <w:tbl>
      <w:tblPr>
        <w:tblW w:w="8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"/>
        <w:gridCol w:w="2367"/>
        <w:gridCol w:w="993"/>
        <w:gridCol w:w="795"/>
        <w:gridCol w:w="850"/>
        <w:gridCol w:w="1418"/>
        <w:gridCol w:w="850"/>
        <w:gridCol w:w="567"/>
      </w:tblGrid>
      <w:tr w:rsidR="00D044CB" w:rsidRPr="00846724" w14:paraId="5B3F3007" w14:textId="77777777" w:rsidTr="00D044CB">
        <w:trPr>
          <w:trHeight w:val="20"/>
          <w:tblHeader/>
          <w:jc w:val="center"/>
        </w:trPr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9103788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序号</w:t>
            </w:r>
          </w:p>
        </w:tc>
        <w:tc>
          <w:tcPr>
            <w:tcW w:w="23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E2F010C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房屋坐落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C47FC60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建筑面积</w:t>
            </w:r>
          </w:p>
          <w:p w14:paraId="70A9F8F7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（</w:t>
            </w:r>
            <w:r w:rsidRPr="00846724">
              <w:rPr>
                <w:rFonts w:ascii="Batang" w:eastAsia="Batang" w:hAnsi="Batang" w:cs="Batang" w:hint="eastAsia"/>
                <w:kern w:val="0"/>
                <w:sz w:val="13"/>
                <w:szCs w:val="13"/>
                <w:highlight w:val="yellow"/>
              </w:rPr>
              <w:t>㎡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）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3C112F1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楼层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1008117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成交单价</w:t>
            </w:r>
          </w:p>
          <w:p w14:paraId="6B652B84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（元/</w:t>
            </w:r>
            <w:r w:rsidRPr="00846724">
              <w:rPr>
                <w:rFonts w:ascii="Batang" w:eastAsia="Batang" w:hAnsi="Batang" w:cs="Batang" w:hint="eastAsia"/>
                <w:kern w:val="0"/>
                <w:sz w:val="13"/>
                <w:szCs w:val="13"/>
                <w:highlight w:val="yellow"/>
              </w:rPr>
              <w:t>㎡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34350D4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交易日期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880A1D1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成交总价</w:t>
            </w:r>
          </w:p>
          <w:p w14:paraId="29CCAFBC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（万元）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74ACA4A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朝向</w:t>
            </w:r>
          </w:p>
        </w:tc>
      </w:tr>
      <w:tr w:rsidR="00D044CB" w:rsidRPr="00846724" w14:paraId="5C1BD9DF" w14:textId="77777777" w:rsidTr="00D044C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14:paraId="222270C2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1E4C91C1" w14:textId="1EBEFE2A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朝阳区清林东路4号院7号楼</w:t>
            </w:r>
            <w:r w:rsidR="00D044CB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***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805354" w14:textId="652CC701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110.36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2809C2E4" w14:textId="5323CEF5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66498" w14:textId="22610D81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56905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CDE4CC" w14:textId="2CD0D0FC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2023</w:t>
            </w:r>
            <w:r w:rsidR="00D044CB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年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2</w:t>
            </w:r>
            <w:r w:rsidR="00D044CB"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月</w:t>
            </w: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2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3</w:t>
            </w:r>
            <w:r w:rsidR="00D044CB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CF4E30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sz w:val="13"/>
                <w:szCs w:val="13"/>
                <w:highlight w:val="yellow"/>
              </w:rPr>
              <w:t>2076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3C0E5" w14:textId="6F2BC1E5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南</w:t>
            </w:r>
          </w:p>
        </w:tc>
      </w:tr>
      <w:tr w:rsidR="00D044CB" w:rsidRPr="00846724" w14:paraId="5800AAB6" w14:textId="77777777" w:rsidTr="00D044C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14:paraId="33822132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22404532" w14:textId="2A988F0A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朝阳区清林东路4号院7号楼</w:t>
            </w:r>
            <w:r w:rsidR="00D044CB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***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AB5453" w14:textId="16D1A677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1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10.36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45CEC0BB" w14:textId="1CE63DCE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1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491D6" w14:textId="08EF9831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5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0743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1B98A8" w14:textId="7E796CC8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202</w:t>
            </w:r>
            <w:r w:rsidR="00846724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3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年</w:t>
            </w:r>
            <w:r w:rsidR="00846724"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3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月</w:t>
            </w:r>
            <w:r w:rsidR="00846724"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2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BC3DAC" w14:textId="77777777" w:rsidR="00D044CB" w:rsidRPr="00846724" w:rsidRDefault="00D044CB" w:rsidP="001A7EA4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sz w:val="13"/>
                <w:szCs w:val="13"/>
                <w:highlight w:val="yellow"/>
              </w:rPr>
              <w:t>1</w:t>
            </w:r>
            <w:r w:rsidRPr="00846724">
              <w:rPr>
                <w:rFonts w:ascii="微软雅黑" w:eastAsia="微软雅黑" w:hAnsi="微软雅黑" w:cs="Arial"/>
                <w:sz w:val="13"/>
                <w:szCs w:val="13"/>
                <w:highlight w:val="yellow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6EEB6" w14:textId="7CBA5F1B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南</w:t>
            </w:r>
          </w:p>
        </w:tc>
      </w:tr>
      <w:tr w:rsidR="00D044CB" w:rsidRPr="008756DC" w14:paraId="1A3FAA1B" w14:textId="77777777" w:rsidTr="00D044C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14:paraId="2CA1E5DB" w14:textId="77777777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9FBBEF3" w14:textId="75B1F5AC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朝阳区清林东路4号院7号楼</w:t>
            </w:r>
            <w:r w:rsidR="00D044CB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***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D9598E" w14:textId="12119708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110.36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124D57EF" w14:textId="1FC1053D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1</w:t>
            </w:r>
            <w:r w:rsidR="00846724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3319E8" w14:textId="68DDD759" w:rsidR="00D044CB" w:rsidRPr="00846724" w:rsidRDefault="00846724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5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9351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75A7F6" w14:textId="7587A0AB" w:rsidR="00D044CB" w:rsidRPr="00846724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202</w:t>
            </w:r>
            <w:r w:rsidR="00846724"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3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年</w:t>
            </w:r>
            <w:r w:rsidR="00846724"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5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月</w:t>
            </w:r>
            <w:r w:rsidR="00846724"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9</w:t>
            </w:r>
            <w:r w:rsidRPr="00846724">
              <w:rPr>
                <w:rFonts w:ascii="微软雅黑" w:eastAsia="微软雅黑" w:hAnsi="微软雅黑" w:cs="Arial"/>
                <w:kern w:val="0"/>
                <w:sz w:val="13"/>
                <w:szCs w:val="13"/>
                <w:highlight w:val="yellow"/>
              </w:rPr>
              <w:t>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B93134" w14:textId="77777777" w:rsidR="00D044CB" w:rsidRPr="00846724" w:rsidRDefault="00D044CB" w:rsidP="001A7EA4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  <w:highlight w:val="yellow"/>
              </w:rPr>
            </w:pPr>
            <w:r w:rsidRPr="00846724">
              <w:rPr>
                <w:rFonts w:ascii="微软雅黑" w:eastAsia="微软雅黑" w:hAnsi="微软雅黑" w:cs="Arial" w:hint="eastAsia"/>
                <w:sz w:val="13"/>
                <w:szCs w:val="13"/>
                <w:highlight w:val="yellow"/>
              </w:rPr>
              <w:t>2</w:t>
            </w:r>
            <w:r w:rsidRPr="00846724">
              <w:rPr>
                <w:rFonts w:ascii="微软雅黑" w:eastAsia="微软雅黑" w:hAnsi="微软雅黑" w:cs="Arial"/>
                <w:sz w:val="13"/>
                <w:szCs w:val="13"/>
                <w:highlight w:val="yellow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C44FE" w14:textId="14DF84D3" w:rsidR="00D044CB" w:rsidRPr="00F6309C" w:rsidRDefault="00D044CB" w:rsidP="001A7EA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846724">
              <w:rPr>
                <w:rFonts w:ascii="微软雅黑" w:eastAsia="微软雅黑" w:hAnsi="微软雅黑" w:cs="Arial" w:hint="eastAsia"/>
                <w:kern w:val="0"/>
                <w:sz w:val="13"/>
                <w:szCs w:val="13"/>
                <w:highlight w:val="yellow"/>
              </w:rPr>
              <w:t>南</w:t>
            </w:r>
          </w:p>
        </w:tc>
      </w:tr>
    </w:tbl>
    <w:p w14:paraId="176D7B85" w14:textId="77777777" w:rsidR="00822B9F" w:rsidRPr="00AA28B5" w:rsidRDefault="00822B9F" w:rsidP="00822B9F">
      <w:pPr>
        <w:widowControl/>
        <w:jc w:val="left"/>
        <w:rPr>
          <w:rFonts w:ascii="微软雅黑" w:eastAsia="微软雅黑" w:hAnsi="微软雅黑" w:cs="Arial"/>
          <w:b/>
          <w:kern w:val="0"/>
          <w:sz w:val="13"/>
          <w:szCs w:val="13"/>
        </w:rPr>
      </w:pPr>
      <w:r w:rsidRPr="00AA28B5">
        <w:rPr>
          <w:rFonts w:ascii="微软雅黑" w:eastAsia="微软雅黑" w:hAnsi="微软雅黑" w:cs="Arial" w:hint="eastAsia"/>
          <w:b/>
          <w:kern w:val="0"/>
          <w:sz w:val="13"/>
          <w:szCs w:val="13"/>
        </w:rPr>
        <w:t>备注：基于对客户交易信息保密，对具体房号进行了处理</w:t>
      </w:r>
      <w:r>
        <w:rPr>
          <w:rFonts w:ascii="微软雅黑" w:eastAsia="微软雅黑" w:hAnsi="微软雅黑" w:cs="Arial" w:hint="eastAsia"/>
          <w:b/>
          <w:kern w:val="0"/>
          <w:sz w:val="13"/>
          <w:szCs w:val="13"/>
        </w:rPr>
        <w:t>。</w:t>
      </w:r>
    </w:p>
    <w:p w14:paraId="5E284926" w14:textId="323F83D7" w:rsidR="00822B9F" w:rsidRPr="006B60A4" w:rsidRDefault="00822B9F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B60A4">
        <w:rPr>
          <w:rFonts w:ascii="Arial" w:eastAsia="楷体_GB2312" w:hAnsi="Arial" w:cs="Arial"/>
          <w:kern w:val="0"/>
          <w:sz w:val="28"/>
          <w:szCs w:val="28"/>
        </w:rPr>
        <w:t>估价对象建筑面积为</w:t>
      </w:r>
      <w:r w:rsidR="00846724" w:rsidRPr="006B60A4">
        <w:rPr>
          <w:rFonts w:ascii="Arial" w:eastAsia="楷体_GB2312" w:hAnsi="Arial" w:cs="Arial"/>
          <w:kern w:val="0"/>
          <w:sz w:val="28"/>
          <w:szCs w:val="28"/>
        </w:rPr>
        <w:t>133.</w:t>
      </w:r>
      <w:r w:rsidR="00754D83" w:rsidRPr="006B60A4">
        <w:rPr>
          <w:rFonts w:ascii="Arial" w:eastAsia="楷体_GB2312" w:hAnsi="Arial" w:cs="Arial"/>
          <w:kern w:val="0"/>
          <w:sz w:val="28"/>
          <w:szCs w:val="28"/>
        </w:rPr>
        <w:t>12</w:t>
      </w:r>
      <w:r w:rsidRPr="006B60A4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㎡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，</w:t>
      </w:r>
      <w:r w:rsidR="00B779A7" w:rsidRPr="006B60A4">
        <w:rPr>
          <w:rFonts w:ascii="Arial" w:eastAsia="楷体_GB2312" w:hAnsi="Arial" w:cs="Arial"/>
          <w:kern w:val="0"/>
          <w:sz w:val="28"/>
          <w:szCs w:val="28"/>
        </w:rPr>
        <w:t>运用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比较法评估时，考虑</w:t>
      </w:r>
      <w:r w:rsidR="00D044CB" w:rsidRPr="006B60A4">
        <w:rPr>
          <w:rFonts w:ascii="Arial" w:eastAsia="楷体_GB2312" w:hAnsi="Arial" w:cs="Arial"/>
          <w:kern w:val="0"/>
          <w:sz w:val="28"/>
          <w:szCs w:val="28"/>
        </w:rPr>
        <w:t>成交日期、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面积、户型、楼</w:t>
      </w:r>
      <w:r w:rsidR="00A606A2" w:rsidRPr="006B60A4">
        <w:rPr>
          <w:rFonts w:ascii="Arial" w:eastAsia="楷体_GB2312" w:hAnsi="Arial" w:cs="Arial"/>
          <w:kern w:val="0"/>
          <w:sz w:val="28"/>
          <w:szCs w:val="28"/>
        </w:rPr>
        <w:t>层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、朝向等因素，</w:t>
      </w:r>
      <w:r w:rsidR="00A606A2" w:rsidRPr="006B60A4">
        <w:rPr>
          <w:rFonts w:ascii="Arial" w:eastAsia="楷体_GB2312" w:hAnsi="Arial" w:cs="Arial"/>
          <w:kern w:val="0"/>
          <w:sz w:val="28"/>
          <w:szCs w:val="28"/>
        </w:rPr>
        <w:t>对上述可比实例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经过修正得到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6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层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601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602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603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比准价格为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55587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元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/</w:t>
      </w:r>
      <w:r w:rsidRPr="006B60A4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㎡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13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层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1301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1302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1303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比准价格为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56976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元</w:t>
      </w:r>
      <w:r w:rsidR="006B60A4" w:rsidRPr="006B60A4">
        <w:rPr>
          <w:rFonts w:ascii="Arial" w:eastAsia="楷体_GB2312" w:hAnsi="Arial" w:cs="Arial"/>
          <w:kern w:val="0"/>
          <w:sz w:val="28"/>
          <w:szCs w:val="28"/>
        </w:rPr>
        <w:t>/</w:t>
      </w:r>
      <w:r w:rsidR="006B60A4" w:rsidRPr="006B60A4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㎡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76ACF5C3" w14:textId="77777777" w:rsidR="006B60A4" w:rsidRPr="006B60A4" w:rsidRDefault="006B60A4" w:rsidP="006B60A4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B60A4">
        <w:rPr>
          <w:rFonts w:ascii="Arial" w:eastAsia="楷体_GB2312" w:hAnsi="Arial" w:cs="Arial"/>
          <w:kern w:val="0"/>
          <w:sz w:val="28"/>
          <w:szCs w:val="28"/>
        </w:rPr>
        <w:t>2.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收益法</w:t>
      </w:r>
    </w:p>
    <w:p w14:paraId="645D359F" w14:textId="6CD07ADC" w:rsidR="006B60A4" w:rsidRPr="006B60A4" w:rsidRDefault="006B60A4" w:rsidP="006B60A4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B60A4">
        <w:rPr>
          <w:rFonts w:ascii="Arial" w:eastAsia="楷体_GB2312" w:hAnsi="Arial" w:cs="Arial"/>
          <w:kern w:val="0"/>
          <w:sz w:val="28"/>
          <w:szCs w:val="28"/>
        </w:rPr>
        <w:t>收益法是预测估价对象的未来收益，利用报酬率或资本化率、收益乘数将未来收益转换为价值得到估价价值的方法。参考同小区租赁实例，收益法中考虑估价对象租金水平为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11000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元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/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套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·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月，估价对象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6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层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601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602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603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存在租约限制，考虑租金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100000/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年，得到收益价格为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18650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元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/</w:t>
      </w:r>
      <w:r w:rsidRPr="006B60A4">
        <w:rPr>
          <w:rFonts w:ascii="Arial" w:eastAsia="Arial Unicode MS" w:hAnsi="Arial" w:cs="Arial"/>
          <w:kern w:val="0"/>
          <w:sz w:val="28"/>
          <w:szCs w:val="28"/>
        </w:rPr>
        <w:t>㎡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；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13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层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1301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1302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、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1303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收益价格为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18768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元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/</w:t>
      </w:r>
      <w:r w:rsidRPr="006B60A4">
        <w:rPr>
          <w:rFonts w:ascii="Arial" w:eastAsia="Batang" w:hAnsi="Arial" w:cs="Arial"/>
          <w:kern w:val="0"/>
          <w:sz w:val="28"/>
          <w:szCs w:val="28"/>
        </w:rPr>
        <w:t>㎡</w:t>
      </w:r>
      <w:r w:rsidRPr="006B60A4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66DEF14C" w14:textId="77777777" w:rsidR="006B60A4" w:rsidRDefault="006B60A4" w:rsidP="006B60A4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3.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结论</w:t>
      </w:r>
    </w:p>
    <w:p w14:paraId="11DBD6F7" w14:textId="6BA6CC05" w:rsidR="006B60A4" w:rsidRDefault="006B60A4" w:rsidP="006B60A4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比较法中选取的可比案例均为市场真实成交案例，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且可比性强，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体现的是房地产市场的实际销售价格状况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。收益法选取的租金符合市场水平。本次评估运用上述两种估价方法均符合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要求。尽管两种方法评估结果差距较大，但是符合租售倒挂的北京市办公用房市场现状。</w:t>
      </w:r>
    </w:p>
    <w:p w14:paraId="39D279DA" w14:textId="3B7C1B39" w:rsidR="006B60A4" w:rsidRDefault="006B60A4" w:rsidP="006B60A4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《资产评估法》及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要求使用两种评估方法，因此本次评估中对两种方法的评估结果进行加权平均</w:t>
      </w: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得到估价对象的最终结果。通过分析，比较法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在方法代表性以及现势性上均优于收益法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本次评估取比较法为</w:t>
      </w:r>
      <w:r>
        <w:rPr>
          <w:rFonts w:ascii="Arial" w:eastAsia="楷体_GB2312" w:hAnsi="Arial" w:cs="Arial"/>
          <w:kern w:val="0"/>
          <w:sz w:val="28"/>
          <w:szCs w:val="28"/>
        </w:rPr>
        <w:t>80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，收益法为</w:t>
      </w:r>
      <w:r>
        <w:rPr>
          <w:rFonts w:ascii="Arial" w:eastAsia="楷体_GB2312" w:hAnsi="Arial" w:cs="Arial"/>
          <w:kern w:val="0"/>
          <w:sz w:val="28"/>
          <w:szCs w:val="28"/>
        </w:rPr>
        <w:t>20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，估价结果为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>
        <w:rPr>
          <w:rFonts w:ascii="Arial" w:eastAsia="楷体_GB2312" w:hAnsi="Arial" w:cs="Arial"/>
          <w:kern w:val="0"/>
          <w:sz w:val="28"/>
          <w:szCs w:val="28"/>
        </w:rPr>
        <w:t>01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>
        <w:rPr>
          <w:rFonts w:ascii="Arial" w:eastAsia="楷体_GB2312" w:hAnsi="Arial" w:cs="Arial"/>
          <w:kern w:val="0"/>
          <w:sz w:val="28"/>
          <w:szCs w:val="28"/>
        </w:rPr>
        <w:t>02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>
        <w:rPr>
          <w:rFonts w:ascii="Arial" w:eastAsia="楷体_GB2312" w:hAnsi="Arial" w:cs="Arial"/>
          <w:kern w:val="0"/>
          <w:sz w:val="28"/>
          <w:szCs w:val="28"/>
        </w:rPr>
        <w:t>03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房地产楼面单价</w:t>
      </w:r>
      <w:r>
        <w:rPr>
          <w:rFonts w:ascii="Arial" w:eastAsia="楷体_GB2312" w:hAnsi="Arial" w:cs="Arial"/>
          <w:kern w:val="0"/>
          <w:sz w:val="28"/>
          <w:szCs w:val="28"/>
        </w:rPr>
        <w:t>48200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cs="Arial"/>
          <w:kern w:val="0"/>
          <w:sz w:val="28"/>
          <w:szCs w:val="28"/>
        </w:rPr>
        <w:t>13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>
        <w:rPr>
          <w:rFonts w:ascii="Arial" w:eastAsia="楷体_GB2312" w:hAnsi="Arial" w:cs="Arial"/>
          <w:kern w:val="0"/>
          <w:sz w:val="28"/>
          <w:szCs w:val="28"/>
        </w:rPr>
        <w:t>1301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>
        <w:rPr>
          <w:rFonts w:ascii="Arial" w:eastAsia="楷体_GB2312" w:hAnsi="Arial" w:cs="Arial"/>
          <w:kern w:val="0"/>
          <w:sz w:val="28"/>
          <w:szCs w:val="28"/>
        </w:rPr>
        <w:t>302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>
        <w:rPr>
          <w:rFonts w:ascii="Arial" w:eastAsia="楷体_GB2312" w:hAnsi="Arial" w:cs="Arial"/>
          <w:kern w:val="0"/>
          <w:sz w:val="28"/>
          <w:szCs w:val="28"/>
        </w:rPr>
        <w:t>303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房地产楼面单价</w:t>
      </w:r>
      <w:r>
        <w:rPr>
          <w:rFonts w:ascii="Arial" w:eastAsia="楷体_GB2312" w:hAnsi="Arial" w:cs="Arial"/>
          <w:kern w:val="0"/>
          <w:sz w:val="28"/>
          <w:szCs w:val="28"/>
        </w:rPr>
        <w:t>49334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A997BE8" w14:textId="77777777" w:rsidR="006B60A4" w:rsidRDefault="006B60A4" w:rsidP="006B60A4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综上，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本次评估</w:t>
      </w:r>
      <w:r>
        <w:rPr>
          <w:rFonts w:ascii="Arial" w:eastAsia="楷体_GB2312" w:hAnsi="Arial" w:cs="Arial"/>
          <w:kern w:val="0"/>
          <w:sz w:val="28"/>
          <w:szCs w:val="28"/>
        </w:rPr>
        <w:t>选取的交易实例均为真实成交实例，估价结果符合正常市场水平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6E605BE4" w14:textId="1B0F9746" w:rsidR="00822B9F" w:rsidRPr="006B60A4" w:rsidRDefault="006B60A4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432482CF" w14:textId="77777777" w:rsidR="00822B9F" w:rsidRDefault="00822B9F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6ABB0F25" w14:textId="77777777" w:rsidR="00822B9F" w:rsidRPr="008756DC" w:rsidRDefault="00822B9F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2540F761" w14:textId="77777777" w:rsidR="00822B9F" w:rsidRPr="008756DC" w:rsidRDefault="00822B9F" w:rsidP="00822B9F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14:paraId="485EFE28" w14:textId="4FEA90D3" w:rsidR="00822B9F" w:rsidRPr="008756DC" w:rsidRDefault="00822B9F" w:rsidP="00822B9F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十三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p w14:paraId="7F492E07" w14:textId="77777777" w:rsidR="000622EA" w:rsidRPr="000622EA" w:rsidRDefault="000622EA" w:rsidP="00822B9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109C" w14:textId="77777777" w:rsidR="00491EA0" w:rsidRDefault="00491EA0" w:rsidP="00FA3B45">
      <w:r>
        <w:separator/>
      </w:r>
    </w:p>
  </w:endnote>
  <w:endnote w:type="continuationSeparator" w:id="0">
    <w:p w14:paraId="65006604" w14:textId="77777777" w:rsidR="00491EA0" w:rsidRDefault="00491EA0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0983550C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7745" w14:textId="77777777" w:rsidR="00491EA0" w:rsidRDefault="00491EA0" w:rsidP="00FA3B45">
      <w:r>
        <w:separator/>
      </w:r>
    </w:p>
  </w:footnote>
  <w:footnote w:type="continuationSeparator" w:id="0">
    <w:p w14:paraId="7DF5F663" w14:textId="77777777" w:rsidR="00491EA0" w:rsidRDefault="00491EA0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60ECD"/>
    <w:rsid w:val="000622EA"/>
    <w:rsid w:val="0007146C"/>
    <w:rsid w:val="00073E40"/>
    <w:rsid w:val="00074FDA"/>
    <w:rsid w:val="000862DD"/>
    <w:rsid w:val="00092F84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337D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80CA0"/>
    <w:rsid w:val="00387273"/>
    <w:rsid w:val="003C769A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3D35"/>
    <w:rsid w:val="00491EA0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D308B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7BB2"/>
    <w:rsid w:val="006C7E89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65B53"/>
    <w:rsid w:val="00C7238B"/>
    <w:rsid w:val="00C77FAD"/>
    <w:rsid w:val="00C937F6"/>
    <w:rsid w:val="00CA057B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418F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F01699"/>
    <w:rsid w:val="00F01E59"/>
    <w:rsid w:val="00F020EE"/>
    <w:rsid w:val="00F0276F"/>
    <w:rsid w:val="00F04125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5ED9D1BE-BDAD-4361-ACE3-D66E132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9D4F-B238-4AD7-86A1-C7EE12B4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232</Words>
  <Characters>1325</Characters>
  <Application>Microsoft Office Word</Application>
  <DocSecurity>0</DocSecurity>
  <Lines>11</Lines>
  <Paragraphs>3</Paragraphs>
  <ScaleCrop>false</ScaleCrop>
  <Company>CHINA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</cp:revision>
  <cp:lastPrinted>2022-08-05T09:24:00Z</cp:lastPrinted>
  <dcterms:created xsi:type="dcterms:W3CDTF">2022-08-05T03:26:00Z</dcterms:created>
  <dcterms:modified xsi:type="dcterms:W3CDTF">2023-09-13T01:50:00Z</dcterms:modified>
</cp:coreProperties>
</file>