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432" w:lineRule="auto"/>
        <w:jc w:val="center"/>
        <w:textAlignment w:val="baseline"/>
        <w:rPr>
          <w:rFonts w:ascii="Arial" w:hAnsi="Arial" w:eastAsia="宋体" w:cs="Times New Roman"/>
          <w:b/>
          <w:kern w:val="0"/>
          <w:sz w:val="44"/>
          <w:szCs w:val="20"/>
        </w:rPr>
      </w:pPr>
    </w:p>
    <w:p>
      <w:pPr>
        <w:adjustRightInd w:val="0"/>
        <w:spacing w:line="432" w:lineRule="auto"/>
        <w:jc w:val="center"/>
        <w:textAlignment w:val="baseline"/>
        <w:rPr>
          <w:rFonts w:ascii="Arial" w:hAnsi="Arial" w:eastAsia="宋体" w:cs="Times New Roman"/>
          <w:b/>
          <w:kern w:val="0"/>
          <w:sz w:val="36"/>
          <w:szCs w:val="36"/>
        </w:rPr>
      </w:pPr>
      <w:r>
        <w:rPr>
          <w:rFonts w:hint="eastAsia" w:ascii="Arial" w:hAnsi="Arial" w:eastAsia="宋体" w:cs="Times New Roman"/>
          <w:b/>
          <w:kern w:val="0"/>
          <w:sz w:val="36"/>
          <w:szCs w:val="36"/>
        </w:rPr>
        <w:t>情 况 说 明</w:t>
      </w:r>
    </w:p>
    <w:p>
      <w:pPr>
        <w:adjustRightInd w:val="0"/>
        <w:spacing w:line="432" w:lineRule="auto"/>
        <w:jc w:val="center"/>
        <w:textAlignment w:val="baseline"/>
        <w:rPr>
          <w:rFonts w:ascii="Arial" w:hAnsi="Arial" w:eastAsia="宋体" w:cs="Times New Roman"/>
          <w:b/>
          <w:kern w:val="0"/>
          <w:sz w:val="44"/>
          <w:szCs w:val="20"/>
        </w:rPr>
      </w:pPr>
    </w:p>
    <w:p>
      <w:pPr>
        <w:adjustRightInd w:val="0"/>
        <w:spacing w:line="360" w:lineRule="auto"/>
        <w:textAlignment w:val="baseline"/>
        <w:rPr>
          <w:rFonts w:ascii="Arial" w:hAnsi="Arial" w:eastAsia="仿宋_GB2312" w:cs="Arial"/>
          <w:kern w:val="0"/>
          <w:sz w:val="28"/>
          <w:szCs w:val="20"/>
        </w:rPr>
      </w:pPr>
      <w:r>
        <w:rPr>
          <w:rFonts w:hint="eastAsia" w:ascii="Arial" w:hAnsi="Arial" w:eastAsia="仿宋_GB2312" w:cs="Arial"/>
          <w:kern w:val="0"/>
          <w:sz w:val="28"/>
          <w:szCs w:val="20"/>
        </w:rPr>
        <w:t>中国建设银行股份有限公司北京通州分行：</w:t>
      </w:r>
    </w:p>
    <w:p>
      <w:pPr>
        <w:adjustRightInd w:val="0"/>
        <w:spacing w:line="360" w:lineRule="auto"/>
        <w:ind w:firstLine="560" w:firstLineChars="200"/>
        <w:textAlignment w:val="baseline"/>
        <w:rPr>
          <w:rFonts w:ascii="Arial" w:hAnsi="Arial" w:eastAsia="仿宋_GB2312" w:cs="Arial"/>
          <w:kern w:val="0"/>
          <w:sz w:val="28"/>
          <w:szCs w:val="20"/>
        </w:rPr>
      </w:pPr>
      <w:r>
        <w:rPr>
          <w:rFonts w:hint="eastAsia" w:ascii="Arial" w:hAnsi="Arial" w:eastAsia="仿宋_GB2312" w:cs="Arial"/>
          <w:kern w:val="0"/>
          <w:sz w:val="28"/>
          <w:szCs w:val="20"/>
        </w:rPr>
        <w:t>受贵公司委托，我公司于2023年12月28日（估价期日）对北京市通州区北京城市副中心1201街区FZX-1201-0062地块R2二类居住用地出让国有建设用地使用权抵押价值进行了评估，并于2024年1月8日出具了《土地估价报告》，报告编号：康正评字</w:t>
      </w:r>
      <w:r>
        <w:rPr>
          <w:rFonts w:ascii="Arial" w:hAnsi="Arial" w:eastAsia="仿宋_GB2312" w:cs="Arial"/>
          <w:kern w:val="0"/>
          <w:sz w:val="28"/>
          <w:szCs w:val="20"/>
        </w:rPr>
        <w:t>2023-1-0813-F01DYGJ1</w:t>
      </w:r>
      <w:r>
        <w:rPr>
          <w:rFonts w:hint="eastAsia" w:ascii="Arial" w:hAnsi="Arial" w:eastAsia="仿宋_GB2312" w:cs="Arial"/>
          <w:kern w:val="0"/>
          <w:sz w:val="28"/>
          <w:szCs w:val="20"/>
        </w:rPr>
        <w:t>号。</w:t>
      </w:r>
    </w:p>
    <w:p>
      <w:pPr>
        <w:adjustRightInd w:val="0"/>
        <w:spacing w:line="360" w:lineRule="auto"/>
        <w:ind w:firstLine="560" w:firstLineChars="200"/>
        <w:textAlignment w:val="baseline"/>
        <w:rPr>
          <w:rFonts w:ascii="Arial" w:hAnsi="Arial" w:eastAsia="仿宋_GB2312" w:cs="Arial"/>
          <w:kern w:val="0"/>
          <w:sz w:val="28"/>
          <w:szCs w:val="20"/>
        </w:rPr>
      </w:pPr>
      <w:r>
        <w:rPr>
          <w:rFonts w:hint="eastAsia" w:ascii="Arial" w:hAnsi="Arial" w:eastAsia="仿宋_GB2312" w:cs="Arial"/>
          <w:kern w:val="0"/>
          <w:sz w:val="28"/>
          <w:szCs w:val="20"/>
        </w:rPr>
        <w:t>2024年9月11日，不动产权利人北京通州帅府儒意房地产开发有限公司与北京城市副中心管理委员会签订附件七《补充协议》，变更事项包括增加FZX-1201-0061地块地下建筑面积、增加FZX-1201-0061地块地下土地出让金。</w:t>
      </w:r>
    </w:p>
    <w:p>
      <w:pPr>
        <w:adjustRightInd w:val="0"/>
        <w:spacing w:line="360" w:lineRule="auto"/>
        <w:ind w:firstLine="560" w:firstLineChars="200"/>
        <w:textAlignment w:val="baseline"/>
        <w:rPr>
          <w:rFonts w:ascii="Arial" w:hAnsi="Arial" w:eastAsia="仿宋_GB2312" w:cs="Arial"/>
          <w:kern w:val="0"/>
          <w:sz w:val="28"/>
          <w:szCs w:val="20"/>
        </w:rPr>
      </w:pPr>
      <w:r>
        <w:rPr>
          <w:rFonts w:hint="eastAsia" w:ascii="Arial" w:hAnsi="Arial" w:eastAsia="仿宋_GB2312" w:cs="Arial"/>
          <w:kern w:val="0"/>
          <w:sz w:val="28"/>
          <w:szCs w:val="20"/>
        </w:rPr>
        <w:t>虽附件七《补充协议》签署仅涉及FZX-1201-0061地块，但因《国有建设用地使用权出让合同》出让宗地为FZX-1201-0061、FZX-1201-0062两个地块，故北京市通州区不动产登记中心要求FZX-1201-0061、FZX-1201-0062两个地块均需变更成新的不动产权证书及不动产登记</w:t>
      </w:r>
      <w:r>
        <w:rPr>
          <w:rFonts w:hint="eastAsia" w:ascii="Arial" w:hAnsi="Arial" w:eastAsia="仿宋_GB2312" w:cs="Arial"/>
          <w:color w:val="auto"/>
          <w:kern w:val="0"/>
          <w:sz w:val="28"/>
          <w:szCs w:val="20"/>
        </w:rPr>
        <w:t>证明</w:t>
      </w:r>
      <w:r>
        <w:rPr>
          <w:rFonts w:hint="eastAsia" w:ascii="Arial" w:hAnsi="Arial" w:eastAsia="仿宋_GB2312" w:cs="Arial"/>
          <w:kern w:val="0"/>
          <w:sz w:val="28"/>
          <w:szCs w:val="20"/>
        </w:rPr>
        <w:t>。</w:t>
      </w:r>
    </w:p>
    <w:p>
      <w:pPr>
        <w:adjustRightInd w:val="0"/>
        <w:spacing w:line="360" w:lineRule="auto"/>
        <w:ind w:firstLine="560" w:firstLineChars="200"/>
        <w:textAlignment w:val="baseline"/>
        <w:rPr>
          <w:rFonts w:ascii="Arial" w:hAnsi="Arial" w:eastAsia="仿宋_GB2312" w:cs="Arial"/>
          <w:kern w:val="0"/>
          <w:sz w:val="28"/>
          <w:szCs w:val="20"/>
        </w:rPr>
      </w:pPr>
      <w:r>
        <w:rPr>
          <w:rFonts w:hint="eastAsia" w:ascii="Arial" w:hAnsi="Arial" w:eastAsia="仿宋_GB2312" w:cs="Arial"/>
          <w:kern w:val="0"/>
          <w:sz w:val="28"/>
          <w:szCs w:val="20"/>
        </w:rPr>
        <w:t>2024年11月11日，不动产权利人北京通州帅府儒意房地产开发有限公司取得变更后的不动产权证书，原不动产权证书证书号京（2023）通不动产权第0031645号变更为京（2024）通不动产权第0029010号；抵押权人中国建设银行股份有限公司北京通州分行取得变更后的不动产登记证明，原不动产登记证明编号京（2024）通不动产证明第0000714号变更为京（2024）通不动产证明第0017272号。</w:t>
      </w:r>
    </w:p>
    <w:p>
      <w:pPr>
        <w:adjustRightInd w:val="0"/>
        <w:spacing w:line="360" w:lineRule="auto"/>
        <w:ind w:firstLine="560" w:firstLineChars="200"/>
        <w:textAlignment w:val="baseline"/>
        <w:rPr>
          <w:rFonts w:ascii="Arial" w:hAnsi="Arial" w:eastAsia="仿宋_GB2312" w:cs="Arial"/>
          <w:kern w:val="0"/>
          <w:sz w:val="28"/>
          <w:szCs w:val="20"/>
        </w:rPr>
      </w:pPr>
      <w:r>
        <w:rPr>
          <w:rFonts w:hint="eastAsia" w:ascii="Arial" w:hAnsi="Arial" w:eastAsia="仿宋_GB2312" w:cs="Arial"/>
          <w:kern w:val="0"/>
          <w:sz w:val="28"/>
          <w:szCs w:val="20"/>
        </w:rPr>
        <w:t>经核验，附件七《补充协议》所签订的规划面积指标与我公司于2024年1月8日出具的《土地估价报告》中所载规划面积指标一致，附件七《补充协议》的签订及不动产权证书</w:t>
      </w:r>
      <w:r>
        <w:rPr>
          <w:rFonts w:hint="eastAsia" w:ascii="Arial" w:hAnsi="Arial" w:eastAsia="仿宋_GB2312" w:cs="Arial"/>
          <w:kern w:val="0"/>
          <w:sz w:val="28"/>
          <w:szCs w:val="20"/>
          <w:lang w:eastAsia="zh-CN"/>
        </w:rPr>
        <w:t>的</w:t>
      </w:r>
      <w:r>
        <w:rPr>
          <w:rFonts w:hint="eastAsia" w:ascii="Arial" w:hAnsi="Arial" w:eastAsia="仿宋_GB2312" w:cs="Arial"/>
          <w:kern w:val="0"/>
          <w:sz w:val="28"/>
          <w:szCs w:val="20"/>
        </w:rPr>
        <w:t>变更</w:t>
      </w:r>
      <w:r>
        <w:rPr>
          <w:rFonts w:hint="eastAsia" w:ascii="Arial" w:hAnsi="Arial" w:eastAsia="仿宋_GB2312" w:cs="Arial"/>
          <w:kern w:val="0"/>
          <w:sz w:val="28"/>
          <w:szCs w:val="20"/>
        </w:rPr>
        <w:t>对估价对象于估价期日2023年12月28日出让国有建设用地使用权价格无影响。</w:t>
      </w:r>
    </w:p>
    <w:p>
      <w:pPr>
        <w:adjustRightInd w:val="0"/>
        <w:spacing w:line="360" w:lineRule="auto"/>
        <w:ind w:firstLine="420" w:firstLineChars="200"/>
        <w:textAlignment w:val="baseline"/>
      </w:pPr>
    </w:p>
    <w:p>
      <w:pPr>
        <w:ind w:firstLine="560" w:firstLineChars="200"/>
        <w:rPr>
          <w:rFonts w:hint="eastAsia" w:eastAsia="仿宋_GB2312"/>
          <w:lang w:eastAsia="zh-CN"/>
        </w:rPr>
      </w:pPr>
      <w:r>
        <w:rPr>
          <w:rFonts w:hint="eastAsia" w:ascii="Arial" w:hAnsi="Arial" w:eastAsia="仿宋_GB2312" w:cs="Arial"/>
          <w:kern w:val="0"/>
          <w:sz w:val="28"/>
          <w:szCs w:val="20"/>
        </w:rPr>
        <w:t>特此说明</w:t>
      </w:r>
      <w:r>
        <w:rPr>
          <w:rFonts w:hint="eastAsia" w:ascii="Arial" w:hAnsi="Arial" w:eastAsia="仿宋_GB2312" w:cs="Arial"/>
          <w:kern w:val="0"/>
          <w:sz w:val="28"/>
          <w:szCs w:val="20"/>
          <w:lang w:eastAsia="zh-CN"/>
        </w:rPr>
        <w:t>。</w:t>
      </w:r>
    </w:p>
    <w:p/>
    <w:p>
      <w:pPr>
        <w:jc w:val="right"/>
        <w:rPr>
          <w:rFonts w:ascii="Arial" w:hAnsi="Arial" w:eastAsia="仿宋_GB2312" w:cs="Arial"/>
          <w:kern w:val="0"/>
          <w:sz w:val="28"/>
          <w:szCs w:val="20"/>
        </w:rPr>
      </w:pPr>
      <w:r>
        <w:rPr>
          <w:rFonts w:ascii="Arial" w:hAnsi="Arial" w:eastAsia="仿宋_GB2312" w:cs="Arial"/>
          <w:kern w:val="0"/>
          <w:sz w:val="28"/>
          <w:szCs w:val="20"/>
        </w:rPr>
        <w:t>北京康正宏基房地产评估有限公司</w:t>
      </w:r>
    </w:p>
    <w:p>
      <w:pPr>
        <w:jc w:val="center"/>
        <w:rPr>
          <w:rFonts w:ascii="Arial" w:hAnsi="Arial" w:eastAsia="仿宋_GB2312" w:cs="Arial"/>
          <w:kern w:val="0"/>
          <w:sz w:val="28"/>
          <w:szCs w:val="20"/>
        </w:rPr>
      </w:pPr>
      <w:r>
        <w:rPr>
          <w:rFonts w:hint="eastAsia" w:ascii="Arial" w:hAnsi="Arial" w:eastAsia="仿宋_GB2312" w:cs="Arial"/>
          <w:kern w:val="0"/>
          <w:sz w:val="28"/>
          <w:szCs w:val="20"/>
          <w:lang w:val="en-US" w:eastAsia="zh-CN"/>
        </w:rPr>
        <w:t xml:space="preserve">                                  </w:t>
      </w:r>
      <w:bookmarkStart w:id="0" w:name="_GoBack"/>
      <w:bookmarkEnd w:id="0"/>
      <w:r>
        <w:rPr>
          <w:rFonts w:hint="eastAsia" w:ascii="Arial" w:hAnsi="Arial" w:eastAsia="仿宋_GB2312" w:cs="Arial"/>
          <w:kern w:val="0"/>
          <w:sz w:val="28"/>
          <w:szCs w:val="20"/>
        </w:rPr>
        <w:t>2024年11月18日</w:t>
      </w:r>
    </w:p>
    <w:sectPr>
      <w:headerReference r:id="rId3" w:type="default"/>
      <w:footerReference r:id="rId4" w:type="default"/>
      <w:pgSz w:w="11906" w:h="16838"/>
      <w:pgMar w:top="1355" w:right="1451" w:bottom="1355" w:left="145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Arial">
    <w:altName w:val="DejaVu Sans"/>
    <w:panose1 w:val="020B0604020202020204"/>
    <w:charset w:val="00"/>
    <w:family w:val="swiss"/>
    <w:pitch w:val="default"/>
    <w:sig w:usb0="00000000" w:usb1="00000000" w:usb2="00000009" w:usb3="00000000" w:csb0="000001FF" w:csb1="00000000"/>
  </w:font>
  <w:font w:name="仿宋_GB2312">
    <w:altName w:val="宋体"/>
    <w:panose1 w:val="00000000000000000000"/>
    <w:charset w:val="86"/>
    <w:family w:val="modern"/>
    <w:pitch w:val="default"/>
    <w:sig w:usb0="00000000" w:usb1="00000000" w:usb2="00000010" w:usb3="00000000" w:csb0="00040000" w:csb1="00000000"/>
  </w:font>
  <w:font w:name="方正宋体-人口信息_扩充">
    <w:panose1 w:val="02000000000000000000"/>
    <w:charset w:val="86"/>
    <w:family w:val="auto"/>
    <w:pitch w:val="default"/>
    <w:sig w:usb0="A00002BF" w:usb1="38CFFCFA" w:usb2="00080016" w:usb3="00000008" w:csb0="60060107" w:csb1="00000000"/>
  </w:font>
  <w:font w:name="MathJax_Vector">
    <w:panose1 w:val="02000603000000000000"/>
    <w:charset w:val="00"/>
    <w:family w:val="auto"/>
    <w:pitch w:val="default"/>
    <w:sig w:usb0="00000001" w:usb1="00000020" w:usb2="00000000" w:usb3="00000000" w:csb0="0000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52954342"/>
      <w:docPartObj>
        <w:docPartGallery w:val="AutoText"/>
      </w:docPartObj>
    </w:sdtPr>
    <w:sdtEndPr>
      <w:rPr>
        <w:rFonts w:ascii="Arial" w:hAnsi="Arial" w:cs="Arial"/>
      </w:rPr>
    </w:sdtEndPr>
    <w:sdtContent>
      <w:sdt>
        <w:sdtPr>
          <w:id w:val="-1"/>
          <w:docPartObj>
            <w:docPartGallery w:val="AutoText"/>
          </w:docPartObj>
        </w:sdtPr>
        <w:sdtEndPr>
          <w:rPr>
            <w:rFonts w:ascii="Arial" w:hAnsi="Arial" w:cs="Arial"/>
          </w:rPr>
        </w:sdtEndPr>
        <w:sdtContent>
          <w:p>
            <w:pPr>
              <w:pStyle w:val="4"/>
              <w:jc w:val="center"/>
              <w:rPr>
                <w:rFonts w:ascii="Arial" w:hAnsi="Arial" w:cs="Arial"/>
              </w:rPr>
            </w:pPr>
            <w:r>
              <w:rPr>
                <w:rFonts w:ascii="Arial" w:hAnsi="Arial" w:cs="Arial"/>
                <w:lang w:val="zh-CN"/>
              </w:rPr>
              <w:t xml:space="preserve"> </w:t>
            </w:r>
            <w:r>
              <w:rPr>
                <w:rFonts w:ascii="Arial" w:hAnsi="Arial" w:cs="Arial"/>
                <w:b/>
                <w:bCs/>
                <w:sz w:val="24"/>
              </w:rPr>
              <w:fldChar w:fldCharType="begin"/>
            </w:r>
            <w:r>
              <w:rPr>
                <w:rFonts w:ascii="Arial" w:hAnsi="Arial" w:cs="Arial"/>
                <w:b/>
                <w:bCs/>
              </w:rPr>
              <w:instrText xml:space="preserve">PAGE</w:instrText>
            </w:r>
            <w:r>
              <w:rPr>
                <w:rFonts w:ascii="Arial" w:hAnsi="Arial" w:cs="Arial"/>
                <w:b/>
                <w:bCs/>
                <w:sz w:val="24"/>
              </w:rPr>
              <w:fldChar w:fldCharType="separate"/>
            </w:r>
            <w:r>
              <w:rPr>
                <w:rFonts w:ascii="Arial" w:hAnsi="Arial" w:cs="Arial"/>
                <w:b/>
                <w:bCs/>
              </w:rPr>
              <w:t>1</w:t>
            </w:r>
            <w:r>
              <w:rPr>
                <w:rFonts w:ascii="Arial" w:hAnsi="Arial" w:cs="Arial"/>
                <w:b/>
                <w:bCs/>
                <w:sz w:val="24"/>
              </w:rPr>
              <w:fldChar w:fldCharType="end"/>
            </w:r>
            <w:r>
              <w:rPr>
                <w:rFonts w:ascii="Arial" w:hAnsi="Arial" w:cs="Arial"/>
                <w:lang w:val="zh-CN"/>
              </w:rPr>
              <w:t xml:space="preserve"> / </w:t>
            </w:r>
            <w:r>
              <w:rPr>
                <w:rFonts w:ascii="Arial" w:hAnsi="Arial" w:cs="Arial"/>
                <w:b/>
                <w:bCs/>
                <w:sz w:val="24"/>
              </w:rPr>
              <w:fldChar w:fldCharType="begin"/>
            </w:r>
            <w:r>
              <w:rPr>
                <w:rFonts w:ascii="Arial" w:hAnsi="Arial" w:cs="Arial"/>
                <w:b/>
                <w:bCs/>
              </w:rPr>
              <w:instrText xml:space="preserve">NUMPAGES</w:instrText>
            </w:r>
            <w:r>
              <w:rPr>
                <w:rFonts w:ascii="Arial" w:hAnsi="Arial" w:cs="Arial"/>
                <w:b/>
                <w:bCs/>
                <w:sz w:val="24"/>
              </w:rPr>
              <w:fldChar w:fldCharType="separate"/>
            </w:r>
            <w:r>
              <w:rPr>
                <w:rFonts w:ascii="Arial" w:hAnsi="Arial" w:cs="Arial"/>
                <w:b/>
                <w:bCs/>
              </w:rPr>
              <w:t>2</w:t>
            </w:r>
            <w:r>
              <w:rPr>
                <w:rFonts w:ascii="Arial" w:hAnsi="Arial" w:cs="Arial"/>
                <w:b/>
                <w:bCs/>
                <w:sz w:val="24"/>
              </w:rPr>
              <w:fldChar w:fldCharType="end"/>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drawing>
        <wp:inline distT="0" distB="0" distL="114300" distR="114300">
          <wp:extent cx="5902325" cy="284480"/>
          <wp:effectExtent l="0" t="0" r="10795" b="5080"/>
          <wp:docPr id="1" name="图片 1" descr="评估报告内页页眉.jpg"/>
          <wp:cNvGraphicFramePr/>
          <a:graphic xmlns:a="http://schemas.openxmlformats.org/drawingml/2006/main">
            <a:graphicData uri="http://schemas.openxmlformats.org/drawingml/2006/picture">
              <pic:pic xmlns:pic="http://schemas.openxmlformats.org/drawingml/2006/picture">
                <pic:nvPicPr>
                  <pic:cNvPr id="1" name="图片 1" descr="评估报告内页页眉.jpg"/>
                  <pic:cNvPicPr preferRelativeResize="0"/>
                </pic:nvPicPr>
                <pic:blipFill>
                  <a:blip r:embed="rId1"/>
                  <a:stretch>
                    <a:fillRect/>
                  </a:stretch>
                </pic:blipFill>
                <pic:spPr>
                  <a:xfrm>
                    <a:off x="0" y="0"/>
                    <a:ext cx="5902325" cy="28448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30"/>
  <w:embedSystemFonts/>
  <w:bordersDoNotSurroundHeader w:val="1"/>
  <w:bordersDoNotSurroundFooter w:val="1"/>
  <w:documentProtection w:edit="readOnly" w:formatting="1"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2MzJhZDllMzY3MzFiYjIzZTcxZjlhYjM0M2NmMzMifQ=="/>
  </w:docVars>
  <w:rsids>
    <w:rsidRoot w:val="28F71645"/>
    <w:rsid w:val="000263DD"/>
    <w:rsid w:val="001616AA"/>
    <w:rsid w:val="001C240C"/>
    <w:rsid w:val="002A1570"/>
    <w:rsid w:val="002A1771"/>
    <w:rsid w:val="002C5702"/>
    <w:rsid w:val="00374AFE"/>
    <w:rsid w:val="003D2B24"/>
    <w:rsid w:val="00412E59"/>
    <w:rsid w:val="00440861"/>
    <w:rsid w:val="004B43FF"/>
    <w:rsid w:val="00593D8E"/>
    <w:rsid w:val="005C0830"/>
    <w:rsid w:val="00605CC5"/>
    <w:rsid w:val="006349DC"/>
    <w:rsid w:val="006E5033"/>
    <w:rsid w:val="007B7B7F"/>
    <w:rsid w:val="00876605"/>
    <w:rsid w:val="008A7B41"/>
    <w:rsid w:val="00A44002"/>
    <w:rsid w:val="00A74520"/>
    <w:rsid w:val="00C43D96"/>
    <w:rsid w:val="00D36038"/>
    <w:rsid w:val="00DA6D09"/>
    <w:rsid w:val="00F6538B"/>
    <w:rsid w:val="00FD3BDF"/>
    <w:rsid w:val="07866582"/>
    <w:rsid w:val="1B7FD85E"/>
    <w:rsid w:val="1BB5391E"/>
    <w:rsid w:val="1DF57615"/>
    <w:rsid w:val="28F71645"/>
    <w:rsid w:val="295E6524"/>
    <w:rsid w:val="2AFC9BB8"/>
    <w:rsid w:val="2E2666C5"/>
    <w:rsid w:val="2FFB2D13"/>
    <w:rsid w:val="334A46BD"/>
    <w:rsid w:val="36754A94"/>
    <w:rsid w:val="39FF3606"/>
    <w:rsid w:val="3B3D2B0C"/>
    <w:rsid w:val="3DFFF2B8"/>
    <w:rsid w:val="3FC5BE99"/>
    <w:rsid w:val="42EF2736"/>
    <w:rsid w:val="43A85162"/>
    <w:rsid w:val="472A5B3C"/>
    <w:rsid w:val="4AAFEE63"/>
    <w:rsid w:val="4FD9BC34"/>
    <w:rsid w:val="514A7668"/>
    <w:rsid w:val="53BF88EF"/>
    <w:rsid w:val="5B779D45"/>
    <w:rsid w:val="5CB730FA"/>
    <w:rsid w:val="5FFF5DF1"/>
    <w:rsid w:val="60B749D3"/>
    <w:rsid w:val="667D64FD"/>
    <w:rsid w:val="66D30D15"/>
    <w:rsid w:val="674A1316"/>
    <w:rsid w:val="6BCF24A3"/>
    <w:rsid w:val="6BE820E5"/>
    <w:rsid w:val="6DDBCE4C"/>
    <w:rsid w:val="6E77E259"/>
    <w:rsid w:val="6EA6D93C"/>
    <w:rsid w:val="6FCBDE8B"/>
    <w:rsid w:val="6FF7C8E6"/>
    <w:rsid w:val="6FFB9736"/>
    <w:rsid w:val="6FFDEA93"/>
    <w:rsid w:val="6FFDFC47"/>
    <w:rsid w:val="73EF8AE9"/>
    <w:rsid w:val="7ADF1116"/>
    <w:rsid w:val="7B5F6049"/>
    <w:rsid w:val="7BFF8B3D"/>
    <w:rsid w:val="7CDF8678"/>
    <w:rsid w:val="7D39636F"/>
    <w:rsid w:val="7E5E6020"/>
    <w:rsid w:val="7EBDEC4B"/>
    <w:rsid w:val="7ED75C88"/>
    <w:rsid w:val="7FBD49EC"/>
    <w:rsid w:val="7FEF4B9F"/>
    <w:rsid w:val="7FFBB89F"/>
    <w:rsid w:val="7FFE3CA4"/>
    <w:rsid w:val="873F3C75"/>
    <w:rsid w:val="91BD49FB"/>
    <w:rsid w:val="921FFB1D"/>
    <w:rsid w:val="95D845D7"/>
    <w:rsid w:val="96EF44DF"/>
    <w:rsid w:val="ABFF4ED6"/>
    <w:rsid w:val="ACEDA3F3"/>
    <w:rsid w:val="B65F2B9D"/>
    <w:rsid w:val="BCF7A37F"/>
    <w:rsid w:val="BFBF1CC0"/>
    <w:rsid w:val="BFFB03DA"/>
    <w:rsid w:val="D2D6C2ED"/>
    <w:rsid w:val="D39F44AF"/>
    <w:rsid w:val="DBFE5D0E"/>
    <w:rsid w:val="DFAF39C8"/>
    <w:rsid w:val="DFEEDEA0"/>
    <w:rsid w:val="DFFDC176"/>
    <w:rsid w:val="DFFF0262"/>
    <w:rsid w:val="EEBFC225"/>
    <w:rsid w:val="EFECEF42"/>
    <w:rsid w:val="F58F18E2"/>
    <w:rsid w:val="F73F347A"/>
    <w:rsid w:val="F7EF0ED9"/>
    <w:rsid w:val="F7FFAEAF"/>
    <w:rsid w:val="F9BFC97C"/>
    <w:rsid w:val="FBB75164"/>
    <w:rsid w:val="FBBD0A6A"/>
    <w:rsid w:val="FBFDD1C0"/>
    <w:rsid w:val="FC538DDB"/>
    <w:rsid w:val="FCCE2401"/>
    <w:rsid w:val="FE7A5480"/>
    <w:rsid w:val="FEFF0D44"/>
    <w:rsid w:val="FF4BF840"/>
    <w:rsid w:val="FFB8758F"/>
    <w:rsid w:val="FFBD5951"/>
    <w:rsid w:val="FFCD251D"/>
    <w:rsid w:val="FFDBB4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qFormat/>
    <w:uiPriority w:val="0"/>
    <w:pPr>
      <w:jc w:val="left"/>
    </w:pPr>
  </w:style>
  <w:style w:type="paragraph" w:styleId="3">
    <w:name w:val="Balloon Text"/>
    <w:basedOn w:val="1"/>
    <w:link w:val="13"/>
    <w:qFormat/>
    <w:uiPriority w:val="0"/>
    <w:rPr>
      <w:sz w:val="18"/>
      <w:szCs w:val="18"/>
    </w:rPr>
  </w:style>
  <w:style w:type="paragraph" w:styleId="4">
    <w:name w:val="footer"/>
    <w:basedOn w:val="1"/>
    <w:link w:val="14"/>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annotation subject"/>
    <w:basedOn w:val="2"/>
    <w:next w:val="2"/>
    <w:link w:val="16"/>
    <w:qFormat/>
    <w:uiPriority w:val="0"/>
    <w:rPr>
      <w:b/>
      <w:bCs/>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annotation reference"/>
    <w:basedOn w:val="9"/>
    <w:qFormat/>
    <w:uiPriority w:val="0"/>
    <w:rPr>
      <w:sz w:val="21"/>
      <w:szCs w:val="21"/>
    </w:rPr>
  </w:style>
  <w:style w:type="paragraph" w:styleId="11">
    <w:name w:val="List Paragraph"/>
    <w:basedOn w:val="1"/>
    <w:qFormat/>
    <w:uiPriority w:val="34"/>
    <w:pPr>
      <w:ind w:firstLine="420" w:firstLineChars="200"/>
    </w:pPr>
  </w:style>
  <w:style w:type="paragraph" w:customStyle="1" w:styleId="12">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13">
    <w:name w:val="批注框文本 Char"/>
    <w:basedOn w:val="9"/>
    <w:link w:val="3"/>
    <w:qFormat/>
    <w:uiPriority w:val="0"/>
    <w:rPr>
      <w:kern w:val="2"/>
      <w:sz w:val="18"/>
      <w:szCs w:val="18"/>
    </w:rPr>
  </w:style>
  <w:style w:type="character" w:customStyle="1" w:styleId="14">
    <w:name w:val="页脚 Char"/>
    <w:basedOn w:val="9"/>
    <w:link w:val="4"/>
    <w:qFormat/>
    <w:uiPriority w:val="99"/>
    <w:rPr>
      <w:kern w:val="2"/>
      <w:sz w:val="18"/>
      <w:szCs w:val="24"/>
    </w:rPr>
  </w:style>
  <w:style w:type="character" w:customStyle="1" w:styleId="15">
    <w:name w:val="批注文字 Char"/>
    <w:basedOn w:val="9"/>
    <w:link w:val="2"/>
    <w:qFormat/>
    <w:uiPriority w:val="0"/>
    <w:rPr>
      <w:kern w:val="2"/>
      <w:sz w:val="21"/>
      <w:szCs w:val="24"/>
    </w:rPr>
  </w:style>
  <w:style w:type="character" w:customStyle="1" w:styleId="16">
    <w:name w:val="批注主题 Char"/>
    <w:basedOn w:val="15"/>
    <w:link w:val="6"/>
    <w:qFormat/>
    <w:uiPriority w:val="0"/>
    <w:rPr>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125</Words>
  <Characters>715</Characters>
  <Lines>5</Lines>
  <Paragraphs>1</Paragraphs>
  <TotalTime>4</TotalTime>
  <ScaleCrop>false</ScaleCrop>
  <LinksUpToDate>false</LinksUpToDate>
  <CharactersWithSpaces>839</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2022-10-11T10:21:00Z</dcterms:created>
  <dc:creator>kbb2345</dc:creator>
  <cp:lastModifiedBy>ccb</cp:lastModifiedBy>
  <cp:lastPrinted>2022-11-15T13:46:00Z</cp:lastPrinted>
  <dcterms:modified xsi:type="dcterms:W3CDTF">2024-11-19T11:11:42Z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714B8439682A446FBCD2CDDDC24A3E51</vt:lpwstr>
  </property>
</Properties>
</file>