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0620">
      <w:pPr>
        <w:spacing w:before="163" w:beforeLines="50" w:after="163" w:afterLines="50"/>
        <w:jc w:val="center"/>
        <w:rPr>
          <w:rFonts w:ascii="Arial" w:hAnsi="Arial" w:eastAsia="华文楷体" w:cs="Arial"/>
          <w:b/>
          <w:sz w:val="36"/>
          <w:szCs w:val="28"/>
        </w:rPr>
      </w:pPr>
      <w:r>
        <w:rPr>
          <w:rFonts w:ascii="Arial" w:hAnsi="Arial" w:eastAsia="华文楷体" w:cs="Arial"/>
          <w:b/>
          <w:sz w:val="36"/>
          <w:szCs w:val="28"/>
        </w:rPr>
        <w:t>关于</w:t>
      </w:r>
      <w:r>
        <w:rPr>
          <w:rFonts w:hint="eastAsia" w:ascii="Arial" w:hAnsi="Arial" w:eastAsia="华文楷体" w:cs="Arial"/>
          <w:b/>
          <w:sz w:val="36"/>
          <w:szCs w:val="28"/>
        </w:rPr>
        <w:t>（202</w:t>
      </w:r>
      <w:r>
        <w:rPr>
          <w:rFonts w:hint="eastAsia" w:ascii="Arial" w:hAnsi="Arial" w:eastAsia="华文楷体" w:cs="Arial"/>
          <w:b/>
          <w:sz w:val="36"/>
          <w:szCs w:val="28"/>
          <w:lang w:val="en-US" w:eastAsia="zh-CN"/>
        </w:rPr>
        <w:t>1</w:t>
      </w:r>
      <w:r>
        <w:rPr>
          <w:rFonts w:hint="eastAsia" w:ascii="Arial" w:hAnsi="Arial" w:eastAsia="华文楷体" w:cs="Arial"/>
          <w:b/>
          <w:sz w:val="36"/>
          <w:szCs w:val="28"/>
        </w:rPr>
        <w:t>）京0</w:t>
      </w:r>
      <w:r>
        <w:rPr>
          <w:rFonts w:hint="eastAsia" w:ascii="Arial" w:hAnsi="Arial" w:eastAsia="华文楷体" w:cs="Arial"/>
          <w:b/>
          <w:sz w:val="36"/>
          <w:szCs w:val="28"/>
          <w:lang w:val="en-US" w:eastAsia="zh-CN"/>
        </w:rPr>
        <w:t>2</w:t>
      </w:r>
      <w:r>
        <w:rPr>
          <w:rFonts w:ascii="Arial" w:hAnsi="Arial" w:eastAsia="华文楷体" w:cs="Arial"/>
          <w:b/>
          <w:sz w:val="36"/>
          <w:szCs w:val="28"/>
        </w:rPr>
        <w:t>执</w:t>
      </w:r>
      <w:r>
        <w:rPr>
          <w:rFonts w:hint="eastAsia" w:ascii="Arial" w:hAnsi="Arial" w:eastAsia="华文楷体" w:cs="Arial"/>
          <w:b/>
          <w:sz w:val="36"/>
          <w:szCs w:val="28"/>
          <w:lang w:val="en-US" w:eastAsia="zh-CN"/>
        </w:rPr>
        <w:t>恢295</w:t>
      </w:r>
      <w:r>
        <w:rPr>
          <w:rFonts w:hint="eastAsia" w:ascii="Arial" w:hAnsi="Arial" w:eastAsia="华文楷体" w:cs="Arial"/>
          <w:b/>
          <w:sz w:val="36"/>
          <w:szCs w:val="28"/>
        </w:rPr>
        <w:t>号</w:t>
      </w:r>
      <w:r>
        <w:rPr>
          <w:rFonts w:ascii="Arial" w:hAnsi="Arial" w:eastAsia="华文楷体" w:cs="Arial"/>
          <w:b/>
          <w:sz w:val="36"/>
          <w:szCs w:val="28"/>
        </w:rPr>
        <w:t>案件异议答复</w:t>
      </w:r>
    </w:p>
    <w:p w14:paraId="5C8009C3">
      <w:pPr>
        <w:spacing w:before="163" w:beforeLines="50" w:after="163" w:afterLines="50"/>
        <w:jc w:val="center"/>
        <w:rPr>
          <w:rFonts w:ascii="Arial" w:hAnsi="Arial" w:eastAsia="华文楷体" w:cs="Arial"/>
          <w:b/>
          <w:sz w:val="30"/>
          <w:szCs w:val="30"/>
        </w:rPr>
      </w:pPr>
      <w:r>
        <w:rPr>
          <w:rFonts w:hint="eastAsia" w:ascii="Arial" w:hAnsi="Arial" w:eastAsia="华文楷体" w:cs="Arial"/>
          <w:b/>
          <w:sz w:val="30"/>
          <w:szCs w:val="30"/>
          <w:lang w:val="en-US" w:eastAsia="zh-CN"/>
        </w:rPr>
        <w:t xml:space="preserve">                         </w:t>
      </w:r>
      <w:r>
        <w:rPr>
          <w:rFonts w:hint="eastAsia" w:ascii="Arial" w:hAnsi="Arial" w:eastAsia="华文楷体" w:cs="Arial"/>
          <w:b/>
          <w:sz w:val="30"/>
          <w:szCs w:val="30"/>
        </w:rPr>
        <w:t>——</w:t>
      </w:r>
      <w:r>
        <w:rPr>
          <w:rFonts w:hint="eastAsia" w:ascii="Arial" w:hAnsi="Arial" w:eastAsia="华文楷体" w:cs="Arial"/>
          <w:b/>
          <w:sz w:val="30"/>
          <w:szCs w:val="30"/>
          <w:lang w:val="en-US" w:eastAsia="zh-CN"/>
        </w:rPr>
        <w:t>内蒙古凯创投资有限责任公司</w:t>
      </w:r>
    </w:p>
    <w:p w14:paraId="506BCD9E">
      <w:pPr>
        <w:spacing w:before="326" w:beforeLines="100"/>
        <w:jc w:val="both"/>
        <w:rPr>
          <w:rFonts w:ascii="Arial" w:hAnsi="Arial" w:eastAsia="华文楷体" w:cs="Arial"/>
          <w:sz w:val="28"/>
          <w:szCs w:val="28"/>
        </w:rPr>
      </w:pPr>
      <w:r>
        <w:rPr>
          <w:rFonts w:hint="eastAsia" w:ascii="Arial" w:hAnsi="Arial" w:eastAsia="华文楷体" w:cs="Arial"/>
          <w:sz w:val="28"/>
          <w:szCs w:val="28"/>
        </w:rPr>
        <w:t>北京市第</w:t>
      </w:r>
      <w:r>
        <w:rPr>
          <w:rFonts w:hint="eastAsia" w:ascii="Arial" w:hAnsi="Arial" w:eastAsia="华文楷体" w:cs="Arial"/>
          <w:sz w:val="28"/>
          <w:szCs w:val="28"/>
          <w:lang w:val="en-US" w:eastAsia="zh-CN"/>
        </w:rPr>
        <w:t>二</w:t>
      </w:r>
      <w:r>
        <w:rPr>
          <w:rFonts w:hint="eastAsia" w:ascii="Arial" w:hAnsi="Arial" w:eastAsia="华文楷体" w:cs="Arial"/>
          <w:sz w:val="28"/>
          <w:szCs w:val="28"/>
        </w:rPr>
        <w:t>中级人民法院</w:t>
      </w:r>
      <w:r>
        <w:rPr>
          <w:rFonts w:ascii="Arial" w:hAnsi="Arial" w:eastAsia="华文楷体" w:cs="Arial"/>
          <w:sz w:val="28"/>
          <w:szCs w:val="28"/>
        </w:rPr>
        <w:t>：</w:t>
      </w:r>
    </w:p>
    <w:p w14:paraId="52BC17FD">
      <w:pPr>
        <w:kinsoku w:val="0"/>
        <w:autoSpaceDE w:val="0"/>
        <w:autoSpaceDN w:val="0"/>
        <w:ind w:firstLine="560" w:firstLineChars="200"/>
        <w:contextualSpacing/>
        <w:jc w:val="both"/>
        <w:rPr>
          <w:rFonts w:ascii="Arial" w:hAnsi="Arial" w:eastAsia="华文楷体" w:cs="Arial"/>
          <w:sz w:val="28"/>
          <w:szCs w:val="28"/>
        </w:rPr>
      </w:pPr>
      <w:r>
        <w:rPr>
          <w:rFonts w:ascii="Arial" w:hAnsi="Arial" w:eastAsia="华文楷体" w:cs="Arial"/>
          <w:sz w:val="28"/>
          <w:szCs w:val="28"/>
        </w:rPr>
        <w:t>我公司受贵院委托对</w:t>
      </w:r>
      <w:r>
        <w:rPr>
          <w:rFonts w:hint="eastAsia" w:ascii="Arial" w:hAnsi="Arial" w:eastAsia="华文楷体" w:cs="Arial"/>
          <w:sz w:val="28"/>
          <w:szCs w:val="28"/>
        </w:rPr>
        <w:t>内蒙古凯创投资有限责任公司名下位于北京市昌平区顺沙路14号1号楼房产及相应土地使用权</w:t>
      </w:r>
      <w:r>
        <w:rPr>
          <w:rFonts w:hint="eastAsia" w:ascii="Arial" w:hAnsi="Arial" w:eastAsia="华文楷体" w:cs="Arial"/>
          <w:sz w:val="28"/>
          <w:szCs w:val="28"/>
          <w:lang w:val="en-US" w:eastAsia="zh-CN"/>
        </w:rPr>
        <w:t>处置参考价</w:t>
      </w:r>
      <w:r>
        <w:rPr>
          <w:rFonts w:ascii="Arial" w:hAnsi="Arial" w:eastAsia="华文楷体" w:cs="Arial"/>
          <w:sz w:val="28"/>
          <w:szCs w:val="28"/>
        </w:rPr>
        <w:t>进行评估</w:t>
      </w:r>
      <w:r>
        <w:rPr>
          <w:rFonts w:hint="eastAsia" w:ascii="Arial" w:hAnsi="Arial" w:eastAsia="华文楷体" w:cs="Arial"/>
          <w:sz w:val="28"/>
          <w:szCs w:val="28"/>
        </w:rPr>
        <w:t>，并</w:t>
      </w:r>
      <w:r>
        <w:rPr>
          <w:rFonts w:ascii="Arial" w:hAnsi="Arial" w:eastAsia="华文楷体" w:cs="Arial"/>
          <w:sz w:val="28"/>
          <w:szCs w:val="28"/>
        </w:rPr>
        <w:t>于202</w:t>
      </w:r>
      <w:r>
        <w:rPr>
          <w:rFonts w:hint="eastAsia" w:ascii="Arial" w:hAnsi="Arial" w:eastAsia="华文楷体" w:cs="Arial"/>
          <w:sz w:val="28"/>
          <w:szCs w:val="28"/>
          <w:lang w:val="en-US" w:eastAsia="zh-CN"/>
        </w:rPr>
        <w:t>5</w:t>
      </w:r>
      <w:r>
        <w:rPr>
          <w:rFonts w:ascii="Arial" w:hAnsi="Arial" w:eastAsia="华文楷体" w:cs="Arial"/>
          <w:sz w:val="28"/>
          <w:szCs w:val="28"/>
        </w:rPr>
        <w:t>年</w:t>
      </w:r>
      <w:r>
        <w:rPr>
          <w:rFonts w:hint="eastAsia" w:ascii="Arial" w:hAnsi="Arial" w:eastAsia="华文楷体" w:cs="Arial"/>
          <w:sz w:val="28"/>
          <w:szCs w:val="28"/>
          <w:lang w:val="en-US" w:eastAsia="zh-CN"/>
        </w:rPr>
        <w:t>7</w:t>
      </w:r>
      <w:r>
        <w:rPr>
          <w:rFonts w:ascii="Arial" w:hAnsi="Arial" w:eastAsia="华文楷体" w:cs="Arial"/>
          <w:sz w:val="28"/>
          <w:szCs w:val="28"/>
        </w:rPr>
        <w:t>月</w:t>
      </w:r>
      <w:r>
        <w:rPr>
          <w:rFonts w:hint="eastAsia" w:ascii="Arial" w:hAnsi="Arial" w:eastAsia="华文楷体" w:cs="Arial"/>
          <w:sz w:val="28"/>
          <w:szCs w:val="28"/>
          <w:lang w:val="en-US" w:eastAsia="zh-CN"/>
        </w:rPr>
        <w:t>9</w:t>
      </w:r>
      <w:r>
        <w:rPr>
          <w:rFonts w:ascii="Arial" w:hAnsi="Arial" w:eastAsia="华文楷体" w:cs="Arial"/>
          <w:sz w:val="28"/>
          <w:szCs w:val="28"/>
        </w:rPr>
        <w:t>日出具</w:t>
      </w:r>
      <w:r>
        <w:rPr>
          <w:rFonts w:hint="eastAsia" w:ascii="Arial" w:hAnsi="Arial" w:eastAsia="华文楷体" w:cs="Arial"/>
          <w:sz w:val="28"/>
          <w:szCs w:val="28"/>
        </w:rPr>
        <w:t>《房地产估价报告》</w:t>
      </w:r>
      <w:r>
        <w:rPr>
          <w:rFonts w:ascii="Arial" w:hAnsi="Arial" w:eastAsia="华文楷体" w:cs="Arial"/>
          <w:sz w:val="28"/>
          <w:szCs w:val="28"/>
        </w:rPr>
        <w:t>[</w:t>
      </w:r>
      <w:r>
        <w:rPr>
          <w:rFonts w:hint="eastAsia" w:ascii="Arial" w:hAnsi="Arial" w:eastAsia="华文楷体" w:cs="Arial"/>
          <w:sz w:val="28"/>
          <w:szCs w:val="28"/>
        </w:rPr>
        <w:t>康正执评字202</w:t>
      </w:r>
      <w:r>
        <w:rPr>
          <w:rFonts w:ascii="Arial" w:hAnsi="Arial" w:eastAsia="华文楷体" w:cs="Arial"/>
          <w:sz w:val="28"/>
          <w:szCs w:val="28"/>
        </w:rPr>
        <w:t>4</w:t>
      </w:r>
      <w:r>
        <w:rPr>
          <w:rFonts w:hint="eastAsia" w:ascii="Arial" w:hAnsi="Arial" w:eastAsia="华文楷体" w:cs="Arial"/>
          <w:sz w:val="28"/>
          <w:szCs w:val="28"/>
        </w:rPr>
        <w:t>-1-</w:t>
      </w:r>
      <w:r>
        <w:rPr>
          <w:rFonts w:hint="eastAsia" w:ascii="Arial" w:hAnsi="Arial" w:eastAsia="华文楷体" w:cs="Arial"/>
          <w:sz w:val="28"/>
          <w:szCs w:val="28"/>
          <w:lang w:val="en-US" w:eastAsia="zh-CN"/>
        </w:rPr>
        <w:t>1062</w:t>
      </w:r>
      <w:r>
        <w:rPr>
          <w:rFonts w:hint="eastAsia" w:ascii="Arial" w:hAnsi="Arial" w:eastAsia="华文楷体" w:cs="Arial"/>
          <w:sz w:val="28"/>
          <w:szCs w:val="28"/>
        </w:rPr>
        <w:t>-F01SFZC6号]</w:t>
      </w:r>
      <w:r>
        <w:rPr>
          <w:rFonts w:ascii="Arial" w:hAnsi="Arial" w:eastAsia="华文楷体" w:cs="Arial"/>
          <w:sz w:val="28"/>
          <w:szCs w:val="28"/>
        </w:rPr>
        <w:t>。</w:t>
      </w:r>
    </w:p>
    <w:p w14:paraId="14F12CD7">
      <w:pPr>
        <w:kinsoku w:val="0"/>
        <w:autoSpaceDE w:val="0"/>
        <w:autoSpaceDN w:val="0"/>
        <w:ind w:firstLine="560" w:firstLineChars="200"/>
        <w:contextualSpacing/>
        <w:jc w:val="both"/>
        <w:rPr>
          <w:rFonts w:ascii="Arial" w:hAnsi="Arial" w:eastAsia="华文楷体" w:cs="Arial"/>
          <w:sz w:val="32"/>
          <w:szCs w:val="32"/>
        </w:rPr>
      </w:pPr>
      <w:r>
        <w:rPr>
          <w:rFonts w:ascii="Arial" w:hAnsi="Arial" w:eastAsia="华文楷体" w:cs="Arial"/>
          <w:sz w:val="28"/>
          <w:szCs w:val="28"/>
        </w:rPr>
        <w:t>202</w:t>
      </w:r>
      <w:r>
        <w:rPr>
          <w:rFonts w:hint="eastAsia" w:ascii="Arial" w:hAnsi="Arial" w:eastAsia="华文楷体" w:cs="Arial"/>
          <w:sz w:val="28"/>
          <w:szCs w:val="28"/>
          <w:lang w:val="en-US" w:eastAsia="zh-CN"/>
        </w:rPr>
        <w:t>6</w:t>
      </w:r>
      <w:r>
        <w:rPr>
          <w:rFonts w:ascii="Arial" w:hAnsi="Arial" w:eastAsia="华文楷体" w:cs="Arial"/>
          <w:sz w:val="28"/>
          <w:szCs w:val="28"/>
        </w:rPr>
        <w:t>年</w:t>
      </w:r>
      <w:r>
        <w:rPr>
          <w:rFonts w:hint="eastAsia" w:ascii="Arial" w:hAnsi="Arial" w:eastAsia="华文楷体" w:cs="Arial"/>
          <w:sz w:val="28"/>
          <w:szCs w:val="28"/>
          <w:lang w:val="en-US" w:eastAsia="zh-CN"/>
        </w:rPr>
        <w:t>2</w:t>
      </w:r>
      <w:r>
        <w:rPr>
          <w:rFonts w:ascii="Arial" w:hAnsi="Arial" w:eastAsia="华文楷体" w:cs="Arial"/>
          <w:sz w:val="28"/>
          <w:szCs w:val="28"/>
        </w:rPr>
        <w:t>月4日，我公司收到贵院</w:t>
      </w:r>
      <w:r>
        <w:rPr>
          <w:rFonts w:hint="eastAsia" w:ascii="Arial" w:hAnsi="Arial" w:eastAsia="华文楷体" w:cs="Arial"/>
          <w:sz w:val="28"/>
          <w:szCs w:val="28"/>
          <w:lang w:val="en-US" w:eastAsia="zh-CN"/>
        </w:rPr>
        <w:t>寄</w:t>
      </w:r>
      <w:r>
        <w:rPr>
          <w:rFonts w:ascii="Arial" w:hAnsi="Arial" w:eastAsia="华文楷体" w:cs="Arial"/>
          <w:sz w:val="28"/>
          <w:szCs w:val="28"/>
        </w:rPr>
        <w:t>来的《</w:t>
      </w:r>
      <w:r>
        <w:rPr>
          <w:rFonts w:hint="eastAsia" w:ascii="Arial" w:hAnsi="Arial" w:eastAsia="华文楷体" w:cs="Arial"/>
          <w:sz w:val="28"/>
          <w:szCs w:val="28"/>
          <w:lang w:val="en-US" w:eastAsia="zh-CN"/>
        </w:rPr>
        <w:t>执行异议申请书》</w:t>
      </w:r>
      <w:r>
        <w:rPr>
          <w:rFonts w:ascii="Arial" w:hAnsi="Arial" w:eastAsia="华文楷体" w:cs="Arial"/>
          <w:sz w:val="28"/>
          <w:szCs w:val="28"/>
        </w:rPr>
        <w:t>，</w:t>
      </w:r>
      <w:r>
        <w:rPr>
          <w:rFonts w:hint="eastAsia" w:ascii="Arial" w:hAnsi="Arial" w:eastAsia="华文楷体" w:cs="Arial"/>
          <w:sz w:val="28"/>
          <w:szCs w:val="28"/>
        </w:rPr>
        <w:t>现对异议人内蒙古凯创投资有限责任公司提出的异议意见作如下答复：</w:t>
      </w:r>
    </w:p>
    <w:p w14:paraId="4F8C8735">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rPr>
        <w:t>异议一：估价机构及估价人员资质与评估程序存在严重瑕疵。</w:t>
      </w:r>
    </w:p>
    <w:p w14:paraId="3D1D0498">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b w:val="0"/>
          <w:bCs w:val="0"/>
          <w:sz w:val="28"/>
          <w:szCs w:val="28"/>
          <w:highlight w:val="none"/>
          <w:lang w:val="en-US" w:eastAsia="zh-CN"/>
        </w:rPr>
        <w:t>1.</w:t>
      </w:r>
      <w:r>
        <w:rPr>
          <w:rFonts w:hint="eastAsia" w:ascii="Arial" w:hAnsi="Arial" w:eastAsia="华文楷体" w:cs="Arial"/>
          <w:b w:val="0"/>
          <w:bCs w:val="0"/>
          <w:sz w:val="28"/>
          <w:szCs w:val="28"/>
          <w:highlight w:val="none"/>
        </w:rPr>
        <w:t>估价机构资质核查缺失。申请人未收到人民法院关于选定案涉不动产估价机构的通知及相关材料，对估价机构的选定程序是</w:t>
      </w:r>
      <w:r>
        <w:rPr>
          <w:rFonts w:hint="eastAsia" w:ascii="Arial" w:hAnsi="Arial" w:eastAsia="华文楷体" w:cs="Arial"/>
          <w:sz w:val="28"/>
          <w:szCs w:val="28"/>
          <w:highlight w:val="none"/>
        </w:rPr>
        <w:t>否符合《最高人民法院关于人民法院确定财产处置参考价若干问题的规定》等相关法律规定存疑，无法确认北京康正宏基房地产评估有限公司是否为合法选定的具备司法评估资质的机构。估价人员执业资格及独立性存疑。虽估价报告载明注册房地产估价师陈颖(注册号:1120040060)、高鹏(注册号:1120140024)但申请人未核实到该两名估价人员当前是否处于合法有效的执业状态，亦未收到证明其与本案当事人、案涉不</w:t>
      </w:r>
      <w:r>
        <w:rPr>
          <w:rFonts w:hint="eastAsia" w:ascii="Arial" w:hAnsi="Arial" w:eastAsia="华文楷体" w:cs="Arial"/>
          <w:sz w:val="28"/>
          <w:szCs w:val="28"/>
        </w:rPr>
        <w:t>动产无利害关系的书面声明，无法排除估价人员存在影响评估结果公正性的情形。</w:t>
      </w:r>
    </w:p>
    <w:p w14:paraId="16A5A908">
      <w:pPr>
        <w:kinsoku w:val="0"/>
        <w:autoSpaceDE w:val="0"/>
        <w:autoSpaceDN w:val="0"/>
        <w:ind w:firstLine="561" w:firstLineChars="200"/>
        <w:contextualSpacing/>
        <w:jc w:val="both"/>
        <w:rPr>
          <w:rFonts w:hint="eastAsia" w:ascii="Arial" w:hAnsi="Arial" w:eastAsia="华文楷体" w:cs="Arial"/>
          <w:sz w:val="28"/>
          <w:szCs w:val="28"/>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rPr>
        <w:t>关于</w:t>
      </w:r>
      <w:r>
        <w:rPr>
          <w:rFonts w:hint="eastAsia" w:ascii="Arial" w:hAnsi="Arial" w:eastAsia="华文楷体" w:cs="Arial"/>
          <w:b/>
          <w:sz w:val="28"/>
          <w:szCs w:val="28"/>
        </w:rPr>
        <w:t>异议人对于</w:t>
      </w:r>
      <w:r>
        <w:rPr>
          <w:rFonts w:hint="eastAsia" w:ascii="Arial" w:hAnsi="Arial" w:eastAsia="华文楷体" w:cs="Arial"/>
          <w:b/>
          <w:sz w:val="28"/>
          <w:szCs w:val="28"/>
          <w:lang w:val="en-US" w:eastAsia="zh-CN"/>
        </w:rPr>
        <w:t>估价机构选定、估价机构资质核查等与委托评估程序和资格相关</w:t>
      </w:r>
      <w:r>
        <w:rPr>
          <w:rFonts w:hint="eastAsia" w:ascii="Arial" w:hAnsi="Arial" w:eastAsia="华文楷体" w:cs="Arial"/>
          <w:b/>
          <w:sz w:val="28"/>
          <w:szCs w:val="28"/>
        </w:rPr>
        <w:t>的异议不属于评估机构的</w:t>
      </w:r>
      <w:r>
        <w:rPr>
          <w:rFonts w:hint="eastAsia" w:ascii="Arial" w:hAnsi="Arial" w:eastAsia="华文楷体" w:cs="Arial"/>
          <w:b/>
          <w:sz w:val="28"/>
          <w:szCs w:val="28"/>
          <w:lang w:val="en-US" w:eastAsia="zh-CN"/>
        </w:rPr>
        <w:t>职责范围</w:t>
      </w:r>
      <w:r>
        <w:rPr>
          <w:rFonts w:hint="eastAsia" w:ascii="Arial" w:hAnsi="Arial" w:eastAsia="华文楷体" w:cs="Arial"/>
          <w:b/>
          <w:sz w:val="28"/>
          <w:szCs w:val="28"/>
          <w:lang w:eastAsia="zh-CN"/>
        </w:rPr>
        <w:t>。</w:t>
      </w:r>
      <w:r>
        <w:rPr>
          <w:rFonts w:hint="eastAsia" w:ascii="Arial" w:hAnsi="Arial" w:eastAsia="华文楷体" w:cs="Arial"/>
          <w:b/>
          <w:sz w:val="28"/>
          <w:szCs w:val="28"/>
          <w:lang w:val="en-US" w:eastAsia="zh-CN"/>
        </w:rPr>
        <w:t>且经核实，注册房地产估价师陈颖(注册号:1120060040)、高鹏(注册号:1120140024)均在合法有效的职业期内，报告附件中已附资格证书并明确有效期。</w:t>
      </w:r>
    </w:p>
    <w:p w14:paraId="3D0A9B40">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highlight w:val="none"/>
          <w:lang w:val="en-US" w:eastAsia="zh-CN"/>
        </w:rPr>
        <w:t>2.</w:t>
      </w:r>
      <w:r>
        <w:rPr>
          <w:rFonts w:hint="eastAsia" w:ascii="Arial" w:hAnsi="Arial" w:eastAsia="华文楷体" w:cs="Arial"/>
          <w:sz w:val="28"/>
          <w:szCs w:val="28"/>
          <w:highlight w:val="none"/>
        </w:rPr>
        <w:t>实地查勘程序不符合规范。价值时点为2025年5月13日(评估专业人员实地查勘日)，但估价机构在实地查勘前未依法通知申请人到场，导致申请人未能对案涉不动产的实际状况、使用情况、设施设备完好程度等进行现场指认</w:t>
      </w:r>
      <w:r>
        <w:rPr>
          <w:rFonts w:hint="eastAsia" w:ascii="Arial" w:hAnsi="Arial" w:eastAsia="华文楷体" w:cs="Arial"/>
          <w:sz w:val="28"/>
          <w:szCs w:val="28"/>
        </w:rPr>
        <w:t>和说明，估价人员所获取的查勘信息可能存在片面性、不真实性，直接影响评估结果的准确性。</w:t>
      </w:r>
    </w:p>
    <w:p w14:paraId="41B86150">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lang w:val="en-US" w:eastAsia="zh-CN"/>
        </w:rPr>
        <w:t>答复：《最高人民法院关于人民法院确定财产处置参考价若干问题的规定》[法释(2018)15号]第十八条规定:“评估需要进行现场勘验的，人民法院应当通知当事人到场;当事人不到场的，不影响勘验的进行，但应当有见证人见证。现场勘验需要当事人、协助义务人配合的，人民法院依法责令其配合;不予配合的,可以依法强制进行。”</w:t>
      </w:r>
    </w:p>
    <w:p w14:paraId="31F3FF3D">
      <w:pPr>
        <w:kinsoku w:val="0"/>
        <w:autoSpaceDE w:val="0"/>
        <w:autoSpaceDN w:val="0"/>
        <w:ind w:firstLine="561" w:firstLineChars="200"/>
        <w:contextualSpacing/>
        <w:jc w:val="both"/>
        <w:rPr>
          <w:rFonts w:hint="eastAsia" w:ascii="Arial" w:hAnsi="Arial" w:eastAsia="华文楷体" w:cs="Arial"/>
          <w:sz w:val="28"/>
          <w:szCs w:val="28"/>
          <w:highlight w:val="none"/>
          <w:lang w:val="en-US" w:eastAsia="zh-CN"/>
        </w:rPr>
      </w:pPr>
      <w:r>
        <w:rPr>
          <w:rFonts w:hint="eastAsia" w:ascii="Arial" w:hAnsi="Arial" w:eastAsia="华文楷体" w:cs="Arial"/>
          <w:b/>
          <w:sz w:val="28"/>
          <w:szCs w:val="28"/>
          <w:lang w:val="en-US" w:eastAsia="zh-CN"/>
        </w:rPr>
        <w:t>本次评估程序符合上述条款规定，我司依法对不动产的实际状况、使用情况、设施设备完好程度等进行实地查勘，查勘工作有见证人见证，并对实地查勘记录签字确认。异议中提到的“估价机构在实地查勘前未依法通知申请人到场，导致申请人未能对案涉不动产的实际状况、使用情况、设施设备完好程度等进行现场指认和说明。”关于判断当事人是否有必要到场配合实地查勘等工作事宜不属于评估机构的职责范围。</w:t>
      </w:r>
    </w:p>
    <w:p w14:paraId="62FD66FA">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rPr>
        <w:t>异议</w:t>
      </w:r>
      <w:r>
        <w:rPr>
          <w:rFonts w:hint="eastAsia" w:ascii="Arial" w:hAnsi="Arial" w:eastAsia="华文楷体" w:cs="Arial"/>
          <w:sz w:val="28"/>
          <w:szCs w:val="28"/>
          <w:lang w:val="en-US" w:eastAsia="zh-CN"/>
        </w:rPr>
        <w:t>二</w:t>
      </w:r>
      <w:r>
        <w:rPr>
          <w:rFonts w:hint="eastAsia" w:ascii="Arial" w:hAnsi="Arial" w:eastAsia="华文楷体" w:cs="Arial"/>
          <w:sz w:val="28"/>
          <w:szCs w:val="28"/>
        </w:rPr>
        <w:t>：估</w:t>
      </w:r>
      <w:r>
        <w:rPr>
          <w:rFonts w:hint="eastAsia" w:ascii="Arial" w:hAnsi="Arial" w:eastAsia="华文楷体" w:cs="Arial"/>
          <w:sz w:val="28"/>
          <w:szCs w:val="28"/>
          <w:highlight w:val="none"/>
        </w:rPr>
        <w:t>价报告所依据的基础资料存在错误与遗漏。</w:t>
      </w:r>
    </w:p>
    <w:p w14:paraId="7F4E8E03">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1.</w:t>
      </w:r>
      <w:r>
        <w:rPr>
          <w:rFonts w:hint="eastAsia" w:ascii="Arial" w:hAnsi="Arial" w:eastAsia="华文楷体" w:cs="Arial"/>
          <w:sz w:val="28"/>
          <w:szCs w:val="28"/>
        </w:rPr>
        <w:t>房屋所有权证信息前后矛盾。估价报告中《房屋所有权证》编号出现“京房权证昌其字第34436号”“X京房权证昌其字第34436号”“X京房权证昌其字第334436号”三种不同表述，产权证明文件编号作为确认估价对象的核心依据，出现如此严重矛盾，足以说明估价机构未对基础产权资料进行审慎核查，无法保证估价对象的唯一性和准确性。</w:t>
      </w:r>
    </w:p>
    <w:p w14:paraId="17A478E9">
      <w:pPr>
        <w:kinsoku w:val="0"/>
        <w:autoSpaceDE w:val="0"/>
        <w:autoSpaceDN w:val="0"/>
        <w:ind w:firstLine="561" w:firstLineChars="200"/>
        <w:contextualSpacing/>
        <w:jc w:val="both"/>
        <w:rPr>
          <w:rFonts w:hint="default" w:ascii="Arial" w:hAnsi="Arial" w:eastAsia="华文楷体" w:cs="Arial"/>
          <w:b/>
          <w:sz w:val="28"/>
          <w:szCs w:val="28"/>
          <w:lang w:val="en-US" w:eastAsia="zh-CN"/>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rPr>
        <w:t>异议中提到的“房屋所有权证信息前后矛盾”。经我司评估专业人员核实确认，《房地产估价报告》[康正执评字2024-1-1062-F01SFZC6号]中不存在《房屋所有权证》文件编号不一致的情况，报告中均表述为“《房屋所有权证》[X京房权证昌其字第334436号]”。异议人无理由质疑估价机构对基础产权资料的审慎核查。</w:t>
      </w:r>
    </w:p>
    <w:p w14:paraId="17A4E523">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2.</w:t>
      </w:r>
      <w:r>
        <w:rPr>
          <w:rFonts w:hint="eastAsia" w:ascii="Arial" w:hAnsi="Arial" w:eastAsia="华文楷体" w:cs="Arial"/>
          <w:sz w:val="28"/>
          <w:szCs w:val="28"/>
        </w:rPr>
        <w:t>土地用途与房屋实际用途不一致未作合理说明。根据《国有土地使用权证》[京昌国用(2009出)第013号]</w:t>
      </w:r>
      <w:r>
        <w:rPr>
          <w:rFonts w:hint="eastAsia" w:ascii="Arial" w:hAnsi="Arial" w:eastAsia="华文楷体" w:cs="Arial"/>
          <w:sz w:val="28"/>
          <w:szCs w:val="28"/>
          <w:lang w:eastAsia="zh-CN"/>
        </w:rPr>
        <w:t>，</w:t>
      </w:r>
      <w:r>
        <w:rPr>
          <w:rFonts w:hint="eastAsia" w:ascii="Arial" w:hAnsi="Arial" w:eastAsia="华文楷体" w:cs="Arial"/>
          <w:sz w:val="28"/>
          <w:szCs w:val="28"/>
        </w:rPr>
        <w:t>案涉土地地类(用途)为工业，而房屋实际用途为餐饮、附属用房、客房、娱乐用房。估价机构在未核实该土地与房屋用途不一致是否已依法办理变更手续、是否存在合法合规性问题的情况下，直接按房屋实际用途进行评估，违反了“合法原则”，评估前提存在严重瑕疵。</w:t>
      </w:r>
    </w:p>
    <w:p w14:paraId="63100F24">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rPr>
        <w:t>异议中提到的“土地用途与房屋实际用途不一致未作合理说明”的问题，已在《房地产估价报告》[康正执评字2024-1-1062-F01SFZC6号]特殊事项假设前提——不相一致假设中明确提示：“</w:t>
      </w:r>
      <w:r>
        <w:rPr>
          <w:rFonts w:hint="default" w:ascii="Arial" w:hAnsi="Arial" w:eastAsia="华文楷体" w:cs="Arial"/>
          <w:b/>
          <w:sz w:val="28"/>
          <w:szCs w:val="28"/>
          <w:lang w:val="en-US" w:eastAsia="zh-CN"/>
        </w:rPr>
        <w:t>按照合法性原则，依据《国有土地使用权证》[京昌国用（2009出）第013号]及《房屋所有权证》[X京房权证昌其字第334436号]，以估价对象地类（用途）工业，设计用途餐饮、附属用房、客房、娱乐为估价的假设和限制条件，并产生相应的房地产收益。</w:t>
      </w:r>
      <w:r>
        <w:rPr>
          <w:rFonts w:hint="eastAsia" w:ascii="Arial" w:hAnsi="Arial" w:eastAsia="华文楷体" w:cs="Arial"/>
          <w:b/>
          <w:sz w:val="28"/>
          <w:szCs w:val="28"/>
          <w:lang w:val="en-US" w:eastAsia="zh-CN"/>
        </w:rPr>
        <w:t>”</w:t>
      </w:r>
    </w:p>
    <w:p w14:paraId="4F0738EF">
      <w:pPr>
        <w:kinsoku w:val="0"/>
        <w:autoSpaceDE w:val="0"/>
        <w:autoSpaceDN w:val="0"/>
        <w:ind w:firstLine="561" w:firstLineChars="200"/>
        <w:contextualSpacing/>
        <w:jc w:val="both"/>
        <w:rPr>
          <w:rFonts w:hint="default" w:ascii="Arial" w:hAnsi="Arial" w:eastAsia="华文楷体" w:cs="Arial"/>
          <w:b/>
          <w:sz w:val="28"/>
          <w:szCs w:val="28"/>
          <w:lang w:val="en-US" w:eastAsia="zh-CN"/>
        </w:rPr>
      </w:pPr>
      <w:r>
        <w:rPr>
          <w:rFonts w:hint="default" w:ascii="Arial" w:hAnsi="Arial" w:eastAsia="华文楷体" w:cs="Arial"/>
          <w:b/>
          <w:sz w:val="28"/>
          <w:szCs w:val="28"/>
          <w:lang w:val="en-US" w:eastAsia="zh-CN"/>
        </w:rPr>
        <w:t>《房屋所有权证》[X京房权证昌其字第334436号]</w:t>
      </w:r>
      <w:r>
        <w:rPr>
          <w:rFonts w:hint="eastAsia" w:ascii="Arial" w:hAnsi="Arial" w:eastAsia="华文楷体" w:cs="Arial"/>
          <w:b/>
          <w:sz w:val="28"/>
          <w:szCs w:val="28"/>
          <w:lang w:val="en-US" w:eastAsia="zh-CN"/>
        </w:rPr>
        <w:t>的登记用途与异议中提到的“房屋实际用途为餐饮、附属用房、客房、娱乐用房”一致。不存在异议中表述的“直接按照房屋实际用途进行评估。”</w:t>
      </w:r>
    </w:p>
    <w:p w14:paraId="50B1FB2C">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lang w:val="en-US" w:eastAsia="zh-CN"/>
        </w:rPr>
        <w:t>同时，我司评估专业人员分别于2024年12月16日、2025年7月9日通过北京市规划和自然资源委员会网上办事服务平台调取了《不动产登记信息查询结果告知单》[编号：20244032891（网）、20252247492（网）]，明确涉案不动产在价值时点2025年5月13日房屋登记用途（</w:t>
      </w:r>
      <w:r>
        <w:rPr>
          <w:rFonts w:hint="default" w:ascii="Arial" w:hAnsi="Arial" w:eastAsia="华文楷体" w:cs="Arial"/>
          <w:b/>
          <w:sz w:val="28"/>
          <w:szCs w:val="28"/>
          <w:lang w:val="en-US" w:eastAsia="zh-CN"/>
        </w:rPr>
        <w:t>餐饮、附属用房、客房、娱乐</w:t>
      </w:r>
      <w:r>
        <w:rPr>
          <w:rFonts w:hint="eastAsia" w:ascii="Arial" w:hAnsi="Arial" w:eastAsia="华文楷体" w:cs="Arial"/>
          <w:b/>
          <w:sz w:val="28"/>
          <w:szCs w:val="28"/>
          <w:lang w:val="en-US" w:eastAsia="zh-CN"/>
        </w:rPr>
        <w:t>）未发生变更。</w:t>
      </w:r>
    </w:p>
    <w:p w14:paraId="7A5A275D">
      <w:pPr>
        <w:kinsoku w:val="0"/>
        <w:autoSpaceDE w:val="0"/>
        <w:autoSpaceDN w:val="0"/>
        <w:ind w:firstLine="561" w:firstLineChars="200"/>
        <w:contextualSpacing/>
        <w:jc w:val="both"/>
        <w:rPr>
          <w:rFonts w:hint="default" w:ascii="Arial" w:hAnsi="Arial" w:eastAsia="华文楷体" w:cs="Arial"/>
          <w:b/>
          <w:sz w:val="28"/>
          <w:szCs w:val="28"/>
          <w:lang w:val="en-US" w:eastAsia="zh-CN"/>
        </w:rPr>
      </w:pPr>
      <w:r>
        <w:rPr>
          <w:rFonts w:hint="eastAsia" w:ascii="Arial" w:hAnsi="Arial" w:eastAsia="华文楷体" w:cs="Arial"/>
          <w:b/>
          <w:sz w:val="28"/>
          <w:szCs w:val="28"/>
        </w:rPr>
        <w:t>《不动产登记信息查询结果告知单》依据不动产登记簿记载的信息，依据《民法典》第214-217条，登记簿对于确定不动产权属</w:t>
      </w:r>
      <w:r>
        <w:rPr>
          <w:rFonts w:hint="eastAsia" w:ascii="Arial" w:hAnsi="Arial" w:eastAsia="华文楷体" w:cs="Arial"/>
          <w:b/>
          <w:sz w:val="28"/>
          <w:szCs w:val="28"/>
          <w:lang w:val="en-US" w:eastAsia="zh-CN"/>
        </w:rPr>
        <w:t>及用途</w:t>
      </w:r>
      <w:r>
        <w:rPr>
          <w:rFonts w:hint="eastAsia" w:ascii="Arial" w:hAnsi="Arial" w:eastAsia="华文楷体" w:cs="Arial"/>
          <w:b/>
          <w:sz w:val="28"/>
          <w:szCs w:val="28"/>
        </w:rPr>
        <w:t>具有最终的法律效力</w:t>
      </w:r>
      <w:r>
        <w:rPr>
          <w:rFonts w:hint="eastAsia" w:ascii="Arial" w:hAnsi="Arial" w:eastAsia="华文楷体" w:cs="Arial"/>
          <w:b/>
          <w:sz w:val="28"/>
          <w:szCs w:val="28"/>
          <w:lang w:val="en-US" w:eastAsia="zh-CN"/>
        </w:rPr>
        <w:t>。</w:t>
      </w:r>
    </w:p>
    <w:p w14:paraId="080AAA04">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lang w:val="en-US" w:eastAsia="zh-CN"/>
        </w:rPr>
        <w:t>综上所述，《房地产估价报告》[康正执评字2024-1-1062-F01SFZC6号]中对于土地用途和房屋用途的确定均依据权属证明文件中登记的合法用途，不存在违反“合法原则”的情况，估价假设前提符合</w:t>
      </w:r>
      <w:r>
        <w:rPr>
          <w:rFonts w:hint="eastAsia" w:ascii="Arial" w:hAnsi="Arial" w:eastAsia="华文楷体" w:cs="Arial"/>
          <w:b/>
          <w:sz w:val="28"/>
          <w:szCs w:val="28"/>
        </w:rPr>
        <w:t>《房地产估价规范》（GB/</w:t>
      </w:r>
      <w:r>
        <w:rPr>
          <w:rFonts w:ascii="Arial" w:hAnsi="Arial" w:eastAsia="华文楷体" w:cs="Arial"/>
          <w:b/>
          <w:sz w:val="28"/>
          <w:szCs w:val="28"/>
        </w:rPr>
        <w:t>T 50291-2015</w:t>
      </w:r>
      <w:r>
        <w:rPr>
          <w:rFonts w:hint="eastAsia" w:ascii="Arial" w:hAnsi="Arial" w:eastAsia="华文楷体" w:cs="Arial"/>
          <w:b/>
          <w:sz w:val="28"/>
          <w:szCs w:val="28"/>
        </w:rPr>
        <w:t>）</w:t>
      </w:r>
      <w:r>
        <w:rPr>
          <w:rFonts w:hint="eastAsia" w:ascii="Arial" w:hAnsi="Arial" w:eastAsia="华文楷体" w:cs="Arial"/>
          <w:b/>
          <w:sz w:val="28"/>
          <w:szCs w:val="28"/>
          <w:lang w:val="en-US" w:eastAsia="zh-CN"/>
        </w:rPr>
        <w:t>要求。</w:t>
      </w:r>
    </w:p>
    <w:p w14:paraId="21FBDF5F">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3.未充分考虑案涉不动产的查封登记情况对价值的影响。案涉不</w:t>
      </w:r>
      <w:r>
        <w:rPr>
          <w:rFonts w:hint="eastAsia" w:ascii="Arial" w:hAnsi="Arial" w:eastAsia="华文楷体" w:cs="Arial"/>
          <w:sz w:val="28"/>
          <w:szCs w:val="28"/>
        </w:rPr>
        <w:t>动产存在包头市中级人民法院及北京市第二中级人民法院的多轮司法查封、轮候查封，查封期限及解封状态直接影响不动产的处置变现能力和市场价值。估价报告未对上述查封信息进行全面调查核实，亦未在评估过程中充分考虑该因素对评估价值的影响，导致评估结果缺乏合理性和客观性。</w:t>
      </w:r>
    </w:p>
    <w:p w14:paraId="57FC771C">
      <w:pPr>
        <w:kinsoku w:val="0"/>
        <w:autoSpaceDE w:val="0"/>
        <w:autoSpaceDN w:val="0"/>
        <w:ind w:firstLine="561" w:firstLineChars="200"/>
        <w:contextualSpacing/>
        <w:jc w:val="both"/>
        <w:rPr>
          <w:rFonts w:hint="eastAsia" w:ascii="Arial" w:hAnsi="Arial" w:eastAsia="华文楷体" w:cs="Arial"/>
          <w:b/>
          <w:sz w:val="28"/>
          <w:szCs w:val="28"/>
          <w:lang w:eastAsia="zh-CN"/>
        </w:rPr>
      </w:pPr>
      <w:r>
        <w:rPr>
          <w:rFonts w:hint="eastAsia" w:ascii="Arial" w:hAnsi="Arial" w:eastAsia="华文楷体" w:cs="Arial"/>
          <w:b/>
          <w:sz w:val="28"/>
          <w:szCs w:val="28"/>
        </w:rPr>
        <w:t>答复：《关于印发〈涉执房地产处置司法评估指导意见（试行）〉的通知》[中房学[2021]37号]</w:t>
      </w:r>
      <w:r>
        <w:rPr>
          <w:rFonts w:hint="eastAsia" w:ascii="Arial" w:hAnsi="Arial" w:eastAsia="华文楷体" w:cs="Arial"/>
          <w:b/>
          <w:sz w:val="28"/>
          <w:szCs w:val="28"/>
          <w:lang w:eastAsia="zh-CN"/>
        </w:rPr>
        <w:t>第十三条</w:t>
      </w:r>
      <w:r>
        <w:rPr>
          <w:rFonts w:hint="eastAsia" w:ascii="Arial" w:hAnsi="Arial" w:eastAsia="华文楷体" w:cs="Arial"/>
          <w:b/>
          <w:sz w:val="28"/>
          <w:szCs w:val="28"/>
          <w:lang w:val="en-US" w:eastAsia="zh-CN"/>
        </w:rPr>
        <w:t>规定：“</w:t>
      </w:r>
      <w:r>
        <w:rPr>
          <w:rFonts w:hint="eastAsia" w:ascii="Arial" w:hAnsi="Arial" w:eastAsia="华文楷体" w:cs="Arial"/>
          <w:b/>
          <w:sz w:val="28"/>
          <w:szCs w:val="28"/>
          <w:lang w:eastAsia="zh-CN"/>
        </w:rPr>
        <w:t>涉执房地产处置司法评估结果不应当考虑评估对象被查封以及原有的担保物权和其他优先受偿权的影响，并在评估报告“估价假设和限制条件”的“背离事实假设”中予以说明。”</w:t>
      </w:r>
    </w:p>
    <w:p w14:paraId="48D8ED25">
      <w:pPr>
        <w:kinsoku w:val="0"/>
        <w:autoSpaceDE w:val="0"/>
        <w:autoSpaceDN w:val="0"/>
        <w:ind w:firstLine="561" w:firstLineChars="200"/>
        <w:contextualSpacing/>
        <w:jc w:val="both"/>
        <w:rPr>
          <w:rFonts w:hint="default" w:ascii="Arial" w:hAnsi="Arial" w:eastAsia="华文楷体" w:cs="Arial"/>
          <w:b/>
          <w:sz w:val="28"/>
          <w:szCs w:val="28"/>
          <w:lang w:val="en-US" w:eastAsia="zh-CN"/>
        </w:rPr>
      </w:pPr>
      <w:r>
        <w:rPr>
          <w:rFonts w:hint="eastAsia" w:ascii="Arial" w:hAnsi="Arial" w:eastAsia="华文楷体" w:cs="Arial"/>
          <w:b/>
          <w:sz w:val="28"/>
          <w:szCs w:val="28"/>
          <w:lang w:val="en-US" w:eastAsia="zh-CN"/>
        </w:rPr>
        <w:t>我司出具的《房地产估价报告》[康正执评字2024-1-1062-F01SFZC6号]中，已在特殊事项假设前提——背离事实假设中明确不考虑估价对象已被查封因素的影响。</w:t>
      </w:r>
    </w:p>
    <w:p w14:paraId="643A4925">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lang w:val="en-US" w:eastAsia="zh-CN"/>
        </w:rPr>
        <w:t>关于</w:t>
      </w:r>
      <w:r>
        <w:rPr>
          <w:rFonts w:hint="eastAsia" w:ascii="Arial" w:hAnsi="Arial" w:eastAsia="华文楷体" w:cs="Arial"/>
          <w:b/>
          <w:sz w:val="28"/>
          <w:szCs w:val="28"/>
        </w:rPr>
        <w:t>异议人对于</w:t>
      </w:r>
      <w:r>
        <w:rPr>
          <w:rFonts w:hint="eastAsia" w:ascii="Arial" w:hAnsi="Arial" w:eastAsia="华文楷体" w:cs="Arial"/>
          <w:b/>
          <w:sz w:val="28"/>
          <w:szCs w:val="28"/>
          <w:lang w:val="en-US" w:eastAsia="zh-CN"/>
        </w:rPr>
        <w:t>不动产查封后续处置顺序、解封状态等</w:t>
      </w:r>
      <w:r>
        <w:rPr>
          <w:rFonts w:hint="eastAsia" w:ascii="Arial" w:hAnsi="Arial" w:eastAsia="华文楷体" w:cs="Arial"/>
          <w:b/>
          <w:sz w:val="28"/>
          <w:szCs w:val="28"/>
        </w:rPr>
        <w:t>异议不属于评估机构的</w:t>
      </w:r>
      <w:r>
        <w:rPr>
          <w:rFonts w:hint="eastAsia" w:ascii="Arial" w:hAnsi="Arial" w:eastAsia="华文楷体" w:cs="Arial"/>
          <w:b/>
          <w:sz w:val="28"/>
          <w:szCs w:val="28"/>
          <w:lang w:val="en-US" w:eastAsia="zh-CN"/>
        </w:rPr>
        <w:t>职责范围</w:t>
      </w:r>
      <w:r>
        <w:rPr>
          <w:rFonts w:hint="eastAsia" w:ascii="Arial" w:hAnsi="Arial" w:eastAsia="华文楷体" w:cs="Arial"/>
          <w:b/>
          <w:sz w:val="28"/>
          <w:szCs w:val="28"/>
          <w:lang w:eastAsia="zh-CN"/>
        </w:rPr>
        <w:t>。</w:t>
      </w:r>
    </w:p>
    <w:p w14:paraId="199D5743">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rPr>
        <w:t>异议</w:t>
      </w:r>
      <w:r>
        <w:rPr>
          <w:rFonts w:hint="eastAsia" w:ascii="Arial" w:hAnsi="Arial" w:eastAsia="华文楷体" w:cs="Arial"/>
          <w:sz w:val="28"/>
          <w:szCs w:val="28"/>
          <w:lang w:val="en-US" w:eastAsia="zh-CN"/>
        </w:rPr>
        <w:t>三</w:t>
      </w:r>
      <w:r>
        <w:rPr>
          <w:rFonts w:hint="eastAsia" w:ascii="Arial" w:hAnsi="Arial" w:eastAsia="华文楷体" w:cs="Arial"/>
          <w:sz w:val="28"/>
          <w:szCs w:val="28"/>
        </w:rPr>
        <w:t>：估价方法选择及运用不当，评估结果显失公平</w:t>
      </w:r>
    </w:p>
    <w:p w14:paraId="5FA84D3B">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1.</w:t>
      </w:r>
      <w:r>
        <w:rPr>
          <w:rFonts w:hint="eastAsia" w:ascii="Arial" w:hAnsi="Arial" w:eastAsia="华文楷体" w:cs="Arial"/>
          <w:sz w:val="28"/>
          <w:szCs w:val="28"/>
        </w:rPr>
        <w:t>主估价方法选择缺乏合理性。本次评估采用收益法和成本法作为主估价方法，但案涉不动产为集餐饮、客房、娱乐等多种用途于一体的综合性房地产，其市场交易较为活跃，具备采用市场比较法进行评估的条件。估价机构未采用市场比较法，仅依赖收益法和成本法，未能充分反映案涉不动产的市场公允价值，评估方法选择存在片面性。</w:t>
      </w:r>
    </w:p>
    <w:p w14:paraId="6FBF1E2E">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答复：根据《房地产估价规范》[GB/T 50291-2015]</w:t>
      </w:r>
      <w:r>
        <w:rPr>
          <w:rFonts w:hint="eastAsia" w:ascii="Arial" w:hAnsi="Arial" w:eastAsia="华文楷体" w:cs="Arial"/>
          <w:b/>
          <w:sz w:val="28"/>
          <w:szCs w:val="28"/>
          <w:lang w:eastAsia="zh-CN"/>
        </w:rPr>
        <w:t>，</w:t>
      </w:r>
      <w:r>
        <w:rPr>
          <w:rFonts w:hint="eastAsia" w:ascii="Arial" w:hAnsi="Arial" w:eastAsia="华文楷体" w:cs="Arial"/>
          <w:b/>
          <w:sz w:val="28"/>
          <w:szCs w:val="28"/>
        </w:rPr>
        <w:t>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r>
        <w:rPr>
          <w:rFonts w:hint="eastAsia" w:ascii="Arial" w:hAnsi="Arial" w:eastAsia="华文楷体" w:cs="Arial"/>
          <w:b/>
          <w:sz w:val="28"/>
          <w:szCs w:val="28"/>
          <w:lang w:val="en-US" w:eastAsia="zh-CN"/>
        </w:rPr>
        <w:t xml:space="preserve"> </w:t>
      </w:r>
    </w:p>
    <w:p w14:paraId="457AAFA3">
      <w:pPr>
        <w:kinsoku w:val="0"/>
        <w:autoSpaceDE w:val="0"/>
        <w:autoSpaceDN w:val="0"/>
        <w:ind w:left="278" w:leftChars="116" w:firstLine="280" w:firstLineChars="100"/>
        <w:contextualSpacing/>
        <w:jc w:val="both"/>
        <w:rPr>
          <w:rFonts w:hint="eastAsia" w:ascii="Arial" w:hAnsi="Arial" w:eastAsia="华文楷体" w:cs="Arial"/>
          <w:sz w:val="28"/>
          <w:szCs w:val="28"/>
        </w:rPr>
      </w:pPr>
      <w:r>
        <w:rPr>
          <w:rFonts w:hint="eastAsia" w:ascii="Arial" w:hAnsi="Arial" w:eastAsia="华文楷体" w:cs="Arial"/>
          <w:b/>
          <w:sz w:val="28"/>
          <w:szCs w:val="28"/>
          <w:lang w:val="en-US" w:eastAsia="zh-CN"/>
        </w:rPr>
        <w:t>经我司评估专业人员市场调查，</w:t>
      </w:r>
      <w:r>
        <w:rPr>
          <w:rFonts w:hint="eastAsia" w:ascii="Arial" w:hAnsi="Arial" w:eastAsia="华文楷体" w:cs="Arial"/>
          <w:b/>
          <w:sz w:val="28"/>
          <w:szCs w:val="28"/>
        </w:rPr>
        <w:t>周边</w:t>
      </w:r>
      <w:r>
        <w:rPr>
          <w:rFonts w:hint="eastAsia" w:ascii="Arial" w:hAnsi="Arial" w:eastAsia="华文楷体" w:cs="Arial"/>
          <w:b/>
          <w:sz w:val="28"/>
          <w:szCs w:val="28"/>
          <w:lang w:val="en-US" w:eastAsia="zh-CN"/>
        </w:rPr>
        <w:t>与估价对象同区域的，土地用途为工业，房屋</w:t>
      </w:r>
      <w:r>
        <w:rPr>
          <w:rFonts w:hint="eastAsia" w:ascii="Arial" w:hAnsi="Arial" w:eastAsia="华文楷体" w:cs="Arial"/>
          <w:b/>
          <w:sz w:val="28"/>
          <w:szCs w:val="28"/>
        </w:rPr>
        <w:t>用途为餐饮、附属用房、客房、娱乐</w:t>
      </w:r>
      <w:r>
        <w:rPr>
          <w:rFonts w:hint="eastAsia" w:ascii="Arial" w:hAnsi="Arial" w:eastAsia="华文楷体" w:cs="Arial"/>
          <w:b/>
          <w:sz w:val="28"/>
          <w:szCs w:val="28"/>
          <w:lang w:val="en-US" w:eastAsia="zh-CN"/>
        </w:rPr>
        <w:t>的综合性房地产的</w:t>
      </w:r>
      <w:r>
        <w:rPr>
          <w:rFonts w:hint="eastAsia" w:ascii="Arial" w:hAnsi="Arial" w:eastAsia="华文楷体" w:cs="Arial"/>
          <w:b/>
          <w:sz w:val="28"/>
          <w:szCs w:val="28"/>
        </w:rPr>
        <w:t>市场成交数量较少，不符合比较法的选用及应用条件。</w:t>
      </w:r>
    </w:p>
    <w:p w14:paraId="15302031">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2.</w:t>
      </w:r>
      <w:r>
        <w:rPr>
          <w:rFonts w:hint="eastAsia" w:ascii="Arial" w:hAnsi="Arial" w:eastAsia="华文楷体" w:cs="Arial"/>
          <w:sz w:val="28"/>
          <w:szCs w:val="28"/>
        </w:rPr>
        <w:t>收益法参数取值缺乏依据。收益法的核心参数包括年净收益、报酬率等，估价报告未详细说明年净收益的测算依据(如历史经营数据、市场同类物业收益水平、空置率测算等)，亦未披露报酬率的选取方法及参考标准。申请人有理由怀疑相关参数取值存在主观臆断，导致收益法测算结果失真。</w:t>
      </w:r>
    </w:p>
    <w:p w14:paraId="03C34B4F">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rPr>
        <w:t>异议中提到的：“收益法的核心参数包括年净收益、报酬率等”在本次评估中均有充分的测算依据。</w:t>
      </w:r>
    </w:p>
    <w:p w14:paraId="346C2C13">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依据《房地产估价规范》（GB/</w:t>
      </w:r>
      <w:r>
        <w:rPr>
          <w:rFonts w:ascii="Arial" w:hAnsi="Arial" w:eastAsia="华文楷体" w:cs="Arial"/>
          <w:b/>
          <w:sz w:val="28"/>
          <w:szCs w:val="28"/>
        </w:rPr>
        <w:t>T 50291-2015</w:t>
      </w:r>
      <w:r>
        <w:rPr>
          <w:rFonts w:hint="eastAsia" w:ascii="Arial" w:hAnsi="Arial" w:eastAsia="华文楷体" w:cs="Arial"/>
          <w:b/>
          <w:sz w:val="28"/>
          <w:szCs w:val="28"/>
        </w:rPr>
        <w:t>）第7</w:t>
      </w:r>
      <w:r>
        <w:rPr>
          <w:rFonts w:ascii="Arial" w:hAnsi="Arial" w:eastAsia="华文楷体" w:cs="Arial"/>
          <w:b/>
          <w:sz w:val="28"/>
          <w:szCs w:val="28"/>
        </w:rPr>
        <w:t>.0.17</w:t>
      </w:r>
      <w:r>
        <w:rPr>
          <w:rFonts w:hint="eastAsia" w:ascii="Arial" w:hAnsi="Arial" w:eastAsia="华文楷体" w:cs="Arial"/>
          <w:b/>
          <w:sz w:val="28"/>
          <w:szCs w:val="28"/>
        </w:rPr>
        <w:t>条第9项规定，说明估价测算的简要内容。</w:t>
      </w:r>
    </w:p>
    <w:p w14:paraId="58818522">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1）求取房地年未来第一年年经营收入</w:t>
      </w:r>
    </w:p>
    <w:p w14:paraId="6F70D561">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估价对象2-6层部分房屋现状作为酒店客房使用，考虑未来可持续收入以酒店客房经营为主，故租金收入参考现状酒店客房实际收入；根据北京市文化和旅游局数据，2024年全年北京市二星及一星级酒店平均出租率为58.2%，另根据市场调查数据，</w:t>
      </w:r>
      <w:r>
        <w:rPr>
          <w:rFonts w:hint="eastAsia" w:ascii="Arial" w:hAnsi="Arial" w:eastAsia="华文楷体" w:cs="Arial"/>
          <w:b/>
          <w:sz w:val="28"/>
          <w:szCs w:val="28"/>
          <w:lang w:val="en-US" w:eastAsia="zh-CN"/>
        </w:rPr>
        <w:t>客房收益参照携程网市场报价，</w:t>
      </w:r>
      <w:r>
        <w:rPr>
          <w:rFonts w:hint="eastAsia" w:ascii="Arial" w:hAnsi="Arial" w:eastAsia="华文楷体" w:cs="Arial"/>
          <w:b/>
          <w:sz w:val="28"/>
          <w:szCs w:val="28"/>
        </w:rPr>
        <w:t>结合评估专业人员实地查勘现状酒店经营情况、客房类型、数量、餐厅、球场的使用情况，综合确定估价对象未来第一年年经营收入情况，详见下表：</w:t>
      </w:r>
    </w:p>
    <w:tbl>
      <w:tblPr>
        <w:tblStyle w:val="35"/>
        <w:tblW w:w="8394" w:type="dxa"/>
        <w:jc w:val="center"/>
        <w:tblLayout w:type="fixed"/>
        <w:tblCellMar>
          <w:top w:w="57" w:type="dxa"/>
          <w:left w:w="57" w:type="dxa"/>
          <w:bottom w:w="57" w:type="dxa"/>
          <w:right w:w="57" w:type="dxa"/>
        </w:tblCellMar>
      </w:tblPr>
      <w:tblGrid>
        <w:gridCol w:w="372"/>
        <w:gridCol w:w="609"/>
        <w:gridCol w:w="1269"/>
        <w:gridCol w:w="1134"/>
        <w:gridCol w:w="1417"/>
        <w:gridCol w:w="992"/>
        <w:gridCol w:w="989"/>
        <w:gridCol w:w="724"/>
        <w:gridCol w:w="888"/>
      </w:tblGrid>
      <w:tr w14:paraId="26186181">
        <w:tblPrEx>
          <w:tblCellMar>
            <w:top w:w="57" w:type="dxa"/>
            <w:left w:w="57" w:type="dxa"/>
            <w:bottom w:w="57" w:type="dxa"/>
            <w:right w:w="57" w:type="dxa"/>
          </w:tblCellMar>
        </w:tblPrEx>
        <w:trPr>
          <w:jc w:val="center"/>
        </w:trPr>
        <w:tc>
          <w:tcPr>
            <w:tcW w:w="372" w:type="dxa"/>
            <w:tcBorders>
              <w:top w:val="single" w:color="auto" w:sz="4" w:space="0"/>
              <w:left w:val="single" w:color="auto" w:sz="8" w:space="0"/>
              <w:bottom w:val="single" w:color="auto" w:sz="4" w:space="0"/>
              <w:right w:val="single" w:color="auto" w:sz="4" w:space="0"/>
            </w:tcBorders>
            <w:noWrap w:val="0"/>
            <w:vAlign w:val="center"/>
          </w:tcPr>
          <w:p w14:paraId="3D819B3E">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序号</w:t>
            </w:r>
          </w:p>
        </w:tc>
        <w:tc>
          <w:tcPr>
            <w:tcW w:w="609" w:type="dxa"/>
            <w:tcBorders>
              <w:top w:val="single" w:color="auto" w:sz="4" w:space="0"/>
              <w:left w:val="single" w:color="auto" w:sz="4" w:space="0"/>
              <w:bottom w:val="single" w:color="000000" w:sz="4" w:space="0"/>
              <w:right w:val="single" w:color="auto" w:sz="4" w:space="0"/>
            </w:tcBorders>
            <w:noWrap w:val="0"/>
            <w:vAlign w:val="center"/>
          </w:tcPr>
          <w:p w14:paraId="118D5331">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项目</w:t>
            </w:r>
          </w:p>
        </w:tc>
        <w:tc>
          <w:tcPr>
            <w:tcW w:w="1269" w:type="dxa"/>
            <w:tcBorders>
              <w:top w:val="single" w:color="auto" w:sz="4" w:space="0"/>
              <w:left w:val="nil"/>
              <w:bottom w:val="single" w:color="auto" w:sz="4" w:space="0"/>
              <w:right w:val="nil"/>
            </w:tcBorders>
            <w:noWrap/>
            <w:vAlign w:val="center"/>
          </w:tcPr>
          <w:p w14:paraId="423D3D95">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房型/部位</w:t>
            </w:r>
          </w:p>
        </w:tc>
        <w:tc>
          <w:tcPr>
            <w:tcW w:w="1134" w:type="dxa"/>
            <w:tcBorders>
              <w:top w:val="single" w:color="auto" w:sz="4" w:space="0"/>
              <w:left w:val="single" w:color="auto" w:sz="4" w:space="0"/>
              <w:bottom w:val="single" w:color="auto" w:sz="4" w:space="0"/>
              <w:right w:val="single" w:color="auto" w:sz="4" w:space="0"/>
            </w:tcBorders>
            <w:noWrap/>
            <w:vAlign w:val="center"/>
          </w:tcPr>
          <w:p w14:paraId="128D3851">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间数（间）</w:t>
            </w:r>
          </w:p>
        </w:tc>
        <w:tc>
          <w:tcPr>
            <w:tcW w:w="1417" w:type="dxa"/>
            <w:tcBorders>
              <w:top w:val="single" w:color="auto" w:sz="4" w:space="0"/>
              <w:left w:val="nil"/>
              <w:bottom w:val="single" w:color="auto" w:sz="4" w:space="0"/>
              <w:right w:val="single" w:color="auto" w:sz="4" w:space="0"/>
            </w:tcBorders>
            <w:noWrap/>
            <w:vAlign w:val="center"/>
          </w:tcPr>
          <w:p w14:paraId="27048C29">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收费标准（元）</w:t>
            </w:r>
          </w:p>
        </w:tc>
        <w:tc>
          <w:tcPr>
            <w:tcW w:w="992" w:type="dxa"/>
            <w:tcBorders>
              <w:top w:val="single" w:color="auto" w:sz="4" w:space="0"/>
              <w:left w:val="nil"/>
              <w:bottom w:val="single" w:color="auto" w:sz="4" w:space="0"/>
              <w:right w:val="single" w:color="auto" w:sz="4" w:space="0"/>
            </w:tcBorders>
            <w:noWrap/>
            <w:vAlign w:val="center"/>
          </w:tcPr>
          <w:p w14:paraId="3D04B3DC">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折扣率</w:t>
            </w:r>
          </w:p>
        </w:tc>
        <w:tc>
          <w:tcPr>
            <w:tcW w:w="989" w:type="dxa"/>
            <w:tcBorders>
              <w:top w:val="single" w:color="auto" w:sz="4" w:space="0"/>
              <w:left w:val="nil"/>
              <w:bottom w:val="single" w:color="auto" w:sz="4" w:space="0"/>
              <w:right w:val="single" w:color="auto" w:sz="4" w:space="0"/>
            </w:tcBorders>
            <w:noWrap/>
            <w:vAlign w:val="center"/>
          </w:tcPr>
          <w:p w14:paraId="07360429">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出租率</w:t>
            </w:r>
          </w:p>
        </w:tc>
        <w:tc>
          <w:tcPr>
            <w:tcW w:w="724" w:type="dxa"/>
            <w:tcBorders>
              <w:top w:val="single" w:color="auto" w:sz="4" w:space="0"/>
              <w:left w:val="nil"/>
              <w:bottom w:val="single" w:color="auto" w:sz="4" w:space="0"/>
              <w:right w:val="single" w:color="auto" w:sz="4" w:space="0"/>
            </w:tcBorders>
            <w:noWrap/>
            <w:vAlign w:val="center"/>
          </w:tcPr>
          <w:p w14:paraId="7642A63A">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天数（天）</w:t>
            </w:r>
          </w:p>
        </w:tc>
        <w:tc>
          <w:tcPr>
            <w:tcW w:w="888" w:type="dxa"/>
            <w:tcBorders>
              <w:top w:val="single" w:color="auto" w:sz="4" w:space="0"/>
              <w:left w:val="nil"/>
              <w:bottom w:val="single" w:color="auto" w:sz="4" w:space="0"/>
              <w:right w:val="single" w:color="auto" w:sz="8" w:space="0"/>
            </w:tcBorders>
            <w:noWrap/>
            <w:vAlign w:val="center"/>
          </w:tcPr>
          <w:p w14:paraId="4D491E25">
            <w:pPr>
              <w:widowControl/>
              <w:adjustRightInd/>
              <w:spacing w:line="240" w:lineRule="exact"/>
              <w:textAlignment w:val="auto"/>
              <w:rPr>
                <w:rFonts w:hint="eastAsia" w:ascii="华文楷体" w:hAnsi="华文楷体" w:eastAsia="华文楷体" w:cs="华文楷体"/>
                <w:sz w:val="20"/>
                <w:szCs w:val="20"/>
              </w:rPr>
            </w:pPr>
            <w:r>
              <w:rPr>
                <w:rFonts w:hint="eastAsia" w:ascii="华文楷体" w:hAnsi="华文楷体" w:eastAsia="华文楷体" w:cs="华文楷体"/>
                <w:sz w:val="20"/>
                <w:szCs w:val="20"/>
              </w:rPr>
              <w:t>年经营收入（万元）</w:t>
            </w:r>
          </w:p>
        </w:tc>
      </w:tr>
      <w:tr w14:paraId="47920BAE">
        <w:tblPrEx>
          <w:tblCellMar>
            <w:top w:w="57" w:type="dxa"/>
            <w:left w:w="57" w:type="dxa"/>
            <w:bottom w:w="57" w:type="dxa"/>
            <w:right w:w="57" w:type="dxa"/>
          </w:tblCellMar>
        </w:tblPrEx>
        <w:trPr>
          <w:jc w:val="center"/>
        </w:trPr>
        <w:tc>
          <w:tcPr>
            <w:tcW w:w="372" w:type="dxa"/>
            <w:vMerge w:val="restart"/>
            <w:tcBorders>
              <w:top w:val="single" w:color="auto" w:sz="4" w:space="0"/>
              <w:left w:val="single" w:color="auto" w:sz="8" w:space="0"/>
              <w:right w:val="single" w:color="auto" w:sz="4" w:space="0"/>
            </w:tcBorders>
            <w:noWrap w:val="0"/>
            <w:vAlign w:val="center"/>
          </w:tcPr>
          <w:p w14:paraId="14D8C22E">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1</w:t>
            </w:r>
          </w:p>
        </w:tc>
        <w:tc>
          <w:tcPr>
            <w:tcW w:w="609" w:type="dxa"/>
            <w:vMerge w:val="restart"/>
            <w:tcBorders>
              <w:top w:val="single" w:color="auto" w:sz="4" w:space="0"/>
              <w:left w:val="single" w:color="auto" w:sz="4" w:space="0"/>
              <w:right w:val="single" w:color="auto" w:sz="4" w:space="0"/>
            </w:tcBorders>
            <w:noWrap w:val="0"/>
            <w:vAlign w:val="center"/>
          </w:tcPr>
          <w:p w14:paraId="0A886F74">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客房</w:t>
            </w:r>
          </w:p>
        </w:tc>
        <w:tc>
          <w:tcPr>
            <w:tcW w:w="1269" w:type="dxa"/>
            <w:tcBorders>
              <w:top w:val="nil"/>
              <w:left w:val="nil"/>
              <w:bottom w:val="single" w:color="auto" w:sz="4" w:space="0"/>
              <w:right w:val="nil"/>
            </w:tcBorders>
            <w:noWrap/>
            <w:vAlign w:val="center"/>
          </w:tcPr>
          <w:p w14:paraId="0DAF6ABD">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标间</w:t>
            </w:r>
          </w:p>
        </w:tc>
        <w:tc>
          <w:tcPr>
            <w:tcW w:w="1134" w:type="dxa"/>
            <w:tcBorders>
              <w:top w:val="nil"/>
              <w:left w:val="single" w:color="auto" w:sz="4" w:space="0"/>
              <w:bottom w:val="single" w:color="auto" w:sz="4" w:space="0"/>
              <w:right w:val="single" w:color="auto" w:sz="4" w:space="0"/>
            </w:tcBorders>
            <w:noWrap/>
            <w:vAlign w:val="center"/>
          </w:tcPr>
          <w:p w14:paraId="67F8A0CC">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99</w:t>
            </w:r>
          </w:p>
        </w:tc>
        <w:tc>
          <w:tcPr>
            <w:tcW w:w="1417" w:type="dxa"/>
            <w:tcBorders>
              <w:top w:val="nil"/>
              <w:left w:val="nil"/>
              <w:bottom w:val="single" w:color="auto" w:sz="4" w:space="0"/>
              <w:right w:val="single" w:color="auto" w:sz="4" w:space="0"/>
            </w:tcBorders>
            <w:noWrap/>
            <w:vAlign w:val="center"/>
          </w:tcPr>
          <w:p w14:paraId="258CA6E9">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240</w:t>
            </w:r>
          </w:p>
        </w:tc>
        <w:tc>
          <w:tcPr>
            <w:tcW w:w="992" w:type="dxa"/>
            <w:tcBorders>
              <w:top w:val="nil"/>
              <w:left w:val="nil"/>
              <w:bottom w:val="single" w:color="auto" w:sz="4" w:space="0"/>
              <w:right w:val="single" w:color="auto" w:sz="4" w:space="0"/>
            </w:tcBorders>
            <w:noWrap/>
            <w:vAlign w:val="center"/>
          </w:tcPr>
          <w:p w14:paraId="3D8725B0">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90%</w:t>
            </w:r>
          </w:p>
        </w:tc>
        <w:tc>
          <w:tcPr>
            <w:tcW w:w="989" w:type="dxa"/>
            <w:tcBorders>
              <w:top w:val="nil"/>
              <w:left w:val="nil"/>
              <w:bottom w:val="single" w:color="auto" w:sz="4" w:space="0"/>
              <w:right w:val="single" w:color="auto" w:sz="4" w:space="0"/>
            </w:tcBorders>
            <w:noWrap/>
            <w:vAlign w:val="center"/>
          </w:tcPr>
          <w:p w14:paraId="4A7E30E6">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58.2%</w:t>
            </w:r>
          </w:p>
        </w:tc>
        <w:tc>
          <w:tcPr>
            <w:tcW w:w="724" w:type="dxa"/>
            <w:tcBorders>
              <w:top w:val="nil"/>
              <w:left w:val="nil"/>
              <w:bottom w:val="single" w:color="auto" w:sz="4" w:space="0"/>
              <w:right w:val="single" w:color="auto" w:sz="4" w:space="0"/>
            </w:tcBorders>
            <w:noWrap/>
            <w:vAlign w:val="center"/>
          </w:tcPr>
          <w:p w14:paraId="33E5A071">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365</w:t>
            </w:r>
          </w:p>
        </w:tc>
        <w:tc>
          <w:tcPr>
            <w:tcW w:w="888" w:type="dxa"/>
            <w:tcBorders>
              <w:top w:val="nil"/>
              <w:left w:val="nil"/>
              <w:bottom w:val="single" w:color="auto" w:sz="4" w:space="0"/>
              <w:right w:val="single" w:color="auto" w:sz="8" w:space="0"/>
            </w:tcBorders>
            <w:noWrap/>
            <w:vAlign w:val="center"/>
          </w:tcPr>
          <w:p w14:paraId="753DA48F">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454</w:t>
            </w:r>
          </w:p>
        </w:tc>
      </w:tr>
      <w:tr w14:paraId="107C3C7A">
        <w:tblPrEx>
          <w:tblCellMar>
            <w:top w:w="57" w:type="dxa"/>
            <w:left w:w="57" w:type="dxa"/>
            <w:bottom w:w="57" w:type="dxa"/>
            <w:right w:w="57" w:type="dxa"/>
          </w:tblCellMar>
        </w:tblPrEx>
        <w:trPr>
          <w:jc w:val="center"/>
        </w:trPr>
        <w:tc>
          <w:tcPr>
            <w:tcW w:w="372" w:type="dxa"/>
            <w:vMerge w:val="continue"/>
            <w:tcBorders>
              <w:left w:val="single" w:color="auto" w:sz="8" w:space="0"/>
              <w:right w:val="single" w:color="auto" w:sz="4" w:space="0"/>
            </w:tcBorders>
            <w:noWrap w:val="0"/>
            <w:vAlign w:val="center"/>
          </w:tcPr>
          <w:p w14:paraId="21A61BB9">
            <w:pPr>
              <w:widowControl/>
              <w:adjustRightInd/>
              <w:spacing w:line="240" w:lineRule="exact"/>
              <w:textAlignment w:val="auto"/>
              <w:rPr>
                <w:rFonts w:hint="eastAsia" w:ascii="华文楷体" w:hAnsi="华文楷体" w:eastAsia="华文楷体" w:cs="华文楷体"/>
                <w:bCs/>
                <w:sz w:val="20"/>
                <w:szCs w:val="20"/>
              </w:rPr>
            </w:pPr>
          </w:p>
        </w:tc>
        <w:tc>
          <w:tcPr>
            <w:tcW w:w="609" w:type="dxa"/>
            <w:vMerge w:val="continue"/>
            <w:tcBorders>
              <w:left w:val="single" w:color="auto" w:sz="4" w:space="0"/>
              <w:right w:val="single" w:color="auto" w:sz="4" w:space="0"/>
            </w:tcBorders>
            <w:noWrap w:val="0"/>
            <w:vAlign w:val="center"/>
          </w:tcPr>
          <w:p w14:paraId="1F3BB6B7">
            <w:pPr>
              <w:widowControl/>
              <w:adjustRightInd/>
              <w:spacing w:line="240" w:lineRule="exact"/>
              <w:textAlignment w:val="auto"/>
              <w:rPr>
                <w:rFonts w:hint="eastAsia" w:ascii="华文楷体" w:hAnsi="华文楷体" w:eastAsia="华文楷体" w:cs="华文楷体"/>
                <w:bCs/>
                <w:sz w:val="20"/>
                <w:szCs w:val="20"/>
              </w:rPr>
            </w:pPr>
          </w:p>
        </w:tc>
        <w:tc>
          <w:tcPr>
            <w:tcW w:w="1269" w:type="dxa"/>
            <w:tcBorders>
              <w:top w:val="nil"/>
              <w:left w:val="nil"/>
              <w:bottom w:val="single" w:color="auto" w:sz="4" w:space="0"/>
              <w:right w:val="nil"/>
            </w:tcBorders>
            <w:noWrap/>
            <w:vAlign w:val="center"/>
          </w:tcPr>
          <w:p w14:paraId="4D16A500">
            <w:pPr>
              <w:widowControl/>
              <w:adjustRightInd/>
              <w:spacing w:line="240" w:lineRule="exact"/>
              <w:textAlignment w:val="auto"/>
              <w:rPr>
                <w:rFonts w:hint="eastAsia" w:ascii="华文楷体" w:hAnsi="华文楷体" w:eastAsia="华文楷体" w:cs="华文楷体"/>
                <w:bCs/>
                <w:sz w:val="20"/>
                <w:szCs w:val="20"/>
                <w:lang w:val="en-US" w:eastAsia="zh-CN"/>
              </w:rPr>
            </w:pPr>
            <w:r>
              <w:rPr>
                <w:rFonts w:hint="eastAsia" w:ascii="华文楷体" w:hAnsi="华文楷体" w:eastAsia="华文楷体" w:cs="华文楷体"/>
                <w:bCs/>
                <w:sz w:val="20"/>
                <w:szCs w:val="20"/>
                <w:lang w:val="en-US" w:eastAsia="zh-CN"/>
              </w:rPr>
              <w:t>套间</w:t>
            </w:r>
          </w:p>
        </w:tc>
        <w:tc>
          <w:tcPr>
            <w:tcW w:w="1134" w:type="dxa"/>
            <w:tcBorders>
              <w:top w:val="nil"/>
              <w:left w:val="single" w:color="auto" w:sz="4" w:space="0"/>
              <w:bottom w:val="single" w:color="auto" w:sz="4" w:space="0"/>
              <w:right w:val="single" w:color="auto" w:sz="4" w:space="0"/>
            </w:tcBorders>
            <w:noWrap/>
            <w:vAlign w:val="center"/>
          </w:tcPr>
          <w:p w14:paraId="1D6F4CCF">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8</w:t>
            </w:r>
          </w:p>
        </w:tc>
        <w:tc>
          <w:tcPr>
            <w:tcW w:w="1417" w:type="dxa"/>
            <w:tcBorders>
              <w:top w:val="nil"/>
              <w:left w:val="nil"/>
              <w:bottom w:val="single" w:color="auto" w:sz="4" w:space="0"/>
              <w:right w:val="single" w:color="auto" w:sz="4" w:space="0"/>
            </w:tcBorders>
            <w:noWrap/>
            <w:vAlign w:val="center"/>
          </w:tcPr>
          <w:p w14:paraId="51D62CB7">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300</w:t>
            </w:r>
          </w:p>
        </w:tc>
        <w:tc>
          <w:tcPr>
            <w:tcW w:w="992" w:type="dxa"/>
            <w:tcBorders>
              <w:top w:val="nil"/>
              <w:left w:val="nil"/>
              <w:bottom w:val="single" w:color="auto" w:sz="4" w:space="0"/>
              <w:right w:val="single" w:color="auto" w:sz="4" w:space="0"/>
            </w:tcBorders>
            <w:noWrap/>
            <w:vAlign w:val="center"/>
          </w:tcPr>
          <w:p w14:paraId="1E80FD14">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90%</w:t>
            </w:r>
          </w:p>
        </w:tc>
        <w:tc>
          <w:tcPr>
            <w:tcW w:w="989" w:type="dxa"/>
            <w:tcBorders>
              <w:top w:val="nil"/>
              <w:left w:val="nil"/>
              <w:bottom w:val="single" w:color="auto" w:sz="4" w:space="0"/>
              <w:right w:val="single" w:color="auto" w:sz="4" w:space="0"/>
            </w:tcBorders>
            <w:noWrap/>
            <w:vAlign w:val="center"/>
          </w:tcPr>
          <w:p w14:paraId="0FD1E978">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58.2%</w:t>
            </w:r>
          </w:p>
        </w:tc>
        <w:tc>
          <w:tcPr>
            <w:tcW w:w="724" w:type="dxa"/>
            <w:tcBorders>
              <w:top w:val="nil"/>
              <w:left w:val="nil"/>
              <w:bottom w:val="single" w:color="auto" w:sz="4" w:space="0"/>
              <w:right w:val="single" w:color="auto" w:sz="4" w:space="0"/>
            </w:tcBorders>
            <w:noWrap/>
            <w:vAlign w:val="center"/>
          </w:tcPr>
          <w:p w14:paraId="06CB6CD6">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365</w:t>
            </w:r>
          </w:p>
        </w:tc>
        <w:tc>
          <w:tcPr>
            <w:tcW w:w="888" w:type="dxa"/>
            <w:tcBorders>
              <w:top w:val="nil"/>
              <w:left w:val="nil"/>
              <w:bottom w:val="single" w:color="auto" w:sz="4" w:space="0"/>
              <w:right w:val="single" w:color="auto" w:sz="8" w:space="0"/>
            </w:tcBorders>
            <w:noWrap/>
            <w:vAlign w:val="center"/>
          </w:tcPr>
          <w:p w14:paraId="29726D1E">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46</w:t>
            </w:r>
          </w:p>
        </w:tc>
      </w:tr>
      <w:tr w14:paraId="236F677E">
        <w:tblPrEx>
          <w:tblCellMar>
            <w:top w:w="57" w:type="dxa"/>
            <w:left w:w="57" w:type="dxa"/>
            <w:bottom w:w="57" w:type="dxa"/>
            <w:right w:w="57" w:type="dxa"/>
          </w:tblCellMar>
        </w:tblPrEx>
        <w:trPr>
          <w:jc w:val="center"/>
        </w:trPr>
        <w:tc>
          <w:tcPr>
            <w:tcW w:w="372" w:type="dxa"/>
            <w:vMerge w:val="continue"/>
            <w:tcBorders>
              <w:left w:val="single" w:color="auto" w:sz="8" w:space="0"/>
              <w:bottom w:val="single" w:color="auto" w:sz="4" w:space="0"/>
              <w:right w:val="single" w:color="auto" w:sz="4" w:space="0"/>
            </w:tcBorders>
            <w:noWrap w:val="0"/>
            <w:vAlign w:val="center"/>
          </w:tcPr>
          <w:p w14:paraId="5AE2279E">
            <w:pPr>
              <w:widowControl/>
              <w:adjustRightInd/>
              <w:spacing w:line="240" w:lineRule="exact"/>
              <w:textAlignment w:val="auto"/>
              <w:rPr>
                <w:rFonts w:hint="eastAsia" w:ascii="华文楷体" w:hAnsi="华文楷体" w:eastAsia="华文楷体" w:cs="华文楷体"/>
                <w:bCs/>
                <w:sz w:val="20"/>
                <w:szCs w:val="20"/>
              </w:rPr>
            </w:pPr>
          </w:p>
        </w:tc>
        <w:tc>
          <w:tcPr>
            <w:tcW w:w="609" w:type="dxa"/>
            <w:vMerge w:val="continue"/>
            <w:tcBorders>
              <w:left w:val="single" w:color="auto" w:sz="4" w:space="0"/>
              <w:bottom w:val="single" w:color="auto" w:sz="4" w:space="0"/>
              <w:right w:val="single" w:color="auto" w:sz="4" w:space="0"/>
            </w:tcBorders>
            <w:noWrap w:val="0"/>
            <w:vAlign w:val="center"/>
          </w:tcPr>
          <w:p w14:paraId="56AE8B17">
            <w:pPr>
              <w:widowControl/>
              <w:adjustRightInd/>
              <w:spacing w:line="240" w:lineRule="exact"/>
              <w:textAlignment w:val="auto"/>
              <w:rPr>
                <w:rFonts w:hint="eastAsia" w:ascii="华文楷体" w:hAnsi="华文楷体" w:eastAsia="华文楷体" w:cs="华文楷体"/>
                <w:bCs/>
                <w:sz w:val="20"/>
                <w:szCs w:val="20"/>
              </w:rPr>
            </w:pPr>
          </w:p>
        </w:tc>
        <w:tc>
          <w:tcPr>
            <w:tcW w:w="1269" w:type="dxa"/>
            <w:tcBorders>
              <w:top w:val="nil"/>
              <w:left w:val="nil"/>
              <w:bottom w:val="single" w:color="auto" w:sz="4" w:space="0"/>
              <w:right w:val="nil"/>
            </w:tcBorders>
            <w:noWrap/>
            <w:vAlign w:val="center"/>
          </w:tcPr>
          <w:p w14:paraId="013A753A">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小计</w:t>
            </w:r>
          </w:p>
        </w:tc>
        <w:tc>
          <w:tcPr>
            <w:tcW w:w="1134" w:type="dxa"/>
            <w:tcBorders>
              <w:top w:val="nil"/>
              <w:left w:val="single" w:color="auto" w:sz="4" w:space="0"/>
              <w:bottom w:val="single" w:color="auto" w:sz="4" w:space="0"/>
              <w:right w:val="single" w:color="auto" w:sz="4" w:space="0"/>
            </w:tcBorders>
            <w:noWrap/>
            <w:vAlign w:val="center"/>
          </w:tcPr>
          <w:p w14:paraId="09C4F447">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107</w:t>
            </w:r>
          </w:p>
        </w:tc>
        <w:tc>
          <w:tcPr>
            <w:tcW w:w="1417" w:type="dxa"/>
            <w:tcBorders>
              <w:top w:val="nil"/>
              <w:left w:val="nil"/>
              <w:bottom w:val="single" w:color="auto" w:sz="4" w:space="0"/>
              <w:right w:val="single" w:color="auto" w:sz="4" w:space="0"/>
            </w:tcBorders>
            <w:noWrap/>
            <w:vAlign w:val="center"/>
          </w:tcPr>
          <w:p w14:paraId="7BA25480">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w:t>
            </w:r>
          </w:p>
        </w:tc>
        <w:tc>
          <w:tcPr>
            <w:tcW w:w="992" w:type="dxa"/>
            <w:tcBorders>
              <w:top w:val="nil"/>
              <w:left w:val="nil"/>
              <w:bottom w:val="single" w:color="auto" w:sz="4" w:space="0"/>
              <w:right w:val="single" w:color="auto" w:sz="4" w:space="0"/>
            </w:tcBorders>
            <w:noWrap/>
            <w:vAlign w:val="center"/>
          </w:tcPr>
          <w:p w14:paraId="2309374B">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w:t>
            </w:r>
          </w:p>
        </w:tc>
        <w:tc>
          <w:tcPr>
            <w:tcW w:w="989" w:type="dxa"/>
            <w:tcBorders>
              <w:top w:val="nil"/>
              <w:left w:val="nil"/>
              <w:bottom w:val="single" w:color="auto" w:sz="4" w:space="0"/>
              <w:right w:val="single" w:color="auto" w:sz="4" w:space="0"/>
            </w:tcBorders>
            <w:noWrap/>
            <w:vAlign w:val="center"/>
          </w:tcPr>
          <w:p w14:paraId="58F9260D">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w:t>
            </w:r>
          </w:p>
        </w:tc>
        <w:tc>
          <w:tcPr>
            <w:tcW w:w="724" w:type="dxa"/>
            <w:tcBorders>
              <w:top w:val="nil"/>
              <w:left w:val="nil"/>
              <w:bottom w:val="single" w:color="auto" w:sz="4" w:space="0"/>
              <w:right w:val="single" w:color="auto" w:sz="4" w:space="0"/>
            </w:tcBorders>
            <w:noWrap/>
            <w:vAlign w:val="center"/>
          </w:tcPr>
          <w:p w14:paraId="7244B1F1">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w:t>
            </w:r>
          </w:p>
        </w:tc>
        <w:tc>
          <w:tcPr>
            <w:tcW w:w="888" w:type="dxa"/>
            <w:tcBorders>
              <w:top w:val="nil"/>
              <w:left w:val="nil"/>
              <w:bottom w:val="single" w:color="auto" w:sz="4" w:space="0"/>
              <w:right w:val="single" w:color="auto" w:sz="8" w:space="0"/>
            </w:tcBorders>
            <w:noWrap/>
            <w:vAlign w:val="center"/>
          </w:tcPr>
          <w:p w14:paraId="074A4F89">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500</w:t>
            </w:r>
          </w:p>
        </w:tc>
      </w:tr>
      <w:tr w14:paraId="30EDEACB">
        <w:tblPrEx>
          <w:tblCellMar>
            <w:top w:w="57" w:type="dxa"/>
            <w:left w:w="57" w:type="dxa"/>
            <w:bottom w:w="57" w:type="dxa"/>
            <w:right w:w="57" w:type="dxa"/>
          </w:tblCellMar>
        </w:tblPrEx>
        <w:trPr>
          <w:jc w:val="center"/>
        </w:trPr>
        <w:tc>
          <w:tcPr>
            <w:tcW w:w="372" w:type="dxa"/>
            <w:tcBorders>
              <w:top w:val="single" w:color="auto" w:sz="4" w:space="0"/>
              <w:left w:val="single" w:color="auto" w:sz="4" w:space="0"/>
              <w:right w:val="single" w:color="auto" w:sz="4" w:space="0"/>
            </w:tcBorders>
            <w:noWrap w:val="0"/>
            <w:vAlign w:val="center"/>
          </w:tcPr>
          <w:p w14:paraId="0EF21E58">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2</w:t>
            </w:r>
          </w:p>
        </w:tc>
        <w:tc>
          <w:tcPr>
            <w:tcW w:w="609" w:type="dxa"/>
            <w:tcBorders>
              <w:top w:val="single" w:color="auto" w:sz="4" w:space="0"/>
              <w:left w:val="single" w:color="auto" w:sz="4" w:space="0"/>
              <w:right w:val="single" w:color="auto" w:sz="4" w:space="0"/>
            </w:tcBorders>
            <w:noWrap w:val="0"/>
            <w:vAlign w:val="center"/>
          </w:tcPr>
          <w:p w14:paraId="5A83543C">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其他收入</w:t>
            </w:r>
          </w:p>
        </w:tc>
        <w:tc>
          <w:tcPr>
            <w:tcW w:w="1269" w:type="dxa"/>
            <w:tcBorders>
              <w:top w:val="single" w:color="auto" w:sz="4" w:space="0"/>
              <w:left w:val="single" w:color="auto" w:sz="4" w:space="0"/>
              <w:bottom w:val="single" w:color="auto" w:sz="4" w:space="0"/>
              <w:right w:val="single" w:color="auto" w:sz="4" w:space="0"/>
            </w:tcBorders>
            <w:noWrap/>
            <w:vAlign w:val="center"/>
          </w:tcPr>
          <w:p w14:paraId="05D21877">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现状1层餐厅商业租金及3层球场租金</w:t>
            </w:r>
          </w:p>
        </w:tc>
        <w:tc>
          <w:tcPr>
            <w:tcW w:w="4532" w:type="dxa"/>
            <w:gridSpan w:val="4"/>
            <w:tcBorders>
              <w:top w:val="single" w:color="auto" w:sz="4" w:space="0"/>
              <w:left w:val="single" w:color="auto" w:sz="4" w:space="0"/>
              <w:right w:val="single" w:color="auto" w:sz="4" w:space="0"/>
            </w:tcBorders>
            <w:noWrap/>
            <w:vAlign w:val="center"/>
          </w:tcPr>
          <w:p w14:paraId="09FEF60A">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指住宿业单位提供客房、餐饮服务、商品销售以外的其他服务获取的收入，如商务服务、娱乐健身等，按客房年净营收比例计取。</w:t>
            </w:r>
          </w:p>
        </w:tc>
        <w:tc>
          <w:tcPr>
            <w:tcW w:w="724" w:type="dxa"/>
            <w:tcBorders>
              <w:top w:val="single" w:color="auto" w:sz="4" w:space="0"/>
              <w:left w:val="single" w:color="auto" w:sz="4" w:space="0"/>
              <w:bottom w:val="single" w:color="auto" w:sz="4" w:space="0"/>
              <w:right w:val="single" w:color="auto" w:sz="4" w:space="0"/>
            </w:tcBorders>
            <w:noWrap/>
            <w:vAlign w:val="center"/>
          </w:tcPr>
          <w:p w14:paraId="1878D189">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40%</w:t>
            </w:r>
          </w:p>
        </w:tc>
        <w:tc>
          <w:tcPr>
            <w:tcW w:w="888" w:type="dxa"/>
            <w:tcBorders>
              <w:top w:val="single" w:color="auto" w:sz="4" w:space="0"/>
              <w:left w:val="single" w:color="auto" w:sz="4" w:space="0"/>
              <w:bottom w:val="single" w:color="auto" w:sz="4" w:space="0"/>
              <w:right w:val="single" w:color="auto" w:sz="4" w:space="0"/>
            </w:tcBorders>
            <w:noWrap/>
            <w:vAlign w:val="center"/>
          </w:tcPr>
          <w:p w14:paraId="176E06BB">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200</w:t>
            </w:r>
          </w:p>
        </w:tc>
      </w:tr>
      <w:tr w14:paraId="60C412C9">
        <w:tblPrEx>
          <w:tblCellMar>
            <w:top w:w="57" w:type="dxa"/>
            <w:left w:w="57" w:type="dxa"/>
            <w:bottom w:w="57" w:type="dxa"/>
            <w:right w:w="57" w:type="dxa"/>
          </w:tblCellMar>
        </w:tblPrEx>
        <w:trPr>
          <w:jc w:val="center"/>
        </w:trPr>
        <w:tc>
          <w:tcPr>
            <w:tcW w:w="6782" w:type="dxa"/>
            <w:gridSpan w:val="7"/>
            <w:tcBorders>
              <w:top w:val="single" w:color="auto" w:sz="4" w:space="0"/>
              <w:left w:val="single" w:color="auto" w:sz="4" w:space="0"/>
              <w:bottom w:val="single" w:color="auto" w:sz="4" w:space="0"/>
              <w:right w:val="single" w:color="auto" w:sz="4" w:space="0"/>
            </w:tcBorders>
            <w:noWrap w:val="0"/>
            <w:vAlign w:val="center"/>
          </w:tcPr>
          <w:p w14:paraId="199F53A1">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合计</w:t>
            </w:r>
          </w:p>
        </w:tc>
        <w:tc>
          <w:tcPr>
            <w:tcW w:w="724" w:type="dxa"/>
            <w:tcBorders>
              <w:top w:val="single" w:color="auto" w:sz="4" w:space="0"/>
              <w:left w:val="single" w:color="auto" w:sz="4" w:space="0"/>
              <w:bottom w:val="single" w:color="auto" w:sz="4" w:space="0"/>
              <w:right w:val="single" w:color="auto" w:sz="4" w:space="0"/>
            </w:tcBorders>
            <w:noWrap/>
            <w:vAlign w:val="center"/>
          </w:tcPr>
          <w:p w14:paraId="6D97AD49">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w:t>
            </w:r>
          </w:p>
        </w:tc>
        <w:tc>
          <w:tcPr>
            <w:tcW w:w="888" w:type="dxa"/>
            <w:tcBorders>
              <w:top w:val="single" w:color="auto" w:sz="4" w:space="0"/>
              <w:left w:val="single" w:color="auto" w:sz="4" w:space="0"/>
              <w:bottom w:val="single" w:color="auto" w:sz="4" w:space="0"/>
              <w:right w:val="single" w:color="auto" w:sz="4" w:space="0"/>
            </w:tcBorders>
            <w:noWrap/>
            <w:vAlign w:val="center"/>
          </w:tcPr>
          <w:p w14:paraId="3CE8F300">
            <w:pPr>
              <w:widowControl/>
              <w:adjustRightInd/>
              <w:spacing w:line="240" w:lineRule="exact"/>
              <w:textAlignment w:val="auto"/>
              <w:rPr>
                <w:rFonts w:hint="eastAsia" w:ascii="华文楷体" w:hAnsi="华文楷体" w:eastAsia="华文楷体" w:cs="华文楷体"/>
                <w:bCs/>
                <w:sz w:val="20"/>
                <w:szCs w:val="20"/>
              </w:rPr>
            </w:pPr>
            <w:r>
              <w:rPr>
                <w:rFonts w:hint="eastAsia" w:ascii="华文楷体" w:hAnsi="华文楷体" w:eastAsia="华文楷体" w:cs="华文楷体"/>
                <w:bCs/>
                <w:sz w:val="20"/>
                <w:szCs w:val="20"/>
              </w:rPr>
              <w:t>700</w:t>
            </w:r>
          </w:p>
        </w:tc>
      </w:tr>
    </w:tbl>
    <w:p w14:paraId="27D0646F">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综合以上信息，本次评估确定估价对象未来一年的年经营收入为700万元。</w:t>
      </w:r>
    </w:p>
    <w:p w14:paraId="4522E3AD">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2</w:t>
      </w:r>
      <w:r>
        <w:rPr>
          <w:rFonts w:hint="eastAsia" w:ascii="Arial" w:hAnsi="Arial" w:eastAsia="华文楷体" w:cs="Arial"/>
          <w:b/>
          <w:sz w:val="28"/>
          <w:szCs w:val="28"/>
          <w:lang w:eastAsia="zh-CN"/>
        </w:rPr>
        <w:t>）</w:t>
      </w:r>
      <w:r>
        <w:rPr>
          <w:rFonts w:hint="eastAsia" w:ascii="Arial" w:hAnsi="Arial" w:eastAsia="华文楷体" w:cs="Arial"/>
          <w:b/>
          <w:sz w:val="28"/>
          <w:szCs w:val="28"/>
        </w:rPr>
        <w:t>年经营费用</w:t>
      </w:r>
    </w:p>
    <w:p w14:paraId="4D12FBEC">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年经营费用是指为维持房地产正常使用或营业所必需的、经常性的‌</w:t>
      </w:r>
      <w:r>
        <w:rPr>
          <w:rFonts w:hint="default" w:ascii="Arial" w:hAnsi="Arial" w:eastAsia="华文楷体" w:cs="Arial"/>
          <w:b/>
          <w:sz w:val="28"/>
          <w:szCs w:val="28"/>
        </w:rPr>
        <w:t>付现支出‌。这些费用是从房地产的总收益中扣除，以计算出净收益的关键项目</w:t>
      </w:r>
      <w:r>
        <w:rPr>
          <w:rFonts w:hint="eastAsia" w:ascii="Arial" w:hAnsi="Arial" w:eastAsia="华文楷体" w:cs="Arial"/>
          <w:b/>
          <w:sz w:val="28"/>
          <w:szCs w:val="28"/>
          <w:lang w:eastAsia="zh-CN"/>
        </w:rPr>
        <w:t>，</w:t>
      </w:r>
      <w:r>
        <w:rPr>
          <w:rFonts w:hint="eastAsia" w:ascii="Arial" w:hAnsi="Arial" w:eastAsia="华文楷体" w:cs="Arial"/>
          <w:b/>
          <w:sz w:val="28"/>
          <w:szCs w:val="28"/>
          <w:lang w:val="en-US" w:eastAsia="zh-CN"/>
        </w:rPr>
        <w:t>主要包括经营成本、经营费用、税费、管理以及财务费用，共计318万元</w:t>
      </w:r>
      <w:r>
        <w:rPr>
          <w:rFonts w:hint="default" w:ascii="Arial" w:hAnsi="Arial" w:eastAsia="华文楷体" w:cs="Arial"/>
          <w:b/>
          <w:sz w:val="28"/>
          <w:szCs w:val="28"/>
        </w:rPr>
        <w:t>。</w:t>
      </w:r>
    </w:p>
    <w:p w14:paraId="74D81DA8">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lang w:val="en-US" w:eastAsia="zh-CN"/>
        </w:rPr>
        <w:t>3</w:t>
      </w:r>
      <w:r>
        <w:rPr>
          <w:rFonts w:hint="eastAsia" w:ascii="Arial" w:hAnsi="Arial" w:eastAsia="华文楷体" w:cs="Arial"/>
          <w:b/>
          <w:sz w:val="28"/>
          <w:szCs w:val="28"/>
        </w:rPr>
        <w:t>）行业利润</w:t>
      </w:r>
    </w:p>
    <w:p w14:paraId="52DF430C">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应归属于商服经营者的利润，以年总收入的5%为基数计算，则有：700×5%＝35（万元）</w:t>
      </w:r>
    </w:p>
    <w:p w14:paraId="63691711">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lang w:val="en-US" w:eastAsia="zh-CN"/>
        </w:rPr>
        <w:t>4）</w:t>
      </w:r>
      <w:r>
        <w:rPr>
          <w:rFonts w:hint="eastAsia" w:ascii="Arial" w:hAnsi="Arial" w:eastAsia="华文楷体" w:cs="Arial"/>
          <w:b/>
          <w:sz w:val="28"/>
          <w:szCs w:val="28"/>
        </w:rPr>
        <w:t>年净收益（A）</w:t>
      </w:r>
    </w:p>
    <w:p w14:paraId="4D7672AE">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年净收益＝年经营收入－年经营费用－行业利润＝700－318－35＝347（万元）</w:t>
      </w:r>
    </w:p>
    <w:p w14:paraId="6913E914">
      <w:pPr>
        <w:kinsoku w:val="0"/>
        <w:autoSpaceDE w:val="0"/>
        <w:autoSpaceDN w:val="0"/>
        <w:ind w:firstLine="561" w:firstLineChars="200"/>
        <w:contextualSpacing/>
        <w:jc w:val="both"/>
        <w:rPr>
          <w:rFonts w:hint="eastAsia" w:ascii="Arial" w:hAnsi="Arial" w:eastAsia="华文楷体" w:cs="Arial"/>
          <w:b/>
          <w:sz w:val="28"/>
          <w:szCs w:val="28"/>
          <w:highlight w:val="none"/>
        </w:rPr>
      </w:pPr>
      <w:r>
        <w:rPr>
          <w:rFonts w:hint="eastAsia" w:ascii="Arial" w:hAnsi="Arial" w:eastAsia="华文楷体" w:cs="Arial"/>
          <w:b/>
          <w:sz w:val="28"/>
          <w:szCs w:val="28"/>
          <w:highlight w:val="none"/>
        </w:rPr>
        <w:t>5</w:t>
      </w:r>
      <w:r>
        <w:rPr>
          <w:rFonts w:hint="eastAsia" w:ascii="Arial" w:hAnsi="Arial" w:eastAsia="华文楷体" w:cs="Arial"/>
          <w:b/>
          <w:sz w:val="28"/>
          <w:szCs w:val="28"/>
          <w:highlight w:val="none"/>
          <w:lang w:eastAsia="zh-CN"/>
        </w:rPr>
        <w:t>）</w:t>
      </w:r>
      <w:r>
        <w:rPr>
          <w:rFonts w:hint="eastAsia" w:ascii="Arial" w:hAnsi="Arial" w:eastAsia="华文楷体" w:cs="Arial"/>
          <w:b/>
          <w:sz w:val="28"/>
          <w:szCs w:val="28"/>
          <w:highlight w:val="none"/>
        </w:rPr>
        <w:t>报酬率（Y）</w:t>
      </w:r>
    </w:p>
    <w:p w14:paraId="3BAABD9B">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采取安全利率加风险调整值法</w:t>
      </w:r>
      <w:r>
        <w:rPr>
          <w:rFonts w:hint="eastAsia" w:ascii="Arial" w:hAnsi="Arial" w:eastAsia="华文楷体" w:cs="Arial"/>
          <w:b/>
          <w:sz w:val="28"/>
          <w:szCs w:val="28"/>
          <w:lang w:eastAsia="zh-CN"/>
        </w:rPr>
        <w:t>，</w:t>
      </w:r>
      <w:r>
        <w:rPr>
          <w:rFonts w:hint="eastAsia" w:ascii="Arial" w:hAnsi="Arial" w:eastAsia="华文楷体" w:cs="Arial"/>
          <w:b/>
          <w:sz w:val="28"/>
          <w:szCs w:val="28"/>
        </w:rPr>
        <w:t>得出报酬率为6.0%。</w:t>
      </w:r>
    </w:p>
    <w:p w14:paraId="6C14B7E1">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6</w:t>
      </w:r>
      <w:r>
        <w:rPr>
          <w:rFonts w:hint="eastAsia" w:ascii="Arial" w:hAnsi="Arial" w:eastAsia="华文楷体" w:cs="Arial"/>
          <w:b/>
          <w:sz w:val="28"/>
          <w:szCs w:val="28"/>
          <w:lang w:eastAsia="zh-CN"/>
        </w:rPr>
        <w:t>）</w:t>
      </w:r>
      <w:r>
        <w:rPr>
          <w:rFonts w:hint="eastAsia" w:ascii="Arial" w:hAnsi="Arial" w:eastAsia="华文楷体" w:cs="Arial"/>
          <w:b/>
          <w:sz w:val="28"/>
          <w:szCs w:val="28"/>
        </w:rPr>
        <w:t>净收益逐年增长比率（g）</w:t>
      </w:r>
    </w:p>
    <w:p w14:paraId="3830BB51">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根据评估专业人员对估价对象所在区域房地产市场的调查，</w:t>
      </w:r>
      <w:r>
        <w:rPr>
          <w:rFonts w:hint="eastAsia" w:ascii="Arial" w:hAnsi="Arial" w:eastAsia="华文楷体" w:cs="Arial"/>
          <w:b/>
          <w:sz w:val="28"/>
          <w:szCs w:val="28"/>
          <w:lang w:val="en-US" w:eastAsia="zh-CN"/>
        </w:rPr>
        <w:t>结合</w:t>
      </w:r>
      <w:r>
        <w:rPr>
          <w:rFonts w:hint="eastAsia" w:ascii="Arial" w:hAnsi="Arial" w:eastAsia="华文楷体" w:cs="Arial"/>
          <w:b/>
          <w:sz w:val="28"/>
          <w:szCs w:val="28"/>
        </w:rPr>
        <w:t>估价目的，确定其净收益逐年增长比率为1.5%。</w:t>
      </w:r>
    </w:p>
    <w:p w14:paraId="0FF3968C">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lang w:val="en-US" w:eastAsia="zh-CN"/>
        </w:rPr>
        <w:t>7</w:t>
      </w:r>
      <w:r>
        <w:rPr>
          <w:rFonts w:hint="eastAsia" w:ascii="Arial" w:hAnsi="Arial" w:eastAsia="华文楷体" w:cs="Arial"/>
          <w:b/>
          <w:sz w:val="28"/>
          <w:szCs w:val="28"/>
        </w:rPr>
        <w:t>）收益年期（n）</w:t>
      </w:r>
    </w:p>
    <w:p w14:paraId="679D8738">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估价对象出让国有建设用地使用权剩余土地使用年限为工业33.5年</w:t>
      </w:r>
      <w:r>
        <w:rPr>
          <w:rFonts w:hint="eastAsia" w:ascii="Arial" w:hAnsi="Arial" w:eastAsia="华文楷体" w:cs="Arial"/>
          <w:b/>
          <w:sz w:val="28"/>
          <w:szCs w:val="28"/>
          <w:lang w:eastAsia="zh-CN"/>
        </w:rPr>
        <w:t>，</w:t>
      </w:r>
      <w:r>
        <w:rPr>
          <w:rFonts w:hint="eastAsia" w:ascii="Arial" w:hAnsi="Arial" w:eastAsia="华文楷体" w:cs="Arial"/>
          <w:b/>
          <w:sz w:val="28"/>
          <w:szCs w:val="28"/>
          <w:lang w:val="en-US" w:eastAsia="zh-CN"/>
        </w:rPr>
        <w:t>建筑物</w:t>
      </w:r>
      <w:r>
        <w:rPr>
          <w:rFonts w:hint="eastAsia" w:ascii="Arial" w:hAnsi="Arial" w:eastAsia="华文楷体" w:cs="Arial"/>
          <w:b/>
          <w:sz w:val="28"/>
          <w:szCs w:val="28"/>
        </w:rPr>
        <w:t>剩余经济耐用年限为42年。</w:t>
      </w:r>
      <w:r>
        <w:rPr>
          <w:rFonts w:hint="eastAsia" w:ascii="Arial" w:hAnsi="Arial" w:eastAsia="华文楷体" w:cs="Arial"/>
          <w:b/>
          <w:sz w:val="28"/>
          <w:szCs w:val="28"/>
          <w:lang w:val="en-US" w:eastAsia="zh-CN"/>
        </w:rPr>
        <w:t>遵循熟短原则，收益年期为33.5年。</w:t>
      </w:r>
    </w:p>
    <w:p w14:paraId="1F1060BF">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lang w:val="en-US" w:eastAsia="zh-CN"/>
        </w:rPr>
        <w:t>8</w:t>
      </w:r>
      <w:r>
        <w:rPr>
          <w:rFonts w:hint="eastAsia" w:ascii="Arial" w:hAnsi="Arial" w:eastAsia="华文楷体" w:cs="Arial"/>
          <w:b/>
          <w:sz w:val="28"/>
          <w:szCs w:val="28"/>
        </w:rPr>
        <w:t>）收益价值</w:t>
      </w:r>
    </w:p>
    <w:p w14:paraId="77E5B9E3">
      <w:pPr>
        <w:tabs>
          <w:tab w:val="left" w:pos="6237"/>
        </w:tabs>
        <w:wordWrap w:val="0"/>
        <w:overflowPunct w:val="0"/>
        <w:autoSpaceDE w:val="0"/>
        <w:autoSpaceDN w:val="0"/>
        <w:snapToGrid w:val="0"/>
        <w:spacing w:line="360" w:lineRule="auto"/>
        <w:ind w:firstLine="561" w:firstLineChars="200"/>
        <w:jc w:val="both"/>
        <w:rPr>
          <w:rFonts w:hint="eastAsia" w:ascii="Arial" w:hAnsi="Arial" w:eastAsia="华文楷体" w:cs="Arial"/>
          <w:b/>
          <w:sz w:val="28"/>
          <w:szCs w:val="28"/>
        </w:rPr>
      </w:pPr>
      <w:r>
        <w:rPr>
          <w:rFonts w:hint="eastAsia" w:ascii="Arial" w:hAnsi="Arial" w:eastAsia="华文楷体" w:cs="Arial"/>
          <w:b/>
          <w:sz w:val="28"/>
          <w:szCs w:val="28"/>
        </w:rPr>
        <w:t>估价对象收益价值＝</w:t>
      </w:r>
      <w:r>
        <w:rPr>
          <w:rFonts w:hint="eastAsia" w:ascii="Arial" w:hAnsi="Arial" w:eastAsia="华文楷体" w:cs="Arial"/>
          <w:b/>
          <w:sz w:val="28"/>
          <w:szCs w:val="28"/>
          <w:lang w:val="en-US" w:eastAsia="zh-CN"/>
        </w:rPr>
        <w:t>6238</w:t>
      </w:r>
      <w:r>
        <w:rPr>
          <w:rFonts w:hint="eastAsia" w:ascii="Arial" w:hAnsi="Arial" w:eastAsia="华文楷体" w:cs="Arial"/>
          <w:b/>
          <w:sz w:val="28"/>
          <w:szCs w:val="28"/>
        </w:rPr>
        <w:t>（万元）</w:t>
      </w:r>
    </w:p>
    <w:p w14:paraId="2AA6FC92">
      <w:pPr>
        <w:tabs>
          <w:tab w:val="left" w:pos="6237"/>
        </w:tabs>
        <w:wordWrap w:val="0"/>
        <w:overflowPunct w:val="0"/>
        <w:autoSpaceDE w:val="0"/>
        <w:autoSpaceDN w:val="0"/>
        <w:snapToGrid w:val="0"/>
        <w:spacing w:line="360" w:lineRule="auto"/>
        <w:ind w:firstLine="561" w:firstLineChars="200"/>
        <w:jc w:val="both"/>
        <w:rPr>
          <w:rFonts w:hint="eastAsia" w:ascii="Arial" w:hAnsi="Arial" w:eastAsia="华文楷体" w:cs="Arial"/>
          <w:sz w:val="28"/>
          <w:szCs w:val="28"/>
        </w:rPr>
      </w:pPr>
      <w:r>
        <w:rPr>
          <w:rFonts w:hint="eastAsia" w:ascii="Arial" w:hAnsi="Arial" w:eastAsia="华文楷体" w:cs="Arial"/>
          <w:b/>
          <w:sz w:val="28"/>
          <w:szCs w:val="28"/>
        </w:rPr>
        <w:t>估价对象收益单价＝6238×10000÷12382.93＝5038（元/平方米）</w:t>
      </w:r>
    </w:p>
    <w:p w14:paraId="17529688">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3.</w:t>
      </w:r>
      <w:r>
        <w:rPr>
          <w:rFonts w:hint="eastAsia" w:ascii="Arial" w:hAnsi="Arial" w:eastAsia="华文楷体" w:cs="Arial"/>
          <w:sz w:val="28"/>
          <w:szCs w:val="28"/>
        </w:rPr>
        <w:t>成本法未充分考虑不动产的成新率及增值因素。成本法测算应综合考虑土地取得成本、开发成本、管理费用、销售费用、投资利息、销售税费、开发利润等因素，并合理确定不动产的成新率。估价报告未详细列明成本法各项成本的构成及测算依据，亦未对案涉不动产近年来的市场增值情况进行合理评估，导致成本法评估结果未能真实反映不动产的实际价值。</w:t>
      </w:r>
    </w:p>
    <w:p w14:paraId="7C6AA6DE">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rPr>
        <w:t>成本法是测算估价对象在价值时点的重置成本或重建成本和折旧，将重置成本或重建成本减去折旧得到估价对象价值或价格的方法。</w:t>
      </w:r>
    </w:p>
    <w:p w14:paraId="211BBB29">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lang w:val="en-US" w:eastAsia="zh-CN"/>
        </w:rPr>
        <w:t>异议中提到的：“案涉不动产近年来的市场增值情况进行合理评估，导致成本法评估结果未能真实反映不动产的实际价值。”本次评估采用价值时点的重置成本或重建成本，而非不动产竣工时的实际建造成本，已从成本的角度考虑不动产近年来的成本增值情况。评估结果可以合理反应于价值时点重新建造该建筑物所需付出的成本价值。</w:t>
      </w:r>
    </w:p>
    <w:p w14:paraId="0B1994EE">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lang w:val="en-US" w:eastAsia="zh-CN"/>
        </w:rPr>
        <w:t>异议中提到的：“成本法测算应综合考虑土地取得成本、开发成本、管理费用、销售费用、投资利息、销售税费、开发利润等因素，并合理确定不动产的成新率。”在本次评估中均已充分考虑。</w:t>
      </w:r>
    </w:p>
    <w:p w14:paraId="0D28F823">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依据《房地产估价规范》（GB/</w:t>
      </w:r>
      <w:r>
        <w:rPr>
          <w:rFonts w:ascii="Arial" w:hAnsi="Arial" w:eastAsia="华文楷体" w:cs="Arial"/>
          <w:b/>
          <w:sz w:val="28"/>
          <w:szCs w:val="28"/>
        </w:rPr>
        <w:t>T 50291-2015</w:t>
      </w:r>
      <w:r>
        <w:rPr>
          <w:rFonts w:hint="eastAsia" w:ascii="Arial" w:hAnsi="Arial" w:eastAsia="华文楷体" w:cs="Arial"/>
          <w:b/>
          <w:sz w:val="28"/>
          <w:szCs w:val="28"/>
        </w:rPr>
        <w:t>）第7</w:t>
      </w:r>
      <w:r>
        <w:rPr>
          <w:rFonts w:ascii="Arial" w:hAnsi="Arial" w:eastAsia="华文楷体" w:cs="Arial"/>
          <w:b/>
          <w:sz w:val="28"/>
          <w:szCs w:val="28"/>
        </w:rPr>
        <w:t>.0.17</w:t>
      </w:r>
      <w:r>
        <w:rPr>
          <w:rFonts w:hint="eastAsia" w:ascii="Arial" w:hAnsi="Arial" w:eastAsia="华文楷体" w:cs="Arial"/>
          <w:b/>
          <w:sz w:val="28"/>
          <w:szCs w:val="28"/>
        </w:rPr>
        <w:t>条第9项规定，说明估价测算的简要内容。</w:t>
      </w:r>
    </w:p>
    <w:p w14:paraId="20DC862E">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成本价值＝土地价值+建筑物现值</w:t>
      </w:r>
    </w:p>
    <w:p w14:paraId="471455FF">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1）计算估价对象土地价值。</w:t>
      </w:r>
    </w:p>
    <w:p w14:paraId="4E6A5F7E">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土地价值＝土地取得成本+土地开发成本+管理费用+销售费用+销售税费+利息+利润＝2638（万元）</w:t>
      </w:r>
    </w:p>
    <w:p w14:paraId="61DE3552">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2）计算建筑物重置价值。</w:t>
      </w:r>
    </w:p>
    <w:p w14:paraId="1F9554B4">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建筑物重置价值＝建造成本+管理费用+销售费用+销售税费+利息+利润＝7953（万元）</w:t>
      </w:r>
    </w:p>
    <w:p w14:paraId="3EDF4386">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3）计算建筑物现值。</w:t>
      </w:r>
    </w:p>
    <w:p w14:paraId="366B296E">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lang w:val="en-US" w:eastAsia="zh-CN"/>
        </w:rPr>
        <w:t>采用</w:t>
      </w:r>
      <w:r>
        <w:rPr>
          <w:rFonts w:hint="eastAsia" w:ascii="Arial" w:hAnsi="Arial" w:eastAsia="华文楷体" w:cs="Arial"/>
          <w:b/>
          <w:sz w:val="28"/>
          <w:szCs w:val="28"/>
        </w:rPr>
        <w:t>观察成新率</w:t>
      </w:r>
      <w:r>
        <w:rPr>
          <w:rFonts w:hint="eastAsia" w:ascii="Arial" w:hAnsi="Arial" w:eastAsia="华文楷体" w:cs="Arial"/>
          <w:b/>
          <w:sz w:val="28"/>
          <w:szCs w:val="28"/>
          <w:lang w:val="en-US" w:eastAsia="zh-CN"/>
        </w:rPr>
        <w:t>法和</w:t>
      </w:r>
      <w:r>
        <w:rPr>
          <w:rFonts w:hint="eastAsia" w:ascii="Arial" w:hAnsi="Arial" w:eastAsia="华文楷体" w:cs="Arial"/>
          <w:b/>
          <w:sz w:val="28"/>
          <w:szCs w:val="28"/>
        </w:rPr>
        <w:t>直线折旧法计算成新率</w:t>
      </w:r>
      <w:r>
        <w:rPr>
          <w:rFonts w:hint="eastAsia" w:ascii="Arial" w:hAnsi="Arial" w:eastAsia="华文楷体" w:cs="Arial"/>
          <w:b/>
          <w:sz w:val="28"/>
          <w:szCs w:val="28"/>
          <w:lang w:eastAsia="zh-CN"/>
        </w:rPr>
        <w:t>，</w:t>
      </w:r>
      <w:r>
        <w:rPr>
          <w:rFonts w:hint="eastAsia" w:ascii="Arial" w:hAnsi="Arial" w:eastAsia="华文楷体" w:cs="Arial"/>
          <w:b/>
          <w:sz w:val="28"/>
          <w:szCs w:val="28"/>
        </w:rPr>
        <w:t>综合确定估价对象成新率为80%。</w:t>
      </w:r>
    </w:p>
    <w:p w14:paraId="0844CFF5">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建筑物现值＝建筑物重置价值×成新度＝7953×</w:t>
      </w:r>
      <w:r>
        <w:rPr>
          <w:rFonts w:hint="eastAsia" w:ascii="Arial" w:hAnsi="Arial" w:eastAsia="华文楷体" w:cs="Arial"/>
          <w:b/>
          <w:sz w:val="28"/>
          <w:szCs w:val="28"/>
          <w:lang w:val="en-US" w:eastAsia="zh-CN"/>
        </w:rPr>
        <w:t>8</w:t>
      </w:r>
      <w:r>
        <w:rPr>
          <w:rFonts w:hint="eastAsia" w:ascii="Arial" w:hAnsi="Arial" w:eastAsia="华文楷体" w:cs="Arial"/>
          <w:b/>
          <w:sz w:val="28"/>
          <w:szCs w:val="28"/>
        </w:rPr>
        <w:t>0%＝</w:t>
      </w:r>
      <w:r>
        <w:rPr>
          <w:rFonts w:hint="eastAsia" w:ascii="Arial" w:hAnsi="Arial" w:eastAsia="华文楷体" w:cs="Arial"/>
          <w:b/>
          <w:sz w:val="28"/>
          <w:szCs w:val="28"/>
          <w:lang w:val="en-US" w:eastAsia="zh-CN"/>
        </w:rPr>
        <w:t>6362</w:t>
      </w:r>
      <w:r>
        <w:rPr>
          <w:rFonts w:hint="eastAsia" w:ascii="Arial" w:hAnsi="Arial" w:eastAsia="华文楷体" w:cs="Arial"/>
          <w:b/>
          <w:sz w:val="28"/>
          <w:szCs w:val="28"/>
        </w:rPr>
        <w:t>（万元）</w:t>
      </w:r>
    </w:p>
    <w:p w14:paraId="52EAA26D">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4）计算估价对象成本价值</w:t>
      </w:r>
    </w:p>
    <w:p w14:paraId="0E6600D3">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rPr>
        <w:t>成本价值为土地价值与建筑物现值之和。则有：</w:t>
      </w:r>
    </w:p>
    <w:p w14:paraId="35250A05">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成本价值＝2638＋6362＝9000（万元）</w:t>
      </w:r>
    </w:p>
    <w:p w14:paraId="5256ADDD">
      <w:pPr>
        <w:kinsoku w:val="0"/>
        <w:autoSpaceDE w:val="0"/>
        <w:autoSpaceDN w:val="0"/>
        <w:ind w:firstLine="561" w:firstLineChars="200"/>
        <w:contextualSpacing/>
        <w:jc w:val="both"/>
        <w:rPr>
          <w:rFonts w:hint="eastAsia" w:ascii="Arial" w:hAnsi="Arial" w:eastAsia="华文楷体" w:cs="Arial"/>
          <w:b/>
          <w:sz w:val="28"/>
          <w:szCs w:val="28"/>
        </w:rPr>
      </w:pPr>
      <w:r>
        <w:rPr>
          <w:rFonts w:hint="eastAsia" w:ascii="Arial" w:hAnsi="Arial" w:eastAsia="华文楷体" w:cs="Arial"/>
          <w:b/>
          <w:sz w:val="28"/>
          <w:szCs w:val="28"/>
        </w:rPr>
        <w:t>成本单价＝9000×10000÷12382.93＝7268（元/平方米）</w:t>
      </w:r>
    </w:p>
    <w:p w14:paraId="75224AD2">
      <w:pPr>
        <w:rPr>
          <w:rFonts w:hint="eastAsia" w:ascii="Arial" w:hAnsi="Arial" w:eastAsia="华文楷体" w:cs="Arial"/>
          <w:sz w:val="28"/>
          <w:szCs w:val="28"/>
        </w:rPr>
      </w:pPr>
      <w:r>
        <w:rPr>
          <w:rFonts w:hint="eastAsia" w:ascii="Arial" w:hAnsi="Arial" w:eastAsia="华文楷体" w:cs="Arial"/>
          <w:sz w:val="28"/>
          <w:szCs w:val="28"/>
        </w:rPr>
        <w:br w:type="page"/>
      </w:r>
    </w:p>
    <w:p w14:paraId="791925B0">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rPr>
        <w:t>异议</w:t>
      </w:r>
      <w:r>
        <w:rPr>
          <w:rFonts w:hint="eastAsia" w:ascii="Arial" w:hAnsi="Arial" w:eastAsia="华文楷体" w:cs="Arial"/>
          <w:sz w:val="28"/>
          <w:szCs w:val="28"/>
          <w:lang w:val="en-US" w:eastAsia="zh-CN"/>
        </w:rPr>
        <w:t>四</w:t>
      </w:r>
      <w:r>
        <w:rPr>
          <w:rFonts w:hint="eastAsia" w:ascii="Arial" w:hAnsi="Arial" w:eastAsia="华文楷体" w:cs="Arial"/>
          <w:sz w:val="28"/>
          <w:szCs w:val="28"/>
        </w:rPr>
        <w:t>：价值类型及价值时点的确定不符合案件实情况。</w:t>
      </w:r>
    </w:p>
    <w:p w14:paraId="07758C4F">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1.</w:t>
      </w:r>
      <w:r>
        <w:rPr>
          <w:rFonts w:hint="eastAsia" w:ascii="Arial" w:hAnsi="Arial" w:eastAsia="华文楷体" w:cs="Arial"/>
          <w:sz w:val="28"/>
          <w:szCs w:val="28"/>
        </w:rPr>
        <w:t>价值类型选择未契合执行处置的实际需求。人民法院确定财产处置参考价的目的是为了实现不动产的处置变现，应优先采用“市场变现价值”而非“市场价格”。估价报告采用的“市场价格是在正常市场情况下的平均交易价格，未充分考虑司法处置的特殊性(如处置期限限制、竞买人范围受限等)对不动产价值的影响，导致评估价值与实际处置变现价值存在较大差异，无法为人民法院提供合理的处置参考依据。</w:t>
      </w:r>
    </w:p>
    <w:p w14:paraId="4831E2D3">
      <w:pPr>
        <w:kinsoku w:val="0"/>
        <w:autoSpaceDE w:val="0"/>
        <w:autoSpaceDN w:val="0"/>
        <w:ind w:firstLine="561" w:firstLineChars="200"/>
        <w:contextualSpacing/>
        <w:jc w:val="both"/>
        <w:rPr>
          <w:rFonts w:hint="eastAsia" w:ascii="Arial" w:hAnsi="Arial" w:eastAsia="华文楷体" w:cs="Arial"/>
          <w:b/>
          <w:sz w:val="28"/>
          <w:szCs w:val="28"/>
          <w:lang w:val="en-US" w:eastAsia="zh-CN" w:bidi="ar-SA"/>
        </w:rPr>
      </w:pPr>
      <w:r>
        <w:rPr>
          <w:rFonts w:hint="eastAsia" w:ascii="Arial" w:hAnsi="Arial" w:eastAsia="华文楷体" w:cs="Arial"/>
          <w:b/>
          <w:sz w:val="28"/>
          <w:szCs w:val="28"/>
        </w:rPr>
        <w:t>答复：</w:t>
      </w:r>
      <w:r>
        <w:rPr>
          <w:rFonts w:hint="eastAsia" w:ascii="Arial" w:hAnsi="Arial" w:eastAsia="华文楷体" w:cs="Arial"/>
          <w:b/>
          <w:sz w:val="28"/>
          <w:szCs w:val="28"/>
          <w:lang w:val="en-US" w:eastAsia="zh-CN" w:bidi="ar-SA"/>
        </w:rPr>
        <w:t>《关于印发〈涉执房地产处置司法评估指导意见（试行）〉的通知》[中房学[2021]37号]第十一条:“涉执房地产处置司法评估的价值类型宜为市场价格，难以评估市场价格的，一般评估市场价值。根据评估委托书等人民法院的书面要求，评估符合评估目的要求的其他特定价格或者价值的,应当在评估报告中明确其定义或者内涵。”</w:t>
      </w:r>
    </w:p>
    <w:p w14:paraId="72F6AD60">
      <w:pPr>
        <w:kinsoku w:val="0"/>
        <w:autoSpaceDE w:val="0"/>
        <w:autoSpaceDN w:val="0"/>
        <w:ind w:firstLine="560" w:firstLineChars="200"/>
        <w:contextualSpacing/>
        <w:jc w:val="both"/>
        <w:rPr>
          <w:rFonts w:hint="eastAsia" w:ascii="Arial" w:hAnsi="Arial" w:eastAsia="华文楷体" w:cs="Arial"/>
          <w:sz w:val="28"/>
          <w:szCs w:val="28"/>
        </w:rPr>
      </w:pPr>
      <w:r>
        <w:rPr>
          <w:rFonts w:hint="eastAsia" w:ascii="Arial" w:hAnsi="Arial" w:eastAsia="华文楷体" w:cs="Arial"/>
          <w:sz w:val="28"/>
          <w:szCs w:val="28"/>
          <w:lang w:val="en-US" w:eastAsia="zh-CN"/>
        </w:rPr>
        <w:t>2.</w:t>
      </w:r>
      <w:r>
        <w:rPr>
          <w:rFonts w:hint="eastAsia" w:ascii="Arial" w:hAnsi="Arial" w:eastAsia="华文楷体" w:cs="Arial"/>
          <w:sz w:val="28"/>
          <w:szCs w:val="28"/>
        </w:rPr>
        <w:t>价值时点的确定未充分考虑案涉不动产的实际状态。价值时点为2025年5月13日，但在该时点后，案涉不动产周边配套设施、市场环境、房地产政策等均可能发生变化，且不动产的实际使用状况、设施设备损耗等亦会影响其价值。估价机构未结合案件执行进度及不动产实际状态合理确定价值时点，评估结果缺乏时效性和针对性。</w:t>
      </w:r>
    </w:p>
    <w:p w14:paraId="71116E58">
      <w:pPr>
        <w:kinsoku w:val="0"/>
        <w:autoSpaceDE w:val="0"/>
        <w:autoSpaceDN w:val="0"/>
        <w:ind w:firstLine="561" w:firstLineChars="200"/>
        <w:contextualSpacing/>
        <w:jc w:val="both"/>
        <w:rPr>
          <w:rFonts w:hint="eastAsia" w:ascii="Arial" w:hAnsi="Arial" w:eastAsia="华文楷体" w:cs="Arial"/>
          <w:b/>
          <w:sz w:val="28"/>
          <w:szCs w:val="28"/>
          <w:lang w:val="en-US" w:eastAsia="zh-CN"/>
        </w:rPr>
      </w:pPr>
      <w:r>
        <w:rPr>
          <w:rFonts w:hint="eastAsia" w:ascii="Arial" w:hAnsi="Arial" w:eastAsia="华文楷体" w:cs="Arial"/>
          <w:b/>
          <w:sz w:val="28"/>
          <w:szCs w:val="28"/>
        </w:rPr>
        <w:t>答复：《关于印发〈涉执房地产处置司法评估指导意见（试行）〉的通知》[中房学[2021]37号]</w:t>
      </w:r>
      <w:r>
        <w:rPr>
          <w:rFonts w:hint="eastAsia" w:ascii="Arial" w:hAnsi="Arial" w:eastAsia="华文楷体" w:cs="Arial"/>
          <w:b/>
          <w:sz w:val="28"/>
          <w:szCs w:val="28"/>
          <w:lang w:val="en-US" w:eastAsia="zh-CN"/>
        </w:rPr>
        <w:t>第十条对价值时点的确定有明确规定:“人民法院明确价值时点的，价值时点一般以人民法院明确的时点为准...人民法院未明确价值时点的，一般以评估对象实地查勘完成之日作为价值时点。”《北京市第二中级人民法院委托书》中并未对价值时点有明确要求，本次评估价值时点为2025年5月13日，即评估专业人员实地查勘之日。价值时点的确定符合上述指导意见要求。</w:t>
      </w:r>
    </w:p>
    <w:p w14:paraId="55A12807">
      <w:pPr>
        <w:kinsoku w:val="0"/>
        <w:autoSpaceDE w:val="0"/>
        <w:autoSpaceDN w:val="0"/>
        <w:ind w:firstLine="561" w:firstLineChars="200"/>
        <w:contextualSpacing/>
        <w:jc w:val="both"/>
        <w:rPr>
          <w:rFonts w:hint="default" w:ascii="Arial" w:hAnsi="Arial" w:eastAsia="华文楷体" w:cs="Arial"/>
          <w:b/>
          <w:sz w:val="28"/>
          <w:szCs w:val="28"/>
          <w:lang w:val="en-US" w:eastAsia="zh-CN"/>
        </w:rPr>
      </w:pPr>
      <w:r>
        <w:rPr>
          <w:rFonts w:hint="default" w:ascii="Arial" w:hAnsi="Arial" w:eastAsia="华文楷体" w:cs="Arial"/>
          <w:b/>
          <w:sz w:val="28"/>
          <w:szCs w:val="28"/>
          <w:lang w:val="en-US" w:eastAsia="zh-CN"/>
        </w:rPr>
        <w:t>价值时点原则除了要求评估的应是价值时点的价值价格，</w:t>
      </w:r>
      <w:r>
        <w:rPr>
          <w:rFonts w:hint="eastAsia" w:ascii="Arial" w:hAnsi="Arial" w:eastAsia="华文楷体" w:cs="Arial"/>
          <w:b/>
          <w:sz w:val="28"/>
          <w:szCs w:val="28"/>
          <w:lang w:val="en-US" w:eastAsia="zh-CN"/>
        </w:rPr>
        <w:t>还</w:t>
      </w:r>
      <w:r>
        <w:rPr>
          <w:rFonts w:hint="default" w:ascii="Arial" w:hAnsi="Arial" w:eastAsia="华文楷体" w:cs="Arial"/>
          <w:b/>
          <w:sz w:val="28"/>
          <w:szCs w:val="28"/>
          <w:lang w:val="en-US" w:eastAsia="zh-CN"/>
        </w:rPr>
        <w:t>应根据价值时点来确定评估估价对象价值价格所采用的估价依据、交易实例等的时间界限。由于市场价格一般只反映已经发生以及虽未发生但市场预期将会发生的事情，而不反映事前无法知道、也无预期会发生的事情，所以估价时不应考虑在价值时点之后发生的、在价值时点及其之前无法知道、也无预期会发生的事情</w:t>
      </w:r>
      <w:r>
        <w:rPr>
          <w:rFonts w:hint="eastAsia" w:ascii="Arial" w:hAnsi="Arial" w:eastAsia="华文楷体" w:cs="Arial"/>
          <w:b/>
          <w:sz w:val="28"/>
          <w:szCs w:val="28"/>
          <w:lang w:val="en-US" w:eastAsia="zh-CN"/>
        </w:rPr>
        <w:t>。我司出具的《房地产估价报告》</w:t>
      </w:r>
      <w:r>
        <w:rPr>
          <w:rFonts w:hint="default" w:ascii="Arial" w:hAnsi="Arial" w:eastAsia="华文楷体" w:cs="Arial"/>
          <w:b/>
          <w:sz w:val="28"/>
          <w:szCs w:val="28"/>
          <w:lang w:val="en-US" w:eastAsia="zh-CN"/>
        </w:rPr>
        <w:t>[</w:t>
      </w:r>
      <w:r>
        <w:rPr>
          <w:rFonts w:hint="eastAsia" w:ascii="Arial" w:hAnsi="Arial" w:eastAsia="华文楷体" w:cs="Arial"/>
          <w:b/>
          <w:sz w:val="28"/>
          <w:szCs w:val="28"/>
          <w:lang w:val="en-US" w:eastAsia="zh-CN"/>
        </w:rPr>
        <w:t>康正执评字202</w:t>
      </w:r>
      <w:r>
        <w:rPr>
          <w:rFonts w:hint="default" w:ascii="Arial" w:hAnsi="Arial" w:eastAsia="华文楷体" w:cs="Arial"/>
          <w:b/>
          <w:sz w:val="28"/>
          <w:szCs w:val="28"/>
          <w:lang w:val="en-US" w:eastAsia="zh-CN"/>
        </w:rPr>
        <w:t>4</w:t>
      </w:r>
      <w:r>
        <w:rPr>
          <w:rFonts w:hint="eastAsia" w:ascii="Arial" w:hAnsi="Arial" w:eastAsia="华文楷体" w:cs="Arial"/>
          <w:b/>
          <w:sz w:val="28"/>
          <w:szCs w:val="28"/>
          <w:lang w:val="en-US" w:eastAsia="zh-CN"/>
        </w:rPr>
        <w:t>-1-1062-F01SFZC6号]遵循上述</w:t>
      </w:r>
      <w:r>
        <w:rPr>
          <w:rFonts w:hint="default" w:ascii="Arial" w:hAnsi="Arial" w:eastAsia="华文楷体" w:cs="Arial"/>
          <w:b/>
          <w:sz w:val="28"/>
          <w:szCs w:val="28"/>
          <w:lang w:val="en-US" w:eastAsia="zh-CN"/>
        </w:rPr>
        <w:t>价值时点原则</w:t>
      </w:r>
      <w:r>
        <w:rPr>
          <w:rFonts w:hint="eastAsia" w:ascii="Arial" w:hAnsi="Arial" w:eastAsia="华文楷体" w:cs="Arial"/>
          <w:b/>
          <w:sz w:val="28"/>
          <w:szCs w:val="28"/>
          <w:lang w:val="en-US" w:eastAsia="zh-CN"/>
        </w:rPr>
        <w:t>。</w:t>
      </w:r>
    </w:p>
    <w:p w14:paraId="12C00425">
      <w:pPr>
        <w:kinsoku w:val="0"/>
        <w:autoSpaceDE w:val="0"/>
        <w:autoSpaceDN w:val="0"/>
        <w:ind w:firstLine="561" w:firstLineChars="200"/>
        <w:contextualSpacing/>
        <w:jc w:val="both"/>
        <w:rPr>
          <w:rFonts w:ascii="Arial" w:hAnsi="Arial" w:eastAsia="华文楷体" w:cs="Arial"/>
          <w:b/>
          <w:sz w:val="28"/>
          <w:szCs w:val="28"/>
        </w:rPr>
      </w:pPr>
      <w:r>
        <w:rPr>
          <w:rFonts w:hint="eastAsia" w:ascii="Arial" w:hAnsi="Arial" w:eastAsia="华文楷体" w:cs="Arial"/>
          <w:b/>
          <w:sz w:val="28"/>
          <w:szCs w:val="28"/>
          <w:lang w:val="en-US" w:eastAsia="zh-CN"/>
        </w:rPr>
        <w:t>综上所述，我司在在评估程序、基础资料、估价方法、价值确定等方面均符合《最高人民法院 关于人民法院确定财产处置参考价若干问题的规定》[法释[2018]15号]、《关于印发〈涉执房地产处置司法评估指导意见（试行）〉的通知》[中房学[2021]37号]及《房地产估价规范》[GB/T 50291-2015]的相关规定。</w:t>
      </w:r>
    </w:p>
    <w:p w14:paraId="6B6BB550">
      <w:pPr>
        <w:kinsoku w:val="0"/>
        <w:autoSpaceDE w:val="0"/>
        <w:autoSpaceDN w:val="0"/>
        <w:ind w:firstLine="561" w:firstLineChars="200"/>
        <w:contextualSpacing/>
        <w:jc w:val="both"/>
        <w:rPr>
          <w:rFonts w:ascii="Arial" w:hAnsi="Arial" w:eastAsia="华文楷体" w:cs="Arial"/>
          <w:b/>
          <w:sz w:val="28"/>
          <w:szCs w:val="28"/>
        </w:rPr>
      </w:pPr>
    </w:p>
    <w:p w14:paraId="1E17AEE8">
      <w:pPr>
        <w:kinsoku w:val="0"/>
        <w:autoSpaceDE w:val="0"/>
        <w:autoSpaceDN w:val="0"/>
        <w:ind w:firstLine="560" w:firstLineChars="200"/>
        <w:contextualSpacing/>
        <w:rPr>
          <w:rFonts w:hint="eastAsia" w:ascii="Arial" w:hAnsi="Arial" w:eastAsia="华文楷体" w:cs="Arial"/>
          <w:sz w:val="28"/>
          <w:szCs w:val="28"/>
          <w:lang w:eastAsia="zh-CN"/>
        </w:rPr>
      </w:pPr>
      <w:r>
        <w:rPr>
          <w:rFonts w:ascii="Arial" w:hAnsi="Arial" w:eastAsia="华文楷体" w:cs="Arial"/>
          <w:sz w:val="28"/>
          <w:szCs w:val="28"/>
        </w:rPr>
        <w:t>特此说明</w:t>
      </w:r>
      <w:r>
        <w:rPr>
          <w:rFonts w:hint="eastAsia" w:ascii="Arial" w:hAnsi="Arial" w:eastAsia="华文楷体" w:cs="Arial"/>
          <w:sz w:val="28"/>
          <w:szCs w:val="28"/>
          <w:lang w:eastAsia="zh-CN"/>
        </w:rPr>
        <w:t>。</w:t>
      </w:r>
    </w:p>
    <w:p w14:paraId="7850186B">
      <w:pPr>
        <w:kinsoku w:val="0"/>
        <w:autoSpaceDE w:val="0"/>
        <w:autoSpaceDN w:val="0"/>
        <w:contextualSpacing/>
        <w:rPr>
          <w:rFonts w:ascii="Arial" w:hAnsi="Arial" w:eastAsia="华文楷体" w:cs="Arial"/>
          <w:sz w:val="28"/>
          <w:szCs w:val="28"/>
        </w:rPr>
      </w:pPr>
    </w:p>
    <w:p w14:paraId="33C5AD25">
      <w:pPr>
        <w:kinsoku w:val="0"/>
        <w:ind w:firstLine="3920" w:firstLineChars="1400"/>
        <w:rPr>
          <w:rFonts w:ascii="Arial" w:hAnsi="Arial" w:eastAsia="华文楷体" w:cs="Arial"/>
          <w:sz w:val="28"/>
          <w:szCs w:val="28"/>
        </w:rPr>
      </w:pPr>
      <w:r>
        <w:rPr>
          <w:rFonts w:ascii="Arial" w:hAnsi="Arial" w:eastAsia="华文楷体" w:cs="Arial"/>
          <w:sz w:val="28"/>
          <w:szCs w:val="28"/>
        </w:rPr>
        <w:t>北京康正宏基房地产评估有限公司</w:t>
      </w:r>
    </w:p>
    <w:p w14:paraId="52AA04BF">
      <w:pPr>
        <w:wordWrap w:val="0"/>
        <w:ind w:firstLine="840" w:firstLineChars="300"/>
        <w:jc w:val="right"/>
        <w:rPr>
          <w:rFonts w:ascii="Arial" w:hAnsi="Arial" w:eastAsia="华文楷体" w:cs="Arial"/>
          <w:sz w:val="28"/>
          <w:szCs w:val="28"/>
        </w:rPr>
      </w:pPr>
      <w:r>
        <w:rPr>
          <w:rFonts w:ascii="Arial" w:hAnsi="Arial" w:eastAsia="华文楷体" w:cs="Arial"/>
          <w:sz w:val="28"/>
          <w:szCs w:val="28"/>
        </w:rPr>
        <w:t>二〇二</w:t>
      </w:r>
      <w:r>
        <w:rPr>
          <w:rFonts w:hint="eastAsia" w:ascii="Arial" w:hAnsi="Arial" w:eastAsia="华文楷体" w:cs="Arial"/>
          <w:sz w:val="28"/>
          <w:szCs w:val="28"/>
          <w:lang w:val="en-US" w:eastAsia="zh-CN"/>
        </w:rPr>
        <w:t>六</w:t>
      </w:r>
      <w:r>
        <w:rPr>
          <w:rFonts w:ascii="Arial" w:hAnsi="Arial" w:eastAsia="华文楷体" w:cs="Arial"/>
          <w:sz w:val="28"/>
          <w:szCs w:val="28"/>
        </w:rPr>
        <w:t>年</w:t>
      </w:r>
      <w:r>
        <w:rPr>
          <w:rFonts w:hint="eastAsia" w:ascii="Arial" w:hAnsi="Arial" w:eastAsia="华文楷体" w:cs="Arial"/>
          <w:sz w:val="28"/>
          <w:szCs w:val="28"/>
          <w:lang w:val="en-US" w:eastAsia="zh-CN"/>
        </w:rPr>
        <w:t>二</w:t>
      </w:r>
      <w:r>
        <w:rPr>
          <w:rFonts w:ascii="Arial" w:hAnsi="Arial" w:eastAsia="华文楷体" w:cs="Arial"/>
          <w:sz w:val="28"/>
          <w:szCs w:val="28"/>
        </w:rPr>
        <w:t>月</w:t>
      </w:r>
      <w:r>
        <w:rPr>
          <w:rFonts w:hint="eastAsia" w:ascii="Arial" w:hAnsi="Arial" w:eastAsia="华文楷体" w:cs="Arial"/>
          <w:sz w:val="28"/>
          <w:szCs w:val="28"/>
          <w:lang w:val="en-US" w:eastAsia="zh-CN"/>
        </w:rPr>
        <w:t>九</w:t>
      </w:r>
      <w:r>
        <w:rPr>
          <w:rFonts w:ascii="Arial" w:hAnsi="Arial" w:eastAsia="华文楷体" w:cs="Arial"/>
          <w:sz w:val="28"/>
          <w:szCs w:val="28"/>
        </w:rPr>
        <w:t>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粗隶书">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46470"/>
      <w:docPartObj>
        <w:docPartGallery w:val="autotext"/>
      </w:docPartObj>
    </w:sdtPr>
    <w:sdtContent>
      <w:p w14:paraId="4131E20C">
        <w:pPr>
          <w:pStyle w:val="21"/>
          <w:jc w:val="center"/>
        </w:pPr>
        <w:r>
          <w:fldChar w:fldCharType="begin"/>
        </w:r>
        <w:r>
          <w:instrText xml:space="preserve">PAGE   \* MERGEFORMAT</w:instrText>
        </w:r>
        <w:r>
          <w:fldChar w:fldCharType="separate"/>
        </w:r>
        <w:r>
          <w:rPr>
            <w:lang w:val="zh-CN"/>
          </w:rPr>
          <w:t>1</w:t>
        </w:r>
        <w:r>
          <w:fldChar w:fldCharType="end"/>
        </w:r>
      </w:p>
    </w:sdtContent>
  </w:sdt>
  <w:p w14:paraId="31B9AAC5">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6E4B">
    <w:pPr>
      <w:pStyle w:val="22"/>
    </w:pPr>
    <w:r>
      <w:drawing>
        <wp:inline distT="0" distB="0" distL="0" distR="0">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62D9"/>
    <w:rsid w:val="000102DB"/>
    <w:rsid w:val="0002109C"/>
    <w:rsid w:val="0002299B"/>
    <w:rsid w:val="00024763"/>
    <w:rsid w:val="000253B1"/>
    <w:rsid w:val="000400CA"/>
    <w:rsid w:val="00040174"/>
    <w:rsid w:val="000442C2"/>
    <w:rsid w:val="000448E0"/>
    <w:rsid w:val="00047A77"/>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2B3F"/>
    <w:rsid w:val="001033CC"/>
    <w:rsid w:val="00104449"/>
    <w:rsid w:val="001160A2"/>
    <w:rsid w:val="0012469D"/>
    <w:rsid w:val="00124B01"/>
    <w:rsid w:val="00153FAD"/>
    <w:rsid w:val="0015431B"/>
    <w:rsid w:val="001544E0"/>
    <w:rsid w:val="00155642"/>
    <w:rsid w:val="00155747"/>
    <w:rsid w:val="00164053"/>
    <w:rsid w:val="00164B1A"/>
    <w:rsid w:val="0016553A"/>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4FCA"/>
    <w:rsid w:val="00346AC4"/>
    <w:rsid w:val="00351519"/>
    <w:rsid w:val="00353271"/>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54C1"/>
    <w:rsid w:val="00395C02"/>
    <w:rsid w:val="003A1C6C"/>
    <w:rsid w:val="003A33C2"/>
    <w:rsid w:val="003A4765"/>
    <w:rsid w:val="003A5734"/>
    <w:rsid w:val="003A585F"/>
    <w:rsid w:val="003A6E0E"/>
    <w:rsid w:val="003B0D1E"/>
    <w:rsid w:val="003B1635"/>
    <w:rsid w:val="003B30EE"/>
    <w:rsid w:val="003B3796"/>
    <w:rsid w:val="003B6394"/>
    <w:rsid w:val="003B645B"/>
    <w:rsid w:val="003B6DE8"/>
    <w:rsid w:val="003C0C2B"/>
    <w:rsid w:val="003C1ED4"/>
    <w:rsid w:val="003C7E56"/>
    <w:rsid w:val="003D0FF8"/>
    <w:rsid w:val="003D13E0"/>
    <w:rsid w:val="003D2777"/>
    <w:rsid w:val="003D2B7F"/>
    <w:rsid w:val="003D7D45"/>
    <w:rsid w:val="003E1F55"/>
    <w:rsid w:val="003E29A0"/>
    <w:rsid w:val="003E3910"/>
    <w:rsid w:val="003E3FAB"/>
    <w:rsid w:val="003E51F3"/>
    <w:rsid w:val="0040072F"/>
    <w:rsid w:val="00400CF1"/>
    <w:rsid w:val="004057DA"/>
    <w:rsid w:val="00406D87"/>
    <w:rsid w:val="004105E1"/>
    <w:rsid w:val="00411459"/>
    <w:rsid w:val="00421476"/>
    <w:rsid w:val="00421507"/>
    <w:rsid w:val="00424AFC"/>
    <w:rsid w:val="004252C8"/>
    <w:rsid w:val="00431D23"/>
    <w:rsid w:val="0043550A"/>
    <w:rsid w:val="00435933"/>
    <w:rsid w:val="00436CEF"/>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40FAE"/>
    <w:rsid w:val="0054419F"/>
    <w:rsid w:val="005443BE"/>
    <w:rsid w:val="00544E03"/>
    <w:rsid w:val="00556F72"/>
    <w:rsid w:val="0056110D"/>
    <w:rsid w:val="00561EF5"/>
    <w:rsid w:val="00562849"/>
    <w:rsid w:val="0056365C"/>
    <w:rsid w:val="00563735"/>
    <w:rsid w:val="00564879"/>
    <w:rsid w:val="00567006"/>
    <w:rsid w:val="005718AE"/>
    <w:rsid w:val="00572C6A"/>
    <w:rsid w:val="00576269"/>
    <w:rsid w:val="0057693D"/>
    <w:rsid w:val="00582678"/>
    <w:rsid w:val="00587DE0"/>
    <w:rsid w:val="005915D7"/>
    <w:rsid w:val="00592BE4"/>
    <w:rsid w:val="00596F74"/>
    <w:rsid w:val="005A0F0C"/>
    <w:rsid w:val="005A16C8"/>
    <w:rsid w:val="005A36B5"/>
    <w:rsid w:val="005A7A13"/>
    <w:rsid w:val="005A7F76"/>
    <w:rsid w:val="005B04D4"/>
    <w:rsid w:val="005B07FA"/>
    <w:rsid w:val="005C0B97"/>
    <w:rsid w:val="005C3702"/>
    <w:rsid w:val="005C4AF6"/>
    <w:rsid w:val="005C4F4C"/>
    <w:rsid w:val="005D0B1C"/>
    <w:rsid w:val="005D15ED"/>
    <w:rsid w:val="005D5C68"/>
    <w:rsid w:val="005E0A6F"/>
    <w:rsid w:val="005E1E4A"/>
    <w:rsid w:val="005E21ED"/>
    <w:rsid w:val="005E4409"/>
    <w:rsid w:val="005E4683"/>
    <w:rsid w:val="005E62F6"/>
    <w:rsid w:val="005E71E3"/>
    <w:rsid w:val="005F6A37"/>
    <w:rsid w:val="00600B05"/>
    <w:rsid w:val="00601247"/>
    <w:rsid w:val="00602290"/>
    <w:rsid w:val="0060390F"/>
    <w:rsid w:val="00605257"/>
    <w:rsid w:val="00610597"/>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E054E"/>
    <w:rsid w:val="006E243E"/>
    <w:rsid w:val="006E31C6"/>
    <w:rsid w:val="006E3A7D"/>
    <w:rsid w:val="006E5A37"/>
    <w:rsid w:val="006E6CF3"/>
    <w:rsid w:val="006F39E9"/>
    <w:rsid w:val="006F60B1"/>
    <w:rsid w:val="006F7197"/>
    <w:rsid w:val="006F7781"/>
    <w:rsid w:val="006F7BFC"/>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7CA6"/>
    <w:rsid w:val="00800299"/>
    <w:rsid w:val="008003DE"/>
    <w:rsid w:val="008026F1"/>
    <w:rsid w:val="00803856"/>
    <w:rsid w:val="00803A37"/>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6254"/>
    <w:rsid w:val="008D7390"/>
    <w:rsid w:val="008E569A"/>
    <w:rsid w:val="008E7F88"/>
    <w:rsid w:val="008F7AE0"/>
    <w:rsid w:val="009009C9"/>
    <w:rsid w:val="00902BC7"/>
    <w:rsid w:val="00903D00"/>
    <w:rsid w:val="009063EB"/>
    <w:rsid w:val="00907A4E"/>
    <w:rsid w:val="00910199"/>
    <w:rsid w:val="00910B6A"/>
    <w:rsid w:val="00913D6F"/>
    <w:rsid w:val="00914B22"/>
    <w:rsid w:val="00914CEA"/>
    <w:rsid w:val="0092436B"/>
    <w:rsid w:val="009304DA"/>
    <w:rsid w:val="00930BC9"/>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7A3D"/>
    <w:rsid w:val="009B0DA3"/>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6F2"/>
    <w:rsid w:val="009F7BB0"/>
    <w:rsid w:val="00A0163D"/>
    <w:rsid w:val="00A04C27"/>
    <w:rsid w:val="00A05337"/>
    <w:rsid w:val="00A06B39"/>
    <w:rsid w:val="00A128C9"/>
    <w:rsid w:val="00A13312"/>
    <w:rsid w:val="00A13717"/>
    <w:rsid w:val="00A15832"/>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8E8"/>
    <w:rsid w:val="00AE4D30"/>
    <w:rsid w:val="00AE730C"/>
    <w:rsid w:val="00AE7C9A"/>
    <w:rsid w:val="00AF1866"/>
    <w:rsid w:val="00AF3189"/>
    <w:rsid w:val="00B00D16"/>
    <w:rsid w:val="00B05F99"/>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1545"/>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655B"/>
    <w:rsid w:val="00C16F65"/>
    <w:rsid w:val="00C17A29"/>
    <w:rsid w:val="00C235A9"/>
    <w:rsid w:val="00C2693C"/>
    <w:rsid w:val="00C274DF"/>
    <w:rsid w:val="00C33882"/>
    <w:rsid w:val="00C3442A"/>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6A90"/>
    <w:rsid w:val="00CF6DCC"/>
    <w:rsid w:val="00D00FED"/>
    <w:rsid w:val="00D04AFF"/>
    <w:rsid w:val="00D062F2"/>
    <w:rsid w:val="00D07548"/>
    <w:rsid w:val="00D1300A"/>
    <w:rsid w:val="00D134F1"/>
    <w:rsid w:val="00D161C4"/>
    <w:rsid w:val="00D17DF6"/>
    <w:rsid w:val="00D25BAE"/>
    <w:rsid w:val="00D3122A"/>
    <w:rsid w:val="00D35D81"/>
    <w:rsid w:val="00D400B2"/>
    <w:rsid w:val="00D40A6F"/>
    <w:rsid w:val="00D41F36"/>
    <w:rsid w:val="00D42F8A"/>
    <w:rsid w:val="00D43E3F"/>
    <w:rsid w:val="00D463F8"/>
    <w:rsid w:val="00D50376"/>
    <w:rsid w:val="00D5235A"/>
    <w:rsid w:val="00D56CF6"/>
    <w:rsid w:val="00D60C21"/>
    <w:rsid w:val="00D631FF"/>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348F"/>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B0B"/>
    <w:rsid w:val="00DC6AF5"/>
    <w:rsid w:val="00DC7849"/>
    <w:rsid w:val="00DC7F55"/>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CF"/>
    <w:rsid w:val="00EC45DE"/>
    <w:rsid w:val="00EC54FE"/>
    <w:rsid w:val="00EC6B58"/>
    <w:rsid w:val="00ED457A"/>
    <w:rsid w:val="00ED4AC2"/>
    <w:rsid w:val="00EE22B8"/>
    <w:rsid w:val="00EE514E"/>
    <w:rsid w:val="00EE6550"/>
    <w:rsid w:val="00EE67F2"/>
    <w:rsid w:val="00EF2704"/>
    <w:rsid w:val="00EF65C6"/>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1D9E"/>
    <w:rsid w:val="00F42164"/>
    <w:rsid w:val="00F424DB"/>
    <w:rsid w:val="00F4535D"/>
    <w:rsid w:val="00F46378"/>
    <w:rsid w:val="00F54E6F"/>
    <w:rsid w:val="00F561A9"/>
    <w:rsid w:val="00F56ECD"/>
    <w:rsid w:val="00F577CD"/>
    <w:rsid w:val="00F6602F"/>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E1EFE"/>
    <w:rsid w:val="00FE34DE"/>
    <w:rsid w:val="00FE462C"/>
    <w:rsid w:val="00FE569D"/>
    <w:rsid w:val="00FE6496"/>
    <w:rsid w:val="00FF2CDA"/>
    <w:rsid w:val="00FF4489"/>
    <w:rsid w:val="00FF4729"/>
    <w:rsid w:val="00FF4A3C"/>
    <w:rsid w:val="00FF5AA1"/>
    <w:rsid w:val="00FF6B48"/>
    <w:rsid w:val="01FD609D"/>
    <w:rsid w:val="04E85843"/>
    <w:rsid w:val="053E2C54"/>
    <w:rsid w:val="05B51FE3"/>
    <w:rsid w:val="07131EBF"/>
    <w:rsid w:val="074E2EF7"/>
    <w:rsid w:val="08693F63"/>
    <w:rsid w:val="08A5338B"/>
    <w:rsid w:val="08D77648"/>
    <w:rsid w:val="090D306A"/>
    <w:rsid w:val="09336848"/>
    <w:rsid w:val="09886B94"/>
    <w:rsid w:val="09EF276F"/>
    <w:rsid w:val="0B725406"/>
    <w:rsid w:val="0D0C53E6"/>
    <w:rsid w:val="0E6A0A0B"/>
    <w:rsid w:val="0ED87C76"/>
    <w:rsid w:val="0F7B6853"/>
    <w:rsid w:val="0F84395A"/>
    <w:rsid w:val="114D0DAC"/>
    <w:rsid w:val="12807FAA"/>
    <w:rsid w:val="17D3547E"/>
    <w:rsid w:val="180351D4"/>
    <w:rsid w:val="1AEC2172"/>
    <w:rsid w:val="1BBE1FA1"/>
    <w:rsid w:val="1D3A1AFC"/>
    <w:rsid w:val="20B16579"/>
    <w:rsid w:val="210F3EEB"/>
    <w:rsid w:val="22312B25"/>
    <w:rsid w:val="254A4C27"/>
    <w:rsid w:val="256C6F12"/>
    <w:rsid w:val="25824FC2"/>
    <w:rsid w:val="26B66697"/>
    <w:rsid w:val="26DE799C"/>
    <w:rsid w:val="2A9A1E2C"/>
    <w:rsid w:val="2C6721E1"/>
    <w:rsid w:val="2F8A7D2E"/>
    <w:rsid w:val="30FC114A"/>
    <w:rsid w:val="31F14A27"/>
    <w:rsid w:val="334742E5"/>
    <w:rsid w:val="33BA709B"/>
    <w:rsid w:val="38211DDE"/>
    <w:rsid w:val="383D4FE8"/>
    <w:rsid w:val="38960718"/>
    <w:rsid w:val="38C42E95"/>
    <w:rsid w:val="395A629B"/>
    <w:rsid w:val="3B660234"/>
    <w:rsid w:val="3C114A1C"/>
    <w:rsid w:val="3D074571"/>
    <w:rsid w:val="3EC71E33"/>
    <w:rsid w:val="3FE57D6D"/>
    <w:rsid w:val="4000052B"/>
    <w:rsid w:val="408258E1"/>
    <w:rsid w:val="41B47B85"/>
    <w:rsid w:val="42815953"/>
    <w:rsid w:val="435C3CCA"/>
    <w:rsid w:val="4A7E09CA"/>
    <w:rsid w:val="4B683463"/>
    <w:rsid w:val="4B702AB6"/>
    <w:rsid w:val="52E837CD"/>
    <w:rsid w:val="56297669"/>
    <w:rsid w:val="562D4823"/>
    <w:rsid w:val="5A056A12"/>
    <w:rsid w:val="5A513A05"/>
    <w:rsid w:val="5B577001"/>
    <w:rsid w:val="5B70435F"/>
    <w:rsid w:val="5B8A3673"/>
    <w:rsid w:val="5CEE19DF"/>
    <w:rsid w:val="5D265403"/>
    <w:rsid w:val="6268229C"/>
    <w:rsid w:val="64286830"/>
    <w:rsid w:val="64D67929"/>
    <w:rsid w:val="650E3342"/>
    <w:rsid w:val="667C2117"/>
    <w:rsid w:val="66F422E8"/>
    <w:rsid w:val="68577F0F"/>
    <w:rsid w:val="69A55B1C"/>
    <w:rsid w:val="6AC550CC"/>
    <w:rsid w:val="6AD04140"/>
    <w:rsid w:val="6B6E316B"/>
    <w:rsid w:val="6C2D04DC"/>
    <w:rsid w:val="6D711AA4"/>
    <w:rsid w:val="6D960737"/>
    <w:rsid w:val="6E337B9A"/>
    <w:rsid w:val="70E4517B"/>
    <w:rsid w:val="71A9536F"/>
    <w:rsid w:val="72E92EA8"/>
    <w:rsid w:val="747B25AD"/>
    <w:rsid w:val="797C134D"/>
    <w:rsid w:val="79B17A43"/>
    <w:rsid w:val="79DE4E5E"/>
    <w:rsid w:val="7B767318"/>
    <w:rsid w:val="7C541407"/>
    <w:rsid w:val="7E186464"/>
    <w:rsid w:val="7F01514B"/>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nhideWhenUsed="0" w:uiPriority="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55"/>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56"/>
    <w:unhideWhenUsed/>
    <w:qFormat/>
    <w:uiPriority w:val="0"/>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link w:val="54"/>
    <w:qFormat/>
    <w:uiPriority w:val="0"/>
    <w:pPr>
      <w:spacing w:before="100" w:beforeAutospacing="1" w:after="100" w:afterAutospacing="1"/>
      <w:outlineLvl w:val="2"/>
    </w:pPr>
    <w:rPr>
      <w:rFonts w:ascii="宋体" w:hAnsi="宋体" w:cs="宋体"/>
      <w:b/>
      <w:bCs/>
      <w:sz w:val="27"/>
      <w:szCs w:val="27"/>
    </w:rPr>
  </w:style>
  <w:style w:type="paragraph" w:styleId="5">
    <w:name w:val="heading 4"/>
    <w:basedOn w:val="1"/>
    <w:next w:val="1"/>
    <w:link w:val="63"/>
    <w:qFormat/>
    <w:uiPriority w:val="0"/>
    <w:pPr>
      <w:keepNext/>
      <w:widowControl w:val="0"/>
      <w:numPr>
        <w:ilvl w:val="0"/>
        <w:numId w:val="1"/>
      </w:numPr>
      <w:tabs>
        <w:tab w:val="clear" w:pos="1605"/>
      </w:tabs>
      <w:adjustRightInd w:val="0"/>
      <w:spacing w:before="20" w:after="20" w:line="440" w:lineRule="atLeast"/>
      <w:ind w:right="-22"/>
      <w:textAlignment w:val="baseline"/>
      <w:outlineLvl w:val="3"/>
    </w:pPr>
    <w:rPr>
      <w:rFonts w:ascii="仿宋_GB2312" w:eastAsia="仿宋_GB2312"/>
      <w:sz w:val="28"/>
      <w:szCs w:val="20"/>
      <w:lang w:val="zh-CN" w:eastAsia="zh-CN"/>
    </w:rPr>
  </w:style>
  <w:style w:type="paragraph" w:styleId="6">
    <w:name w:val="heading 5"/>
    <w:basedOn w:val="1"/>
    <w:next w:val="1"/>
    <w:link w:val="84"/>
    <w:qFormat/>
    <w:uiPriority w:val="0"/>
    <w:pPr>
      <w:keepNext/>
      <w:spacing w:line="500" w:lineRule="exact"/>
      <w:jc w:val="center"/>
      <w:outlineLvl w:val="4"/>
    </w:pPr>
    <w:rPr>
      <w:rFonts w:ascii="楷体_GB2312" w:eastAsia="楷体_GB2312"/>
      <w:color w:val="000000"/>
      <w:sz w:val="28"/>
    </w:rPr>
  </w:style>
  <w:style w:type="character" w:default="1" w:styleId="40">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autoRedefine/>
    <w:semiHidden/>
    <w:uiPriority w:val="0"/>
    <w:pPr>
      <w:widowControl w:val="0"/>
      <w:adjustRightInd w:val="0"/>
      <w:spacing w:line="360" w:lineRule="atLeast"/>
      <w:ind w:left="2520" w:leftChars="1200"/>
      <w:textAlignment w:val="baseline"/>
    </w:pPr>
    <w:rPr>
      <w:szCs w:val="20"/>
    </w:rPr>
  </w:style>
  <w:style w:type="paragraph" w:styleId="8">
    <w:name w:val="Normal Indent"/>
    <w:basedOn w:val="1"/>
    <w:semiHidden/>
    <w:qFormat/>
    <w:uiPriority w:val="0"/>
    <w:pPr>
      <w:ind w:firstLine="560" w:firstLineChars="200"/>
      <w:jc w:val="both"/>
    </w:pPr>
    <w:rPr>
      <w:rFonts w:eastAsia="GungsuhChe"/>
      <w:color w:val="FF0000"/>
      <w:kern w:val="2"/>
      <w:sz w:val="28"/>
    </w:rPr>
  </w:style>
  <w:style w:type="paragraph" w:styleId="9">
    <w:name w:val="Document Map"/>
    <w:basedOn w:val="1"/>
    <w:link w:val="65"/>
    <w:semiHidden/>
    <w:qFormat/>
    <w:uiPriority w:val="0"/>
    <w:pPr>
      <w:widowControl w:val="0"/>
      <w:shd w:val="clear" w:color="auto" w:fill="000080"/>
      <w:adjustRightInd w:val="0"/>
      <w:spacing w:before="20" w:after="20" w:line="360" w:lineRule="atLeast"/>
      <w:textAlignment w:val="baseline"/>
    </w:pPr>
    <w:rPr>
      <w:szCs w:val="20"/>
    </w:rPr>
  </w:style>
  <w:style w:type="paragraph" w:styleId="10">
    <w:name w:val="annotation text"/>
    <w:basedOn w:val="1"/>
    <w:link w:val="51"/>
    <w:unhideWhenUsed/>
    <w:qFormat/>
    <w:uiPriority w:val="0"/>
    <w:pPr>
      <w:widowControl w:val="0"/>
    </w:pPr>
    <w:rPr>
      <w:rFonts w:asciiTheme="minorHAnsi" w:hAnsiTheme="minorHAnsi" w:eastAsiaTheme="minorEastAsia" w:cstheme="minorBidi"/>
      <w:kern w:val="2"/>
      <w:sz w:val="21"/>
      <w:szCs w:val="22"/>
    </w:rPr>
  </w:style>
  <w:style w:type="paragraph" w:styleId="11">
    <w:name w:val="Body Text 3"/>
    <w:basedOn w:val="1"/>
    <w:link w:val="144"/>
    <w:semiHidden/>
    <w:unhideWhenUsed/>
    <w:qFormat/>
    <w:uiPriority w:val="99"/>
    <w:pPr>
      <w:widowControl w:val="0"/>
      <w:adjustRightInd w:val="0"/>
      <w:spacing w:line="288" w:lineRule="auto"/>
      <w:jc w:val="both"/>
    </w:pPr>
    <w:rPr>
      <w:rFonts w:ascii="楷体_GB2312" w:hAnsi="Arial" w:eastAsia="楷体_GB2312"/>
      <w:sz w:val="32"/>
      <w:szCs w:val="20"/>
    </w:rPr>
  </w:style>
  <w:style w:type="paragraph" w:styleId="12">
    <w:name w:val="Body Text"/>
    <w:basedOn w:val="1"/>
    <w:link w:val="70"/>
    <w:qFormat/>
    <w:uiPriority w:val="0"/>
    <w:pPr>
      <w:widowControl w:val="0"/>
      <w:adjustRightInd w:val="0"/>
      <w:spacing w:before="20" w:after="20" w:line="360" w:lineRule="atLeast"/>
      <w:textAlignment w:val="baseline"/>
    </w:pPr>
    <w:rPr>
      <w:rFonts w:eastAsia="隶书"/>
      <w:sz w:val="52"/>
      <w:szCs w:val="20"/>
      <w:lang w:val="zh-CN" w:eastAsia="zh-CN"/>
    </w:rPr>
  </w:style>
  <w:style w:type="paragraph" w:styleId="13">
    <w:name w:val="Body Text Indent"/>
    <w:basedOn w:val="1"/>
    <w:link w:val="67"/>
    <w:qFormat/>
    <w:uiPriority w:val="0"/>
    <w:pPr>
      <w:widowControl w:val="0"/>
      <w:adjustRightInd w:val="0"/>
      <w:spacing w:before="120" w:after="20" w:line="360" w:lineRule="auto"/>
      <w:ind w:left="1145"/>
      <w:textAlignment w:val="baseline"/>
    </w:pPr>
    <w:rPr>
      <w:rFonts w:ascii="楷体_GB2312" w:eastAsia="楷体_GB2312"/>
      <w:sz w:val="28"/>
      <w:szCs w:val="20"/>
      <w:lang w:val="zh-CN" w:eastAsia="zh-CN"/>
    </w:rPr>
  </w:style>
  <w:style w:type="paragraph" w:styleId="14">
    <w:name w:val="toc 5"/>
    <w:basedOn w:val="1"/>
    <w:next w:val="1"/>
    <w:autoRedefine/>
    <w:semiHidden/>
    <w:qFormat/>
    <w:uiPriority w:val="0"/>
    <w:pPr>
      <w:widowControl w:val="0"/>
      <w:adjustRightInd w:val="0"/>
      <w:spacing w:line="360" w:lineRule="atLeast"/>
      <w:ind w:left="1680" w:leftChars="800"/>
      <w:textAlignment w:val="baseline"/>
    </w:pPr>
    <w:rPr>
      <w:szCs w:val="20"/>
    </w:rPr>
  </w:style>
  <w:style w:type="paragraph" w:styleId="15">
    <w:name w:val="toc 3"/>
    <w:basedOn w:val="1"/>
    <w:next w:val="1"/>
    <w:autoRedefine/>
    <w:semiHidden/>
    <w:qFormat/>
    <w:uiPriority w:val="0"/>
    <w:pPr>
      <w:widowControl w:val="0"/>
      <w:adjustRightInd w:val="0"/>
      <w:spacing w:line="360" w:lineRule="atLeast"/>
      <w:ind w:left="840" w:leftChars="400"/>
      <w:textAlignment w:val="baseline"/>
    </w:pPr>
    <w:rPr>
      <w:szCs w:val="20"/>
    </w:rPr>
  </w:style>
  <w:style w:type="paragraph" w:styleId="16">
    <w:name w:val="Plain Text"/>
    <w:basedOn w:val="1"/>
    <w:link w:val="60"/>
    <w:qFormat/>
    <w:uiPriority w:val="0"/>
    <w:pPr>
      <w:widowControl w:val="0"/>
      <w:spacing w:before="20" w:after="20"/>
      <w:jc w:val="both"/>
    </w:pPr>
    <w:rPr>
      <w:rFonts w:ascii="宋体" w:hAnsi="Courier New"/>
      <w:sz w:val="20"/>
      <w:szCs w:val="20"/>
      <w:lang w:val="zh-CN" w:eastAsia="zh-CN"/>
    </w:rPr>
  </w:style>
  <w:style w:type="paragraph" w:styleId="17">
    <w:name w:val="toc 8"/>
    <w:basedOn w:val="1"/>
    <w:next w:val="1"/>
    <w:autoRedefine/>
    <w:semiHidden/>
    <w:qFormat/>
    <w:uiPriority w:val="0"/>
    <w:pPr>
      <w:widowControl w:val="0"/>
      <w:adjustRightInd w:val="0"/>
      <w:spacing w:line="360" w:lineRule="atLeast"/>
      <w:ind w:left="2940" w:leftChars="1400"/>
      <w:textAlignment w:val="baseline"/>
    </w:pPr>
    <w:rPr>
      <w:szCs w:val="20"/>
    </w:rPr>
  </w:style>
  <w:style w:type="paragraph" w:styleId="18">
    <w:name w:val="Date"/>
    <w:basedOn w:val="1"/>
    <w:next w:val="1"/>
    <w:link w:val="53"/>
    <w:unhideWhenUsed/>
    <w:qFormat/>
    <w:uiPriority w:val="0"/>
    <w:pPr>
      <w:widowControl w:val="0"/>
      <w:ind w:left="100" w:leftChars="2500"/>
      <w:jc w:val="both"/>
    </w:pPr>
    <w:rPr>
      <w:rFonts w:asciiTheme="minorHAnsi" w:hAnsiTheme="minorHAnsi" w:eastAsiaTheme="minorEastAsia" w:cstheme="minorBidi"/>
      <w:kern w:val="2"/>
      <w:sz w:val="21"/>
      <w:szCs w:val="22"/>
    </w:rPr>
  </w:style>
  <w:style w:type="paragraph" w:styleId="19">
    <w:name w:val="Body Text Indent 2"/>
    <w:basedOn w:val="1"/>
    <w:link w:val="68"/>
    <w:qFormat/>
    <w:uiPriority w:val="0"/>
    <w:pPr>
      <w:widowControl w:val="0"/>
      <w:adjustRightInd w:val="0"/>
      <w:spacing w:before="120" w:after="20" w:line="360" w:lineRule="auto"/>
      <w:ind w:left="600" w:firstLine="480"/>
      <w:textAlignment w:val="baseline"/>
    </w:pPr>
    <w:rPr>
      <w:rFonts w:ascii="楷体_GB2312" w:eastAsia="楷体_GB2312"/>
      <w:sz w:val="28"/>
      <w:szCs w:val="20"/>
      <w:lang w:val="zh-CN" w:eastAsia="zh-CN"/>
    </w:rPr>
  </w:style>
  <w:style w:type="paragraph" w:styleId="20">
    <w:name w:val="Balloon Text"/>
    <w:basedOn w:val="1"/>
    <w:link w:val="48"/>
    <w:unhideWhenUsed/>
    <w:qFormat/>
    <w:uiPriority w:val="0"/>
    <w:pPr>
      <w:widowControl w:val="0"/>
      <w:jc w:val="both"/>
    </w:pPr>
    <w:rPr>
      <w:rFonts w:asciiTheme="minorHAnsi" w:hAnsiTheme="minorHAnsi" w:eastAsiaTheme="minorEastAsia" w:cstheme="minorBidi"/>
      <w:kern w:val="2"/>
      <w:sz w:val="18"/>
      <w:szCs w:val="18"/>
    </w:rPr>
  </w:style>
  <w:style w:type="paragraph" w:styleId="21">
    <w:name w:val="footer"/>
    <w:basedOn w:val="1"/>
    <w:link w:val="4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2">
    <w:name w:val="header"/>
    <w:basedOn w:val="1"/>
    <w:link w:val="4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3">
    <w:name w:val="toc 1"/>
    <w:basedOn w:val="1"/>
    <w:next w:val="1"/>
    <w:autoRedefine/>
    <w:qFormat/>
    <w:uiPriority w:val="39"/>
    <w:pPr>
      <w:widowControl w:val="0"/>
      <w:tabs>
        <w:tab w:val="right" w:leader="dot" w:pos="9017"/>
      </w:tabs>
      <w:adjustRightInd w:val="0"/>
      <w:spacing w:before="20" w:after="20" w:line="360" w:lineRule="atLeast"/>
      <w:textAlignment w:val="baseline"/>
    </w:pPr>
    <w:rPr>
      <w:rFonts w:ascii="楷体_GB2312" w:eastAsia="楷体_GB2312"/>
      <w:b/>
      <w:bCs/>
      <w:sz w:val="28"/>
      <w:szCs w:val="28"/>
    </w:rPr>
  </w:style>
  <w:style w:type="paragraph" w:styleId="24">
    <w:name w:val="toc 4"/>
    <w:basedOn w:val="1"/>
    <w:next w:val="1"/>
    <w:autoRedefine/>
    <w:semiHidden/>
    <w:qFormat/>
    <w:uiPriority w:val="0"/>
    <w:pPr>
      <w:widowControl w:val="0"/>
      <w:adjustRightInd w:val="0"/>
      <w:spacing w:line="360" w:lineRule="atLeast"/>
      <w:ind w:left="1260" w:leftChars="600"/>
      <w:textAlignment w:val="baseline"/>
    </w:pPr>
    <w:rPr>
      <w:szCs w:val="20"/>
    </w:rPr>
  </w:style>
  <w:style w:type="paragraph" w:styleId="25">
    <w:name w:val="footnote text"/>
    <w:basedOn w:val="1"/>
    <w:link w:val="136"/>
    <w:semiHidden/>
    <w:unhideWhenUsed/>
    <w:qFormat/>
    <w:uiPriority w:val="99"/>
    <w:pPr>
      <w:widowControl w:val="0"/>
      <w:snapToGrid w:val="0"/>
    </w:pPr>
    <w:rPr>
      <w:rFonts w:ascii="Calibri" w:hAnsi="Calibri"/>
      <w:kern w:val="2"/>
      <w:sz w:val="18"/>
      <w:szCs w:val="18"/>
    </w:rPr>
  </w:style>
  <w:style w:type="paragraph" w:styleId="26">
    <w:name w:val="toc 6"/>
    <w:basedOn w:val="1"/>
    <w:next w:val="1"/>
    <w:autoRedefine/>
    <w:semiHidden/>
    <w:qFormat/>
    <w:uiPriority w:val="0"/>
    <w:pPr>
      <w:widowControl w:val="0"/>
      <w:adjustRightInd w:val="0"/>
      <w:spacing w:line="360" w:lineRule="atLeast"/>
      <w:ind w:left="2100" w:leftChars="1000"/>
      <w:textAlignment w:val="baseline"/>
    </w:pPr>
    <w:rPr>
      <w:szCs w:val="20"/>
    </w:rPr>
  </w:style>
  <w:style w:type="paragraph" w:styleId="27">
    <w:name w:val="Body Text Indent 3"/>
    <w:basedOn w:val="1"/>
    <w:link w:val="69"/>
    <w:qFormat/>
    <w:uiPriority w:val="0"/>
    <w:pPr>
      <w:widowControl w:val="0"/>
      <w:adjustRightInd w:val="0"/>
      <w:spacing w:before="20" w:after="20" w:line="360" w:lineRule="auto"/>
      <w:ind w:left="600" w:firstLine="555"/>
      <w:textAlignment w:val="baseline"/>
      <w:outlineLvl w:val="0"/>
    </w:pPr>
    <w:rPr>
      <w:rFonts w:ascii="楷体_GB2312" w:eastAsia="楷体_GB2312"/>
      <w:sz w:val="28"/>
      <w:szCs w:val="20"/>
      <w:lang w:val="zh-CN" w:eastAsia="zh-CN"/>
    </w:rPr>
  </w:style>
  <w:style w:type="paragraph" w:styleId="28">
    <w:name w:val="toc 2"/>
    <w:basedOn w:val="1"/>
    <w:next w:val="1"/>
    <w:autoRedefine/>
    <w:uiPriority w:val="39"/>
    <w:pPr>
      <w:widowControl w:val="0"/>
      <w:tabs>
        <w:tab w:val="right" w:leader="dot" w:pos="9017"/>
      </w:tabs>
      <w:adjustRightInd w:val="0"/>
      <w:spacing w:before="20" w:after="20" w:line="360" w:lineRule="atLeast"/>
      <w:ind w:left="480" w:leftChars="200"/>
      <w:textAlignment w:val="baseline"/>
    </w:pPr>
    <w:rPr>
      <w:szCs w:val="20"/>
    </w:rPr>
  </w:style>
  <w:style w:type="paragraph" w:styleId="29">
    <w:name w:val="toc 9"/>
    <w:basedOn w:val="1"/>
    <w:next w:val="1"/>
    <w:autoRedefine/>
    <w:semiHidden/>
    <w:qFormat/>
    <w:uiPriority w:val="0"/>
    <w:pPr>
      <w:widowControl w:val="0"/>
      <w:adjustRightInd w:val="0"/>
      <w:spacing w:line="360" w:lineRule="atLeast"/>
      <w:ind w:left="3360" w:leftChars="1600"/>
      <w:textAlignment w:val="baseline"/>
    </w:pPr>
    <w:rPr>
      <w:szCs w:val="20"/>
    </w:rPr>
  </w:style>
  <w:style w:type="paragraph" w:styleId="30">
    <w:name w:val="Body Text 2"/>
    <w:basedOn w:val="1"/>
    <w:link w:val="71"/>
    <w:qFormat/>
    <w:uiPriority w:val="0"/>
    <w:pPr>
      <w:widowControl w:val="0"/>
      <w:adjustRightInd w:val="0"/>
      <w:spacing w:before="20" w:after="20" w:line="360" w:lineRule="auto"/>
      <w:ind w:right="2"/>
      <w:textAlignment w:val="baseline"/>
    </w:pPr>
    <w:rPr>
      <w:rFonts w:eastAsia="仿宋_GB2312"/>
      <w:sz w:val="28"/>
      <w:szCs w:val="20"/>
      <w:lang w:val="zh-CN" w:eastAsia="zh-CN"/>
    </w:rPr>
  </w:style>
  <w:style w:type="paragraph" w:styleId="31">
    <w:name w:val="HTML Preformatted"/>
    <w:basedOn w:val="1"/>
    <w:link w:val="13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2">
    <w:name w:val="Normal (Web)"/>
    <w:basedOn w:val="1"/>
    <w:unhideWhenUsed/>
    <w:qFormat/>
    <w:uiPriority w:val="0"/>
    <w:pPr>
      <w:spacing w:before="100" w:beforeAutospacing="1" w:after="100" w:afterAutospacing="1"/>
    </w:pPr>
    <w:rPr>
      <w:rFonts w:ascii="宋体" w:hAnsi="宋体" w:cs="宋体"/>
    </w:rPr>
  </w:style>
  <w:style w:type="paragraph" w:styleId="33">
    <w:name w:val="annotation subject"/>
    <w:basedOn w:val="10"/>
    <w:next w:val="10"/>
    <w:link w:val="52"/>
    <w:unhideWhenUsed/>
    <w:qFormat/>
    <w:uiPriority w:val="0"/>
    <w:rPr>
      <w:b/>
      <w:bCs/>
    </w:rPr>
  </w:style>
  <w:style w:type="paragraph" w:styleId="34">
    <w:name w:val="Body Text First Indent"/>
    <w:basedOn w:val="12"/>
    <w:link w:val="72"/>
    <w:qFormat/>
    <w:uiPriority w:val="99"/>
    <w:pPr>
      <w:adjustRightInd/>
      <w:spacing w:after="120" w:line="240" w:lineRule="auto"/>
      <w:ind w:firstLine="420"/>
      <w:jc w:val="both"/>
      <w:textAlignment w:val="auto"/>
    </w:pPr>
    <w:rPr>
      <w:rFonts w:eastAsia="宋体"/>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Shading 1 Accent 1"/>
    <w:basedOn w:val="3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38">
    <w:name w:val="Medium Grid 2"/>
    <w:basedOn w:val="35"/>
    <w:qFormat/>
    <w:uiPriority w:val="1"/>
    <w:rPr>
      <w:rFonts w:ascii="Calibri" w:hAnsi="Calibri"/>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39">
    <w:name w:val="Medium Grid 2 Accent 1"/>
    <w:basedOn w:val="35"/>
    <w:uiPriority w:val="1"/>
    <w:rPr>
      <w:rFonts w:ascii="Calibri" w:hAnsi="Calibri"/>
      <w:sz w:val="22"/>
      <w:szCs w:val="22"/>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rPr>
      <w:tblPr/>
      <w:tcPr>
        <w:shd w:val="clear" w:color="auto" w:fill="EDF2F8" w:themeFill="accent1" w:themeFillTint="19"/>
      </w:tcPr>
    </w:tblStylePr>
    <w:tblStylePr w:type="lastRow">
      <w:rPr>
        <w:b/>
        <w:bCs/>
        <w:color w:val="000000"/>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uiPriority w:val="99"/>
    <w:rPr>
      <w:color w:val="800080"/>
      <w:u w:val="single"/>
    </w:rPr>
  </w:style>
  <w:style w:type="character" w:styleId="44">
    <w:name w:val="Hyperlink"/>
    <w:basedOn w:val="40"/>
    <w:unhideWhenUsed/>
    <w:uiPriority w:val="99"/>
    <w:rPr>
      <w:color w:val="0000FF" w:themeColor="hyperlink"/>
      <w:u w:val="single"/>
      <w14:textFill>
        <w14:solidFill>
          <w14:schemeClr w14:val="hlink"/>
        </w14:solidFill>
      </w14:textFill>
    </w:rPr>
  </w:style>
  <w:style w:type="character" w:styleId="45">
    <w:name w:val="annotation reference"/>
    <w:basedOn w:val="40"/>
    <w:unhideWhenUsed/>
    <w:qFormat/>
    <w:uiPriority w:val="0"/>
    <w:rPr>
      <w:sz w:val="21"/>
      <w:szCs w:val="21"/>
    </w:rPr>
  </w:style>
  <w:style w:type="character" w:customStyle="1" w:styleId="46">
    <w:name w:val="页眉 Char"/>
    <w:basedOn w:val="40"/>
    <w:link w:val="22"/>
    <w:qFormat/>
    <w:uiPriority w:val="99"/>
    <w:rPr>
      <w:sz w:val="18"/>
      <w:szCs w:val="18"/>
    </w:rPr>
  </w:style>
  <w:style w:type="character" w:customStyle="1" w:styleId="47">
    <w:name w:val="页脚 Char"/>
    <w:basedOn w:val="40"/>
    <w:link w:val="21"/>
    <w:qFormat/>
    <w:uiPriority w:val="99"/>
    <w:rPr>
      <w:sz w:val="18"/>
      <w:szCs w:val="18"/>
    </w:rPr>
  </w:style>
  <w:style w:type="character" w:customStyle="1" w:styleId="48">
    <w:name w:val="批注框文本 Char"/>
    <w:basedOn w:val="40"/>
    <w:link w:val="20"/>
    <w:qFormat/>
    <w:uiPriority w:val="0"/>
    <w:rPr>
      <w:sz w:val="18"/>
      <w:szCs w:val="18"/>
    </w:rPr>
  </w:style>
  <w:style w:type="paragraph" w:customStyle="1" w:styleId="49">
    <w:name w:val="列出段落1"/>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50">
    <w:name w:val="Default"/>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character" w:customStyle="1" w:styleId="51">
    <w:name w:val="批注文字 Char"/>
    <w:basedOn w:val="40"/>
    <w:link w:val="10"/>
    <w:semiHidden/>
    <w:qFormat/>
    <w:uiPriority w:val="0"/>
  </w:style>
  <w:style w:type="character" w:customStyle="1" w:styleId="52">
    <w:name w:val="批注主题 Char"/>
    <w:basedOn w:val="51"/>
    <w:link w:val="33"/>
    <w:semiHidden/>
    <w:qFormat/>
    <w:uiPriority w:val="0"/>
    <w:rPr>
      <w:b/>
      <w:bCs/>
    </w:rPr>
  </w:style>
  <w:style w:type="character" w:customStyle="1" w:styleId="53">
    <w:name w:val="日期 Char"/>
    <w:basedOn w:val="40"/>
    <w:link w:val="18"/>
    <w:qFormat/>
    <w:uiPriority w:val="0"/>
  </w:style>
  <w:style w:type="character" w:customStyle="1" w:styleId="54">
    <w:name w:val="标题 3 Char"/>
    <w:basedOn w:val="40"/>
    <w:link w:val="4"/>
    <w:qFormat/>
    <w:uiPriority w:val="0"/>
    <w:rPr>
      <w:rFonts w:ascii="宋体" w:hAnsi="宋体" w:cs="宋体"/>
      <w:b/>
      <w:bCs/>
      <w:sz w:val="27"/>
      <w:szCs w:val="27"/>
    </w:rPr>
  </w:style>
  <w:style w:type="character" w:customStyle="1" w:styleId="55">
    <w:name w:val="标题 1 Char"/>
    <w:basedOn w:val="40"/>
    <w:link w:val="2"/>
    <w:qFormat/>
    <w:uiPriority w:val="0"/>
    <w:rPr>
      <w:rFonts w:asciiTheme="minorHAnsi" w:hAnsiTheme="minorHAnsi" w:eastAsiaTheme="minorEastAsia" w:cstheme="minorBidi"/>
      <w:b/>
      <w:bCs/>
      <w:kern w:val="44"/>
      <w:sz w:val="44"/>
      <w:szCs w:val="44"/>
    </w:rPr>
  </w:style>
  <w:style w:type="character" w:customStyle="1" w:styleId="56">
    <w:name w:val="标题 2 Char"/>
    <w:basedOn w:val="40"/>
    <w:link w:val="3"/>
    <w:qFormat/>
    <w:uiPriority w:val="0"/>
    <w:rPr>
      <w:rFonts w:asciiTheme="majorHAnsi" w:hAnsiTheme="majorHAnsi" w:eastAsiaTheme="majorEastAsia" w:cstheme="majorBidi"/>
      <w:b/>
      <w:bCs/>
      <w:kern w:val="2"/>
      <w:sz w:val="32"/>
      <w:szCs w:val="32"/>
    </w:rPr>
  </w:style>
  <w:style w:type="paragraph" w:styleId="57">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58">
    <w:name w:val="Revision"/>
    <w:hidden/>
    <w:semiHidden/>
    <w:qFormat/>
    <w:uiPriority w:val="99"/>
    <w:rPr>
      <w:rFonts w:ascii="Times New Roman" w:hAnsi="Times New Roman" w:eastAsia="宋体" w:cs="Times New Roman"/>
      <w:sz w:val="24"/>
      <w:szCs w:val="24"/>
      <w:lang w:val="en-US" w:eastAsia="zh-CN" w:bidi="ar-SA"/>
    </w:rPr>
  </w:style>
  <w:style w:type="paragraph" w:customStyle="1" w:styleId="59">
    <w:name w:val="正文1"/>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60">
    <w:name w:val="纯文本 Char"/>
    <w:basedOn w:val="40"/>
    <w:link w:val="16"/>
    <w:qFormat/>
    <w:uiPriority w:val="0"/>
    <w:rPr>
      <w:rFonts w:ascii="宋体" w:hAnsi="Courier New"/>
      <w:lang w:val="zh-CN" w:eastAsia="zh-CN"/>
    </w:rPr>
  </w:style>
  <w:style w:type="paragraph" w:customStyle="1" w:styleId="61">
    <w:name w:val="正文2"/>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paragraph" w:customStyle="1" w:styleId="62">
    <w:name w:val="正文3"/>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63">
    <w:name w:val="标题 4 Char"/>
    <w:basedOn w:val="40"/>
    <w:link w:val="5"/>
    <w:qFormat/>
    <w:uiPriority w:val="0"/>
    <w:rPr>
      <w:rFonts w:ascii="仿宋_GB2312" w:eastAsia="仿宋_GB2312"/>
      <w:sz w:val="28"/>
      <w:lang w:val="zh-CN" w:eastAsia="zh-CN"/>
    </w:rPr>
  </w:style>
  <w:style w:type="character" w:customStyle="1" w:styleId="64">
    <w:name w:val="标题 5 Char"/>
    <w:basedOn w:val="40"/>
    <w:qFormat/>
    <w:uiPriority w:val="0"/>
    <w:rPr>
      <w:b/>
      <w:bCs/>
      <w:sz w:val="28"/>
      <w:szCs w:val="28"/>
    </w:rPr>
  </w:style>
  <w:style w:type="character" w:customStyle="1" w:styleId="65">
    <w:name w:val="文档结构图 Char"/>
    <w:link w:val="9"/>
    <w:semiHidden/>
    <w:qFormat/>
    <w:uiPriority w:val="0"/>
    <w:rPr>
      <w:sz w:val="24"/>
      <w:shd w:val="clear" w:color="auto" w:fill="000080"/>
    </w:rPr>
  </w:style>
  <w:style w:type="character" w:customStyle="1" w:styleId="66">
    <w:name w:val="文档结构图 Char1"/>
    <w:basedOn w:val="40"/>
    <w:semiHidden/>
    <w:qFormat/>
    <w:uiPriority w:val="99"/>
    <w:rPr>
      <w:rFonts w:ascii="宋体"/>
      <w:sz w:val="18"/>
      <w:szCs w:val="18"/>
    </w:rPr>
  </w:style>
  <w:style w:type="character" w:customStyle="1" w:styleId="67">
    <w:name w:val="正文文本缩进 Char"/>
    <w:basedOn w:val="40"/>
    <w:link w:val="13"/>
    <w:qFormat/>
    <w:uiPriority w:val="0"/>
    <w:rPr>
      <w:rFonts w:ascii="楷体_GB2312" w:eastAsia="楷体_GB2312"/>
      <w:sz w:val="28"/>
      <w:lang w:val="zh-CN" w:eastAsia="zh-CN"/>
    </w:rPr>
  </w:style>
  <w:style w:type="character" w:customStyle="1" w:styleId="68">
    <w:name w:val="正文文本缩进 2 Char"/>
    <w:basedOn w:val="40"/>
    <w:link w:val="19"/>
    <w:qFormat/>
    <w:uiPriority w:val="0"/>
    <w:rPr>
      <w:rFonts w:ascii="楷体_GB2312" w:eastAsia="楷体_GB2312"/>
      <w:sz w:val="28"/>
      <w:lang w:val="zh-CN" w:eastAsia="zh-CN"/>
    </w:rPr>
  </w:style>
  <w:style w:type="character" w:customStyle="1" w:styleId="69">
    <w:name w:val="正文文本缩进 3 Char"/>
    <w:basedOn w:val="40"/>
    <w:link w:val="27"/>
    <w:qFormat/>
    <w:uiPriority w:val="0"/>
    <w:rPr>
      <w:rFonts w:ascii="楷体_GB2312" w:eastAsia="楷体_GB2312"/>
      <w:sz w:val="28"/>
      <w:lang w:val="zh-CN" w:eastAsia="zh-CN"/>
    </w:rPr>
  </w:style>
  <w:style w:type="character" w:customStyle="1" w:styleId="70">
    <w:name w:val="正文文本 Char"/>
    <w:basedOn w:val="40"/>
    <w:link w:val="12"/>
    <w:qFormat/>
    <w:uiPriority w:val="0"/>
    <w:rPr>
      <w:rFonts w:eastAsia="隶书"/>
      <w:sz w:val="52"/>
      <w:lang w:val="zh-CN" w:eastAsia="zh-CN"/>
    </w:rPr>
  </w:style>
  <w:style w:type="character" w:customStyle="1" w:styleId="71">
    <w:name w:val="正文文本 2 Char"/>
    <w:basedOn w:val="40"/>
    <w:link w:val="30"/>
    <w:qFormat/>
    <w:uiPriority w:val="0"/>
    <w:rPr>
      <w:rFonts w:eastAsia="仿宋_GB2312"/>
      <w:sz w:val="28"/>
      <w:lang w:val="zh-CN" w:eastAsia="zh-CN"/>
    </w:rPr>
  </w:style>
  <w:style w:type="character" w:customStyle="1" w:styleId="72">
    <w:name w:val="正文首行缩进 Char"/>
    <w:basedOn w:val="70"/>
    <w:link w:val="34"/>
    <w:qFormat/>
    <w:uiPriority w:val="99"/>
    <w:rPr>
      <w:rFonts w:eastAsia="隶书"/>
      <w:sz w:val="52"/>
      <w:lang w:val="zh-CN" w:eastAsia="zh-CN"/>
    </w:rPr>
  </w:style>
  <w:style w:type="character" w:customStyle="1" w:styleId="73">
    <w:name w:val="text1"/>
    <w:qFormat/>
    <w:uiPriority w:val="0"/>
    <w:rPr>
      <w:spacing w:val="10"/>
      <w:sz w:val="28"/>
      <w:szCs w:val="28"/>
    </w:rPr>
  </w:style>
  <w:style w:type="character" w:customStyle="1" w:styleId="74">
    <w:name w:val="unnamed11"/>
    <w:uiPriority w:val="0"/>
    <w:rPr>
      <w:rFonts w:hint="eastAsia" w:ascii="宋体" w:hAnsi="宋体" w:eastAsia="宋体"/>
      <w:color w:val="000000"/>
      <w:sz w:val="18"/>
      <w:szCs w:val="18"/>
      <w:u w:val="none"/>
    </w:rPr>
  </w:style>
  <w:style w:type="paragraph" w:customStyle="1" w:styleId="75">
    <w:name w:val="xl30"/>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sz w:val="20"/>
      <w:szCs w:val="20"/>
    </w:rPr>
  </w:style>
  <w:style w:type="paragraph" w:customStyle="1" w:styleId="76">
    <w:name w:val="xl33"/>
    <w:basedOn w:val="1"/>
    <w:qFormat/>
    <w:uiPriority w:val="0"/>
    <w:pPr>
      <w:pBdr>
        <w:top w:val="single" w:color="auto" w:sz="4" w:space="0"/>
        <w:bottom w:val="single" w:color="auto" w:sz="4" w:space="0"/>
      </w:pBdr>
      <w:spacing w:before="100" w:beforeAutospacing="1" w:after="100" w:afterAutospacing="1"/>
      <w:jc w:val="center"/>
      <w:textAlignment w:val="center"/>
    </w:pPr>
    <w:rPr>
      <w:rFonts w:ascii="Arial Unicode MS" w:hAnsi="Arial Unicode MS"/>
      <w:b/>
      <w:bCs/>
    </w:rPr>
  </w:style>
  <w:style w:type="paragraph" w:customStyle="1" w:styleId="77">
    <w:name w:val="font5"/>
    <w:basedOn w:val="1"/>
    <w:qFormat/>
    <w:uiPriority w:val="0"/>
    <w:pPr>
      <w:spacing w:before="100" w:beforeAutospacing="1" w:after="100" w:afterAutospacing="1"/>
    </w:pPr>
    <w:rPr>
      <w:rFonts w:hint="eastAsia" w:ascii="宋体" w:hAnsi="宋体"/>
      <w:sz w:val="18"/>
      <w:szCs w:val="18"/>
    </w:rPr>
  </w:style>
  <w:style w:type="paragraph" w:customStyle="1" w:styleId="78">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Arial Unicode MS"/>
    </w:rPr>
  </w:style>
  <w:style w:type="paragraph" w:customStyle="1" w:styleId="79">
    <w:name w:val="Char Char1 Char"/>
    <w:basedOn w:val="1"/>
    <w:uiPriority w:val="0"/>
    <w:pPr>
      <w:widowControl w:val="0"/>
      <w:spacing w:before="20" w:after="20"/>
      <w:jc w:val="both"/>
    </w:pPr>
    <w:rPr>
      <w:rFonts w:ascii="宋体" w:hAnsi="宋体" w:cs="Courier New"/>
      <w:kern w:val="2"/>
      <w:sz w:val="32"/>
      <w:szCs w:val="32"/>
    </w:rPr>
  </w:style>
  <w:style w:type="character" w:customStyle="1" w:styleId="80">
    <w:name w:val="t12h291"/>
    <w:uiPriority w:val="0"/>
    <w:rPr>
      <w:color w:val="000000"/>
      <w:sz w:val="24"/>
      <w:szCs w:val="24"/>
    </w:rPr>
  </w:style>
  <w:style w:type="paragraph" w:styleId="81">
    <w:name w:val="No Spacing"/>
    <w:link w:val="82"/>
    <w:qFormat/>
    <w:uiPriority w:val="1"/>
    <w:pPr>
      <w:spacing w:before="20" w:after="20" w:line="400" w:lineRule="exact"/>
    </w:pPr>
    <w:rPr>
      <w:rFonts w:ascii="Calibri" w:hAnsi="Calibri" w:eastAsia="宋体" w:cs="Times New Roman"/>
      <w:sz w:val="22"/>
      <w:szCs w:val="22"/>
      <w:lang w:val="en-US" w:eastAsia="zh-CN" w:bidi="ar-SA"/>
    </w:rPr>
  </w:style>
  <w:style w:type="character" w:customStyle="1" w:styleId="82">
    <w:name w:val="无间隔 Char"/>
    <w:link w:val="81"/>
    <w:uiPriority w:val="1"/>
    <w:rPr>
      <w:rFonts w:ascii="Calibri" w:hAnsi="Calibri"/>
      <w:sz w:val="22"/>
      <w:szCs w:val="22"/>
    </w:rPr>
  </w:style>
  <w:style w:type="character" w:customStyle="1" w:styleId="83">
    <w:name w:val="apple-style-span"/>
    <w:qFormat/>
    <w:uiPriority w:val="0"/>
  </w:style>
  <w:style w:type="character" w:customStyle="1" w:styleId="84">
    <w:name w:val="标题 5 Char3"/>
    <w:link w:val="6"/>
    <w:qFormat/>
    <w:uiPriority w:val="0"/>
    <w:rPr>
      <w:rFonts w:ascii="楷体_GB2312" w:eastAsia="楷体_GB2312"/>
      <w:color w:val="000000"/>
      <w:sz w:val="28"/>
      <w:szCs w:val="24"/>
    </w:rPr>
  </w:style>
  <w:style w:type="paragraph" w:customStyle="1" w:styleId="85">
    <w:name w:val="msonormal"/>
    <w:basedOn w:val="1"/>
    <w:uiPriority w:val="0"/>
    <w:pPr>
      <w:spacing w:before="100" w:beforeAutospacing="1" w:after="100" w:afterAutospacing="1"/>
    </w:pPr>
    <w:rPr>
      <w:rFonts w:ascii="宋体" w:hAnsi="宋体" w:cs="宋体"/>
    </w:rPr>
  </w:style>
  <w:style w:type="paragraph" w:customStyle="1" w:styleId="86">
    <w:name w:val="font6"/>
    <w:basedOn w:val="1"/>
    <w:uiPriority w:val="0"/>
    <w:pPr>
      <w:spacing w:before="100" w:beforeAutospacing="1" w:after="100" w:afterAutospacing="1"/>
    </w:pPr>
    <w:rPr>
      <w:rFonts w:ascii="宋体" w:hAnsi="宋体" w:cs="宋体"/>
      <w:sz w:val="18"/>
      <w:szCs w:val="18"/>
    </w:rPr>
  </w:style>
  <w:style w:type="paragraph" w:customStyle="1" w:styleId="87">
    <w:name w:val="font7"/>
    <w:basedOn w:val="1"/>
    <w:uiPriority w:val="0"/>
    <w:pPr>
      <w:spacing w:before="100" w:beforeAutospacing="1" w:after="100" w:afterAutospacing="1"/>
    </w:pPr>
    <w:rPr>
      <w:rFonts w:ascii="宋体" w:hAnsi="宋体" w:cs="宋体"/>
      <w:b/>
      <w:bCs/>
      <w:color w:val="000000"/>
    </w:rPr>
  </w:style>
  <w:style w:type="paragraph" w:customStyle="1" w:styleId="88">
    <w:name w:val="font8"/>
    <w:basedOn w:val="1"/>
    <w:qFormat/>
    <w:uiPriority w:val="0"/>
    <w:pPr>
      <w:spacing w:before="100" w:beforeAutospacing="1" w:after="100" w:afterAutospacing="1"/>
    </w:pPr>
    <w:rPr>
      <w:rFonts w:ascii="Arial" w:hAnsi="Arial" w:cs="Arial"/>
      <w:color w:val="000000"/>
      <w:sz w:val="20"/>
      <w:szCs w:val="20"/>
    </w:rPr>
  </w:style>
  <w:style w:type="paragraph" w:customStyle="1" w:styleId="89">
    <w:name w:val="font9"/>
    <w:basedOn w:val="1"/>
    <w:qFormat/>
    <w:uiPriority w:val="0"/>
    <w:pPr>
      <w:spacing w:before="100" w:beforeAutospacing="1" w:after="100" w:afterAutospacing="1"/>
    </w:pPr>
    <w:rPr>
      <w:rFonts w:ascii="宋体" w:hAnsi="宋体" w:cs="宋体"/>
      <w:color w:val="000000"/>
      <w:sz w:val="20"/>
      <w:szCs w:val="20"/>
    </w:rPr>
  </w:style>
  <w:style w:type="paragraph" w:customStyle="1" w:styleId="90">
    <w:name w:val="font10"/>
    <w:basedOn w:val="1"/>
    <w:qFormat/>
    <w:uiPriority w:val="0"/>
    <w:pPr>
      <w:spacing w:before="100" w:beforeAutospacing="1" w:after="100" w:afterAutospacing="1"/>
    </w:pPr>
    <w:rPr>
      <w:rFonts w:ascii="等线" w:hAnsi="等线" w:eastAsia="等线" w:cs="宋体"/>
      <w:sz w:val="18"/>
      <w:szCs w:val="18"/>
    </w:rPr>
  </w:style>
  <w:style w:type="paragraph" w:customStyle="1" w:styleId="91">
    <w:name w:val="xl83"/>
    <w:basedOn w:val="1"/>
    <w:qFormat/>
    <w:uiPriority w:val="0"/>
    <w:pPr>
      <w:spacing w:before="100" w:beforeAutospacing="1" w:after="100" w:afterAutospacing="1"/>
      <w:jc w:val="center"/>
    </w:pPr>
    <w:rPr>
      <w:rFonts w:ascii="Arial" w:hAnsi="Arial" w:cs="Arial"/>
      <w:color w:val="000000"/>
      <w:sz w:val="20"/>
      <w:szCs w:val="20"/>
    </w:rPr>
  </w:style>
  <w:style w:type="paragraph" w:customStyle="1" w:styleId="92">
    <w:name w:val="xl84"/>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93">
    <w:name w:val="xl85"/>
    <w:basedOn w:val="1"/>
    <w:qFormat/>
    <w:uiPriority w:val="0"/>
    <w:pPr>
      <w:spacing w:before="100" w:beforeAutospacing="1" w:after="100" w:afterAutospacing="1"/>
      <w:jc w:val="center"/>
    </w:pPr>
    <w:rPr>
      <w:rFonts w:ascii="Arial" w:hAnsi="Arial" w:cs="Arial"/>
      <w:color w:val="000000"/>
      <w:sz w:val="20"/>
      <w:szCs w:val="20"/>
    </w:rPr>
  </w:style>
  <w:style w:type="paragraph" w:customStyle="1" w:styleId="94">
    <w:name w:val="xl86"/>
    <w:basedOn w:val="1"/>
    <w:qFormat/>
    <w:uiPriority w:val="0"/>
    <w:pPr>
      <w:spacing w:before="100" w:beforeAutospacing="1" w:after="100" w:afterAutospacing="1"/>
    </w:pPr>
    <w:rPr>
      <w:rFonts w:ascii="Arial" w:hAnsi="Arial" w:cs="Arial"/>
      <w:color w:val="000000"/>
      <w:sz w:val="20"/>
      <w:szCs w:val="20"/>
    </w:rPr>
  </w:style>
  <w:style w:type="paragraph" w:customStyle="1" w:styleId="95">
    <w:name w:val="xl87"/>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96">
    <w:name w:val="xl88"/>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97">
    <w:name w:val="xl8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98">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FF0000"/>
      <w:sz w:val="20"/>
      <w:szCs w:val="20"/>
    </w:rPr>
  </w:style>
  <w:style w:type="paragraph" w:customStyle="1" w:styleId="99">
    <w:name w:val="xl91"/>
    <w:basedOn w:val="1"/>
    <w:qFormat/>
    <w:uiPriority w:val="0"/>
    <w:pPr>
      <w:spacing w:before="100" w:beforeAutospacing="1" w:after="100" w:afterAutospacing="1"/>
    </w:pPr>
    <w:rPr>
      <w:rFonts w:ascii="Arial" w:hAnsi="Arial" w:cs="Arial"/>
      <w:b/>
      <w:bCs/>
      <w:color w:val="FF0000"/>
      <w:sz w:val="20"/>
      <w:szCs w:val="20"/>
    </w:rPr>
  </w:style>
  <w:style w:type="paragraph" w:customStyle="1" w:styleId="100">
    <w:name w:val="xl92"/>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b/>
      <w:bCs/>
      <w:sz w:val="20"/>
      <w:szCs w:val="20"/>
    </w:rPr>
  </w:style>
  <w:style w:type="paragraph" w:customStyle="1" w:styleId="101">
    <w:name w:val="xl9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w:hAnsi="Arial" w:cs="Arial"/>
      <w:b/>
      <w:bCs/>
      <w:sz w:val="20"/>
      <w:szCs w:val="20"/>
    </w:rPr>
  </w:style>
  <w:style w:type="paragraph" w:customStyle="1" w:styleId="102">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sz w:val="18"/>
      <w:szCs w:val="18"/>
    </w:rPr>
  </w:style>
  <w:style w:type="paragraph" w:customStyle="1" w:styleId="103">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FF0000"/>
      <w:sz w:val="18"/>
      <w:szCs w:val="18"/>
    </w:rPr>
  </w:style>
  <w:style w:type="paragraph" w:customStyle="1" w:styleId="104">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sz w:val="18"/>
      <w:szCs w:val="18"/>
    </w:rPr>
  </w:style>
  <w:style w:type="paragraph" w:customStyle="1" w:styleId="105">
    <w:name w:val="xl9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FF0000"/>
      <w:sz w:val="18"/>
      <w:szCs w:val="18"/>
    </w:rPr>
  </w:style>
  <w:style w:type="paragraph" w:customStyle="1" w:styleId="106">
    <w:name w:val="xl98"/>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107">
    <w:name w:val="xl99"/>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paragraph" w:customStyle="1" w:styleId="108">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109">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110">
    <w:name w:val="xl102"/>
    <w:basedOn w:val="1"/>
    <w:qFormat/>
    <w:uiPriority w:val="0"/>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pPr>
    <w:rPr>
      <w:rFonts w:ascii="微软雅黑" w:hAnsi="微软雅黑" w:eastAsia="微软雅黑" w:cs="宋体"/>
      <w:color w:val="000000"/>
      <w:sz w:val="18"/>
      <w:szCs w:val="18"/>
    </w:rPr>
  </w:style>
  <w:style w:type="paragraph" w:customStyle="1" w:styleId="111">
    <w:name w:val="xl103"/>
    <w:basedOn w:val="1"/>
    <w:qFormat/>
    <w:uiPriority w:val="0"/>
    <w:pPr>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jc w:val="center"/>
    </w:pPr>
    <w:rPr>
      <w:rFonts w:ascii="微软雅黑" w:hAnsi="微软雅黑" w:eastAsia="微软雅黑" w:cs="宋体"/>
      <w:color w:val="000000"/>
      <w:sz w:val="18"/>
      <w:szCs w:val="18"/>
    </w:rPr>
  </w:style>
  <w:style w:type="paragraph" w:customStyle="1" w:styleId="112">
    <w:name w:val="xl10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8"/>
      <w:szCs w:val="18"/>
    </w:rPr>
  </w:style>
  <w:style w:type="paragraph" w:customStyle="1" w:styleId="113">
    <w:name w:val="xl105"/>
    <w:basedOn w:val="1"/>
    <w:qFormat/>
    <w:uiPriority w:val="0"/>
    <w:pPr>
      <w:pBdr>
        <w:top w:val="single" w:color="auto" w:sz="4" w:space="0"/>
        <w:left w:val="single" w:color="auto" w:sz="4" w:space="0"/>
        <w:bottom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character" w:customStyle="1" w:styleId="114">
    <w:name w:val="页脚 字符"/>
    <w:qFormat/>
    <w:uiPriority w:val="99"/>
    <w:rPr>
      <w:sz w:val="18"/>
    </w:rPr>
  </w:style>
  <w:style w:type="character" w:customStyle="1" w:styleId="115">
    <w:name w:val="页眉 字符"/>
    <w:qFormat/>
    <w:uiPriority w:val="99"/>
    <w:rPr>
      <w:sz w:val="18"/>
    </w:rPr>
  </w:style>
  <w:style w:type="character" w:customStyle="1" w:styleId="116">
    <w:name w:val="文档结构图 字符"/>
    <w:semiHidden/>
    <w:qFormat/>
    <w:uiPriority w:val="0"/>
    <w:rPr>
      <w:sz w:val="24"/>
      <w:shd w:val="clear" w:color="auto" w:fill="000080"/>
    </w:rPr>
  </w:style>
  <w:style w:type="character" w:customStyle="1" w:styleId="117">
    <w:name w:val="nr1"/>
    <w:qFormat/>
    <w:uiPriority w:val="0"/>
    <w:rPr>
      <w:rFonts w:hint="eastAsia" w:ascii="楷体_GB2312" w:eastAsia="楷体_GB2312"/>
      <w:color w:val="000000"/>
      <w:sz w:val="24"/>
      <w:szCs w:val="24"/>
    </w:rPr>
  </w:style>
  <w:style w:type="paragraph" w:customStyle="1" w:styleId="118">
    <w:name w:val="xl25"/>
    <w:basedOn w:val="1"/>
    <w:qFormat/>
    <w:uiPriority w:val="0"/>
    <w:pPr>
      <w:spacing w:before="100" w:beforeAutospacing="1" w:after="100" w:afterAutospacing="1"/>
      <w:jc w:val="center"/>
    </w:pPr>
    <w:rPr>
      <w:rFonts w:ascii="宋体" w:hAnsi="宋体"/>
    </w:rPr>
  </w:style>
  <w:style w:type="character" w:customStyle="1" w:styleId="119">
    <w:name w:val="中等深浅网格 2 字符"/>
    <w:uiPriority w:val="1"/>
    <w:rPr>
      <w:rFonts w:ascii="Calibri" w:hAnsi="Calibri"/>
      <w:sz w:val="22"/>
      <w:szCs w:val="22"/>
    </w:rPr>
  </w:style>
  <w:style w:type="paragraph" w:customStyle="1" w:styleId="120">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FF0000"/>
      <w:sz w:val="18"/>
      <w:szCs w:val="18"/>
    </w:rPr>
  </w:style>
  <w:style w:type="paragraph" w:customStyle="1" w:styleId="121">
    <w:name w:val="xl8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sz w:val="18"/>
      <w:szCs w:val="18"/>
    </w:rPr>
  </w:style>
  <w:style w:type="paragraph" w:customStyle="1" w:styleId="122">
    <w:name w:val="xl106"/>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8"/>
      <w:szCs w:val="18"/>
    </w:rPr>
  </w:style>
  <w:style w:type="paragraph" w:customStyle="1" w:styleId="123">
    <w:name w:val="xl107"/>
    <w:basedOn w:val="1"/>
    <w:qFormat/>
    <w:uiPriority w:val="0"/>
    <w:pPr>
      <w:pBdr>
        <w:top w:val="single" w:color="auto" w:sz="4" w:space="0"/>
        <w:left w:val="single" w:color="auto" w:sz="4" w:space="0"/>
        <w:bottom w:val="single" w:color="auto" w:sz="4" w:space="0"/>
      </w:pBdr>
      <w:shd w:val="clear" w:color="000000" w:fill="FF0000"/>
      <w:spacing w:before="100" w:beforeAutospacing="1" w:after="100" w:afterAutospacing="1"/>
      <w:jc w:val="center"/>
    </w:pPr>
    <w:rPr>
      <w:rFonts w:ascii="微软雅黑" w:hAnsi="微软雅黑" w:eastAsia="微软雅黑" w:cs="宋体"/>
      <w:color w:val="FFFFFF"/>
      <w:sz w:val="18"/>
      <w:szCs w:val="18"/>
    </w:rPr>
  </w:style>
  <w:style w:type="paragraph" w:customStyle="1" w:styleId="124">
    <w:name w:val="xl108"/>
    <w:basedOn w:val="1"/>
    <w:qFormat/>
    <w:uiPriority w:val="0"/>
    <w:pPr>
      <w:pBdr>
        <w:top w:val="single" w:color="auto" w:sz="4" w:space="0"/>
        <w:left w:val="single" w:color="auto" w:sz="4" w:space="0"/>
        <w:bottom w:val="single" w:color="auto" w:sz="4" w:space="0"/>
      </w:pBdr>
      <w:shd w:val="clear" w:color="000000" w:fill="E26B0A"/>
      <w:spacing w:before="100" w:beforeAutospacing="1" w:after="100" w:afterAutospacing="1"/>
      <w:jc w:val="center"/>
    </w:pPr>
    <w:rPr>
      <w:rFonts w:ascii="宋体" w:hAnsi="宋体" w:cs="宋体"/>
      <w:sz w:val="18"/>
      <w:szCs w:val="18"/>
    </w:rPr>
  </w:style>
  <w:style w:type="paragraph" w:customStyle="1" w:styleId="125">
    <w:name w:val="xl109"/>
    <w:basedOn w:val="1"/>
    <w:qFormat/>
    <w:uiPriority w:val="0"/>
    <w:pPr>
      <w:pBdr>
        <w:top w:val="single" w:color="auto" w:sz="4" w:space="0"/>
        <w:left w:val="single" w:color="auto" w:sz="4" w:space="0"/>
        <w:bottom w:val="single" w:color="auto" w:sz="4" w:space="0"/>
      </w:pBdr>
      <w:shd w:val="clear" w:color="000000" w:fill="E26B0A"/>
      <w:spacing w:before="100" w:beforeAutospacing="1" w:after="100" w:afterAutospacing="1"/>
      <w:jc w:val="center"/>
    </w:pPr>
    <w:rPr>
      <w:rFonts w:ascii="微软雅黑" w:hAnsi="微软雅黑" w:eastAsia="微软雅黑" w:cs="宋体"/>
      <w:color w:val="FFFFFF"/>
      <w:sz w:val="18"/>
      <w:szCs w:val="18"/>
    </w:rPr>
  </w:style>
  <w:style w:type="character" w:customStyle="1" w:styleId="126">
    <w:name w:val="中等深浅网格 2 - 着色 1 字符"/>
    <w:uiPriority w:val="1"/>
    <w:rPr>
      <w:rFonts w:ascii="Calibri" w:hAnsi="Calibri"/>
      <w:sz w:val="22"/>
      <w:szCs w:val="22"/>
    </w:rPr>
  </w:style>
  <w:style w:type="paragraph" w:customStyle="1" w:styleId="127">
    <w:name w:val="_Style 114"/>
    <w:unhideWhenUsed/>
    <w:qFormat/>
    <w:uiPriority w:val="1"/>
    <w:rPr>
      <w:rFonts w:ascii="Calibri" w:hAnsi="Calibri" w:eastAsia="宋体" w:cs="Calibri"/>
      <w:sz w:val="22"/>
      <w:szCs w:val="22"/>
      <w:lang w:val="en-US" w:eastAsia="zh-CN" w:bidi="ar-SA"/>
    </w:rPr>
  </w:style>
  <w:style w:type="character" w:customStyle="1" w:styleId="128">
    <w:name w:val="标题 1 字符"/>
    <w:qFormat/>
    <w:uiPriority w:val="0"/>
    <w:rPr>
      <w:rFonts w:ascii="Arial" w:hAnsi="Arial" w:eastAsia="仿宋_GB2312"/>
      <w:b/>
      <w:sz w:val="28"/>
      <w:lang w:val="zh-CN" w:eastAsia="zh-CN"/>
    </w:rPr>
  </w:style>
  <w:style w:type="character" w:customStyle="1" w:styleId="129">
    <w:name w:val="标题 2 字符"/>
    <w:semiHidden/>
    <w:uiPriority w:val="0"/>
    <w:rPr>
      <w:rFonts w:ascii="Arial" w:hAnsi="Arial" w:eastAsia="仿宋_GB2312"/>
      <w:b/>
      <w:bCs/>
      <w:sz w:val="28"/>
      <w:lang w:val="zh-CN" w:eastAsia="zh-CN"/>
    </w:rPr>
  </w:style>
  <w:style w:type="character" w:customStyle="1" w:styleId="130">
    <w:name w:val="标题 3 字符"/>
    <w:semiHidden/>
    <w:qFormat/>
    <w:uiPriority w:val="0"/>
    <w:rPr>
      <w:rFonts w:ascii="仿宋_GB2312" w:hAnsi="Arial" w:eastAsia="仿宋_GB2312" w:cs="宋体"/>
      <w:sz w:val="28"/>
      <w:lang w:val="zh-CN" w:eastAsia="zh-CN"/>
    </w:rPr>
  </w:style>
  <w:style w:type="character" w:customStyle="1" w:styleId="131">
    <w:name w:val="标题 4 字符"/>
    <w:semiHidden/>
    <w:uiPriority w:val="0"/>
    <w:rPr>
      <w:rFonts w:ascii="仿宋_GB2312" w:hAnsi="Times New Roman" w:eastAsia="仿宋_GB2312" w:cs="宋体"/>
      <w:sz w:val="28"/>
      <w:lang w:val="zh-CN" w:eastAsia="zh-CN"/>
    </w:rPr>
  </w:style>
  <w:style w:type="character" w:customStyle="1" w:styleId="132">
    <w:name w:val="标题 2 字符1"/>
    <w:semiHidden/>
    <w:qFormat/>
    <w:uiPriority w:val="0"/>
    <w:rPr>
      <w:rFonts w:ascii="等线 Light" w:hAnsi="等线 Light" w:eastAsia="等线 Light" w:cs="Times New Roman"/>
      <w:b/>
      <w:bCs/>
      <w:sz w:val="32"/>
      <w:szCs w:val="32"/>
    </w:rPr>
  </w:style>
  <w:style w:type="character" w:customStyle="1" w:styleId="133">
    <w:name w:val="HTML 预设格式 Char"/>
    <w:basedOn w:val="40"/>
    <w:qFormat/>
    <w:uiPriority w:val="99"/>
    <w:rPr>
      <w:rFonts w:ascii="Courier New" w:hAnsi="Courier New" w:cs="Courier New"/>
    </w:rPr>
  </w:style>
  <w:style w:type="character" w:customStyle="1" w:styleId="134">
    <w:name w:val="HTML 预设格式 Char3"/>
    <w:link w:val="31"/>
    <w:semiHidden/>
    <w:uiPriority w:val="99"/>
    <w:rPr>
      <w:rFonts w:ascii="宋体" w:hAnsi="宋体"/>
      <w:sz w:val="24"/>
      <w:szCs w:val="24"/>
    </w:rPr>
  </w:style>
  <w:style w:type="character" w:customStyle="1" w:styleId="135">
    <w:name w:val="脚注文本 Char"/>
    <w:basedOn w:val="40"/>
    <w:semiHidden/>
    <w:uiPriority w:val="0"/>
    <w:rPr>
      <w:sz w:val="18"/>
      <w:szCs w:val="18"/>
    </w:rPr>
  </w:style>
  <w:style w:type="character" w:customStyle="1" w:styleId="136">
    <w:name w:val="脚注文本 Char3"/>
    <w:link w:val="25"/>
    <w:semiHidden/>
    <w:qFormat/>
    <w:uiPriority w:val="99"/>
    <w:rPr>
      <w:rFonts w:ascii="Calibri" w:hAnsi="Calibri"/>
      <w:kern w:val="2"/>
      <w:sz w:val="18"/>
      <w:szCs w:val="18"/>
    </w:rPr>
  </w:style>
  <w:style w:type="character" w:customStyle="1" w:styleId="137">
    <w:name w:val="批注文字 字符"/>
    <w:semiHidden/>
    <w:uiPriority w:val="0"/>
    <w:rPr>
      <w:rFonts w:ascii="Times New Roman" w:hAnsi="Times New Roman"/>
      <w:sz w:val="24"/>
    </w:rPr>
  </w:style>
  <w:style w:type="character" w:customStyle="1" w:styleId="138">
    <w:name w:val="正文文本 字符"/>
    <w:semiHidden/>
    <w:qFormat/>
    <w:uiPriority w:val="0"/>
    <w:rPr>
      <w:rFonts w:ascii="Times New Roman" w:hAnsi="Times New Roman" w:eastAsia="隶书"/>
      <w:sz w:val="52"/>
      <w:lang w:val="zh-CN" w:eastAsia="zh-CN"/>
    </w:rPr>
  </w:style>
  <w:style w:type="character" w:customStyle="1" w:styleId="139">
    <w:name w:val="正文文本缩进 字符"/>
    <w:semiHidden/>
    <w:qFormat/>
    <w:uiPriority w:val="0"/>
    <w:rPr>
      <w:rFonts w:ascii="楷体_GB2312" w:hAnsi="Times New Roman" w:eastAsia="楷体_GB2312"/>
      <w:sz w:val="28"/>
      <w:lang w:val="zh-CN" w:eastAsia="zh-CN"/>
    </w:rPr>
  </w:style>
  <w:style w:type="character" w:customStyle="1" w:styleId="140">
    <w:name w:val="日期 字符"/>
    <w:semiHidden/>
    <w:qFormat/>
    <w:uiPriority w:val="0"/>
    <w:rPr>
      <w:rFonts w:ascii="楷体_GB2312" w:hAnsi="Times New Roman" w:eastAsia="楷体_GB2312"/>
      <w:b/>
      <w:sz w:val="28"/>
      <w:lang w:val="zh-CN" w:eastAsia="zh-CN"/>
    </w:rPr>
  </w:style>
  <w:style w:type="character" w:customStyle="1" w:styleId="141">
    <w:name w:val="正文文本首行缩进 字符"/>
    <w:semiHidden/>
    <w:uiPriority w:val="99"/>
  </w:style>
  <w:style w:type="character" w:customStyle="1" w:styleId="142">
    <w:name w:val="正文文本 2 字符"/>
    <w:semiHidden/>
    <w:qFormat/>
    <w:uiPriority w:val="0"/>
    <w:rPr>
      <w:rFonts w:ascii="Times New Roman" w:hAnsi="Times New Roman" w:eastAsia="仿宋_GB2312"/>
      <w:sz w:val="28"/>
      <w:lang w:val="zh-CN" w:eastAsia="zh-CN"/>
    </w:rPr>
  </w:style>
  <w:style w:type="character" w:customStyle="1" w:styleId="143">
    <w:name w:val="正文文本 3 Char"/>
    <w:basedOn w:val="40"/>
    <w:qFormat/>
    <w:uiPriority w:val="0"/>
    <w:rPr>
      <w:sz w:val="16"/>
      <w:szCs w:val="16"/>
    </w:rPr>
  </w:style>
  <w:style w:type="character" w:customStyle="1" w:styleId="144">
    <w:name w:val="正文文本 3 Char3"/>
    <w:link w:val="11"/>
    <w:semiHidden/>
    <w:qFormat/>
    <w:uiPriority w:val="99"/>
    <w:rPr>
      <w:rFonts w:ascii="楷体_GB2312" w:hAnsi="Arial" w:eastAsia="楷体_GB2312"/>
      <w:sz w:val="32"/>
    </w:rPr>
  </w:style>
  <w:style w:type="character" w:customStyle="1" w:styleId="145">
    <w:name w:val="正文文本缩进 2 字符"/>
    <w:semiHidden/>
    <w:qFormat/>
    <w:uiPriority w:val="0"/>
    <w:rPr>
      <w:rFonts w:ascii="楷体_GB2312" w:hAnsi="Times New Roman" w:eastAsia="楷体_GB2312"/>
      <w:sz w:val="28"/>
      <w:lang w:val="zh-CN" w:eastAsia="zh-CN"/>
    </w:rPr>
  </w:style>
  <w:style w:type="character" w:customStyle="1" w:styleId="146">
    <w:name w:val="正文文本缩进 3 字符"/>
    <w:semiHidden/>
    <w:qFormat/>
    <w:uiPriority w:val="0"/>
    <w:rPr>
      <w:rFonts w:ascii="楷体_GB2312" w:hAnsi="Times New Roman" w:eastAsia="楷体_GB2312"/>
      <w:sz w:val="28"/>
      <w:lang w:val="zh-CN" w:eastAsia="zh-CN"/>
    </w:rPr>
  </w:style>
  <w:style w:type="character" w:customStyle="1" w:styleId="147">
    <w:name w:val="纯文本 字符"/>
    <w:semiHidden/>
    <w:locked/>
    <w:uiPriority w:val="0"/>
    <w:rPr>
      <w:rFonts w:ascii="宋体" w:hAnsi="Courier New"/>
      <w:lang w:val="zh-CN" w:eastAsia="zh-CN"/>
    </w:rPr>
  </w:style>
  <w:style w:type="character" w:customStyle="1" w:styleId="148">
    <w:name w:val="纯文本 字符1"/>
    <w:semiHidden/>
    <w:qFormat/>
    <w:uiPriority w:val="0"/>
    <w:rPr>
      <w:rFonts w:ascii="等线" w:hAnsi="Courier New" w:eastAsia="等线" w:cs="Courier New"/>
      <w:sz w:val="24"/>
    </w:rPr>
  </w:style>
  <w:style w:type="character" w:customStyle="1" w:styleId="149">
    <w:name w:val="批注主题 字符"/>
    <w:semiHidden/>
    <w:qFormat/>
    <w:uiPriority w:val="0"/>
    <w:rPr>
      <w:rFonts w:ascii="Times New Roman" w:hAnsi="Times New Roman"/>
      <w:b/>
      <w:bCs/>
      <w:sz w:val="24"/>
    </w:rPr>
  </w:style>
  <w:style w:type="character" w:customStyle="1" w:styleId="150">
    <w:name w:val="批注框文本 字符"/>
    <w:semiHidden/>
    <w:qFormat/>
    <w:uiPriority w:val="0"/>
    <w:rPr>
      <w:rFonts w:ascii="Times New Roman" w:hAnsi="Times New Roman"/>
      <w:sz w:val="18"/>
      <w:szCs w:val="18"/>
    </w:rPr>
  </w:style>
  <w:style w:type="character" w:customStyle="1" w:styleId="151">
    <w:name w:val="中等深浅网格 2 Char"/>
    <w:link w:val="152"/>
    <w:qFormat/>
    <w:locked/>
    <w:uiPriority w:val="1"/>
    <w:rPr>
      <w:sz w:val="22"/>
      <w:szCs w:val="22"/>
    </w:rPr>
  </w:style>
  <w:style w:type="paragraph" w:customStyle="1" w:styleId="152">
    <w:name w:val="中等深浅网格 21"/>
    <w:link w:val="151"/>
    <w:qFormat/>
    <w:uiPriority w:val="1"/>
    <w:rPr>
      <w:rFonts w:ascii="Times New Roman" w:hAnsi="Times New Roman" w:eastAsia="宋体" w:cs="Times New Roman"/>
      <w:sz w:val="22"/>
      <w:szCs w:val="22"/>
      <w:lang w:val="en-US" w:eastAsia="zh-CN" w:bidi="ar-SA"/>
    </w:rPr>
  </w:style>
  <w:style w:type="character" w:customStyle="1" w:styleId="153">
    <w:name w:val="彩色网格 - 强调文字颜色 1 Char"/>
    <w:link w:val="154"/>
    <w:qFormat/>
    <w:locked/>
    <w:uiPriority w:val="29"/>
    <w:rPr>
      <w:i/>
      <w:iCs/>
      <w:color w:val="000000"/>
      <w:sz w:val="24"/>
    </w:rPr>
  </w:style>
  <w:style w:type="paragraph" w:customStyle="1" w:styleId="154">
    <w:name w:val="彩色网格 - 强调文字颜色 11"/>
    <w:basedOn w:val="1"/>
    <w:next w:val="1"/>
    <w:link w:val="153"/>
    <w:qFormat/>
    <w:uiPriority w:val="29"/>
    <w:pPr>
      <w:widowControl w:val="0"/>
      <w:adjustRightInd w:val="0"/>
      <w:spacing w:line="360" w:lineRule="atLeast"/>
    </w:pPr>
    <w:rPr>
      <w:i/>
      <w:iCs/>
      <w:color w:val="000000"/>
      <w:szCs w:val="20"/>
    </w:rPr>
  </w:style>
  <w:style w:type="paragraph" w:customStyle="1" w:styleId="155">
    <w:name w:val="样式7"/>
    <w:basedOn w:val="1"/>
    <w:uiPriority w:val="0"/>
    <w:pPr>
      <w:widowControl w:val="0"/>
      <w:spacing w:line="360" w:lineRule="auto"/>
      <w:ind w:firstLine="567"/>
      <w:jc w:val="both"/>
    </w:pPr>
    <w:rPr>
      <w:rFonts w:ascii="仿宋_GB2312" w:eastAsia="仿宋_GB2312"/>
      <w:kern w:val="2"/>
      <w:sz w:val="28"/>
      <w:szCs w:val="20"/>
    </w:rPr>
  </w:style>
  <w:style w:type="paragraph" w:customStyle="1" w:styleId="156">
    <w:name w:val="Char"/>
    <w:basedOn w:val="1"/>
    <w:uiPriority w:val="0"/>
    <w:pPr>
      <w:widowControl w:val="0"/>
      <w:jc w:val="both"/>
    </w:pPr>
    <w:rPr>
      <w:rFonts w:ascii="宋体" w:hAnsi="宋体" w:cs="Courier New"/>
      <w:kern w:val="2"/>
      <w:sz w:val="32"/>
      <w:szCs w:val="32"/>
    </w:rPr>
  </w:style>
  <w:style w:type="paragraph" w:customStyle="1" w:styleId="157">
    <w:name w:val="彩色列表 - 强调文字颜色 11"/>
    <w:basedOn w:val="1"/>
    <w:qFormat/>
    <w:uiPriority w:val="34"/>
    <w:pPr>
      <w:widowControl w:val="0"/>
      <w:adjustRightInd w:val="0"/>
      <w:spacing w:line="360" w:lineRule="atLeast"/>
      <w:ind w:firstLine="420" w:firstLineChars="200"/>
    </w:pPr>
    <w:rPr>
      <w:szCs w:val="20"/>
    </w:rPr>
  </w:style>
  <w:style w:type="paragraph" w:customStyle="1" w:styleId="158">
    <w:name w:val="pic-info"/>
    <w:basedOn w:val="1"/>
    <w:qFormat/>
    <w:uiPriority w:val="0"/>
    <w:pPr>
      <w:spacing w:before="100" w:beforeAutospacing="1" w:after="100" w:afterAutospacing="1"/>
    </w:pPr>
    <w:rPr>
      <w:rFonts w:ascii="宋体" w:hAnsi="宋体" w:cs="宋体"/>
    </w:rPr>
  </w:style>
  <w:style w:type="paragraph" w:customStyle="1" w:styleId="159">
    <w:name w:val="内容"/>
    <w:basedOn w:val="1"/>
    <w:qFormat/>
    <w:uiPriority w:val="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60">
    <w:name w:val="12"/>
    <w:basedOn w:val="19"/>
    <w:qFormat/>
    <w:uiPriority w:val="0"/>
    <w:pPr>
      <w:adjustRightInd/>
      <w:spacing w:after="0"/>
      <w:ind w:left="0" w:firstLine="0"/>
      <w:jc w:val="center"/>
      <w:textAlignment w:val="auto"/>
    </w:pPr>
    <w:rPr>
      <w:rFonts w:ascii="Times New Roman" w:eastAsia="黑体"/>
      <w:kern w:val="2"/>
      <w:sz w:val="48"/>
      <w:lang w:val="en-US" w:eastAsia="zh-CN"/>
    </w:rPr>
  </w:style>
  <w:style w:type="paragraph" w:customStyle="1" w:styleId="161">
    <w:name w:val="样式2"/>
    <w:basedOn w:val="1"/>
    <w:qFormat/>
    <w:uiPriority w:val="0"/>
    <w:pPr>
      <w:widowControl w:val="0"/>
      <w:autoSpaceDE w:val="0"/>
      <w:autoSpaceDN w:val="0"/>
      <w:adjustRightInd w:val="0"/>
      <w:jc w:val="center"/>
    </w:pPr>
    <w:rPr>
      <w:rFonts w:ascii="长城粗隶书" w:eastAsia="长城粗隶书"/>
      <w:b/>
      <w:spacing w:val="20"/>
      <w:sz w:val="52"/>
      <w:szCs w:val="20"/>
    </w:rPr>
  </w:style>
  <w:style w:type="paragraph" w:customStyle="1" w:styleId="162">
    <w:name w:val="xl513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3">
    <w:name w:val="xl513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64">
    <w:name w:val="xl513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65">
    <w:name w:val="xl51396"/>
    <w:basedOn w:val="1"/>
    <w:qFormat/>
    <w:uiPriority w:val="0"/>
    <w:pPr>
      <w:spacing w:before="100" w:beforeAutospacing="1" w:after="100" w:afterAutospacing="1"/>
    </w:pPr>
    <w:rPr>
      <w:rFonts w:ascii="宋体" w:hAnsi="宋体" w:cs="宋体"/>
      <w:sz w:val="20"/>
      <w:szCs w:val="20"/>
    </w:rPr>
  </w:style>
  <w:style w:type="paragraph" w:customStyle="1" w:styleId="166">
    <w:name w:val="xl513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67">
    <w:name w:val="xl513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8">
    <w:name w:val="xl513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9">
    <w:name w:val="xl514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70">
    <w:name w:val="xl514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71">
    <w:name w:val="xl514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character" w:customStyle="1" w:styleId="172">
    <w:name w:val="页眉 字符1"/>
    <w:semiHidden/>
    <w:qFormat/>
    <w:locked/>
    <w:uiPriority w:val="99"/>
    <w:rPr>
      <w:rFonts w:ascii="Times New Roman" w:hAnsi="Times New Roman"/>
      <w:sz w:val="18"/>
      <w:szCs w:val="18"/>
      <w:lang w:val="zh-CN" w:eastAsia="zh-CN"/>
    </w:rPr>
  </w:style>
  <w:style w:type="character" w:customStyle="1" w:styleId="173">
    <w:name w:val="页脚 字符1"/>
    <w:semiHidden/>
    <w:qFormat/>
    <w:locked/>
    <w:uiPriority w:val="99"/>
    <w:rPr>
      <w:sz w:val="18"/>
      <w:szCs w:val="18"/>
      <w:lang w:val="zh-CN" w:eastAsia="zh-CN"/>
    </w:rPr>
  </w:style>
  <w:style w:type="character" w:customStyle="1" w:styleId="174">
    <w:name w:val="文档结构图 字符1"/>
    <w:semiHidden/>
    <w:qFormat/>
    <w:locked/>
    <w:uiPriority w:val="0"/>
    <w:rPr>
      <w:rFonts w:hint="default" w:ascii="Times New Roman" w:hAnsi="Times New Roman" w:cs="Times New Roman"/>
      <w:sz w:val="24"/>
      <w:shd w:val="clear" w:color="auto" w:fill="000080"/>
    </w:rPr>
  </w:style>
  <w:style w:type="character" w:customStyle="1" w:styleId="175">
    <w:name w:val="批注框文本 字符1"/>
    <w:semiHidden/>
    <w:qFormat/>
    <w:uiPriority w:val="0"/>
    <w:rPr>
      <w:rFonts w:hint="default" w:ascii="Times New Roman" w:hAnsi="Times New Roman" w:cs="Times New Roman"/>
      <w:sz w:val="18"/>
      <w:szCs w:val="18"/>
    </w:rPr>
  </w:style>
  <w:style w:type="character" w:customStyle="1" w:styleId="176">
    <w:name w:val="批注文字 字符1"/>
    <w:semiHidden/>
    <w:qFormat/>
    <w:uiPriority w:val="0"/>
    <w:rPr>
      <w:rFonts w:hint="default" w:ascii="Times New Roman" w:hAnsi="Times New Roman" w:cs="Times New Roman"/>
      <w:sz w:val="24"/>
    </w:rPr>
  </w:style>
  <w:style w:type="character" w:customStyle="1" w:styleId="177">
    <w:name w:val="批注主题 字符1"/>
    <w:semiHidden/>
    <w:qFormat/>
    <w:uiPriority w:val="0"/>
    <w:rPr>
      <w:rFonts w:hint="default" w:ascii="Times New Roman" w:hAnsi="Times New Roman" w:cs="Times New Roman"/>
      <w:b/>
      <w:bCs/>
      <w:sz w:val="24"/>
    </w:rPr>
  </w:style>
  <w:style w:type="character" w:customStyle="1" w:styleId="178">
    <w:name w:val="中等深浅网格 2 字符1"/>
    <w:semiHidden/>
    <w:qFormat/>
    <w:locked/>
    <w:uiPriority w:val="1"/>
    <w:rPr>
      <w:sz w:val="22"/>
      <w:szCs w:val="22"/>
      <w:lang w:val="en-US" w:eastAsia="zh-CN" w:bidi="ar-SA"/>
    </w:rPr>
  </w:style>
  <w:style w:type="character" w:customStyle="1" w:styleId="179">
    <w:name w:val="中等深浅底纹 1 - 着色 1 字符"/>
    <w:qFormat/>
    <w:uiPriority w:val="1"/>
    <w:rPr>
      <w:sz w:val="22"/>
      <w:szCs w:val="22"/>
    </w:rPr>
  </w:style>
  <w:style w:type="character" w:customStyle="1" w:styleId="180">
    <w:name w:val="标题 5 Char1"/>
    <w:qFormat/>
    <w:uiPriority w:val="0"/>
    <w:rPr>
      <w:rFonts w:hint="eastAsia" w:ascii="楷体_GB2312" w:hAnsi="Times New Roman" w:eastAsia="楷体_GB2312"/>
      <w:color w:val="000000"/>
      <w:sz w:val="28"/>
    </w:rPr>
  </w:style>
  <w:style w:type="character" w:customStyle="1" w:styleId="181">
    <w:name w:val="中等深浅底纹 1 - 强调文字颜色 1 Char"/>
    <w:qFormat/>
    <w:uiPriority w:val="1"/>
    <w:rPr>
      <w:sz w:val="22"/>
      <w:szCs w:val="22"/>
      <w:lang w:val="en-US" w:eastAsia="zh-CN" w:bidi="ar-SA"/>
    </w:rPr>
  </w:style>
  <w:style w:type="character" w:customStyle="1" w:styleId="182">
    <w:name w:val="Char Char12"/>
    <w:qFormat/>
    <w:uiPriority w:val="0"/>
    <w:rPr>
      <w:sz w:val="18"/>
    </w:rPr>
  </w:style>
  <w:style w:type="character" w:customStyle="1" w:styleId="183">
    <w:name w:val="showtreebodycontent1"/>
    <w:qFormat/>
    <w:uiPriority w:val="0"/>
    <w:rPr>
      <w:sz w:val="21"/>
      <w:szCs w:val="21"/>
    </w:rPr>
  </w:style>
  <w:style w:type="character" w:customStyle="1" w:styleId="184">
    <w:name w:val="正文文本 3字符1"/>
    <w:semiHidden/>
    <w:qFormat/>
    <w:uiPriority w:val="99"/>
    <w:rPr>
      <w:rFonts w:hint="default" w:ascii="Times New Roman" w:hAnsi="Times New Roman" w:cs="Times New Roman"/>
      <w:sz w:val="16"/>
      <w:szCs w:val="16"/>
    </w:rPr>
  </w:style>
  <w:style w:type="character" w:customStyle="1" w:styleId="185">
    <w:name w:val="脚注文本字符1"/>
    <w:semiHidden/>
    <w:uiPriority w:val="99"/>
    <w:rPr>
      <w:rFonts w:hint="default" w:ascii="Times New Roman" w:hAnsi="Times New Roman" w:cs="Times New Roman"/>
      <w:sz w:val="18"/>
      <w:szCs w:val="18"/>
    </w:rPr>
  </w:style>
  <w:style w:type="character" w:customStyle="1" w:styleId="186">
    <w:name w:val="duanluo"/>
    <w:qFormat/>
    <w:uiPriority w:val="0"/>
  </w:style>
  <w:style w:type="character" w:customStyle="1" w:styleId="187">
    <w:name w:val="Char Char5"/>
    <w:qFormat/>
    <w:uiPriority w:val="0"/>
    <w:rPr>
      <w:rFonts w:hint="default" w:ascii="Arial" w:hAnsi="Arial" w:eastAsia="仿宋_GB2312" w:cs="Arial"/>
      <w:sz w:val="28"/>
    </w:rPr>
  </w:style>
  <w:style w:type="character" w:customStyle="1" w:styleId="188">
    <w:name w:val="Char Char1"/>
    <w:locked/>
    <w:uiPriority w:val="0"/>
    <w:rPr>
      <w:rFonts w:hint="eastAsia" w:ascii="宋体" w:hAnsi="Courier New" w:eastAsia="宋体"/>
      <w:kern w:val="2"/>
      <w:sz w:val="21"/>
      <w:lang w:val="en-US" w:eastAsia="zh-CN" w:bidi="ar-SA"/>
    </w:rPr>
  </w:style>
  <w:style w:type="character" w:customStyle="1" w:styleId="189">
    <w:name w:val="Plain Text Char"/>
    <w:qFormat/>
    <w:locked/>
    <w:uiPriority w:val="0"/>
    <w:rPr>
      <w:rFonts w:hint="eastAsia" w:ascii="宋体" w:hAnsi="Courier New" w:eastAsia="宋体" w:cs="Times New Roman"/>
      <w:sz w:val="20"/>
      <w:szCs w:val="20"/>
    </w:rPr>
  </w:style>
  <w:style w:type="character" w:customStyle="1" w:styleId="190">
    <w:name w:val="HTML 预设格式字符1"/>
    <w:semiHidden/>
    <w:uiPriority w:val="99"/>
    <w:rPr>
      <w:rFonts w:hint="default" w:ascii="Courier" w:hAnsi="Courier"/>
    </w:rPr>
  </w:style>
  <w:style w:type="character" w:customStyle="1" w:styleId="191">
    <w:name w:val="oline"/>
    <w:qFormat/>
    <w:uiPriority w:val="0"/>
  </w:style>
  <w:style w:type="character" w:customStyle="1" w:styleId="192">
    <w:name w:val="HTML 预设格式 Char1"/>
    <w:semiHidden/>
    <w:qFormat/>
    <w:uiPriority w:val="99"/>
    <w:rPr>
      <w:rFonts w:hint="default" w:ascii="Courier New" w:hAnsi="Courier New" w:cs="Courier New"/>
    </w:rPr>
  </w:style>
  <w:style w:type="character" w:customStyle="1" w:styleId="193">
    <w:name w:val="正文文本 3 Char1"/>
    <w:semiHidden/>
    <w:qFormat/>
    <w:uiPriority w:val="99"/>
    <w:rPr>
      <w:sz w:val="16"/>
      <w:szCs w:val="16"/>
    </w:rPr>
  </w:style>
  <w:style w:type="character" w:customStyle="1" w:styleId="194">
    <w:name w:val="脚注文本 Char2"/>
    <w:semiHidden/>
    <w:qFormat/>
    <w:uiPriority w:val="99"/>
    <w:rPr>
      <w:sz w:val="18"/>
      <w:szCs w:val="18"/>
    </w:rPr>
  </w:style>
  <w:style w:type="character" w:customStyle="1" w:styleId="195">
    <w:name w:val="中等深浅底纹 1 - 强调文字颜色 1字符"/>
    <w:qFormat/>
    <w:uiPriority w:val="1"/>
    <w:rPr>
      <w:rFonts w:hint="default" w:ascii="Calibri" w:hAnsi="Calibri" w:cs="Calibri"/>
      <w:sz w:val="22"/>
      <w:szCs w:val="22"/>
    </w:rPr>
  </w:style>
  <w:style w:type="character" w:customStyle="1" w:styleId="196">
    <w:name w:val="HTML 预设格式 字符1"/>
    <w:semiHidden/>
    <w:qFormat/>
    <w:locked/>
    <w:uiPriority w:val="99"/>
    <w:rPr>
      <w:rFonts w:ascii="宋体" w:hAnsi="宋体"/>
      <w:sz w:val="24"/>
      <w:szCs w:val="24"/>
      <w:lang w:val="zh-CN" w:eastAsia="zh-CN"/>
    </w:rPr>
  </w:style>
  <w:style w:type="character" w:customStyle="1" w:styleId="197">
    <w:name w:val="脚注文本 字符1"/>
    <w:semiHidden/>
    <w:qFormat/>
    <w:locked/>
    <w:uiPriority w:val="99"/>
    <w:rPr>
      <w:rFonts w:ascii="Times New Roman" w:hAnsi="Times New Roman"/>
      <w:kern w:val="2"/>
      <w:sz w:val="18"/>
      <w:szCs w:val="18"/>
    </w:rPr>
  </w:style>
  <w:style w:type="character" w:customStyle="1" w:styleId="198">
    <w:name w:val="正文文本 3 字符1"/>
    <w:semiHidden/>
    <w:qFormat/>
    <w:locked/>
    <w:uiPriority w:val="99"/>
    <w:rPr>
      <w:rFonts w:ascii="楷体_GB2312" w:hAnsi="Arial" w:eastAsia="楷体_GB2312"/>
      <w:sz w:val="32"/>
    </w:rPr>
  </w:style>
  <w:style w:type="character" w:customStyle="1" w:styleId="199">
    <w:name w:val="fwzhdz"/>
    <w:qFormat/>
    <w:uiPriority w:val="0"/>
  </w:style>
  <w:style w:type="character" w:customStyle="1" w:styleId="200">
    <w:name w:val="fwzhnf"/>
    <w:qFormat/>
    <w:uiPriority w:val="0"/>
  </w:style>
  <w:style w:type="character" w:customStyle="1" w:styleId="201">
    <w:name w:val="fwzhxh"/>
    <w:qFormat/>
    <w:uiPriority w:val="0"/>
  </w:style>
  <w:style w:type="paragraph" w:customStyle="1" w:styleId="202">
    <w:name w:val="xl80"/>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Arial" w:hAnsi="Arial" w:cs="Arial"/>
      <w:color w:val="000000"/>
      <w:sz w:val="20"/>
      <w:szCs w:val="20"/>
    </w:rPr>
  </w:style>
  <w:style w:type="character" w:customStyle="1" w:styleId="203">
    <w:name w:val="bjh-p"/>
    <w:qFormat/>
    <w:uiPriority w:val="0"/>
  </w:style>
  <w:style w:type="character" w:customStyle="1" w:styleId="204">
    <w:name w:val="标题 2 Char2"/>
    <w:semiHidden/>
    <w:qFormat/>
    <w:uiPriority w:val="0"/>
    <w:rPr>
      <w:rFonts w:ascii="Calibri Light" w:hAnsi="Calibri Light" w:eastAsia="宋体" w:cs="Times New Roman"/>
      <w:b/>
      <w:bCs/>
      <w:sz w:val="32"/>
      <w:szCs w:val="32"/>
    </w:rPr>
  </w:style>
  <w:style w:type="character" w:customStyle="1" w:styleId="205">
    <w:name w:val="纯文本 Char1"/>
    <w:semiHidden/>
    <w:uiPriority w:val="0"/>
    <w:rPr>
      <w:rFonts w:ascii="宋体" w:hAnsi="Courier New" w:cs="Courier New"/>
      <w:sz w:val="21"/>
      <w:szCs w:val="21"/>
    </w:rPr>
  </w:style>
  <w:style w:type="character" w:customStyle="1" w:styleId="206">
    <w:name w:val="批注框文本 Char1"/>
    <w:semiHidden/>
    <w:qFormat/>
    <w:uiPriority w:val="99"/>
    <w:rPr>
      <w:rFonts w:hint="default" w:ascii="Times New Roman" w:hAnsi="Times New Roman" w:cs="Times New Roman"/>
      <w:sz w:val="18"/>
      <w:szCs w:val="18"/>
    </w:rPr>
  </w:style>
  <w:style w:type="character" w:customStyle="1" w:styleId="207">
    <w:name w:val="批注文字 Char1"/>
    <w:semiHidden/>
    <w:qFormat/>
    <w:uiPriority w:val="99"/>
    <w:rPr>
      <w:rFonts w:hint="default" w:ascii="Times New Roman" w:hAnsi="Times New Roman" w:cs="Times New Roman"/>
      <w:sz w:val="24"/>
    </w:rPr>
  </w:style>
  <w:style w:type="character" w:customStyle="1" w:styleId="208">
    <w:name w:val="批注主题 Char1"/>
    <w:semiHidden/>
    <w:qFormat/>
    <w:uiPriority w:val="99"/>
    <w:rPr>
      <w:rFonts w:hint="default" w:ascii="Times New Roman" w:hAnsi="Times New Roman" w:cs="Times New Roman"/>
      <w:b/>
      <w:bCs/>
      <w:sz w:val="24"/>
    </w:rPr>
  </w:style>
  <w:style w:type="character" w:customStyle="1" w:styleId="209">
    <w:name w:val="标题 5 Char2"/>
    <w:qFormat/>
    <w:locked/>
    <w:uiPriority w:val="0"/>
    <w:rPr>
      <w:rFonts w:ascii="楷体_GB2312" w:eastAsia="楷体_GB2312"/>
      <w:color w:val="000000"/>
      <w:sz w:val="28"/>
    </w:rPr>
  </w:style>
  <w:style w:type="character" w:customStyle="1" w:styleId="210">
    <w:name w:val="HTML 预设格式 Char2"/>
    <w:semiHidden/>
    <w:qFormat/>
    <w:locked/>
    <w:uiPriority w:val="99"/>
    <w:rPr>
      <w:rFonts w:ascii="宋体" w:hAnsi="宋体"/>
      <w:sz w:val="24"/>
      <w:szCs w:val="24"/>
    </w:rPr>
  </w:style>
  <w:style w:type="character" w:customStyle="1" w:styleId="211">
    <w:name w:val="脚注文本 Char1"/>
    <w:semiHidden/>
    <w:qFormat/>
    <w:locked/>
    <w:uiPriority w:val="99"/>
    <w:rPr>
      <w:rFonts w:ascii="Calibri" w:hAnsi="Calibri"/>
      <w:kern w:val="2"/>
      <w:sz w:val="18"/>
      <w:szCs w:val="18"/>
    </w:rPr>
  </w:style>
  <w:style w:type="character" w:customStyle="1" w:styleId="212">
    <w:name w:val="正文文本 3 Char2"/>
    <w:semiHidden/>
    <w:qFormat/>
    <w:locked/>
    <w:uiPriority w:val="99"/>
    <w:rPr>
      <w:rFonts w:ascii="楷体_GB2312" w:hAnsi="Arial" w:eastAsia="楷体_GB2312"/>
      <w:sz w:val="32"/>
    </w:rPr>
  </w:style>
  <w:style w:type="paragraph" w:customStyle="1" w:styleId="213">
    <w:name w:val="Normal"/>
    <w:uiPriority w:val="99"/>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DB0A-4E62-4124-BA67-3B8594B62A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6657</Words>
  <Characters>7260</Characters>
  <Lines>133</Lines>
  <Paragraphs>37</Paragraphs>
  <TotalTime>29</TotalTime>
  <ScaleCrop>false</ScaleCrop>
  <LinksUpToDate>false</LinksUpToDate>
  <CharactersWithSpaces>7293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2024-07-12T03:01:00Z</dcterms:created>
  <dc:creator>USER</dc:creator>
  <cp:lastModifiedBy>诗霖</cp:lastModifiedBy>
  <cp:lastPrinted>2024-06-26T09:13:00Z</cp:lastPrinted>
  <dcterms:modified xsi:type="dcterms:W3CDTF">2026-02-09T07:43:54Z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2052-12.1.0.24657</vt:lpwstr>
  </property>
  <property fmtid="{D5CDD505-2E9C-101B-9397-08002B2CF9AE}" pid="4" name="KSOTemplateDocerSaveRecord">
    <vt:lpwstr>eyJoZGlkIjoiOTcwMTMwZTgwZjBhOWY5ZDIzMzA3YjZmYWI3ZGQ5NjUiLCJ1c2VySWQiOiIyMDkxMDc5NzUifQ==</vt:lpwstr>
  </property>
</Properties>
</file>