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sz w:val="24"/>
          <w:szCs w:val="24"/>
        </w:rPr>
      </w:pPr>
    </w:p>
    <w:tbl>
      <w:tblPr>
        <w:tblStyle w:val="8"/>
        <w:tblW w:w="10744" w:type="dxa"/>
        <w:tblInd w:w="0" w:type="dxa"/>
        <w:tblLayout w:type="autofit"/>
        <w:tblCellMar>
          <w:top w:w="0" w:type="dxa"/>
          <w:left w:w="108" w:type="dxa"/>
          <w:bottom w:w="0" w:type="dxa"/>
          <w:right w:w="108" w:type="dxa"/>
        </w:tblCellMar>
      </w:tblPr>
      <w:tblGrid>
        <w:gridCol w:w="887"/>
        <w:gridCol w:w="2460"/>
        <w:gridCol w:w="2805"/>
        <w:gridCol w:w="1615"/>
        <w:gridCol w:w="2270"/>
        <w:gridCol w:w="380"/>
        <w:gridCol w:w="327"/>
      </w:tblGrid>
      <w:tr>
        <w:tblPrEx>
          <w:tblCellMar>
            <w:top w:w="0" w:type="dxa"/>
            <w:left w:w="108" w:type="dxa"/>
            <w:bottom w:w="0" w:type="dxa"/>
            <w:right w:w="108" w:type="dxa"/>
          </w:tblCellMar>
        </w:tblPrEx>
        <w:trPr>
          <w:trHeight w:val="465" w:hRule="atLeast"/>
        </w:trPr>
        <w:tc>
          <w:tcPr>
            <w:tcW w:w="10744" w:type="dxa"/>
            <w:gridSpan w:val="7"/>
            <w:noWrap/>
            <w:vAlign w:val="center"/>
          </w:tcPr>
          <w:p>
            <w:pPr>
              <w:widowControl/>
              <w:spacing w:line="320" w:lineRule="exact"/>
              <w:jc w:val="center"/>
              <w:rPr>
                <w:rFonts w:ascii="黑体" w:hAnsi="宋体" w:eastAsia="黑体" w:cs="宋体"/>
                <w:kern w:val="0"/>
                <w:sz w:val="28"/>
                <w:szCs w:val="28"/>
              </w:rPr>
            </w:pPr>
            <w:r>
              <w:rPr>
                <w:rFonts w:hint="eastAsia" w:ascii="黑体" w:hAnsi="宋体" w:eastAsia="黑体" w:cs="宋体"/>
                <w:kern w:val="0"/>
                <w:sz w:val="28"/>
                <w:szCs w:val="28"/>
              </w:rPr>
              <w:t>抵押物价格预评估单(房地合一产证)</w:t>
            </w:r>
          </w:p>
        </w:tc>
      </w:tr>
      <w:tr>
        <w:tblPrEx>
          <w:tblCellMar>
            <w:top w:w="0" w:type="dxa"/>
            <w:left w:w="108" w:type="dxa"/>
            <w:bottom w:w="0" w:type="dxa"/>
            <w:right w:w="108" w:type="dxa"/>
          </w:tblCellMar>
        </w:tblPrEx>
        <w:trPr>
          <w:gridAfter w:val="1"/>
          <w:wAfter w:w="327" w:type="dxa"/>
          <w:trHeight w:val="80" w:hRule="atLeast"/>
        </w:trPr>
        <w:tc>
          <w:tcPr>
            <w:tcW w:w="10417" w:type="dxa"/>
            <w:gridSpan w:val="6"/>
            <w:noWrap/>
            <w:vAlign w:val="center"/>
          </w:tcPr>
          <w:p>
            <w:pPr>
              <w:widowControl/>
              <w:spacing w:line="320" w:lineRule="exact"/>
              <w:rPr>
                <w:rFonts w:ascii="宋体" w:hAnsi="宋体" w:cs="宋体"/>
                <w:b/>
                <w:bCs/>
                <w:kern w:val="0"/>
                <w:sz w:val="15"/>
                <w:szCs w:val="15"/>
              </w:rPr>
            </w:pPr>
          </w:p>
        </w:tc>
      </w:tr>
      <w:tr>
        <w:tblPrEx>
          <w:tblCellMar>
            <w:top w:w="0" w:type="dxa"/>
            <w:left w:w="108" w:type="dxa"/>
            <w:bottom w:w="0" w:type="dxa"/>
            <w:right w:w="108" w:type="dxa"/>
          </w:tblCellMar>
        </w:tblPrEx>
        <w:trPr>
          <w:gridAfter w:val="2"/>
          <w:wAfter w:w="707" w:type="dxa"/>
          <w:trHeight w:val="390" w:hRule="atLeast"/>
        </w:trPr>
        <w:tc>
          <w:tcPr>
            <w:tcW w:w="887" w:type="dxa"/>
            <w:vMerge w:val="restart"/>
            <w:tcBorders>
              <w:top w:val="single" w:color="000000" w:sz="4" w:space="0"/>
              <w:left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担保品概况</w:t>
            </w:r>
          </w:p>
        </w:tc>
        <w:tc>
          <w:tcPr>
            <w:tcW w:w="246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坐落位置</w:t>
            </w:r>
          </w:p>
        </w:tc>
        <w:tc>
          <w:tcPr>
            <w:tcW w:w="6690" w:type="dxa"/>
            <w:gridSpan w:val="3"/>
            <w:tcBorders>
              <w:top w:val="single" w:color="000000" w:sz="4" w:space="0"/>
              <w:left w:val="nil"/>
              <w:bottom w:val="single" w:color="000000" w:sz="4" w:space="0"/>
              <w:right w:val="single" w:color="000000" w:sz="4" w:space="0"/>
            </w:tcBorders>
            <w:vAlign w:val="center"/>
          </w:tcPr>
          <w:p>
            <w:pPr>
              <w:spacing w:line="320" w:lineRule="exact"/>
              <w:jc w:val="center"/>
              <w:rPr>
                <w:rFonts w:ascii="华文楷体" w:hAnsi="华文楷体" w:eastAsia="华文楷体"/>
                <w:sz w:val="20"/>
                <w:szCs w:val="20"/>
              </w:rPr>
            </w:pPr>
            <w:r>
              <w:rPr>
                <w:rFonts w:hint="eastAsia" w:ascii="华文楷体" w:hAnsi="华文楷体" w:eastAsia="华文楷体"/>
                <w:sz w:val="22"/>
              </w:rPr>
              <w:t>平谷区马坊镇马坊工业区东区1号</w:t>
            </w:r>
          </w:p>
        </w:tc>
      </w:tr>
      <w:tr>
        <w:tblPrEx>
          <w:tblCellMar>
            <w:top w:w="0" w:type="dxa"/>
            <w:left w:w="108" w:type="dxa"/>
            <w:bottom w:w="0" w:type="dxa"/>
            <w:right w:w="108" w:type="dxa"/>
          </w:tblCellMar>
        </w:tblPrEx>
        <w:trPr>
          <w:gridAfter w:val="2"/>
          <w:wAfter w:w="707" w:type="dxa"/>
          <w:trHeight w:val="380"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产权证号</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《国有土地使用证》[京平国用（2007出）第00032号]</w:t>
            </w:r>
          </w:p>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《建设工程规划许可证》[建字第110117202000009号]</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权利人</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永丰余家纸（北京）有限公司</w:t>
            </w:r>
          </w:p>
        </w:tc>
      </w:tr>
      <w:tr>
        <w:tblPrEx>
          <w:tblCellMar>
            <w:top w:w="0" w:type="dxa"/>
            <w:left w:w="108" w:type="dxa"/>
            <w:bottom w:w="0" w:type="dxa"/>
            <w:right w:w="108" w:type="dxa"/>
          </w:tblCellMar>
        </w:tblPrEx>
        <w:trPr>
          <w:gridAfter w:val="2"/>
          <w:wAfter w:w="707" w:type="dxa"/>
          <w:trHeight w:val="414"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物业名称</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土地使用权来源或取得方式</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出让国有建设用地使用权</w:t>
            </w:r>
          </w:p>
        </w:tc>
      </w:tr>
      <w:tr>
        <w:tblPrEx>
          <w:tblCellMar>
            <w:top w:w="0" w:type="dxa"/>
            <w:left w:w="108" w:type="dxa"/>
            <w:bottom w:w="0" w:type="dxa"/>
            <w:right w:w="108" w:type="dxa"/>
          </w:tblCellMar>
        </w:tblPrEx>
        <w:trPr>
          <w:gridAfter w:val="2"/>
          <w:wAfter w:w="707" w:type="dxa"/>
          <w:trHeight w:val="441"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土地用途</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工业用地</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房屋类型</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厂房/门卫/设备用房</w:t>
            </w:r>
          </w:p>
        </w:tc>
      </w:tr>
      <w:tr>
        <w:tblPrEx>
          <w:tblCellMar>
            <w:top w:w="0" w:type="dxa"/>
            <w:left w:w="108" w:type="dxa"/>
            <w:bottom w:w="0" w:type="dxa"/>
            <w:right w:w="108" w:type="dxa"/>
          </w:tblCellMar>
        </w:tblPrEx>
        <w:trPr>
          <w:gridAfter w:val="2"/>
          <w:wAfter w:w="707" w:type="dxa"/>
          <w:trHeight w:val="441"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宗地（丘）面积（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114785.37</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建筑面积（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90794.03</w:t>
            </w:r>
          </w:p>
        </w:tc>
      </w:tr>
      <w:tr>
        <w:tblPrEx>
          <w:tblCellMar>
            <w:top w:w="0" w:type="dxa"/>
            <w:left w:w="108" w:type="dxa"/>
            <w:bottom w:w="0" w:type="dxa"/>
            <w:right w:w="108" w:type="dxa"/>
          </w:tblCellMar>
        </w:tblPrEx>
        <w:trPr>
          <w:gridAfter w:val="2"/>
          <w:wAfter w:w="707" w:type="dxa"/>
          <w:trHeight w:val="472"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使用权面积（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94566.263</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hint="eastAsia"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总计容建筑面积（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lang w:val="en-US" w:eastAsia="zh-CN"/>
              </w:rPr>
              <w:t>）</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133647.20</w:t>
            </w:r>
          </w:p>
        </w:tc>
      </w:tr>
      <w:tr>
        <w:tblPrEx>
          <w:tblCellMar>
            <w:top w:w="0" w:type="dxa"/>
            <w:left w:w="108" w:type="dxa"/>
            <w:bottom w:w="0" w:type="dxa"/>
            <w:right w:w="108" w:type="dxa"/>
          </w:tblCellMar>
        </w:tblPrEx>
        <w:trPr>
          <w:gridAfter w:val="2"/>
          <w:wAfter w:w="707" w:type="dxa"/>
          <w:trHeight w:val="472"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土地使用期限</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2057年4月3日止</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竣工年限</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预计于2022年竣工</w:t>
            </w:r>
          </w:p>
        </w:tc>
      </w:tr>
      <w:tr>
        <w:tblPrEx>
          <w:tblCellMar>
            <w:top w:w="0" w:type="dxa"/>
            <w:left w:w="108" w:type="dxa"/>
            <w:bottom w:w="0" w:type="dxa"/>
            <w:right w:w="108" w:type="dxa"/>
          </w:tblCellMar>
        </w:tblPrEx>
        <w:trPr>
          <w:gridAfter w:val="2"/>
          <w:wAfter w:w="707" w:type="dxa"/>
          <w:trHeight w:val="645"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结构</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钢混结构</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产证附记</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645" w:hRule="atLeast"/>
        </w:trPr>
        <w:tc>
          <w:tcPr>
            <w:tcW w:w="887" w:type="dxa"/>
            <w:vMerge w:val="continue"/>
            <w:tcBorders>
              <w:left w:val="single" w:color="000000" w:sz="4" w:space="0"/>
              <w:bottom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物业管理费</w:t>
            </w:r>
          </w:p>
        </w:tc>
        <w:tc>
          <w:tcPr>
            <w:tcW w:w="6690" w:type="dxa"/>
            <w:gridSpan w:val="3"/>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510" w:hRule="atLeast"/>
        </w:trPr>
        <w:tc>
          <w:tcPr>
            <w:tcW w:w="887"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估价</w:t>
            </w:r>
          </w:p>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目的</w:t>
            </w:r>
          </w:p>
        </w:tc>
        <w:tc>
          <w:tcPr>
            <w:tcW w:w="9150" w:type="dxa"/>
            <w:gridSpan w:val="4"/>
            <w:tcBorders>
              <w:top w:val="nil"/>
              <w:left w:val="single" w:color="000000" w:sz="4" w:space="0"/>
              <w:bottom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r>
              <w:rPr>
                <w:rFonts w:hint="eastAsia" w:ascii="华文楷体" w:hAnsi="华文楷体" w:eastAsia="华文楷体"/>
                <w:color w:val="000000"/>
                <w:kern w:val="0"/>
                <w:sz w:val="22"/>
              </w:rPr>
              <w:t>为办理抵押贷款事宜而评估出让国有建设用地使用权抵押价值</w:t>
            </w:r>
          </w:p>
        </w:tc>
      </w:tr>
      <w:tr>
        <w:tblPrEx>
          <w:tblCellMar>
            <w:top w:w="0" w:type="dxa"/>
            <w:left w:w="108" w:type="dxa"/>
            <w:bottom w:w="0" w:type="dxa"/>
            <w:right w:w="108" w:type="dxa"/>
          </w:tblCellMar>
        </w:tblPrEx>
        <w:trPr>
          <w:gridAfter w:val="2"/>
          <w:wAfter w:w="707" w:type="dxa"/>
          <w:trHeight w:val="510" w:hRule="atLeast"/>
        </w:trPr>
        <w:tc>
          <w:tcPr>
            <w:tcW w:w="88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预估</w:t>
            </w:r>
          </w:p>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结果</w:t>
            </w:r>
          </w:p>
        </w:tc>
        <w:tc>
          <w:tcPr>
            <w:tcW w:w="2460" w:type="dxa"/>
            <w:tcBorders>
              <w:top w:val="nil"/>
              <w:left w:val="single" w:color="000000" w:sz="4" w:space="0"/>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现状总价（人民币万元）</w:t>
            </w:r>
          </w:p>
        </w:tc>
        <w:tc>
          <w:tcPr>
            <w:tcW w:w="2805" w:type="dxa"/>
            <w:tcBorders>
              <w:top w:val="single" w:color="000000" w:sz="4" w:space="0"/>
              <w:left w:val="single" w:color="000000" w:sz="4" w:space="0"/>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4866</w:t>
            </w:r>
          </w:p>
        </w:tc>
        <w:tc>
          <w:tcPr>
            <w:tcW w:w="1615" w:type="dxa"/>
            <w:tcBorders>
              <w:top w:val="nil"/>
              <w:left w:val="single" w:color="000000" w:sz="4" w:space="0"/>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合理税费（人民币万元）</w:t>
            </w:r>
          </w:p>
        </w:tc>
        <w:tc>
          <w:tcPr>
            <w:tcW w:w="2270" w:type="dxa"/>
            <w:tcBorders>
              <w:top w:val="single" w:color="000000" w:sz="4" w:space="0"/>
              <w:left w:val="nil"/>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折合土地面积单价（</w:t>
            </w:r>
            <w:r>
              <w:rPr>
                <w:rFonts w:hint="eastAsia" w:ascii="华文楷体" w:hAnsi="华文楷体" w:eastAsia="华文楷体"/>
                <w:color w:val="000000"/>
                <w:kern w:val="0"/>
                <w:sz w:val="22"/>
              </w:rPr>
              <w:t>人民币元</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s="宋体"/>
                <w:kern w:val="0"/>
                <w:sz w:val="22"/>
              </w:rPr>
              <w:t>）</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424</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预估净值（人民币万元）</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完工后市场价值（人民币万元）</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45187</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预估时点</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2020年11月4日</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预估价格有效期</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自估价时点12个月</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估价机构</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北京康正宏基房地产评估有限公司</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估价人员</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边远</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联系电话</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82253558-103</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审核人员</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r>
        <w:tblPrEx>
          <w:tblCellMar>
            <w:top w:w="0" w:type="dxa"/>
            <w:left w:w="108" w:type="dxa"/>
            <w:bottom w:w="0" w:type="dxa"/>
            <w:right w:w="108" w:type="dxa"/>
          </w:tblCellMar>
        </w:tblPrEx>
        <w:trPr>
          <w:gridAfter w:val="2"/>
          <w:wAfter w:w="707" w:type="dxa"/>
          <w:trHeight w:val="549" w:hRule="atLeast"/>
        </w:trPr>
        <w:tc>
          <w:tcPr>
            <w:tcW w:w="887"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审核</w:t>
            </w:r>
          </w:p>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意见</w:t>
            </w:r>
          </w:p>
        </w:tc>
        <w:tc>
          <w:tcPr>
            <w:tcW w:w="526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复核人（签字）</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r>
        <w:tblPrEx>
          <w:tblCellMar>
            <w:top w:w="0" w:type="dxa"/>
            <w:left w:w="108" w:type="dxa"/>
            <w:bottom w:w="0" w:type="dxa"/>
            <w:right w:w="108" w:type="dxa"/>
          </w:tblCellMar>
        </w:tblPrEx>
        <w:trPr>
          <w:gridAfter w:val="2"/>
          <w:wAfter w:w="707" w:type="dxa"/>
          <w:trHeight w:val="654"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rPr>
                <w:rFonts w:ascii="华文楷体" w:hAnsi="华文楷体" w:eastAsia="华文楷体" w:cs="宋体"/>
                <w:kern w:val="0"/>
                <w:sz w:val="22"/>
              </w:rPr>
            </w:pPr>
          </w:p>
        </w:tc>
        <w:tc>
          <w:tcPr>
            <w:tcW w:w="52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ascii="华文楷体" w:hAnsi="华文楷体" w:eastAsia="华文楷体"/>
                <w:color w:val="000000"/>
                <w:kern w:val="0"/>
                <w:sz w:val="22"/>
              </w:rPr>
            </w:pP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审核人（签字）</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bl>
    <w:p>
      <w:pPr>
        <w:pStyle w:val="13"/>
        <w:ind w:left="412" w:firstLine="0" w:firstLineChars="0"/>
        <w:jc w:val="left"/>
        <w:rPr>
          <w:rFonts w:ascii="宋体" w:hAnsi="宋体" w:eastAsiaTheme="minorEastAsia"/>
          <w:sz w:val="24"/>
          <w:szCs w:val="24"/>
        </w:rPr>
      </w:pPr>
    </w:p>
    <w:p>
      <w:pPr>
        <w:rPr>
          <w:rFonts w:ascii="华文楷体" w:hAnsi="华文楷体" w:eastAsia="华文楷体"/>
          <w:color w:val="000000"/>
          <w:sz w:val="24"/>
        </w:rPr>
      </w:pPr>
      <w:r>
        <w:rPr>
          <w:rFonts w:hint="eastAsia" w:ascii="华文楷体" w:hAnsi="华文楷体" w:eastAsia="华文楷体"/>
          <w:color w:val="000000"/>
          <w:sz w:val="24"/>
        </w:rPr>
        <w:t xml:space="preserve">                                      </w:t>
      </w:r>
    </w:p>
    <w:p>
      <w:pPr>
        <w:rPr>
          <w:rFonts w:ascii="华文楷体" w:hAnsi="华文楷体" w:eastAsia="华文楷体"/>
          <w:color w:val="000000"/>
          <w:sz w:val="24"/>
        </w:rPr>
      </w:pPr>
    </w:p>
    <w:p>
      <w:pPr>
        <w:rPr>
          <w:rFonts w:ascii="华文楷体" w:hAnsi="华文楷体" w:eastAsia="华文楷体"/>
          <w:color w:val="000000"/>
          <w:sz w:val="24"/>
        </w:rPr>
      </w:pPr>
      <w:r>
        <w:rPr>
          <w:rFonts w:hint="eastAsia" w:ascii="华文楷体" w:hAnsi="华文楷体" w:eastAsia="华文楷体"/>
          <w:color w:val="000000"/>
          <w:sz w:val="24"/>
        </w:rPr>
        <w:t>说明：</w:t>
      </w:r>
    </w:p>
    <w:p>
      <w:pPr>
        <w:numPr>
          <w:ilvl w:val="0"/>
          <w:numId w:val="1"/>
        </w:numPr>
        <w:ind w:firstLine="480" w:firstLineChars="200"/>
        <w:rPr>
          <w:rFonts w:ascii="华文楷体" w:hAnsi="华文楷体" w:eastAsia="华文楷体"/>
          <w:color w:val="000000"/>
          <w:sz w:val="24"/>
        </w:rPr>
      </w:pPr>
      <w:r>
        <w:rPr>
          <w:rFonts w:hint="eastAsia" w:ascii="华文楷体" w:hAnsi="华文楷体" w:eastAsia="华文楷体"/>
          <w:color w:val="000000"/>
          <w:sz w:val="24"/>
        </w:rPr>
        <w:t>本《抵押物价格预评估单》中所列估价结果为初评结果，准确金额以本公司出具的正式《土地估价报告》为准。</w:t>
      </w:r>
    </w:p>
    <w:p>
      <w:pPr>
        <w:numPr>
          <w:ilvl w:val="0"/>
          <w:numId w:val="1"/>
        </w:numPr>
        <w:ind w:firstLine="480" w:firstLineChars="200"/>
        <w:rPr>
          <w:rFonts w:ascii="华文楷体" w:hAnsi="华文楷体" w:eastAsia="华文楷体"/>
          <w:color w:val="000000"/>
          <w:sz w:val="24"/>
        </w:rPr>
      </w:pPr>
      <w:r>
        <w:rPr>
          <w:rFonts w:hint="eastAsia" w:ascii="华文楷体" w:hAnsi="华文楷体" w:eastAsia="华文楷体"/>
          <w:color w:val="000000"/>
          <w:sz w:val="24"/>
        </w:rPr>
        <w:t>本《抵押物价格预评估单》仅供金融机构进行内部审核使用，不做其他目的之用。</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3.抵押双方在办理抵押登记手续时，应使用本公司出具的正式《土地估价报告》，特提请报告使用者注意。</w:t>
      </w:r>
    </w:p>
    <w:p>
      <w:pPr>
        <w:ind w:left="420" w:leftChars="200"/>
        <w:rPr>
          <w:rFonts w:ascii="华文楷体" w:hAnsi="华文楷体" w:eastAsia="华文楷体"/>
          <w:color w:val="000000"/>
          <w:sz w:val="24"/>
        </w:rPr>
      </w:pPr>
      <w:bookmarkStart w:id="0" w:name="_1551273246"/>
      <w:bookmarkEnd w:id="0"/>
      <w:bookmarkStart w:id="1" w:name="_1551265761"/>
      <w:bookmarkEnd w:id="1"/>
      <w:bookmarkStart w:id="2" w:name="_1551679756"/>
      <w:bookmarkEnd w:id="2"/>
      <w:r>
        <w:rPr>
          <w:rFonts w:hint="eastAsia" w:ascii="华文楷体" w:hAnsi="华文楷体" w:eastAsia="华文楷体"/>
          <w:color w:val="000000"/>
          <w:sz w:val="24"/>
        </w:rPr>
        <w:t>4.估价师所知悉的法定优先受偿款情况为：</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（1）根据估价对象《国有土地使用证》[京平国用（2007出）第00032号]复印件，截至估价期日，估价对象未见抵押权登记。</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highlight w:val="none"/>
        </w:rPr>
        <w:t>（2）根据</w:t>
      </w:r>
      <w:r>
        <w:rPr>
          <w:rFonts w:hint="eastAsia" w:ascii="华文楷体" w:hAnsi="华文楷体" w:eastAsia="华文楷体"/>
          <w:color w:val="000000"/>
          <w:sz w:val="24"/>
          <w:highlight w:val="none"/>
          <w:lang w:eastAsia="zh-CN"/>
        </w:rPr>
        <w:t>不动产权利人</w:t>
      </w:r>
      <w:r>
        <w:rPr>
          <w:rFonts w:hint="eastAsia" w:ascii="华文楷体" w:hAnsi="华文楷体" w:eastAsia="华文楷体"/>
          <w:color w:val="000000"/>
          <w:sz w:val="24"/>
          <w:highlight w:val="none"/>
        </w:rPr>
        <w:t>提供</w:t>
      </w:r>
      <w:r>
        <w:rPr>
          <w:rFonts w:hint="eastAsia" w:ascii="华文楷体" w:hAnsi="华文楷体" w:eastAsia="华文楷体"/>
          <w:color w:val="000000"/>
          <w:sz w:val="24"/>
        </w:rPr>
        <w:t>的《</w:t>
      </w:r>
      <w:r>
        <w:rPr>
          <w:rFonts w:hint="eastAsia" w:ascii="华文楷体" w:hAnsi="华文楷体" w:eastAsia="华文楷体"/>
          <w:color w:val="000000"/>
          <w:sz w:val="24"/>
          <w:lang w:eastAsia="zh-CN"/>
        </w:rPr>
        <w:t>北京市国有土地使用权出让合同</w:t>
      </w:r>
      <w:r>
        <w:rPr>
          <w:rFonts w:hint="eastAsia" w:ascii="华文楷体" w:hAnsi="华文楷体" w:eastAsia="华文楷体"/>
          <w:color w:val="000000"/>
          <w:sz w:val="24"/>
        </w:rPr>
        <w:t>》及附件[</w:t>
      </w:r>
      <w:r>
        <w:rPr>
          <w:rFonts w:hint="eastAsia" w:ascii="华文楷体" w:hAnsi="华文楷体" w:eastAsia="华文楷体"/>
          <w:color w:val="000000"/>
          <w:sz w:val="24"/>
          <w:lang w:eastAsia="zh-CN"/>
        </w:rPr>
        <w:t>京平地出【合】字（</w:t>
      </w:r>
      <w:r>
        <w:rPr>
          <w:rFonts w:hint="eastAsia" w:ascii="华文楷体" w:hAnsi="华文楷体" w:eastAsia="华文楷体"/>
          <w:color w:val="000000"/>
          <w:sz w:val="24"/>
          <w:lang w:val="en-US" w:eastAsia="zh-CN"/>
        </w:rPr>
        <w:t>2007</w:t>
      </w:r>
      <w:r>
        <w:rPr>
          <w:rFonts w:hint="eastAsia" w:ascii="华文楷体" w:hAnsi="华文楷体" w:eastAsia="华文楷体"/>
          <w:color w:val="000000"/>
          <w:sz w:val="24"/>
          <w:lang w:eastAsia="zh-CN"/>
        </w:rPr>
        <w:t>）第</w:t>
      </w:r>
      <w:r>
        <w:rPr>
          <w:rFonts w:hint="eastAsia" w:ascii="华文楷体" w:hAnsi="华文楷体" w:eastAsia="华文楷体"/>
          <w:color w:val="000000"/>
          <w:sz w:val="24"/>
          <w:lang w:val="en-US" w:eastAsia="zh-CN"/>
        </w:rPr>
        <w:t>001号</w:t>
      </w:r>
      <w:r>
        <w:rPr>
          <w:rFonts w:hint="eastAsia" w:ascii="华文楷体" w:hAnsi="华文楷体" w:eastAsia="华文楷体"/>
          <w:color w:val="000000"/>
          <w:sz w:val="24"/>
        </w:rPr>
        <w:t>]</w:t>
      </w:r>
      <w:r>
        <w:rPr>
          <w:rFonts w:hint="eastAsia" w:ascii="华文楷体" w:hAnsi="华文楷体" w:eastAsia="华文楷体"/>
          <w:color w:val="000000"/>
          <w:sz w:val="24"/>
          <w:lang w:eastAsia="zh-CN"/>
        </w:rPr>
        <w:t>、</w:t>
      </w:r>
      <w:r>
        <w:rPr>
          <w:rFonts w:hint="eastAsia" w:ascii="华文楷体" w:hAnsi="华文楷体" w:eastAsia="华文楷体"/>
          <w:color w:val="000000"/>
          <w:sz w:val="24"/>
        </w:rPr>
        <w:t>相关款项支付凭证</w:t>
      </w:r>
      <w:r>
        <w:rPr>
          <w:rFonts w:hint="eastAsia" w:ascii="华文楷体" w:hAnsi="华文楷体" w:eastAsia="华文楷体"/>
          <w:color w:val="000000"/>
          <w:sz w:val="24"/>
          <w:lang w:eastAsia="zh-CN"/>
        </w:rPr>
        <w:t>和不动产权利人介绍</w:t>
      </w:r>
      <w:r>
        <w:rPr>
          <w:rFonts w:hint="eastAsia" w:ascii="华文楷体" w:hAnsi="华文楷体" w:eastAsia="华文楷体"/>
          <w:color w:val="000000"/>
          <w:sz w:val="24"/>
        </w:rPr>
        <w:t>，截至估价期日，委托估价方依据合同已缴纳全部土地成交价款及契税。根据委托估价方提供的《建设工程规划许可证》[2020规自（平）建字0004号]，估价对象规划建筑面积未超过《国有建设用地使用权出让合同》及附件的约定，不存在需补缴政府土地收益。</w:t>
      </w:r>
    </w:p>
    <w:p>
      <w:pPr>
        <w:ind w:left="420" w:leftChars="200"/>
        <w:rPr>
          <w:rFonts w:ascii="华文楷体" w:hAnsi="华文楷体" w:eastAsia="华文楷体"/>
          <w:color w:val="000000"/>
          <w:sz w:val="24"/>
        </w:rPr>
      </w:pPr>
      <w:bookmarkStart w:id="3" w:name="_1551265797"/>
      <w:bookmarkEnd w:id="3"/>
      <w:bookmarkStart w:id="4" w:name="_1551273254"/>
      <w:bookmarkEnd w:id="4"/>
      <w:bookmarkStart w:id="5" w:name="_1551679765"/>
      <w:bookmarkEnd w:id="5"/>
      <w:r>
        <w:rPr>
          <w:rFonts w:hint="eastAsia" w:ascii="华文楷体" w:hAnsi="华文楷体" w:eastAsia="华文楷体"/>
          <w:color w:val="000000"/>
          <w:sz w:val="24"/>
          <w:highlight w:val="none"/>
        </w:rPr>
        <w:t>综上，</w:t>
      </w:r>
      <w:r>
        <w:rPr>
          <w:rFonts w:hint="eastAsia" w:ascii="华文楷体" w:hAnsi="华文楷体" w:eastAsia="华文楷体"/>
          <w:color w:val="000000"/>
          <w:sz w:val="24"/>
        </w:rPr>
        <w:t>本次评估</w:t>
      </w:r>
      <w:r>
        <w:rPr>
          <w:rFonts w:hint="eastAsia" w:ascii="华文楷体" w:hAnsi="华文楷体" w:eastAsia="华文楷体"/>
          <w:color w:val="000000"/>
          <w:sz w:val="24"/>
          <w:lang w:eastAsia="zh-CN"/>
        </w:rPr>
        <w:t>设定估价对象不存在估价师所知悉的法定优先受偿款</w:t>
      </w:r>
      <w:r>
        <w:rPr>
          <w:rFonts w:hint="eastAsia" w:ascii="华文楷体" w:hAnsi="华文楷体" w:eastAsia="华文楷体"/>
          <w:color w:val="000000"/>
          <w:sz w:val="24"/>
        </w:rPr>
        <w:t>。</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5.本次估价结果以估价对象能够按照合理工期按时完成各项工程进度，直至通过竣工验收，并能够在合理期限内正常投入使用，最终取得《不</w:t>
      </w:r>
      <w:bookmarkStart w:id="6" w:name="_GoBack"/>
      <w:bookmarkEnd w:id="6"/>
      <w:r>
        <w:rPr>
          <w:rFonts w:hint="eastAsia" w:ascii="华文楷体" w:hAnsi="华文楷体" w:eastAsia="华文楷体"/>
          <w:color w:val="000000"/>
          <w:sz w:val="24"/>
        </w:rPr>
        <w:t>动产权证书》为前提条件，未考虑估价对象因其他原因无法顺利开工、完工而产生的重大影响，在此提请报告使用者注意。</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6.根据《物权法》[主席令第六十二号]第二百条，建设用地使用权抵押后，该土地上新增的建筑物不属于抵押财产。该建设用地使用权实现抵押权时，应当将该土地上新增的建筑物与建设用地使用权一并处分，但新增建筑物所得的价款，抵押权人无权优先受偿。在此提请报告使用者注意。</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7.截止《抵押物价格预评估单》出具之日，不动产权利人未能提供《国有土地使用证》[京平国用（2007出）第00032号]原件供评估专业人员核对，且评估专业人员进行了尽职调查，难以获取该资料。本次评估以不动产权利人提供的估价对象权属文件复印件与原件一致为估价假设前提。</w:t>
      </w:r>
    </w:p>
    <w:p>
      <w:pPr>
        <w:ind w:left="-991" w:leftChars="-472" w:firstLine="1560" w:firstLineChars="650"/>
        <w:rPr>
          <w:rFonts w:ascii="华文楷体" w:hAnsi="华文楷体" w:eastAsia="华文楷体"/>
          <w:color w:val="000000"/>
          <w:sz w:val="24"/>
        </w:rPr>
      </w:pPr>
    </w:p>
    <w:p>
      <w:pPr>
        <w:ind w:left="7533" w:leftChars="330" w:hanging="6840" w:hangingChars="2850"/>
        <w:jc w:val="right"/>
        <w:rPr>
          <w:rFonts w:ascii="华文楷体" w:hAnsi="华文楷体" w:eastAsia="华文楷体"/>
          <w:color w:val="000000"/>
          <w:sz w:val="24"/>
        </w:rPr>
      </w:pPr>
      <w:r>
        <w:rPr>
          <w:rFonts w:hint="eastAsia" w:ascii="华文楷体" w:hAnsi="华文楷体" w:eastAsia="华文楷体"/>
          <w:color w:val="000000"/>
          <w:sz w:val="24"/>
        </w:rPr>
        <w:t xml:space="preserve">                                 北京康正宏基房地产评估有限公司                </w:t>
      </w:r>
    </w:p>
    <w:p>
      <w:pPr>
        <w:ind w:left="-991" w:leftChars="-472" w:firstLine="1560" w:firstLineChars="650"/>
        <w:rPr>
          <w:rFonts w:ascii="华文楷体" w:hAnsi="华文楷体" w:eastAsia="华文楷体"/>
          <w:color w:val="000000"/>
          <w:sz w:val="24"/>
        </w:rPr>
      </w:pPr>
      <w:r>
        <w:rPr>
          <w:rFonts w:hint="eastAsia" w:ascii="华文楷体" w:hAnsi="华文楷体" w:eastAsia="华文楷体"/>
          <w:color w:val="000000"/>
          <w:sz w:val="24"/>
        </w:rPr>
        <w:t xml:space="preserve">                                                  2020年11月9日</w:t>
      </w:r>
    </w:p>
    <w:p>
      <w:pPr>
        <w:ind w:left="-991" w:leftChars="-472" w:firstLine="1560" w:firstLineChars="650"/>
        <w:rPr>
          <w:rFonts w:ascii="华文楷体" w:hAnsi="华文楷体" w:eastAsia="华文楷体"/>
          <w:color w:val="000000"/>
          <w:sz w:val="24"/>
        </w:rPr>
      </w:pPr>
    </w:p>
    <w:p>
      <w:pPr>
        <w:ind w:left="-991" w:leftChars="-472" w:firstLine="1560" w:firstLineChars="650"/>
        <w:rPr>
          <w:rFonts w:ascii="华文楷体" w:hAnsi="华文楷体" w:eastAsia="华文楷体"/>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B23B0D"/>
    <w:multiLevelType w:val="singleLevel"/>
    <w:tmpl w:val="C8B23B0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D5AF3"/>
    <w:rsid w:val="00074F5F"/>
    <w:rsid w:val="00083FFC"/>
    <w:rsid w:val="000F2A43"/>
    <w:rsid w:val="001828E5"/>
    <w:rsid w:val="001C7DD9"/>
    <w:rsid w:val="001D3B52"/>
    <w:rsid w:val="001D4EAF"/>
    <w:rsid w:val="001F712E"/>
    <w:rsid w:val="00216943"/>
    <w:rsid w:val="0027119C"/>
    <w:rsid w:val="0029757F"/>
    <w:rsid w:val="0032287E"/>
    <w:rsid w:val="0032751D"/>
    <w:rsid w:val="0038771F"/>
    <w:rsid w:val="0039700B"/>
    <w:rsid w:val="003B54F6"/>
    <w:rsid w:val="003E6BE3"/>
    <w:rsid w:val="004075F0"/>
    <w:rsid w:val="00414BD9"/>
    <w:rsid w:val="00417501"/>
    <w:rsid w:val="00432670"/>
    <w:rsid w:val="00493592"/>
    <w:rsid w:val="004F7FD1"/>
    <w:rsid w:val="005320EE"/>
    <w:rsid w:val="005E2EF6"/>
    <w:rsid w:val="00650C4A"/>
    <w:rsid w:val="00684F92"/>
    <w:rsid w:val="006A53B5"/>
    <w:rsid w:val="006A6244"/>
    <w:rsid w:val="007164B8"/>
    <w:rsid w:val="007B19E6"/>
    <w:rsid w:val="007F0238"/>
    <w:rsid w:val="00813A29"/>
    <w:rsid w:val="008242C6"/>
    <w:rsid w:val="00833A46"/>
    <w:rsid w:val="0087208D"/>
    <w:rsid w:val="00954C8C"/>
    <w:rsid w:val="00982A1D"/>
    <w:rsid w:val="00A044B9"/>
    <w:rsid w:val="00A3238D"/>
    <w:rsid w:val="00A7677A"/>
    <w:rsid w:val="00AC0C8B"/>
    <w:rsid w:val="00B6775B"/>
    <w:rsid w:val="00B81341"/>
    <w:rsid w:val="00BA232D"/>
    <w:rsid w:val="00C64E21"/>
    <w:rsid w:val="00D03A35"/>
    <w:rsid w:val="00DF469B"/>
    <w:rsid w:val="00F02918"/>
    <w:rsid w:val="00F33961"/>
    <w:rsid w:val="00F62199"/>
    <w:rsid w:val="00F807A1"/>
    <w:rsid w:val="00F8407E"/>
    <w:rsid w:val="00FB7DBA"/>
    <w:rsid w:val="00FD5AF3"/>
    <w:rsid w:val="173744B9"/>
    <w:rsid w:val="315D57DC"/>
    <w:rsid w:val="464009DD"/>
    <w:rsid w:val="5B9C16BF"/>
    <w:rsid w:val="72831733"/>
    <w:rsid w:val="744B64C0"/>
    <w:rsid w:val="7FFF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630"/>
    </w:pPr>
    <w:rPr>
      <w:rFonts w:ascii="Times New Roman" w:hAnsi="Times New Roman" w:eastAsia="仿宋_GB2312" w:cs="Times New Roman"/>
      <w:kern w:val="0"/>
      <w:sz w:val="32"/>
      <w:szCs w:val="32"/>
    </w:rPr>
  </w:style>
  <w:style w:type="paragraph" w:styleId="3">
    <w:name w:val="annotation text"/>
    <w:basedOn w:val="1"/>
    <w:link w:val="15"/>
    <w:semiHidden/>
    <w:unhideWhenUsed/>
    <w:uiPriority w:val="99"/>
    <w:pPr>
      <w:jc w:val="left"/>
    </w:pPr>
  </w:style>
  <w:style w:type="paragraph" w:styleId="4">
    <w:name w:val="Balloon Text"/>
    <w:basedOn w:val="1"/>
    <w:link w:val="17"/>
    <w:semiHidden/>
    <w:unhideWhenUsed/>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semiHidden/>
    <w:unhideWhenUsed/>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link w:val="14"/>
    <w:qFormat/>
    <w:uiPriority w:val="34"/>
    <w:pPr>
      <w:ind w:firstLine="420" w:firstLineChars="200"/>
    </w:pPr>
    <w:rPr>
      <w:rFonts w:ascii="Calibri" w:hAnsi="Calibri" w:eastAsia="宋体" w:cs="Times New Roman"/>
    </w:rPr>
  </w:style>
  <w:style w:type="character" w:customStyle="1" w:styleId="14">
    <w:name w:val="列表段落 字符"/>
    <w:basedOn w:val="9"/>
    <w:link w:val="13"/>
    <w:qFormat/>
    <w:uiPriority w:val="34"/>
    <w:rPr>
      <w:rFonts w:ascii="Calibri" w:hAnsi="Calibri" w:eastAsia="宋体" w:cs="Times New Roman"/>
    </w:rPr>
  </w:style>
  <w:style w:type="character" w:customStyle="1" w:styleId="15">
    <w:name w:val="批注文字 字符"/>
    <w:basedOn w:val="9"/>
    <w:link w:val="3"/>
    <w:semiHidden/>
    <w:uiPriority w:val="99"/>
    <w:rPr>
      <w:rFonts w:asciiTheme="minorHAnsi" w:hAnsiTheme="minorHAnsi" w:eastAsiaTheme="minorEastAsia" w:cstheme="minorBidi"/>
      <w:kern w:val="2"/>
      <w:sz w:val="21"/>
      <w:szCs w:val="22"/>
    </w:rPr>
  </w:style>
  <w:style w:type="character" w:customStyle="1" w:styleId="16">
    <w:name w:val="批注主题 字符"/>
    <w:basedOn w:val="15"/>
    <w:link w:val="7"/>
    <w:semiHidden/>
    <w:uiPriority w:val="99"/>
    <w:rPr>
      <w:rFonts w:asciiTheme="minorHAnsi" w:hAnsiTheme="minorHAnsi" w:eastAsiaTheme="minorEastAsia" w:cstheme="minorBidi"/>
      <w:b/>
      <w:bCs/>
      <w:kern w:val="2"/>
      <w:sz w:val="21"/>
      <w:szCs w:val="22"/>
    </w:rPr>
  </w:style>
  <w:style w:type="character" w:customStyle="1" w:styleId="17">
    <w:name w:val="批注框文本 字符"/>
    <w:basedOn w:val="9"/>
    <w:link w:val="4"/>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26D57-4F22-4D5D-8379-7DC63CEB0B6F}">
  <ds:schemaRefs/>
</ds:datastoreItem>
</file>

<file path=docProps/app.xml><?xml version="1.0" encoding="utf-8"?>
<Properties xmlns="http://schemas.openxmlformats.org/officeDocument/2006/extended-properties" xmlns:vt="http://schemas.openxmlformats.org/officeDocument/2006/docPropsVTypes">
  <Template>Normal</Template>
  <Pages>3</Pages>
  <Words>272</Words>
  <Characters>1556</Characters>
  <Lines>12</Lines>
  <Paragraphs>3</Paragraphs>
  <TotalTime>5</TotalTime>
  <ScaleCrop>false</ScaleCrop>
  <LinksUpToDate>false</LinksUpToDate>
  <CharactersWithSpaces>1825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2014-09-25T02:56:00Z</dcterms:created>
  <dc:creator>1080</dc:creator>
  <cp:lastModifiedBy>Administrator</cp:lastModifiedBy>
  <cp:lastPrinted>2016-04-28T07:02:00Z</cp:lastPrinted>
  <dcterms:modified xsi:type="dcterms:W3CDTF">2020-11-09T05:54:06Z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