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61ABDE1A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bookmarkStart w:id="0" w:name="_Hlk130915387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北京市</w:t>
      </w:r>
      <w:r w:rsidR="001D3F58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第三中级人民法院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1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1D3F58">
        <w:rPr>
          <w:rFonts w:asciiTheme="minorEastAsia" w:eastAsiaTheme="minorEastAsia" w:hAnsiTheme="minorEastAsia"/>
          <w:b/>
          <w:color w:val="000000"/>
          <w:sz w:val="30"/>
          <w:szCs w:val="30"/>
        </w:rPr>
        <w:t>2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</w:t>
      </w:r>
      <w:r w:rsidR="001D3F58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2B0D09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</w:t>
      </w:r>
      <w:r w:rsidR="001D3F58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3</w:t>
      </w:r>
      <w:r w:rsidR="001D3F58">
        <w:rPr>
          <w:rFonts w:asciiTheme="minorEastAsia" w:eastAsiaTheme="minorEastAsia" w:hAnsiTheme="minorEastAsia"/>
          <w:b/>
          <w:color w:val="000000"/>
          <w:sz w:val="30"/>
          <w:szCs w:val="30"/>
        </w:rPr>
        <w:t>53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1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403084C3" w:rsidR="00560279" w:rsidRPr="00467653" w:rsidRDefault="001D3F58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D3F58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北京市第三中级人民法院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2B73A6CD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1D3F58" w:rsidRPr="001D3F58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北京市第三中级人民法院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</w:t>
      </w:r>
      <w:r w:rsidR="001D3F58">
        <w:rPr>
          <w:rFonts w:asciiTheme="minorEastAsia" w:eastAsiaTheme="minorEastAsia" w:hAnsiTheme="minorEastAsia" w:hint="eastAsia"/>
          <w:color w:val="000000"/>
          <w:sz w:val="28"/>
          <w:szCs w:val="28"/>
        </w:rPr>
        <w:t>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2B0D09" w:rsidRP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r w:rsidR="001D3F58" w:rsidRPr="001D3F58">
        <w:rPr>
          <w:rFonts w:asciiTheme="minorEastAsia" w:eastAsiaTheme="minorEastAsia" w:hAnsiTheme="minorEastAsia" w:hint="eastAsia"/>
          <w:color w:val="000000"/>
          <w:sz w:val="28"/>
          <w:szCs w:val="28"/>
        </w:rPr>
        <w:t>2022)京03执353号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E826D0" w:rsidRP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1D3F58">
        <w:rPr>
          <w:rFonts w:asciiTheme="minorEastAsia" w:eastAsiaTheme="minorEastAsia" w:hAnsiTheme="minorEastAsia" w:hint="eastAsia"/>
          <w:color w:val="000000"/>
          <w:sz w:val="28"/>
          <w:szCs w:val="28"/>
        </w:rPr>
        <w:t>顺义区月亮湾绿色家园二区7</w:t>
      </w:r>
      <w:r w:rsidR="001D3F58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1D3F58">
        <w:rPr>
          <w:rFonts w:asciiTheme="minorEastAsia" w:eastAsiaTheme="minorEastAsia" w:hAnsiTheme="minorEastAsia" w:hint="eastAsia"/>
          <w:color w:val="000000"/>
          <w:sz w:val="28"/>
          <w:szCs w:val="28"/>
        </w:rPr>
        <w:t>号楼-</w:t>
      </w:r>
      <w:r w:rsidR="001D3F58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1D3F58">
        <w:rPr>
          <w:rFonts w:asciiTheme="minorEastAsia" w:eastAsiaTheme="minorEastAsia" w:hAnsiTheme="minorEastAsia" w:hint="eastAsia"/>
          <w:color w:val="000000"/>
          <w:sz w:val="28"/>
          <w:szCs w:val="28"/>
        </w:rPr>
        <w:t>至2层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2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2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2293DF58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1D3F58">
        <w:rPr>
          <w:rFonts w:asciiTheme="minorEastAsia" w:eastAsiaTheme="minorEastAsia" w:hAnsiTheme="minorEastAsia"/>
          <w:color w:val="000000"/>
          <w:sz w:val="28"/>
          <w:szCs w:val="28"/>
        </w:rPr>
        <w:t>35</w:t>
      </w:r>
      <w:r w:rsidR="001B3EF2">
        <w:rPr>
          <w:rFonts w:asciiTheme="minorEastAsia" w:eastAsiaTheme="minorEastAsia" w:hAnsiTheme="minorEastAsia"/>
          <w:color w:val="000000"/>
          <w:sz w:val="28"/>
          <w:szCs w:val="28"/>
        </w:rPr>
        <w:t>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1D3F58">
        <w:rPr>
          <w:rFonts w:asciiTheme="minorEastAsia" w:eastAsiaTheme="minorEastAsia" w:hAnsiTheme="minorEastAsia" w:hint="eastAsia"/>
          <w:color w:val="000000"/>
          <w:sz w:val="28"/>
          <w:szCs w:val="28"/>
        </w:rPr>
        <w:t>叁万伍仟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bookmarkStart w:id="3" w:name="_GoBack"/>
      <w:bookmarkEnd w:id="3"/>
    </w:p>
    <w:p w14:paraId="29B3903D" w14:textId="152A7900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28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DE493" w14:textId="77777777" w:rsidR="00246D6D" w:rsidRDefault="00246D6D" w:rsidP="00560279">
      <w:r>
        <w:separator/>
      </w:r>
    </w:p>
  </w:endnote>
  <w:endnote w:type="continuationSeparator" w:id="0">
    <w:p w14:paraId="5AD381EC" w14:textId="77777777" w:rsidR="00246D6D" w:rsidRDefault="00246D6D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F6BAD" w14:textId="77777777" w:rsidR="00246D6D" w:rsidRDefault="00246D6D" w:rsidP="00560279">
      <w:r>
        <w:separator/>
      </w:r>
    </w:p>
  </w:footnote>
  <w:footnote w:type="continuationSeparator" w:id="0">
    <w:p w14:paraId="54972F06" w14:textId="77777777" w:rsidR="00246D6D" w:rsidRDefault="00246D6D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22984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D3F58"/>
    <w:rsid w:val="001F02F0"/>
    <w:rsid w:val="001F4C5D"/>
    <w:rsid w:val="00201DF0"/>
    <w:rsid w:val="00227CC6"/>
    <w:rsid w:val="00246D6D"/>
    <w:rsid w:val="00251D9F"/>
    <w:rsid w:val="002527E2"/>
    <w:rsid w:val="00266B0C"/>
    <w:rsid w:val="002718AC"/>
    <w:rsid w:val="002A23E0"/>
    <w:rsid w:val="002B0D09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44C0B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72EA4"/>
    <w:rsid w:val="006752E1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021D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826D0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90EEF5-834C-47B7-A157-B855B1BB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463</Characters>
  <Application>Microsoft Office Word</Application>
  <DocSecurity>0</DocSecurity>
  <Lines>3</Lines>
  <Paragraphs>1</Paragraphs>
  <ScaleCrop>false</ScaleCrop>
  <Company>jia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13</cp:revision>
  <cp:lastPrinted>2018-05-18T03:36:00Z</cp:lastPrinted>
  <dcterms:created xsi:type="dcterms:W3CDTF">2022-05-06T08:12:00Z</dcterms:created>
  <dcterms:modified xsi:type="dcterms:W3CDTF">2023-03-28T09:04:00Z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