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E42E89F" w14:textId="77777777" w:rsidR="00AF6F34" w:rsidRDefault="00AF6F34">
      <w:pPr>
        <w:spacing w:line="300" w:lineRule="exact"/>
        <w:jc w:val="center"/>
        <w:rPr>
          <w:rFonts w:ascii="Arial" w:hAnsi="Arial" w:cs="Arial"/>
        </w:rPr>
      </w:pPr>
    </w:p>
    <w:p w14:paraId="17E30843" w14:textId="77777777" w:rsidR="00AF6F34" w:rsidRDefault="00AF6F34">
      <w:pPr>
        <w:spacing w:line="300" w:lineRule="exact"/>
        <w:rPr>
          <w:rFonts w:ascii="Arial" w:hAnsi="Arial" w:cs="Arial"/>
        </w:rPr>
      </w:pPr>
    </w:p>
    <w:p w14:paraId="7BC0A669" w14:textId="77777777" w:rsidR="00AF6F34" w:rsidRDefault="00AF6F34">
      <w:pPr>
        <w:spacing w:line="300" w:lineRule="exact"/>
        <w:rPr>
          <w:rFonts w:ascii="Arial" w:hAnsi="Arial" w:cs="Arial"/>
        </w:rPr>
      </w:pPr>
    </w:p>
    <w:p w14:paraId="28BD1391" w14:textId="77777777" w:rsidR="00AF6F34" w:rsidRDefault="00AF6F34">
      <w:pPr>
        <w:spacing w:line="300" w:lineRule="exact"/>
        <w:rPr>
          <w:rFonts w:ascii="Arial" w:hAnsi="Arial" w:cs="Arial"/>
        </w:rPr>
      </w:pPr>
    </w:p>
    <w:p w14:paraId="78A45A3E" w14:textId="77777777" w:rsidR="00AF6F34" w:rsidRDefault="00AF6F34">
      <w:pPr>
        <w:spacing w:line="300" w:lineRule="exact"/>
        <w:rPr>
          <w:rFonts w:ascii="Arial" w:hAnsi="Arial" w:cs="Arial"/>
        </w:rPr>
      </w:pPr>
    </w:p>
    <w:p w14:paraId="5427020B" w14:textId="77777777" w:rsidR="00AF6F34" w:rsidRDefault="00AF6F34">
      <w:pPr>
        <w:spacing w:line="300" w:lineRule="exact"/>
        <w:rPr>
          <w:rFonts w:ascii="Arial" w:hAnsi="Arial" w:cs="Arial"/>
        </w:rPr>
      </w:pPr>
    </w:p>
    <w:p w14:paraId="77865435" w14:textId="77777777" w:rsidR="00AF6F34" w:rsidRDefault="00AF6F34">
      <w:pPr>
        <w:spacing w:line="300" w:lineRule="exact"/>
        <w:rPr>
          <w:rFonts w:ascii="Arial" w:hAnsi="Arial" w:cs="Arial"/>
        </w:rPr>
      </w:pPr>
    </w:p>
    <w:p w14:paraId="77596AE3" w14:textId="77777777" w:rsidR="00AF6F34" w:rsidRDefault="00AF6F34">
      <w:pPr>
        <w:spacing w:line="300" w:lineRule="exact"/>
        <w:rPr>
          <w:rFonts w:ascii="Arial" w:hAnsi="Arial" w:cs="Arial"/>
        </w:rPr>
      </w:pPr>
    </w:p>
    <w:p w14:paraId="3C668D90" w14:textId="77777777" w:rsidR="00AF6F34" w:rsidRDefault="00AF6F34">
      <w:pPr>
        <w:spacing w:line="300" w:lineRule="exact"/>
        <w:rPr>
          <w:rFonts w:ascii="Arial" w:hAnsi="Arial" w:cs="Arial"/>
        </w:rPr>
      </w:pPr>
    </w:p>
    <w:p w14:paraId="455193F8" w14:textId="77777777" w:rsidR="00AF6F34" w:rsidRDefault="00AF6F34">
      <w:pPr>
        <w:spacing w:line="300" w:lineRule="exact"/>
        <w:rPr>
          <w:rFonts w:ascii="Arial" w:hAnsi="Arial" w:cs="Arial"/>
        </w:rPr>
      </w:pPr>
    </w:p>
    <w:p w14:paraId="65A675F2" w14:textId="77777777" w:rsidR="00AF6F34" w:rsidRDefault="00AF6F34">
      <w:pPr>
        <w:spacing w:line="300" w:lineRule="exact"/>
        <w:rPr>
          <w:rFonts w:ascii="Arial" w:hAnsi="Arial" w:cs="Arial"/>
        </w:rPr>
      </w:pPr>
    </w:p>
    <w:p w14:paraId="3E07B17C" w14:textId="77777777" w:rsidR="00AF6F34" w:rsidRDefault="00AF6F34">
      <w:pPr>
        <w:spacing w:line="300" w:lineRule="exact"/>
        <w:rPr>
          <w:rFonts w:ascii="Arial" w:hAnsi="Arial" w:cs="Arial"/>
        </w:rPr>
      </w:pPr>
    </w:p>
    <w:p w14:paraId="4830C374" w14:textId="77777777" w:rsidR="00AF6F34" w:rsidRDefault="00AF6F34">
      <w:pPr>
        <w:spacing w:line="300" w:lineRule="exact"/>
        <w:rPr>
          <w:rFonts w:ascii="Arial" w:hAnsi="Arial" w:cs="Arial"/>
        </w:rPr>
      </w:pPr>
    </w:p>
    <w:p w14:paraId="11C71814" w14:textId="77777777" w:rsidR="00AF6F34" w:rsidRDefault="00AF6F34">
      <w:pPr>
        <w:spacing w:line="300" w:lineRule="exact"/>
        <w:rPr>
          <w:rFonts w:ascii="Arial" w:hAnsi="Arial" w:cs="Arial"/>
        </w:rPr>
      </w:pPr>
    </w:p>
    <w:p w14:paraId="1DF37010" w14:textId="77777777" w:rsidR="00AF6F34" w:rsidRDefault="00AF6F34">
      <w:pPr>
        <w:spacing w:line="300" w:lineRule="exact"/>
        <w:rPr>
          <w:rFonts w:ascii="Arial" w:hAnsi="Arial" w:cs="Arial"/>
        </w:rPr>
      </w:pPr>
    </w:p>
    <w:p w14:paraId="1F1EE384" w14:textId="77777777" w:rsidR="00AF6F34" w:rsidRDefault="00AF6F34">
      <w:pPr>
        <w:spacing w:line="300" w:lineRule="exact"/>
        <w:rPr>
          <w:rFonts w:ascii="Arial" w:hAnsi="Arial" w:cs="Arial"/>
        </w:rPr>
      </w:pPr>
    </w:p>
    <w:p w14:paraId="7F0B0049" w14:textId="77777777" w:rsidR="00AF6F34" w:rsidRDefault="00AF6F34">
      <w:pPr>
        <w:spacing w:line="300" w:lineRule="exact"/>
        <w:rPr>
          <w:rFonts w:ascii="Arial" w:hAnsi="Arial" w:cs="Arial"/>
        </w:rPr>
      </w:pPr>
    </w:p>
    <w:p w14:paraId="6416FFB5" w14:textId="77777777" w:rsidR="00AF6F34" w:rsidRDefault="00AF6F34">
      <w:pPr>
        <w:spacing w:line="300" w:lineRule="exact"/>
        <w:rPr>
          <w:rFonts w:ascii="Arial" w:hAnsi="Arial" w:cs="Arial"/>
        </w:rPr>
      </w:pPr>
    </w:p>
    <w:p w14:paraId="615CA116" w14:textId="77777777" w:rsidR="00AF6F34" w:rsidRDefault="00AF6F34">
      <w:pPr>
        <w:spacing w:line="300" w:lineRule="exact"/>
        <w:rPr>
          <w:rFonts w:ascii="Arial" w:hAnsi="Arial" w:cs="Arial"/>
        </w:rPr>
      </w:pPr>
    </w:p>
    <w:p w14:paraId="399CBD22" w14:textId="77777777" w:rsidR="00AF6F34" w:rsidRDefault="00AF6F34">
      <w:pPr>
        <w:spacing w:line="300" w:lineRule="exact"/>
        <w:rPr>
          <w:rFonts w:ascii="Arial" w:hAnsi="Arial" w:cs="Arial"/>
        </w:rPr>
      </w:pPr>
    </w:p>
    <w:p w14:paraId="4D1089A8" w14:textId="77777777" w:rsidR="00AF6F34" w:rsidRDefault="00AF6F34">
      <w:pPr>
        <w:spacing w:line="300" w:lineRule="exact"/>
        <w:rPr>
          <w:rFonts w:ascii="Arial" w:hAnsi="Arial" w:cs="Arial"/>
        </w:rPr>
      </w:pPr>
    </w:p>
    <w:p w14:paraId="0E7DD6BD" w14:textId="77777777" w:rsidR="00AF6F34" w:rsidRDefault="00AF6F34">
      <w:pPr>
        <w:spacing w:line="300" w:lineRule="exact"/>
        <w:rPr>
          <w:rFonts w:ascii="Arial" w:hAnsi="Arial" w:cs="Arial"/>
        </w:rPr>
      </w:pPr>
    </w:p>
    <w:p w14:paraId="0CA3C8EF" w14:textId="77777777" w:rsidR="00AF6F34" w:rsidRDefault="00AF6F34">
      <w:pPr>
        <w:spacing w:line="300" w:lineRule="exact"/>
        <w:rPr>
          <w:rFonts w:ascii="Arial" w:hAnsi="Arial" w:cs="Arial"/>
        </w:rPr>
      </w:pPr>
    </w:p>
    <w:p w14:paraId="02603C1D" w14:textId="77777777" w:rsidR="00AF6F34" w:rsidRDefault="00AF6F34">
      <w:pPr>
        <w:spacing w:line="300" w:lineRule="exact"/>
        <w:rPr>
          <w:rFonts w:ascii="Arial" w:hAnsi="Arial" w:cs="Arial"/>
        </w:rPr>
      </w:pPr>
    </w:p>
    <w:p w14:paraId="40EEDC5B" w14:textId="77777777" w:rsidR="00AF6F34" w:rsidRDefault="00AF6F34">
      <w:pPr>
        <w:spacing w:line="300" w:lineRule="exact"/>
        <w:rPr>
          <w:rFonts w:ascii="Arial" w:hAnsi="Arial" w:cs="Arial"/>
        </w:rPr>
      </w:pPr>
    </w:p>
    <w:p w14:paraId="26887544" w14:textId="77777777" w:rsidR="00AF6F34" w:rsidRDefault="00AF6F34">
      <w:pPr>
        <w:spacing w:line="300" w:lineRule="exact"/>
        <w:rPr>
          <w:rFonts w:ascii="Arial" w:hAnsi="Arial" w:cs="Arial"/>
        </w:rPr>
      </w:pPr>
    </w:p>
    <w:p w14:paraId="5C0772E4" w14:textId="77777777" w:rsidR="00AF6F34" w:rsidRDefault="00AF6F34">
      <w:pPr>
        <w:pStyle w:val="af3"/>
        <w:numPr>
          <w:ilvl w:val="0"/>
          <w:numId w:val="10"/>
        </w:numPr>
        <w:spacing w:line="300" w:lineRule="exact"/>
        <w:ind w:right="-93"/>
        <w:jc w:val="both"/>
      </w:pPr>
      <w:r>
        <w:rPr>
          <w:rFonts w:ascii="Arial" w:eastAsia="方正黑体简体" w:hAnsi="Arial" w:cs="Arial" w:hint="eastAsia"/>
          <w:b/>
          <w:bCs/>
          <w:sz w:val="21"/>
          <w:szCs w:val="21"/>
        </w:rPr>
        <w:t>估价项目名称：</w:t>
      </w:r>
    </w:p>
    <w:p w14:paraId="24CF6FB8" w14:textId="77777777" w:rsidR="00AF6F34" w:rsidRDefault="00AF6F34">
      <w:pPr>
        <w:pStyle w:val="af3"/>
        <w:spacing w:line="300" w:lineRule="exact"/>
        <w:ind w:left="360" w:firstLine="0"/>
        <w:jc w:val="both"/>
      </w:pPr>
      <w:r>
        <w:rPr>
          <w:rFonts w:ascii="Arial" w:eastAsia="方正黑体简体" w:hAnsi="Arial" w:cs="Arial"/>
          <w:sz w:val="21"/>
          <w:szCs w:val="21"/>
        </w:rPr>
        <w:t>北京经济技术开发区</w:t>
      </w:r>
      <w:r w:rsidR="00DE3E5A">
        <w:rPr>
          <w:rFonts w:ascii="Arial" w:eastAsia="方正黑体简体" w:hAnsi="Arial" w:cs="Arial"/>
          <w:sz w:val="21"/>
          <w:szCs w:val="21"/>
        </w:rPr>
        <w:t>南海家园一里</w:t>
      </w:r>
      <w:r w:rsidR="00DE3E5A">
        <w:rPr>
          <w:rFonts w:ascii="Arial" w:eastAsia="方正黑体简体" w:hAnsi="Arial" w:cs="Arial"/>
          <w:sz w:val="21"/>
          <w:szCs w:val="21"/>
        </w:rPr>
        <w:t>1</w:t>
      </w:r>
      <w:r w:rsidR="00DE3E5A">
        <w:rPr>
          <w:rFonts w:ascii="Arial" w:eastAsia="方正黑体简体" w:hAnsi="Arial" w:cs="Arial"/>
          <w:sz w:val="21"/>
          <w:szCs w:val="21"/>
        </w:rPr>
        <w:t>号楼</w:t>
      </w:r>
      <w:r w:rsidR="00DE3E5A">
        <w:rPr>
          <w:rFonts w:ascii="Arial" w:eastAsia="方正黑体简体" w:hAnsi="Arial" w:cs="Arial"/>
          <w:sz w:val="21"/>
          <w:szCs w:val="21"/>
        </w:rPr>
        <w:t>4</w:t>
      </w:r>
      <w:r w:rsidR="00DE3E5A">
        <w:rPr>
          <w:rFonts w:ascii="Arial" w:eastAsia="方正黑体简体" w:hAnsi="Arial" w:cs="Arial"/>
          <w:sz w:val="21"/>
          <w:szCs w:val="21"/>
        </w:rPr>
        <w:t>单元</w:t>
      </w:r>
      <w:r w:rsidR="00DE3E5A">
        <w:rPr>
          <w:rFonts w:ascii="Arial" w:eastAsia="方正黑体简体" w:hAnsi="Arial" w:cs="Arial"/>
          <w:sz w:val="21"/>
          <w:szCs w:val="21"/>
        </w:rPr>
        <w:t>1802</w:t>
      </w:r>
      <w:r>
        <w:rPr>
          <w:rFonts w:ascii="Arial" w:eastAsia="方正黑体简体" w:hAnsi="Arial" w:cs="Arial" w:hint="eastAsia"/>
          <w:sz w:val="21"/>
          <w:szCs w:val="21"/>
        </w:rPr>
        <w:t>等</w:t>
      </w:r>
      <w:r w:rsidR="00DE3E5A">
        <w:rPr>
          <w:rFonts w:ascii="Arial" w:eastAsia="方正黑体简体" w:hAnsi="Arial" w:cs="Arial" w:hint="eastAsia"/>
          <w:sz w:val="21"/>
          <w:szCs w:val="21"/>
        </w:rPr>
        <w:t>959</w:t>
      </w:r>
      <w:r w:rsidR="00DE3E5A">
        <w:rPr>
          <w:rFonts w:ascii="Arial" w:eastAsia="方正黑体简体" w:hAnsi="Arial" w:cs="Arial" w:hint="eastAsia"/>
          <w:sz w:val="21"/>
          <w:szCs w:val="21"/>
        </w:rPr>
        <w:t>套</w:t>
      </w:r>
      <w:r>
        <w:rPr>
          <w:rFonts w:ascii="Arial" w:eastAsia="方正黑体简体" w:hAnsi="Arial" w:cs="Arial" w:hint="eastAsia"/>
          <w:sz w:val="21"/>
          <w:szCs w:val="21"/>
        </w:rPr>
        <w:t>（南海家园）住宅用房</w:t>
      </w:r>
      <w:r>
        <w:rPr>
          <w:rFonts w:ascii="Arial" w:eastAsia="方正黑体简体" w:hAnsi="Arial" w:cs="Arial"/>
          <w:sz w:val="21"/>
          <w:szCs w:val="21"/>
        </w:rPr>
        <w:t>市场租金评估</w:t>
      </w:r>
    </w:p>
    <w:p w14:paraId="44FDA5FB" w14:textId="77777777" w:rsidR="00AF6F34" w:rsidRDefault="00AF6F34">
      <w:pPr>
        <w:spacing w:line="300" w:lineRule="exact"/>
        <w:rPr>
          <w:rFonts w:ascii="Arial" w:eastAsia="方正黑体简体" w:hAnsi="Arial" w:cs="Arial"/>
          <w:b/>
          <w:bCs/>
          <w:sz w:val="21"/>
          <w:szCs w:val="21"/>
        </w:rPr>
      </w:pPr>
    </w:p>
    <w:p w14:paraId="51D57A9B" w14:textId="77777777" w:rsidR="00AF6F34" w:rsidRDefault="00AF6F34">
      <w:pPr>
        <w:pStyle w:val="af3"/>
        <w:numPr>
          <w:ilvl w:val="0"/>
          <w:numId w:val="10"/>
        </w:numPr>
        <w:spacing w:line="300" w:lineRule="exact"/>
        <w:jc w:val="both"/>
      </w:pPr>
      <w:r>
        <w:rPr>
          <w:rFonts w:ascii="Arial" w:eastAsia="方正黑体简体" w:hAnsi="Arial" w:cs="Arial" w:hint="eastAsia"/>
          <w:b/>
          <w:sz w:val="21"/>
          <w:szCs w:val="21"/>
        </w:rPr>
        <w:t>估价委托人：</w:t>
      </w:r>
    </w:p>
    <w:p w14:paraId="05CD5FC8" w14:textId="77777777" w:rsidR="00AF6F34" w:rsidRDefault="00DE3E5A">
      <w:pPr>
        <w:pStyle w:val="af3"/>
        <w:spacing w:line="300" w:lineRule="exact"/>
        <w:ind w:left="360" w:firstLine="0"/>
        <w:jc w:val="both"/>
      </w:pPr>
      <w:r>
        <w:rPr>
          <w:rFonts w:ascii="Arial" w:eastAsia="方正黑体简体" w:hAnsi="Arial" w:cs="Arial" w:hint="eastAsia"/>
          <w:sz w:val="21"/>
          <w:szCs w:val="21"/>
        </w:rPr>
        <w:t>北京亦庄国际人才发展集团有限公司</w:t>
      </w:r>
    </w:p>
    <w:p w14:paraId="32E03C78" w14:textId="77777777" w:rsidR="00AF6F34" w:rsidRDefault="00AF6F34">
      <w:pPr>
        <w:pStyle w:val="af3"/>
        <w:spacing w:line="300" w:lineRule="exact"/>
        <w:ind w:left="360" w:firstLine="0"/>
        <w:jc w:val="both"/>
        <w:rPr>
          <w:rFonts w:ascii="Arial" w:eastAsia="方正黑体简体" w:hAnsi="Arial" w:cs="Arial"/>
          <w:sz w:val="21"/>
          <w:szCs w:val="21"/>
        </w:rPr>
      </w:pPr>
    </w:p>
    <w:p w14:paraId="5F7CA600" w14:textId="77777777" w:rsidR="00AF6F34" w:rsidRDefault="00AF6F34">
      <w:pPr>
        <w:pStyle w:val="af3"/>
        <w:numPr>
          <w:ilvl w:val="0"/>
          <w:numId w:val="10"/>
        </w:numPr>
        <w:spacing w:line="300" w:lineRule="exact"/>
        <w:jc w:val="both"/>
      </w:pPr>
      <w:r>
        <w:rPr>
          <w:rFonts w:ascii="Arial" w:eastAsia="方正黑体简体" w:hAnsi="Arial" w:cs="Arial" w:hint="eastAsia"/>
          <w:b/>
          <w:sz w:val="21"/>
          <w:szCs w:val="21"/>
        </w:rPr>
        <w:t>房地产估价机构：</w:t>
      </w:r>
    </w:p>
    <w:p w14:paraId="4BF9491B" w14:textId="77777777" w:rsidR="00AF6F34" w:rsidRDefault="00AF6F34">
      <w:pPr>
        <w:pStyle w:val="af3"/>
        <w:spacing w:line="300" w:lineRule="exact"/>
        <w:ind w:left="360" w:firstLine="0"/>
        <w:jc w:val="both"/>
      </w:pPr>
      <w:r>
        <w:rPr>
          <w:rFonts w:ascii="Arial" w:eastAsia="方正黑体简体" w:hAnsi="Arial" w:cs="Arial" w:hint="eastAsia"/>
          <w:sz w:val="21"/>
          <w:szCs w:val="21"/>
        </w:rPr>
        <w:t>北京康正宏基房地产评估有限公司</w:t>
      </w:r>
    </w:p>
    <w:p w14:paraId="35767B5C" w14:textId="77777777" w:rsidR="00AF6F34" w:rsidRDefault="00AF6F34">
      <w:pPr>
        <w:spacing w:line="300" w:lineRule="exact"/>
        <w:jc w:val="both"/>
        <w:rPr>
          <w:rFonts w:ascii="Arial" w:eastAsia="方正黑体简体" w:hAnsi="Arial" w:cs="Arial"/>
          <w:b/>
          <w:sz w:val="21"/>
          <w:szCs w:val="21"/>
        </w:rPr>
      </w:pPr>
    </w:p>
    <w:p w14:paraId="1D673724" w14:textId="77777777" w:rsidR="00AF6F34" w:rsidRDefault="00AF6F34">
      <w:pPr>
        <w:pStyle w:val="af3"/>
        <w:numPr>
          <w:ilvl w:val="0"/>
          <w:numId w:val="10"/>
        </w:numPr>
        <w:spacing w:line="300" w:lineRule="exact"/>
        <w:jc w:val="both"/>
      </w:pPr>
      <w:r>
        <w:rPr>
          <w:rFonts w:ascii="Arial" w:eastAsia="方正黑体简体" w:hAnsi="Arial" w:cs="Arial" w:hint="eastAsia"/>
          <w:b/>
          <w:sz w:val="21"/>
          <w:szCs w:val="21"/>
        </w:rPr>
        <w:t>注册房地产估价师：</w:t>
      </w:r>
    </w:p>
    <w:p w14:paraId="1BBB14D5" w14:textId="77777777" w:rsidR="00AF6F34" w:rsidRDefault="00AF6F34">
      <w:pPr>
        <w:pStyle w:val="af3"/>
        <w:spacing w:line="300" w:lineRule="exact"/>
        <w:ind w:left="360" w:firstLine="0"/>
        <w:jc w:val="both"/>
      </w:pPr>
      <w:r>
        <w:rPr>
          <w:rFonts w:ascii="Arial" w:eastAsia="方正黑体简体" w:hAnsi="Arial" w:cs="Arial" w:hint="eastAsia"/>
          <w:sz w:val="21"/>
          <w:szCs w:val="21"/>
        </w:rPr>
        <w:t>高</w:t>
      </w:r>
      <w:r>
        <w:rPr>
          <w:rFonts w:ascii="Arial" w:eastAsia="Arial" w:hAnsi="Arial" w:cs="Arial" w:hint="eastAsia"/>
          <w:sz w:val="21"/>
          <w:szCs w:val="21"/>
        </w:rPr>
        <w:t xml:space="preserve"> </w:t>
      </w:r>
      <w:r>
        <w:rPr>
          <w:rFonts w:ascii="Arial" w:eastAsia="方正黑体简体" w:hAnsi="Arial" w:cs="Arial" w:hint="eastAsia"/>
          <w:sz w:val="21"/>
          <w:szCs w:val="21"/>
        </w:rPr>
        <w:t>鹏（注册号：</w:t>
      </w:r>
      <w:r>
        <w:rPr>
          <w:rFonts w:ascii="Arial" w:eastAsia="方正黑体简体" w:hAnsi="Arial" w:cs="Arial" w:hint="eastAsia"/>
          <w:sz w:val="21"/>
          <w:szCs w:val="21"/>
        </w:rPr>
        <w:t>1120140024</w:t>
      </w:r>
      <w:r>
        <w:rPr>
          <w:rFonts w:ascii="Arial" w:eastAsia="方正黑体简体" w:hAnsi="Arial" w:cs="Arial" w:hint="eastAsia"/>
          <w:sz w:val="21"/>
          <w:szCs w:val="21"/>
        </w:rPr>
        <w:t>）、许皓源</w:t>
      </w:r>
      <w:r>
        <w:rPr>
          <w:rFonts w:ascii="Arial" w:eastAsia="方正黑体简体" w:hAnsi="Arial" w:cs="Arial"/>
          <w:sz w:val="21"/>
          <w:szCs w:val="21"/>
        </w:rPr>
        <w:t>（注册号：</w:t>
      </w:r>
      <w:r>
        <w:rPr>
          <w:rFonts w:ascii="Arial" w:eastAsia="方正黑体简体" w:hAnsi="Arial" w:cs="Arial"/>
          <w:sz w:val="21"/>
          <w:szCs w:val="21"/>
        </w:rPr>
        <w:t>1119980019</w:t>
      </w:r>
      <w:r>
        <w:rPr>
          <w:rFonts w:ascii="Arial" w:eastAsia="方正黑体简体" w:hAnsi="Arial" w:cs="Arial" w:hint="eastAsia"/>
          <w:sz w:val="21"/>
          <w:szCs w:val="21"/>
        </w:rPr>
        <w:t>）</w:t>
      </w:r>
    </w:p>
    <w:p w14:paraId="731ADE0E" w14:textId="77777777" w:rsidR="00AF6F34" w:rsidRDefault="00AF6F34">
      <w:pPr>
        <w:spacing w:line="300" w:lineRule="exact"/>
        <w:jc w:val="both"/>
        <w:rPr>
          <w:rFonts w:ascii="Arial" w:eastAsia="方正黑体简体" w:hAnsi="Arial" w:cs="Arial"/>
          <w:b/>
          <w:sz w:val="21"/>
          <w:szCs w:val="21"/>
        </w:rPr>
      </w:pPr>
    </w:p>
    <w:p w14:paraId="68C5C581" w14:textId="77777777" w:rsidR="00AF6F34" w:rsidRDefault="00AF6F34">
      <w:pPr>
        <w:pStyle w:val="af3"/>
        <w:numPr>
          <w:ilvl w:val="0"/>
          <w:numId w:val="10"/>
        </w:numPr>
        <w:spacing w:line="300" w:lineRule="exact"/>
        <w:jc w:val="both"/>
      </w:pPr>
      <w:r>
        <w:rPr>
          <w:rFonts w:ascii="Arial" w:eastAsia="方正黑体简体" w:hAnsi="Arial" w:cs="Arial"/>
          <w:b/>
          <w:sz w:val="21"/>
          <w:szCs w:val="21"/>
        </w:rPr>
        <w:t>估价报告出具日期：</w:t>
      </w:r>
    </w:p>
    <w:p w14:paraId="0636E0F9" w14:textId="183CE544" w:rsidR="00AF6F34" w:rsidRDefault="00094507">
      <w:pPr>
        <w:pStyle w:val="af3"/>
        <w:spacing w:line="300" w:lineRule="exact"/>
        <w:ind w:left="360" w:firstLine="0"/>
        <w:jc w:val="both"/>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11</w:t>
      </w:r>
      <w:r>
        <w:rPr>
          <w:rFonts w:ascii="Arial" w:eastAsia="方正黑体简体" w:hAnsi="Arial" w:cs="Arial"/>
          <w:sz w:val="21"/>
          <w:szCs w:val="21"/>
        </w:rPr>
        <w:t>月</w:t>
      </w:r>
      <w:r>
        <w:rPr>
          <w:rFonts w:ascii="Arial" w:eastAsia="方正黑体简体" w:hAnsi="Arial" w:cs="Arial"/>
          <w:sz w:val="21"/>
          <w:szCs w:val="21"/>
        </w:rPr>
        <w:t>28</w:t>
      </w:r>
      <w:r>
        <w:rPr>
          <w:rFonts w:ascii="Arial" w:eastAsia="方正黑体简体" w:hAnsi="Arial" w:cs="Arial"/>
          <w:sz w:val="21"/>
          <w:szCs w:val="21"/>
        </w:rPr>
        <w:t>日</w:t>
      </w:r>
    </w:p>
    <w:p w14:paraId="026174A5" w14:textId="77777777" w:rsidR="00AF6F34" w:rsidRDefault="00AF6F34">
      <w:pPr>
        <w:spacing w:line="300" w:lineRule="exact"/>
        <w:jc w:val="both"/>
        <w:rPr>
          <w:rFonts w:ascii="Arial" w:eastAsia="方正黑体简体" w:hAnsi="Arial" w:cs="Arial"/>
          <w:b/>
          <w:sz w:val="21"/>
          <w:szCs w:val="21"/>
        </w:rPr>
      </w:pPr>
    </w:p>
    <w:p w14:paraId="6FC49CA7" w14:textId="77777777" w:rsidR="00AF6F34" w:rsidRDefault="00AF6F34">
      <w:pPr>
        <w:pStyle w:val="af3"/>
        <w:numPr>
          <w:ilvl w:val="0"/>
          <w:numId w:val="10"/>
        </w:numPr>
        <w:spacing w:line="300" w:lineRule="exact"/>
        <w:jc w:val="both"/>
      </w:pPr>
      <w:r>
        <w:rPr>
          <w:rFonts w:ascii="Arial" w:eastAsia="方正黑体简体" w:hAnsi="Arial" w:cs="Arial" w:hint="eastAsia"/>
          <w:b/>
          <w:sz w:val="21"/>
          <w:szCs w:val="21"/>
        </w:rPr>
        <w:t>估价报告编号：</w:t>
      </w:r>
    </w:p>
    <w:p w14:paraId="64BAB425" w14:textId="7668C502" w:rsidR="00AF6F34" w:rsidRDefault="00AF6F34">
      <w:pPr>
        <w:pStyle w:val="af3"/>
        <w:spacing w:line="300" w:lineRule="exact"/>
        <w:ind w:left="360" w:firstLine="0"/>
        <w:jc w:val="both"/>
        <w:sectPr w:rsidR="00AF6F34" w:rsidSect="00B943B0">
          <w:headerReference w:type="default" r:id="rId8"/>
          <w:footerReference w:type="default" r:id="rId9"/>
          <w:headerReference w:type="first" r:id="rId10"/>
          <w:footerReference w:type="first" r:id="rId11"/>
          <w:pgSz w:w="11906" w:h="16838"/>
          <w:pgMar w:top="1843" w:right="1134" w:bottom="1190" w:left="1474" w:header="850" w:footer="1134" w:gutter="0"/>
          <w:cols w:space="720"/>
          <w:titlePg/>
          <w:docGrid w:linePitch="326"/>
        </w:sectPr>
      </w:pPr>
      <w:r>
        <w:rPr>
          <w:rFonts w:ascii="Arial" w:eastAsia="方正黑体简体" w:hAnsi="Arial" w:cs="Arial" w:hint="eastAsia"/>
          <w:sz w:val="21"/>
          <w:szCs w:val="21"/>
        </w:rPr>
        <w:t>康正评字</w:t>
      </w:r>
      <w:r>
        <w:rPr>
          <w:rFonts w:ascii="Arial" w:eastAsia="方正黑体简体" w:hAnsi="Arial" w:cs="Arial"/>
          <w:sz w:val="21"/>
          <w:szCs w:val="21"/>
        </w:rPr>
        <w:tab/>
      </w:r>
      <w:r w:rsidR="00094507">
        <w:rPr>
          <w:rFonts w:ascii="Arial" w:eastAsia="方正黑体简体" w:hAnsi="Arial" w:cs="Arial"/>
          <w:sz w:val="21"/>
          <w:szCs w:val="21"/>
        </w:rPr>
        <w:t>2025-1-0888-F01ZLGJ6</w:t>
      </w:r>
      <w:r>
        <w:rPr>
          <w:rFonts w:ascii="Arial" w:eastAsia="方正黑体简体" w:hAnsi="Arial" w:cs="Arial" w:hint="eastAsia"/>
          <w:sz w:val="21"/>
          <w:szCs w:val="21"/>
        </w:rPr>
        <w:t>号</w:t>
      </w:r>
    </w:p>
    <w:p w14:paraId="699DDB90" w14:textId="77777777" w:rsidR="00AF6F34" w:rsidRDefault="00AF6F34">
      <w:pPr>
        <w:pStyle w:val="af3"/>
        <w:rPr>
          <w:rFonts w:ascii="Arial" w:eastAsia="方正黑体简体" w:hAnsi="Arial" w:cs="Arial"/>
          <w:sz w:val="21"/>
          <w:szCs w:val="21"/>
        </w:rPr>
        <w:sectPr w:rsidR="00AF6F34" w:rsidSect="00B943B0">
          <w:headerReference w:type="even" r:id="rId12"/>
          <w:headerReference w:type="default" r:id="rId13"/>
          <w:footerReference w:type="even" r:id="rId14"/>
          <w:footerReference w:type="default" r:id="rId15"/>
          <w:headerReference w:type="first" r:id="rId16"/>
          <w:footerReference w:type="first" r:id="rId17"/>
          <w:pgSz w:w="11906" w:h="16838"/>
          <w:pgMar w:top="1843" w:right="1134" w:bottom="1190" w:left="1474" w:header="850" w:footer="1134" w:gutter="0"/>
          <w:cols w:space="720"/>
          <w:titlePg/>
          <w:docGrid w:linePitch="326"/>
        </w:sectPr>
      </w:pPr>
    </w:p>
    <w:p w14:paraId="67FD0145" w14:textId="77777777" w:rsidR="00AF6F34" w:rsidRDefault="00AF6F34">
      <w:pPr>
        <w:pStyle w:val="1"/>
        <w:spacing w:line="480" w:lineRule="auto"/>
        <w:jc w:val="center"/>
      </w:pPr>
      <w:bookmarkStart w:id="0" w:name="_Toc161661001"/>
      <w:r>
        <w:rPr>
          <w:rFonts w:eastAsia="方正黑体简体"/>
          <w:b w:val="0"/>
          <w:color w:val="000000"/>
          <w:kern w:val="2"/>
          <w:sz w:val="32"/>
          <w:szCs w:val="32"/>
        </w:rPr>
        <w:lastRenderedPageBreak/>
        <w:t>致估价委托人函</w:t>
      </w:r>
      <w:bookmarkEnd w:id="0"/>
    </w:p>
    <w:p w14:paraId="7026ABB9" w14:textId="77777777" w:rsidR="00AF6F34" w:rsidRDefault="00DE3E5A">
      <w:pPr>
        <w:overflowPunct w:val="0"/>
        <w:spacing w:before="120" w:line="480" w:lineRule="auto"/>
        <w:jc w:val="both"/>
        <w:textAlignment w:val="auto"/>
      </w:pPr>
      <w:r>
        <w:rPr>
          <w:rFonts w:ascii="Arial" w:hAnsi="Arial" w:cs="Arial" w:hint="eastAsia"/>
          <w:b/>
          <w:bCs/>
          <w:sz w:val="21"/>
          <w:szCs w:val="21"/>
        </w:rPr>
        <w:t>北京亦庄国际人才发展集团有限公司</w:t>
      </w:r>
      <w:r w:rsidR="00AF6F34">
        <w:rPr>
          <w:rFonts w:ascii="Arial" w:hAnsi="Arial" w:cs="Arial"/>
          <w:b/>
          <w:bCs/>
          <w:sz w:val="21"/>
          <w:szCs w:val="21"/>
        </w:rPr>
        <w:t>：</w:t>
      </w:r>
    </w:p>
    <w:p w14:paraId="1696DB7C" w14:textId="77777777" w:rsidR="00AF6F34" w:rsidRDefault="00AF6F34">
      <w:pPr>
        <w:overflowPunct w:val="0"/>
        <w:spacing w:line="480" w:lineRule="auto"/>
        <w:ind w:firstLine="420"/>
        <w:jc w:val="both"/>
        <w:textAlignment w:val="auto"/>
      </w:pPr>
      <w:r>
        <w:rPr>
          <w:rFonts w:ascii="Arial" w:hAnsi="Arial" w:cs="Arial"/>
          <w:kern w:val="2"/>
          <w:sz w:val="21"/>
          <w:szCs w:val="21"/>
        </w:rPr>
        <w:t>受贵单位委托，我公司对</w:t>
      </w:r>
      <w:r>
        <w:rPr>
          <w:rFonts w:ascii="Arial" w:hAnsi="Arial" w:cs="Arial" w:hint="eastAsia"/>
          <w:kern w:val="2"/>
          <w:sz w:val="21"/>
          <w:szCs w:val="21"/>
        </w:rPr>
        <w:t>北京经济技术开发区</w:t>
      </w:r>
      <w:r w:rsidR="00DE3E5A">
        <w:rPr>
          <w:rFonts w:ascii="Arial" w:hAnsi="Arial" w:cs="Arial" w:hint="eastAsia"/>
          <w:kern w:val="2"/>
          <w:sz w:val="21"/>
          <w:szCs w:val="21"/>
        </w:rPr>
        <w:t>南海家园一里</w:t>
      </w:r>
      <w:r w:rsidR="00DE3E5A">
        <w:rPr>
          <w:rFonts w:ascii="Arial" w:hAnsi="Arial" w:cs="Arial" w:hint="eastAsia"/>
          <w:kern w:val="2"/>
          <w:sz w:val="21"/>
          <w:szCs w:val="21"/>
        </w:rPr>
        <w:t>1</w:t>
      </w:r>
      <w:r w:rsidR="00DE3E5A">
        <w:rPr>
          <w:rFonts w:ascii="Arial" w:hAnsi="Arial" w:cs="Arial" w:hint="eastAsia"/>
          <w:kern w:val="2"/>
          <w:sz w:val="21"/>
          <w:szCs w:val="21"/>
        </w:rPr>
        <w:t>号楼</w:t>
      </w:r>
      <w:r w:rsidR="00DE3E5A">
        <w:rPr>
          <w:rFonts w:ascii="Arial" w:hAnsi="Arial" w:cs="Arial" w:hint="eastAsia"/>
          <w:kern w:val="2"/>
          <w:sz w:val="21"/>
          <w:szCs w:val="21"/>
        </w:rPr>
        <w:t>4</w:t>
      </w:r>
      <w:r w:rsidR="00DE3E5A">
        <w:rPr>
          <w:rFonts w:ascii="Arial" w:hAnsi="Arial" w:cs="Arial" w:hint="eastAsia"/>
          <w:kern w:val="2"/>
          <w:sz w:val="21"/>
          <w:szCs w:val="21"/>
        </w:rPr>
        <w:t>单元</w:t>
      </w:r>
      <w:r w:rsidR="00DE3E5A">
        <w:rPr>
          <w:rFonts w:ascii="Arial" w:hAnsi="Arial" w:cs="Arial" w:hint="eastAsia"/>
          <w:kern w:val="2"/>
          <w:sz w:val="21"/>
          <w:szCs w:val="21"/>
        </w:rPr>
        <w:t>1802</w:t>
      </w:r>
      <w:r>
        <w:rPr>
          <w:rFonts w:ascii="Arial" w:hAnsi="Arial" w:cs="Arial" w:hint="eastAsia"/>
          <w:kern w:val="2"/>
          <w:sz w:val="21"/>
          <w:szCs w:val="21"/>
        </w:rPr>
        <w:t>等</w:t>
      </w:r>
      <w:r w:rsidR="00DE3E5A">
        <w:rPr>
          <w:rFonts w:ascii="Arial" w:hAnsi="Arial" w:cs="Arial" w:hint="eastAsia"/>
          <w:kern w:val="2"/>
          <w:sz w:val="21"/>
          <w:szCs w:val="21"/>
        </w:rPr>
        <w:t>959</w:t>
      </w:r>
      <w:r w:rsidR="00DE3E5A">
        <w:rPr>
          <w:rFonts w:ascii="Arial" w:hAnsi="Arial" w:cs="Arial" w:hint="eastAsia"/>
          <w:kern w:val="2"/>
          <w:sz w:val="21"/>
          <w:szCs w:val="21"/>
        </w:rPr>
        <w:t>套</w:t>
      </w:r>
      <w:r>
        <w:rPr>
          <w:rFonts w:ascii="Arial" w:hAnsi="Arial" w:cs="Arial" w:hint="eastAsia"/>
          <w:kern w:val="2"/>
          <w:sz w:val="21"/>
          <w:szCs w:val="21"/>
        </w:rPr>
        <w:t>（南海家园）住宅用房的市场租金</w:t>
      </w:r>
      <w:r>
        <w:rPr>
          <w:rFonts w:ascii="Arial" w:hAnsi="Arial" w:cs="Arial"/>
          <w:kern w:val="2"/>
          <w:sz w:val="21"/>
          <w:szCs w:val="21"/>
        </w:rPr>
        <w:t>进行了评估。</w:t>
      </w:r>
    </w:p>
    <w:p w14:paraId="346EE084" w14:textId="77777777" w:rsidR="00AF6F34" w:rsidRDefault="00AF6F34">
      <w:pPr>
        <w:overflowPunct w:val="0"/>
        <w:spacing w:line="480" w:lineRule="auto"/>
        <w:ind w:firstLine="422"/>
        <w:jc w:val="both"/>
        <w:textAlignment w:val="auto"/>
      </w:pPr>
      <w:r>
        <w:rPr>
          <w:rFonts w:ascii="Arial" w:hAnsi="Arial" w:cs="Arial"/>
          <w:b/>
          <w:bCs/>
          <w:color w:val="000000"/>
          <w:sz w:val="21"/>
          <w:szCs w:val="21"/>
        </w:rPr>
        <w:t>估价目的：</w:t>
      </w:r>
      <w:r>
        <w:rPr>
          <w:rFonts w:ascii="Arial" w:hAnsi="Arial" w:cs="Arial" w:hint="eastAsia"/>
          <w:sz w:val="21"/>
          <w:szCs w:val="21"/>
        </w:rPr>
        <w:t>为估价委托人</w:t>
      </w:r>
      <w:r w:rsidR="00BC3CD9">
        <w:rPr>
          <w:rFonts w:ascii="Arial" w:hAnsi="Arial" w:cs="Arial" w:hint="eastAsia"/>
          <w:sz w:val="21"/>
          <w:szCs w:val="21"/>
        </w:rPr>
        <w:t>确定估价对象</w:t>
      </w:r>
      <w:r w:rsidR="00EF400F">
        <w:rPr>
          <w:rFonts w:ascii="Arial" w:hAnsi="Arial" w:cs="Arial" w:hint="eastAsia"/>
          <w:sz w:val="21"/>
          <w:szCs w:val="21"/>
        </w:rPr>
        <w:t>市场租赁住房</w:t>
      </w:r>
      <w:r w:rsidR="00BC3CD9">
        <w:rPr>
          <w:rFonts w:ascii="Arial" w:hAnsi="Arial" w:cs="Arial" w:hint="eastAsia"/>
          <w:sz w:val="21"/>
          <w:szCs w:val="21"/>
        </w:rPr>
        <w:t>租金水平</w:t>
      </w:r>
      <w:r>
        <w:rPr>
          <w:rFonts w:ascii="Arial" w:hAnsi="Arial" w:cs="Arial" w:hint="eastAsia"/>
          <w:sz w:val="21"/>
          <w:szCs w:val="21"/>
        </w:rPr>
        <w:t>提供参考依据</w:t>
      </w:r>
      <w:r>
        <w:rPr>
          <w:rFonts w:ascii="Arial" w:hAnsi="Arial" w:cs="Arial"/>
          <w:sz w:val="21"/>
          <w:szCs w:val="21"/>
        </w:rPr>
        <w:t>。</w:t>
      </w:r>
    </w:p>
    <w:p w14:paraId="1CA7F1D6" w14:textId="77777777" w:rsidR="00AF6F34" w:rsidRDefault="00AF6F34">
      <w:pPr>
        <w:overflowPunct w:val="0"/>
        <w:spacing w:line="480" w:lineRule="auto"/>
        <w:ind w:firstLine="422"/>
        <w:jc w:val="both"/>
        <w:textAlignment w:val="auto"/>
      </w:pPr>
      <w:r>
        <w:rPr>
          <w:rFonts w:ascii="Arial" w:hAnsi="Arial" w:cs="Arial"/>
          <w:b/>
          <w:bCs/>
          <w:sz w:val="21"/>
          <w:szCs w:val="21"/>
        </w:rPr>
        <w:t>估价对象：</w:t>
      </w:r>
      <w:r>
        <w:rPr>
          <w:rFonts w:ascii="Arial" w:hAnsi="Arial" w:cs="Arial" w:hint="eastAsia"/>
          <w:sz w:val="21"/>
          <w:szCs w:val="21"/>
        </w:rPr>
        <w:t>根据不动产权利人提供的</w:t>
      </w:r>
      <w:r w:rsidR="00B01A7B">
        <w:rPr>
          <w:rFonts w:ascii="Arial" w:hAnsi="Arial" w:cs="Arial" w:hint="eastAsia"/>
          <w:kern w:val="2"/>
          <w:sz w:val="21"/>
          <w:szCs w:val="21"/>
        </w:rPr>
        <w:t>《房屋所有权证》</w:t>
      </w:r>
      <w:r w:rsidR="00B01A7B">
        <w:rPr>
          <w:rFonts w:ascii="Arial" w:hAnsi="Arial" w:cs="Arial" w:hint="eastAsia"/>
          <w:kern w:val="2"/>
          <w:sz w:val="21"/>
          <w:szCs w:val="21"/>
        </w:rPr>
        <w:t>[X</w:t>
      </w:r>
      <w:r w:rsidR="00B01A7B">
        <w:rPr>
          <w:rFonts w:ascii="Arial" w:hAnsi="Arial" w:cs="Arial" w:hint="eastAsia"/>
          <w:kern w:val="2"/>
          <w:sz w:val="21"/>
          <w:szCs w:val="21"/>
        </w:rPr>
        <w:t>京房权证开字第</w:t>
      </w:r>
      <w:r w:rsidR="00B01A7B">
        <w:rPr>
          <w:rFonts w:ascii="Arial" w:hAnsi="Arial" w:cs="Arial" w:hint="eastAsia"/>
          <w:kern w:val="2"/>
          <w:sz w:val="21"/>
          <w:szCs w:val="21"/>
        </w:rPr>
        <w:t>034346</w:t>
      </w:r>
      <w:r w:rsidR="00B01A7B">
        <w:rPr>
          <w:rFonts w:ascii="Arial" w:hAnsi="Arial" w:cs="Arial" w:hint="eastAsia"/>
          <w:kern w:val="2"/>
          <w:sz w:val="21"/>
          <w:szCs w:val="21"/>
        </w:rPr>
        <w:t>、</w:t>
      </w:r>
      <w:r w:rsidR="00B01A7B">
        <w:rPr>
          <w:rFonts w:ascii="Arial" w:hAnsi="Arial" w:cs="Arial" w:hint="eastAsia"/>
          <w:kern w:val="2"/>
          <w:sz w:val="21"/>
          <w:szCs w:val="21"/>
        </w:rPr>
        <w:t>034198</w:t>
      </w:r>
      <w:r w:rsidR="00B01A7B">
        <w:rPr>
          <w:rFonts w:ascii="Arial" w:hAnsi="Arial" w:cs="Arial" w:hint="eastAsia"/>
          <w:kern w:val="2"/>
          <w:sz w:val="21"/>
          <w:szCs w:val="21"/>
        </w:rPr>
        <w:t>、</w:t>
      </w:r>
      <w:r w:rsidR="00B01A7B">
        <w:rPr>
          <w:rFonts w:ascii="Arial" w:hAnsi="Arial" w:cs="Arial" w:hint="eastAsia"/>
          <w:kern w:val="2"/>
          <w:sz w:val="21"/>
          <w:szCs w:val="21"/>
        </w:rPr>
        <w:t>034354</w:t>
      </w:r>
      <w:r w:rsidR="00B01A7B">
        <w:rPr>
          <w:rFonts w:ascii="Arial" w:hAnsi="Arial" w:cs="Arial" w:hint="eastAsia"/>
          <w:kern w:val="2"/>
          <w:sz w:val="21"/>
          <w:szCs w:val="21"/>
        </w:rPr>
        <w:t>、</w:t>
      </w:r>
      <w:r w:rsidR="00B01A7B">
        <w:rPr>
          <w:rFonts w:ascii="Arial" w:hAnsi="Arial" w:cs="Arial" w:hint="eastAsia"/>
          <w:kern w:val="2"/>
          <w:sz w:val="21"/>
          <w:szCs w:val="21"/>
        </w:rPr>
        <w:t>034348</w:t>
      </w:r>
      <w:r w:rsidR="00B01A7B">
        <w:rPr>
          <w:rFonts w:ascii="Arial" w:hAnsi="Arial" w:cs="Arial" w:hint="eastAsia"/>
          <w:kern w:val="2"/>
          <w:sz w:val="21"/>
          <w:szCs w:val="21"/>
        </w:rPr>
        <w:t>、</w:t>
      </w:r>
      <w:r w:rsidR="00B01A7B">
        <w:rPr>
          <w:rFonts w:ascii="Arial" w:hAnsi="Arial" w:cs="Arial" w:hint="eastAsia"/>
          <w:kern w:val="2"/>
          <w:sz w:val="21"/>
          <w:szCs w:val="21"/>
        </w:rPr>
        <w:t>034199</w:t>
      </w:r>
      <w:r w:rsidR="00B01A7B">
        <w:rPr>
          <w:rFonts w:ascii="Arial" w:hAnsi="Arial" w:cs="Arial" w:hint="eastAsia"/>
          <w:kern w:val="2"/>
          <w:sz w:val="21"/>
          <w:szCs w:val="21"/>
        </w:rPr>
        <w:t>、</w:t>
      </w:r>
      <w:r w:rsidR="00B01A7B">
        <w:rPr>
          <w:rFonts w:ascii="Arial" w:hAnsi="Arial" w:cs="Arial" w:hint="eastAsia"/>
          <w:kern w:val="2"/>
          <w:sz w:val="21"/>
          <w:szCs w:val="21"/>
        </w:rPr>
        <w:t>034680</w:t>
      </w:r>
      <w:r w:rsidR="00B01A7B">
        <w:rPr>
          <w:rFonts w:ascii="Arial" w:hAnsi="Arial" w:cs="Arial" w:hint="eastAsia"/>
          <w:kern w:val="2"/>
          <w:sz w:val="21"/>
          <w:szCs w:val="21"/>
        </w:rPr>
        <w:t>、</w:t>
      </w:r>
      <w:r w:rsidR="00B01A7B">
        <w:rPr>
          <w:rFonts w:ascii="Arial" w:hAnsi="Arial" w:cs="Arial" w:hint="eastAsia"/>
          <w:kern w:val="2"/>
          <w:sz w:val="21"/>
          <w:szCs w:val="21"/>
        </w:rPr>
        <w:t>034671</w:t>
      </w:r>
      <w:r w:rsidR="00B01A7B">
        <w:rPr>
          <w:rFonts w:ascii="Arial" w:hAnsi="Arial" w:cs="Arial" w:hint="eastAsia"/>
          <w:kern w:val="2"/>
          <w:sz w:val="21"/>
          <w:szCs w:val="21"/>
        </w:rPr>
        <w:t>号</w:t>
      </w:r>
      <w:r w:rsidR="00B01A7B">
        <w:rPr>
          <w:rFonts w:ascii="Arial" w:hAnsi="Arial" w:cs="Arial" w:hint="eastAsia"/>
          <w:kern w:val="2"/>
          <w:sz w:val="21"/>
          <w:szCs w:val="21"/>
        </w:rPr>
        <w:t>]</w:t>
      </w:r>
      <w:r w:rsidR="00B01A7B">
        <w:rPr>
          <w:rFonts w:ascii="Arial" w:hAnsi="Arial" w:cs="Arial" w:hint="eastAsia"/>
          <w:kern w:val="2"/>
          <w:sz w:val="21"/>
          <w:szCs w:val="21"/>
        </w:rPr>
        <w:t>复印件</w:t>
      </w:r>
      <w:r>
        <w:rPr>
          <w:rFonts w:ascii="Arial" w:hAnsi="Arial" w:cs="Arial" w:hint="eastAsia"/>
          <w:kern w:val="2"/>
          <w:sz w:val="21"/>
          <w:szCs w:val="21"/>
        </w:rPr>
        <w:t>、《南海家园房源表》，估价对象为北京经济技术开发区</w:t>
      </w:r>
      <w:r w:rsidR="00DE3E5A">
        <w:rPr>
          <w:rFonts w:ascii="Arial" w:hAnsi="Arial" w:cs="Arial" w:hint="eastAsia"/>
          <w:kern w:val="2"/>
          <w:sz w:val="21"/>
          <w:szCs w:val="21"/>
        </w:rPr>
        <w:t>南海家园一里</w:t>
      </w:r>
      <w:r w:rsidR="00DE3E5A">
        <w:rPr>
          <w:rFonts w:ascii="Arial" w:hAnsi="Arial" w:cs="Arial" w:hint="eastAsia"/>
          <w:kern w:val="2"/>
          <w:sz w:val="21"/>
          <w:szCs w:val="21"/>
        </w:rPr>
        <w:t>1</w:t>
      </w:r>
      <w:r w:rsidR="00DE3E5A">
        <w:rPr>
          <w:rFonts w:ascii="Arial" w:hAnsi="Arial" w:cs="Arial" w:hint="eastAsia"/>
          <w:kern w:val="2"/>
          <w:sz w:val="21"/>
          <w:szCs w:val="21"/>
        </w:rPr>
        <w:t>号楼</w:t>
      </w:r>
      <w:r w:rsidR="00DE3E5A">
        <w:rPr>
          <w:rFonts w:ascii="Arial" w:hAnsi="Arial" w:cs="Arial" w:hint="eastAsia"/>
          <w:kern w:val="2"/>
          <w:sz w:val="21"/>
          <w:szCs w:val="21"/>
        </w:rPr>
        <w:t>4</w:t>
      </w:r>
      <w:r w:rsidR="00DE3E5A">
        <w:rPr>
          <w:rFonts w:ascii="Arial" w:hAnsi="Arial" w:cs="Arial" w:hint="eastAsia"/>
          <w:kern w:val="2"/>
          <w:sz w:val="21"/>
          <w:szCs w:val="21"/>
        </w:rPr>
        <w:t>单元</w:t>
      </w:r>
      <w:r w:rsidR="00DE3E5A">
        <w:rPr>
          <w:rFonts w:ascii="Arial" w:hAnsi="Arial" w:cs="Arial" w:hint="eastAsia"/>
          <w:kern w:val="2"/>
          <w:sz w:val="21"/>
          <w:szCs w:val="21"/>
        </w:rPr>
        <w:t>1802</w:t>
      </w:r>
      <w:r>
        <w:rPr>
          <w:rFonts w:ascii="Arial" w:hAnsi="Arial" w:cs="Arial" w:hint="eastAsia"/>
          <w:kern w:val="2"/>
          <w:sz w:val="21"/>
          <w:szCs w:val="21"/>
        </w:rPr>
        <w:t>等</w:t>
      </w:r>
      <w:r w:rsidR="00DE3E5A">
        <w:rPr>
          <w:rFonts w:ascii="Arial" w:hAnsi="Arial" w:cs="Arial" w:hint="eastAsia"/>
          <w:kern w:val="2"/>
          <w:sz w:val="21"/>
          <w:szCs w:val="21"/>
        </w:rPr>
        <w:t>959</w:t>
      </w:r>
      <w:r w:rsidR="00DE3E5A">
        <w:rPr>
          <w:rFonts w:ascii="Arial" w:hAnsi="Arial" w:cs="Arial" w:hint="eastAsia"/>
          <w:kern w:val="2"/>
          <w:sz w:val="21"/>
          <w:szCs w:val="21"/>
        </w:rPr>
        <w:t>套</w:t>
      </w:r>
      <w:r>
        <w:rPr>
          <w:rFonts w:ascii="Arial" w:hAnsi="Arial" w:cs="Arial" w:hint="eastAsia"/>
          <w:kern w:val="2"/>
          <w:sz w:val="21"/>
          <w:szCs w:val="21"/>
        </w:rPr>
        <w:t>（南海家园）住宅用房项目，现状四至为东至博兴八路，西至三海子东路、四合路，南至姜场街、千顷堂街，北至黄亦路、泰河路。根据估价委托人提供的《估价委托书》、</w:t>
      </w:r>
      <w:r w:rsidR="00B01A7B">
        <w:rPr>
          <w:rFonts w:ascii="Arial" w:hAnsi="Arial" w:cs="Arial" w:hint="eastAsia"/>
          <w:kern w:val="2"/>
          <w:sz w:val="21"/>
          <w:szCs w:val="21"/>
        </w:rPr>
        <w:t>《房屋所有权证》</w:t>
      </w:r>
      <w:r w:rsidR="00B01A7B">
        <w:rPr>
          <w:rFonts w:ascii="Arial" w:hAnsi="Arial" w:cs="Arial" w:hint="eastAsia"/>
          <w:kern w:val="2"/>
          <w:sz w:val="21"/>
          <w:szCs w:val="21"/>
        </w:rPr>
        <w:t>[X</w:t>
      </w:r>
      <w:r w:rsidR="00B01A7B">
        <w:rPr>
          <w:rFonts w:ascii="Arial" w:hAnsi="Arial" w:cs="Arial" w:hint="eastAsia"/>
          <w:kern w:val="2"/>
          <w:sz w:val="21"/>
          <w:szCs w:val="21"/>
        </w:rPr>
        <w:t>京房权证开字第</w:t>
      </w:r>
      <w:r w:rsidR="00B01A7B">
        <w:rPr>
          <w:rFonts w:ascii="Arial" w:hAnsi="Arial" w:cs="Arial" w:hint="eastAsia"/>
          <w:kern w:val="2"/>
          <w:sz w:val="21"/>
          <w:szCs w:val="21"/>
        </w:rPr>
        <w:t>034346</w:t>
      </w:r>
      <w:r w:rsidR="00B01A7B">
        <w:rPr>
          <w:rFonts w:ascii="Arial" w:hAnsi="Arial" w:cs="Arial" w:hint="eastAsia"/>
          <w:kern w:val="2"/>
          <w:sz w:val="21"/>
          <w:szCs w:val="21"/>
        </w:rPr>
        <w:t>、</w:t>
      </w:r>
      <w:r w:rsidR="00B01A7B">
        <w:rPr>
          <w:rFonts w:ascii="Arial" w:hAnsi="Arial" w:cs="Arial" w:hint="eastAsia"/>
          <w:kern w:val="2"/>
          <w:sz w:val="21"/>
          <w:szCs w:val="21"/>
        </w:rPr>
        <w:t>034198</w:t>
      </w:r>
      <w:r w:rsidR="00B01A7B">
        <w:rPr>
          <w:rFonts w:ascii="Arial" w:hAnsi="Arial" w:cs="Arial" w:hint="eastAsia"/>
          <w:kern w:val="2"/>
          <w:sz w:val="21"/>
          <w:szCs w:val="21"/>
        </w:rPr>
        <w:t>、</w:t>
      </w:r>
      <w:r w:rsidR="00B01A7B">
        <w:rPr>
          <w:rFonts w:ascii="Arial" w:hAnsi="Arial" w:cs="Arial" w:hint="eastAsia"/>
          <w:kern w:val="2"/>
          <w:sz w:val="21"/>
          <w:szCs w:val="21"/>
        </w:rPr>
        <w:t>034354</w:t>
      </w:r>
      <w:r w:rsidR="00B01A7B">
        <w:rPr>
          <w:rFonts w:ascii="Arial" w:hAnsi="Arial" w:cs="Arial" w:hint="eastAsia"/>
          <w:kern w:val="2"/>
          <w:sz w:val="21"/>
          <w:szCs w:val="21"/>
        </w:rPr>
        <w:t>、</w:t>
      </w:r>
      <w:r w:rsidR="00B01A7B">
        <w:rPr>
          <w:rFonts w:ascii="Arial" w:hAnsi="Arial" w:cs="Arial" w:hint="eastAsia"/>
          <w:kern w:val="2"/>
          <w:sz w:val="21"/>
          <w:szCs w:val="21"/>
        </w:rPr>
        <w:t>034348</w:t>
      </w:r>
      <w:r w:rsidR="00B01A7B">
        <w:rPr>
          <w:rFonts w:ascii="Arial" w:hAnsi="Arial" w:cs="Arial" w:hint="eastAsia"/>
          <w:kern w:val="2"/>
          <w:sz w:val="21"/>
          <w:szCs w:val="21"/>
        </w:rPr>
        <w:t>、</w:t>
      </w:r>
      <w:r w:rsidR="00B01A7B">
        <w:rPr>
          <w:rFonts w:ascii="Arial" w:hAnsi="Arial" w:cs="Arial" w:hint="eastAsia"/>
          <w:kern w:val="2"/>
          <w:sz w:val="21"/>
          <w:szCs w:val="21"/>
        </w:rPr>
        <w:t>034199</w:t>
      </w:r>
      <w:r w:rsidR="00B01A7B">
        <w:rPr>
          <w:rFonts w:ascii="Arial" w:hAnsi="Arial" w:cs="Arial" w:hint="eastAsia"/>
          <w:kern w:val="2"/>
          <w:sz w:val="21"/>
          <w:szCs w:val="21"/>
        </w:rPr>
        <w:t>、</w:t>
      </w:r>
      <w:r w:rsidR="00B01A7B">
        <w:rPr>
          <w:rFonts w:ascii="Arial" w:hAnsi="Arial" w:cs="Arial" w:hint="eastAsia"/>
          <w:kern w:val="2"/>
          <w:sz w:val="21"/>
          <w:szCs w:val="21"/>
        </w:rPr>
        <w:t>034680</w:t>
      </w:r>
      <w:r w:rsidR="00B01A7B">
        <w:rPr>
          <w:rFonts w:ascii="Arial" w:hAnsi="Arial" w:cs="Arial" w:hint="eastAsia"/>
          <w:kern w:val="2"/>
          <w:sz w:val="21"/>
          <w:szCs w:val="21"/>
        </w:rPr>
        <w:t>、</w:t>
      </w:r>
      <w:r w:rsidR="00B01A7B">
        <w:rPr>
          <w:rFonts w:ascii="Arial" w:hAnsi="Arial" w:cs="Arial" w:hint="eastAsia"/>
          <w:kern w:val="2"/>
          <w:sz w:val="21"/>
          <w:szCs w:val="21"/>
        </w:rPr>
        <w:t>034671</w:t>
      </w:r>
      <w:r w:rsidR="00B01A7B">
        <w:rPr>
          <w:rFonts w:ascii="Arial" w:hAnsi="Arial" w:cs="Arial" w:hint="eastAsia"/>
          <w:kern w:val="2"/>
          <w:sz w:val="21"/>
          <w:szCs w:val="21"/>
        </w:rPr>
        <w:t>号</w:t>
      </w:r>
      <w:r w:rsidR="00B01A7B">
        <w:rPr>
          <w:rFonts w:ascii="Arial" w:hAnsi="Arial" w:cs="Arial" w:hint="eastAsia"/>
          <w:kern w:val="2"/>
          <w:sz w:val="21"/>
          <w:szCs w:val="21"/>
        </w:rPr>
        <w:t>]</w:t>
      </w:r>
      <w:r w:rsidR="00B01A7B">
        <w:rPr>
          <w:rFonts w:ascii="Arial" w:hAnsi="Arial" w:cs="Arial" w:hint="eastAsia"/>
          <w:kern w:val="2"/>
          <w:sz w:val="21"/>
          <w:szCs w:val="21"/>
        </w:rPr>
        <w:t>复印件</w:t>
      </w:r>
      <w:r>
        <w:rPr>
          <w:rFonts w:ascii="Arial" w:hAnsi="Arial" w:cs="Arial" w:hint="eastAsia"/>
          <w:kern w:val="2"/>
          <w:sz w:val="21"/>
          <w:szCs w:val="21"/>
        </w:rPr>
        <w:t>、《南海家园房源表》及其</w:t>
      </w:r>
      <w:r>
        <w:rPr>
          <w:rFonts w:ascii="Arial" w:hAnsi="Arial" w:cs="Arial" w:hint="eastAsia"/>
          <w:sz w:val="21"/>
          <w:szCs w:val="21"/>
        </w:rPr>
        <w:t>介绍</w:t>
      </w:r>
      <w:r>
        <w:rPr>
          <w:rFonts w:ascii="Arial" w:hAnsi="Arial" w:cs="Arial" w:hint="eastAsia"/>
          <w:kern w:val="2"/>
          <w:sz w:val="21"/>
          <w:szCs w:val="21"/>
        </w:rPr>
        <w:t>，估价对象所属宗地土地用途为城镇住宅用地等，房屋所有人为北京经济技术投资开发总公司，共有情况为单独所有，房屋性质为商品房，用途为住宅，总建筑面积</w:t>
      </w:r>
      <w:r w:rsidR="00FB51B2">
        <w:rPr>
          <w:rFonts w:ascii="Arial" w:hAnsi="Arial" w:cs="Arial"/>
          <w:kern w:val="2"/>
          <w:sz w:val="21"/>
          <w:szCs w:val="21"/>
        </w:rPr>
        <w:t>74521.94</w:t>
      </w:r>
      <w:r>
        <w:rPr>
          <w:rFonts w:ascii="Arial" w:hAnsi="Arial" w:cs="Arial" w:hint="eastAsia"/>
          <w:kern w:val="2"/>
          <w:sz w:val="21"/>
          <w:szCs w:val="21"/>
        </w:rPr>
        <w:t>平方米。</w:t>
      </w:r>
      <w:r>
        <w:rPr>
          <w:rFonts w:ascii="Arial" w:hAnsi="Arial" w:cs="Arial" w:hint="eastAsia"/>
          <w:sz w:val="21"/>
          <w:szCs w:val="21"/>
        </w:rPr>
        <w:t>具体情况如下：</w:t>
      </w:r>
    </w:p>
    <w:tbl>
      <w:tblPr>
        <w:tblW w:w="5000" w:type="pct"/>
        <w:tblInd w:w="-117" w:type="dxa"/>
        <w:tblLayout w:type="fixed"/>
        <w:tblLook w:val="0000" w:firstRow="0" w:lastRow="0" w:firstColumn="0" w:lastColumn="0" w:noHBand="0" w:noVBand="0"/>
      </w:tblPr>
      <w:tblGrid>
        <w:gridCol w:w="1026"/>
        <w:gridCol w:w="1027"/>
        <w:gridCol w:w="1063"/>
        <w:gridCol w:w="1027"/>
        <w:gridCol w:w="1026"/>
        <w:gridCol w:w="1027"/>
        <w:gridCol w:w="1064"/>
        <w:gridCol w:w="1065"/>
        <w:gridCol w:w="1189"/>
      </w:tblGrid>
      <w:tr w:rsidR="00AF6F34" w14:paraId="222369F2" w14:textId="77777777" w:rsidTr="00FB51B2">
        <w:trPr>
          <w:trHeight w:val="23"/>
        </w:trPr>
        <w:tc>
          <w:tcPr>
            <w:tcW w:w="1026" w:type="dxa"/>
            <w:tcBorders>
              <w:top w:val="single" w:sz="4" w:space="0" w:color="000000"/>
              <w:left w:val="single" w:sz="4" w:space="0" w:color="000000"/>
              <w:bottom w:val="single" w:sz="4" w:space="0" w:color="000000"/>
            </w:tcBorders>
            <w:shd w:val="clear" w:color="auto" w:fill="auto"/>
            <w:vAlign w:val="center"/>
          </w:tcPr>
          <w:p w14:paraId="71F555F6"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户型</w:t>
            </w:r>
          </w:p>
        </w:tc>
        <w:tc>
          <w:tcPr>
            <w:tcW w:w="1027" w:type="dxa"/>
            <w:tcBorders>
              <w:top w:val="single" w:sz="4" w:space="0" w:color="000000"/>
              <w:left w:val="single" w:sz="4" w:space="0" w:color="000000"/>
              <w:bottom w:val="single" w:sz="4" w:space="0" w:color="000000"/>
            </w:tcBorders>
            <w:shd w:val="clear" w:color="auto" w:fill="auto"/>
            <w:vAlign w:val="center"/>
          </w:tcPr>
          <w:p w14:paraId="6BEFB98C"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南海家园一里</w:t>
            </w:r>
          </w:p>
        </w:tc>
        <w:tc>
          <w:tcPr>
            <w:tcW w:w="1063" w:type="dxa"/>
            <w:tcBorders>
              <w:top w:val="single" w:sz="4" w:space="0" w:color="000000"/>
              <w:left w:val="single" w:sz="4" w:space="0" w:color="000000"/>
              <w:bottom w:val="single" w:sz="4" w:space="0" w:color="000000"/>
            </w:tcBorders>
            <w:shd w:val="clear" w:color="auto" w:fill="auto"/>
            <w:vAlign w:val="center"/>
          </w:tcPr>
          <w:p w14:paraId="66AE2160"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南海家园二里</w:t>
            </w:r>
          </w:p>
        </w:tc>
        <w:tc>
          <w:tcPr>
            <w:tcW w:w="1027" w:type="dxa"/>
            <w:tcBorders>
              <w:top w:val="single" w:sz="4" w:space="0" w:color="000000"/>
              <w:left w:val="single" w:sz="4" w:space="0" w:color="000000"/>
              <w:bottom w:val="single" w:sz="4" w:space="0" w:color="000000"/>
            </w:tcBorders>
            <w:shd w:val="clear" w:color="auto" w:fill="auto"/>
            <w:vAlign w:val="center"/>
          </w:tcPr>
          <w:p w14:paraId="414340E8"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南海家园三里</w:t>
            </w:r>
          </w:p>
        </w:tc>
        <w:tc>
          <w:tcPr>
            <w:tcW w:w="1026" w:type="dxa"/>
            <w:tcBorders>
              <w:top w:val="single" w:sz="4" w:space="0" w:color="000000"/>
              <w:left w:val="single" w:sz="4" w:space="0" w:color="000000"/>
              <w:bottom w:val="single" w:sz="4" w:space="0" w:color="000000"/>
            </w:tcBorders>
            <w:shd w:val="clear" w:color="auto" w:fill="auto"/>
            <w:vAlign w:val="center"/>
          </w:tcPr>
          <w:p w14:paraId="4C1DE6BD"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南海家园四里</w:t>
            </w:r>
          </w:p>
        </w:tc>
        <w:tc>
          <w:tcPr>
            <w:tcW w:w="1027" w:type="dxa"/>
            <w:tcBorders>
              <w:top w:val="single" w:sz="4" w:space="0" w:color="000000"/>
              <w:left w:val="single" w:sz="4" w:space="0" w:color="000000"/>
              <w:bottom w:val="single" w:sz="4" w:space="0" w:color="000000"/>
            </w:tcBorders>
            <w:shd w:val="clear" w:color="auto" w:fill="auto"/>
            <w:vAlign w:val="center"/>
          </w:tcPr>
          <w:p w14:paraId="3229AE10"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南海家园五里</w:t>
            </w:r>
          </w:p>
        </w:tc>
        <w:tc>
          <w:tcPr>
            <w:tcW w:w="1064" w:type="dxa"/>
            <w:tcBorders>
              <w:top w:val="single" w:sz="4" w:space="0" w:color="000000"/>
              <w:left w:val="single" w:sz="4" w:space="0" w:color="000000"/>
              <w:bottom w:val="single" w:sz="4" w:space="0" w:color="000000"/>
            </w:tcBorders>
            <w:shd w:val="clear" w:color="auto" w:fill="auto"/>
            <w:vAlign w:val="center"/>
          </w:tcPr>
          <w:p w14:paraId="040767A5"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南海家园六里</w:t>
            </w:r>
          </w:p>
        </w:tc>
        <w:tc>
          <w:tcPr>
            <w:tcW w:w="1065" w:type="dxa"/>
            <w:tcBorders>
              <w:top w:val="single" w:sz="4" w:space="0" w:color="000000"/>
              <w:left w:val="single" w:sz="4" w:space="0" w:color="000000"/>
              <w:bottom w:val="single" w:sz="4" w:space="0" w:color="000000"/>
            </w:tcBorders>
            <w:shd w:val="clear" w:color="auto" w:fill="auto"/>
            <w:vAlign w:val="center"/>
          </w:tcPr>
          <w:p w14:paraId="2B1FD186"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南海家园七里</w:t>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5DE70"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小计</w:t>
            </w:r>
          </w:p>
        </w:tc>
      </w:tr>
      <w:tr w:rsidR="00FB51B2" w14:paraId="5B6D0C7F" w14:textId="77777777" w:rsidTr="00FB51B2">
        <w:trPr>
          <w:trHeight w:val="23"/>
        </w:trPr>
        <w:tc>
          <w:tcPr>
            <w:tcW w:w="1026" w:type="dxa"/>
            <w:tcBorders>
              <w:left w:val="single" w:sz="4" w:space="0" w:color="000000"/>
              <w:bottom w:val="single" w:sz="4" w:space="0" w:color="000000"/>
            </w:tcBorders>
            <w:shd w:val="clear" w:color="auto" w:fill="auto"/>
            <w:vAlign w:val="center"/>
          </w:tcPr>
          <w:p w14:paraId="43A43B1C" w14:textId="77777777" w:rsidR="00FB51B2" w:rsidRDefault="00FB51B2" w:rsidP="00FB51B2">
            <w:pPr>
              <w:widowControl/>
              <w:spacing w:line="240" w:lineRule="auto"/>
              <w:jc w:val="center"/>
              <w:textAlignment w:val="auto"/>
            </w:pPr>
            <w:r>
              <w:rPr>
                <w:rFonts w:ascii="华文细黑" w:eastAsia="华文细黑" w:hAnsi="华文细黑" w:cs="Arial" w:hint="eastAsia"/>
                <w:sz w:val="18"/>
                <w:szCs w:val="18"/>
              </w:rPr>
              <w:t>一居</w:t>
            </w:r>
          </w:p>
        </w:tc>
        <w:tc>
          <w:tcPr>
            <w:tcW w:w="1027" w:type="dxa"/>
            <w:tcBorders>
              <w:left w:val="single" w:sz="4" w:space="0" w:color="000000"/>
              <w:bottom w:val="single" w:sz="4" w:space="0" w:color="000000"/>
            </w:tcBorders>
            <w:shd w:val="clear" w:color="auto" w:fill="auto"/>
            <w:vAlign w:val="center"/>
          </w:tcPr>
          <w:p w14:paraId="0E7C84FB"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14</w:t>
            </w:r>
          </w:p>
        </w:tc>
        <w:tc>
          <w:tcPr>
            <w:tcW w:w="1063" w:type="dxa"/>
            <w:tcBorders>
              <w:left w:val="single" w:sz="4" w:space="0" w:color="000000"/>
              <w:bottom w:val="single" w:sz="4" w:space="0" w:color="000000"/>
            </w:tcBorders>
            <w:shd w:val="clear" w:color="auto" w:fill="auto"/>
            <w:vAlign w:val="center"/>
          </w:tcPr>
          <w:p w14:paraId="5A06428F"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72</w:t>
            </w:r>
          </w:p>
        </w:tc>
        <w:tc>
          <w:tcPr>
            <w:tcW w:w="1027" w:type="dxa"/>
            <w:tcBorders>
              <w:left w:val="single" w:sz="4" w:space="0" w:color="000000"/>
              <w:bottom w:val="single" w:sz="4" w:space="0" w:color="000000"/>
            </w:tcBorders>
            <w:shd w:val="clear" w:color="auto" w:fill="auto"/>
            <w:vAlign w:val="center"/>
          </w:tcPr>
          <w:p w14:paraId="3D345CB0"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12</w:t>
            </w:r>
          </w:p>
        </w:tc>
        <w:tc>
          <w:tcPr>
            <w:tcW w:w="1026" w:type="dxa"/>
            <w:tcBorders>
              <w:left w:val="single" w:sz="4" w:space="0" w:color="000000"/>
              <w:bottom w:val="single" w:sz="4" w:space="0" w:color="000000"/>
            </w:tcBorders>
            <w:shd w:val="clear" w:color="auto" w:fill="auto"/>
            <w:vAlign w:val="center"/>
          </w:tcPr>
          <w:p w14:paraId="1CD4A5A1"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29</w:t>
            </w:r>
          </w:p>
        </w:tc>
        <w:tc>
          <w:tcPr>
            <w:tcW w:w="1027" w:type="dxa"/>
            <w:tcBorders>
              <w:left w:val="single" w:sz="4" w:space="0" w:color="000000"/>
              <w:bottom w:val="single" w:sz="4" w:space="0" w:color="000000"/>
            </w:tcBorders>
            <w:shd w:val="clear" w:color="auto" w:fill="auto"/>
            <w:vAlign w:val="center"/>
          </w:tcPr>
          <w:p w14:paraId="24E2D53A"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15</w:t>
            </w:r>
          </w:p>
        </w:tc>
        <w:tc>
          <w:tcPr>
            <w:tcW w:w="1064" w:type="dxa"/>
            <w:tcBorders>
              <w:left w:val="single" w:sz="4" w:space="0" w:color="000000"/>
              <w:bottom w:val="single" w:sz="4" w:space="0" w:color="000000"/>
            </w:tcBorders>
            <w:shd w:val="clear" w:color="auto" w:fill="auto"/>
            <w:vAlign w:val="center"/>
          </w:tcPr>
          <w:p w14:paraId="2D1ACD57"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90</w:t>
            </w:r>
          </w:p>
        </w:tc>
        <w:tc>
          <w:tcPr>
            <w:tcW w:w="1065" w:type="dxa"/>
            <w:tcBorders>
              <w:left w:val="single" w:sz="4" w:space="0" w:color="000000"/>
              <w:bottom w:val="single" w:sz="4" w:space="0" w:color="000000"/>
            </w:tcBorders>
            <w:shd w:val="clear" w:color="auto" w:fill="auto"/>
            <w:vAlign w:val="center"/>
          </w:tcPr>
          <w:p w14:paraId="78445014"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262</w:t>
            </w:r>
          </w:p>
        </w:tc>
        <w:tc>
          <w:tcPr>
            <w:tcW w:w="1189" w:type="dxa"/>
            <w:tcBorders>
              <w:left w:val="single" w:sz="4" w:space="0" w:color="000000"/>
              <w:bottom w:val="single" w:sz="4" w:space="0" w:color="000000"/>
              <w:right w:val="single" w:sz="4" w:space="0" w:color="000000"/>
            </w:tcBorders>
            <w:shd w:val="clear" w:color="auto" w:fill="auto"/>
            <w:vAlign w:val="center"/>
          </w:tcPr>
          <w:p w14:paraId="6FC1086C"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494</w:t>
            </w:r>
          </w:p>
        </w:tc>
      </w:tr>
      <w:tr w:rsidR="00FB51B2" w14:paraId="7AAADC32" w14:textId="77777777" w:rsidTr="00FB51B2">
        <w:trPr>
          <w:trHeight w:val="23"/>
        </w:trPr>
        <w:tc>
          <w:tcPr>
            <w:tcW w:w="1026" w:type="dxa"/>
            <w:tcBorders>
              <w:left w:val="single" w:sz="4" w:space="0" w:color="000000"/>
              <w:bottom w:val="single" w:sz="4" w:space="0" w:color="000000"/>
            </w:tcBorders>
            <w:shd w:val="clear" w:color="auto" w:fill="auto"/>
            <w:vAlign w:val="center"/>
          </w:tcPr>
          <w:p w14:paraId="01854852" w14:textId="77777777" w:rsidR="00FB51B2" w:rsidRDefault="00FB51B2" w:rsidP="00FB51B2">
            <w:pPr>
              <w:widowControl/>
              <w:spacing w:line="240" w:lineRule="auto"/>
              <w:jc w:val="center"/>
              <w:textAlignment w:val="auto"/>
            </w:pPr>
            <w:r>
              <w:rPr>
                <w:rFonts w:ascii="华文细黑" w:eastAsia="华文细黑" w:hAnsi="华文细黑" w:cs="Arial" w:hint="eastAsia"/>
                <w:sz w:val="18"/>
                <w:szCs w:val="18"/>
              </w:rPr>
              <w:t>二居</w:t>
            </w:r>
          </w:p>
        </w:tc>
        <w:tc>
          <w:tcPr>
            <w:tcW w:w="1027" w:type="dxa"/>
            <w:tcBorders>
              <w:left w:val="single" w:sz="4" w:space="0" w:color="000000"/>
              <w:bottom w:val="single" w:sz="4" w:space="0" w:color="000000"/>
            </w:tcBorders>
            <w:shd w:val="clear" w:color="auto" w:fill="auto"/>
            <w:vAlign w:val="center"/>
          </w:tcPr>
          <w:p w14:paraId="71341FA4"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30</w:t>
            </w:r>
          </w:p>
        </w:tc>
        <w:tc>
          <w:tcPr>
            <w:tcW w:w="1063" w:type="dxa"/>
            <w:tcBorders>
              <w:left w:val="single" w:sz="4" w:space="0" w:color="000000"/>
              <w:bottom w:val="single" w:sz="4" w:space="0" w:color="000000"/>
            </w:tcBorders>
            <w:shd w:val="clear" w:color="auto" w:fill="auto"/>
            <w:vAlign w:val="center"/>
          </w:tcPr>
          <w:p w14:paraId="77AEDD13"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103</w:t>
            </w:r>
          </w:p>
        </w:tc>
        <w:tc>
          <w:tcPr>
            <w:tcW w:w="1027" w:type="dxa"/>
            <w:tcBorders>
              <w:left w:val="single" w:sz="4" w:space="0" w:color="000000"/>
              <w:bottom w:val="single" w:sz="4" w:space="0" w:color="000000"/>
            </w:tcBorders>
            <w:shd w:val="clear" w:color="auto" w:fill="auto"/>
            <w:vAlign w:val="center"/>
          </w:tcPr>
          <w:p w14:paraId="0A640915"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50</w:t>
            </w:r>
          </w:p>
        </w:tc>
        <w:tc>
          <w:tcPr>
            <w:tcW w:w="1026" w:type="dxa"/>
            <w:tcBorders>
              <w:left w:val="single" w:sz="4" w:space="0" w:color="000000"/>
              <w:bottom w:val="single" w:sz="4" w:space="0" w:color="000000"/>
            </w:tcBorders>
            <w:shd w:val="clear" w:color="auto" w:fill="auto"/>
            <w:vAlign w:val="center"/>
          </w:tcPr>
          <w:p w14:paraId="3ABD22C0"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82</w:t>
            </w:r>
          </w:p>
        </w:tc>
        <w:tc>
          <w:tcPr>
            <w:tcW w:w="1027" w:type="dxa"/>
            <w:tcBorders>
              <w:left w:val="single" w:sz="4" w:space="0" w:color="000000"/>
              <w:bottom w:val="single" w:sz="4" w:space="0" w:color="000000"/>
            </w:tcBorders>
            <w:shd w:val="clear" w:color="auto" w:fill="auto"/>
            <w:vAlign w:val="center"/>
          </w:tcPr>
          <w:p w14:paraId="04EAFB77"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60</w:t>
            </w:r>
          </w:p>
        </w:tc>
        <w:tc>
          <w:tcPr>
            <w:tcW w:w="1064" w:type="dxa"/>
            <w:tcBorders>
              <w:left w:val="single" w:sz="4" w:space="0" w:color="000000"/>
              <w:bottom w:val="single" w:sz="4" w:space="0" w:color="000000"/>
            </w:tcBorders>
            <w:shd w:val="clear" w:color="auto" w:fill="auto"/>
            <w:vAlign w:val="center"/>
          </w:tcPr>
          <w:p w14:paraId="45BDC44B"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66</w:t>
            </w:r>
          </w:p>
        </w:tc>
        <w:tc>
          <w:tcPr>
            <w:tcW w:w="1065" w:type="dxa"/>
            <w:tcBorders>
              <w:left w:val="single" w:sz="4" w:space="0" w:color="000000"/>
              <w:bottom w:val="single" w:sz="4" w:space="0" w:color="000000"/>
            </w:tcBorders>
            <w:shd w:val="clear" w:color="auto" w:fill="auto"/>
            <w:vAlign w:val="center"/>
          </w:tcPr>
          <w:p w14:paraId="1C2056B4"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52</w:t>
            </w:r>
          </w:p>
        </w:tc>
        <w:tc>
          <w:tcPr>
            <w:tcW w:w="1189" w:type="dxa"/>
            <w:tcBorders>
              <w:left w:val="single" w:sz="4" w:space="0" w:color="000000"/>
              <w:bottom w:val="single" w:sz="4" w:space="0" w:color="000000"/>
              <w:right w:val="single" w:sz="4" w:space="0" w:color="000000"/>
            </w:tcBorders>
            <w:shd w:val="clear" w:color="auto" w:fill="auto"/>
            <w:vAlign w:val="center"/>
          </w:tcPr>
          <w:p w14:paraId="1FAAE89F"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443</w:t>
            </w:r>
          </w:p>
        </w:tc>
      </w:tr>
      <w:tr w:rsidR="00FB51B2" w14:paraId="0CB13DB8" w14:textId="77777777" w:rsidTr="00FB51B2">
        <w:trPr>
          <w:trHeight w:val="23"/>
        </w:trPr>
        <w:tc>
          <w:tcPr>
            <w:tcW w:w="1026" w:type="dxa"/>
            <w:tcBorders>
              <w:left w:val="single" w:sz="4" w:space="0" w:color="000000"/>
              <w:bottom w:val="single" w:sz="4" w:space="0" w:color="000000"/>
            </w:tcBorders>
            <w:shd w:val="clear" w:color="auto" w:fill="auto"/>
            <w:vAlign w:val="center"/>
          </w:tcPr>
          <w:p w14:paraId="07CE7276" w14:textId="77777777" w:rsidR="00FB51B2" w:rsidRDefault="00FB51B2" w:rsidP="00FB51B2">
            <w:pPr>
              <w:widowControl/>
              <w:spacing w:line="240" w:lineRule="auto"/>
              <w:jc w:val="center"/>
              <w:textAlignment w:val="auto"/>
            </w:pPr>
            <w:r>
              <w:rPr>
                <w:rFonts w:ascii="华文细黑" w:eastAsia="华文细黑" w:hAnsi="华文细黑" w:cs="Arial" w:hint="eastAsia"/>
                <w:sz w:val="18"/>
                <w:szCs w:val="18"/>
              </w:rPr>
              <w:t>三居</w:t>
            </w:r>
          </w:p>
        </w:tc>
        <w:tc>
          <w:tcPr>
            <w:tcW w:w="1027" w:type="dxa"/>
            <w:tcBorders>
              <w:left w:val="single" w:sz="4" w:space="0" w:color="000000"/>
              <w:bottom w:val="single" w:sz="4" w:space="0" w:color="000000"/>
            </w:tcBorders>
            <w:shd w:val="clear" w:color="auto" w:fill="auto"/>
            <w:vAlign w:val="center"/>
          </w:tcPr>
          <w:p w14:paraId="1609DBEE"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2</w:t>
            </w:r>
          </w:p>
        </w:tc>
        <w:tc>
          <w:tcPr>
            <w:tcW w:w="1063" w:type="dxa"/>
            <w:tcBorders>
              <w:left w:val="single" w:sz="4" w:space="0" w:color="000000"/>
              <w:bottom w:val="single" w:sz="4" w:space="0" w:color="000000"/>
            </w:tcBorders>
            <w:shd w:val="clear" w:color="auto" w:fill="auto"/>
            <w:vAlign w:val="center"/>
          </w:tcPr>
          <w:p w14:paraId="134702BE"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5</w:t>
            </w:r>
          </w:p>
        </w:tc>
        <w:tc>
          <w:tcPr>
            <w:tcW w:w="1027" w:type="dxa"/>
            <w:tcBorders>
              <w:left w:val="single" w:sz="4" w:space="0" w:color="000000"/>
              <w:bottom w:val="single" w:sz="4" w:space="0" w:color="000000"/>
            </w:tcBorders>
            <w:shd w:val="clear" w:color="auto" w:fill="auto"/>
            <w:vAlign w:val="center"/>
          </w:tcPr>
          <w:p w14:paraId="2640FF3A"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9</w:t>
            </w:r>
          </w:p>
        </w:tc>
        <w:tc>
          <w:tcPr>
            <w:tcW w:w="1026" w:type="dxa"/>
            <w:tcBorders>
              <w:left w:val="single" w:sz="4" w:space="0" w:color="000000"/>
              <w:bottom w:val="single" w:sz="4" w:space="0" w:color="000000"/>
            </w:tcBorders>
            <w:shd w:val="clear" w:color="auto" w:fill="auto"/>
            <w:vAlign w:val="center"/>
          </w:tcPr>
          <w:p w14:paraId="268C237F" w14:textId="77777777" w:rsidR="00FB51B2" w:rsidRPr="00FB51B2" w:rsidRDefault="00FB51B2" w:rsidP="00FB51B2">
            <w:pPr>
              <w:spacing w:line="240" w:lineRule="auto"/>
              <w:jc w:val="center"/>
              <w:rPr>
                <w:rFonts w:ascii="Arial" w:hAnsi="Arial" w:cs="Arial"/>
                <w:sz w:val="20"/>
              </w:rPr>
            </w:pPr>
          </w:p>
        </w:tc>
        <w:tc>
          <w:tcPr>
            <w:tcW w:w="1027" w:type="dxa"/>
            <w:tcBorders>
              <w:left w:val="single" w:sz="4" w:space="0" w:color="000000"/>
              <w:bottom w:val="single" w:sz="4" w:space="0" w:color="000000"/>
            </w:tcBorders>
            <w:shd w:val="clear" w:color="auto" w:fill="auto"/>
            <w:vAlign w:val="center"/>
          </w:tcPr>
          <w:p w14:paraId="693A874A" w14:textId="77777777" w:rsidR="00FB51B2" w:rsidRPr="00FB51B2" w:rsidRDefault="00FB51B2" w:rsidP="00FB51B2">
            <w:pPr>
              <w:spacing w:line="240" w:lineRule="auto"/>
              <w:jc w:val="center"/>
              <w:rPr>
                <w:rFonts w:ascii="Arial" w:hAnsi="Arial" w:cs="Arial"/>
                <w:sz w:val="20"/>
              </w:rPr>
            </w:pPr>
          </w:p>
        </w:tc>
        <w:tc>
          <w:tcPr>
            <w:tcW w:w="1064" w:type="dxa"/>
            <w:tcBorders>
              <w:left w:val="single" w:sz="4" w:space="0" w:color="000000"/>
              <w:bottom w:val="single" w:sz="4" w:space="0" w:color="000000"/>
            </w:tcBorders>
            <w:shd w:val="clear" w:color="auto" w:fill="auto"/>
            <w:vAlign w:val="center"/>
          </w:tcPr>
          <w:p w14:paraId="05651F04" w14:textId="77777777" w:rsidR="00FB51B2" w:rsidRPr="00FB51B2" w:rsidRDefault="00FB51B2" w:rsidP="00FB51B2">
            <w:pPr>
              <w:spacing w:line="240" w:lineRule="auto"/>
              <w:jc w:val="center"/>
              <w:rPr>
                <w:rFonts w:ascii="Arial" w:hAnsi="Arial" w:cs="Arial"/>
                <w:sz w:val="20"/>
              </w:rPr>
            </w:pPr>
          </w:p>
        </w:tc>
        <w:tc>
          <w:tcPr>
            <w:tcW w:w="1065" w:type="dxa"/>
            <w:tcBorders>
              <w:left w:val="single" w:sz="4" w:space="0" w:color="000000"/>
              <w:bottom w:val="single" w:sz="4" w:space="0" w:color="000000"/>
            </w:tcBorders>
            <w:shd w:val="clear" w:color="auto" w:fill="auto"/>
            <w:vAlign w:val="center"/>
          </w:tcPr>
          <w:p w14:paraId="13639CF8"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6</w:t>
            </w:r>
          </w:p>
        </w:tc>
        <w:tc>
          <w:tcPr>
            <w:tcW w:w="1189" w:type="dxa"/>
            <w:tcBorders>
              <w:left w:val="single" w:sz="4" w:space="0" w:color="000000"/>
              <w:bottom w:val="single" w:sz="4" w:space="0" w:color="000000"/>
              <w:right w:val="single" w:sz="4" w:space="0" w:color="000000"/>
            </w:tcBorders>
            <w:shd w:val="clear" w:color="auto" w:fill="auto"/>
            <w:vAlign w:val="center"/>
          </w:tcPr>
          <w:p w14:paraId="6F8998A1"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22</w:t>
            </w:r>
          </w:p>
        </w:tc>
      </w:tr>
      <w:tr w:rsidR="00FB51B2" w14:paraId="1C4F50B3" w14:textId="77777777" w:rsidTr="00FB51B2">
        <w:trPr>
          <w:trHeight w:val="23"/>
        </w:trPr>
        <w:tc>
          <w:tcPr>
            <w:tcW w:w="1026" w:type="dxa"/>
            <w:tcBorders>
              <w:left w:val="single" w:sz="4" w:space="0" w:color="000000"/>
              <w:bottom w:val="single" w:sz="4" w:space="0" w:color="000000"/>
            </w:tcBorders>
            <w:shd w:val="clear" w:color="auto" w:fill="auto"/>
            <w:vAlign w:val="center"/>
          </w:tcPr>
          <w:p w14:paraId="06997E9C" w14:textId="77777777" w:rsidR="00FB51B2" w:rsidRDefault="00FB51B2" w:rsidP="00FB51B2">
            <w:pPr>
              <w:widowControl/>
              <w:spacing w:line="240" w:lineRule="auto"/>
              <w:jc w:val="center"/>
              <w:textAlignment w:val="auto"/>
            </w:pPr>
            <w:r>
              <w:rPr>
                <w:rFonts w:ascii="华文细黑" w:eastAsia="华文细黑" w:hAnsi="华文细黑" w:cs="Arial" w:hint="eastAsia"/>
                <w:sz w:val="18"/>
                <w:szCs w:val="18"/>
              </w:rPr>
              <w:t>合计套数</w:t>
            </w:r>
          </w:p>
        </w:tc>
        <w:tc>
          <w:tcPr>
            <w:tcW w:w="1027" w:type="dxa"/>
            <w:tcBorders>
              <w:left w:val="single" w:sz="4" w:space="0" w:color="000000"/>
              <w:bottom w:val="single" w:sz="4" w:space="0" w:color="000000"/>
            </w:tcBorders>
            <w:shd w:val="clear" w:color="auto" w:fill="auto"/>
            <w:vAlign w:val="center"/>
          </w:tcPr>
          <w:p w14:paraId="499AD414"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46</w:t>
            </w:r>
          </w:p>
        </w:tc>
        <w:tc>
          <w:tcPr>
            <w:tcW w:w="1063" w:type="dxa"/>
            <w:tcBorders>
              <w:left w:val="single" w:sz="4" w:space="0" w:color="000000"/>
              <w:bottom w:val="single" w:sz="4" w:space="0" w:color="000000"/>
            </w:tcBorders>
            <w:shd w:val="clear" w:color="auto" w:fill="auto"/>
            <w:vAlign w:val="center"/>
          </w:tcPr>
          <w:p w14:paraId="53C6DFF3"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180</w:t>
            </w:r>
          </w:p>
        </w:tc>
        <w:tc>
          <w:tcPr>
            <w:tcW w:w="1027" w:type="dxa"/>
            <w:tcBorders>
              <w:left w:val="single" w:sz="4" w:space="0" w:color="000000"/>
              <w:bottom w:val="single" w:sz="4" w:space="0" w:color="000000"/>
            </w:tcBorders>
            <w:shd w:val="clear" w:color="auto" w:fill="auto"/>
            <w:vAlign w:val="center"/>
          </w:tcPr>
          <w:p w14:paraId="0F8A6192"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71</w:t>
            </w:r>
          </w:p>
        </w:tc>
        <w:tc>
          <w:tcPr>
            <w:tcW w:w="1026" w:type="dxa"/>
            <w:tcBorders>
              <w:left w:val="single" w:sz="4" w:space="0" w:color="000000"/>
              <w:bottom w:val="single" w:sz="4" w:space="0" w:color="000000"/>
            </w:tcBorders>
            <w:shd w:val="clear" w:color="auto" w:fill="auto"/>
            <w:vAlign w:val="center"/>
          </w:tcPr>
          <w:p w14:paraId="4ACDCDEB"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111</w:t>
            </w:r>
          </w:p>
        </w:tc>
        <w:tc>
          <w:tcPr>
            <w:tcW w:w="1027" w:type="dxa"/>
            <w:tcBorders>
              <w:left w:val="single" w:sz="4" w:space="0" w:color="000000"/>
              <w:bottom w:val="single" w:sz="4" w:space="0" w:color="000000"/>
            </w:tcBorders>
            <w:shd w:val="clear" w:color="auto" w:fill="auto"/>
            <w:vAlign w:val="center"/>
          </w:tcPr>
          <w:p w14:paraId="54618CD5"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75</w:t>
            </w:r>
          </w:p>
        </w:tc>
        <w:tc>
          <w:tcPr>
            <w:tcW w:w="1064" w:type="dxa"/>
            <w:tcBorders>
              <w:left w:val="single" w:sz="4" w:space="0" w:color="000000"/>
              <w:bottom w:val="single" w:sz="4" w:space="0" w:color="000000"/>
            </w:tcBorders>
            <w:shd w:val="clear" w:color="auto" w:fill="auto"/>
            <w:vAlign w:val="center"/>
          </w:tcPr>
          <w:p w14:paraId="3D64A6C3"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156</w:t>
            </w:r>
          </w:p>
        </w:tc>
        <w:tc>
          <w:tcPr>
            <w:tcW w:w="1065" w:type="dxa"/>
            <w:tcBorders>
              <w:left w:val="single" w:sz="4" w:space="0" w:color="000000"/>
              <w:bottom w:val="single" w:sz="4" w:space="0" w:color="000000"/>
            </w:tcBorders>
            <w:shd w:val="clear" w:color="auto" w:fill="auto"/>
            <w:vAlign w:val="center"/>
          </w:tcPr>
          <w:p w14:paraId="595E6972"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320</w:t>
            </w:r>
          </w:p>
        </w:tc>
        <w:tc>
          <w:tcPr>
            <w:tcW w:w="1189" w:type="dxa"/>
            <w:tcBorders>
              <w:left w:val="single" w:sz="4" w:space="0" w:color="000000"/>
              <w:bottom w:val="single" w:sz="4" w:space="0" w:color="000000"/>
              <w:right w:val="single" w:sz="4" w:space="0" w:color="000000"/>
            </w:tcBorders>
            <w:shd w:val="clear" w:color="auto" w:fill="auto"/>
            <w:vAlign w:val="center"/>
          </w:tcPr>
          <w:p w14:paraId="160015C1"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959</w:t>
            </w:r>
          </w:p>
        </w:tc>
      </w:tr>
      <w:tr w:rsidR="00FB51B2" w14:paraId="6A3BDE17" w14:textId="77777777" w:rsidTr="00FB51B2">
        <w:trPr>
          <w:trHeight w:val="23"/>
        </w:trPr>
        <w:tc>
          <w:tcPr>
            <w:tcW w:w="1026" w:type="dxa"/>
            <w:tcBorders>
              <w:left w:val="single" w:sz="4" w:space="0" w:color="000000"/>
              <w:bottom w:val="single" w:sz="4" w:space="0" w:color="000000"/>
            </w:tcBorders>
            <w:shd w:val="clear" w:color="auto" w:fill="auto"/>
            <w:vAlign w:val="center"/>
          </w:tcPr>
          <w:p w14:paraId="29D7B6B9" w14:textId="753AC4CD" w:rsidR="00FB51B2" w:rsidRDefault="00FB51B2" w:rsidP="00FB51B2">
            <w:pPr>
              <w:widowControl/>
              <w:spacing w:line="240" w:lineRule="auto"/>
              <w:jc w:val="center"/>
              <w:textAlignment w:val="auto"/>
            </w:pPr>
            <w:r>
              <w:rPr>
                <w:rFonts w:ascii="华文细黑" w:eastAsia="华文细黑" w:hAnsi="华文细黑" w:cs="Arial" w:hint="eastAsia"/>
                <w:sz w:val="18"/>
                <w:szCs w:val="18"/>
              </w:rPr>
              <w:t>合计面积</w:t>
            </w:r>
            <w:r w:rsidR="009A3379">
              <w:rPr>
                <w:rFonts w:ascii="华文细黑" w:eastAsia="华文细黑" w:hAnsi="华文细黑" w:cs="Arial" w:hint="eastAsia"/>
                <w:sz w:val="18"/>
                <w:szCs w:val="18"/>
              </w:rPr>
              <w:t>（m</w:t>
            </w:r>
            <w:r w:rsidR="009A3379" w:rsidRPr="009A3379">
              <w:rPr>
                <w:rFonts w:ascii="华文细黑" w:eastAsia="华文细黑" w:hAnsi="华文细黑" w:cs="Arial"/>
                <w:sz w:val="18"/>
                <w:szCs w:val="18"/>
                <w:vertAlign w:val="superscript"/>
              </w:rPr>
              <w:t>2</w:t>
            </w:r>
            <w:r w:rsidR="009A3379">
              <w:rPr>
                <w:rFonts w:ascii="华文细黑" w:eastAsia="华文细黑" w:hAnsi="华文细黑" w:cs="Arial" w:hint="eastAsia"/>
                <w:sz w:val="18"/>
                <w:szCs w:val="18"/>
              </w:rPr>
              <w:t>）</w:t>
            </w:r>
          </w:p>
        </w:tc>
        <w:tc>
          <w:tcPr>
            <w:tcW w:w="1027" w:type="dxa"/>
            <w:tcBorders>
              <w:left w:val="single" w:sz="4" w:space="0" w:color="000000"/>
              <w:bottom w:val="single" w:sz="4" w:space="0" w:color="000000"/>
            </w:tcBorders>
            <w:shd w:val="clear" w:color="auto" w:fill="auto"/>
            <w:vAlign w:val="center"/>
          </w:tcPr>
          <w:p w14:paraId="5389ACED"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3825.77</w:t>
            </w:r>
          </w:p>
        </w:tc>
        <w:tc>
          <w:tcPr>
            <w:tcW w:w="1063" w:type="dxa"/>
            <w:tcBorders>
              <w:left w:val="single" w:sz="4" w:space="0" w:color="000000"/>
              <w:bottom w:val="single" w:sz="4" w:space="0" w:color="000000"/>
            </w:tcBorders>
            <w:shd w:val="clear" w:color="auto" w:fill="auto"/>
            <w:vAlign w:val="center"/>
          </w:tcPr>
          <w:p w14:paraId="63BBD224"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14530.24</w:t>
            </w:r>
          </w:p>
        </w:tc>
        <w:tc>
          <w:tcPr>
            <w:tcW w:w="1027" w:type="dxa"/>
            <w:tcBorders>
              <w:left w:val="single" w:sz="4" w:space="0" w:color="000000"/>
              <w:bottom w:val="single" w:sz="4" w:space="0" w:color="000000"/>
            </w:tcBorders>
            <w:shd w:val="clear" w:color="auto" w:fill="auto"/>
            <w:vAlign w:val="center"/>
          </w:tcPr>
          <w:p w14:paraId="3779AB4F"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6175.02</w:t>
            </w:r>
          </w:p>
        </w:tc>
        <w:tc>
          <w:tcPr>
            <w:tcW w:w="1026" w:type="dxa"/>
            <w:tcBorders>
              <w:left w:val="single" w:sz="4" w:space="0" w:color="000000"/>
              <w:bottom w:val="single" w:sz="4" w:space="0" w:color="000000"/>
            </w:tcBorders>
            <w:shd w:val="clear" w:color="auto" w:fill="auto"/>
            <w:vAlign w:val="center"/>
          </w:tcPr>
          <w:p w14:paraId="51ADD5AE"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9218.27</w:t>
            </w:r>
          </w:p>
        </w:tc>
        <w:tc>
          <w:tcPr>
            <w:tcW w:w="1027" w:type="dxa"/>
            <w:tcBorders>
              <w:left w:val="single" w:sz="4" w:space="0" w:color="000000"/>
              <w:bottom w:val="single" w:sz="4" w:space="0" w:color="000000"/>
            </w:tcBorders>
            <w:shd w:val="clear" w:color="auto" w:fill="auto"/>
            <w:vAlign w:val="center"/>
          </w:tcPr>
          <w:p w14:paraId="14EB6834"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6359.37</w:t>
            </w:r>
          </w:p>
        </w:tc>
        <w:tc>
          <w:tcPr>
            <w:tcW w:w="1064" w:type="dxa"/>
            <w:tcBorders>
              <w:left w:val="single" w:sz="4" w:space="0" w:color="000000"/>
              <w:bottom w:val="single" w:sz="4" w:space="0" w:color="000000"/>
            </w:tcBorders>
            <w:shd w:val="clear" w:color="auto" w:fill="auto"/>
            <w:vAlign w:val="center"/>
          </w:tcPr>
          <w:p w14:paraId="26094D43"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11871.66</w:t>
            </w:r>
          </w:p>
        </w:tc>
        <w:tc>
          <w:tcPr>
            <w:tcW w:w="1065" w:type="dxa"/>
            <w:tcBorders>
              <w:left w:val="single" w:sz="4" w:space="0" w:color="000000"/>
              <w:bottom w:val="single" w:sz="4" w:space="0" w:color="000000"/>
            </w:tcBorders>
            <w:shd w:val="clear" w:color="auto" w:fill="auto"/>
            <w:vAlign w:val="center"/>
          </w:tcPr>
          <w:p w14:paraId="4DE5C9EC"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22541.61</w:t>
            </w:r>
          </w:p>
        </w:tc>
        <w:tc>
          <w:tcPr>
            <w:tcW w:w="1189" w:type="dxa"/>
            <w:tcBorders>
              <w:left w:val="single" w:sz="4" w:space="0" w:color="000000"/>
              <w:bottom w:val="single" w:sz="4" w:space="0" w:color="000000"/>
              <w:right w:val="single" w:sz="4" w:space="0" w:color="000000"/>
            </w:tcBorders>
            <w:shd w:val="clear" w:color="auto" w:fill="auto"/>
            <w:vAlign w:val="center"/>
          </w:tcPr>
          <w:p w14:paraId="038040A0"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74521.94</w:t>
            </w:r>
          </w:p>
        </w:tc>
      </w:tr>
    </w:tbl>
    <w:p w14:paraId="15C3F964" w14:textId="77777777" w:rsidR="00AF6F34" w:rsidRDefault="00AF6F34">
      <w:pPr>
        <w:overflowPunct w:val="0"/>
        <w:spacing w:line="480" w:lineRule="auto"/>
        <w:ind w:firstLine="420"/>
        <w:jc w:val="both"/>
        <w:textAlignment w:val="auto"/>
        <w:rPr>
          <w:rFonts w:ascii="Arial" w:hAnsi="Arial" w:cs="Arial"/>
          <w:sz w:val="21"/>
          <w:szCs w:val="21"/>
        </w:rPr>
      </w:pPr>
    </w:p>
    <w:p w14:paraId="1A432D6C" w14:textId="36A3CF48" w:rsidR="00AF6F34" w:rsidRDefault="00AF6F34">
      <w:pPr>
        <w:overflowPunct w:val="0"/>
        <w:spacing w:line="480" w:lineRule="auto"/>
        <w:ind w:firstLine="422"/>
        <w:jc w:val="both"/>
        <w:textAlignment w:val="auto"/>
      </w:pPr>
      <w:r>
        <w:rPr>
          <w:rFonts w:ascii="Arial" w:hAnsi="Arial" w:cs="Arial"/>
          <w:b/>
          <w:bCs/>
          <w:sz w:val="21"/>
          <w:szCs w:val="21"/>
        </w:rPr>
        <w:t>价值时点：</w:t>
      </w:r>
      <w:r w:rsidR="00094507">
        <w:rPr>
          <w:rFonts w:ascii="Arial" w:hAnsi="Arial" w:cs="Arial"/>
          <w:sz w:val="21"/>
          <w:szCs w:val="21"/>
        </w:rPr>
        <w:t>2025</w:t>
      </w:r>
      <w:r w:rsidR="00094507">
        <w:rPr>
          <w:rFonts w:ascii="Arial" w:hAnsi="Arial" w:cs="Arial"/>
          <w:sz w:val="21"/>
          <w:szCs w:val="21"/>
        </w:rPr>
        <w:t>年</w:t>
      </w:r>
      <w:r w:rsidR="00094507">
        <w:rPr>
          <w:rFonts w:ascii="Arial" w:hAnsi="Arial" w:cs="Arial"/>
          <w:sz w:val="21"/>
          <w:szCs w:val="21"/>
        </w:rPr>
        <w:t>11</w:t>
      </w:r>
      <w:r w:rsidR="00094507">
        <w:rPr>
          <w:rFonts w:ascii="Arial" w:hAnsi="Arial" w:cs="Arial"/>
          <w:sz w:val="21"/>
          <w:szCs w:val="21"/>
        </w:rPr>
        <w:t>月</w:t>
      </w:r>
      <w:r w:rsidR="00094507">
        <w:rPr>
          <w:rFonts w:ascii="Arial" w:hAnsi="Arial" w:cs="Arial"/>
          <w:sz w:val="21"/>
          <w:szCs w:val="21"/>
        </w:rPr>
        <w:t>1</w:t>
      </w:r>
      <w:r w:rsidR="00094507">
        <w:rPr>
          <w:rFonts w:ascii="Arial" w:hAnsi="Arial" w:cs="Arial"/>
          <w:sz w:val="21"/>
          <w:szCs w:val="21"/>
        </w:rPr>
        <w:t>日</w:t>
      </w:r>
      <w:r>
        <w:rPr>
          <w:rFonts w:ascii="Arial" w:hAnsi="Arial" w:cs="Arial" w:hint="eastAsia"/>
          <w:sz w:val="21"/>
          <w:szCs w:val="21"/>
        </w:rPr>
        <w:t>（根据《估价委托书》确定）</w:t>
      </w:r>
    </w:p>
    <w:p w14:paraId="1E3255A3" w14:textId="25301F17" w:rsidR="00AF6F34" w:rsidRDefault="00AF6F34" w:rsidP="00F16D9C">
      <w:pPr>
        <w:tabs>
          <w:tab w:val="right" w:pos="9298"/>
        </w:tabs>
        <w:overflowPunct w:val="0"/>
        <w:spacing w:line="480" w:lineRule="auto"/>
        <w:ind w:firstLine="422"/>
        <w:jc w:val="both"/>
        <w:textAlignment w:val="auto"/>
      </w:pPr>
      <w:r>
        <w:rPr>
          <w:rFonts w:ascii="Arial" w:hAnsi="Arial" w:cs="Arial" w:hint="eastAsia"/>
          <w:b/>
          <w:bCs/>
          <w:sz w:val="21"/>
          <w:szCs w:val="21"/>
        </w:rPr>
        <w:t>估价时段：</w:t>
      </w:r>
      <w:r>
        <w:rPr>
          <w:rFonts w:ascii="Arial" w:hAnsi="Arial" w:cs="Arial" w:hint="eastAsia"/>
          <w:sz w:val="21"/>
          <w:szCs w:val="21"/>
        </w:rPr>
        <w:t>于价值时点</w:t>
      </w:r>
      <w:r w:rsidR="00094507">
        <w:rPr>
          <w:rFonts w:ascii="Arial" w:hAnsi="Arial" w:cs="Arial" w:hint="eastAsia"/>
          <w:sz w:val="21"/>
          <w:szCs w:val="21"/>
        </w:rPr>
        <w:t>2025</w:t>
      </w:r>
      <w:r w:rsidR="00094507">
        <w:rPr>
          <w:rFonts w:ascii="Arial" w:hAnsi="Arial" w:cs="Arial" w:hint="eastAsia"/>
          <w:sz w:val="21"/>
          <w:szCs w:val="21"/>
        </w:rPr>
        <w:t>年</w:t>
      </w:r>
      <w:r w:rsidR="00094507">
        <w:rPr>
          <w:rFonts w:ascii="Arial" w:hAnsi="Arial" w:cs="Arial" w:hint="eastAsia"/>
          <w:sz w:val="21"/>
          <w:szCs w:val="21"/>
        </w:rPr>
        <w:t>11</w:t>
      </w:r>
      <w:r w:rsidR="00094507">
        <w:rPr>
          <w:rFonts w:ascii="Arial" w:hAnsi="Arial" w:cs="Arial" w:hint="eastAsia"/>
          <w:sz w:val="21"/>
          <w:szCs w:val="21"/>
        </w:rPr>
        <w:t>月</w:t>
      </w:r>
      <w:r w:rsidR="00094507">
        <w:rPr>
          <w:rFonts w:ascii="Arial" w:hAnsi="Arial" w:cs="Arial" w:hint="eastAsia"/>
          <w:sz w:val="21"/>
          <w:szCs w:val="21"/>
        </w:rPr>
        <w:t>1</w:t>
      </w:r>
      <w:r w:rsidR="00094507">
        <w:rPr>
          <w:rFonts w:ascii="Arial" w:hAnsi="Arial" w:cs="Arial" w:hint="eastAsia"/>
          <w:sz w:val="21"/>
          <w:szCs w:val="21"/>
        </w:rPr>
        <w:t>日</w:t>
      </w:r>
      <w:r>
        <w:rPr>
          <w:rFonts w:ascii="Arial" w:hAnsi="Arial" w:cs="Arial" w:hint="eastAsia"/>
          <w:sz w:val="21"/>
          <w:szCs w:val="21"/>
        </w:rPr>
        <w:t>前一年内（</w:t>
      </w:r>
      <w:r w:rsidR="00D517EB">
        <w:rPr>
          <w:rFonts w:ascii="Arial" w:hAnsi="Arial" w:cs="Arial" w:hint="eastAsia"/>
          <w:sz w:val="21"/>
          <w:szCs w:val="21"/>
        </w:rPr>
        <w:t>2024</w:t>
      </w:r>
      <w:r w:rsidR="00D517EB">
        <w:rPr>
          <w:rFonts w:ascii="Arial" w:hAnsi="Arial" w:cs="Arial" w:hint="eastAsia"/>
          <w:sz w:val="21"/>
          <w:szCs w:val="21"/>
        </w:rPr>
        <w:t>年</w:t>
      </w:r>
      <w:r w:rsidR="00D517EB">
        <w:rPr>
          <w:rFonts w:ascii="Arial" w:hAnsi="Arial" w:cs="Arial" w:hint="eastAsia"/>
          <w:sz w:val="21"/>
          <w:szCs w:val="21"/>
        </w:rPr>
        <w:t>11</w:t>
      </w:r>
      <w:r w:rsidR="00D517EB">
        <w:rPr>
          <w:rFonts w:ascii="Arial" w:hAnsi="Arial" w:cs="Arial" w:hint="eastAsia"/>
          <w:sz w:val="21"/>
          <w:szCs w:val="21"/>
        </w:rPr>
        <w:t>月</w:t>
      </w:r>
      <w:r w:rsidR="00D517EB">
        <w:rPr>
          <w:rFonts w:ascii="Arial" w:hAnsi="Arial" w:cs="Arial" w:hint="eastAsia"/>
          <w:sz w:val="21"/>
          <w:szCs w:val="21"/>
        </w:rPr>
        <w:t>1</w:t>
      </w:r>
      <w:r w:rsidR="00D517EB">
        <w:rPr>
          <w:rFonts w:ascii="Arial" w:hAnsi="Arial" w:cs="Arial" w:hint="eastAsia"/>
          <w:sz w:val="21"/>
          <w:szCs w:val="21"/>
        </w:rPr>
        <w:t>日至</w:t>
      </w:r>
      <w:r w:rsidR="00D517EB">
        <w:rPr>
          <w:rFonts w:ascii="Arial" w:hAnsi="Arial" w:cs="Arial" w:hint="eastAsia"/>
          <w:sz w:val="21"/>
          <w:szCs w:val="21"/>
        </w:rPr>
        <w:t>2025</w:t>
      </w:r>
      <w:r w:rsidR="00D517EB">
        <w:rPr>
          <w:rFonts w:ascii="Arial" w:hAnsi="Arial" w:cs="Arial" w:hint="eastAsia"/>
          <w:sz w:val="21"/>
          <w:szCs w:val="21"/>
        </w:rPr>
        <w:t>年</w:t>
      </w:r>
      <w:r w:rsidR="00D517EB">
        <w:rPr>
          <w:rFonts w:ascii="Arial" w:hAnsi="Arial" w:cs="Arial" w:hint="eastAsia"/>
          <w:sz w:val="21"/>
          <w:szCs w:val="21"/>
        </w:rPr>
        <w:t>10</w:t>
      </w:r>
      <w:r w:rsidR="00D517EB">
        <w:rPr>
          <w:rFonts w:ascii="Arial" w:hAnsi="Arial" w:cs="Arial" w:hint="eastAsia"/>
          <w:sz w:val="21"/>
          <w:szCs w:val="21"/>
        </w:rPr>
        <w:t>月</w:t>
      </w:r>
      <w:r w:rsidR="00D517EB">
        <w:rPr>
          <w:rFonts w:ascii="Arial" w:hAnsi="Arial" w:cs="Arial" w:hint="eastAsia"/>
          <w:sz w:val="21"/>
          <w:szCs w:val="21"/>
        </w:rPr>
        <w:t>31</w:t>
      </w:r>
      <w:r w:rsidR="00D517EB">
        <w:rPr>
          <w:rFonts w:ascii="Arial" w:hAnsi="Arial" w:cs="Arial" w:hint="eastAsia"/>
          <w:sz w:val="21"/>
          <w:szCs w:val="21"/>
        </w:rPr>
        <w:t>日</w:t>
      </w:r>
      <w:r>
        <w:rPr>
          <w:rFonts w:ascii="Arial" w:hAnsi="Arial" w:cs="Arial" w:hint="eastAsia"/>
          <w:sz w:val="21"/>
          <w:szCs w:val="21"/>
        </w:rPr>
        <w:t>）</w:t>
      </w:r>
      <w:r w:rsidR="00F16D9C">
        <w:rPr>
          <w:rFonts w:ascii="Arial" w:hAnsi="Arial" w:cs="Arial"/>
          <w:sz w:val="21"/>
          <w:szCs w:val="21"/>
        </w:rPr>
        <w:tab/>
      </w:r>
    </w:p>
    <w:p w14:paraId="0C0C1A0C" w14:textId="33FC3978" w:rsidR="00AF6F34" w:rsidRDefault="00AF6F34">
      <w:pPr>
        <w:overflowPunct w:val="0"/>
        <w:spacing w:line="480" w:lineRule="auto"/>
        <w:ind w:firstLine="422"/>
        <w:jc w:val="both"/>
        <w:textAlignment w:val="auto"/>
      </w:pPr>
      <w:r>
        <w:rPr>
          <w:rFonts w:ascii="Arial" w:hAnsi="Arial" w:cs="Arial"/>
          <w:b/>
          <w:bCs/>
          <w:sz w:val="21"/>
          <w:szCs w:val="21"/>
        </w:rPr>
        <w:t>价值类型：</w:t>
      </w:r>
      <w:r>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D517EB">
        <w:rPr>
          <w:rFonts w:ascii="Arial" w:hAnsi="Arial" w:cs="Arial" w:hint="eastAsia"/>
          <w:sz w:val="21"/>
          <w:szCs w:val="21"/>
        </w:rPr>
        <w:t>2024</w:t>
      </w:r>
      <w:r w:rsidR="00D517EB">
        <w:rPr>
          <w:rFonts w:ascii="Arial" w:hAnsi="Arial" w:cs="Arial" w:hint="eastAsia"/>
          <w:sz w:val="21"/>
          <w:szCs w:val="21"/>
        </w:rPr>
        <w:t>年</w:t>
      </w:r>
      <w:r w:rsidR="00D517EB">
        <w:rPr>
          <w:rFonts w:ascii="Arial" w:hAnsi="Arial" w:cs="Arial" w:hint="eastAsia"/>
          <w:sz w:val="21"/>
          <w:szCs w:val="21"/>
        </w:rPr>
        <w:t>11</w:t>
      </w:r>
      <w:r w:rsidR="00D517EB">
        <w:rPr>
          <w:rFonts w:ascii="Arial" w:hAnsi="Arial" w:cs="Arial" w:hint="eastAsia"/>
          <w:sz w:val="21"/>
          <w:szCs w:val="21"/>
        </w:rPr>
        <w:t>月</w:t>
      </w:r>
      <w:r w:rsidR="00D517EB">
        <w:rPr>
          <w:rFonts w:ascii="Arial" w:hAnsi="Arial" w:cs="Arial" w:hint="eastAsia"/>
          <w:sz w:val="21"/>
          <w:szCs w:val="21"/>
        </w:rPr>
        <w:t>1</w:t>
      </w:r>
      <w:r w:rsidR="00D517EB">
        <w:rPr>
          <w:rFonts w:ascii="Arial" w:hAnsi="Arial" w:cs="Arial" w:hint="eastAsia"/>
          <w:sz w:val="21"/>
          <w:szCs w:val="21"/>
        </w:rPr>
        <w:t>日至</w:t>
      </w:r>
      <w:r w:rsidR="00D517EB">
        <w:rPr>
          <w:rFonts w:ascii="Arial" w:hAnsi="Arial" w:cs="Arial" w:hint="eastAsia"/>
          <w:sz w:val="21"/>
          <w:szCs w:val="21"/>
        </w:rPr>
        <w:t>2025</w:t>
      </w:r>
      <w:r w:rsidR="00D517EB">
        <w:rPr>
          <w:rFonts w:ascii="Arial" w:hAnsi="Arial" w:cs="Arial" w:hint="eastAsia"/>
          <w:sz w:val="21"/>
          <w:szCs w:val="21"/>
        </w:rPr>
        <w:t>年</w:t>
      </w:r>
      <w:r w:rsidR="00D517EB">
        <w:rPr>
          <w:rFonts w:ascii="Arial" w:hAnsi="Arial" w:cs="Arial" w:hint="eastAsia"/>
          <w:sz w:val="21"/>
          <w:szCs w:val="21"/>
        </w:rPr>
        <w:t>10</w:t>
      </w:r>
      <w:r w:rsidR="00D517EB">
        <w:rPr>
          <w:rFonts w:ascii="Arial" w:hAnsi="Arial" w:cs="Arial" w:hint="eastAsia"/>
          <w:sz w:val="21"/>
          <w:szCs w:val="21"/>
        </w:rPr>
        <w:t>月</w:t>
      </w:r>
      <w:r w:rsidR="00D517EB">
        <w:rPr>
          <w:rFonts w:ascii="Arial" w:hAnsi="Arial" w:cs="Arial" w:hint="eastAsia"/>
          <w:sz w:val="21"/>
          <w:szCs w:val="21"/>
        </w:rPr>
        <w:t>31</w:t>
      </w:r>
      <w:r w:rsidR="00D517EB">
        <w:rPr>
          <w:rFonts w:ascii="Arial" w:hAnsi="Arial" w:cs="Arial" w:hint="eastAsia"/>
          <w:sz w:val="21"/>
          <w:szCs w:val="21"/>
        </w:rPr>
        <w:t>日</w:t>
      </w:r>
      <w:r>
        <w:rPr>
          <w:rFonts w:ascii="Arial" w:hAnsi="Arial" w:cs="Arial" w:hint="eastAsia"/>
          <w:sz w:val="21"/>
          <w:szCs w:val="21"/>
        </w:rPr>
        <w:t>）规划利用条件及下述设定条件下的市场平均租金价格：</w:t>
      </w:r>
      <w:r>
        <w:rPr>
          <w:rFonts w:ascii="Arial" w:eastAsia="Arial" w:hAnsi="Arial" w:cs="Arial"/>
          <w:sz w:val="21"/>
          <w:szCs w:val="21"/>
        </w:rPr>
        <w:t xml:space="preserve"> </w:t>
      </w:r>
    </w:p>
    <w:p w14:paraId="474FEAF1" w14:textId="77777777" w:rsidR="00AF6F34" w:rsidRDefault="00AF6F34">
      <w:pPr>
        <w:overflowPunct w:val="0"/>
        <w:spacing w:line="480" w:lineRule="auto"/>
        <w:ind w:firstLine="420"/>
        <w:jc w:val="both"/>
      </w:pPr>
      <w:r>
        <w:rPr>
          <w:rFonts w:ascii="Arial" w:hAnsi="Arial" w:cs="Arial" w:hint="eastAsia"/>
          <w:sz w:val="21"/>
          <w:szCs w:val="21"/>
        </w:rPr>
        <w:lastRenderedPageBreak/>
        <w:t>项目同地段、同类型的普通住房在估价时段的市场租赁平均价格，</w:t>
      </w:r>
      <w:bookmarkStart w:id="1" w:name="_Hlk118454962"/>
      <w:r>
        <w:rPr>
          <w:rFonts w:ascii="Arial" w:hAnsi="Arial" w:cs="Arial" w:hint="eastAsia"/>
          <w:sz w:val="21"/>
          <w:szCs w:val="21"/>
        </w:rPr>
        <w:t>包括地租、房屋折旧、设备折旧、维修费、保险费、物业费、供暖费、管理费、利息、利润、家具、家电租赁费及租赁税费等；不含水电费、天然气费、通信费、有线电视费、上网宽带费等。</w:t>
      </w:r>
      <w:bookmarkEnd w:id="1"/>
      <w:r>
        <w:rPr>
          <w:rFonts w:ascii="Arial" w:eastAsia="Arial" w:hAnsi="Arial" w:cs="Arial"/>
          <w:sz w:val="21"/>
          <w:szCs w:val="21"/>
        </w:rPr>
        <w:t xml:space="preserve"> </w:t>
      </w:r>
    </w:p>
    <w:p w14:paraId="5FF4FC4F" w14:textId="77777777" w:rsidR="00AF6F34" w:rsidRDefault="00AF6F34">
      <w:pPr>
        <w:overflowPunct w:val="0"/>
        <w:spacing w:line="480" w:lineRule="auto"/>
        <w:ind w:firstLine="420"/>
        <w:jc w:val="both"/>
      </w:pPr>
      <w:r>
        <w:rPr>
          <w:rFonts w:ascii="Arial" w:hAnsi="Arial" w:cs="Arial" w:hint="eastAsia"/>
          <w:sz w:val="21"/>
          <w:szCs w:val="21"/>
        </w:rPr>
        <w:t>（</w:t>
      </w:r>
      <w:r>
        <w:rPr>
          <w:rFonts w:ascii="Arial" w:hAnsi="Arial" w:cs="Arial"/>
          <w:sz w:val="21"/>
          <w:szCs w:val="21"/>
        </w:rPr>
        <w:t>1</w:t>
      </w:r>
      <w:r>
        <w:rPr>
          <w:rFonts w:ascii="Arial" w:hAnsi="Arial" w:cs="Arial" w:hint="eastAsia"/>
          <w:sz w:val="21"/>
          <w:szCs w:val="21"/>
        </w:rPr>
        <w:t>）同地段是指按照就近原则，能够满足租赁住房项目市场租金评估所需要的可比小区数量所形成的同质区域。</w:t>
      </w:r>
      <w:r>
        <w:rPr>
          <w:rFonts w:ascii="Arial" w:eastAsia="Arial" w:hAnsi="Arial" w:cs="Arial"/>
          <w:sz w:val="21"/>
          <w:szCs w:val="21"/>
        </w:rPr>
        <w:t xml:space="preserve"> </w:t>
      </w:r>
    </w:p>
    <w:p w14:paraId="54805DF5" w14:textId="77777777" w:rsidR="00AF6F34" w:rsidRDefault="00AF6F34">
      <w:pPr>
        <w:overflowPunct w:val="0"/>
        <w:spacing w:line="480" w:lineRule="auto"/>
        <w:ind w:firstLine="420"/>
        <w:jc w:val="both"/>
      </w:pPr>
      <w:r>
        <w:rPr>
          <w:rFonts w:ascii="Arial" w:hAnsi="Arial" w:cs="Arial" w:hint="eastAsia"/>
          <w:sz w:val="21"/>
          <w:szCs w:val="21"/>
        </w:rPr>
        <w:t>（</w:t>
      </w:r>
      <w:r>
        <w:rPr>
          <w:rFonts w:ascii="Arial" w:hAnsi="Arial" w:cs="Arial"/>
          <w:sz w:val="21"/>
          <w:szCs w:val="21"/>
        </w:rPr>
        <w:t>2</w:t>
      </w:r>
      <w:r>
        <w:rPr>
          <w:rFonts w:ascii="Arial" w:hAnsi="Arial" w:cs="Arial" w:hint="eastAsia"/>
          <w:sz w:val="21"/>
          <w:szCs w:val="21"/>
        </w:rPr>
        <w:t>）同类型是指使用功能、建筑结构、面积、户型、装修、家具家电设备及周边环境与配套相同或相似的住房。</w:t>
      </w:r>
    </w:p>
    <w:p w14:paraId="5BA15220" w14:textId="5ECC5A43" w:rsidR="00AF6F34" w:rsidRDefault="00AF6F34">
      <w:pPr>
        <w:overflowPunct w:val="0"/>
        <w:spacing w:line="480" w:lineRule="auto"/>
        <w:ind w:firstLine="420"/>
        <w:jc w:val="both"/>
        <w:textAlignment w:val="auto"/>
      </w:pPr>
      <w:r>
        <w:rPr>
          <w:rFonts w:ascii="Arial" w:hAnsi="Arial" w:cs="Arial" w:hint="eastAsia"/>
          <w:sz w:val="21"/>
          <w:szCs w:val="21"/>
        </w:rPr>
        <w:t>（</w:t>
      </w:r>
      <w:r>
        <w:rPr>
          <w:rFonts w:ascii="Arial" w:hAnsi="Arial" w:cs="Arial"/>
          <w:sz w:val="21"/>
          <w:szCs w:val="21"/>
        </w:rPr>
        <w:t>3</w:t>
      </w:r>
      <w:r>
        <w:rPr>
          <w:rFonts w:ascii="Arial" w:hAnsi="Arial" w:cs="Arial" w:hint="eastAsia"/>
          <w:sz w:val="21"/>
          <w:szCs w:val="21"/>
        </w:rPr>
        <w:t>）估价时段是指价值时点前一年（</w:t>
      </w:r>
      <w:r w:rsidR="00D517EB">
        <w:rPr>
          <w:rFonts w:ascii="Arial" w:hAnsi="Arial" w:cs="Arial" w:hint="eastAsia"/>
          <w:sz w:val="21"/>
          <w:szCs w:val="21"/>
        </w:rPr>
        <w:t>2024</w:t>
      </w:r>
      <w:r w:rsidR="00D517EB">
        <w:rPr>
          <w:rFonts w:ascii="Arial" w:hAnsi="Arial" w:cs="Arial" w:hint="eastAsia"/>
          <w:sz w:val="21"/>
          <w:szCs w:val="21"/>
        </w:rPr>
        <w:t>年</w:t>
      </w:r>
      <w:r w:rsidR="00D517EB">
        <w:rPr>
          <w:rFonts w:ascii="Arial" w:hAnsi="Arial" w:cs="Arial" w:hint="eastAsia"/>
          <w:sz w:val="21"/>
          <w:szCs w:val="21"/>
        </w:rPr>
        <w:t>11</w:t>
      </w:r>
      <w:r w:rsidR="00D517EB">
        <w:rPr>
          <w:rFonts w:ascii="Arial" w:hAnsi="Arial" w:cs="Arial" w:hint="eastAsia"/>
          <w:sz w:val="21"/>
          <w:szCs w:val="21"/>
        </w:rPr>
        <w:t>月</w:t>
      </w:r>
      <w:r w:rsidR="00D517EB">
        <w:rPr>
          <w:rFonts w:ascii="Arial" w:hAnsi="Arial" w:cs="Arial" w:hint="eastAsia"/>
          <w:sz w:val="21"/>
          <w:szCs w:val="21"/>
        </w:rPr>
        <w:t>1</w:t>
      </w:r>
      <w:r w:rsidR="00D517EB">
        <w:rPr>
          <w:rFonts w:ascii="Arial" w:hAnsi="Arial" w:cs="Arial" w:hint="eastAsia"/>
          <w:sz w:val="21"/>
          <w:szCs w:val="21"/>
        </w:rPr>
        <w:t>日至</w:t>
      </w:r>
      <w:r w:rsidR="00D517EB">
        <w:rPr>
          <w:rFonts w:ascii="Arial" w:hAnsi="Arial" w:cs="Arial" w:hint="eastAsia"/>
          <w:sz w:val="21"/>
          <w:szCs w:val="21"/>
        </w:rPr>
        <w:t>2025</w:t>
      </w:r>
      <w:r w:rsidR="00D517EB">
        <w:rPr>
          <w:rFonts w:ascii="Arial" w:hAnsi="Arial" w:cs="Arial" w:hint="eastAsia"/>
          <w:sz w:val="21"/>
          <w:szCs w:val="21"/>
        </w:rPr>
        <w:t>年</w:t>
      </w:r>
      <w:r w:rsidR="00D517EB">
        <w:rPr>
          <w:rFonts w:ascii="Arial" w:hAnsi="Arial" w:cs="Arial" w:hint="eastAsia"/>
          <w:sz w:val="21"/>
          <w:szCs w:val="21"/>
        </w:rPr>
        <w:t>10</w:t>
      </w:r>
      <w:r w:rsidR="00D517EB">
        <w:rPr>
          <w:rFonts w:ascii="Arial" w:hAnsi="Arial" w:cs="Arial" w:hint="eastAsia"/>
          <w:sz w:val="21"/>
          <w:szCs w:val="21"/>
        </w:rPr>
        <w:t>月</w:t>
      </w:r>
      <w:r w:rsidR="00D517EB">
        <w:rPr>
          <w:rFonts w:ascii="Arial" w:hAnsi="Arial" w:cs="Arial" w:hint="eastAsia"/>
          <w:sz w:val="21"/>
          <w:szCs w:val="21"/>
        </w:rPr>
        <w:t>31</w:t>
      </w:r>
      <w:r w:rsidR="00D517EB">
        <w:rPr>
          <w:rFonts w:ascii="Arial" w:hAnsi="Arial" w:cs="Arial" w:hint="eastAsia"/>
          <w:sz w:val="21"/>
          <w:szCs w:val="21"/>
        </w:rPr>
        <w:t>日</w:t>
      </w:r>
      <w:r>
        <w:rPr>
          <w:rFonts w:ascii="Arial" w:hAnsi="Arial" w:cs="Arial" w:hint="eastAsia"/>
          <w:sz w:val="21"/>
          <w:szCs w:val="21"/>
        </w:rPr>
        <w:t>）。</w:t>
      </w:r>
    </w:p>
    <w:p w14:paraId="56D87276" w14:textId="77777777" w:rsidR="00AF6F34" w:rsidRDefault="00AF6F34">
      <w:pPr>
        <w:overflowPunct w:val="0"/>
        <w:spacing w:line="480" w:lineRule="auto"/>
        <w:ind w:firstLine="422"/>
        <w:jc w:val="both"/>
        <w:textAlignment w:val="auto"/>
      </w:pPr>
      <w:r>
        <w:rPr>
          <w:rFonts w:ascii="Arial" w:hAnsi="Arial" w:cs="Arial"/>
          <w:b/>
          <w:bCs/>
          <w:sz w:val="21"/>
          <w:szCs w:val="21"/>
        </w:rPr>
        <w:t>估价方法：</w:t>
      </w:r>
      <w:r>
        <w:rPr>
          <w:rFonts w:ascii="Arial" w:hAnsi="Arial" w:cs="Arial"/>
          <w:bCs/>
          <w:color w:val="000000"/>
          <w:sz w:val="21"/>
          <w:szCs w:val="21"/>
        </w:rPr>
        <w:t>本次评估采用的估价方法为比较法</w:t>
      </w:r>
      <w:r>
        <w:rPr>
          <w:rFonts w:ascii="Arial" w:hAnsi="Arial" w:cs="Arial"/>
          <w:sz w:val="21"/>
          <w:szCs w:val="21"/>
        </w:rPr>
        <w:t>。</w:t>
      </w:r>
    </w:p>
    <w:p w14:paraId="48ABF4BB" w14:textId="4ECA4A39" w:rsidR="00AF6F34" w:rsidRDefault="00AF6F34">
      <w:pPr>
        <w:overflowPunct w:val="0"/>
        <w:spacing w:line="480" w:lineRule="auto"/>
        <w:ind w:firstLine="422"/>
        <w:jc w:val="both"/>
        <w:textAlignment w:val="auto"/>
      </w:pPr>
      <w:r>
        <w:rPr>
          <w:rFonts w:ascii="Arial" w:hAnsi="Arial" w:cs="Arial"/>
          <w:b/>
          <w:bCs/>
          <w:sz w:val="21"/>
          <w:szCs w:val="21"/>
        </w:rPr>
        <w:t>估价结果：</w:t>
      </w:r>
      <w:r>
        <w:rPr>
          <w:rFonts w:ascii="Arial" w:hAnsi="Arial" w:cs="Arial"/>
          <w:sz w:val="21"/>
          <w:szCs w:val="21"/>
        </w:rPr>
        <w:t>评估专业人员根据估价的目的，</w:t>
      </w:r>
      <w:r>
        <w:rPr>
          <w:rFonts w:ascii="Arial" w:hAnsi="Arial" w:cs="Arial" w:hint="eastAsia"/>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ascii="Arial" w:hAnsi="Arial" w:cs="Arial" w:hint="eastAsia"/>
          <w:sz w:val="21"/>
          <w:szCs w:val="21"/>
        </w:rPr>
        <w:t>租赁</w:t>
      </w:r>
      <w:r>
        <w:rPr>
          <w:rFonts w:ascii="Arial" w:hAnsi="Arial" w:cs="Arial"/>
          <w:sz w:val="21"/>
          <w:szCs w:val="21"/>
        </w:rPr>
        <w:t>价格的因素，</w:t>
      </w:r>
      <w:r>
        <w:rPr>
          <w:rFonts w:ascii="Arial" w:hAnsi="Arial" w:cs="Arial" w:hint="eastAsia"/>
          <w:sz w:val="21"/>
          <w:szCs w:val="21"/>
        </w:rPr>
        <w:t>最终</w:t>
      </w:r>
      <w:r>
        <w:rPr>
          <w:rFonts w:ascii="Arial" w:hAnsi="Arial" w:cs="Arial"/>
          <w:sz w:val="21"/>
          <w:szCs w:val="21"/>
        </w:rPr>
        <w:t>确定估价对象</w:t>
      </w:r>
      <w:r>
        <w:rPr>
          <w:rFonts w:ascii="Arial" w:hAnsi="Arial" w:cs="Arial" w:hint="eastAsia"/>
          <w:sz w:val="21"/>
          <w:szCs w:val="21"/>
        </w:rPr>
        <w:t>同地块、同类型普通住宅房地产于价值时点</w:t>
      </w:r>
      <w:r w:rsidR="00094507">
        <w:rPr>
          <w:rFonts w:ascii="Arial" w:hAnsi="Arial" w:cs="Arial" w:hint="eastAsia"/>
          <w:sz w:val="21"/>
          <w:szCs w:val="21"/>
        </w:rPr>
        <w:t>2025</w:t>
      </w:r>
      <w:r w:rsidR="00094507">
        <w:rPr>
          <w:rFonts w:ascii="Arial" w:hAnsi="Arial" w:cs="Arial" w:hint="eastAsia"/>
          <w:sz w:val="21"/>
          <w:szCs w:val="21"/>
        </w:rPr>
        <w:t>年</w:t>
      </w:r>
      <w:r w:rsidR="00094507">
        <w:rPr>
          <w:rFonts w:ascii="Arial" w:hAnsi="Arial" w:cs="Arial" w:hint="eastAsia"/>
          <w:sz w:val="21"/>
          <w:szCs w:val="21"/>
        </w:rPr>
        <w:t>11</w:t>
      </w:r>
      <w:r w:rsidR="00094507">
        <w:rPr>
          <w:rFonts w:ascii="Arial" w:hAnsi="Arial" w:cs="Arial" w:hint="eastAsia"/>
          <w:sz w:val="21"/>
          <w:szCs w:val="21"/>
        </w:rPr>
        <w:t>月</w:t>
      </w:r>
      <w:r w:rsidR="00094507">
        <w:rPr>
          <w:rFonts w:ascii="Arial" w:hAnsi="Arial" w:cs="Arial" w:hint="eastAsia"/>
          <w:sz w:val="21"/>
          <w:szCs w:val="21"/>
        </w:rPr>
        <w:t>1</w:t>
      </w:r>
      <w:r w:rsidR="00094507">
        <w:rPr>
          <w:rFonts w:ascii="Arial" w:hAnsi="Arial" w:cs="Arial" w:hint="eastAsia"/>
          <w:sz w:val="21"/>
          <w:szCs w:val="21"/>
        </w:rPr>
        <w:t>日</w:t>
      </w:r>
      <w:r>
        <w:rPr>
          <w:rFonts w:ascii="Arial" w:hAnsi="Arial" w:cs="Arial" w:hint="eastAsia"/>
          <w:sz w:val="21"/>
          <w:szCs w:val="21"/>
        </w:rPr>
        <w:t>前一年内（</w:t>
      </w:r>
      <w:r w:rsidR="00D517EB">
        <w:rPr>
          <w:rFonts w:ascii="Arial" w:hAnsi="Arial" w:cs="Arial" w:hint="eastAsia"/>
          <w:sz w:val="21"/>
          <w:szCs w:val="21"/>
        </w:rPr>
        <w:t>2024</w:t>
      </w:r>
      <w:r w:rsidR="00D517EB">
        <w:rPr>
          <w:rFonts w:ascii="Arial" w:hAnsi="Arial" w:cs="Arial" w:hint="eastAsia"/>
          <w:sz w:val="21"/>
          <w:szCs w:val="21"/>
        </w:rPr>
        <w:t>年</w:t>
      </w:r>
      <w:r w:rsidR="00D517EB">
        <w:rPr>
          <w:rFonts w:ascii="Arial" w:hAnsi="Arial" w:cs="Arial" w:hint="eastAsia"/>
          <w:sz w:val="21"/>
          <w:szCs w:val="21"/>
        </w:rPr>
        <w:t>11</w:t>
      </w:r>
      <w:r w:rsidR="00D517EB">
        <w:rPr>
          <w:rFonts w:ascii="Arial" w:hAnsi="Arial" w:cs="Arial" w:hint="eastAsia"/>
          <w:sz w:val="21"/>
          <w:szCs w:val="21"/>
        </w:rPr>
        <w:t>月</w:t>
      </w:r>
      <w:r w:rsidR="00D517EB">
        <w:rPr>
          <w:rFonts w:ascii="Arial" w:hAnsi="Arial" w:cs="Arial" w:hint="eastAsia"/>
          <w:sz w:val="21"/>
          <w:szCs w:val="21"/>
        </w:rPr>
        <w:t>1</w:t>
      </w:r>
      <w:r w:rsidR="00D517EB">
        <w:rPr>
          <w:rFonts w:ascii="Arial" w:hAnsi="Arial" w:cs="Arial" w:hint="eastAsia"/>
          <w:sz w:val="21"/>
          <w:szCs w:val="21"/>
        </w:rPr>
        <w:t>日至</w:t>
      </w:r>
      <w:r w:rsidR="00D517EB">
        <w:rPr>
          <w:rFonts w:ascii="Arial" w:hAnsi="Arial" w:cs="Arial" w:hint="eastAsia"/>
          <w:sz w:val="21"/>
          <w:szCs w:val="21"/>
        </w:rPr>
        <w:t>2025</w:t>
      </w:r>
      <w:r w:rsidR="00D517EB">
        <w:rPr>
          <w:rFonts w:ascii="Arial" w:hAnsi="Arial" w:cs="Arial" w:hint="eastAsia"/>
          <w:sz w:val="21"/>
          <w:szCs w:val="21"/>
        </w:rPr>
        <w:t>年</w:t>
      </w:r>
      <w:r w:rsidR="00D517EB">
        <w:rPr>
          <w:rFonts w:ascii="Arial" w:hAnsi="Arial" w:cs="Arial" w:hint="eastAsia"/>
          <w:sz w:val="21"/>
          <w:szCs w:val="21"/>
        </w:rPr>
        <w:t>10</w:t>
      </w:r>
      <w:r w:rsidR="00D517EB">
        <w:rPr>
          <w:rFonts w:ascii="Arial" w:hAnsi="Arial" w:cs="Arial" w:hint="eastAsia"/>
          <w:sz w:val="21"/>
          <w:szCs w:val="21"/>
        </w:rPr>
        <w:t>月</w:t>
      </w:r>
      <w:r w:rsidR="00D517EB">
        <w:rPr>
          <w:rFonts w:ascii="Arial" w:hAnsi="Arial" w:cs="Arial" w:hint="eastAsia"/>
          <w:sz w:val="21"/>
          <w:szCs w:val="21"/>
        </w:rPr>
        <w:t>31</w:t>
      </w:r>
      <w:r w:rsidR="00D517EB">
        <w:rPr>
          <w:rFonts w:ascii="Arial" w:hAnsi="Arial" w:cs="Arial" w:hint="eastAsia"/>
          <w:sz w:val="21"/>
          <w:szCs w:val="21"/>
        </w:rPr>
        <w:t>日</w:t>
      </w:r>
      <w:r>
        <w:rPr>
          <w:rFonts w:ascii="Arial" w:hAnsi="Arial" w:cs="Arial" w:hint="eastAsia"/>
          <w:sz w:val="21"/>
          <w:szCs w:val="21"/>
        </w:rPr>
        <w:t>）</w:t>
      </w:r>
      <w:bookmarkStart w:id="2" w:name="_Hlk111638309"/>
      <w:r>
        <w:rPr>
          <w:rFonts w:ascii="Arial" w:hAnsi="Arial" w:cs="Arial" w:hint="eastAsia"/>
          <w:sz w:val="21"/>
          <w:szCs w:val="21"/>
        </w:rPr>
        <w:t>平均市场租金</w:t>
      </w:r>
      <w:bookmarkEnd w:id="2"/>
      <w:r>
        <w:rPr>
          <w:rFonts w:ascii="Arial" w:hAnsi="Arial" w:cs="Arial" w:hint="eastAsia"/>
          <w:sz w:val="21"/>
          <w:szCs w:val="21"/>
        </w:rPr>
        <w:t>水平为：</w:t>
      </w:r>
      <w:r>
        <w:rPr>
          <w:rFonts w:ascii="Arial" w:eastAsia="Arial" w:hAnsi="Arial" w:cs="Arial" w:hint="eastAsia"/>
          <w:sz w:val="21"/>
          <w:szCs w:val="21"/>
        </w:rPr>
        <w:t xml:space="preserve"> </w:t>
      </w:r>
    </w:p>
    <w:p w14:paraId="07D877F0" w14:textId="4CCCBF2F" w:rsidR="0098638C" w:rsidRDefault="0098638C" w:rsidP="0098638C">
      <w:pPr>
        <w:overflowPunct w:val="0"/>
        <w:spacing w:line="480" w:lineRule="auto"/>
        <w:ind w:firstLine="422"/>
        <w:textAlignment w:val="auto"/>
        <w:rPr>
          <w:rFonts w:ascii="Arial" w:hAnsi="Arial" w:cs="Arial"/>
          <w:b/>
          <w:bCs/>
          <w:sz w:val="21"/>
          <w:szCs w:val="21"/>
        </w:rPr>
      </w:pPr>
      <w:r>
        <w:rPr>
          <w:rFonts w:ascii="Arial" w:hAnsi="Arial" w:cs="Arial" w:hint="eastAsia"/>
          <w:b/>
          <w:bCs/>
          <w:sz w:val="21"/>
          <w:szCs w:val="21"/>
        </w:rPr>
        <w:t>南海家园：</w:t>
      </w:r>
      <w:r w:rsidR="00EC4DBF">
        <w:rPr>
          <w:rFonts w:ascii="Arial" w:hAnsi="Arial" w:cs="Arial"/>
          <w:b/>
          <w:bCs/>
          <w:sz w:val="21"/>
          <w:szCs w:val="21"/>
        </w:rPr>
        <w:t>56.00</w:t>
      </w: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r>
        <w:rPr>
          <w:rFonts w:ascii="Arial" w:hAnsi="Arial" w:cs="Arial"/>
          <w:b/>
          <w:bCs/>
          <w:sz w:val="21"/>
          <w:szCs w:val="21"/>
        </w:rPr>
        <w:t>·</w:t>
      </w:r>
      <w:r>
        <w:rPr>
          <w:rFonts w:ascii="Arial" w:hAnsi="Arial" w:cs="Arial"/>
          <w:b/>
          <w:bCs/>
          <w:sz w:val="21"/>
          <w:szCs w:val="21"/>
        </w:rPr>
        <w:t>月</w:t>
      </w:r>
      <w:r>
        <w:rPr>
          <w:rFonts w:ascii="Arial" w:hAnsi="Arial" w:cs="Arial" w:hint="eastAsia"/>
          <w:b/>
          <w:bCs/>
          <w:sz w:val="21"/>
          <w:szCs w:val="21"/>
        </w:rPr>
        <w:t>（货币种类：人民币）</w:t>
      </w:r>
    </w:p>
    <w:p w14:paraId="167DE90A" w14:textId="77777777" w:rsidR="00AF6F34" w:rsidRDefault="00AF6F34">
      <w:pPr>
        <w:overflowPunct w:val="0"/>
        <w:spacing w:line="480" w:lineRule="auto"/>
        <w:ind w:firstLine="360"/>
        <w:jc w:val="both"/>
        <w:textAlignment w:val="auto"/>
      </w:pPr>
      <w:r>
        <w:rPr>
          <w:rFonts w:ascii="Arial" w:hAnsi="Arial" w:cs="Arial"/>
          <w:sz w:val="18"/>
          <w:szCs w:val="18"/>
        </w:rPr>
        <w:t>注：</w:t>
      </w:r>
      <w:r>
        <w:rPr>
          <w:rFonts w:ascii="Arial" w:hAnsi="Arial" w:cs="Arial"/>
          <w:sz w:val="18"/>
          <w:szCs w:val="18"/>
        </w:rPr>
        <w:t>1</w:t>
      </w:r>
      <w:r>
        <w:rPr>
          <w:rFonts w:ascii="Arial" w:hAnsi="Arial" w:cs="Arial"/>
          <w:sz w:val="18"/>
          <w:szCs w:val="18"/>
        </w:rPr>
        <w:t>、</w:t>
      </w:r>
      <w:r>
        <w:rPr>
          <w:rFonts w:ascii="Arial" w:hAnsi="Arial" w:cs="Arial" w:hint="eastAsia"/>
          <w:sz w:val="18"/>
          <w:szCs w:val="18"/>
        </w:rPr>
        <w:t>评估的详细结果、过程及有关说明，详见《估价结果报告》、《估价技术报告》。</w:t>
      </w:r>
    </w:p>
    <w:p w14:paraId="7761D69B" w14:textId="77777777" w:rsidR="00AF6F34" w:rsidRDefault="00AF6F34">
      <w:pPr>
        <w:overflowPunct w:val="0"/>
        <w:spacing w:line="480" w:lineRule="auto"/>
        <w:ind w:left="360"/>
        <w:jc w:val="both"/>
        <w:textAlignment w:val="auto"/>
      </w:pPr>
      <w:r>
        <w:rPr>
          <w:rFonts w:ascii="Arial" w:eastAsia="Arial" w:hAnsi="Arial" w:cs="Arial"/>
          <w:sz w:val="18"/>
          <w:szCs w:val="18"/>
        </w:rPr>
        <w:t xml:space="preserve">    </w:t>
      </w:r>
      <w:r>
        <w:rPr>
          <w:rFonts w:ascii="Arial" w:hAnsi="Arial" w:cs="Arial"/>
          <w:sz w:val="18"/>
          <w:szCs w:val="18"/>
        </w:rPr>
        <w:t>2</w:t>
      </w:r>
      <w:r>
        <w:rPr>
          <w:rFonts w:ascii="Arial" w:hAnsi="Arial" w:cs="Arial"/>
          <w:sz w:val="18"/>
          <w:szCs w:val="18"/>
        </w:rPr>
        <w:t>、</w:t>
      </w:r>
      <w:r>
        <w:rPr>
          <w:rFonts w:ascii="Arial" w:hAnsi="Arial" w:cs="Arial" w:hint="eastAsia"/>
          <w:sz w:val="18"/>
          <w:szCs w:val="18"/>
        </w:rPr>
        <w:t>估价结果为项目同地段、同类型普通住宅前</w:t>
      </w:r>
      <w:r>
        <w:rPr>
          <w:rFonts w:ascii="Arial" w:hAnsi="Arial" w:cs="Arial" w:hint="eastAsia"/>
          <w:sz w:val="18"/>
          <w:szCs w:val="18"/>
        </w:rPr>
        <w:t>12</w:t>
      </w:r>
      <w:r>
        <w:rPr>
          <w:rFonts w:ascii="Arial" w:hAnsi="Arial" w:cs="Arial" w:hint="eastAsia"/>
          <w:sz w:val="18"/>
          <w:szCs w:val="18"/>
        </w:rPr>
        <w:t>个月的市场平均月租金价格。</w:t>
      </w:r>
    </w:p>
    <w:p w14:paraId="7F72FE6D" w14:textId="77777777" w:rsidR="00AF6F34" w:rsidRDefault="00AF6F34">
      <w:pPr>
        <w:overflowPunct w:val="0"/>
        <w:spacing w:line="480" w:lineRule="auto"/>
        <w:ind w:left="720" w:hanging="360"/>
        <w:jc w:val="both"/>
        <w:textAlignment w:val="auto"/>
      </w:pPr>
      <w:r>
        <w:rPr>
          <w:rFonts w:ascii="Arial" w:eastAsia="Arial" w:hAnsi="Arial" w:cs="Arial"/>
          <w:sz w:val="18"/>
          <w:szCs w:val="18"/>
        </w:rPr>
        <w:t xml:space="preserve">    </w:t>
      </w:r>
      <w:r w:rsidR="004B20B9">
        <w:rPr>
          <w:rFonts w:ascii="Arial" w:hAnsi="Arial" w:cs="Arial"/>
          <w:sz w:val="18"/>
          <w:szCs w:val="18"/>
        </w:rPr>
        <w:t>3</w:t>
      </w:r>
      <w:r>
        <w:rPr>
          <w:rFonts w:ascii="Arial" w:hAnsi="Arial" w:cs="Arial"/>
          <w:sz w:val="18"/>
          <w:szCs w:val="18"/>
        </w:rPr>
        <w:t>、估价结果</w:t>
      </w:r>
      <w:r>
        <w:rPr>
          <w:rFonts w:ascii="Arial" w:hAnsi="Arial" w:cs="Arial" w:hint="eastAsia"/>
          <w:sz w:val="18"/>
          <w:szCs w:val="18"/>
        </w:rPr>
        <w:t>包括地租、房屋折旧、设备折旧、维修费、保险费、物业费、供暖费、管理费、利息、利润、家具、家电租赁费及租赁税费等；不含水电费、天然气费、通信费、有线电视费、上网宽带费等。</w:t>
      </w:r>
    </w:p>
    <w:p w14:paraId="7997A131" w14:textId="77777777" w:rsidR="00CE3FA3" w:rsidRDefault="00CE3FA3">
      <w:pPr>
        <w:spacing w:line="480" w:lineRule="auto"/>
        <w:ind w:firstLine="4200"/>
        <w:jc w:val="both"/>
        <w:rPr>
          <w:rFonts w:ascii="Arial" w:hAnsi="Arial" w:cs="Arial"/>
          <w:sz w:val="21"/>
          <w:szCs w:val="21"/>
        </w:rPr>
      </w:pPr>
    </w:p>
    <w:p w14:paraId="490FCFE8" w14:textId="77777777" w:rsidR="00CE3FA3" w:rsidRDefault="00CE3FA3">
      <w:pPr>
        <w:spacing w:line="480" w:lineRule="auto"/>
        <w:ind w:firstLine="4200"/>
        <w:jc w:val="both"/>
        <w:rPr>
          <w:rFonts w:ascii="Arial" w:hAnsi="Arial" w:cs="Arial"/>
          <w:sz w:val="21"/>
          <w:szCs w:val="21"/>
        </w:rPr>
      </w:pPr>
    </w:p>
    <w:p w14:paraId="7EA7E1E7" w14:textId="77777777" w:rsidR="00CE3FA3" w:rsidRDefault="00CE3FA3">
      <w:pPr>
        <w:spacing w:line="480" w:lineRule="auto"/>
        <w:ind w:firstLine="4200"/>
        <w:jc w:val="both"/>
        <w:rPr>
          <w:rFonts w:ascii="Arial" w:hAnsi="Arial" w:cs="Arial"/>
          <w:sz w:val="21"/>
          <w:szCs w:val="21"/>
        </w:rPr>
      </w:pPr>
    </w:p>
    <w:p w14:paraId="099246F8" w14:textId="77777777" w:rsidR="00CE3FA3" w:rsidRDefault="00CE3FA3">
      <w:pPr>
        <w:spacing w:line="480" w:lineRule="auto"/>
        <w:ind w:firstLine="4200"/>
        <w:jc w:val="both"/>
        <w:rPr>
          <w:rFonts w:ascii="Arial" w:hAnsi="Arial" w:cs="Arial"/>
          <w:sz w:val="21"/>
          <w:szCs w:val="21"/>
        </w:rPr>
      </w:pPr>
    </w:p>
    <w:p w14:paraId="4BB948DF" w14:textId="77777777" w:rsidR="00CE3FA3" w:rsidRDefault="00CE3FA3">
      <w:pPr>
        <w:spacing w:line="480" w:lineRule="auto"/>
        <w:ind w:firstLine="4200"/>
        <w:jc w:val="both"/>
        <w:rPr>
          <w:rFonts w:ascii="Arial" w:hAnsi="Arial" w:cs="Arial"/>
          <w:sz w:val="21"/>
          <w:szCs w:val="21"/>
        </w:rPr>
      </w:pPr>
    </w:p>
    <w:p w14:paraId="1E2D765E" w14:textId="77777777" w:rsidR="00CE3FA3" w:rsidRDefault="00CE3FA3">
      <w:pPr>
        <w:spacing w:line="480" w:lineRule="auto"/>
        <w:ind w:firstLine="4200"/>
        <w:jc w:val="both"/>
        <w:rPr>
          <w:rFonts w:ascii="Arial" w:hAnsi="Arial" w:cs="Arial"/>
          <w:sz w:val="21"/>
          <w:szCs w:val="21"/>
        </w:rPr>
      </w:pPr>
    </w:p>
    <w:p w14:paraId="5122C871" w14:textId="77777777" w:rsidR="00CE3FA3" w:rsidRDefault="00CE3FA3">
      <w:pPr>
        <w:spacing w:line="480" w:lineRule="auto"/>
        <w:ind w:firstLine="4200"/>
        <w:jc w:val="both"/>
        <w:rPr>
          <w:rFonts w:ascii="Arial" w:hAnsi="Arial" w:cs="Arial"/>
          <w:sz w:val="21"/>
          <w:szCs w:val="21"/>
        </w:rPr>
      </w:pPr>
    </w:p>
    <w:p w14:paraId="3E707E27" w14:textId="77777777" w:rsidR="00FB51B2" w:rsidRDefault="00FB51B2" w:rsidP="00CE3FA3">
      <w:pPr>
        <w:spacing w:line="480" w:lineRule="auto"/>
        <w:rPr>
          <w:rFonts w:ascii="Arial" w:hAnsi="Arial" w:cs="Arial"/>
          <w:sz w:val="21"/>
          <w:szCs w:val="21"/>
        </w:rPr>
      </w:pPr>
    </w:p>
    <w:p w14:paraId="7CA4759B" w14:textId="77777777" w:rsidR="00FB51B2" w:rsidRDefault="00FB51B2" w:rsidP="00CE3FA3">
      <w:pPr>
        <w:spacing w:line="480" w:lineRule="auto"/>
        <w:rPr>
          <w:rFonts w:ascii="Arial" w:hAnsi="Arial" w:cs="Arial"/>
          <w:sz w:val="21"/>
          <w:szCs w:val="21"/>
        </w:rPr>
      </w:pPr>
    </w:p>
    <w:p w14:paraId="4C40BA89" w14:textId="77777777" w:rsidR="00CE3FA3" w:rsidRDefault="00CE3FA3" w:rsidP="00CE3FA3">
      <w:pPr>
        <w:spacing w:line="480" w:lineRule="auto"/>
        <w:rPr>
          <w:rFonts w:ascii="Arial" w:hAnsi="Arial" w:cs="Arial"/>
          <w:sz w:val="21"/>
          <w:szCs w:val="21"/>
        </w:rPr>
      </w:pPr>
      <w:r>
        <w:rPr>
          <w:rFonts w:ascii="Arial" w:hAnsi="Arial" w:cs="Arial" w:hint="eastAsia"/>
          <w:sz w:val="21"/>
          <w:szCs w:val="21"/>
        </w:rPr>
        <w:lastRenderedPageBreak/>
        <w:t>（本页无正文）</w:t>
      </w:r>
    </w:p>
    <w:p w14:paraId="6A410417" w14:textId="77777777" w:rsidR="00CE3FA3" w:rsidRDefault="00CE3FA3" w:rsidP="00CE3FA3">
      <w:pPr>
        <w:spacing w:line="480" w:lineRule="auto"/>
        <w:ind w:firstLineChars="500" w:firstLine="1050"/>
        <w:rPr>
          <w:rFonts w:ascii="Arial" w:hAnsi="Arial" w:cs="Arial"/>
          <w:sz w:val="21"/>
          <w:szCs w:val="21"/>
        </w:rPr>
      </w:pPr>
    </w:p>
    <w:p w14:paraId="5B46DCE4" w14:textId="77777777" w:rsidR="00CE3FA3" w:rsidRDefault="00CE3FA3" w:rsidP="00CE3FA3">
      <w:pPr>
        <w:spacing w:line="480" w:lineRule="auto"/>
        <w:ind w:firstLineChars="500" w:firstLine="1050"/>
        <w:rPr>
          <w:rFonts w:ascii="Arial" w:hAnsi="Arial" w:cs="Arial"/>
          <w:sz w:val="21"/>
          <w:szCs w:val="21"/>
        </w:rPr>
      </w:pPr>
    </w:p>
    <w:p w14:paraId="4894FE4E" w14:textId="77777777" w:rsidR="00AF6F34" w:rsidRDefault="00AF6F34" w:rsidP="00CE3FA3">
      <w:pPr>
        <w:spacing w:line="480" w:lineRule="auto"/>
        <w:ind w:firstLineChars="500" w:firstLine="1050"/>
      </w:pPr>
      <w:r>
        <w:rPr>
          <w:rFonts w:ascii="Arial" w:hAnsi="Arial" w:cs="Arial"/>
          <w:sz w:val="21"/>
          <w:szCs w:val="21"/>
        </w:rPr>
        <w:t>顺致</w:t>
      </w:r>
    </w:p>
    <w:p w14:paraId="16ECCA42" w14:textId="49198ED7" w:rsidR="00AF6F34" w:rsidRDefault="00AF6F34">
      <w:pPr>
        <w:spacing w:line="480" w:lineRule="auto"/>
        <w:ind w:firstLine="420"/>
        <w:jc w:val="both"/>
        <w:rPr>
          <w:rFonts w:ascii="Arial" w:hAnsi="Arial" w:cs="Arial"/>
          <w:sz w:val="21"/>
          <w:szCs w:val="21"/>
        </w:rPr>
      </w:pPr>
      <w:r>
        <w:cr/>
      </w:r>
      <w:r>
        <w:rPr>
          <w:rFonts w:ascii="Arial" w:hAnsi="Arial" w:cs="Arial"/>
          <w:sz w:val="21"/>
          <w:szCs w:val="21"/>
        </w:rPr>
        <w:t>商祺</w:t>
      </w:r>
      <w:r w:rsidR="002815CC">
        <w:rPr>
          <w:rFonts w:ascii="Arial" w:hAnsi="Arial" w:cs="Arial" w:hint="eastAsia"/>
          <w:sz w:val="21"/>
          <w:szCs w:val="21"/>
        </w:rPr>
        <w:t xml:space="preserve"> </w:t>
      </w:r>
    </w:p>
    <w:p w14:paraId="6B633162" w14:textId="09A51CBE" w:rsidR="006E3189" w:rsidRDefault="006E3189">
      <w:pPr>
        <w:spacing w:line="480" w:lineRule="auto"/>
        <w:ind w:firstLine="420"/>
        <w:jc w:val="both"/>
        <w:rPr>
          <w:rFonts w:ascii="Arial" w:hAnsi="Arial" w:cs="Arial"/>
          <w:sz w:val="21"/>
          <w:szCs w:val="21"/>
        </w:rPr>
      </w:pPr>
    </w:p>
    <w:p w14:paraId="2B739A50" w14:textId="1A8BF2A6" w:rsidR="006E3189" w:rsidRDefault="006E3189">
      <w:pPr>
        <w:spacing w:line="480" w:lineRule="auto"/>
        <w:ind w:firstLine="420"/>
        <w:jc w:val="both"/>
        <w:rPr>
          <w:rFonts w:ascii="Arial" w:hAnsi="Arial" w:cs="Arial"/>
          <w:sz w:val="21"/>
          <w:szCs w:val="21"/>
        </w:rPr>
      </w:pPr>
    </w:p>
    <w:p w14:paraId="2D87537C" w14:textId="05E88773" w:rsidR="00FD3837" w:rsidRDefault="006E3189">
      <w:pPr>
        <w:widowControl/>
        <w:suppressAutoHyphens w:val="0"/>
        <w:spacing w:line="240" w:lineRule="auto"/>
        <w:textAlignment w:val="auto"/>
      </w:pPr>
      <w:r>
        <w:rPr>
          <w:noProof/>
        </w:rPr>
        <mc:AlternateContent>
          <mc:Choice Requires="wps">
            <w:drawing>
              <wp:anchor distT="0" distB="0" distL="114300" distR="0" simplePos="0" relativeHeight="251658240" behindDoc="0" locked="0" layoutInCell="1" allowOverlap="1" wp14:anchorId="7E720A44" wp14:editId="6FEF52CC">
                <wp:simplePos x="0" y="0"/>
                <wp:positionH relativeFrom="page">
                  <wp:posOffset>4687570</wp:posOffset>
                </wp:positionH>
                <wp:positionV relativeFrom="paragraph">
                  <wp:posOffset>8890</wp:posOffset>
                </wp:positionV>
                <wp:extent cx="2159635" cy="1212850"/>
                <wp:effectExtent l="0" t="0" r="0" b="0"/>
                <wp:wrapSquare wrapText="bothSides"/>
                <wp:docPr id="627754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1212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000" w:firstRow="0" w:lastRow="0" w:firstColumn="0" w:lastColumn="0" w:noHBand="0" w:noVBand="0"/>
                            </w:tblPr>
                            <w:tblGrid>
                              <w:gridCol w:w="3402"/>
                            </w:tblGrid>
                            <w:tr w:rsidR="00EA2F0D" w14:paraId="0A887587" w14:textId="77777777">
                              <w:tc>
                                <w:tcPr>
                                  <w:tcW w:w="3402" w:type="dxa"/>
                                  <w:shd w:val="clear" w:color="auto" w:fill="auto"/>
                                </w:tcPr>
                                <w:p w14:paraId="556E7B99" w14:textId="77777777" w:rsidR="00EA2F0D" w:rsidRDefault="00EA2F0D">
                                  <w:pPr>
                                    <w:spacing w:line="480" w:lineRule="auto"/>
                                  </w:pPr>
                                  <w:r>
                                    <w:rPr>
                                      <w:rFonts w:ascii="Arial" w:hAnsi="Arial" w:cs="Arial"/>
                                      <w:sz w:val="21"/>
                                      <w:szCs w:val="21"/>
                                    </w:rPr>
                                    <w:t>北京康正宏基房地产评估有限公司</w:t>
                                  </w:r>
                                </w:p>
                              </w:tc>
                            </w:tr>
                            <w:tr w:rsidR="00EA2F0D" w14:paraId="75585870" w14:textId="77777777">
                              <w:trPr>
                                <w:trHeight w:val="1431"/>
                              </w:trPr>
                              <w:tc>
                                <w:tcPr>
                                  <w:tcW w:w="3402" w:type="dxa"/>
                                  <w:shd w:val="clear" w:color="auto" w:fill="auto"/>
                                </w:tcPr>
                                <w:p w14:paraId="30116076" w14:textId="77777777" w:rsidR="00EA2F0D" w:rsidRDefault="00EA2F0D">
                                  <w:pPr>
                                    <w:spacing w:line="480" w:lineRule="auto"/>
                                    <w:rPr>
                                      <w:rFonts w:ascii="Arial" w:hAnsi="Arial" w:cs="Arial"/>
                                      <w:sz w:val="21"/>
                                      <w:szCs w:val="21"/>
                                    </w:rPr>
                                  </w:pPr>
                                  <w:r>
                                    <w:rPr>
                                      <w:rFonts w:ascii="Arial" w:hAnsi="Arial" w:cs="Arial"/>
                                      <w:sz w:val="21"/>
                                      <w:szCs w:val="21"/>
                                    </w:rPr>
                                    <w:t>法定代表人：</w:t>
                                  </w:r>
                                </w:p>
                                <w:p w14:paraId="25AE4CFC" w14:textId="77777777" w:rsidR="00EA2F0D" w:rsidRDefault="00EA2F0D">
                                  <w:pPr>
                                    <w:spacing w:line="480" w:lineRule="auto"/>
                                    <w:rPr>
                                      <w:rFonts w:ascii="Arial" w:hAnsi="Arial" w:cs="Arial"/>
                                      <w:sz w:val="21"/>
                                      <w:szCs w:val="21"/>
                                    </w:rPr>
                                  </w:pPr>
                                </w:p>
                                <w:p w14:paraId="2ACC2947" w14:textId="228A0F4A" w:rsidR="00EA2F0D" w:rsidRDefault="00EA2F0D" w:rsidP="00D517EB">
                                  <w:pPr>
                                    <w:spacing w:line="480" w:lineRule="auto"/>
                                  </w:pPr>
                                  <w:r>
                                    <w:rPr>
                                      <w:rFonts w:ascii="Arial" w:hAnsi="Arial" w:cs="Arial"/>
                                      <w:sz w:val="21"/>
                                      <w:szCs w:val="21"/>
                                    </w:rPr>
                                    <w:t>二〇二</w:t>
                                  </w:r>
                                  <w:r>
                                    <w:rPr>
                                      <w:rFonts w:ascii="Arial" w:hAnsi="Arial" w:cs="Arial" w:hint="eastAsia"/>
                                      <w:sz w:val="21"/>
                                      <w:szCs w:val="21"/>
                                    </w:rPr>
                                    <w:t>五</w:t>
                                  </w:r>
                                  <w:r>
                                    <w:rPr>
                                      <w:rFonts w:ascii="Arial" w:hAnsi="Arial" w:cs="Arial"/>
                                      <w:sz w:val="21"/>
                                      <w:szCs w:val="21"/>
                                    </w:rPr>
                                    <w:t>年十一月二十八日</w:t>
                                  </w:r>
                                </w:p>
                              </w:tc>
                            </w:tr>
                            <w:tr w:rsidR="00EA2F0D" w14:paraId="64815716" w14:textId="77777777">
                              <w:tc>
                                <w:tcPr>
                                  <w:tcW w:w="3402" w:type="dxa"/>
                                  <w:shd w:val="clear" w:color="auto" w:fill="auto"/>
                                </w:tcPr>
                                <w:p w14:paraId="5945C41C" w14:textId="77777777" w:rsidR="00EA2F0D" w:rsidRDefault="00EA2F0D">
                                  <w:pPr>
                                    <w:spacing w:line="480" w:lineRule="auto"/>
                                    <w:jc w:val="right"/>
                                  </w:pPr>
                                  <w:r>
                                    <w:rPr>
                                      <w:rFonts w:ascii="Arial" w:hAnsi="Arial" w:cs="Arial"/>
                                      <w:sz w:val="21"/>
                                      <w:szCs w:val="21"/>
                                    </w:rPr>
                                    <w:t>二〇二四年十一月二十八日</w:t>
                                  </w:r>
                                </w:p>
                              </w:tc>
                            </w:tr>
                          </w:tbl>
                          <w:p w14:paraId="50F6DCEE" w14:textId="77777777" w:rsidR="00EA2F0D" w:rsidRDefault="00EA2F0D">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720A44" id="_x0000_t202" coordsize="21600,21600" o:spt="202" path="m,l,21600r21600,l21600,xe">
                <v:stroke joinstyle="miter"/>
                <v:path gradientshapeok="t" o:connecttype="rect"/>
              </v:shapetype>
              <v:shape id="Text Box 2" o:spid="_x0000_s1026" type="#_x0000_t202" style="position:absolute;margin-left:369.1pt;margin-top:.7pt;width:170.05pt;height:95.5pt;z-index:251658240;visibility:visible;mso-wrap-style:square;mso-width-percent:0;mso-height-percent:0;mso-wrap-distance-left:9pt;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" stroked="f">
                <v:fill opacity="0"/>
                <v:textbox inset="0,0,0,0">
                  <w:txbxContent>
                    <w:tbl>
                      <w:tblPr>
                        <w:tblW w:w="0" w:type="auto"/>
                        <w:tblLayout w:type="fixed"/>
                        <w:tblLook w:val="0000" w:firstRow="0" w:lastRow="0" w:firstColumn="0" w:lastColumn="0" w:noHBand="0" w:noVBand="0"/>
                      </w:tblPr>
                      <w:tblGrid>
                        <w:gridCol w:w="3402"/>
                      </w:tblGrid>
                      <w:tr w:rsidR="00EA2F0D" w14:paraId="0A887587" w14:textId="77777777">
                        <w:tc>
                          <w:tcPr>
                            <w:tcW w:w="3402" w:type="dxa"/>
                            <w:shd w:val="clear" w:color="auto" w:fill="auto"/>
                          </w:tcPr>
                          <w:p w14:paraId="556E7B99" w14:textId="77777777" w:rsidR="00EA2F0D" w:rsidRDefault="00EA2F0D">
                            <w:pPr>
                              <w:spacing w:line="480" w:lineRule="auto"/>
                            </w:pPr>
                            <w:r>
                              <w:rPr>
                                <w:rFonts w:ascii="Arial" w:hAnsi="Arial" w:cs="Arial"/>
                                <w:sz w:val="21"/>
                                <w:szCs w:val="21"/>
                              </w:rPr>
                              <w:t>北京康正宏基房地产评估有限公司</w:t>
                            </w:r>
                          </w:p>
                        </w:tc>
                      </w:tr>
                      <w:tr w:rsidR="00EA2F0D" w14:paraId="75585870" w14:textId="77777777">
                        <w:trPr>
                          <w:trHeight w:val="1431"/>
                        </w:trPr>
                        <w:tc>
                          <w:tcPr>
                            <w:tcW w:w="3402" w:type="dxa"/>
                            <w:shd w:val="clear" w:color="auto" w:fill="auto"/>
                          </w:tcPr>
                          <w:p w14:paraId="30116076" w14:textId="77777777" w:rsidR="00EA2F0D" w:rsidRDefault="00EA2F0D">
                            <w:pPr>
                              <w:spacing w:line="480" w:lineRule="auto"/>
                              <w:rPr>
                                <w:rFonts w:ascii="Arial" w:hAnsi="Arial" w:cs="Arial"/>
                                <w:sz w:val="21"/>
                                <w:szCs w:val="21"/>
                              </w:rPr>
                            </w:pPr>
                            <w:r>
                              <w:rPr>
                                <w:rFonts w:ascii="Arial" w:hAnsi="Arial" w:cs="Arial"/>
                                <w:sz w:val="21"/>
                                <w:szCs w:val="21"/>
                              </w:rPr>
                              <w:t>法定代表人：</w:t>
                            </w:r>
                          </w:p>
                          <w:p w14:paraId="25AE4CFC" w14:textId="77777777" w:rsidR="00EA2F0D" w:rsidRDefault="00EA2F0D">
                            <w:pPr>
                              <w:spacing w:line="480" w:lineRule="auto"/>
                              <w:rPr>
                                <w:rFonts w:ascii="Arial" w:hAnsi="Arial" w:cs="Arial"/>
                                <w:sz w:val="21"/>
                                <w:szCs w:val="21"/>
                              </w:rPr>
                            </w:pPr>
                          </w:p>
                          <w:p w14:paraId="2ACC2947" w14:textId="228A0F4A" w:rsidR="00EA2F0D" w:rsidRDefault="00EA2F0D" w:rsidP="00D517EB">
                            <w:pPr>
                              <w:spacing w:line="480" w:lineRule="auto"/>
                            </w:pPr>
                            <w:r>
                              <w:rPr>
                                <w:rFonts w:ascii="Arial" w:hAnsi="Arial" w:cs="Arial"/>
                                <w:sz w:val="21"/>
                                <w:szCs w:val="21"/>
                              </w:rPr>
                              <w:t>二〇二</w:t>
                            </w:r>
                            <w:r>
                              <w:rPr>
                                <w:rFonts w:ascii="Arial" w:hAnsi="Arial" w:cs="Arial" w:hint="eastAsia"/>
                                <w:sz w:val="21"/>
                                <w:szCs w:val="21"/>
                              </w:rPr>
                              <w:t>五</w:t>
                            </w:r>
                            <w:r>
                              <w:rPr>
                                <w:rFonts w:ascii="Arial" w:hAnsi="Arial" w:cs="Arial"/>
                                <w:sz w:val="21"/>
                                <w:szCs w:val="21"/>
                              </w:rPr>
                              <w:t>年十一月二十八日</w:t>
                            </w:r>
                          </w:p>
                        </w:tc>
                      </w:tr>
                      <w:tr w:rsidR="00EA2F0D" w14:paraId="64815716" w14:textId="77777777">
                        <w:tc>
                          <w:tcPr>
                            <w:tcW w:w="3402" w:type="dxa"/>
                            <w:shd w:val="clear" w:color="auto" w:fill="auto"/>
                          </w:tcPr>
                          <w:p w14:paraId="5945C41C" w14:textId="77777777" w:rsidR="00EA2F0D" w:rsidRDefault="00EA2F0D">
                            <w:pPr>
                              <w:spacing w:line="480" w:lineRule="auto"/>
                              <w:jc w:val="right"/>
                            </w:pPr>
                            <w:r>
                              <w:rPr>
                                <w:rFonts w:ascii="Arial" w:hAnsi="Arial" w:cs="Arial"/>
                                <w:sz w:val="21"/>
                                <w:szCs w:val="21"/>
                              </w:rPr>
                              <w:t>二〇二四年十一月二十八日</w:t>
                            </w:r>
                          </w:p>
                        </w:tc>
                      </w:tr>
                    </w:tbl>
                    <w:p w14:paraId="50F6DCEE" w14:textId="77777777" w:rsidR="00EA2F0D" w:rsidRDefault="00EA2F0D">
                      <w:r>
                        <w:t xml:space="preserve"> </w:t>
                      </w:r>
                    </w:p>
                  </w:txbxContent>
                </v:textbox>
                <w10:wrap type="square" anchorx="page"/>
              </v:shape>
            </w:pict>
          </mc:Fallback>
        </mc:AlternateContent>
      </w:r>
      <w:r w:rsidR="00FD3837">
        <w:br w:type="page"/>
      </w:r>
    </w:p>
    <w:p w14:paraId="564D8BD8" w14:textId="319EA0B0" w:rsidR="00AF6F34" w:rsidRDefault="00AF6F34">
      <w:pPr>
        <w:spacing w:line="480" w:lineRule="auto"/>
        <w:jc w:val="center"/>
      </w:pPr>
      <w:r w:rsidRPr="00F42B2B">
        <w:lastRenderedPageBreak/>
        <w:t>目</w:t>
      </w:r>
      <w:r>
        <w:rPr>
          <w:rFonts w:eastAsia="方正黑体简体"/>
        </w:rPr>
        <w:t xml:space="preserve">   </w:t>
      </w:r>
      <w:r>
        <w:t>录</w:t>
      </w:r>
    </w:p>
    <w:p w14:paraId="77FAB475" w14:textId="77777777" w:rsidR="002815CC" w:rsidRPr="001B2E94" w:rsidRDefault="00AF6F34" w:rsidP="002815CC">
      <w:pPr>
        <w:pStyle w:val="11"/>
        <w:rPr>
          <w:rFonts w:ascii="宋体" w:eastAsia="宋体" w:hAnsi="宋体"/>
          <w:b w:val="0"/>
          <w:bCs w:val="0"/>
          <w:noProof/>
          <w:kern w:val="2"/>
          <w:sz w:val="24"/>
          <w:szCs w:val="24"/>
        </w:rPr>
      </w:pPr>
      <w:r>
        <w:fldChar w:fldCharType="begin"/>
      </w:r>
      <w:r>
        <w:instrText xml:space="preserve"> TOC \o "1-3" \h \z </w:instrText>
      </w:r>
      <w:r>
        <w:fldChar w:fldCharType="separate"/>
      </w:r>
      <w:hyperlink w:anchor="_Toc161661001" w:history="1">
        <w:r w:rsidR="002815CC" w:rsidRPr="002815CC">
          <w:rPr>
            <w:rStyle w:val="ac"/>
            <w:rFonts w:ascii="宋体" w:eastAsia="宋体" w:hAnsi="宋体"/>
            <w:noProof/>
            <w:sz w:val="24"/>
            <w:szCs w:val="24"/>
          </w:rPr>
          <w:t>致估价委托人函</w:t>
        </w:r>
        <w:r w:rsidR="002815CC" w:rsidRPr="002815CC">
          <w:rPr>
            <w:rFonts w:ascii="宋体" w:eastAsia="宋体" w:hAnsi="宋体"/>
            <w:noProof/>
            <w:webHidden/>
            <w:sz w:val="24"/>
            <w:szCs w:val="24"/>
          </w:rPr>
          <w:tab/>
        </w:r>
        <w:r w:rsidR="002815CC" w:rsidRPr="002815CC">
          <w:rPr>
            <w:rFonts w:ascii="宋体" w:eastAsia="宋体" w:hAnsi="宋体"/>
            <w:noProof/>
            <w:webHidden/>
            <w:sz w:val="24"/>
            <w:szCs w:val="24"/>
          </w:rPr>
          <w:fldChar w:fldCharType="begin"/>
        </w:r>
        <w:r w:rsidR="002815CC" w:rsidRPr="002815CC">
          <w:rPr>
            <w:rFonts w:ascii="宋体" w:eastAsia="宋体" w:hAnsi="宋体"/>
            <w:noProof/>
            <w:webHidden/>
            <w:sz w:val="24"/>
            <w:szCs w:val="24"/>
          </w:rPr>
          <w:instrText xml:space="preserve"> PAGEREF _Toc161661001 \h </w:instrText>
        </w:r>
        <w:r w:rsidR="002815CC" w:rsidRPr="002815CC">
          <w:rPr>
            <w:rFonts w:ascii="宋体" w:eastAsia="宋体" w:hAnsi="宋体"/>
            <w:noProof/>
            <w:webHidden/>
            <w:sz w:val="24"/>
            <w:szCs w:val="24"/>
          </w:rPr>
        </w:r>
        <w:r w:rsidR="002815CC" w:rsidRPr="002815CC">
          <w:rPr>
            <w:rFonts w:ascii="宋体" w:eastAsia="宋体" w:hAnsi="宋体"/>
            <w:noProof/>
            <w:webHidden/>
            <w:sz w:val="24"/>
            <w:szCs w:val="24"/>
          </w:rPr>
          <w:fldChar w:fldCharType="separate"/>
        </w:r>
        <w:r w:rsidR="009243C4">
          <w:rPr>
            <w:rFonts w:ascii="宋体" w:eastAsia="宋体" w:hAnsi="宋体"/>
            <w:noProof/>
            <w:webHidden/>
            <w:sz w:val="24"/>
            <w:szCs w:val="24"/>
          </w:rPr>
          <w:t>3</w:t>
        </w:r>
        <w:r w:rsidR="002815CC" w:rsidRPr="002815CC">
          <w:rPr>
            <w:rFonts w:ascii="宋体" w:eastAsia="宋体" w:hAnsi="宋体"/>
            <w:noProof/>
            <w:webHidden/>
            <w:sz w:val="24"/>
            <w:szCs w:val="24"/>
          </w:rPr>
          <w:fldChar w:fldCharType="end"/>
        </w:r>
      </w:hyperlink>
    </w:p>
    <w:p w14:paraId="67E9E849" w14:textId="77777777" w:rsidR="002815CC" w:rsidRPr="001B2E94" w:rsidRDefault="00EA2F0D" w:rsidP="002815CC">
      <w:pPr>
        <w:pStyle w:val="11"/>
        <w:rPr>
          <w:rFonts w:ascii="宋体" w:eastAsia="宋体" w:hAnsi="宋体"/>
          <w:b w:val="0"/>
          <w:bCs w:val="0"/>
          <w:noProof/>
          <w:kern w:val="2"/>
          <w:sz w:val="24"/>
          <w:szCs w:val="24"/>
        </w:rPr>
      </w:pPr>
      <w:hyperlink w:anchor="_Toc161661002" w:history="1">
        <w:r w:rsidR="002815CC" w:rsidRPr="002815CC">
          <w:rPr>
            <w:rStyle w:val="ac"/>
            <w:rFonts w:ascii="宋体" w:eastAsia="宋体" w:hAnsi="宋体"/>
            <w:noProof/>
            <w:sz w:val="24"/>
            <w:szCs w:val="24"/>
          </w:rPr>
          <w:t>估价师声明</w:t>
        </w:r>
        <w:r w:rsidR="002815CC" w:rsidRPr="002815CC">
          <w:rPr>
            <w:rFonts w:ascii="宋体" w:eastAsia="宋体" w:hAnsi="宋体"/>
            <w:noProof/>
            <w:webHidden/>
            <w:sz w:val="24"/>
            <w:szCs w:val="24"/>
          </w:rPr>
          <w:tab/>
        </w:r>
        <w:r w:rsidR="002815CC" w:rsidRPr="002815CC">
          <w:rPr>
            <w:rFonts w:ascii="宋体" w:eastAsia="宋体" w:hAnsi="宋体"/>
            <w:noProof/>
            <w:webHidden/>
            <w:sz w:val="24"/>
            <w:szCs w:val="24"/>
          </w:rPr>
          <w:fldChar w:fldCharType="begin"/>
        </w:r>
        <w:r w:rsidR="002815CC" w:rsidRPr="002815CC">
          <w:rPr>
            <w:rFonts w:ascii="宋体" w:eastAsia="宋体" w:hAnsi="宋体"/>
            <w:noProof/>
            <w:webHidden/>
            <w:sz w:val="24"/>
            <w:szCs w:val="24"/>
          </w:rPr>
          <w:instrText xml:space="preserve"> PAGEREF _Toc161661002 \h </w:instrText>
        </w:r>
        <w:r w:rsidR="002815CC" w:rsidRPr="002815CC">
          <w:rPr>
            <w:rFonts w:ascii="宋体" w:eastAsia="宋体" w:hAnsi="宋体"/>
            <w:noProof/>
            <w:webHidden/>
            <w:sz w:val="24"/>
            <w:szCs w:val="24"/>
          </w:rPr>
        </w:r>
        <w:r w:rsidR="002815CC" w:rsidRPr="002815CC">
          <w:rPr>
            <w:rFonts w:ascii="宋体" w:eastAsia="宋体" w:hAnsi="宋体"/>
            <w:noProof/>
            <w:webHidden/>
            <w:sz w:val="24"/>
            <w:szCs w:val="24"/>
          </w:rPr>
          <w:fldChar w:fldCharType="separate"/>
        </w:r>
        <w:r w:rsidR="009243C4">
          <w:rPr>
            <w:rFonts w:ascii="宋体" w:eastAsia="宋体" w:hAnsi="宋体"/>
            <w:noProof/>
            <w:webHidden/>
            <w:sz w:val="24"/>
            <w:szCs w:val="24"/>
          </w:rPr>
          <w:t>8</w:t>
        </w:r>
        <w:r w:rsidR="002815CC" w:rsidRPr="002815CC">
          <w:rPr>
            <w:rFonts w:ascii="宋体" w:eastAsia="宋体" w:hAnsi="宋体"/>
            <w:noProof/>
            <w:webHidden/>
            <w:sz w:val="24"/>
            <w:szCs w:val="24"/>
          </w:rPr>
          <w:fldChar w:fldCharType="end"/>
        </w:r>
      </w:hyperlink>
    </w:p>
    <w:p w14:paraId="1381150F" w14:textId="77777777" w:rsidR="002815CC" w:rsidRPr="001B2E94" w:rsidRDefault="00EA2F0D" w:rsidP="002815CC">
      <w:pPr>
        <w:pStyle w:val="11"/>
        <w:rPr>
          <w:rFonts w:ascii="宋体" w:eastAsia="宋体" w:hAnsi="宋体"/>
          <w:b w:val="0"/>
          <w:bCs w:val="0"/>
          <w:noProof/>
          <w:kern w:val="2"/>
          <w:sz w:val="24"/>
          <w:szCs w:val="24"/>
        </w:rPr>
      </w:pPr>
      <w:hyperlink w:anchor="_Toc161661003" w:history="1">
        <w:r w:rsidR="002815CC" w:rsidRPr="002815CC">
          <w:rPr>
            <w:rStyle w:val="ac"/>
            <w:rFonts w:ascii="宋体" w:eastAsia="宋体" w:hAnsi="宋体"/>
            <w:noProof/>
            <w:sz w:val="24"/>
            <w:szCs w:val="24"/>
          </w:rPr>
          <w:t>估价假设和限制条件</w:t>
        </w:r>
        <w:r w:rsidR="002815CC" w:rsidRPr="002815CC">
          <w:rPr>
            <w:rFonts w:ascii="宋体" w:eastAsia="宋体" w:hAnsi="宋体"/>
            <w:noProof/>
            <w:webHidden/>
            <w:sz w:val="24"/>
            <w:szCs w:val="24"/>
          </w:rPr>
          <w:tab/>
        </w:r>
        <w:r w:rsidR="002815CC" w:rsidRPr="002815CC">
          <w:rPr>
            <w:rFonts w:ascii="宋体" w:eastAsia="宋体" w:hAnsi="宋体"/>
            <w:noProof/>
            <w:webHidden/>
            <w:sz w:val="24"/>
            <w:szCs w:val="24"/>
          </w:rPr>
          <w:fldChar w:fldCharType="begin"/>
        </w:r>
        <w:r w:rsidR="002815CC" w:rsidRPr="002815CC">
          <w:rPr>
            <w:rFonts w:ascii="宋体" w:eastAsia="宋体" w:hAnsi="宋体"/>
            <w:noProof/>
            <w:webHidden/>
            <w:sz w:val="24"/>
            <w:szCs w:val="24"/>
          </w:rPr>
          <w:instrText xml:space="preserve"> PAGEREF _Toc161661003 \h </w:instrText>
        </w:r>
        <w:r w:rsidR="002815CC" w:rsidRPr="002815CC">
          <w:rPr>
            <w:rFonts w:ascii="宋体" w:eastAsia="宋体" w:hAnsi="宋体"/>
            <w:noProof/>
            <w:webHidden/>
            <w:sz w:val="24"/>
            <w:szCs w:val="24"/>
          </w:rPr>
        </w:r>
        <w:r w:rsidR="002815CC" w:rsidRPr="002815CC">
          <w:rPr>
            <w:rFonts w:ascii="宋体" w:eastAsia="宋体" w:hAnsi="宋体"/>
            <w:noProof/>
            <w:webHidden/>
            <w:sz w:val="24"/>
            <w:szCs w:val="24"/>
          </w:rPr>
          <w:fldChar w:fldCharType="separate"/>
        </w:r>
        <w:r w:rsidR="009243C4">
          <w:rPr>
            <w:rFonts w:ascii="宋体" w:eastAsia="宋体" w:hAnsi="宋体"/>
            <w:noProof/>
            <w:webHidden/>
            <w:sz w:val="24"/>
            <w:szCs w:val="24"/>
          </w:rPr>
          <w:t>9</w:t>
        </w:r>
        <w:r w:rsidR="002815CC" w:rsidRPr="002815CC">
          <w:rPr>
            <w:rFonts w:ascii="宋体" w:eastAsia="宋体" w:hAnsi="宋体"/>
            <w:noProof/>
            <w:webHidden/>
            <w:sz w:val="24"/>
            <w:szCs w:val="24"/>
          </w:rPr>
          <w:fldChar w:fldCharType="end"/>
        </w:r>
      </w:hyperlink>
    </w:p>
    <w:p w14:paraId="5A11A070" w14:textId="77777777" w:rsidR="002815CC" w:rsidRPr="001B2E94" w:rsidRDefault="00EA2F0D" w:rsidP="002815CC">
      <w:pPr>
        <w:pStyle w:val="11"/>
        <w:rPr>
          <w:rFonts w:ascii="宋体" w:eastAsia="宋体" w:hAnsi="宋体"/>
          <w:b w:val="0"/>
          <w:bCs w:val="0"/>
          <w:noProof/>
          <w:kern w:val="2"/>
          <w:sz w:val="24"/>
          <w:szCs w:val="24"/>
        </w:rPr>
      </w:pPr>
      <w:hyperlink w:anchor="_Toc161661004" w:history="1">
        <w:r w:rsidR="002815CC" w:rsidRPr="002815CC">
          <w:rPr>
            <w:rStyle w:val="ac"/>
            <w:rFonts w:ascii="宋体" w:eastAsia="宋体" w:hAnsi="宋体"/>
            <w:noProof/>
            <w:sz w:val="24"/>
            <w:szCs w:val="24"/>
          </w:rPr>
          <w:t>估价结果报告</w:t>
        </w:r>
        <w:r w:rsidR="002815CC" w:rsidRPr="002815CC">
          <w:rPr>
            <w:rFonts w:ascii="宋体" w:eastAsia="宋体" w:hAnsi="宋体"/>
            <w:noProof/>
            <w:webHidden/>
            <w:sz w:val="24"/>
            <w:szCs w:val="24"/>
          </w:rPr>
          <w:tab/>
        </w:r>
        <w:r w:rsidR="002815CC" w:rsidRPr="002815CC">
          <w:rPr>
            <w:rFonts w:ascii="宋体" w:eastAsia="宋体" w:hAnsi="宋体"/>
            <w:noProof/>
            <w:webHidden/>
            <w:sz w:val="24"/>
            <w:szCs w:val="24"/>
          </w:rPr>
          <w:fldChar w:fldCharType="begin"/>
        </w:r>
        <w:r w:rsidR="002815CC" w:rsidRPr="002815CC">
          <w:rPr>
            <w:rFonts w:ascii="宋体" w:eastAsia="宋体" w:hAnsi="宋体"/>
            <w:noProof/>
            <w:webHidden/>
            <w:sz w:val="24"/>
            <w:szCs w:val="24"/>
          </w:rPr>
          <w:instrText xml:space="preserve"> PAGEREF _Toc161661004 \h </w:instrText>
        </w:r>
        <w:r w:rsidR="002815CC" w:rsidRPr="002815CC">
          <w:rPr>
            <w:rFonts w:ascii="宋体" w:eastAsia="宋体" w:hAnsi="宋体"/>
            <w:noProof/>
            <w:webHidden/>
            <w:sz w:val="24"/>
            <w:szCs w:val="24"/>
          </w:rPr>
        </w:r>
        <w:r w:rsidR="002815CC" w:rsidRPr="002815CC">
          <w:rPr>
            <w:rFonts w:ascii="宋体" w:eastAsia="宋体" w:hAnsi="宋体"/>
            <w:noProof/>
            <w:webHidden/>
            <w:sz w:val="24"/>
            <w:szCs w:val="24"/>
          </w:rPr>
          <w:fldChar w:fldCharType="separate"/>
        </w:r>
        <w:r w:rsidR="009243C4">
          <w:rPr>
            <w:rFonts w:ascii="宋体" w:eastAsia="宋体" w:hAnsi="宋体"/>
            <w:noProof/>
            <w:webHidden/>
            <w:sz w:val="24"/>
            <w:szCs w:val="24"/>
          </w:rPr>
          <w:t>14</w:t>
        </w:r>
        <w:r w:rsidR="002815CC" w:rsidRPr="002815CC">
          <w:rPr>
            <w:rFonts w:ascii="宋体" w:eastAsia="宋体" w:hAnsi="宋体"/>
            <w:noProof/>
            <w:webHidden/>
            <w:sz w:val="24"/>
            <w:szCs w:val="24"/>
          </w:rPr>
          <w:fldChar w:fldCharType="end"/>
        </w:r>
      </w:hyperlink>
    </w:p>
    <w:p w14:paraId="7144C72B" w14:textId="77777777" w:rsidR="002815CC" w:rsidRPr="001B2E94" w:rsidRDefault="00EA2F0D" w:rsidP="002815CC">
      <w:pPr>
        <w:pStyle w:val="21"/>
        <w:ind w:left="482"/>
        <w:rPr>
          <w:rFonts w:ascii="宋体" w:eastAsia="宋体" w:hAnsi="宋体"/>
          <w:noProof/>
          <w:kern w:val="2"/>
          <w:sz w:val="21"/>
          <w:szCs w:val="21"/>
        </w:rPr>
      </w:pPr>
      <w:hyperlink w:anchor="_Toc161661005" w:history="1">
        <w:r w:rsidR="002815CC" w:rsidRPr="002815CC">
          <w:rPr>
            <w:rStyle w:val="ac"/>
            <w:rFonts w:ascii="宋体" w:eastAsia="宋体" w:hAnsi="宋体"/>
            <w:noProof/>
            <w:sz w:val="21"/>
            <w:szCs w:val="21"/>
          </w:rPr>
          <w:t>一、估价委托人</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_Toc161661005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14</w:t>
        </w:r>
        <w:r w:rsidR="002815CC" w:rsidRPr="002815CC">
          <w:rPr>
            <w:rFonts w:ascii="宋体" w:eastAsia="宋体" w:hAnsi="宋体"/>
            <w:noProof/>
            <w:webHidden/>
            <w:sz w:val="21"/>
            <w:szCs w:val="21"/>
          </w:rPr>
          <w:fldChar w:fldCharType="end"/>
        </w:r>
      </w:hyperlink>
    </w:p>
    <w:p w14:paraId="7699BEB2" w14:textId="77777777" w:rsidR="002815CC" w:rsidRPr="001B2E94" w:rsidRDefault="00EA2F0D" w:rsidP="002815CC">
      <w:pPr>
        <w:pStyle w:val="21"/>
        <w:ind w:left="482"/>
        <w:rPr>
          <w:rFonts w:ascii="宋体" w:eastAsia="宋体" w:hAnsi="宋体"/>
          <w:noProof/>
          <w:kern w:val="2"/>
          <w:sz w:val="21"/>
          <w:szCs w:val="21"/>
        </w:rPr>
      </w:pPr>
      <w:hyperlink w:anchor="_Toc161661006" w:history="1">
        <w:r w:rsidR="002815CC" w:rsidRPr="002815CC">
          <w:rPr>
            <w:rStyle w:val="ac"/>
            <w:rFonts w:ascii="宋体" w:eastAsia="宋体" w:hAnsi="宋体"/>
            <w:noProof/>
            <w:sz w:val="21"/>
            <w:szCs w:val="21"/>
          </w:rPr>
          <w:t>二、房地产估价机构</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_Toc161661006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14</w:t>
        </w:r>
        <w:r w:rsidR="002815CC" w:rsidRPr="002815CC">
          <w:rPr>
            <w:rFonts w:ascii="宋体" w:eastAsia="宋体" w:hAnsi="宋体"/>
            <w:noProof/>
            <w:webHidden/>
            <w:sz w:val="21"/>
            <w:szCs w:val="21"/>
          </w:rPr>
          <w:fldChar w:fldCharType="end"/>
        </w:r>
      </w:hyperlink>
    </w:p>
    <w:p w14:paraId="03359918" w14:textId="77777777" w:rsidR="002815CC" w:rsidRPr="001B2E94" w:rsidRDefault="00EA2F0D" w:rsidP="002815CC">
      <w:pPr>
        <w:pStyle w:val="21"/>
        <w:ind w:left="482"/>
        <w:rPr>
          <w:rFonts w:ascii="宋体" w:eastAsia="宋体" w:hAnsi="宋体"/>
          <w:noProof/>
          <w:kern w:val="2"/>
          <w:sz w:val="21"/>
          <w:szCs w:val="21"/>
        </w:rPr>
      </w:pPr>
      <w:hyperlink w:anchor="_Toc161661007" w:history="1">
        <w:r w:rsidR="002815CC" w:rsidRPr="002815CC">
          <w:rPr>
            <w:rStyle w:val="ac"/>
            <w:rFonts w:ascii="宋体" w:eastAsia="宋体" w:hAnsi="宋体"/>
            <w:noProof/>
            <w:sz w:val="21"/>
            <w:szCs w:val="21"/>
          </w:rPr>
          <w:t>三、估价目的</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_Toc161661007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14</w:t>
        </w:r>
        <w:r w:rsidR="002815CC" w:rsidRPr="002815CC">
          <w:rPr>
            <w:rFonts w:ascii="宋体" w:eastAsia="宋体" w:hAnsi="宋体"/>
            <w:noProof/>
            <w:webHidden/>
            <w:sz w:val="21"/>
            <w:szCs w:val="21"/>
          </w:rPr>
          <w:fldChar w:fldCharType="end"/>
        </w:r>
      </w:hyperlink>
    </w:p>
    <w:p w14:paraId="3A3EECE2" w14:textId="77777777" w:rsidR="002815CC" w:rsidRPr="001B2E94" w:rsidRDefault="00EA2F0D" w:rsidP="002815CC">
      <w:pPr>
        <w:pStyle w:val="21"/>
        <w:ind w:left="482"/>
        <w:rPr>
          <w:rFonts w:ascii="宋体" w:eastAsia="宋体" w:hAnsi="宋体"/>
          <w:noProof/>
          <w:kern w:val="2"/>
          <w:sz w:val="21"/>
          <w:szCs w:val="21"/>
        </w:rPr>
      </w:pPr>
      <w:hyperlink w:anchor="_Toc161661008" w:history="1">
        <w:r w:rsidR="002815CC" w:rsidRPr="002815CC">
          <w:rPr>
            <w:rStyle w:val="ac"/>
            <w:rFonts w:ascii="宋体" w:eastAsia="宋体" w:hAnsi="宋体"/>
            <w:noProof/>
            <w:sz w:val="21"/>
            <w:szCs w:val="21"/>
          </w:rPr>
          <w:t>四、估价对象</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_Toc161661008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14</w:t>
        </w:r>
        <w:r w:rsidR="002815CC" w:rsidRPr="002815CC">
          <w:rPr>
            <w:rFonts w:ascii="宋体" w:eastAsia="宋体" w:hAnsi="宋体"/>
            <w:noProof/>
            <w:webHidden/>
            <w:sz w:val="21"/>
            <w:szCs w:val="21"/>
          </w:rPr>
          <w:fldChar w:fldCharType="end"/>
        </w:r>
      </w:hyperlink>
    </w:p>
    <w:p w14:paraId="1B1278AA" w14:textId="77777777" w:rsidR="002815CC" w:rsidRPr="001B2E94" w:rsidRDefault="00EA2F0D" w:rsidP="002815CC">
      <w:pPr>
        <w:pStyle w:val="21"/>
        <w:ind w:left="482"/>
        <w:rPr>
          <w:rFonts w:ascii="宋体" w:eastAsia="宋体" w:hAnsi="宋体"/>
          <w:noProof/>
          <w:kern w:val="2"/>
          <w:sz w:val="21"/>
          <w:szCs w:val="21"/>
        </w:rPr>
      </w:pPr>
      <w:hyperlink w:anchor="_Toc161661009" w:history="1">
        <w:r w:rsidR="002815CC" w:rsidRPr="002815CC">
          <w:rPr>
            <w:rStyle w:val="ac"/>
            <w:rFonts w:ascii="宋体" w:eastAsia="宋体" w:hAnsi="宋体"/>
            <w:noProof/>
            <w:sz w:val="21"/>
            <w:szCs w:val="21"/>
          </w:rPr>
          <w:t>五、价值时点</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_Toc161661009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17</w:t>
        </w:r>
        <w:r w:rsidR="002815CC" w:rsidRPr="002815CC">
          <w:rPr>
            <w:rFonts w:ascii="宋体" w:eastAsia="宋体" w:hAnsi="宋体"/>
            <w:noProof/>
            <w:webHidden/>
            <w:sz w:val="21"/>
            <w:szCs w:val="21"/>
          </w:rPr>
          <w:fldChar w:fldCharType="end"/>
        </w:r>
      </w:hyperlink>
    </w:p>
    <w:p w14:paraId="2EABE514" w14:textId="77777777" w:rsidR="002815CC" w:rsidRPr="001B2E94" w:rsidRDefault="00EA2F0D" w:rsidP="002815CC">
      <w:pPr>
        <w:pStyle w:val="21"/>
        <w:ind w:left="482"/>
        <w:rPr>
          <w:rFonts w:ascii="宋体" w:eastAsia="宋体" w:hAnsi="宋体"/>
          <w:noProof/>
          <w:kern w:val="2"/>
          <w:sz w:val="21"/>
          <w:szCs w:val="21"/>
        </w:rPr>
      </w:pPr>
      <w:hyperlink w:anchor="_Toc161661010" w:history="1">
        <w:r w:rsidR="002815CC" w:rsidRPr="002815CC">
          <w:rPr>
            <w:rStyle w:val="ac"/>
            <w:rFonts w:ascii="宋体" w:eastAsia="宋体" w:hAnsi="宋体"/>
            <w:noProof/>
            <w:sz w:val="21"/>
            <w:szCs w:val="21"/>
          </w:rPr>
          <w:t>六、价值类型</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_Toc161661010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17</w:t>
        </w:r>
        <w:r w:rsidR="002815CC" w:rsidRPr="002815CC">
          <w:rPr>
            <w:rFonts w:ascii="宋体" w:eastAsia="宋体" w:hAnsi="宋体"/>
            <w:noProof/>
            <w:webHidden/>
            <w:sz w:val="21"/>
            <w:szCs w:val="21"/>
          </w:rPr>
          <w:fldChar w:fldCharType="end"/>
        </w:r>
      </w:hyperlink>
    </w:p>
    <w:p w14:paraId="13800982" w14:textId="77777777" w:rsidR="002815CC" w:rsidRPr="001B2E94" w:rsidRDefault="00EA2F0D" w:rsidP="002815CC">
      <w:pPr>
        <w:pStyle w:val="21"/>
        <w:ind w:left="482"/>
        <w:rPr>
          <w:rFonts w:ascii="宋体" w:eastAsia="宋体" w:hAnsi="宋体"/>
          <w:noProof/>
          <w:kern w:val="2"/>
          <w:sz w:val="21"/>
          <w:szCs w:val="21"/>
        </w:rPr>
      </w:pPr>
      <w:hyperlink w:anchor="_Toc161661011" w:history="1">
        <w:r w:rsidR="002815CC" w:rsidRPr="002815CC">
          <w:rPr>
            <w:rStyle w:val="ac"/>
            <w:rFonts w:ascii="宋体" w:eastAsia="宋体" w:hAnsi="宋体"/>
            <w:noProof/>
            <w:sz w:val="21"/>
            <w:szCs w:val="21"/>
          </w:rPr>
          <w:t>七、估价原则</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_Toc161661011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18</w:t>
        </w:r>
        <w:r w:rsidR="002815CC" w:rsidRPr="002815CC">
          <w:rPr>
            <w:rFonts w:ascii="宋体" w:eastAsia="宋体" w:hAnsi="宋体"/>
            <w:noProof/>
            <w:webHidden/>
            <w:sz w:val="21"/>
            <w:szCs w:val="21"/>
          </w:rPr>
          <w:fldChar w:fldCharType="end"/>
        </w:r>
      </w:hyperlink>
    </w:p>
    <w:p w14:paraId="31F98084" w14:textId="77777777" w:rsidR="002815CC" w:rsidRPr="001B2E94" w:rsidRDefault="00EA2F0D" w:rsidP="002815CC">
      <w:pPr>
        <w:pStyle w:val="21"/>
        <w:ind w:left="482"/>
        <w:rPr>
          <w:rFonts w:ascii="宋体" w:eastAsia="宋体" w:hAnsi="宋体"/>
          <w:noProof/>
          <w:kern w:val="2"/>
          <w:sz w:val="21"/>
          <w:szCs w:val="21"/>
        </w:rPr>
      </w:pPr>
      <w:hyperlink w:anchor="_Toc161661012" w:history="1">
        <w:r w:rsidR="002815CC" w:rsidRPr="002815CC">
          <w:rPr>
            <w:rStyle w:val="ac"/>
            <w:rFonts w:ascii="宋体" w:eastAsia="宋体" w:hAnsi="宋体"/>
            <w:noProof/>
            <w:sz w:val="21"/>
            <w:szCs w:val="21"/>
          </w:rPr>
          <w:t>八、估价依据</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_Toc161661012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20</w:t>
        </w:r>
        <w:r w:rsidR="002815CC" w:rsidRPr="002815CC">
          <w:rPr>
            <w:rFonts w:ascii="宋体" w:eastAsia="宋体" w:hAnsi="宋体"/>
            <w:noProof/>
            <w:webHidden/>
            <w:sz w:val="21"/>
            <w:szCs w:val="21"/>
          </w:rPr>
          <w:fldChar w:fldCharType="end"/>
        </w:r>
      </w:hyperlink>
    </w:p>
    <w:p w14:paraId="4BC41BF3" w14:textId="77777777" w:rsidR="002815CC" w:rsidRPr="001B2E94" w:rsidRDefault="00EA2F0D" w:rsidP="002815CC">
      <w:pPr>
        <w:pStyle w:val="21"/>
        <w:tabs>
          <w:tab w:val="left" w:pos="1260"/>
        </w:tabs>
        <w:ind w:left="482"/>
        <w:rPr>
          <w:rFonts w:ascii="宋体" w:eastAsia="宋体" w:hAnsi="宋体"/>
          <w:noProof/>
          <w:kern w:val="2"/>
          <w:sz w:val="21"/>
          <w:szCs w:val="21"/>
        </w:rPr>
      </w:pPr>
      <w:hyperlink w:anchor="_Toc161661013" w:history="1">
        <w:r w:rsidR="002815CC" w:rsidRPr="002815CC">
          <w:rPr>
            <w:rStyle w:val="ac"/>
            <w:rFonts w:ascii="宋体" w:eastAsia="宋体" w:hAnsi="宋体"/>
            <w:noProof/>
            <w:sz w:val="21"/>
            <w:szCs w:val="21"/>
          </w:rPr>
          <w:t>九、估价方法</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_Toc161661013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21</w:t>
        </w:r>
        <w:r w:rsidR="002815CC" w:rsidRPr="002815CC">
          <w:rPr>
            <w:rFonts w:ascii="宋体" w:eastAsia="宋体" w:hAnsi="宋体"/>
            <w:noProof/>
            <w:webHidden/>
            <w:sz w:val="21"/>
            <w:szCs w:val="21"/>
          </w:rPr>
          <w:fldChar w:fldCharType="end"/>
        </w:r>
      </w:hyperlink>
    </w:p>
    <w:p w14:paraId="3D710481" w14:textId="77777777" w:rsidR="002815CC" w:rsidRPr="001B2E94" w:rsidRDefault="00EA2F0D" w:rsidP="002815CC">
      <w:pPr>
        <w:pStyle w:val="21"/>
        <w:ind w:left="482"/>
        <w:rPr>
          <w:rFonts w:ascii="宋体" w:eastAsia="宋体" w:hAnsi="宋体"/>
          <w:noProof/>
          <w:kern w:val="2"/>
          <w:sz w:val="21"/>
          <w:szCs w:val="21"/>
        </w:rPr>
      </w:pPr>
      <w:hyperlink w:anchor="_Toc161661014" w:history="1">
        <w:r w:rsidR="002815CC" w:rsidRPr="002815CC">
          <w:rPr>
            <w:rStyle w:val="ac"/>
            <w:rFonts w:ascii="宋体" w:eastAsia="宋体" w:hAnsi="宋体"/>
            <w:noProof/>
            <w:sz w:val="21"/>
            <w:szCs w:val="21"/>
          </w:rPr>
          <w:t>十、估价结果</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_Toc161661014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23</w:t>
        </w:r>
        <w:r w:rsidR="002815CC" w:rsidRPr="002815CC">
          <w:rPr>
            <w:rFonts w:ascii="宋体" w:eastAsia="宋体" w:hAnsi="宋体"/>
            <w:noProof/>
            <w:webHidden/>
            <w:sz w:val="21"/>
            <w:szCs w:val="21"/>
          </w:rPr>
          <w:fldChar w:fldCharType="end"/>
        </w:r>
      </w:hyperlink>
    </w:p>
    <w:p w14:paraId="33C6B0CA" w14:textId="77777777" w:rsidR="002815CC" w:rsidRPr="001B2E94" w:rsidRDefault="00EA2F0D" w:rsidP="002815CC">
      <w:pPr>
        <w:pStyle w:val="21"/>
        <w:ind w:left="482"/>
        <w:rPr>
          <w:rFonts w:ascii="宋体" w:eastAsia="宋体" w:hAnsi="宋体"/>
          <w:noProof/>
          <w:kern w:val="2"/>
          <w:sz w:val="21"/>
          <w:szCs w:val="21"/>
        </w:rPr>
      </w:pPr>
      <w:hyperlink w:anchor="_Toc161661015" w:history="1">
        <w:r w:rsidR="002815CC" w:rsidRPr="002815CC">
          <w:rPr>
            <w:rStyle w:val="ac"/>
            <w:rFonts w:ascii="宋体" w:eastAsia="宋体" w:hAnsi="宋体"/>
            <w:noProof/>
            <w:sz w:val="21"/>
            <w:szCs w:val="21"/>
          </w:rPr>
          <w:t>十一、参与本次估价工作的评估专业人员</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_Toc161661015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24</w:t>
        </w:r>
        <w:r w:rsidR="002815CC" w:rsidRPr="002815CC">
          <w:rPr>
            <w:rFonts w:ascii="宋体" w:eastAsia="宋体" w:hAnsi="宋体"/>
            <w:noProof/>
            <w:webHidden/>
            <w:sz w:val="21"/>
            <w:szCs w:val="21"/>
          </w:rPr>
          <w:fldChar w:fldCharType="end"/>
        </w:r>
      </w:hyperlink>
    </w:p>
    <w:p w14:paraId="68790CBF" w14:textId="77777777" w:rsidR="002815CC" w:rsidRPr="001B2E94" w:rsidRDefault="00EA2F0D" w:rsidP="002815CC">
      <w:pPr>
        <w:pStyle w:val="21"/>
        <w:ind w:left="482"/>
        <w:rPr>
          <w:rFonts w:ascii="宋体" w:eastAsia="宋体" w:hAnsi="宋体"/>
          <w:noProof/>
          <w:kern w:val="2"/>
          <w:sz w:val="21"/>
          <w:szCs w:val="21"/>
        </w:rPr>
      </w:pPr>
      <w:hyperlink w:anchor="_Toc161661016" w:history="1">
        <w:r w:rsidR="002815CC" w:rsidRPr="002815CC">
          <w:rPr>
            <w:rStyle w:val="ac"/>
            <w:rFonts w:ascii="宋体" w:eastAsia="宋体" w:hAnsi="宋体"/>
            <w:noProof/>
            <w:sz w:val="21"/>
            <w:szCs w:val="21"/>
          </w:rPr>
          <w:t>十二、实地查勘期</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_Toc161661016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24</w:t>
        </w:r>
        <w:r w:rsidR="002815CC" w:rsidRPr="002815CC">
          <w:rPr>
            <w:rFonts w:ascii="宋体" w:eastAsia="宋体" w:hAnsi="宋体"/>
            <w:noProof/>
            <w:webHidden/>
            <w:sz w:val="21"/>
            <w:szCs w:val="21"/>
          </w:rPr>
          <w:fldChar w:fldCharType="end"/>
        </w:r>
      </w:hyperlink>
    </w:p>
    <w:p w14:paraId="06EAF3A7" w14:textId="77777777" w:rsidR="002815CC" w:rsidRPr="001B2E94" w:rsidRDefault="00EA2F0D" w:rsidP="002815CC">
      <w:pPr>
        <w:pStyle w:val="21"/>
        <w:ind w:left="482"/>
        <w:rPr>
          <w:rFonts w:ascii="宋体" w:eastAsia="宋体" w:hAnsi="宋体"/>
          <w:noProof/>
          <w:kern w:val="2"/>
          <w:sz w:val="21"/>
          <w:szCs w:val="21"/>
        </w:rPr>
      </w:pPr>
      <w:hyperlink w:anchor="_Toc161661017" w:history="1">
        <w:r w:rsidR="002815CC" w:rsidRPr="002815CC">
          <w:rPr>
            <w:rStyle w:val="ac"/>
            <w:rFonts w:ascii="宋体" w:eastAsia="宋体" w:hAnsi="宋体"/>
            <w:noProof/>
            <w:sz w:val="21"/>
            <w:szCs w:val="21"/>
          </w:rPr>
          <w:t>十三、估价作业期</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_Toc161661017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24</w:t>
        </w:r>
        <w:r w:rsidR="002815CC" w:rsidRPr="002815CC">
          <w:rPr>
            <w:rFonts w:ascii="宋体" w:eastAsia="宋体" w:hAnsi="宋体"/>
            <w:noProof/>
            <w:webHidden/>
            <w:sz w:val="21"/>
            <w:szCs w:val="21"/>
          </w:rPr>
          <w:fldChar w:fldCharType="end"/>
        </w:r>
      </w:hyperlink>
    </w:p>
    <w:p w14:paraId="7E91EF3B" w14:textId="77777777" w:rsidR="002815CC" w:rsidRPr="001B2E94" w:rsidRDefault="00EA2F0D" w:rsidP="002815CC">
      <w:pPr>
        <w:pStyle w:val="11"/>
        <w:rPr>
          <w:rFonts w:ascii="宋体" w:eastAsia="宋体" w:hAnsi="宋体"/>
          <w:b w:val="0"/>
          <w:bCs w:val="0"/>
          <w:noProof/>
          <w:kern w:val="2"/>
          <w:sz w:val="24"/>
          <w:szCs w:val="24"/>
        </w:rPr>
      </w:pPr>
      <w:hyperlink w:anchor="_Toc161661018" w:history="1">
        <w:r w:rsidR="002815CC" w:rsidRPr="002815CC">
          <w:rPr>
            <w:rStyle w:val="ac"/>
            <w:rFonts w:ascii="宋体" w:eastAsia="宋体" w:hAnsi="宋体"/>
            <w:noProof/>
            <w:sz w:val="24"/>
            <w:szCs w:val="24"/>
          </w:rPr>
          <w:t>估价技术报告</w:t>
        </w:r>
        <w:r w:rsidR="002815CC" w:rsidRPr="002815CC">
          <w:rPr>
            <w:rFonts w:ascii="宋体" w:eastAsia="宋体" w:hAnsi="宋体"/>
            <w:noProof/>
            <w:webHidden/>
            <w:sz w:val="24"/>
            <w:szCs w:val="24"/>
          </w:rPr>
          <w:tab/>
        </w:r>
        <w:r w:rsidR="002815CC" w:rsidRPr="002815CC">
          <w:rPr>
            <w:rFonts w:ascii="宋体" w:eastAsia="宋体" w:hAnsi="宋体"/>
            <w:noProof/>
            <w:webHidden/>
            <w:sz w:val="24"/>
            <w:szCs w:val="24"/>
          </w:rPr>
          <w:fldChar w:fldCharType="begin"/>
        </w:r>
        <w:r w:rsidR="002815CC" w:rsidRPr="002815CC">
          <w:rPr>
            <w:rFonts w:ascii="宋体" w:eastAsia="宋体" w:hAnsi="宋体"/>
            <w:noProof/>
            <w:webHidden/>
            <w:sz w:val="24"/>
            <w:szCs w:val="24"/>
          </w:rPr>
          <w:instrText xml:space="preserve"> PAGEREF _Toc161661018 \h </w:instrText>
        </w:r>
        <w:r w:rsidR="002815CC" w:rsidRPr="002815CC">
          <w:rPr>
            <w:rFonts w:ascii="宋体" w:eastAsia="宋体" w:hAnsi="宋体"/>
            <w:noProof/>
            <w:webHidden/>
            <w:sz w:val="24"/>
            <w:szCs w:val="24"/>
          </w:rPr>
        </w:r>
        <w:r w:rsidR="002815CC" w:rsidRPr="002815CC">
          <w:rPr>
            <w:rFonts w:ascii="宋体" w:eastAsia="宋体" w:hAnsi="宋体"/>
            <w:noProof/>
            <w:webHidden/>
            <w:sz w:val="24"/>
            <w:szCs w:val="24"/>
          </w:rPr>
          <w:fldChar w:fldCharType="separate"/>
        </w:r>
        <w:r w:rsidR="009243C4">
          <w:rPr>
            <w:rFonts w:ascii="宋体" w:eastAsia="宋体" w:hAnsi="宋体"/>
            <w:noProof/>
            <w:webHidden/>
            <w:sz w:val="24"/>
            <w:szCs w:val="24"/>
          </w:rPr>
          <w:t>25</w:t>
        </w:r>
        <w:r w:rsidR="002815CC" w:rsidRPr="002815CC">
          <w:rPr>
            <w:rFonts w:ascii="宋体" w:eastAsia="宋体" w:hAnsi="宋体"/>
            <w:noProof/>
            <w:webHidden/>
            <w:sz w:val="24"/>
            <w:szCs w:val="24"/>
          </w:rPr>
          <w:fldChar w:fldCharType="end"/>
        </w:r>
      </w:hyperlink>
    </w:p>
    <w:p w14:paraId="3F93B906" w14:textId="77777777" w:rsidR="002815CC" w:rsidRPr="001B2E94" w:rsidRDefault="00EA2F0D" w:rsidP="002815CC">
      <w:pPr>
        <w:pStyle w:val="21"/>
        <w:rPr>
          <w:rFonts w:ascii="宋体" w:eastAsia="宋体" w:hAnsi="宋体"/>
          <w:noProof/>
          <w:kern w:val="2"/>
          <w:sz w:val="21"/>
          <w:szCs w:val="21"/>
        </w:rPr>
      </w:pPr>
      <w:hyperlink w:anchor="_Toc161661019" w:history="1">
        <w:r w:rsidR="002815CC" w:rsidRPr="002815CC">
          <w:rPr>
            <w:rStyle w:val="ac"/>
            <w:rFonts w:ascii="宋体" w:eastAsia="宋体" w:hAnsi="宋体"/>
            <w:noProof/>
            <w:sz w:val="21"/>
            <w:szCs w:val="21"/>
          </w:rPr>
          <w:t>一、估价对象描述与分析</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_Toc161661019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25</w:t>
        </w:r>
        <w:r w:rsidR="002815CC" w:rsidRPr="002815CC">
          <w:rPr>
            <w:rFonts w:ascii="宋体" w:eastAsia="宋体" w:hAnsi="宋体"/>
            <w:noProof/>
            <w:webHidden/>
            <w:sz w:val="21"/>
            <w:szCs w:val="21"/>
          </w:rPr>
          <w:fldChar w:fldCharType="end"/>
        </w:r>
      </w:hyperlink>
    </w:p>
    <w:p w14:paraId="212DE822" w14:textId="77777777" w:rsidR="002815CC" w:rsidRPr="001B2E94" w:rsidRDefault="00EA2F0D" w:rsidP="002815CC">
      <w:pPr>
        <w:pStyle w:val="21"/>
        <w:rPr>
          <w:rFonts w:ascii="宋体" w:eastAsia="宋体" w:hAnsi="宋体"/>
          <w:noProof/>
          <w:kern w:val="2"/>
          <w:sz w:val="21"/>
          <w:szCs w:val="21"/>
        </w:rPr>
      </w:pPr>
      <w:hyperlink w:anchor="_Toc161661020" w:history="1">
        <w:r w:rsidR="002815CC" w:rsidRPr="002815CC">
          <w:rPr>
            <w:rStyle w:val="ac"/>
            <w:rFonts w:ascii="宋体" w:eastAsia="宋体" w:hAnsi="宋体"/>
            <w:noProof/>
            <w:sz w:val="21"/>
            <w:szCs w:val="21"/>
          </w:rPr>
          <w:t>（一）区位状况分析</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_Toc161661020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25</w:t>
        </w:r>
        <w:r w:rsidR="002815CC" w:rsidRPr="002815CC">
          <w:rPr>
            <w:rFonts w:ascii="宋体" w:eastAsia="宋体" w:hAnsi="宋体"/>
            <w:noProof/>
            <w:webHidden/>
            <w:sz w:val="21"/>
            <w:szCs w:val="21"/>
          </w:rPr>
          <w:fldChar w:fldCharType="end"/>
        </w:r>
      </w:hyperlink>
    </w:p>
    <w:p w14:paraId="792F28BB" w14:textId="77777777" w:rsidR="002815CC" w:rsidRPr="001B2E94" w:rsidRDefault="00EA2F0D" w:rsidP="002815CC">
      <w:pPr>
        <w:pStyle w:val="21"/>
        <w:rPr>
          <w:rFonts w:ascii="宋体" w:eastAsia="宋体" w:hAnsi="宋体"/>
          <w:noProof/>
          <w:kern w:val="2"/>
          <w:sz w:val="21"/>
          <w:szCs w:val="21"/>
        </w:rPr>
      </w:pPr>
      <w:hyperlink w:anchor="_Toc161661021" w:history="1">
        <w:r w:rsidR="002815CC" w:rsidRPr="002815CC">
          <w:rPr>
            <w:rStyle w:val="ac"/>
            <w:rFonts w:ascii="宋体" w:eastAsia="宋体" w:hAnsi="宋体"/>
            <w:noProof/>
            <w:sz w:val="21"/>
            <w:szCs w:val="21"/>
          </w:rPr>
          <w:t>（二）实物状况分析</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_Toc161661021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26</w:t>
        </w:r>
        <w:r w:rsidR="002815CC" w:rsidRPr="002815CC">
          <w:rPr>
            <w:rFonts w:ascii="宋体" w:eastAsia="宋体" w:hAnsi="宋体"/>
            <w:noProof/>
            <w:webHidden/>
            <w:sz w:val="21"/>
            <w:szCs w:val="21"/>
          </w:rPr>
          <w:fldChar w:fldCharType="end"/>
        </w:r>
      </w:hyperlink>
    </w:p>
    <w:p w14:paraId="213A799C" w14:textId="77777777" w:rsidR="002815CC" w:rsidRPr="001B2E94" w:rsidRDefault="00EA2F0D" w:rsidP="002815CC">
      <w:pPr>
        <w:pStyle w:val="21"/>
        <w:rPr>
          <w:rFonts w:ascii="宋体" w:eastAsia="宋体" w:hAnsi="宋体"/>
          <w:noProof/>
          <w:kern w:val="2"/>
          <w:sz w:val="21"/>
          <w:szCs w:val="21"/>
        </w:rPr>
      </w:pPr>
      <w:hyperlink w:anchor="_Toc161661022" w:history="1">
        <w:r w:rsidR="002815CC" w:rsidRPr="002815CC">
          <w:rPr>
            <w:rStyle w:val="ac"/>
            <w:rFonts w:ascii="宋体" w:eastAsia="宋体" w:hAnsi="宋体"/>
            <w:noProof/>
            <w:sz w:val="21"/>
            <w:szCs w:val="21"/>
          </w:rPr>
          <w:t>（三）权益状况分析</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_Toc161661022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28</w:t>
        </w:r>
        <w:r w:rsidR="002815CC" w:rsidRPr="002815CC">
          <w:rPr>
            <w:rFonts w:ascii="宋体" w:eastAsia="宋体" w:hAnsi="宋体"/>
            <w:noProof/>
            <w:webHidden/>
            <w:sz w:val="21"/>
            <w:szCs w:val="21"/>
          </w:rPr>
          <w:fldChar w:fldCharType="end"/>
        </w:r>
      </w:hyperlink>
    </w:p>
    <w:p w14:paraId="5B5809E5" w14:textId="77777777" w:rsidR="002815CC" w:rsidRPr="001B2E94" w:rsidRDefault="00EA2F0D" w:rsidP="002815CC">
      <w:pPr>
        <w:pStyle w:val="21"/>
        <w:rPr>
          <w:rFonts w:ascii="宋体" w:eastAsia="宋体" w:hAnsi="宋体"/>
          <w:noProof/>
          <w:kern w:val="2"/>
          <w:sz w:val="21"/>
          <w:szCs w:val="21"/>
        </w:rPr>
      </w:pPr>
      <w:hyperlink w:anchor="_Toc161661023" w:history="1">
        <w:r w:rsidR="002815CC" w:rsidRPr="002815CC">
          <w:rPr>
            <w:rStyle w:val="ac"/>
            <w:rFonts w:ascii="宋体" w:eastAsia="宋体" w:hAnsi="宋体"/>
            <w:noProof/>
            <w:sz w:val="21"/>
            <w:szCs w:val="21"/>
          </w:rPr>
          <w:t>二、市场背景描述与分析</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_Toc161661023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28</w:t>
        </w:r>
        <w:r w:rsidR="002815CC" w:rsidRPr="002815CC">
          <w:rPr>
            <w:rFonts w:ascii="宋体" w:eastAsia="宋体" w:hAnsi="宋体"/>
            <w:noProof/>
            <w:webHidden/>
            <w:sz w:val="21"/>
            <w:szCs w:val="21"/>
          </w:rPr>
          <w:fldChar w:fldCharType="end"/>
        </w:r>
      </w:hyperlink>
    </w:p>
    <w:p w14:paraId="5B80872F" w14:textId="77777777" w:rsidR="002815CC" w:rsidRPr="001B2E94" w:rsidRDefault="00EA2F0D" w:rsidP="002815CC">
      <w:pPr>
        <w:pStyle w:val="21"/>
        <w:rPr>
          <w:rFonts w:ascii="宋体" w:eastAsia="宋体" w:hAnsi="宋体"/>
          <w:noProof/>
          <w:kern w:val="2"/>
          <w:sz w:val="21"/>
          <w:szCs w:val="21"/>
        </w:rPr>
      </w:pPr>
      <w:hyperlink w:anchor="_Toc161661024" w:history="1">
        <w:r w:rsidR="002815CC" w:rsidRPr="002815CC">
          <w:rPr>
            <w:rStyle w:val="ac"/>
            <w:rFonts w:ascii="宋体" w:eastAsia="宋体" w:hAnsi="宋体"/>
            <w:noProof/>
            <w:sz w:val="21"/>
            <w:szCs w:val="21"/>
          </w:rPr>
          <w:t>三、最高最佳利用分析</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_Toc161661024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44</w:t>
        </w:r>
        <w:r w:rsidR="002815CC" w:rsidRPr="002815CC">
          <w:rPr>
            <w:rFonts w:ascii="宋体" w:eastAsia="宋体" w:hAnsi="宋体"/>
            <w:noProof/>
            <w:webHidden/>
            <w:sz w:val="21"/>
            <w:szCs w:val="21"/>
          </w:rPr>
          <w:fldChar w:fldCharType="end"/>
        </w:r>
      </w:hyperlink>
    </w:p>
    <w:p w14:paraId="6CCEEC9D" w14:textId="77777777" w:rsidR="002815CC" w:rsidRPr="001B2E94" w:rsidRDefault="00EA2F0D" w:rsidP="002815CC">
      <w:pPr>
        <w:pStyle w:val="21"/>
        <w:tabs>
          <w:tab w:val="left" w:pos="1260"/>
        </w:tabs>
        <w:rPr>
          <w:rFonts w:ascii="宋体" w:eastAsia="宋体" w:hAnsi="宋体"/>
          <w:noProof/>
          <w:kern w:val="2"/>
          <w:sz w:val="21"/>
          <w:szCs w:val="21"/>
        </w:rPr>
      </w:pPr>
      <w:hyperlink w:anchor="_Toc161661025" w:history="1">
        <w:r w:rsidR="002815CC" w:rsidRPr="002815CC">
          <w:rPr>
            <w:rStyle w:val="ac"/>
            <w:rFonts w:ascii="宋体" w:eastAsia="宋体" w:hAnsi="宋体"/>
            <w:noProof/>
            <w:sz w:val="21"/>
            <w:szCs w:val="21"/>
          </w:rPr>
          <w:t>四、估价方法适用性分析</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_Toc161661025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45</w:t>
        </w:r>
        <w:r w:rsidR="002815CC" w:rsidRPr="002815CC">
          <w:rPr>
            <w:rFonts w:ascii="宋体" w:eastAsia="宋体" w:hAnsi="宋体"/>
            <w:noProof/>
            <w:webHidden/>
            <w:sz w:val="21"/>
            <w:szCs w:val="21"/>
          </w:rPr>
          <w:fldChar w:fldCharType="end"/>
        </w:r>
      </w:hyperlink>
    </w:p>
    <w:p w14:paraId="59583B5E" w14:textId="77777777" w:rsidR="002815CC" w:rsidRPr="001B2E94" w:rsidRDefault="00EA2F0D" w:rsidP="002815CC">
      <w:pPr>
        <w:pStyle w:val="21"/>
        <w:rPr>
          <w:rFonts w:ascii="宋体" w:eastAsia="宋体" w:hAnsi="宋体"/>
          <w:noProof/>
          <w:kern w:val="2"/>
          <w:sz w:val="21"/>
          <w:szCs w:val="21"/>
        </w:rPr>
      </w:pPr>
      <w:hyperlink w:anchor="_Toc161661026" w:history="1">
        <w:r w:rsidR="002815CC" w:rsidRPr="002815CC">
          <w:rPr>
            <w:rStyle w:val="ac"/>
            <w:rFonts w:ascii="宋体" w:eastAsia="宋体" w:hAnsi="宋体"/>
            <w:noProof/>
            <w:sz w:val="21"/>
            <w:szCs w:val="21"/>
          </w:rPr>
          <w:t>五、估价测算过程</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_Toc161661026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47</w:t>
        </w:r>
        <w:r w:rsidR="002815CC" w:rsidRPr="002815CC">
          <w:rPr>
            <w:rFonts w:ascii="宋体" w:eastAsia="宋体" w:hAnsi="宋体"/>
            <w:noProof/>
            <w:webHidden/>
            <w:sz w:val="21"/>
            <w:szCs w:val="21"/>
          </w:rPr>
          <w:fldChar w:fldCharType="end"/>
        </w:r>
      </w:hyperlink>
    </w:p>
    <w:p w14:paraId="28EA7A90" w14:textId="77777777" w:rsidR="002815CC" w:rsidRPr="001B2E94" w:rsidRDefault="00EA2F0D" w:rsidP="002815CC">
      <w:pPr>
        <w:pStyle w:val="21"/>
        <w:rPr>
          <w:rFonts w:ascii="宋体" w:eastAsia="宋体" w:hAnsi="宋体"/>
          <w:noProof/>
          <w:kern w:val="2"/>
          <w:sz w:val="21"/>
          <w:szCs w:val="21"/>
        </w:rPr>
      </w:pPr>
      <w:hyperlink w:anchor="_Toc161661027" w:history="1">
        <w:r w:rsidR="002815CC" w:rsidRPr="002815CC">
          <w:rPr>
            <w:rStyle w:val="ac"/>
            <w:rFonts w:ascii="宋体" w:eastAsia="宋体" w:hAnsi="宋体"/>
            <w:noProof/>
            <w:sz w:val="21"/>
            <w:szCs w:val="21"/>
          </w:rPr>
          <w:t>六、估价结果确定</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_Toc161661027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58</w:t>
        </w:r>
        <w:r w:rsidR="002815CC" w:rsidRPr="002815CC">
          <w:rPr>
            <w:rFonts w:ascii="宋体" w:eastAsia="宋体" w:hAnsi="宋体"/>
            <w:noProof/>
            <w:webHidden/>
            <w:sz w:val="21"/>
            <w:szCs w:val="21"/>
          </w:rPr>
          <w:fldChar w:fldCharType="end"/>
        </w:r>
      </w:hyperlink>
    </w:p>
    <w:p w14:paraId="466CB1FD" w14:textId="77777777" w:rsidR="002815CC" w:rsidRPr="001B2E94" w:rsidRDefault="00EA2F0D" w:rsidP="002815CC">
      <w:pPr>
        <w:pStyle w:val="11"/>
        <w:rPr>
          <w:rFonts w:ascii="宋体" w:eastAsia="宋体" w:hAnsi="宋体"/>
          <w:b w:val="0"/>
          <w:bCs w:val="0"/>
          <w:noProof/>
          <w:kern w:val="2"/>
          <w:sz w:val="24"/>
          <w:szCs w:val="24"/>
        </w:rPr>
      </w:pPr>
      <w:hyperlink w:anchor="_Toc161661028" w:history="1">
        <w:r w:rsidR="002815CC" w:rsidRPr="002815CC">
          <w:rPr>
            <w:rStyle w:val="ac"/>
            <w:rFonts w:ascii="宋体" w:eastAsia="宋体" w:hAnsi="宋体"/>
            <w:noProof/>
            <w:sz w:val="24"/>
            <w:szCs w:val="24"/>
          </w:rPr>
          <w:t>附   件</w:t>
        </w:r>
        <w:r w:rsidR="002815CC" w:rsidRPr="002815CC">
          <w:rPr>
            <w:rFonts w:ascii="宋体" w:eastAsia="宋体" w:hAnsi="宋体"/>
            <w:noProof/>
            <w:webHidden/>
            <w:sz w:val="24"/>
            <w:szCs w:val="24"/>
          </w:rPr>
          <w:tab/>
        </w:r>
        <w:r w:rsidR="002815CC" w:rsidRPr="002815CC">
          <w:rPr>
            <w:rFonts w:ascii="宋体" w:eastAsia="宋体" w:hAnsi="宋体"/>
            <w:noProof/>
            <w:webHidden/>
            <w:sz w:val="24"/>
            <w:szCs w:val="24"/>
          </w:rPr>
          <w:fldChar w:fldCharType="begin"/>
        </w:r>
        <w:r w:rsidR="002815CC" w:rsidRPr="002815CC">
          <w:rPr>
            <w:rFonts w:ascii="宋体" w:eastAsia="宋体" w:hAnsi="宋体"/>
            <w:noProof/>
            <w:webHidden/>
            <w:sz w:val="24"/>
            <w:szCs w:val="24"/>
          </w:rPr>
          <w:instrText xml:space="preserve"> PAGEREF _Toc161661028 \h </w:instrText>
        </w:r>
        <w:r w:rsidR="002815CC" w:rsidRPr="002815CC">
          <w:rPr>
            <w:rFonts w:ascii="宋体" w:eastAsia="宋体" w:hAnsi="宋体"/>
            <w:noProof/>
            <w:webHidden/>
            <w:sz w:val="24"/>
            <w:szCs w:val="24"/>
          </w:rPr>
        </w:r>
        <w:r w:rsidR="002815CC" w:rsidRPr="002815CC">
          <w:rPr>
            <w:rFonts w:ascii="宋体" w:eastAsia="宋体" w:hAnsi="宋体"/>
            <w:noProof/>
            <w:webHidden/>
            <w:sz w:val="24"/>
            <w:szCs w:val="24"/>
          </w:rPr>
          <w:fldChar w:fldCharType="separate"/>
        </w:r>
        <w:r w:rsidR="009243C4">
          <w:rPr>
            <w:rFonts w:ascii="宋体" w:eastAsia="宋体" w:hAnsi="宋体"/>
            <w:noProof/>
            <w:webHidden/>
            <w:sz w:val="24"/>
            <w:szCs w:val="24"/>
          </w:rPr>
          <w:t>60</w:t>
        </w:r>
        <w:r w:rsidR="002815CC" w:rsidRPr="002815CC">
          <w:rPr>
            <w:rFonts w:ascii="宋体" w:eastAsia="宋体" w:hAnsi="宋体"/>
            <w:noProof/>
            <w:webHidden/>
            <w:sz w:val="24"/>
            <w:szCs w:val="24"/>
          </w:rPr>
          <w:fldChar w:fldCharType="end"/>
        </w:r>
      </w:hyperlink>
    </w:p>
    <w:p w14:paraId="52F52248" w14:textId="77777777" w:rsidR="00AF6F34" w:rsidRDefault="00AF6F34">
      <w:pPr>
        <w:numPr>
          <w:ilvl w:val="0"/>
          <w:numId w:val="9"/>
        </w:numPr>
        <w:spacing w:line="360" w:lineRule="auto"/>
        <w:jc w:val="both"/>
      </w:pPr>
      <w:r>
        <w:fldChar w:fldCharType="end"/>
      </w:r>
      <w:r>
        <w:rPr>
          <w:rFonts w:ascii="Arial" w:hAnsi="Arial" w:cs="Arial" w:hint="eastAsia"/>
          <w:sz w:val="21"/>
          <w:szCs w:val="21"/>
        </w:rPr>
        <w:t>《估价委托书》复印件</w:t>
      </w:r>
    </w:p>
    <w:p w14:paraId="21310929" w14:textId="77777777" w:rsidR="00AF6F34" w:rsidRDefault="00AF6F34">
      <w:pPr>
        <w:numPr>
          <w:ilvl w:val="0"/>
          <w:numId w:val="9"/>
        </w:numPr>
        <w:spacing w:line="360" w:lineRule="auto"/>
        <w:jc w:val="both"/>
      </w:pPr>
      <w:r>
        <w:rPr>
          <w:rFonts w:ascii="Arial" w:hAnsi="Arial" w:cs="Arial"/>
          <w:sz w:val="21"/>
          <w:szCs w:val="21"/>
        </w:rPr>
        <w:t>估价对象所在位置示意图</w:t>
      </w:r>
    </w:p>
    <w:p w14:paraId="71393E09" w14:textId="77777777" w:rsidR="00AF6F34" w:rsidRDefault="00AF6F34">
      <w:pPr>
        <w:numPr>
          <w:ilvl w:val="0"/>
          <w:numId w:val="9"/>
        </w:numPr>
        <w:spacing w:line="360" w:lineRule="auto"/>
        <w:jc w:val="both"/>
      </w:pPr>
      <w:r>
        <w:rPr>
          <w:rFonts w:ascii="Arial" w:hAnsi="Arial" w:cs="Arial"/>
          <w:sz w:val="21"/>
          <w:szCs w:val="21"/>
        </w:rPr>
        <w:t>估价对象</w:t>
      </w:r>
      <w:r>
        <w:rPr>
          <w:rFonts w:ascii="Arial" w:hAnsi="Arial" w:cs="Arial" w:hint="eastAsia"/>
          <w:sz w:val="21"/>
          <w:szCs w:val="21"/>
        </w:rPr>
        <w:t>现状</w:t>
      </w:r>
      <w:r>
        <w:rPr>
          <w:rFonts w:ascii="Arial" w:hAnsi="Arial" w:cs="Arial"/>
          <w:sz w:val="21"/>
          <w:szCs w:val="21"/>
        </w:rPr>
        <w:t>照片</w:t>
      </w:r>
    </w:p>
    <w:p w14:paraId="3C0DDECC" w14:textId="77777777" w:rsidR="00AF6F34" w:rsidRDefault="00B01A7B">
      <w:pPr>
        <w:numPr>
          <w:ilvl w:val="0"/>
          <w:numId w:val="9"/>
        </w:numPr>
        <w:spacing w:line="360" w:lineRule="auto"/>
        <w:jc w:val="both"/>
      </w:pPr>
      <w:r>
        <w:rPr>
          <w:rFonts w:ascii="Arial" w:hAnsi="Arial" w:cs="Arial" w:hint="eastAsia"/>
          <w:sz w:val="21"/>
          <w:szCs w:val="21"/>
        </w:rPr>
        <w:lastRenderedPageBreak/>
        <w:t>《房屋所有权证》</w:t>
      </w:r>
      <w:r>
        <w:rPr>
          <w:rFonts w:ascii="Arial" w:hAnsi="Arial" w:cs="Arial" w:hint="eastAsia"/>
          <w:sz w:val="21"/>
          <w:szCs w:val="21"/>
        </w:rPr>
        <w:t>[X</w:t>
      </w:r>
      <w:r>
        <w:rPr>
          <w:rFonts w:ascii="Arial" w:hAnsi="Arial" w:cs="Arial" w:hint="eastAsia"/>
          <w:sz w:val="21"/>
          <w:szCs w:val="21"/>
        </w:rPr>
        <w:t>京房权证开字第</w:t>
      </w:r>
      <w:r>
        <w:rPr>
          <w:rFonts w:ascii="Arial" w:hAnsi="Arial" w:cs="Arial" w:hint="eastAsia"/>
          <w:sz w:val="21"/>
          <w:szCs w:val="21"/>
        </w:rPr>
        <w:t>034346</w:t>
      </w:r>
      <w:r>
        <w:rPr>
          <w:rFonts w:ascii="Arial" w:hAnsi="Arial" w:cs="Arial" w:hint="eastAsia"/>
          <w:sz w:val="21"/>
          <w:szCs w:val="21"/>
        </w:rPr>
        <w:t>、</w:t>
      </w:r>
      <w:r>
        <w:rPr>
          <w:rFonts w:ascii="Arial" w:hAnsi="Arial" w:cs="Arial" w:hint="eastAsia"/>
          <w:sz w:val="21"/>
          <w:szCs w:val="21"/>
        </w:rPr>
        <w:t>034198</w:t>
      </w:r>
      <w:r>
        <w:rPr>
          <w:rFonts w:ascii="Arial" w:hAnsi="Arial" w:cs="Arial" w:hint="eastAsia"/>
          <w:sz w:val="21"/>
          <w:szCs w:val="21"/>
        </w:rPr>
        <w:t>、</w:t>
      </w:r>
      <w:r>
        <w:rPr>
          <w:rFonts w:ascii="Arial" w:hAnsi="Arial" w:cs="Arial" w:hint="eastAsia"/>
          <w:sz w:val="21"/>
          <w:szCs w:val="21"/>
        </w:rPr>
        <w:t>034354</w:t>
      </w:r>
      <w:r>
        <w:rPr>
          <w:rFonts w:ascii="Arial" w:hAnsi="Arial" w:cs="Arial" w:hint="eastAsia"/>
          <w:sz w:val="21"/>
          <w:szCs w:val="21"/>
        </w:rPr>
        <w:t>、</w:t>
      </w:r>
      <w:r>
        <w:rPr>
          <w:rFonts w:ascii="Arial" w:hAnsi="Arial" w:cs="Arial" w:hint="eastAsia"/>
          <w:sz w:val="21"/>
          <w:szCs w:val="21"/>
        </w:rPr>
        <w:t>034348</w:t>
      </w:r>
      <w:r>
        <w:rPr>
          <w:rFonts w:ascii="Arial" w:hAnsi="Arial" w:cs="Arial" w:hint="eastAsia"/>
          <w:sz w:val="21"/>
          <w:szCs w:val="21"/>
        </w:rPr>
        <w:t>、</w:t>
      </w:r>
      <w:r>
        <w:rPr>
          <w:rFonts w:ascii="Arial" w:hAnsi="Arial" w:cs="Arial" w:hint="eastAsia"/>
          <w:sz w:val="21"/>
          <w:szCs w:val="21"/>
        </w:rPr>
        <w:t>034199</w:t>
      </w:r>
      <w:r>
        <w:rPr>
          <w:rFonts w:ascii="Arial" w:hAnsi="Arial" w:cs="Arial" w:hint="eastAsia"/>
          <w:sz w:val="21"/>
          <w:szCs w:val="21"/>
        </w:rPr>
        <w:t>、</w:t>
      </w:r>
      <w:r>
        <w:rPr>
          <w:rFonts w:ascii="Arial" w:hAnsi="Arial" w:cs="Arial" w:hint="eastAsia"/>
          <w:sz w:val="21"/>
          <w:szCs w:val="21"/>
        </w:rPr>
        <w:t>034680</w:t>
      </w:r>
      <w:r>
        <w:rPr>
          <w:rFonts w:ascii="Arial" w:hAnsi="Arial" w:cs="Arial" w:hint="eastAsia"/>
          <w:sz w:val="21"/>
          <w:szCs w:val="21"/>
        </w:rPr>
        <w:t>、</w:t>
      </w:r>
      <w:r>
        <w:rPr>
          <w:rFonts w:ascii="Arial" w:hAnsi="Arial" w:cs="Arial" w:hint="eastAsia"/>
          <w:sz w:val="21"/>
          <w:szCs w:val="21"/>
        </w:rPr>
        <w:t>034671</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7B2917F0" w14:textId="77777777" w:rsidR="00AF6F34" w:rsidRPr="007E31FC" w:rsidRDefault="00AF6F34">
      <w:pPr>
        <w:numPr>
          <w:ilvl w:val="0"/>
          <w:numId w:val="9"/>
        </w:numPr>
        <w:spacing w:line="360" w:lineRule="auto"/>
        <w:jc w:val="both"/>
      </w:pPr>
      <w:r>
        <w:rPr>
          <w:rFonts w:ascii="Arial" w:hAnsi="Arial" w:cs="Arial" w:hint="eastAsia"/>
          <w:kern w:val="2"/>
          <w:sz w:val="21"/>
          <w:szCs w:val="21"/>
        </w:rPr>
        <w:t>《南海家园房源表》</w:t>
      </w:r>
      <w:r>
        <w:rPr>
          <w:rFonts w:ascii="Arial" w:hAnsi="Arial" w:cs="Arial"/>
          <w:sz w:val="21"/>
          <w:szCs w:val="21"/>
        </w:rPr>
        <w:t>复印件</w:t>
      </w:r>
    </w:p>
    <w:p w14:paraId="72885E9A" w14:textId="77777777" w:rsidR="007E31FC" w:rsidRPr="007E31FC" w:rsidRDefault="007E31FC" w:rsidP="007E31FC">
      <w:pPr>
        <w:numPr>
          <w:ilvl w:val="0"/>
          <w:numId w:val="9"/>
        </w:numPr>
        <w:spacing w:line="360" w:lineRule="auto"/>
        <w:jc w:val="both"/>
        <w:rPr>
          <w:rFonts w:ascii="Arial" w:hAnsi="Arial" w:cs="Arial"/>
          <w:sz w:val="21"/>
          <w:szCs w:val="21"/>
        </w:rPr>
      </w:pPr>
      <w:r>
        <w:rPr>
          <w:rFonts w:ascii="Arial" w:hAnsi="Arial" w:cs="Arial"/>
          <w:sz w:val="21"/>
          <w:szCs w:val="21"/>
        </w:rPr>
        <w:t>《</w:t>
      </w:r>
      <w:r w:rsidRPr="007E31FC">
        <w:rPr>
          <w:rFonts w:ascii="Arial" w:hAnsi="Arial" w:cs="Arial" w:hint="eastAsia"/>
          <w:sz w:val="21"/>
          <w:szCs w:val="21"/>
        </w:rPr>
        <w:t>南海家园项目房屋附属家具、电器及其他设备设施状况</w:t>
      </w:r>
      <w:r w:rsidRPr="007E31FC">
        <w:rPr>
          <w:rFonts w:ascii="Arial" w:hAnsi="Arial" w:cs="Arial"/>
          <w:sz w:val="21"/>
          <w:szCs w:val="21"/>
        </w:rPr>
        <w:t>》</w:t>
      </w:r>
      <w:r>
        <w:rPr>
          <w:rFonts w:ascii="Arial" w:hAnsi="Arial" w:cs="Arial"/>
          <w:sz w:val="21"/>
          <w:szCs w:val="21"/>
        </w:rPr>
        <w:t>复印件</w:t>
      </w:r>
    </w:p>
    <w:p w14:paraId="74A22311" w14:textId="77777777" w:rsidR="00AF6F34" w:rsidRDefault="00AF6F34">
      <w:pPr>
        <w:numPr>
          <w:ilvl w:val="0"/>
          <w:numId w:val="9"/>
        </w:numPr>
        <w:spacing w:line="360" w:lineRule="auto"/>
        <w:jc w:val="both"/>
      </w:pPr>
      <w:r>
        <w:rPr>
          <w:rFonts w:ascii="Arial" w:hAnsi="Arial" w:cs="Arial" w:hint="eastAsia"/>
          <w:sz w:val="21"/>
          <w:szCs w:val="21"/>
        </w:rPr>
        <w:t>估价委托人《营业执照（副本）》复印件</w:t>
      </w:r>
    </w:p>
    <w:p w14:paraId="21C7BC55" w14:textId="77777777" w:rsidR="00AF6F34" w:rsidRDefault="00AF6F34">
      <w:pPr>
        <w:numPr>
          <w:ilvl w:val="0"/>
          <w:numId w:val="9"/>
        </w:numPr>
        <w:spacing w:line="360" w:lineRule="auto"/>
        <w:jc w:val="both"/>
      </w:pPr>
      <w:r>
        <w:rPr>
          <w:rFonts w:ascii="Arial" w:hAnsi="Arial" w:cs="Arial"/>
          <w:color w:val="000000"/>
          <w:sz w:val="21"/>
          <w:szCs w:val="21"/>
        </w:rPr>
        <w:t>房地产估价机构《营业执照（副本）》</w:t>
      </w:r>
      <w:r>
        <w:rPr>
          <w:rFonts w:ascii="Arial" w:hAnsi="Arial" w:cs="Arial"/>
          <w:sz w:val="21"/>
          <w:szCs w:val="21"/>
        </w:rPr>
        <w:t>复印件</w:t>
      </w:r>
    </w:p>
    <w:p w14:paraId="0690D9A8" w14:textId="77777777" w:rsidR="00AF6F34" w:rsidRDefault="00AF6F34">
      <w:pPr>
        <w:numPr>
          <w:ilvl w:val="0"/>
          <w:numId w:val="9"/>
        </w:numPr>
        <w:spacing w:line="360" w:lineRule="auto"/>
        <w:jc w:val="both"/>
      </w:pPr>
      <w:r>
        <w:rPr>
          <w:rFonts w:ascii="Arial" w:hAnsi="Arial" w:cs="Arial"/>
          <w:sz w:val="21"/>
          <w:szCs w:val="21"/>
        </w:rPr>
        <w:t>房地产估价机构资质证书复印件</w:t>
      </w:r>
    </w:p>
    <w:p w14:paraId="7DFAAE29" w14:textId="77777777" w:rsidR="00AF6F34" w:rsidRDefault="00AF6F34">
      <w:pPr>
        <w:numPr>
          <w:ilvl w:val="0"/>
          <w:numId w:val="9"/>
        </w:numPr>
        <w:spacing w:line="360" w:lineRule="auto"/>
        <w:jc w:val="both"/>
        <w:sectPr w:rsidR="00AF6F34" w:rsidSect="00B943B0">
          <w:headerReference w:type="even" r:id="rId18"/>
          <w:headerReference w:type="default" r:id="rId19"/>
          <w:footerReference w:type="even" r:id="rId20"/>
          <w:footerReference w:type="default" r:id="rId21"/>
          <w:headerReference w:type="first" r:id="rId22"/>
          <w:footerReference w:type="first" r:id="rId23"/>
          <w:pgSz w:w="11906" w:h="16838"/>
          <w:pgMar w:top="1843" w:right="1134" w:bottom="1134" w:left="1474" w:header="1134" w:footer="907" w:gutter="0"/>
          <w:cols w:space="720"/>
          <w:docGrid w:linePitch="326"/>
        </w:sectPr>
      </w:pPr>
      <w:r>
        <w:rPr>
          <w:rFonts w:ascii="Arial" w:hAnsi="Arial" w:cs="Arial" w:hint="eastAsia"/>
          <w:sz w:val="21"/>
          <w:szCs w:val="21"/>
        </w:rPr>
        <w:t>评估专业人员</w:t>
      </w:r>
      <w:r>
        <w:rPr>
          <w:rFonts w:ascii="Arial" w:hAnsi="Arial" w:cs="Arial"/>
          <w:sz w:val="21"/>
          <w:szCs w:val="21"/>
        </w:rPr>
        <w:t>执业证书复印件</w:t>
      </w:r>
    </w:p>
    <w:p w14:paraId="14F85A93" w14:textId="77777777" w:rsidR="00AF6F34" w:rsidRDefault="00AF6F34">
      <w:pPr>
        <w:pStyle w:val="1"/>
        <w:spacing w:line="480" w:lineRule="auto"/>
        <w:jc w:val="center"/>
      </w:pPr>
      <w:bookmarkStart w:id="3" w:name="_Toc161661002"/>
      <w:r>
        <w:rPr>
          <w:rFonts w:eastAsia="方正黑体简体" w:hint="eastAsia"/>
          <w:b w:val="0"/>
          <w:kern w:val="2"/>
          <w:sz w:val="32"/>
          <w:szCs w:val="32"/>
        </w:rPr>
        <w:lastRenderedPageBreak/>
        <w:t>估价师声明</w:t>
      </w:r>
      <w:bookmarkEnd w:id="3"/>
    </w:p>
    <w:p w14:paraId="16B780A9" w14:textId="77777777" w:rsidR="00AF6F34" w:rsidRDefault="00AF6F34">
      <w:pPr>
        <w:spacing w:line="480" w:lineRule="auto"/>
        <w:jc w:val="both"/>
      </w:pPr>
      <w:r>
        <w:rPr>
          <w:rFonts w:ascii="Arial" w:hAnsi="Arial" w:cs="Arial"/>
          <w:kern w:val="2"/>
          <w:sz w:val="21"/>
          <w:szCs w:val="21"/>
        </w:rPr>
        <w:t>注册房地产估价师郑重声明：</w:t>
      </w:r>
    </w:p>
    <w:p w14:paraId="18CFA345" w14:textId="77777777" w:rsidR="00AF6F34" w:rsidRDefault="00AF6F34">
      <w:pPr>
        <w:spacing w:line="480" w:lineRule="auto"/>
        <w:jc w:val="both"/>
      </w:pPr>
      <w:r>
        <w:rPr>
          <w:rFonts w:ascii="Arial" w:hAnsi="Arial" w:cs="Arial"/>
          <w:kern w:val="2"/>
          <w:sz w:val="21"/>
          <w:szCs w:val="21"/>
        </w:rPr>
        <w:t>（一）注册房地产估价师在本估价报告中对事实的说明是真实的和准确的，没有虚假记载、误导性陈述和重大遗漏。</w:t>
      </w:r>
    </w:p>
    <w:p w14:paraId="70B759AB" w14:textId="77777777" w:rsidR="00AF6F34" w:rsidRDefault="00AF6F34">
      <w:pPr>
        <w:spacing w:line="480" w:lineRule="auto"/>
        <w:jc w:val="both"/>
      </w:pPr>
      <w:r>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44F7D986" w14:textId="1A4C60BB" w:rsidR="00AF6F34" w:rsidRDefault="00AF6F34">
      <w:pPr>
        <w:spacing w:line="480" w:lineRule="auto"/>
        <w:jc w:val="both"/>
      </w:pPr>
      <w:r>
        <w:rPr>
          <w:rFonts w:ascii="Arial" w:hAnsi="Arial" w:cs="Arial"/>
          <w:kern w:val="2"/>
          <w:sz w:val="21"/>
          <w:szCs w:val="21"/>
        </w:rPr>
        <w:t>（三）</w:t>
      </w:r>
      <w:r>
        <w:rPr>
          <w:rFonts w:ascii="Arial" w:hAnsi="Arial" w:cs="Arial" w:hint="eastAsia"/>
          <w:kern w:val="2"/>
          <w:sz w:val="21"/>
          <w:szCs w:val="21"/>
        </w:rPr>
        <w:t>评估专业人员已于</w:t>
      </w:r>
      <w:r w:rsidR="00094507">
        <w:rPr>
          <w:rFonts w:ascii="Arial" w:hAnsi="Arial" w:cs="Arial" w:hint="eastAsia"/>
          <w:kern w:val="2"/>
          <w:sz w:val="21"/>
          <w:szCs w:val="21"/>
        </w:rPr>
        <w:t>2025</w:t>
      </w:r>
      <w:r w:rsidR="00094507">
        <w:rPr>
          <w:rFonts w:ascii="Arial" w:hAnsi="Arial" w:cs="Arial" w:hint="eastAsia"/>
          <w:kern w:val="2"/>
          <w:sz w:val="21"/>
          <w:szCs w:val="21"/>
        </w:rPr>
        <w:t>年</w:t>
      </w:r>
      <w:r w:rsidR="00094507">
        <w:rPr>
          <w:rFonts w:ascii="Arial" w:hAnsi="Arial" w:cs="Arial" w:hint="eastAsia"/>
          <w:kern w:val="2"/>
          <w:sz w:val="21"/>
          <w:szCs w:val="21"/>
        </w:rPr>
        <w:t>11</w:t>
      </w:r>
      <w:r w:rsidR="00094507">
        <w:rPr>
          <w:rFonts w:ascii="Arial" w:hAnsi="Arial" w:cs="Arial" w:hint="eastAsia"/>
          <w:kern w:val="2"/>
          <w:sz w:val="21"/>
          <w:szCs w:val="21"/>
        </w:rPr>
        <w:t>月</w:t>
      </w:r>
      <w:r w:rsidR="00094507">
        <w:rPr>
          <w:rFonts w:ascii="Arial" w:hAnsi="Arial" w:cs="Arial" w:hint="eastAsia"/>
          <w:kern w:val="2"/>
          <w:sz w:val="21"/>
          <w:szCs w:val="21"/>
        </w:rPr>
        <w:t>1</w:t>
      </w:r>
      <w:r w:rsidR="00094507">
        <w:rPr>
          <w:rFonts w:ascii="Arial" w:hAnsi="Arial" w:cs="Arial" w:hint="eastAsia"/>
          <w:kern w:val="2"/>
          <w:sz w:val="21"/>
          <w:szCs w:val="21"/>
        </w:rPr>
        <w:t>日</w:t>
      </w:r>
      <w:r>
        <w:rPr>
          <w:rFonts w:ascii="Arial" w:hAnsi="Arial" w:cs="Arial" w:hint="eastAsia"/>
          <w:kern w:val="2"/>
          <w:sz w:val="21"/>
          <w:szCs w:val="21"/>
        </w:rPr>
        <w:t>对估价对象进行了实地查勘。我们</w:t>
      </w:r>
      <w:r>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7360D2CD" w14:textId="77777777" w:rsidR="00AF6F34" w:rsidRDefault="00AF6F34">
      <w:pPr>
        <w:spacing w:line="480" w:lineRule="auto"/>
        <w:jc w:val="both"/>
        <w:sectPr w:rsidR="00AF6F34" w:rsidSect="00B943B0">
          <w:headerReference w:type="even" r:id="rId24"/>
          <w:headerReference w:type="default" r:id="rId25"/>
          <w:footerReference w:type="even" r:id="rId26"/>
          <w:footerReference w:type="default" r:id="rId27"/>
          <w:headerReference w:type="first" r:id="rId28"/>
          <w:footerReference w:type="first" r:id="rId29"/>
          <w:pgSz w:w="11906" w:h="16838"/>
          <w:pgMar w:top="1843" w:right="1134" w:bottom="1134" w:left="1474" w:header="1134" w:footer="907" w:gutter="0"/>
          <w:cols w:space="720"/>
          <w:docGrid w:linePitch="326"/>
        </w:sectPr>
      </w:pPr>
      <w:r>
        <w:rPr>
          <w:rFonts w:ascii="Arial" w:hAnsi="Arial" w:cs="Arial"/>
          <w:kern w:val="2"/>
          <w:sz w:val="21"/>
          <w:szCs w:val="21"/>
        </w:rPr>
        <w:t>（四）注册房地产估价师依照中华人民共和国国家标准《房地产估价规范》</w:t>
      </w:r>
      <w:r>
        <w:rPr>
          <w:rFonts w:ascii="Arial" w:hAnsi="Arial" w:cs="Arial"/>
          <w:kern w:val="2"/>
          <w:sz w:val="21"/>
          <w:szCs w:val="21"/>
        </w:rPr>
        <w:t>[GB/T</w:t>
      </w:r>
      <w:r>
        <w:rPr>
          <w:rFonts w:ascii="Arial" w:hAnsi="Arial" w:cs="Arial" w:hint="eastAsia"/>
          <w:kern w:val="2"/>
          <w:sz w:val="21"/>
          <w:szCs w:val="21"/>
        </w:rPr>
        <w:t xml:space="preserve"> </w:t>
      </w:r>
      <w:r>
        <w:rPr>
          <w:rFonts w:ascii="Arial" w:hAnsi="Arial" w:cs="Arial"/>
          <w:kern w:val="2"/>
          <w:sz w:val="21"/>
          <w:szCs w:val="21"/>
        </w:rPr>
        <w:t>50291-2015]</w:t>
      </w:r>
      <w:r>
        <w:rPr>
          <w:rFonts w:ascii="Arial" w:hAnsi="Arial" w:cs="Arial" w:hint="eastAsia"/>
          <w:kern w:val="2"/>
          <w:sz w:val="21"/>
          <w:szCs w:val="21"/>
        </w:rPr>
        <w:t>、《</w:t>
      </w:r>
      <w:r>
        <w:rPr>
          <w:rFonts w:ascii="Arial" w:hAnsi="Arial" w:cs="Arial"/>
          <w:kern w:val="2"/>
          <w:sz w:val="21"/>
          <w:szCs w:val="21"/>
        </w:rPr>
        <w:t>房地产估价基本术语标</w:t>
      </w:r>
      <w:r>
        <w:rPr>
          <w:rFonts w:ascii="Arial" w:hAnsi="Arial" w:cs="Arial" w:hint="eastAsia"/>
          <w:kern w:val="2"/>
          <w:sz w:val="21"/>
          <w:szCs w:val="21"/>
        </w:rPr>
        <w:t>准》</w:t>
      </w:r>
      <w:r>
        <w:rPr>
          <w:rFonts w:ascii="Arial" w:hAnsi="Arial" w:cs="Arial"/>
          <w:kern w:val="2"/>
          <w:sz w:val="21"/>
          <w:szCs w:val="21"/>
        </w:rPr>
        <w:t>[GB/T</w:t>
      </w:r>
      <w:r>
        <w:rPr>
          <w:rFonts w:ascii="Arial" w:hAnsi="Arial" w:cs="Arial" w:hint="eastAsia"/>
          <w:kern w:val="2"/>
          <w:sz w:val="21"/>
          <w:szCs w:val="21"/>
        </w:rPr>
        <w:t xml:space="preserve"> </w:t>
      </w:r>
      <w:r>
        <w:rPr>
          <w:rFonts w:ascii="Arial" w:hAnsi="Arial" w:cs="Arial"/>
          <w:kern w:val="2"/>
          <w:sz w:val="21"/>
          <w:szCs w:val="21"/>
        </w:rPr>
        <w:t>50899-2013]</w:t>
      </w:r>
      <w:r>
        <w:rPr>
          <w:rFonts w:ascii="Arial" w:hAnsi="Arial" w:cs="Arial"/>
          <w:kern w:val="2"/>
          <w:sz w:val="21"/>
          <w:szCs w:val="21"/>
        </w:rPr>
        <w:t>以及相关房地产估价专项标准，撰写本估价报告。</w:t>
      </w:r>
    </w:p>
    <w:p w14:paraId="6483FC9B" w14:textId="77777777" w:rsidR="00AF6F34" w:rsidRDefault="00AF6F34">
      <w:pPr>
        <w:pStyle w:val="1"/>
        <w:spacing w:line="480" w:lineRule="auto"/>
        <w:jc w:val="center"/>
      </w:pPr>
      <w:bookmarkStart w:id="4" w:name="_Toc161661003"/>
      <w:r>
        <w:rPr>
          <w:rFonts w:eastAsia="方正黑体简体" w:hint="eastAsia"/>
          <w:b w:val="0"/>
          <w:kern w:val="2"/>
          <w:sz w:val="32"/>
          <w:szCs w:val="32"/>
        </w:rPr>
        <w:lastRenderedPageBreak/>
        <w:t>估价假设和限制条件</w:t>
      </w:r>
      <w:bookmarkEnd w:id="4"/>
    </w:p>
    <w:p w14:paraId="367EA325" w14:textId="77777777" w:rsidR="00AF6F34" w:rsidRDefault="00AF6F34">
      <w:pPr>
        <w:spacing w:line="480" w:lineRule="auto"/>
        <w:jc w:val="both"/>
      </w:pPr>
      <w:r>
        <w:rPr>
          <w:rFonts w:ascii="Arial" w:hAnsi="Arial" w:cs="Arial"/>
          <w:b/>
          <w:kern w:val="2"/>
          <w:sz w:val="21"/>
          <w:szCs w:val="21"/>
        </w:rPr>
        <w:t>（一）</w:t>
      </w:r>
      <w:r>
        <w:rPr>
          <w:rFonts w:ascii="Arial" w:hAnsi="Arial" w:cs="Arial" w:hint="eastAsia"/>
          <w:b/>
          <w:kern w:val="2"/>
          <w:sz w:val="21"/>
          <w:szCs w:val="21"/>
        </w:rPr>
        <w:t>本次估价的一般假设</w:t>
      </w:r>
    </w:p>
    <w:p w14:paraId="33459E4E" w14:textId="77777777" w:rsidR="00AF6F34" w:rsidRDefault="00AF6F34">
      <w:pPr>
        <w:spacing w:line="480" w:lineRule="auto"/>
        <w:ind w:firstLine="420"/>
        <w:jc w:val="both"/>
      </w:pPr>
      <w:r>
        <w:rPr>
          <w:rFonts w:ascii="Arial" w:hAnsi="Arial" w:cs="Arial"/>
          <w:kern w:val="2"/>
          <w:sz w:val="21"/>
          <w:szCs w:val="21"/>
        </w:rPr>
        <w:t>1.</w:t>
      </w:r>
      <w:r>
        <w:rPr>
          <w:rFonts w:ascii="Arial" w:hAnsi="Arial" w:cs="Arial"/>
          <w:kern w:val="2"/>
          <w:sz w:val="21"/>
          <w:szCs w:val="21"/>
        </w:rPr>
        <w:t>在</w:t>
      </w:r>
      <w:r>
        <w:rPr>
          <w:rFonts w:ascii="Arial" w:hAnsi="Arial" w:cs="Arial" w:hint="eastAsia"/>
          <w:kern w:val="2"/>
          <w:sz w:val="21"/>
          <w:szCs w:val="21"/>
        </w:rPr>
        <w:t>估价时段</w:t>
      </w:r>
      <w:r>
        <w:rPr>
          <w:rFonts w:ascii="Arial" w:hAnsi="Arial" w:cs="Arial"/>
          <w:kern w:val="2"/>
          <w:sz w:val="21"/>
          <w:szCs w:val="21"/>
        </w:rPr>
        <w:t>的房地产</w:t>
      </w:r>
      <w:r>
        <w:rPr>
          <w:rFonts w:ascii="Arial" w:hAnsi="Arial" w:cs="Arial" w:hint="eastAsia"/>
          <w:kern w:val="2"/>
          <w:sz w:val="21"/>
          <w:szCs w:val="21"/>
        </w:rPr>
        <w:t>租赁</w:t>
      </w:r>
      <w:r>
        <w:rPr>
          <w:rFonts w:ascii="Arial" w:hAnsi="Arial" w:cs="Arial"/>
          <w:kern w:val="2"/>
          <w:sz w:val="21"/>
          <w:szCs w:val="21"/>
        </w:rPr>
        <w:t>市场为公开、平等、自愿的交易市场。</w:t>
      </w:r>
    </w:p>
    <w:p w14:paraId="10D6E457" w14:textId="77777777" w:rsidR="00AF6F34" w:rsidRDefault="00AF6F34">
      <w:pPr>
        <w:spacing w:line="480" w:lineRule="auto"/>
        <w:ind w:firstLine="420"/>
        <w:jc w:val="both"/>
      </w:pPr>
      <w:r>
        <w:rPr>
          <w:rFonts w:ascii="Arial" w:hAnsi="Arial" w:cs="Arial" w:hint="eastAsia"/>
          <w:kern w:val="2"/>
          <w:sz w:val="21"/>
          <w:szCs w:val="21"/>
        </w:rPr>
        <w:t>2.</w:t>
      </w:r>
      <w:r>
        <w:rPr>
          <w:rFonts w:ascii="Arial" w:hAnsi="Arial" w:cs="Arial" w:hint="eastAsia"/>
          <w:kern w:val="2"/>
          <w:sz w:val="21"/>
          <w:szCs w:val="21"/>
        </w:rPr>
        <w:t>以估价对象符合规划设计条件，能够按规划住宅用途持续使用，对外出租为假设前提。</w:t>
      </w:r>
    </w:p>
    <w:p w14:paraId="1F029475" w14:textId="77777777" w:rsidR="00AF6F34" w:rsidRDefault="00AF6F34">
      <w:pPr>
        <w:spacing w:line="480" w:lineRule="auto"/>
        <w:ind w:firstLine="420"/>
        <w:jc w:val="both"/>
      </w:pPr>
      <w:r>
        <w:rPr>
          <w:rFonts w:ascii="Arial" w:hAnsi="Arial" w:cs="Arial" w:hint="eastAsia"/>
          <w:kern w:val="2"/>
          <w:sz w:val="21"/>
          <w:szCs w:val="21"/>
        </w:rPr>
        <w:t>3</w:t>
      </w:r>
      <w:r>
        <w:rPr>
          <w:rFonts w:ascii="Arial" w:hAnsi="Arial" w:cs="Arial"/>
          <w:kern w:val="2"/>
          <w:sz w:val="21"/>
          <w:szCs w:val="21"/>
        </w:rPr>
        <w:t>.</w:t>
      </w:r>
      <w:r>
        <w:rPr>
          <w:rFonts w:ascii="Arial" w:hAnsi="Arial" w:cs="Arial"/>
          <w:color w:val="000000"/>
          <w:kern w:val="2"/>
          <w:sz w:val="21"/>
          <w:szCs w:val="21"/>
        </w:rPr>
        <w:t>评估专业人员</w:t>
      </w:r>
      <w:r>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4105FE7B" w14:textId="0A073C9B" w:rsidR="00AF6F34" w:rsidRDefault="00AF6F34">
      <w:pPr>
        <w:spacing w:line="480" w:lineRule="auto"/>
        <w:ind w:firstLine="420"/>
        <w:jc w:val="both"/>
      </w:pPr>
      <w:r>
        <w:rPr>
          <w:rFonts w:ascii="Arial" w:hAnsi="Arial" w:cs="Arial" w:hint="eastAsia"/>
          <w:kern w:val="2"/>
          <w:sz w:val="21"/>
          <w:szCs w:val="21"/>
        </w:rPr>
        <w:t xml:space="preserve">4. </w:t>
      </w:r>
      <w:r>
        <w:rPr>
          <w:rFonts w:ascii="Arial" w:hAnsi="Arial" w:cs="Arial" w:hint="eastAsia"/>
          <w:kern w:val="2"/>
          <w:sz w:val="21"/>
          <w:szCs w:val="21"/>
        </w:rPr>
        <w:t>本次估价结果是在满足全部假设与限制条件下，于价值时点</w:t>
      </w:r>
      <w:r w:rsidR="00094507">
        <w:rPr>
          <w:rFonts w:ascii="Arial" w:hAnsi="Arial" w:cs="Arial" w:hint="eastAsia"/>
          <w:kern w:val="2"/>
          <w:sz w:val="21"/>
          <w:szCs w:val="21"/>
        </w:rPr>
        <w:t>2025</w:t>
      </w:r>
      <w:r w:rsidR="00094507">
        <w:rPr>
          <w:rFonts w:ascii="Arial" w:hAnsi="Arial" w:cs="Arial" w:hint="eastAsia"/>
          <w:kern w:val="2"/>
          <w:sz w:val="21"/>
          <w:szCs w:val="21"/>
        </w:rPr>
        <w:t>年</w:t>
      </w:r>
      <w:r w:rsidR="00094507">
        <w:rPr>
          <w:rFonts w:ascii="Arial" w:hAnsi="Arial" w:cs="Arial" w:hint="eastAsia"/>
          <w:kern w:val="2"/>
          <w:sz w:val="21"/>
          <w:szCs w:val="21"/>
        </w:rPr>
        <w:t>11</w:t>
      </w:r>
      <w:r w:rsidR="00094507">
        <w:rPr>
          <w:rFonts w:ascii="Arial" w:hAnsi="Arial" w:cs="Arial" w:hint="eastAsia"/>
          <w:kern w:val="2"/>
          <w:sz w:val="21"/>
          <w:szCs w:val="21"/>
        </w:rPr>
        <w:t>月</w:t>
      </w:r>
      <w:r w:rsidR="00094507">
        <w:rPr>
          <w:rFonts w:ascii="Arial" w:hAnsi="Arial" w:cs="Arial" w:hint="eastAsia"/>
          <w:kern w:val="2"/>
          <w:sz w:val="21"/>
          <w:szCs w:val="21"/>
        </w:rPr>
        <w:t>1</w:t>
      </w:r>
      <w:r w:rsidR="00094507">
        <w:rPr>
          <w:rFonts w:ascii="Arial" w:hAnsi="Arial" w:cs="Arial" w:hint="eastAsia"/>
          <w:kern w:val="2"/>
          <w:sz w:val="21"/>
          <w:szCs w:val="21"/>
        </w:rPr>
        <w:t>日</w:t>
      </w:r>
      <w:r>
        <w:rPr>
          <w:rFonts w:ascii="Arial" w:hAnsi="Arial" w:cs="Arial" w:hint="eastAsia"/>
          <w:kern w:val="2"/>
          <w:sz w:val="21"/>
          <w:szCs w:val="21"/>
        </w:rPr>
        <w:t>前一年内（</w:t>
      </w:r>
      <w:r w:rsidR="00D517EB">
        <w:rPr>
          <w:rFonts w:ascii="Arial" w:hAnsi="Arial" w:cs="Arial" w:hint="eastAsia"/>
          <w:kern w:val="2"/>
          <w:sz w:val="21"/>
          <w:szCs w:val="21"/>
        </w:rPr>
        <w:t>2024</w:t>
      </w:r>
      <w:r w:rsidR="00D517EB">
        <w:rPr>
          <w:rFonts w:ascii="Arial" w:hAnsi="Arial" w:cs="Arial" w:hint="eastAsia"/>
          <w:kern w:val="2"/>
          <w:sz w:val="21"/>
          <w:szCs w:val="21"/>
        </w:rPr>
        <w:t>年</w:t>
      </w:r>
      <w:r w:rsidR="00D517EB">
        <w:rPr>
          <w:rFonts w:ascii="Arial" w:hAnsi="Arial" w:cs="Arial" w:hint="eastAsia"/>
          <w:kern w:val="2"/>
          <w:sz w:val="21"/>
          <w:szCs w:val="21"/>
        </w:rPr>
        <w:t>11</w:t>
      </w:r>
      <w:r w:rsidR="00D517EB">
        <w:rPr>
          <w:rFonts w:ascii="Arial" w:hAnsi="Arial" w:cs="Arial" w:hint="eastAsia"/>
          <w:kern w:val="2"/>
          <w:sz w:val="21"/>
          <w:szCs w:val="21"/>
        </w:rPr>
        <w:t>月</w:t>
      </w:r>
      <w:r w:rsidR="00D517EB">
        <w:rPr>
          <w:rFonts w:ascii="Arial" w:hAnsi="Arial" w:cs="Arial" w:hint="eastAsia"/>
          <w:kern w:val="2"/>
          <w:sz w:val="21"/>
          <w:szCs w:val="21"/>
        </w:rPr>
        <w:t>1</w:t>
      </w:r>
      <w:r w:rsidR="00D517EB">
        <w:rPr>
          <w:rFonts w:ascii="Arial" w:hAnsi="Arial" w:cs="Arial" w:hint="eastAsia"/>
          <w:kern w:val="2"/>
          <w:sz w:val="21"/>
          <w:szCs w:val="21"/>
        </w:rPr>
        <w:t>日至</w:t>
      </w:r>
      <w:r w:rsidR="00D517EB">
        <w:rPr>
          <w:rFonts w:ascii="Arial" w:hAnsi="Arial" w:cs="Arial" w:hint="eastAsia"/>
          <w:kern w:val="2"/>
          <w:sz w:val="21"/>
          <w:szCs w:val="21"/>
        </w:rPr>
        <w:t>2025</w:t>
      </w:r>
      <w:r w:rsidR="00D517EB">
        <w:rPr>
          <w:rFonts w:ascii="Arial" w:hAnsi="Arial" w:cs="Arial" w:hint="eastAsia"/>
          <w:kern w:val="2"/>
          <w:sz w:val="21"/>
          <w:szCs w:val="21"/>
        </w:rPr>
        <w:t>年</w:t>
      </w:r>
      <w:r w:rsidR="00D517EB">
        <w:rPr>
          <w:rFonts w:ascii="Arial" w:hAnsi="Arial" w:cs="Arial" w:hint="eastAsia"/>
          <w:kern w:val="2"/>
          <w:sz w:val="21"/>
          <w:szCs w:val="21"/>
        </w:rPr>
        <w:t>10</w:t>
      </w:r>
      <w:r w:rsidR="00D517EB">
        <w:rPr>
          <w:rFonts w:ascii="Arial" w:hAnsi="Arial" w:cs="Arial" w:hint="eastAsia"/>
          <w:kern w:val="2"/>
          <w:sz w:val="21"/>
          <w:szCs w:val="21"/>
        </w:rPr>
        <w:t>月</w:t>
      </w:r>
      <w:r w:rsidR="00D517EB">
        <w:rPr>
          <w:rFonts w:ascii="Arial" w:hAnsi="Arial" w:cs="Arial" w:hint="eastAsia"/>
          <w:kern w:val="2"/>
          <w:sz w:val="21"/>
          <w:szCs w:val="21"/>
        </w:rPr>
        <w:t>31</w:t>
      </w:r>
      <w:r w:rsidR="00D517EB">
        <w:rPr>
          <w:rFonts w:ascii="Arial" w:hAnsi="Arial" w:cs="Arial" w:hint="eastAsia"/>
          <w:kern w:val="2"/>
          <w:sz w:val="21"/>
          <w:szCs w:val="21"/>
        </w:rPr>
        <w:t>日</w:t>
      </w:r>
      <w:r>
        <w:rPr>
          <w:rFonts w:ascii="Arial" w:hAnsi="Arial" w:cs="Arial" w:hint="eastAsia"/>
          <w:kern w:val="2"/>
          <w:sz w:val="21"/>
          <w:szCs w:val="21"/>
        </w:rPr>
        <w:t>）估价对象所在区域同类型商品住房的市场平均租金价格水平，估价结果包括地租、房屋折旧、设备折旧、维修费、保险费、物业费、供暖费、管理费、利息、利润、家具、家电租赁费及租赁税费等；不含水电费、天然气费、通信费、有线电视费、上网宽带费等。</w:t>
      </w:r>
    </w:p>
    <w:p w14:paraId="1E009472" w14:textId="77777777" w:rsidR="00AF6F34" w:rsidRDefault="00AF6F34">
      <w:pPr>
        <w:spacing w:line="480" w:lineRule="auto"/>
        <w:ind w:firstLine="420"/>
        <w:jc w:val="both"/>
      </w:pPr>
      <w:r>
        <w:rPr>
          <w:rFonts w:ascii="Arial" w:hAnsi="Arial" w:cs="Arial" w:hint="eastAsia"/>
          <w:kern w:val="2"/>
          <w:sz w:val="21"/>
          <w:szCs w:val="21"/>
        </w:rPr>
        <w:t>5.</w:t>
      </w:r>
      <w:r>
        <w:rPr>
          <w:rFonts w:ascii="Arial" w:hAnsi="Arial" w:cs="Arial"/>
          <w:kern w:val="2"/>
          <w:sz w:val="21"/>
          <w:szCs w:val="21"/>
        </w:rPr>
        <w:t>估价对象</w:t>
      </w:r>
      <w:r>
        <w:rPr>
          <w:rFonts w:ascii="Arial" w:hAnsi="Arial" w:cs="Arial" w:hint="eastAsia"/>
          <w:kern w:val="2"/>
          <w:sz w:val="21"/>
          <w:szCs w:val="21"/>
        </w:rPr>
        <w:t>户型、建筑面积、套数等情况均以估价委托人提供的《估价委托书》、</w:t>
      </w:r>
      <w:r w:rsidR="00B01A7B">
        <w:rPr>
          <w:rFonts w:ascii="Arial" w:hAnsi="Arial" w:cs="Arial" w:hint="eastAsia"/>
          <w:sz w:val="21"/>
          <w:szCs w:val="21"/>
        </w:rPr>
        <w:t>《房屋所有权证》</w:t>
      </w:r>
      <w:r w:rsidR="00B01A7B">
        <w:rPr>
          <w:rFonts w:ascii="Arial" w:hAnsi="Arial" w:cs="Arial" w:hint="eastAsia"/>
          <w:sz w:val="21"/>
          <w:szCs w:val="21"/>
        </w:rPr>
        <w:t>[X</w:t>
      </w:r>
      <w:r w:rsidR="00B01A7B">
        <w:rPr>
          <w:rFonts w:ascii="Arial" w:hAnsi="Arial" w:cs="Arial" w:hint="eastAsia"/>
          <w:sz w:val="21"/>
          <w:szCs w:val="21"/>
        </w:rPr>
        <w:t>京房权证开字第</w:t>
      </w:r>
      <w:r w:rsidR="00B01A7B">
        <w:rPr>
          <w:rFonts w:ascii="Arial" w:hAnsi="Arial" w:cs="Arial" w:hint="eastAsia"/>
          <w:sz w:val="21"/>
          <w:szCs w:val="21"/>
        </w:rPr>
        <w:t>034346</w:t>
      </w:r>
      <w:r w:rsidR="00B01A7B">
        <w:rPr>
          <w:rFonts w:ascii="Arial" w:hAnsi="Arial" w:cs="Arial" w:hint="eastAsia"/>
          <w:sz w:val="21"/>
          <w:szCs w:val="21"/>
        </w:rPr>
        <w:t>、</w:t>
      </w:r>
      <w:r w:rsidR="00B01A7B">
        <w:rPr>
          <w:rFonts w:ascii="Arial" w:hAnsi="Arial" w:cs="Arial" w:hint="eastAsia"/>
          <w:sz w:val="21"/>
          <w:szCs w:val="21"/>
        </w:rPr>
        <w:t>034198</w:t>
      </w:r>
      <w:r w:rsidR="00B01A7B">
        <w:rPr>
          <w:rFonts w:ascii="Arial" w:hAnsi="Arial" w:cs="Arial" w:hint="eastAsia"/>
          <w:sz w:val="21"/>
          <w:szCs w:val="21"/>
        </w:rPr>
        <w:t>、</w:t>
      </w:r>
      <w:r w:rsidR="00B01A7B">
        <w:rPr>
          <w:rFonts w:ascii="Arial" w:hAnsi="Arial" w:cs="Arial" w:hint="eastAsia"/>
          <w:sz w:val="21"/>
          <w:szCs w:val="21"/>
        </w:rPr>
        <w:t>034354</w:t>
      </w:r>
      <w:r w:rsidR="00B01A7B">
        <w:rPr>
          <w:rFonts w:ascii="Arial" w:hAnsi="Arial" w:cs="Arial" w:hint="eastAsia"/>
          <w:sz w:val="21"/>
          <w:szCs w:val="21"/>
        </w:rPr>
        <w:t>、</w:t>
      </w:r>
      <w:r w:rsidR="00B01A7B">
        <w:rPr>
          <w:rFonts w:ascii="Arial" w:hAnsi="Arial" w:cs="Arial" w:hint="eastAsia"/>
          <w:sz w:val="21"/>
          <w:szCs w:val="21"/>
        </w:rPr>
        <w:t>034348</w:t>
      </w:r>
      <w:r w:rsidR="00B01A7B">
        <w:rPr>
          <w:rFonts w:ascii="Arial" w:hAnsi="Arial" w:cs="Arial" w:hint="eastAsia"/>
          <w:sz w:val="21"/>
          <w:szCs w:val="21"/>
        </w:rPr>
        <w:t>、</w:t>
      </w:r>
      <w:r w:rsidR="00B01A7B">
        <w:rPr>
          <w:rFonts w:ascii="Arial" w:hAnsi="Arial" w:cs="Arial" w:hint="eastAsia"/>
          <w:sz w:val="21"/>
          <w:szCs w:val="21"/>
        </w:rPr>
        <w:t>034199</w:t>
      </w:r>
      <w:r w:rsidR="00B01A7B">
        <w:rPr>
          <w:rFonts w:ascii="Arial" w:hAnsi="Arial" w:cs="Arial" w:hint="eastAsia"/>
          <w:sz w:val="21"/>
          <w:szCs w:val="21"/>
        </w:rPr>
        <w:t>、</w:t>
      </w:r>
      <w:r w:rsidR="00B01A7B">
        <w:rPr>
          <w:rFonts w:ascii="Arial" w:hAnsi="Arial" w:cs="Arial" w:hint="eastAsia"/>
          <w:sz w:val="21"/>
          <w:szCs w:val="21"/>
        </w:rPr>
        <w:t>034680</w:t>
      </w:r>
      <w:r w:rsidR="00B01A7B">
        <w:rPr>
          <w:rFonts w:ascii="Arial" w:hAnsi="Arial" w:cs="Arial" w:hint="eastAsia"/>
          <w:sz w:val="21"/>
          <w:szCs w:val="21"/>
        </w:rPr>
        <w:t>、</w:t>
      </w:r>
      <w:r w:rsidR="00B01A7B">
        <w:rPr>
          <w:rFonts w:ascii="Arial" w:hAnsi="Arial" w:cs="Arial" w:hint="eastAsia"/>
          <w:sz w:val="21"/>
          <w:szCs w:val="21"/>
        </w:rPr>
        <w:t>034671</w:t>
      </w:r>
      <w:r w:rsidR="00B01A7B">
        <w:rPr>
          <w:rFonts w:ascii="Arial" w:hAnsi="Arial" w:cs="Arial" w:hint="eastAsia"/>
          <w:sz w:val="21"/>
          <w:szCs w:val="21"/>
        </w:rPr>
        <w:t>号</w:t>
      </w:r>
      <w:r w:rsidR="00B01A7B">
        <w:rPr>
          <w:rFonts w:ascii="Arial" w:hAnsi="Arial" w:cs="Arial" w:hint="eastAsia"/>
          <w:sz w:val="21"/>
          <w:szCs w:val="21"/>
        </w:rPr>
        <w:t>]</w:t>
      </w:r>
      <w:r w:rsidR="00B01A7B">
        <w:rPr>
          <w:rFonts w:ascii="Arial" w:hAnsi="Arial" w:cs="Arial" w:hint="eastAsia"/>
          <w:sz w:val="21"/>
          <w:szCs w:val="21"/>
        </w:rPr>
        <w:t>复印件</w:t>
      </w:r>
      <w:r>
        <w:rPr>
          <w:rFonts w:ascii="Arial" w:hAnsi="Arial" w:cs="Arial" w:hint="eastAsia"/>
          <w:kern w:val="2"/>
          <w:sz w:val="21"/>
          <w:szCs w:val="21"/>
        </w:rPr>
        <w:t>、《南海家园房源表》</w:t>
      </w:r>
      <w:r>
        <w:rPr>
          <w:rFonts w:ascii="Arial" w:hAnsi="Arial" w:cs="Arial"/>
          <w:kern w:val="2"/>
          <w:sz w:val="21"/>
          <w:szCs w:val="21"/>
        </w:rPr>
        <w:t>为</w:t>
      </w:r>
      <w:r>
        <w:rPr>
          <w:rFonts w:ascii="Arial" w:hAnsi="Arial" w:cs="Arial"/>
          <w:sz w:val="21"/>
          <w:szCs w:val="21"/>
        </w:rPr>
        <w:t>依据。</w:t>
      </w:r>
    </w:p>
    <w:p w14:paraId="174B9223" w14:textId="2E5E0640" w:rsidR="00AF6F34" w:rsidRDefault="00AF6F34">
      <w:pPr>
        <w:spacing w:line="480" w:lineRule="auto"/>
        <w:ind w:firstLine="420"/>
        <w:jc w:val="both"/>
      </w:pPr>
      <w:r>
        <w:rPr>
          <w:rFonts w:ascii="Arial" w:hAnsi="Arial" w:cs="Arial" w:hint="eastAsia"/>
          <w:sz w:val="21"/>
          <w:szCs w:val="21"/>
        </w:rPr>
        <w:t>6</w:t>
      </w:r>
      <w:r>
        <w:rPr>
          <w:rFonts w:ascii="Arial" w:hAnsi="Arial" w:cs="Arial"/>
          <w:sz w:val="21"/>
          <w:szCs w:val="21"/>
        </w:rPr>
        <w:t>.</w:t>
      </w:r>
      <w:r>
        <w:rPr>
          <w:rFonts w:ascii="Arial" w:hAnsi="Arial" w:cs="Arial" w:hint="eastAsia"/>
          <w:kern w:val="2"/>
          <w:sz w:val="21"/>
          <w:szCs w:val="21"/>
        </w:rPr>
        <w:t>由于估价对象部分尚未完成软装部分，评估专业人员未能进入全部房屋内部进行勘察</w:t>
      </w:r>
      <w:r w:rsidR="00EA7F82">
        <w:rPr>
          <w:rFonts w:ascii="Arial" w:hAnsi="Arial" w:cs="Arial" w:hint="eastAsia"/>
          <w:kern w:val="2"/>
          <w:sz w:val="21"/>
          <w:szCs w:val="21"/>
        </w:rPr>
        <w:t>，</w:t>
      </w:r>
      <w:r>
        <w:rPr>
          <w:rFonts w:ascii="Arial" w:hAnsi="Arial" w:cs="Arial"/>
          <w:color w:val="000000"/>
          <w:kern w:val="2"/>
          <w:sz w:val="21"/>
          <w:szCs w:val="21"/>
        </w:rPr>
        <w:t>评估专业人员</w:t>
      </w:r>
      <w:r>
        <w:rPr>
          <w:rFonts w:ascii="Arial" w:hAnsi="Arial" w:cs="Arial" w:hint="eastAsia"/>
          <w:kern w:val="2"/>
          <w:sz w:val="21"/>
          <w:szCs w:val="21"/>
        </w:rPr>
        <w:t>仅</w:t>
      </w:r>
      <w:r>
        <w:rPr>
          <w:rFonts w:ascii="Arial" w:hAnsi="Arial" w:cs="Arial"/>
          <w:color w:val="000000"/>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49320F72" w14:textId="77777777" w:rsidR="00AF6F34" w:rsidRDefault="00AF6F34">
      <w:pPr>
        <w:spacing w:line="480" w:lineRule="auto"/>
        <w:ind w:firstLine="420"/>
        <w:jc w:val="both"/>
      </w:pPr>
      <w:r>
        <w:rPr>
          <w:rFonts w:ascii="Arial" w:hAnsi="Arial" w:cs="Arial" w:hint="eastAsia"/>
          <w:kern w:val="2"/>
          <w:sz w:val="21"/>
          <w:szCs w:val="21"/>
        </w:rPr>
        <w:t>7</w:t>
      </w:r>
      <w:r>
        <w:rPr>
          <w:rFonts w:ascii="Arial" w:hAnsi="Arial" w:cs="Arial"/>
          <w:kern w:val="2"/>
          <w:sz w:val="21"/>
          <w:szCs w:val="21"/>
        </w:rPr>
        <w:t>.</w:t>
      </w:r>
      <w:r>
        <w:rPr>
          <w:rFonts w:ascii="Arial" w:hAnsi="Arial" w:cs="Arial"/>
          <w:kern w:val="2"/>
          <w:sz w:val="21"/>
          <w:szCs w:val="21"/>
        </w:rPr>
        <w:t>任何有关估价对象的运作方式、程序符合国家、地方的有关法律、法规。</w:t>
      </w:r>
    </w:p>
    <w:p w14:paraId="2087743D" w14:textId="77777777" w:rsidR="00AF6F34" w:rsidRDefault="00AF6F34">
      <w:pPr>
        <w:spacing w:line="480" w:lineRule="auto"/>
        <w:ind w:firstLine="420"/>
        <w:jc w:val="both"/>
      </w:pPr>
      <w:r>
        <w:rPr>
          <w:rFonts w:ascii="Arial" w:hAnsi="Arial" w:cs="Arial" w:hint="eastAsia"/>
          <w:kern w:val="2"/>
          <w:sz w:val="21"/>
          <w:szCs w:val="21"/>
        </w:rPr>
        <w:t>8</w:t>
      </w:r>
      <w:r>
        <w:rPr>
          <w:rFonts w:ascii="Arial" w:hAnsi="Arial" w:cs="Arial"/>
          <w:kern w:val="2"/>
          <w:sz w:val="21"/>
          <w:szCs w:val="21"/>
        </w:rPr>
        <w:t>.</w:t>
      </w:r>
      <w:r>
        <w:rPr>
          <w:rFonts w:ascii="Arial" w:hAnsi="Arial" w:cs="Arial"/>
          <w:color w:val="000000"/>
          <w:kern w:val="2"/>
          <w:sz w:val="21"/>
          <w:szCs w:val="21"/>
        </w:rPr>
        <w:t>本次估价结果未考虑国家宏观政策发生重大变化以及遇有自然力和其他不可抗力对估价结果的影响。</w:t>
      </w:r>
    </w:p>
    <w:p w14:paraId="07830A40" w14:textId="77777777" w:rsidR="00AF6F34" w:rsidRDefault="00AF6F34">
      <w:pPr>
        <w:spacing w:line="480" w:lineRule="auto"/>
        <w:ind w:firstLine="420"/>
        <w:jc w:val="both"/>
      </w:pPr>
      <w:r>
        <w:rPr>
          <w:rFonts w:ascii="Arial" w:hAnsi="Arial" w:cs="Arial" w:hint="eastAsia"/>
          <w:kern w:val="2"/>
          <w:sz w:val="21"/>
          <w:szCs w:val="21"/>
        </w:rPr>
        <w:t>9.</w:t>
      </w:r>
      <w:r>
        <w:rPr>
          <w:rFonts w:ascii="Arial" w:hAnsi="Arial" w:cs="Arial"/>
          <w:kern w:val="2"/>
          <w:sz w:val="21"/>
          <w:szCs w:val="21"/>
        </w:rPr>
        <w:t>估价结果未考虑估价对象及其运营企业已承担的债务、或有债务及经营决策失误或市场运作失当对其</w:t>
      </w:r>
      <w:r>
        <w:rPr>
          <w:rFonts w:ascii="Arial" w:hAnsi="Arial" w:cs="Arial" w:hint="eastAsia"/>
          <w:kern w:val="2"/>
          <w:sz w:val="21"/>
          <w:szCs w:val="21"/>
        </w:rPr>
        <w:t>租赁价格水平</w:t>
      </w:r>
      <w:r>
        <w:rPr>
          <w:rFonts w:ascii="Arial" w:hAnsi="Arial" w:cs="Arial"/>
          <w:kern w:val="2"/>
          <w:sz w:val="21"/>
          <w:szCs w:val="21"/>
        </w:rPr>
        <w:t>的影响。</w:t>
      </w:r>
    </w:p>
    <w:p w14:paraId="492CF4AB" w14:textId="11352283" w:rsidR="00AF6F34" w:rsidRDefault="00AF6F34">
      <w:pPr>
        <w:spacing w:line="480" w:lineRule="auto"/>
        <w:ind w:firstLine="420"/>
        <w:jc w:val="both"/>
      </w:pPr>
      <w:r>
        <w:rPr>
          <w:rFonts w:ascii="Arial" w:hAnsi="Arial" w:cs="Arial" w:hint="eastAsia"/>
          <w:kern w:val="2"/>
          <w:sz w:val="21"/>
          <w:szCs w:val="21"/>
        </w:rPr>
        <w:lastRenderedPageBreak/>
        <w:t>10.</w:t>
      </w:r>
      <w:r>
        <w:rPr>
          <w:rFonts w:ascii="Arial" w:hAnsi="Arial" w:cs="Arial" w:hint="eastAsia"/>
          <w:kern w:val="2"/>
          <w:sz w:val="21"/>
          <w:szCs w:val="21"/>
        </w:rPr>
        <w:t>评估专业人员于</w:t>
      </w:r>
      <w:r w:rsidR="00094507">
        <w:rPr>
          <w:rFonts w:ascii="Arial" w:hAnsi="Arial" w:cs="Arial" w:hint="eastAsia"/>
          <w:kern w:val="2"/>
          <w:sz w:val="21"/>
          <w:szCs w:val="21"/>
        </w:rPr>
        <w:t>2025</w:t>
      </w:r>
      <w:r w:rsidR="00094507">
        <w:rPr>
          <w:rFonts w:ascii="Arial" w:hAnsi="Arial" w:cs="Arial" w:hint="eastAsia"/>
          <w:kern w:val="2"/>
          <w:sz w:val="21"/>
          <w:szCs w:val="21"/>
        </w:rPr>
        <w:t>年</w:t>
      </w:r>
      <w:r w:rsidR="00094507">
        <w:rPr>
          <w:rFonts w:ascii="Arial" w:hAnsi="Arial" w:cs="Arial" w:hint="eastAsia"/>
          <w:kern w:val="2"/>
          <w:sz w:val="21"/>
          <w:szCs w:val="21"/>
        </w:rPr>
        <w:t>11</w:t>
      </w:r>
      <w:r w:rsidR="00094507">
        <w:rPr>
          <w:rFonts w:ascii="Arial" w:hAnsi="Arial" w:cs="Arial" w:hint="eastAsia"/>
          <w:kern w:val="2"/>
          <w:sz w:val="21"/>
          <w:szCs w:val="21"/>
        </w:rPr>
        <w:t>月</w:t>
      </w:r>
      <w:r w:rsidR="00D517EB">
        <w:rPr>
          <w:rFonts w:ascii="Arial" w:hAnsi="Arial" w:cs="Arial"/>
          <w:kern w:val="2"/>
          <w:sz w:val="21"/>
          <w:szCs w:val="21"/>
        </w:rPr>
        <w:t>28</w:t>
      </w:r>
      <w:r w:rsidR="00094507">
        <w:rPr>
          <w:rFonts w:ascii="Arial" w:hAnsi="Arial" w:cs="Arial" w:hint="eastAsia"/>
          <w:kern w:val="2"/>
          <w:sz w:val="21"/>
          <w:szCs w:val="21"/>
        </w:rPr>
        <w:t>日</w:t>
      </w:r>
      <w:r>
        <w:rPr>
          <w:rFonts w:ascii="Arial" w:hAnsi="Arial" w:cs="Arial" w:hint="eastAsia"/>
          <w:kern w:val="2"/>
          <w:sz w:val="21"/>
          <w:szCs w:val="21"/>
        </w:rPr>
        <w:t>对估价对象现状利用状况进行了实地查勘。</w:t>
      </w:r>
    </w:p>
    <w:p w14:paraId="5CB31F88" w14:textId="77777777" w:rsidR="00AF6F34" w:rsidRDefault="00AF6F34">
      <w:pPr>
        <w:spacing w:line="480" w:lineRule="auto"/>
        <w:ind w:firstLine="420"/>
        <w:jc w:val="both"/>
      </w:pPr>
      <w:r>
        <w:rPr>
          <w:rFonts w:ascii="Arial" w:hAnsi="Arial" w:cs="Arial" w:hint="eastAsia"/>
          <w:kern w:val="2"/>
          <w:sz w:val="21"/>
          <w:szCs w:val="21"/>
        </w:rPr>
        <w:t>11.</w:t>
      </w:r>
      <w:r>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5ECD9552" w14:textId="77777777" w:rsidR="00AF6F34" w:rsidRDefault="00AF6F34">
      <w:pPr>
        <w:spacing w:line="480" w:lineRule="auto"/>
        <w:jc w:val="both"/>
      </w:pPr>
      <w:r>
        <w:rPr>
          <w:rFonts w:ascii="Arial" w:hAnsi="Arial" w:cs="Arial"/>
          <w:b/>
          <w:kern w:val="2"/>
          <w:sz w:val="21"/>
          <w:szCs w:val="21"/>
        </w:rPr>
        <w:t>（</w:t>
      </w:r>
      <w:r>
        <w:rPr>
          <w:rFonts w:ascii="Arial" w:hAnsi="Arial" w:cs="Arial" w:hint="eastAsia"/>
          <w:b/>
          <w:kern w:val="2"/>
          <w:sz w:val="21"/>
          <w:szCs w:val="21"/>
        </w:rPr>
        <w:t>二</w:t>
      </w:r>
      <w:r>
        <w:rPr>
          <w:rFonts w:ascii="Arial" w:hAnsi="Arial" w:cs="Arial"/>
          <w:b/>
          <w:kern w:val="2"/>
          <w:sz w:val="21"/>
          <w:szCs w:val="21"/>
        </w:rPr>
        <w:t>）</w:t>
      </w:r>
      <w:r>
        <w:rPr>
          <w:rFonts w:ascii="Arial" w:hAnsi="Arial" w:cs="Arial" w:hint="eastAsia"/>
          <w:b/>
          <w:kern w:val="2"/>
          <w:sz w:val="21"/>
          <w:szCs w:val="21"/>
        </w:rPr>
        <w:t>本次估价的未定事项假设</w:t>
      </w:r>
    </w:p>
    <w:p w14:paraId="0FE660BB" w14:textId="77777777" w:rsidR="00AF6F34" w:rsidRDefault="00AF6F34">
      <w:pPr>
        <w:spacing w:line="480" w:lineRule="auto"/>
        <w:ind w:firstLine="420"/>
        <w:jc w:val="both"/>
      </w:pPr>
      <w:r>
        <w:rPr>
          <w:rFonts w:ascii="Arial" w:hAnsi="Arial" w:cs="Arial" w:hint="eastAsia"/>
          <w:color w:val="000000"/>
          <w:sz w:val="21"/>
          <w:szCs w:val="21"/>
        </w:rPr>
        <w:t>无未定事项假设。</w:t>
      </w:r>
    </w:p>
    <w:p w14:paraId="141995AA" w14:textId="77777777" w:rsidR="00AF6F34" w:rsidRDefault="00AF6F34">
      <w:pPr>
        <w:spacing w:line="480" w:lineRule="auto"/>
        <w:jc w:val="both"/>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w:t>
      </w:r>
      <w:r>
        <w:rPr>
          <w:rFonts w:ascii="Arial" w:hAnsi="Arial" w:cs="Arial" w:hint="eastAsia"/>
          <w:b/>
          <w:kern w:val="2"/>
          <w:sz w:val="21"/>
          <w:szCs w:val="21"/>
        </w:rPr>
        <w:t>本次估价的</w:t>
      </w:r>
      <w:bookmarkStart w:id="5" w:name="_Hlk118391731"/>
      <w:r>
        <w:rPr>
          <w:rFonts w:ascii="Arial" w:hAnsi="Arial" w:cs="Arial" w:hint="eastAsia"/>
          <w:b/>
          <w:kern w:val="2"/>
          <w:sz w:val="21"/>
          <w:szCs w:val="21"/>
        </w:rPr>
        <w:t>背离事实假设</w:t>
      </w:r>
      <w:bookmarkEnd w:id="5"/>
    </w:p>
    <w:p w14:paraId="348F6949" w14:textId="77777777" w:rsidR="00AF6F34" w:rsidRDefault="00AF6F34">
      <w:pPr>
        <w:spacing w:line="480" w:lineRule="auto"/>
        <w:ind w:firstLine="420"/>
        <w:jc w:val="both"/>
      </w:pPr>
      <w:r>
        <w:rPr>
          <w:rFonts w:ascii="Arial" w:hAnsi="Arial" w:cs="Arial" w:hint="eastAsia"/>
          <w:kern w:val="2"/>
          <w:sz w:val="21"/>
          <w:szCs w:val="21"/>
        </w:rPr>
        <w:t>无背离事实假设。</w:t>
      </w:r>
    </w:p>
    <w:p w14:paraId="7CC6D6C7" w14:textId="77777777" w:rsidR="00AF6F34" w:rsidRDefault="00AF6F34">
      <w:pPr>
        <w:spacing w:line="480" w:lineRule="auto"/>
        <w:jc w:val="both"/>
      </w:pPr>
      <w:r>
        <w:rPr>
          <w:rFonts w:ascii="Arial" w:hAnsi="Arial" w:cs="Arial"/>
          <w:b/>
          <w:kern w:val="2"/>
          <w:sz w:val="21"/>
          <w:szCs w:val="21"/>
        </w:rPr>
        <w:t>（</w:t>
      </w:r>
      <w:r>
        <w:rPr>
          <w:rFonts w:ascii="Arial" w:hAnsi="Arial" w:cs="Arial" w:hint="eastAsia"/>
          <w:b/>
          <w:kern w:val="2"/>
          <w:sz w:val="21"/>
          <w:szCs w:val="21"/>
        </w:rPr>
        <w:t>四</w:t>
      </w:r>
      <w:r>
        <w:rPr>
          <w:rFonts w:ascii="Arial" w:hAnsi="Arial" w:cs="Arial"/>
          <w:b/>
          <w:kern w:val="2"/>
          <w:sz w:val="21"/>
          <w:szCs w:val="21"/>
        </w:rPr>
        <w:t>）</w:t>
      </w:r>
      <w:r>
        <w:rPr>
          <w:rFonts w:ascii="Arial" w:hAnsi="Arial" w:cs="Arial" w:hint="eastAsia"/>
          <w:b/>
          <w:kern w:val="2"/>
          <w:sz w:val="21"/>
          <w:szCs w:val="21"/>
        </w:rPr>
        <w:t>本次估价的不相一致假设</w:t>
      </w:r>
    </w:p>
    <w:p w14:paraId="732A9883" w14:textId="77777777" w:rsidR="00AF6F34" w:rsidRDefault="00AF6F34">
      <w:pPr>
        <w:spacing w:line="480" w:lineRule="auto"/>
        <w:ind w:firstLine="420"/>
        <w:jc w:val="both"/>
      </w:pPr>
      <w:r>
        <w:rPr>
          <w:rFonts w:ascii="Arial" w:hAnsi="Arial" w:cs="Arial" w:hint="eastAsia"/>
          <w:sz w:val="21"/>
          <w:szCs w:val="21"/>
        </w:rPr>
        <w:t>1</w:t>
      </w:r>
      <w:r>
        <w:rPr>
          <w:rFonts w:ascii="Arial" w:hAnsi="Arial" w:cs="Arial"/>
          <w:sz w:val="21"/>
          <w:szCs w:val="21"/>
        </w:rPr>
        <w:t>.</w:t>
      </w:r>
      <w:r w:rsidR="00B01A7B">
        <w:rPr>
          <w:rFonts w:ascii="Arial" w:hAnsi="Arial" w:cs="Arial" w:hint="eastAsia"/>
          <w:sz w:val="21"/>
          <w:szCs w:val="21"/>
        </w:rPr>
        <w:t>《房屋所有权证》</w:t>
      </w:r>
      <w:r w:rsidR="00B01A7B">
        <w:rPr>
          <w:rFonts w:ascii="Arial" w:hAnsi="Arial" w:cs="Arial" w:hint="eastAsia"/>
          <w:sz w:val="21"/>
          <w:szCs w:val="21"/>
        </w:rPr>
        <w:t>[X</w:t>
      </w:r>
      <w:r w:rsidR="00B01A7B">
        <w:rPr>
          <w:rFonts w:ascii="Arial" w:hAnsi="Arial" w:cs="Arial" w:hint="eastAsia"/>
          <w:sz w:val="21"/>
          <w:szCs w:val="21"/>
        </w:rPr>
        <w:t>京房权证开字第</w:t>
      </w:r>
      <w:r w:rsidR="00B01A7B">
        <w:rPr>
          <w:rFonts w:ascii="Arial" w:hAnsi="Arial" w:cs="Arial" w:hint="eastAsia"/>
          <w:sz w:val="21"/>
          <w:szCs w:val="21"/>
        </w:rPr>
        <w:t>034346</w:t>
      </w:r>
      <w:r w:rsidR="00B01A7B">
        <w:rPr>
          <w:rFonts w:ascii="Arial" w:hAnsi="Arial" w:cs="Arial" w:hint="eastAsia"/>
          <w:sz w:val="21"/>
          <w:szCs w:val="21"/>
        </w:rPr>
        <w:t>、</w:t>
      </w:r>
      <w:r w:rsidR="00B01A7B">
        <w:rPr>
          <w:rFonts w:ascii="Arial" w:hAnsi="Arial" w:cs="Arial" w:hint="eastAsia"/>
          <w:sz w:val="21"/>
          <w:szCs w:val="21"/>
        </w:rPr>
        <w:t>034198</w:t>
      </w:r>
      <w:r w:rsidR="00B01A7B">
        <w:rPr>
          <w:rFonts w:ascii="Arial" w:hAnsi="Arial" w:cs="Arial" w:hint="eastAsia"/>
          <w:sz w:val="21"/>
          <w:szCs w:val="21"/>
        </w:rPr>
        <w:t>、</w:t>
      </w:r>
      <w:r w:rsidR="00B01A7B">
        <w:rPr>
          <w:rFonts w:ascii="Arial" w:hAnsi="Arial" w:cs="Arial" w:hint="eastAsia"/>
          <w:sz w:val="21"/>
          <w:szCs w:val="21"/>
        </w:rPr>
        <w:t>034354</w:t>
      </w:r>
      <w:r w:rsidR="00B01A7B">
        <w:rPr>
          <w:rFonts w:ascii="Arial" w:hAnsi="Arial" w:cs="Arial" w:hint="eastAsia"/>
          <w:sz w:val="21"/>
          <w:szCs w:val="21"/>
        </w:rPr>
        <w:t>、</w:t>
      </w:r>
      <w:r w:rsidR="00B01A7B">
        <w:rPr>
          <w:rFonts w:ascii="Arial" w:hAnsi="Arial" w:cs="Arial" w:hint="eastAsia"/>
          <w:sz w:val="21"/>
          <w:szCs w:val="21"/>
        </w:rPr>
        <w:t>034348</w:t>
      </w:r>
      <w:r w:rsidR="00B01A7B">
        <w:rPr>
          <w:rFonts w:ascii="Arial" w:hAnsi="Arial" w:cs="Arial" w:hint="eastAsia"/>
          <w:sz w:val="21"/>
          <w:szCs w:val="21"/>
        </w:rPr>
        <w:t>、</w:t>
      </w:r>
      <w:r w:rsidR="00B01A7B">
        <w:rPr>
          <w:rFonts w:ascii="Arial" w:hAnsi="Arial" w:cs="Arial" w:hint="eastAsia"/>
          <w:sz w:val="21"/>
          <w:szCs w:val="21"/>
        </w:rPr>
        <w:t>034199</w:t>
      </w:r>
      <w:r w:rsidR="00B01A7B">
        <w:rPr>
          <w:rFonts w:ascii="Arial" w:hAnsi="Arial" w:cs="Arial" w:hint="eastAsia"/>
          <w:sz w:val="21"/>
          <w:szCs w:val="21"/>
        </w:rPr>
        <w:t>、</w:t>
      </w:r>
      <w:r w:rsidR="00B01A7B">
        <w:rPr>
          <w:rFonts w:ascii="Arial" w:hAnsi="Arial" w:cs="Arial" w:hint="eastAsia"/>
          <w:sz w:val="21"/>
          <w:szCs w:val="21"/>
        </w:rPr>
        <w:t>034680</w:t>
      </w:r>
      <w:r w:rsidR="00B01A7B">
        <w:rPr>
          <w:rFonts w:ascii="Arial" w:hAnsi="Arial" w:cs="Arial" w:hint="eastAsia"/>
          <w:sz w:val="21"/>
          <w:szCs w:val="21"/>
        </w:rPr>
        <w:t>、</w:t>
      </w:r>
      <w:r w:rsidR="00B01A7B">
        <w:rPr>
          <w:rFonts w:ascii="Arial" w:hAnsi="Arial" w:cs="Arial" w:hint="eastAsia"/>
          <w:sz w:val="21"/>
          <w:szCs w:val="21"/>
        </w:rPr>
        <w:t>034671</w:t>
      </w:r>
      <w:r w:rsidR="00B01A7B">
        <w:rPr>
          <w:rFonts w:ascii="Arial" w:hAnsi="Arial" w:cs="Arial" w:hint="eastAsia"/>
          <w:sz w:val="21"/>
          <w:szCs w:val="21"/>
        </w:rPr>
        <w:t>号</w:t>
      </w:r>
      <w:r w:rsidR="00B01A7B">
        <w:rPr>
          <w:rFonts w:ascii="Arial" w:hAnsi="Arial" w:cs="Arial" w:hint="eastAsia"/>
          <w:sz w:val="21"/>
          <w:szCs w:val="21"/>
        </w:rPr>
        <w:t>]</w:t>
      </w:r>
      <w:r w:rsidR="00B01A7B">
        <w:rPr>
          <w:rFonts w:ascii="Arial" w:hAnsi="Arial" w:cs="Arial" w:hint="eastAsia"/>
          <w:sz w:val="21"/>
          <w:szCs w:val="21"/>
        </w:rPr>
        <w:t>复印件</w:t>
      </w:r>
      <w:r>
        <w:rPr>
          <w:rFonts w:ascii="Arial" w:hAnsi="Arial" w:cs="Arial" w:hint="eastAsia"/>
          <w:kern w:val="2"/>
          <w:sz w:val="21"/>
          <w:szCs w:val="21"/>
        </w:rPr>
        <w:t>中未登载分户信息，根据《估价委托书》、《南海家园房源表》</w:t>
      </w:r>
      <w:r>
        <w:rPr>
          <w:rFonts w:ascii="Arial" w:hAnsi="Arial" w:cs="Arial" w:hint="eastAsia"/>
          <w:sz w:val="21"/>
          <w:szCs w:val="21"/>
        </w:rPr>
        <w:t>，估价对象套数为</w:t>
      </w:r>
      <w:r w:rsidR="00DE3E5A">
        <w:rPr>
          <w:rFonts w:ascii="Arial" w:hAnsi="Arial" w:cs="Arial" w:hint="eastAsia"/>
          <w:sz w:val="21"/>
          <w:szCs w:val="21"/>
        </w:rPr>
        <w:t>959</w:t>
      </w:r>
      <w:r w:rsidR="00DE3E5A">
        <w:rPr>
          <w:rFonts w:ascii="Arial" w:hAnsi="Arial" w:cs="Arial" w:hint="eastAsia"/>
          <w:sz w:val="21"/>
          <w:szCs w:val="21"/>
        </w:rPr>
        <w:t>套</w:t>
      </w:r>
      <w:r>
        <w:rPr>
          <w:rFonts w:ascii="Arial" w:hAnsi="Arial" w:cs="Arial" w:hint="eastAsia"/>
          <w:sz w:val="21"/>
          <w:szCs w:val="21"/>
        </w:rPr>
        <w:t>，建筑面积为</w:t>
      </w:r>
      <w:r w:rsidR="00FB51B2">
        <w:rPr>
          <w:rFonts w:ascii="Arial" w:hAnsi="Arial" w:cs="Arial" w:hint="eastAsia"/>
          <w:sz w:val="21"/>
          <w:szCs w:val="21"/>
        </w:rPr>
        <w:t>74521.94</w:t>
      </w:r>
      <w:r>
        <w:rPr>
          <w:rFonts w:ascii="Arial" w:hAnsi="Arial" w:cs="Arial" w:hint="eastAsia"/>
          <w:sz w:val="21"/>
          <w:szCs w:val="21"/>
        </w:rPr>
        <w:t>平方米。</w:t>
      </w:r>
      <w:r>
        <w:rPr>
          <w:rFonts w:ascii="Arial" w:hAnsi="Arial" w:cs="Arial" w:hint="eastAsia"/>
          <w:kern w:val="2"/>
          <w:sz w:val="21"/>
          <w:szCs w:val="21"/>
        </w:rPr>
        <w:t>本次估价根据委托方要求，按照《估价委托书》、《南海家园房源表》套数进行评估。</w:t>
      </w:r>
    </w:p>
    <w:p w14:paraId="4429BC1F" w14:textId="426AB4A9" w:rsidR="00AF6F34" w:rsidRDefault="00AF6F34">
      <w:pPr>
        <w:overflowPunct w:val="0"/>
        <w:spacing w:line="480" w:lineRule="auto"/>
        <w:ind w:firstLine="420"/>
        <w:jc w:val="both"/>
        <w:textAlignment w:val="auto"/>
        <w:rPr>
          <w:rFonts w:ascii="Arial" w:hAnsi="Arial" w:cs="Arial"/>
          <w:kern w:val="2"/>
          <w:sz w:val="21"/>
          <w:szCs w:val="21"/>
        </w:rPr>
      </w:pPr>
      <w:r>
        <w:rPr>
          <w:rFonts w:ascii="Arial" w:hAnsi="Arial" w:cs="Arial" w:hint="eastAsia"/>
          <w:kern w:val="2"/>
          <w:sz w:val="21"/>
          <w:szCs w:val="21"/>
        </w:rPr>
        <w:t>2</w:t>
      </w:r>
      <w:r>
        <w:rPr>
          <w:rFonts w:ascii="Arial" w:hAnsi="Arial" w:cs="Arial"/>
          <w:kern w:val="2"/>
          <w:sz w:val="21"/>
          <w:szCs w:val="21"/>
        </w:rPr>
        <w:t>.</w:t>
      </w:r>
      <w:r>
        <w:rPr>
          <w:rFonts w:ascii="Arial" w:hAnsi="Arial" w:cs="Arial" w:hint="eastAsia"/>
          <w:kern w:val="2"/>
          <w:sz w:val="21"/>
          <w:szCs w:val="21"/>
        </w:rPr>
        <w:t>根据估价人员实地查勘，</w:t>
      </w:r>
      <w:r w:rsidR="0047041D">
        <w:rPr>
          <w:rFonts w:ascii="Arial" w:hAnsi="Arial" w:cs="Arial" w:hint="eastAsia"/>
          <w:kern w:val="2"/>
          <w:sz w:val="21"/>
          <w:szCs w:val="21"/>
        </w:rPr>
        <w:t>估价对象所属楼宇于</w:t>
      </w:r>
      <w:r w:rsidR="0047041D">
        <w:rPr>
          <w:rFonts w:ascii="Arial" w:hAnsi="Arial" w:cs="Arial" w:hint="eastAsia"/>
          <w:kern w:val="2"/>
          <w:sz w:val="21"/>
          <w:szCs w:val="21"/>
        </w:rPr>
        <w:t>2010</w:t>
      </w:r>
      <w:r w:rsidR="0047041D">
        <w:rPr>
          <w:rFonts w:ascii="Arial" w:hAnsi="Arial" w:cs="Arial" w:hint="eastAsia"/>
          <w:kern w:val="2"/>
          <w:sz w:val="21"/>
          <w:szCs w:val="21"/>
        </w:rPr>
        <w:t>年至</w:t>
      </w:r>
      <w:r w:rsidR="0047041D">
        <w:rPr>
          <w:rFonts w:ascii="Arial" w:hAnsi="Arial" w:cs="Arial" w:hint="eastAsia"/>
          <w:kern w:val="2"/>
          <w:sz w:val="21"/>
          <w:szCs w:val="21"/>
        </w:rPr>
        <w:t>2014</w:t>
      </w:r>
      <w:r w:rsidR="0047041D">
        <w:rPr>
          <w:rFonts w:ascii="Arial" w:hAnsi="Arial" w:cs="Arial" w:hint="eastAsia"/>
          <w:kern w:val="2"/>
          <w:sz w:val="21"/>
          <w:szCs w:val="21"/>
        </w:rPr>
        <w:t>年建设</w:t>
      </w:r>
      <w:r w:rsidR="00C40048">
        <w:rPr>
          <w:rFonts w:ascii="Arial" w:hAnsi="Arial" w:cs="Arial" w:hint="eastAsia"/>
          <w:kern w:val="2"/>
          <w:sz w:val="21"/>
          <w:szCs w:val="21"/>
        </w:rPr>
        <w:t>，于价值时点，</w:t>
      </w:r>
      <w:r>
        <w:rPr>
          <w:rFonts w:ascii="Arial" w:hAnsi="Arial" w:cs="Arial" w:hint="eastAsia"/>
          <w:kern w:val="2"/>
          <w:sz w:val="21"/>
          <w:szCs w:val="21"/>
        </w:rPr>
        <w:t>部分房源正在进行室内装修。另根据估价委托人介绍</w:t>
      </w:r>
      <w:r w:rsidR="003904AB">
        <w:rPr>
          <w:rFonts w:ascii="Arial" w:hAnsi="Arial" w:cs="Arial" w:hint="eastAsia"/>
          <w:kern w:val="2"/>
          <w:sz w:val="21"/>
          <w:szCs w:val="21"/>
        </w:rPr>
        <w:t>设定</w:t>
      </w:r>
      <w:r>
        <w:rPr>
          <w:rFonts w:ascii="Arial" w:hAnsi="Arial" w:cs="Arial" w:hint="eastAsia"/>
          <w:kern w:val="2"/>
          <w:sz w:val="21"/>
          <w:szCs w:val="21"/>
        </w:rPr>
        <w:t>估价对象</w:t>
      </w:r>
      <w:r w:rsidR="003904AB">
        <w:rPr>
          <w:rFonts w:ascii="Arial" w:hAnsi="Arial" w:cs="Arial" w:hint="eastAsia"/>
          <w:kern w:val="2"/>
          <w:sz w:val="21"/>
          <w:szCs w:val="21"/>
        </w:rPr>
        <w:t>于出租时</w:t>
      </w:r>
      <w:r>
        <w:rPr>
          <w:rFonts w:ascii="Arial" w:hAnsi="Arial" w:cs="Arial" w:hint="eastAsia"/>
          <w:kern w:val="2"/>
          <w:sz w:val="21"/>
          <w:szCs w:val="21"/>
        </w:rPr>
        <w:t>均为全装修，室内地面铺设地砖，墙面刷涂料，顶棚刷涂料；厨房地面铺设地砖，墙面为墙</w:t>
      </w:r>
      <w:r w:rsidR="00EA7F82">
        <w:rPr>
          <w:rFonts w:ascii="Arial" w:hAnsi="Arial" w:cs="Arial" w:hint="eastAsia"/>
          <w:kern w:val="2"/>
          <w:sz w:val="21"/>
          <w:szCs w:val="21"/>
        </w:rPr>
        <w:t>砖，顶棚为铝扣板；卫生间地面铺设地砖，墙面为墙砖，顶棚为铝扣板。</w:t>
      </w:r>
    </w:p>
    <w:p w14:paraId="39E3D1CB" w14:textId="79241658" w:rsidR="00EA7F82" w:rsidRPr="00EA7F82" w:rsidRDefault="00EA7F82" w:rsidP="00EA7F82">
      <w:pPr>
        <w:overflowPunct w:val="0"/>
        <w:spacing w:line="480" w:lineRule="auto"/>
        <w:ind w:firstLine="420"/>
        <w:jc w:val="both"/>
        <w:textAlignment w:val="auto"/>
        <w:rPr>
          <w:rFonts w:ascii="Arial" w:hAnsi="Arial" w:cs="Arial"/>
          <w:kern w:val="2"/>
          <w:sz w:val="21"/>
          <w:szCs w:val="21"/>
        </w:rPr>
      </w:pPr>
      <w:r>
        <w:rPr>
          <w:rFonts w:ascii="Arial" w:hAnsi="Arial" w:cs="Arial" w:hint="eastAsia"/>
          <w:kern w:val="2"/>
          <w:sz w:val="21"/>
          <w:szCs w:val="21"/>
        </w:rPr>
        <w:t>3</w:t>
      </w:r>
      <w:r>
        <w:rPr>
          <w:rFonts w:ascii="Arial" w:hAnsi="Arial" w:cs="Arial"/>
          <w:kern w:val="2"/>
          <w:sz w:val="21"/>
          <w:szCs w:val="21"/>
        </w:rPr>
        <w:t>.</w:t>
      </w:r>
      <w:r>
        <w:rPr>
          <w:rFonts w:ascii="Arial" w:hAnsi="Arial" w:cs="Arial"/>
          <w:kern w:val="2"/>
          <w:sz w:val="21"/>
          <w:szCs w:val="21"/>
        </w:rPr>
        <w:t>根据</w:t>
      </w:r>
      <w:r>
        <w:rPr>
          <w:rFonts w:ascii="Arial" w:hAnsi="Arial" w:cs="Arial" w:hint="eastAsia"/>
          <w:kern w:val="2"/>
          <w:sz w:val="21"/>
          <w:szCs w:val="21"/>
        </w:rPr>
        <w:t>估价人员实地查勘，</w:t>
      </w:r>
      <w:r w:rsidRPr="00EA7F82">
        <w:rPr>
          <w:rFonts w:ascii="Arial" w:hAnsi="Arial" w:cs="Arial" w:hint="eastAsia"/>
          <w:kern w:val="2"/>
          <w:sz w:val="21"/>
          <w:szCs w:val="21"/>
        </w:rPr>
        <w:t>估价对象</w:t>
      </w:r>
      <w:r>
        <w:rPr>
          <w:rFonts w:ascii="Arial" w:hAnsi="Arial" w:cs="Arial" w:hint="eastAsia"/>
          <w:kern w:val="2"/>
          <w:sz w:val="21"/>
          <w:szCs w:val="21"/>
        </w:rPr>
        <w:t>于价值时点</w:t>
      </w:r>
      <w:r w:rsidRPr="00EA7F82">
        <w:rPr>
          <w:rFonts w:ascii="Arial" w:hAnsi="Arial" w:cs="Arial" w:hint="eastAsia"/>
          <w:kern w:val="2"/>
          <w:sz w:val="21"/>
          <w:szCs w:val="21"/>
        </w:rPr>
        <w:t>尚</w:t>
      </w:r>
      <w:r>
        <w:rPr>
          <w:rFonts w:ascii="Arial" w:hAnsi="Arial" w:cs="Arial" w:hint="eastAsia"/>
          <w:kern w:val="2"/>
          <w:sz w:val="21"/>
          <w:szCs w:val="21"/>
        </w:rPr>
        <w:t>有部分房源</w:t>
      </w:r>
      <w:r w:rsidRPr="00EA7F82">
        <w:rPr>
          <w:rFonts w:ascii="Arial" w:hAnsi="Arial" w:cs="Arial" w:hint="eastAsia"/>
          <w:kern w:val="2"/>
          <w:sz w:val="21"/>
          <w:szCs w:val="21"/>
        </w:rPr>
        <w:t>未完成软装</w:t>
      </w:r>
      <w:r>
        <w:rPr>
          <w:rFonts w:ascii="Arial" w:hAnsi="Arial" w:cs="Arial" w:hint="eastAsia"/>
          <w:kern w:val="2"/>
          <w:sz w:val="21"/>
          <w:szCs w:val="21"/>
        </w:rPr>
        <w:t>且未全部配备家具家电。根据估价委托方提供的《</w:t>
      </w:r>
      <w:r w:rsidRPr="00EA7F82">
        <w:rPr>
          <w:rFonts w:ascii="Arial" w:hAnsi="Arial" w:cs="Arial" w:hint="eastAsia"/>
          <w:kern w:val="2"/>
          <w:sz w:val="21"/>
          <w:szCs w:val="21"/>
        </w:rPr>
        <w:t>南海家园项目房屋附属家具、电器及其他设备设施状况</w:t>
      </w:r>
      <w:r>
        <w:rPr>
          <w:rFonts w:ascii="Arial" w:hAnsi="Arial" w:cs="Arial" w:hint="eastAsia"/>
          <w:kern w:val="2"/>
          <w:sz w:val="21"/>
          <w:szCs w:val="21"/>
        </w:rPr>
        <w:t>》及介绍，估价对象出租条件如下：</w:t>
      </w:r>
    </w:p>
    <w:tbl>
      <w:tblPr>
        <w:tblStyle w:val="aff3"/>
        <w:tblW w:w="0" w:type="auto"/>
        <w:jc w:val="center"/>
        <w:tblLook w:val="04A0" w:firstRow="1" w:lastRow="0" w:firstColumn="1" w:lastColumn="0" w:noHBand="0" w:noVBand="1"/>
      </w:tblPr>
      <w:tblGrid>
        <w:gridCol w:w="736"/>
        <w:gridCol w:w="3523"/>
        <w:gridCol w:w="2130"/>
        <w:gridCol w:w="2130"/>
      </w:tblGrid>
      <w:tr w:rsidR="00EA7F82" w:rsidRPr="00EA7F82" w14:paraId="68FF2479" w14:textId="77777777" w:rsidTr="009B61B1">
        <w:trPr>
          <w:trHeight w:val="20"/>
          <w:jc w:val="center"/>
        </w:trPr>
        <w:tc>
          <w:tcPr>
            <w:tcW w:w="8519" w:type="dxa"/>
            <w:gridSpan w:val="4"/>
          </w:tcPr>
          <w:p w14:paraId="2779069B" w14:textId="68AE133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一居室</w:t>
            </w:r>
          </w:p>
        </w:tc>
      </w:tr>
      <w:tr w:rsidR="00EA7F82" w:rsidRPr="00EA7F82" w14:paraId="5A3FE041" w14:textId="77777777" w:rsidTr="009B61B1">
        <w:trPr>
          <w:trHeight w:val="20"/>
          <w:jc w:val="center"/>
        </w:trPr>
        <w:tc>
          <w:tcPr>
            <w:tcW w:w="736" w:type="dxa"/>
          </w:tcPr>
          <w:p w14:paraId="73F4202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序号</w:t>
            </w:r>
          </w:p>
        </w:tc>
        <w:tc>
          <w:tcPr>
            <w:tcW w:w="3523" w:type="dxa"/>
          </w:tcPr>
          <w:p w14:paraId="778255F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名称</w:t>
            </w:r>
          </w:p>
        </w:tc>
        <w:tc>
          <w:tcPr>
            <w:tcW w:w="2130" w:type="dxa"/>
          </w:tcPr>
          <w:p w14:paraId="5E29418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单位</w:t>
            </w:r>
          </w:p>
        </w:tc>
        <w:tc>
          <w:tcPr>
            <w:tcW w:w="2130" w:type="dxa"/>
          </w:tcPr>
          <w:p w14:paraId="6FC456B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数量</w:t>
            </w:r>
          </w:p>
        </w:tc>
      </w:tr>
      <w:tr w:rsidR="00EA7F82" w:rsidRPr="00EA7F82" w14:paraId="6078E9BA" w14:textId="77777777" w:rsidTr="009B61B1">
        <w:trPr>
          <w:trHeight w:val="20"/>
          <w:jc w:val="center"/>
        </w:trPr>
        <w:tc>
          <w:tcPr>
            <w:tcW w:w="736" w:type="dxa"/>
          </w:tcPr>
          <w:p w14:paraId="5F8B10E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c>
          <w:tcPr>
            <w:tcW w:w="3523" w:type="dxa"/>
            <w:vAlign w:val="center"/>
          </w:tcPr>
          <w:p w14:paraId="751542D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1.5m*2m</w:t>
            </w:r>
            <w:r w:rsidRPr="00EA7F82">
              <w:rPr>
                <w:rFonts w:ascii="Arial" w:hAnsi="Arial" w:cs="Arial" w:hint="eastAsia"/>
                <w:kern w:val="2"/>
                <w:sz w:val="21"/>
                <w:szCs w:val="21"/>
              </w:rPr>
              <w:t>床</w:t>
            </w:r>
            <w:r w:rsidRPr="00EA7F82">
              <w:rPr>
                <w:rFonts w:ascii="Arial" w:hAnsi="Arial" w:cs="Arial" w:hint="eastAsia"/>
                <w:kern w:val="2"/>
                <w:sz w:val="21"/>
                <w:szCs w:val="21"/>
              </w:rPr>
              <w:t>+</w:t>
            </w:r>
            <w:r w:rsidRPr="00EA7F82">
              <w:rPr>
                <w:rFonts w:ascii="Arial" w:hAnsi="Arial" w:cs="Arial" w:hint="eastAsia"/>
                <w:kern w:val="2"/>
                <w:sz w:val="21"/>
                <w:szCs w:val="21"/>
              </w:rPr>
              <w:t>床垫</w:t>
            </w:r>
          </w:p>
        </w:tc>
        <w:tc>
          <w:tcPr>
            <w:tcW w:w="2130" w:type="dxa"/>
          </w:tcPr>
          <w:p w14:paraId="4BB21DC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tcPr>
          <w:p w14:paraId="0B2D35E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7FE25A1B" w14:textId="77777777" w:rsidTr="009B61B1">
        <w:trPr>
          <w:trHeight w:val="20"/>
          <w:jc w:val="center"/>
        </w:trPr>
        <w:tc>
          <w:tcPr>
            <w:tcW w:w="736" w:type="dxa"/>
          </w:tcPr>
          <w:p w14:paraId="19AB817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p>
        </w:tc>
        <w:tc>
          <w:tcPr>
            <w:tcW w:w="3523" w:type="dxa"/>
            <w:vAlign w:val="center"/>
          </w:tcPr>
          <w:p w14:paraId="6392F74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床头柜</w:t>
            </w:r>
          </w:p>
        </w:tc>
        <w:tc>
          <w:tcPr>
            <w:tcW w:w="2130" w:type="dxa"/>
          </w:tcPr>
          <w:p w14:paraId="1825C72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个</w:t>
            </w:r>
          </w:p>
        </w:tc>
        <w:tc>
          <w:tcPr>
            <w:tcW w:w="2130" w:type="dxa"/>
          </w:tcPr>
          <w:p w14:paraId="7C55BA8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p>
        </w:tc>
      </w:tr>
      <w:tr w:rsidR="00EA7F82" w:rsidRPr="00EA7F82" w14:paraId="4CDBBC02" w14:textId="77777777" w:rsidTr="009B61B1">
        <w:trPr>
          <w:trHeight w:val="20"/>
          <w:jc w:val="center"/>
        </w:trPr>
        <w:tc>
          <w:tcPr>
            <w:tcW w:w="736" w:type="dxa"/>
          </w:tcPr>
          <w:p w14:paraId="29A7C88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3</w:t>
            </w:r>
          </w:p>
        </w:tc>
        <w:tc>
          <w:tcPr>
            <w:tcW w:w="3523" w:type="dxa"/>
            <w:vAlign w:val="center"/>
          </w:tcPr>
          <w:p w14:paraId="24C3B8B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衣柜</w:t>
            </w:r>
          </w:p>
        </w:tc>
        <w:tc>
          <w:tcPr>
            <w:tcW w:w="2130" w:type="dxa"/>
          </w:tcPr>
          <w:p w14:paraId="0392BCC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组</w:t>
            </w:r>
          </w:p>
        </w:tc>
        <w:tc>
          <w:tcPr>
            <w:tcW w:w="2130" w:type="dxa"/>
          </w:tcPr>
          <w:p w14:paraId="2F618FF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29C99C7F" w14:textId="77777777" w:rsidTr="009B61B1">
        <w:trPr>
          <w:trHeight w:val="20"/>
          <w:jc w:val="center"/>
        </w:trPr>
        <w:tc>
          <w:tcPr>
            <w:tcW w:w="736" w:type="dxa"/>
          </w:tcPr>
          <w:p w14:paraId="24C8800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4</w:t>
            </w:r>
          </w:p>
        </w:tc>
        <w:tc>
          <w:tcPr>
            <w:tcW w:w="3523" w:type="dxa"/>
            <w:vAlign w:val="center"/>
          </w:tcPr>
          <w:p w14:paraId="3AE55F1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三人沙发</w:t>
            </w:r>
          </w:p>
        </w:tc>
        <w:tc>
          <w:tcPr>
            <w:tcW w:w="2130" w:type="dxa"/>
          </w:tcPr>
          <w:p w14:paraId="0C7D020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组</w:t>
            </w:r>
          </w:p>
        </w:tc>
        <w:tc>
          <w:tcPr>
            <w:tcW w:w="2130" w:type="dxa"/>
          </w:tcPr>
          <w:p w14:paraId="32C424E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008B230F" w14:textId="77777777" w:rsidTr="009B61B1">
        <w:trPr>
          <w:trHeight w:val="20"/>
          <w:jc w:val="center"/>
        </w:trPr>
        <w:tc>
          <w:tcPr>
            <w:tcW w:w="736" w:type="dxa"/>
          </w:tcPr>
          <w:p w14:paraId="36858C6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5</w:t>
            </w:r>
          </w:p>
        </w:tc>
        <w:tc>
          <w:tcPr>
            <w:tcW w:w="3523" w:type="dxa"/>
            <w:vAlign w:val="center"/>
          </w:tcPr>
          <w:p w14:paraId="3C68243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茶几</w:t>
            </w:r>
          </w:p>
        </w:tc>
        <w:tc>
          <w:tcPr>
            <w:tcW w:w="2130" w:type="dxa"/>
          </w:tcPr>
          <w:p w14:paraId="0241E87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个</w:t>
            </w:r>
          </w:p>
        </w:tc>
        <w:tc>
          <w:tcPr>
            <w:tcW w:w="2130" w:type="dxa"/>
          </w:tcPr>
          <w:p w14:paraId="357FBD3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1F5BB519" w14:textId="77777777" w:rsidTr="009B61B1">
        <w:trPr>
          <w:trHeight w:val="20"/>
          <w:jc w:val="center"/>
        </w:trPr>
        <w:tc>
          <w:tcPr>
            <w:tcW w:w="736" w:type="dxa"/>
          </w:tcPr>
          <w:p w14:paraId="74CC976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6</w:t>
            </w:r>
          </w:p>
        </w:tc>
        <w:tc>
          <w:tcPr>
            <w:tcW w:w="3523" w:type="dxa"/>
            <w:vAlign w:val="center"/>
          </w:tcPr>
          <w:p w14:paraId="67D9BAB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电视柜</w:t>
            </w:r>
          </w:p>
        </w:tc>
        <w:tc>
          <w:tcPr>
            <w:tcW w:w="2130" w:type="dxa"/>
          </w:tcPr>
          <w:p w14:paraId="26DCD194"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个</w:t>
            </w:r>
          </w:p>
        </w:tc>
        <w:tc>
          <w:tcPr>
            <w:tcW w:w="2130" w:type="dxa"/>
          </w:tcPr>
          <w:p w14:paraId="0060DF1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11889610" w14:textId="77777777" w:rsidTr="009B61B1">
        <w:trPr>
          <w:trHeight w:val="20"/>
          <w:jc w:val="center"/>
        </w:trPr>
        <w:tc>
          <w:tcPr>
            <w:tcW w:w="736" w:type="dxa"/>
          </w:tcPr>
          <w:p w14:paraId="1C3F52F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7</w:t>
            </w:r>
          </w:p>
        </w:tc>
        <w:tc>
          <w:tcPr>
            <w:tcW w:w="3523" w:type="dxa"/>
            <w:vAlign w:val="center"/>
          </w:tcPr>
          <w:p w14:paraId="445E3ED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餐桌</w:t>
            </w:r>
          </w:p>
        </w:tc>
        <w:tc>
          <w:tcPr>
            <w:tcW w:w="2130" w:type="dxa"/>
          </w:tcPr>
          <w:p w14:paraId="6E9CD28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tcPr>
          <w:p w14:paraId="1144A55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77CEB0C9" w14:textId="77777777" w:rsidTr="009B61B1">
        <w:trPr>
          <w:trHeight w:val="20"/>
          <w:jc w:val="center"/>
        </w:trPr>
        <w:tc>
          <w:tcPr>
            <w:tcW w:w="736" w:type="dxa"/>
          </w:tcPr>
          <w:p w14:paraId="3FF19CE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lastRenderedPageBreak/>
              <w:t>8</w:t>
            </w:r>
          </w:p>
        </w:tc>
        <w:tc>
          <w:tcPr>
            <w:tcW w:w="3523" w:type="dxa"/>
            <w:vAlign w:val="center"/>
          </w:tcPr>
          <w:p w14:paraId="331D59D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餐椅</w:t>
            </w:r>
          </w:p>
        </w:tc>
        <w:tc>
          <w:tcPr>
            <w:tcW w:w="2130" w:type="dxa"/>
          </w:tcPr>
          <w:p w14:paraId="080CFDC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把</w:t>
            </w:r>
          </w:p>
        </w:tc>
        <w:tc>
          <w:tcPr>
            <w:tcW w:w="2130" w:type="dxa"/>
          </w:tcPr>
          <w:p w14:paraId="75707F4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4</w:t>
            </w:r>
          </w:p>
        </w:tc>
      </w:tr>
      <w:tr w:rsidR="00EA7F82" w:rsidRPr="00EA7F82" w14:paraId="5C8A0A7B" w14:textId="77777777" w:rsidTr="009B61B1">
        <w:trPr>
          <w:trHeight w:val="20"/>
          <w:jc w:val="center"/>
        </w:trPr>
        <w:tc>
          <w:tcPr>
            <w:tcW w:w="736" w:type="dxa"/>
          </w:tcPr>
          <w:p w14:paraId="4F60F6A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9</w:t>
            </w:r>
          </w:p>
        </w:tc>
        <w:tc>
          <w:tcPr>
            <w:tcW w:w="3523" w:type="dxa"/>
            <w:vAlign w:val="center"/>
          </w:tcPr>
          <w:p w14:paraId="55E2F9D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鞋柜</w:t>
            </w:r>
          </w:p>
        </w:tc>
        <w:tc>
          <w:tcPr>
            <w:tcW w:w="2130" w:type="dxa"/>
          </w:tcPr>
          <w:p w14:paraId="7F98C95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个</w:t>
            </w:r>
          </w:p>
        </w:tc>
        <w:tc>
          <w:tcPr>
            <w:tcW w:w="2130" w:type="dxa"/>
          </w:tcPr>
          <w:p w14:paraId="2371B71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43E4C847" w14:textId="77777777" w:rsidTr="009B61B1">
        <w:trPr>
          <w:trHeight w:val="20"/>
          <w:jc w:val="center"/>
        </w:trPr>
        <w:tc>
          <w:tcPr>
            <w:tcW w:w="736" w:type="dxa"/>
          </w:tcPr>
          <w:p w14:paraId="36C0E6B4"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10</w:t>
            </w:r>
          </w:p>
        </w:tc>
        <w:tc>
          <w:tcPr>
            <w:tcW w:w="3523" w:type="dxa"/>
            <w:vAlign w:val="center"/>
          </w:tcPr>
          <w:p w14:paraId="215F4EF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电视</w:t>
            </w:r>
          </w:p>
        </w:tc>
        <w:tc>
          <w:tcPr>
            <w:tcW w:w="2130" w:type="dxa"/>
          </w:tcPr>
          <w:p w14:paraId="606485A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0B6885E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1F08ABDD" w14:textId="77777777" w:rsidTr="009B61B1">
        <w:trPr>
          <w:trHeight w:val="20"/>
          <w:jc w:val="center"/>
        </w:trPr>
        <w:tc>
          <w:tcPr>
            <w:tcW w:w="736" w:type="dxa"/>
          </w:tcPr>
          <w:p w14:paraId="3AE426D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11</w:t>
            </w:r>
          </w:p>
        </w:tc>
        <w:tc>
          <w:tcPr>
            <w:tcW w:w="3523" w:type="dxa"/>
            <w:vAlign w:val="center"/>
          </w:tcPr>
          <w:p w14:paraId="5DB28774"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冰箱</w:t>
            </w:r>
          </w:p>
        </w:tc>
        <w:tc>
          <w:tcPr>
            <w:tcW w:w="2130" w:type="dxa"/>
          </w:tcPr>
          <w:p w14:paraId="2503515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0B538B0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0D0FAC63" w14:textId="77777777" w:rsidTr="009B61B1">
        <w:trPr>
          <w:trHeight w:val="20"/>
          <w:jc w:val="center"/>
        </w:trPr>
        <w:tc>
          <w:tcPr>
            <w:tcW w:w="736" w:type="dxa"/>
          </w:tcPr>
          <w:p w14:paraId="2AB5F27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12</w:t>
            </w:r>
          </w:p>
        </w:tc>
        <w:tc>
          <w:tcPr>
            <w:tcW w:w="3523" w:type="dxa"/>
            <w:vAlign w:val="center"/>
          </w:tcPr>
          <w:p w14:paraId="2124578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洗衣机</w:t>
            </w:r>
          </w:p>
        </w:tc>
        <w:tc>
          <w:tcPr>
            <w:tcW w:w="2130" w:type="dxa"/>
          </w:tcPr>
          <w:p w14:paraId="0A3F107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30677C1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1E490AD4" w14:textId="77777777" w:rsidTr="009B61B1">
        <w:trPr>
          <w:trHeight w:val="20"/>
          <w:jc w:val="center"/>
        </w:trPr>
        <w:tc>
          <w:tcPr>
            <w:tcW w:w="736" w:type="dxa"/>
          </w:tcPr>
          <w:p w14:paraId="2D55106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13</w:t>
            </w:r>
          </w:p>
        </w:tc>
        <w:tc>
          <w:tcPr>
            <w:tcW w:w="3523" w:type="dxa"/>
            <w:vAlign w:val="center"/>
          </w:tcPr>
          <w:p w14:paraId="33623ED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r w:rsidRPr="00EA7F82">
              <w:rPr>
                <w:rFonts w:ascii="Arial" w:hAnsi="Arial" w:cs="Arial" w:hint="eastAsia"/>
                <w:kern w:val="2"/>
                <w:sz w:val="21"/>
                <w:szCs w:val="21"/>
              </w:rPr>
              <w:t>匹柜式空调</w:t>
            </w:r>
          </w:p>
        </w:tc>
        <w:tc>
          <w:tcPr>
            <w:tcW w:w="2130" w:type="dxa"/>
          </w:tcPr>
          <w:p w14:paraId="5B11A3A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4EBF5C6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27191C4E" w14:textId="77777777" w:rsidTr="009B61B1">
        <w:trPr>
          <w:trHeight w:val="20"/>
          <w:jc w:val="center"/>
        </w:trPr>
        <w:tc>
          <w:tcPr>
            <w:tcW w:w="736" w:type="dxa"/>
          </w:tcPr>
          <w:p w14:paraId="733122F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14</w:t>
            </w:r>
          </w:p>
        </w:tc>
        <w:tc>
          <w:tcPr>
            <w:tcW w:w="3523" w:type="dxa"/>
            <w:vAlign w:val="center"/>
          </w:tcPr>
          <w:p w14:paraId="3F16F6D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w:t>
            </w:r>
            <w:r w:rsidRPr="00EA7F82">
              <w:rPr>
                <w:rFonts w:ascii="Arial" w:hAnsi="Arial" w:cs="Arial" w:hint="eastAsia"/>
                <w:kern w:val="2"/>
                <w:sz w:val="21"/>
                <w:szCs w:val="21"/>
              </w:rPr>
              <w:t>匹挂式空调</w:t>
            </w:r>
          </w:p>
        </w:tc>
        <w:tc>
          <w:tcPr>
            <w:tcW w:w="2130" w:type="dxa"/>
          </w:tcPr>
          <w:p w14:paraId="6F081D8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256176D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549E88A8" w14:textId="77777777" w:rsidTr="009B61B1">
        <w:trPr>
          <w:trHeight w:val="20"/>
          <w:jc w:val="center"/>
        </w:trPr>
        <w:tc>
          <w:tcPr>
            <w:tcW w:w="736" w:type="dxa"/>
          </w:tcPr>
          <w:p w14:paraId="095F9C0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w:t>
            </w:r>
          </w:p>
        </w:tc>
        <w:tc>
          <w:tcPr>
            <w:tcW w:w="3523" w:type="dxa"/>
            <w:vAlign w:val="center"/>
          </w:tcPr>
          <w:p w14:paraId="33F17B2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燃气灶</w:t>
            </w:r>
          </w:p>
        </w:tc>
        <w:tc>
          <w:tcPr>
            <w:tcW w:w="2130" w:type="dxa"/>
          </w:tcPr>
          <w:p w14:paraId="520E735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0F6C9BB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2E0E3EBB" w14:textId="77777777" w:rsidTr="009B61B1">
        <w:trPr>
          <w:trHeight w:val="20"/>
          <w:jc w:val="center"/>
        </w:trPr>
        <w:tc>
          <w:tcPr>
            <w:tcW w:w="736" w:type="dxa"/>
          </w:tcPr>
          <w:p w14:paraId="60ED725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16</w:t>
            </w:r>
          </w:p>
        </w:tc>
        <w:tc>
          <w:tcPr>
            <w:tcW w:w="3523" w:type="dxa"/>
            <w:vAlign w:val="center"/>
          </w:tcPr>
          <w:p w14:paraId="10476CB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热水器</w:t>
            </w:r>
          </w:p>
        </w:tc>
        <w:tc>
          <w:tcPr>
            <w:tcW w:w="2130" w:type="dxa"/>
          </w:tcPr>
          <w:p w14:paraId="1F2343F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26F2074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bl>
    <w:p w14:paraId="73896326" w14:textId="77777777" w:rsidR="00EA7F82" w:rsidRPr="00EA7F82" w:rsidRDefault="00EA7F82" w:rsidP="00EA7F82">
      <w:pPr>
        <w:jc w:val="center"/>
        <w:rPr>
          <w:rFonts w:ascii="Arial" w:hAnsi="Arial" w:cs="Arial"/>
          <w:kern w:val="2"/>
          <w:sz w:val="21"/>
          <w:szCs w:val="21"/>
        </w:rPr>
      </w:pPr>
    </w:p>
    <w:p w14:paraId="78AD9320" w14:textId="2565DB99" w:rsidR="00EA7F82" w:rsidRPr="00EA7F82" w:rsidRDefault="00EA7F82" w:rsidP="00EA7F82">
      <w:pPr>
        <w:suppressAutoHyphens w:val="0"/>
        <w:spacing w:line="240" w:lineRule="auto"/>
        <w:jc w:val="center"/>
        <w:textAlignment w:val="auto"/>
        <w:rPr>
          <w:rFonts w:ascii="Arial" w:hAnsi="Arial" w:cs="Arial"/>
          <w:kern w:val="2"/>
          <w:sz w:val="21"/>
          <w:szCs w:val="21"/>
        </w:rPr>
      </w:pPr>
    </w:p>
    <w:tbl>
      <w:tblPr>
        <w:tblStyle w:val="aff3"/>
        <w:tblW w:w="0" w:type="auto"/>
        <w:jc w:val="center"/>
        <w:tblLook w:val="04A0" w:firstRow="1" w:lastRow="0" w:firstColumn="1" w:lastColumn="0" w:noHBand="0" w:noVBand="1"/>
      </w:tblPr>
      <w:tblGrid>
        <w:gridCol w:w="736"/>
        <w:gridCol w:w="3523"/>
        <w:gridCol w:w="2130"/>
        <w:gridCol w:w="2130"/>
      </w:tblGrid>
      <w:tr w:rsidR="00EA7F82" w:rsidRPr="00EA7F82" w14:paraId="1F4D7042" w14:textId="77777777" w:rsidTr="00EA7F82">
        <w:trPr>
          <w:jc w:val="center"/>
        </w:trPr>
        <w:tc>
          <w:tcPr>
            <w:tcW w:w="8519" w:type="dxa"/>
            <w:gridSpan w:val="4"/>
          </w:tcPr>
          <w:p w14:paraId="7B0F917D" w14:textId="4FA643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二居室</w:t>
            </w:r>
          </w:p>
        </w:tc>
      </w:tr>
      <w:tr w:rsidR="00EA7F82" w:rsidRPr="00EA7F82" w14:paraId="74E3BAD2" w14:textId="77777777" w:rsidTr="00EA7F82">
        <w:trPr>
          <w:jc w:val="center"/>
        </w:trPr>
        <w:tc>
          <w:tcPr>
            <w:tcW w:w="736" w:type="dxa"/>
          </w:tcPr>
          <w:p w14:paraId="35F2293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序号</w:t>
            </w:r>
          </w:p>
        </w:tc>
        <w:tc>
          <w:tcPr>
            <w:tcW w:w="3523" w:type="dxa"/>
          </w:tcPr>
          <w:p w14:paraId="2624D15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名称</w:t>
            </w:r>
          </w:p>
        </w:tc>
        <w:tc>
          <w:tcPr>
            <w:tcW w:w="2130" w:type="dxa"/>
          </w:tcPr>
          <w:p w14:paraId="6D7EE73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单位</w:t>
            </w:r>
          </w:p>
        </w:tc>
        <w:tc>
          <w:tcPr>
            <w:tcW w:w="2130" w:type="dxa"/>
          </w:tcPr>
          <w:p w14:paraId="387829A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数量</w:t>
            </w:r>
          </w:p>
        </w:tc>
      </w:tr>
      <w:tr w:rsidR="00EA7F82" w:rsidRPr="00EA7F82" w14:paraId="4887F20B" w14:textId="77777777" w:rsidTr="00EA7F82">
        <w:trPr>
          <w:jc w:val="center"/>
        </w:trPr>
        <w:tc>
          <w:tcPr>
            <w:tcW w:w="736" w:type="dxa"/>
          </w:tcPr>
          <w:p w14:paraId="5F82F67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c>
          <w:tcPr>
            <w:tcW w:w="3523" w:type="dxa"/>
            <w:vAlign w:val="center"/>
          </w:tcPr>
          <w:p w14:paraId="3E36D7F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1.8m*2m</w:t>
            </w:r>
            <w:r w:rsidRPr="00EA7F82">
              <w:rPr>
                <w:rFonts w:ascii="Arial" w:hAnsi="Arial" w:cs="Arial" w:hint="eastAsia"/>
                <w:kern w:val="2"/>
                <w:sz w:val="21"/>
                <w:szCs w:val="21"/>
              </w:rPr>
              <w:t>床</w:t>
            </w:r>
            <w:r w:rsidRPr="00EA7F82">
              <w:rPr>
                <w:rFonts w:ascii="Arial" w:hAnsi="Arial" w:cs="Arial" w:hint="eastAsia"/>
                <w:kern w:val="2"/>
                <w:sz w:val="21"/>
                <w:szCs w:val="21"/>
              </w:rPr>
              <w:t>+</w:t>
            </w:r>
            <w:r w:rsidRPr="00EA7F82">
              <w:rPr>
                <w:rFonts w:ascii="Arial" w:hAnsi="Arial" w:cs="Arial" w:hint="eastAsia"/>
                <w:kern w:val="2"/>
                <w:sz w:val="21"/>
                <w:szCs w:val="21"/>
              </w:rPr>
              <w:t>床垫</w:t>
            </w:r>
          </w:p>
        </w:tc>
        <w:tc>
          <w:tcPr>
            <w:tcW w:w="2130" w:type="dxa"/>
            <w:vAlign w:val="center"/>
          </w:tcPr>
          <w:p w14:paraId="59085EF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vAlign w:val="center"/>
          </w:tcPr>
          <w:p w14:paraId="313139E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1903E123" w14:textId="77777777" w:rsidTr="00EA7F82">
        <w:trPr>
          <w:jc w:val="center"/>
        </w:trPr>
        <w:tc>
          <w:tcPr>
            <w:tcW w:w="736" w:type="dxa"/>
          </w:tcPr>
          <w:p w14:paraId="225D6BA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p>
        </w:tc>
        <w:tc>
          <w:tcPr>
            <w:tcW w:w="3523" w:type="dxa"/>
            <w:vAlign w:val="center"/>
          </w:tcPr>
          <w:p w14:paraId="74F7054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1.5m*2m</w:t>
            </w:r>
            <w:r w:rsidRPr="00EA7F82">
              <w:rPr>
                <w:rFonts w:ascii="Arial" w:hAnsi="Arial" w:cs="Arial" w:hint="eastAsia"/>
                <w:kern w:val="2"/>
                <w:sz w:val="21"/>
                <w:szCs w:val="21"/>
              </w:rPr>
              <w:t>床</w:t>
            </w:r>
            <w:r w:rsidRPr="00EA7F82">
              <w:rPr>
                <w:rFonts w:ascii="Arial" w:hAnsi="Arial" w:cs="Arial" w:hint="eastAsia"/>
                <w:kern w:val="2"/>
                <w:sz w:val="21"/>
                <w:szCs w:val="21"/>
              </w:rPr>
              <w:t>+</w:t>
            </w:r>
            <w:r w:rsidRPr="00EA7F82">
              <w:rPr>
                <w:rFonts w:ascii="Arial" w:hAnsi="Arial" w:cs="Arial" w:hint="eastAsia"/>
                <w:kern w:val="2"/>
                <w:sz w:val="21"/>
                <w:szCs w:val="21"/>
              </w:rPr>
              <w:t>床垫</w:t>
            </w:r>
          </w:p>
        </w:tc>
        <w:tc>
          <w:tcPr>
            <w:tcW w:w="2130" w:type="dxa"/>
          </w:tcPr>
          <w:p w14:paraId="4393914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tcPr>
          <w:p w14:paraId="0F3901B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56F6DD9A" w14:textId="77777777" w:rsidTr="00EA7F82">
        <w:trPr>
          <w:jc w:val="center"/>
        </w:trPr>
        <w:tc>
          <w:tcPr>
            <w:tcW w:w="736" w:type="dxa"/>
          </w:tcPr>
          <w:p w14:paraId="44E0C7C4"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3</w:t>
            </w:r>
          </w:p>
        </w:tc>
        <w:tc>
          <w:tcPr>
            <w:tcW w:w="3523" w:type="dxa"/>
            <w:vAlign w:val="center"/>
          </w:tcPr>
          <w:p w14:paraId="7E5C920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床头柜</w:t>
            </w:r>
          </w:p>
        </w:tc>
        <w:tc>
          <w:tcPr>
            <w:tcW w:w="2130" w:type="dxa"/>
          </w:tcPr>
          <w:p w14:paraId="405BF37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个</w:t>
            </w:r>
          </w:p>
        </w:tc>
        <w:tc>
          <w:tcPr>
            <w:tcW w:w="2130" w:type="dxa"/>
          </w:tcPr>
          <w:p w14:paraId="2298B224"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4</w:t>
            </w:r>
          </w:p>
        </w:tc>
      </w:tr>
      <w:tr w:rsidR="00EA7F82" w:rsidRPr="00EA7F82" w14:paraId="7966B3B0" w14:textId="77777777" w:rsidTr="00EA7F82">
        <w:trPr>
          <w:jc w:val="center"/>
        </w:trPr>
        <w:tc>
          <w:tcPr>
            <w:tcW w:w="736" w:type="dxa"/>
          </w:tcPr>
          <w:p w14:paraId="57A0449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4</w:t>
            </w:r>
          </w:p>
        </w:tc>
        <w:tc>
          <w:tcPr>
            <w:tcW w:w="3523" w:type="dxa"/>
            <w:vAlign w:val="center"/>
          </w:tcPr>
          <w:p w14:paraId="3A7376E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衣柜</w:t>
            </w:r>
          </w:p>
        </w:tc>
        <w:tc>
          <w:tcPr>
            <w:tcW w:w="2130" w:type="dxa"/>
          </w:tcPr>
          <w:p w14:paraId="7AA5119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组</w:t>
            </w:r>
          </w:p>
        </w:tc>
        <w:tc>
          <w:tcPr>
            <w:tcW w:w="2130" w:type="dxa"/>
          </w:tcPr>
          <w:p w14:paraId="299FFAD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p>
        </w:tc>
      </w:tr>
      <w:tr w:rsidR="00EA7F82" w:rsidRPr="00EA7F82" w14:paraId="051D7CF8" w14:textId="77777777" w:rsidTr="00EA7F82">
        <w:trPr>
          <w:jc w:val="center"/>
        </w:trPr>
        <w:tc>
          <w:tcPr>
            <w:tcW w:w="736" w:type="dxa"/>
          </w:tcPr>
          <w:p w14:paraId="74085FD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5</w:t>
            </w:r>
          </w:p>
        </w:tc>
        <w:tc>
          <w:tcPr>
            <w:tcW w:w="3523" w:type="dxa"/>
            <w:vAlign w:val="center"/>
          </w:tcPr>
          <w:p w14:paraId="0052CE7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三人沙发</w:t>
            </w:r>
          </w:p>
        </w:tc>
        <w:tc>
          <w:tcPr>
            <w:tcW w:w="2130" w:type="dxa"/>
          </w:tcPr>
          <w:p w14:paraId="03C6BC9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组</w:t>
            </w:r>
          </w:p>
        </w:tc>
        <w:tc>
          <w:tcPr>
            <w:tcW w:w="2130" w:type="dxa"/>
          </w:tcPr>
          <w:p w14:paraId="7A3CAF4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28886F60" w14:textId="77777777" w:rsidTr="00EA7F82">
        <w:trPr>
          <w:jc w:val="center"/>
        </w:trPr>
        <w:tc>
          <w:tcPr>
            <w:tcW w:w="736" w:type="dxa"/>
          </w:tcPr>
          <w:p w14:paraId="574FE39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6</w:t>
            </w:r>
          </w:p>
        </w:tc>
        <w:tc>
          <w:tcPr>
            <w:tcW w:w="3523" w:type="dxa"/>
            <w:vAlign w:val="center"/>
          </w:tcPr>
          <w:p w14:paraId="2EDA620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茶几</w:t>
            </w:r>
          </w:p>
        </w:tc>
        <w:tc>
          <w:tcPr>
            <w:tcW w:w="2130" w:type="dxa"/>
          </w:tcPr>
          <w:p w14:paraId="0AF0A34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个</w:t>
            </w:r>
          </w:p>
        </w:tc>
        <w:tc>
          <w:tcPr>
            <w:tcW w:w="2130" w:type="dxa"/>
          </w:tcPr>
          <w:p w14:paraId="4CB3CB3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46E82AEF" w14:textId="77777777" w:rsidTr="00EA7F82">
        <w:trPr>
          <w:jc w:val="center"/>
        </w:trPr>
        <w:tc>
          <w:tcPr>
            <w:tcW w:w="736" w:type="dxa"/>
          </w:tcPr>
          <w:p w14:paraId="152580A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7</w:t>
            </w:r>
          </w:p>
        </w:tc>
        <w:tc>
          <w:tcPr>
            <w:tcW w:w="3523" w:type="dxa"/>
            <w:vAlign w:val="center"/>
          </w:tcPr>
          <w:p w14:paraId="5AC56B2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电视柜</w:t>
            </w:r>
          </w:p>
        </w:tc>
        <w:tc>
          <w:tcPr>
            <w:tcW w:w="2130" w:type="dxa"/>
          </w:tcPr>
          <w:p w14:paraId="62AC5A8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个</w:t>
            </w:r>
          </w:p>
        </w:tc>
        <w:tc>
          <w:tcPr>
            <w:tcW w:w="2130" w:type="dxa"/>
          </w:tcPr>
          <w:p w14:paraId="091A096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5C539D79" w14:textId="77777777" w:rsidTr="00EA7F82">
        <w:trPr>
          <w:jc w:val="center"/>
        </w:trPr>
        <w:tc>
          <w:tcPr>
            <w:tcW w:w="736" w:type="dxa"/>
          </w:tcPr>
          <w:p w14:paraId="53C3DD3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8</w:t>
            </w:r>
          </w:p>
        </w:tc>
        <w:tc>
          <w:tcPr>
            <w:tcW w:w="3523" w:type="dxa"/>
            <w:vAlign w:val="center"/>
          </w:tcPr>
          <w:p w14:paraId="1C0AE21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餐桌</w:t>
            </w:r>
          </w:p>
        </w:tc>
        <w:tc>
          <w:tcPr>
            <w:tcW w:w="2130" w:type="dxa"/>
          </w:tcPr>
          <w:p w14:paraId="688FAAD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tcPr>
          <w:p w14:paraId="6A9B212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1343097E" w14:textId="77777777" w:rsidTr="00EA7F82">
        <w:trPr>
          <w:jc w:val="center"/>
        </w:trPr>
        <w:tc>
          <w:tcPr>
            <w:tcW w:w="736" w:type="dxa"/>
          </w:tcPr>
          <w:p w14:paraId="0ECD0FA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9</w:t>
            </w:r>
          </w:p>
        </w:tc>
        <w:tc>
          <w:tcPr>
            <w:tcW w:w="3523" w:type="dxa"/>
            <w:vAlign w:val="center"/>
          </w:tcPr>
          <w:p w14:paraId="6BDEA50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餐椅</w:t>
            </w:r>
          </w:p>
        </w:tc>
        <w:tc>
          <w:tcPr>
            <w:tcW w:w="2130" w:type="dxa"/>
          </w:tcPr>
          <w:p w14:paraId="576DE73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把</w:t>
            </w:r>
          </w:p>
        </w:tc>
        <w:tc>
          <w:tcPr>
            <w:tcW w:w="2130" w:type="dxa"/>
          </w:tcPr>
          <w:p w14:paraId="2E4B212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4</w:t>
            </w:r>
          </w:p>
        </w:tc>
      </w:tr>
      <w:tr w:rsidR="00EA7F82" w:rsidRPr="00EA7F82" w14:paraId="2281FD7A" w14:textId="77777777" w:rsidTr="00EA7F82">
        <w:trPr>
          <w:jc w:val="center"/>
        </w:trPr>
        <w:tc>
          <w:tcPr>
            <w:tcW w:w="736" w:type="dxa"/>
          </w:tcPr>
          <w:p w14:paraId="0DCFEF1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10</w:t>
            </w:r>
          </w:p>
        </w:tc>
        <w:tc>
          <w:tcPr>
            <w:tcW w:w="3523" w:type="dxa"/>
            <w:vAlign w:val="center"/>
          </w:tcPr>
          <w:p w14:paraId="7D13B6F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鞋柜</w:t>
            </w:r>
          </w:p>
        </w:tc>
        <w:tc>
          <w:tcPr>
            <w:tcW w:w="2130" w:type="dxa"/>
          </w:tcPr>
          <w:p w14:paraId="785F26B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个</w:t>
            </w:r>
          </w:p>
        </w:tc>
        <w:tc>
          <w:tcPr>
            <w:tcW w:w="2130" w:type="dxa"/>
          </w:tcPr>
          <w:p w14:paraId="755D974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3E4AA074" w14:textId="77777777" w:rsidTr="00EA7F82">
        <w:trPr>
          <w:jc w:val="center"/>
        </w:trPr>
        <w:tc>
          <w:tcPr>
            <w:tcW w:w="736" w:type="dxa"/>
          </w:tcPr>
          <w:p w14:paraId="6FE5F414"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11</w:t>
            </w:r>
          </w:p>
        </w:tc>
        <w:tc>
          <w:tcPr>
            <w:tcW w:w="3523" w:type="dxa"/>
            <w:vAlign w:val="center"/>
          </w:tcPr>
          <w:p w14:paraId="63D19D6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电视</w:t>
            </w:r>
          </w:p>
        </w:tc>
        <w:tc>
          <w:tcPr>
            <w:tcW w:w="2130" w:type="dxa"/>
          </w:tcPr>
          <w:p w14:paraId="7B902EE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6563BCB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650EFD00" w14:textId="77777777" w:rsidTr="00EA7F82">
        <w:trPr>
          <w:jc w:val="center"/>
        </w:trPr>
        <w:tc>
          <w:tcPr>
            <w:tcW w:w="736" w:type="dxa"/>
          </w:tcPr>
          <w:p w14:paraId="4FFA46E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12</w:t>
            </w:r>
          </w:p>
        </w:tc>
        <w:tc>
          <w:tcPr>
            <w:tcW w:w="3523" w:type="dxa"/>
            <w:vAlign w:val="center"/>
          </w:tcPr>
          <w:p w14:paraId="4F7FC23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冰箱</w:t>
            </w:r>
          </w:p>
        </w:tc>
        <w:tc>
          <w:tcPr>
            <w:tcW w:w="2130" w:type="dxa"/>
          </w:tcPr>
          <w:p w14:paraId="7349D8A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730A168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27C6EEEC" w14:textId="77777777" w:rsidTr="00EA7F82">
        <w:trPr>
          <w:jc w:val="center"/>
        </w:trPr>
        <w:tc>
          <w:tcPr>
            <w:tcW w:w="736" w:type="dxa"/>
          </w:tcPr>
          <w:p w14:paraId="0B0CDF9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13</w:t>
            </w:r>
          </w:p>
        </w:tc>
        <w:tc>
          <w:tcPr>
            <w:tcW w:w="3523" w:type="dxa"/>
            <w:vAlign w:val="center"/>
          </w:tcPr>
          <w:p w14:paraId="07EB521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洗衣机</w:t>
            </w:r>
          </w:p>
        </w:tc>
        <w:tc>
          <w:tcPr>
            <w:tcW w:w="2130" w:type="dxa"/>
          </w:tcPr>
          <w:p w14:paraId="69BA18B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23524FA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5038D637" w14:textId="77777777" w:rsidTr="00EA7F82">
        <w:trPr>
          <w:jc w:val="center"/>
        </w:trPr>
        <w:tc>
          <w:tcPr>
            <w:tcW w:w="736" w:type="dxa"/>
          </w:tcPr>
          <w:p w14:paraId="15C8962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14</w:t>
            </w:r>
          </w:p>
        </w:tc>
        <w:tc>
          <w:tcPr>
            <w:tcW w:w="3523" w:type="dxa"/>
            <w:vAlign w:val="center"/>
          </w:tcPr>
          <w:p w14:paraId="4B33FA8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r w:rsidRPr="00EA7F82">
              <w:rPr>
                <w:rFonts w:ascii="Arial" w:hAnsi="Arial" w:cs="Arial" w:hint="eastAsia"/>
                <w:kern w:val="2"/>
                <w:sz w:val="21"/>
                <w:szCs w:val="21"/>
              </w:rPr>
              <w:t>匹柜式空调</w:t>
            </w:r>
          </w:p>
        </w:tc>
        <w:tc>
          <w:tcPr>
            <w:tcW w:w="2130" w:type="dxa"/>
          </w:tcPr>
          <w:p w14:paraId="241FE484"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768E680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0C400B64" w14:textId="77777777" w:rsidTr="00EA7F82">
        <w:trPr>
          <w:jc w:val="center"/>
        </w:trPr>
        <w:tc>
          <w:tcPr>
            <w:tcW w:w="736" w:type="dxa"/>
          </w:tcPr>
          <w:p w14:paraId="2F7ECC8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w:t>
            </w:r>
          </w:p>
        </w:tc>
        <w:tc>
          <w:tcPr>
            <w:tcW w:w="3523" w:type="dxa"/>
            <w:vAlign w:val="center"/>
          </w:tcPr>
          <w:p w14:paraId="2E793B0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w:t>
            </w:r>
            <w:r w:rsidRPr="00EA7F82">
              <w:rPr>
                <w:rFonts w:ascii="Arial" w:hAnsi="Arial" w:cs="Arial" w:hint="eastAsia"/>
                <w:kern w:val="2"/>
                <w:sz w:val="21"/>
                <w:szCs w:val="21"/>
              </w:rPr>
              <w:t>匹挂式空调</w:t>
            </w:r>
          </w:p>
        </w:tc>
        <w:tc>
          <w:tcPr>
            <w:tcW w:w="2130" w:type="dxa"/>
          </w:tcPr>
          <w:p w14:paraId="7BD92E5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55D29F8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p>
        </w:tc>
      </w:tr>
      <w:tr w:rsidR="00EA7F82" w:rsidRPr="00EA7F82" w14:paraId="1F106144" w14:textId="77777777" w:rsidTr="00EA7F82">
        <w:trPr>
          <w:jc w:val="center"/>
        </w:trPr>
        <w:tc>
          <w:tcPr>
            <w:tcW w:w="736" w:type="dxa"/>
          </w:tcPr>
          <w:p w14:paraId="1001B80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16</w:t>
            </w:r>
          </w:p>
        </w:tc>
        <w:tc>
          <w:tcPr>
            <w:tcW w:w="3523" w:type="dxa"/>
            <w:vAlign w:val="center"/>
          </w:tcPr>
          <w:p w14:paraId="2CFD769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燃气灶</w:t>
            </w:r>
          </w:p>
        </w:tc>
        <w:tc>
          <w:tcPr>
            <w:tcW w:w="2130" w:type="dxa"/>
          </w:tcPr>
          <w:p w14:paraId="12BBC32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483B1E9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34B03DBD" w14:textId="77777777" w:rsidTr="00EA7F82">
        <w:trPr>
          <w:jc w:val="center"/>
        </w:trPr>
        <w:tc>
          <w:tcPr>
            <w:tcW w:w="736" w:type="dxa"/>
          </w:tcPr>
          <w:p w14:paraId="5270373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17</w:t>
            </w:r>
          </w:p>
        </w:tc>
        <w:tc>
          <w:tcPr>
            <w:tcW w:w="3523" w:type="dxa"/>
            <w:vAlign w:val="center"/>
          </w:tcPr>
          <w:p w14:paraId="3602CD5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热水器</w:t>
            </w:r>
          </w:p>
        </w:tc>
        <w:tc>
          <w:tcPr>
            <w:tcW w:w="2130" w:type="dxa"/>
          </w:tcPr>
          <w:p w14:paraId="248D2BD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56D7ED1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bl>
    <w:p w14:paraId="683D4B15" w14:textId="77777777" w:rsidR="00EA7F82" w:rsidRPr="00EA7F82" w:rsidRDefault="00EA7F82" w:rsidP="00EA7F82">
      <w:pPr>
        <w:jc w:val="center"/>
        <w:rPr>
          <w:rFonts w:ascii="Arial" w:hAnsi="Arial" w:cs="Arial"/>
          <w:kern w:val="2"/>
          <w:sz w:val="21"/>
          <w:szCs w:val="21"/>
        </w:rPr>
      </w:pPr>
    </w:p>
    <w:p w14:paraId="12765327" w14:textId="3F93589E" w:rsidR="00EA7F82" w:rsidRPr="00EA7F82" w:rsidRDefault="00EA7F82" w:rsidP="00EA7F82">
      <w:pPr>
        <w:suppressAutoHyphens w:val="0"/>
        <w:spacing w:line="240" w:lineRule="auto"/>
        <w:jc w:val="center"/>
        <w:textAlignment w:val="auto"/>
        <w:rPr>
          <w:rFonts w:ascii="Arial" w:hAnsi="Arial" w:cs="Arial"/>
          <w:kern w:val="2"/>
          <w:sz w:val="21"/>
          <w:szCs w:val="21"/>
        </w:rPr>
      </w:pPr>
    </w:p>
    <w:tbl>
      <w:tblPr>
        <w:tblStyle w:val="aff3"/>
        <w:tblW w:w="0" w:type="auto"/>
        <w:jc w:val="center"/>
        <w:tblLook w:val="04A0" w:firstRow="1" w:lastRow="0" w:firstColumn="1" w:lastColumn="0" w:noHBand="0" w:noVBand="1"/>
      </w:tblPr>
      <w:tblGrid>
        <w:gridCol w:w="736"/>
        <w:gridCol w:w="3523"/>
        <w:gridCol w:w="2130"/>
        <w:gridCol w:w="2130"/>
      </w:tblGrid>
      <w:tr w:rsidR="00EA7F82" w:rsidRPr="00EA7F82" w14:paraId="79147300" w14:textId="77777777" w:rsidTr="00EA7F82">
        <w:trPr>
          <w:jc w:val="center"/>
        </w:trPr>
        <w:tc>
          <w:tcPr>
            <w:tcW w:w="8519" w:type="dxa"/>
            <w:gridSpan w:val="4"/>
          </w:tcPr>
          <w:p w14:paraId="6A4F2391" w14:textId="12BB720E"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三居室</w:t>
            </w:r>
          </w:p>
        </w:tc>
      </w:tr>
      <w:tr w:rsidR="00EA7F82" w:rsidRPr="00EA7F82" w14:paraId="46840C47" w14:textId="77777777" w:rsidTr="00EA7F82">
        <w:trPr>
          <w:jc w:val="center"/>
        </w:trPr>
        <w:tc>
          <w:tcPr>
            <w:tcW w:w="736" w:type="dxa"/>
          </w:tcPr>
          <w:p w14:paraId="6060AF9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序号</w:t>
            </w:r>
          </w:p>
        </w:tc>
        <w:tc>
          <w:tcPr>
            <w:tcW w:w="3523" w:type="dxa"/>
          </w:tcPr>
          <w:p w14:paraId="783C5AE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名称</w:t>
            </w:r>
          </w:p>
        </w:tc>
        <w:tc>
          <w:tcPr>
            <w:tcW w:w="2130" w:type="dxa"/>
          </w:tcPr>
          <w:p w14:paraId="3E78ABE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单位</w:t>
            </w:r>
          </w:p>
        </w:tc>
        <w:tc>
          <w:tcPr>
            <w:tcW w:w="2130" w:type="dxa"/>
          </w:tcPr>
          <w:p w14:paraId="3667C88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数量</w:t>
            </w:r>
          </w:p>
        </w:tc>
      </w:tr>
      <w:tr w:rsidR="00EA7F82" w:rsidRPr="00EA7F82" w14:paraId="4F0AC7C0" w14:textId="77777777" w:rsidTr="00EA7F82">
        <w:trPr>
          <w:jc w:val="center"/>
        </w:trPr>
        <w:tc>
          <w:tcPr>
            <w:tcW w:w="736" w:type="dxa"/>
          </w:tcPr>
          <w:p w14:paraId="52D7CC9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c>
          <w:tcPr>
            <w:tcW w:w="3523" w:type="dxa"/>
            <w:vAlign w:val="center"/>
          </w:tcPr>
          <w:p w14:paraId="3BD0C40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1.8m*2m</w:t>
            </w:r>
            <w:r w:rsidRPr="00EA7F82">
              <w:rPr>
                <w:rFonts w:ascii="Arial" w:hAnsi="Arial" w:cs="Arial" w:hint="eastAsia"/>
                <w:kern w:val="2"/>
                <w:sz w:val="21"/>
                <w:szCs w:val="21"/>
              </w:rPr>
              <w:t>床</w:t>
            </w:r>
            <w:r w:rsidRPr="00EA7F82">
              <w:rPr>
                <w:rFonts w:ascii="Arial" w:hAnsi="Arial" w:cs="Arial" w:hint="eastAsia"/>
                <w:kern w:val="2"/>
                <w:sz w:val="21"/>
                <w:szCs w:val="21"/>
              </w:rPr>
              <w:t>+</w:t>
            </w:r>
            <w:r w:rsidRPr="00EA7F82">
              <w:rPr>
                <w:rFonts w:ascii="Arial" w:hAnsi="Arial" w:cs="Arial" w:hint="eastAsia"/>
                <w:kern w:val="2"/>
                <w:sz w:val="21"/>
                <w:szCs w:val="21"/>
              </w:rPr>
              <w:t>床垫</w:t>
            </w:r>
          </w:p>
        </w:tc>
        <w:tc>
          <w:tcPr>
            <w:tcW w:w="2130" w:type="dxa"/>
            <w:vAlign w:val="center"/>
          </w:tcPr>
          <w:p w14:paraId="52FD0E1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vAlign w:val="center"/>
          </w:tcPr>
          <w:p w14:paraId="5112887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7F1337F2" w14:textId="77777777" w:rsidTr="00EA7F82">
        <w:trPr>
          <w:jc w:val="center"/>
        </w:trPr>
        <w:tc>
          <w:tcPr>
            <w:tcW w:w="736" w:type="dxa"/>
          </w:tcPr>
          <w:p w14:paraId="6B9DEE4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p>
        </w:tc>
        <w:tc>
          <w:tcPr>
            <w:tcW w:w="3523" w:type="dxa"/>
            <w:vAlign w:val="center"/>
          </w:tcPr>
          <w:p w14:paraId="24CA4E3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1.5m*2m</w:t>
            </w:r>
            <w:r w:rsidRPr="00EA7F82">
              <w:rPr>
                <w:rFonts w:ascii="Arial" w:hAnsi="Arial" w:cs="Arial" w:hint="eastAsia"/>
                <w:kern w:val="2"/>
                <w:sz w:val="21"/>
                <w:szCs w:val="21"/>
              </w:rPr>
              <w:t>床</w:t>
            </w:r>
            <w:r w:rsidRPr="00EA7F82">
              <w:rPr>
                <w:rFonts w:ascii="Arial" w:hAnsi="Arial" w:cs="Arial" w:hint="eastAsia"/>
                <w:kern w:val="2"/>
                <w:sz w:val="21"/>
                <w:szCs w:val="21"/>
              </w:rPr>
              <w:t>+</w:t>
            </w:r>
            <w:r w:rsidRPr="00EA7F82">
              <w:rPr>
                <w:rFonts w:ascii="Arial" w:hAnsi="Arial" w:cs="Arial" w:hint="eastAsia"/>
                <w:kern w:val="2"/>
                <w:sz w:val="21"/>
                <w:szCs w:val="21"/>
              </w:rPr>
              <w:t>床垫</w:t>
            </w:r>
          </w:p>
        </w:tc>
        <w:tc>
          <w:tcPr>
            <w:tcW w:w="2130" w:type="dxa"/>
          </w:tcPr>
          <w:p w14:paraId="00267D2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tcPr>
          <w:p w14:paraId="5F9C025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4303DF79" w14:textId="77777777" w:rsidTr="00EA7F82">
        <w:trPr>
          <w:jc w:val="center"/>
        </w:trPr>
        <w:tc>
          <w:tcPr>
            <w:tcW w:w="736" w:type="dxa"/>
          </w:tcPr>
          <w:p w14:paraId="1F5633C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3</w:t>
            </w:r>
          </w:p>
        </w:tc>
        <w:tc>
          <w:tcPr>
            <w:tcW w:w="3523" w:type="dxa"/>
            <w:vAlign w:val="center"/>
          </w:tcPr>
          <w:p w14:paraId="490E271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1.2m*2m</w:t>
            </w:r>
            <w:r w:rsidRPr="00EA7F82">
              <w:rPr>
                <w:rFonts w:ascii="Arial" w:hAnsi="Arial" w:cs="Arial" w:hint="eastAsia"/>
                <w:kern w:val="2"/>
                <w:sz w:val="21"/>
                <w:szCs w:val="21"/>
              </w:rPr>
              <w:t>床</w:t>
            </w:r>
            <w:r w:rsidRPr="00EA7F82">
              <w:rPr>
                <w:rFonts w:ascii="Arial" w:hAnsi="Arial" w:cs="Arial" w:hint="eastAsia"/>
                <w:kern w:val="2"/>
                <w:sz w:val="21"/>
                <w:szCs w:val="21"/>
              </w:rPr>
              <w:t>+</w:t>
            </w:r>
            <w:r w:rsidRPr="00EA7F82">
              <w:rPr>
                <w:rFonts w:ascii="Arial" w:hAnsi="Arial" w:cs="Arial" w:hint="eastAsia"/>
                <w:kern w:val="2"/>
                <w:sz w:val="21"/>
                <w:szCs w:val="21"/>
              </w:rPr>
              <w:t>床垫</w:t>
            </w:r>
          </w:p>
        </w:tc>
        <w:tc>
          <w:tcPr>
            <w:tcW w:w="2130" w:type="dxa"/>
          </w:tcPr>
          <w:p w14:paraId="3EFECBF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tcPr>
          <w:p w14:paraId="4FE2989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44D95A8A" w14:textId="77777777" w:rsidTr="00EA7F82">
        <w:trPr>
          <w:jc w:val="center"/>
        </w:trPr>
        <w:tc>
          <w:tcPr>
            <w:tcW w:w="736" w:type="dxa"/>
          </w:tcPr>
          <w:p w14:paraId="06A0F4E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4</w:t>
            </w:r>
          </w:p>
        </w:tc>
        <w:tc>
          <w:tcPr>
            <w:tcW w:w="3523" w:type="dxa"/>
            <w:vAlign w:val="center"/>
          </w:tcPr>
          <w:p w14:paraId="67E03AD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床头柜</w:t>
            </w:r>
          </w:p>
        </w:tc>
        <w:tc>
          <w:tcPr>
            <w:tcW w:w="2130" w:type="dxa"/>
          </w:tcPr>
          <w:p w14:paraId="203E9D7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个</w:t>
            </w:r>
          </w:p>
        </w:tc>
        <w:tc>
          <w:tcPr>
            <w:tcW w:w="2130" w:type="dxa"/>
          </w:tcPr>
          <w:p w14:paraId="1D2C3AD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6</w:t>
            </w:r>
          </w:p>
        </w:tc>
      </w:tr>
      <w:tr w:rsidR="00EA7F82" w:rsidRPr="00EA7F82" w14:paraId="7C726F9A" w14:textId="77777777" w:rsidTr="00EA7F82">
        <w:trPr>
          <w:jc w:val="center"/>
        </w:trPr>
        <w:tc>
          <w:tcPr>
            <w:tcW w:w="736" w:type="dxa"/>
          </w:tcPr>
          <w:p w14:paraId="6173283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lastRenderedPageBreak/>
              <w:t>5</w:t>
            </w:r>
          </w:p>
        </w:tc>
        <w:tc>
          <w:tcPr>
            <w:tcW w:w="3523" w:type="dxa"/>
            <w:vAlign w:val="center"/>
          </w:tcPr>
          <w:p w14:paraId="19DA95C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衣柜</w:t>
            </w:r>
          </w:p>
        </w:tc>
        <w:tc>
          <w:tcPr>
            <w:tcW w:w="2130" w:type="dxa"/>
          </w:tcPr>
          <w:p w14:paraId="71B0DE4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组</w:t>
            </w:r>
          </w:p>
        </w:tc>
        <w:tc>
          <w:tcPr>
            <w:tcW w:w="2130" w:type="dxa"/>
          </w:tcPr>
          <w:p w14:paraId="294CA56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3</w:t>
            </w:r>
          </w:p>
        </w:tc>
      </w:tr>
      <w:tr w:rsidR="00EA7F82" w:rsidRPr="00EA7F82" w14:paraId="33C311E6" w14:textId="77777777" w:rsidTr="00EA7F82">
        <w:trPr>
          <w:jc w:val="center"/>
        </w:trPr>
        <w:tc>
          <w:tcPr>
            <w:tcW w:w="736" w:type="dxa"/>
          </w:tcPr>
          <w:p w14:paraId="4D306B9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6</w:t>
            </w:r>
          </w:p>
        </w:tc>
        <w:tc>
          <w:tcPr>
            <w:tcW w:w="3523" w:type="dxa"/>
            <w:vAlign w:val="center"/>
          </w:tcPr>
          <w:p w14:paraId="559B86F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三人沙发</w:t>
            </w:r>
          </w:p>
        </w:tc>
        <w:tc>
          <w:tcPr>
            <w:tcW w:w="2130" w:type="dxa"/>
          </w:tcPr>
          <w:p w14:paraId="4A96BF0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组</w:t>
            </w:r>
          </w:p>
        </w:tc>
        <w:tc>
          <w:tcPr>
            <w:tcW w:w="2130" w:type="dxa"/>
          </w:tcPr>
          <w:p w14:paraId="142A3F1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51832DE0" w14:textId="77777777" w:rsidTr="00EA7F82">
        <w:trPr>
          <w:jc w:val="center"/>
        </w:trPr>
        <w:tc>
          <w:tcPr>
            <w:tcW w:w="736" w:type="dxa"/>
          </w:tcPr>
          <w:p w14:paraId="5D92756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7</w:t>
            </w:r>
          </w:p>
        </w:tc>
        <w:tc>
          <w:tcPr>
            <w:tcW w:w="3523" w:type="dxa"/>
            <w:vAlign w:val="center"/>
          </w:tcPr>
          <w:p w14:paraId="56AEC9E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茶几</w:t>
            </w:r>
          </w:p>
        </w:tc>
        <w:tc>
          <w:tcPr>
            <w:tcW w:w="2130" w:type="dxa"/>
          </w:tcPr>
          <w:p w14:paraId="0A83B84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个</w:t>
            </w:r>
          </w:p>
        </w:tc>
        <w:tc>
          <w:tcPr>
            <w:tcW w:w="2130" w:type="dxa"/>
          </w:tcPr>
          <w:p w14:paraId="7A42033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48620250" w14:textId="77777777" w:rsidTr="00EA7F82">
        <w:trPr>
          <w:jc w:val="center"/>
        </w:trPr>
        <w:tc>
          <w:tcPr>
            <w:tcW w:w="736" w:type="dxa"/>
          </w:tcPr>
          <w:p w14:paraId="3083C7D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8</w:t>
            </w:r>
          </w:p>
        </w:tc>
        <w:tc>
          <w:tcPr>
            <w:tcW w:w="3523" w:type="dxa"/>
            <w:vAlign w:val="center"/>
          </w:tcPr>
          <w:p w14:paraId="4A953D7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电视柜</w:t>
            </w:r>
          </w:p>
        </w:tc>
        <w:tc>
          <w:tcPr>
            <w:tcW w:w="2130" w:type="dxa"/>
          </w:tcPr>
          <w:p w14:paraId="5A6311C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个</w:t>
            </w:r>
          </w:p>
        </w:tc>
        <w:tc>
          <w:tcPr>
            <w:tcW w:w="2130" w:type="dxa"/>
          </w:tcPr>
          <w:p w14:paraId="25AF126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190F8C3F" w14:textId="77777777" w:rsidTr="00EA7F82">
        <w:trPr>
          <w:jc w:val="center"/>
        </w:trPr>
        <w:tc>
          <w:tcPr>
            <w:tcW w:w="736" w:type="dxa"/>
          </w:tcPr>
          <w:p w14:paraId="72FF8B6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9</w:t>
            </w:r>
          </w:p>
        </w:tc>
        <w:tc>
          <w:tcPr>
            <w:tcW w:w="3523" w:type="dxa"/>
            <w:vAlign w:val="center"/>
          </w:tcPr>
          <w:p w14:paraId="5094E90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餐桌</w:t>
            </w:r>
          </w:p>
        </w:tc>
        <w:tc>
          <w:tcPr>
            <w:tcW w:w="2130" w:type="dxa"/>
          </w:tcPr>
          <w:p w14:paraId="7BBCAB4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tcPr>
          <w:p w14:paraId="1004892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7A809BC2" w14:textId="77777777" w:rsidTr="00EA7F82">
        <w:trPr>
          <w:jc w:val="center"/>
        </w:trPr>
        <w:tc>
          <w:tcPr>
            <w:tcW w:w="736" w:type="dxa"/>
          </w:tcPr>
          <w:p w14:paraId="0483FAE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10</w:t>
            </w:r>
          </w:p>
        </w:tc>
        <w:tc>
          <w:tcPr>
            <w:tcW w:w="3523" w:type="dxa"/>
            <w:vAlign w:val="center"/>
          </w:tcPr>
          <w:p w14:paraId="563CEAE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餐椅</w:t>
            </w:r>
          </w:p>
        </w:tc>
        <w:tc>
          <w:tcPr>
            <w:tcW w:w="2130" w:type="dxa"/>
          </w:tcPr>
          <w:p w14:paraId="7A0C4CD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把</w:t>
            </w:r>
          </w:p>
        </w:tc>
        <w:tc>
          <w:tcPr>
            <w:tcW w:w="2130" w:type="dxa"/>
          </w:tcPr>
          <w:p w14:paraId="44EE069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4</w:t>
            </w:r>
          </w:p>
        </w:tc>
      </w:tr>
      <w:tr w:rsidR="00EA7F82" w:rsidRPr="00EA7F82" w14:paraId="56E00E6F" w14:textId="77777777" w:rsidTr="00EA7F82">
        <w:trPr>
          <w:jc w:val="center"/>
        </w:trPr>
        <w:tc>
          <w:tcPr>
            <w:tcW w:w="736" w:type="dxa"/>
          </w:tcPr>
          <w:p w14:paraId="32E462C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11</w:t>
            </w:r>
          </w:p>
        </w:tc>
        <w:tc>
          <w:tcPr>
            <w:tcW w:w="3523" w:type="dxa"/>
            <w:vAlign w:val="center"/>
          </w:tcPr>
          <w:p w14:paraId="7EAF401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鞋柜</w:t>
            </w:r>
          </w:p>
        </w:tc>
        <w:tc>
          <w:tcPr>
            <w:tcW w:w="2130" w:type="dxa"/>
          </w:tcPr>
          <w:p w14:paraId="243AA89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个</w:t>
            </w:r>
          </w:p>
        </w:tc>
        <w:tc>
          <w:tcPr>
            <w:tcW w:w="2130" w:type="dxa"/>
          </w:tcPr>
          <w:p w14:paraId="79629AF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7F2E2057" w14:textId="77777777" w:rsidTr="00EA7F82">
        <w:trPr>
          <w:jc w:val="center"/>
        </w:trPr>
        <w:tc>
          <w:tcPr>
            <w:tcW w:w="736" w:type="dxa"/>
          </w:tcPr>
          <w:p w14:paraId="6C96995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12</w:t>
            </w:r>
          </w:p>
        </w:tc>
        <w:tc>
          <w:tcPr>
            <w:tcW w:w="3523" w:type="dxa"/>
            <w:vAlign w:val="center"/>
          </w:tcPr>
          <w:p w14:paraId="68861A8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电视</w:t>
            </w:r>
          </w:p>
        </w:tc>
        <w:tc>
          <w:tcPr>
            <w:tcW w:w="2130" w:type="dxa"/>
          </w:tcPr>
          <w:p w14:paraId="7BB4078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4490B9A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7BABD0E2" w14:textId="77777777" w:rsidTr="00EA7F82">
        <w:trPr>
          <w:jc w:val="center"/>
        </w:trPr>
        <w:tc>
          <w:tcPr>
            <w:tcW w:w="736" w:type="dxa"/>
          </w:tcPr>
          <w:p w14:paraId="279B950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13</w:t>
            </w:r>
          </w:p>
        </w:tc>
        <w:tc>
          <w:tcPr>
            <w:tcW w:w="3523" w:type="dxa"/>
            <w:vAlign w:val="center"/>
          </w:tcPr>
          <w:p w14:paraId="16B1FFD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冰箱</w:t>
            </w:r>
          </w:p>
        </w:tc>
        <w:tc>
          <w:tcPr>
            <w:tcW w:w="2130" w:type="dxa"/>
          </w:tcPr>
          <w:p w14:paraId="45B0DF6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2D78504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174A02F0" w14:textId="77777777" w:rsidTr="00EA7F82">
        <w:trPr>
          <w:jc w:val="center"/>
        </w:trPr>
        <w:tc>
          <w:tcPr>
            <w:tcW w:w="736" w:type="dxa"/>
          </w:tcPr>
          <w:p w14:paraId="0979774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14</w:t>
            </w:r>
          </w:p>
        </w:tc>
        <w:tc>
          <w:tcPr>
            <w:tcW w:w="3523" w:type="dxa"/>
            <w:vAlign w:val="center"/>
          </w:tcPr>
          <w:p w14:paraId="13E2689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洗衣机</w:t>
            </w:r>
          </w:p>
        </w:tc>
        <w:tc>
          <w:tcPr>
            <w:tcW w:w="2130" w:type="dxa"/>
          </w:tcPr>
          <w:p w14:paraId="6FD240D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700F555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742D59E2" w14:textId="77777777" w:rsidTr="00EA7F82">
        <w:trPr>
          <w:jc w:val="center"/>
        </w:trPr>
        <w:tc>
          <w:tcPr>
            <w:tcW w:w="736" w:type="dxa"/>
          </w:tcPr>
          <w:p w14:paraId="0D5F6F4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w:t>
            </w:r>
          </w:p>
        </w:tc>
        <w:tc>
          <w:tcPr>
            <w:tcW w:w="3523" w:type="dxa"/>
            <w:vAlign w:val="center"/>
          </w:tcPr>
          <w:p w14:paraId="213DCD1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r w:rsidRPr="00EA7F82">
              <w:rPr>
                <w:rFonts w:ascii="Arial" w:hAnsi="Arial" w:cs="Arial" w:hint="eastAsia"/>
                <w:kern w:val="2"/>
                <w:sz w:val="21"/>
                <w:szCs w:val="21"/>
              </w:rPr>
              <w:t>匹柜式空调</w:t>
            </w:r>
          </w:p>
        </w:tc>
        <w:tc>
          <w:tcPr>
            <w:tcW w:w="2130" w:type="dxa"/>
          </w:tcPr>
          <w:p w14:paraId="5AF0D4D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64217FB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6A30D731" w14:textId="77777777" w:rsidTr="00EA7F82">
        <w:trPr>
          <w:jc w:val="center"/>
        </w:trPr>
        <w:tc>
          <w:tcPr>
            <w:tcW w:w="736" w:type="dxa"/>
          </w:tcPr>
          <w:p w14:paraId="0ADE1B1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16</w:t>
            </w:r>
          </w:p>
        </w:tc>
        <w:tc>
          <w:tcPr>
            <w:tcW w:w="3523" w:type="dxa"/>
            <w:vAlign w:val="center"/>
          </w:tcPr>
          <w:p w14:paraId="05C292C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w:t>
            </w:r>
            <w:r w:rsidRPr="00EA7F82">
              <w:rPr>
                <w:rFonts w:ascii="Arial" w:hAnsi="Arial" w:cs="Arial" w:hint="eastAsia"/>
                <w:kern w:val="2"/>
                <w:sz w:val="21"/>
                <w:szCs w:val="21"/>
              </w:rPr>
              <w:t>匹挂式空调</w:t>
            </w:r>
          </w:p>
        </w:tc>
        <w:tc>
          <w:tcPr>
            <w:tcW w:w="2130" w:type="dxa"/>
          </w:tcPr>
          <w:p w14:paraId="1485D06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6C99FAA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3</w:t>
            </w:r>
          </w:p>
        </w:tc>
      </w:tr>
      <w:tr w:rsidR="00EA7F82" w:rsidRPr="00EA7F82" w14:paraId="162787FD" w14:textId="77777777" w:rsidTr="00EA7F82">
        <w:trPr>
          <w:jc w:val="center"/>
        </w:trPr>
        <w:tc>
          <w:tcPr>
            <w:tcW w:w="736" w:type="dxa"/>
          </w:tcPr>
          <w:p w14:paraId="6EBC516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17</w:t>
            </w:r>
          </w:p>
        </w:tc>
        <w:tc>
          <w:tcPr>
            <w:tcW w:w="3523" w:type="dxa"/>
            <w:vAlign w:val="center"/>
          </w:tcPr>
          <w:p w14:paraId="498CF8F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燃气灶</w:t>
            </w:r>
          </w:p>
        </w:tc>
        <w:tc>
          <w:tcPr>
            <w:tcW w:w="2130" w:type="dxa"/>
          </w:tcPr>
          <w:p w14:paraId="403846C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4A00A78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64AF9919" w14:textId="77777777" w:rsidTr="00EA7F82">
        <w:trPr>
          <w:jc w:val="center"/>
        </w:trPr>
        <w:tc>
          <w:tcPr>
            <w:tcW w:w="736" w:type="dxa"/>
          </w:tcPr>
          <w:p w14:paraId="0598B34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18</w:t>
            </w:r>
          </w:p>
        </w:tc>
        <w:tc>
          <w:tcPr>
            <w:tcW w:w="3523" w:type="dxa"/>
            <w:vAlign w:val="center"/>
          </w:tcPr>
          <w:p w14:paraId="4E217CE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热水器</w:t>
            </w:r>
          </w:p>
        </w:tc>
        <w:tc>
          <w:tcPr>
            <w:tcW w:w="2130" w:type="dxa"/>
          </w:tcPr>
          <w:p w14:paraId="75C0D3B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01884AF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bl>
    <w:p w14:paraId="65A1DD55" w14:textId="77777777" w:rsidR="00EA7F82" w:rsidRPr="00EA7F82" w:rsidRDefault="00EA7F82" w:rsidP="00EA7F82">
      <w:pPr>
        <w:overflowPunct w:val="0"/>
        <w:spacing w:line="480" w:lineRule="auto"/>
        <w:ind w:firstLine="420"/>
        <w:jc w:val="both"/>
        <w:textAlignment w:val="auto"/>
        <w:rPr>
          <w:rFonts w:ascii="Arial" w:hAnsi="Arial" w:cs="Arial"/>
          <w:kern w:val="2"/>
          <w:sz w:val="21"/>
          <w:szCs w:val="21"/>
        </w:rPr>
      </w:pPr>
    </w:p>
    <w:p w14:paraId="21077F6E" w14:textId="77777777" w:rsidR="00AF6F34" w:rsidRDefault="00AF6F34">
      <w:pPr>
        <w:spacing w:line="480" w:lineRule="auto"/>
        <w:jc w:val="both"/>
      </w:pPr>
      <w:r>
        <w:rPr>
          <w:rFonts w:ascii="Arial" w:hAnsi="Arial" w:cs="Arial"/>
          <w:b/>
          <w:kern w:val="2"/>
          <w:sz w:val="21"/>
          <w:szCs w:val="21"/>
        </w:rPr>
        <w:t>（</w:t>
      </w:r>
      <w:r>
        <w:rPr>
          <w:rFonts w:ascii="Arial" w:hAnsi="Arial" w:cs="Arial" w:hint="eastAsia"/>
          <w:b/>
          <w:kern w:val="2"/>
          <w:sz w:val="21"/>
          <w:szCs w:val="21"/>
        </w:rPr>
        <w:t>五</w:t>
      </w:r>
      <w:r>
        <w:rPr>
          <w:rFonts w:ascii="Arial" w:hAnsi="Arial" w:cs="Arial"/>
          <w:b/>
          <w:kern w:val="2"/>
          <w:sz w:val="21"/>
          <w:szCs w:val="21"/>
        </w:rPr>
        <w:t>）</w:t>
      </w:r>
      <w:r>
        <w:rPr>
          <w:rFonts w:ascii="Arial" w:hAnsi="Arial" w:cs="Arial" w:hint="eastAsia"/>
          <w:b/>
          <w:kern w:val="2"/>
          <w:sz w:val="21"/>
          <w:szCs w:val="21"/>
        </w:rPr>
        <w:t>本次估价的依据不足假设</w:t>
      </w:r>
    </w:p>
    <w:p w14:paraId="37B06E29" w14:textId="77777777" w:rsidR="00AF6F34" w:rsidRDefault="00AF6F34">
      <w:pPr>
        <w:spacing w:line="480" w:lineRule="auto"/>
        <w:ind w:firstLine="420"/>
        <w:jc w:val="both"/>
      </w:pPr>
      <w:r>
        <w:rPr>
          <w:rFonts w:ascii="Arial" w:hAnsi="Arial" w:cs="Arial" w:hint="eastAsia"/>
          <w:kern w:val="2"/>
          <w:sz w:val="21"/>
          <w:szCs w:val="21"/>
        </w:rPr>
        <w:t>无依据不足假设。</w:t>
      </w:r>
    </w:p>
    <w:p w14:paraId="067EF483" w14:textId="77777777" w:rsidR="00AF6F34" w:rsidRDefault="00AF6F34">
      <w:pPr>
        <w:spacing w:line="480" w:lineRule="auto"/>
        <w:jc w:val="both"/>
      </w:pPr>
      <w:r>
        <w:rPr>
          <w:rFonts w:ascii="Arial" w:hAnsi="Arial" w:cs="Arial"/>
          <w:b/>
          <w:kern w:val="2"/>
          <w:sz w:val="21"/>
          <w:szCs w:val="21"/>
        </w:rPr>
        <w:t>（</w:t>
      </w:r>
      <w:r>
        <w:rPr>
          <w:rFonts w:ascii="Arial" w:hAnsi="Arial" w:cs="Arial" w:hint="eastAsia"/>
          <w:b/>
          <w:kern w:val="2"/>
          <w:sz w:val="21"/>
          <w:szCs w:val="21"/>
        </w:rPr>
        <w:t>六</w:t>
      </w:r>
      <w:r>
        <w:rPr>
          <w:rFonts w:ascii="Arial" w:hAnsi="Arial" w:cs="Arial"/>
          <w:b/>
          <w:kern w:val="2"/>
          <w:sz w:val="21"/>
          <w:szCs w:val="21"/>
        </w:rPr>
        <w:t>）</w:t>
      </w:r>
      <w:r>
        <w:rPr>
          <w:rFonts w:ascii="Arial" w:hAnsi="Arial" w:cs="Arial" w:hint="eastAsia"/>
          <w:b/>
          <w:kern w:val="2"/>
          <w:sz w:val="21"/>
          <w:szCs w:val="21"/>
        </w:rPr>
        <w:t>估价报告使用限制</w:t>
      </w:r>
    </w:p>
    <w:p w14:paraId="4F77025B" w14:textId="77777777" w:rsidR="00AF6F34" w:rsidRDefault="00AF6F34">
      <w:pPr>
        <w:spacing w:line="480" w:lineRule="auto"/>
        <w:ind w:firstLine="420"/>
        <w:jc w:val="both"/>
      </w:pPr>
      <w:r>
        <w:rPr>
          <w:rFonts w:ascii="Arial" w:hAnsi="Arial" w:cs="Arial" w:hint="eastAsia"/>
          <w:kern w:val="2"/>
          <w:sz w:val="21"/>
          <w:szCs w:val="21"/>
        </w:rPr>
        <w:t>1.</w:t>
      </w:r>
      <w:r>
        <w:rPr>
          <w:rFonts w:ascii="Arial" w:hAnsi="Arial" w:cs="Arial" w:hint="eastAsia"/>
          <w:kern w:val="2"/>
          <w:sz w:val="21"/>
          <w:szCs w:val="21"/>
        </w:rPr>
        <w:t>使用范围：本估价报告只能由估价报告载明的报告使用者使用，且只能用于本报告载明的唯一估价目的和用途。</w:t>
      </w:r>
    </w:p>
    <w:p w14:paraId="23A242D0" w14:textId="77777777" w:rsidR="00AF6F34" w:rsidRDefault="00AF6F34">
      <w:pPr>
        <w:spacing w:line="480" w:lineRule="auto"/>
        <w:ind w:firstLine="420"/>
        <w:jc w:val="both"/>
      </w:pPr>
      <w:r>
        <w:rPr>
          <w:rFonts w:ascii="Arial" w:hAnsi="Arial" w:cs="Arial" w:hint="eastAsia"/>
          <w:kern w:val="2"/>
          <w:sz w:val="21"/>
          <w:szCs w:val="21"/>
        </w:rPr>
        <w:t>2.</w:t>
      </w:r>
      <w:r>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22E9F2AA" w14:textId="77777777" w:rsidR="00AF6F34" w:rsidRDefault="00AF6F34">
      <w:pPr>
        <w:spacing w:line="480" w:lineRule="auto"/>
        <w:ind w:firstLine="420"/>
        <w:jc w:val="both"/>
      </w:pPr>
      <w:r>
        <w:rPr>
          <w:rFonts w:ascii="Arial" w:hAnsi="Arial" w:cs="Arial" w:hint="eastAsia"/>
          <w:kern w:val="2"/>
          <w:sz w:val="21"/>
          <w:szCs w:val="21"/>
        </w:rPr>
        <w:t>3.</w:t>
      </w:r>
      <w:r>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040F3A14" w14:textId="77777777" w:rsidR="00AF6F34" w:rsidRDefault="00AF6F34">
      <w:pPr>
        <w:spacing w:line="480" w:lineRule="auto"/>
        <w:ind w:firstLine="420"/>
        <w:jc w:val="both"/>
      </w:pPr>
      <w:r>
        <w:rPr>
          <w:rFonts w:ascii="Arial" w:hAnsi="Arial" w:cs="Arial" w:hint="eastAsia"/>
          <w:kern w:val="2"/>
          <w:sz w:val="21"/>
          <w:szCs w:val="21"/>
        </w:rPr>
        <w:t>4.</w:t>
      </w:r>
      <w:r>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5733CE55" w14:textId="77777777" w:rsidR="00AF6F34" w:rsidRDefault="00AF6F34">
      <w:pPr>
        <w:spacing w:line="480" w:lineRule="auto"/>
        <w:ind w:firstLine="420"/>
        <w:jc w:val="both"/>
      </w:pPr>
      <w:r>
        <w:rPr>
          <w:rFonts w:ascii="Arial" w:hAnsi="Arial" w:cs="Arial" w:hint="eastAsia"/>
          <w:kern w:val="2"/>
          <w:sz w:val="21"/>
          <w:szCs w:val="21"/>
        </w:rPr>
        <w:t>5.</w:t>
      </w: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ascii="Arial" w:hAnsi="Arial" w:cs="Arial" w:hint="eastAsia"/>
          <w:sz w:val="21"/>
          <w:szCs w:val="21"/>
        </w:rPr>
        <w:t>为估价委托人</w:t>
      </w:r>
      <w:r w:rsidR="00BC3CD9">
        <w:rPr>
          <w:rFonts w:ascii="Arial" w:hAnsi="Arial" w:cs="Arial" w:hint="eastAsia"/>
          <w:sz w:val="21"/>
          <w:szCs w:val="21"/>
        </w:rPr>
        <w:t>确定估价对象</w:t>
      </w:r>
      <w:r w:rsidR="00EF400F">
        <w:rPr>
          <w:rFonts w:ascii="Arial" w:hAnsi="Arial" w:cs="Arial" w:hint="eastAsia"/>
          <w:sz w:val="21"/>
          <w:szCs w:val="21"/>
        </w:rPr>
        <w:t>市场租赁住房</w:t>
      </w:r>
      <w:r w:rsidR="00BC3CD9">
        <w:rPr>
          <w:rFonts w:ascii="Arial" w:hAnsi="Arial" w:cs="Arial" w:hint="eastAsia"/>
          <w:sz w:val="21"/>
          <w:szCs w:val="21"/>
        </w:rPr>
        <w:t>租金水平</w:t>
      </w:r>
      <w:r>
        <w:rPr>
          <w:rFonts w:ascii="Arial" w:hAnsi="Arial" w:cs="Arial" w:hint="eastAsia"/>
          <w:sz w:val="21"/>
          <w:szCs w:val="21"/>
        </w:rPr>
        <w:t>提供参考依据</w:t>
      </w:r>
      <w:r>
        <w:rPr>
          <w:rFonts w:ascii="Arial" w:hAnsi="Arial" w:cs="Arial"/>
          <w:kern w:val="2"/>
          <w:sz w:val="21"/>
          <w:szCs w:val="21"/>
        </w:rPr>
        <w:t>，不做其他评估目的之用。如果估价对象的评估条件或目的发生变化，需重新进行评估。</w:t>
      </w:r>
    </w:p>
    <w:p w14:paraId="797F6E23" w14:textId="77777777" w:rsidR="00AF6F34" w:rsidRDefault="00AF6F34">
      <w:pPr>
        <w:spacing w:line="480" w:lineRule="auto"/>
        <w:ind w:firstLine="420"/>
        <w:jc w:val="both"/>
      </w:pPr>
      <w:r>
        <w:rPr>
          <w:rFonts w:ascii="Arial" w:hAnsi="Arial" w:cs="Arial" w:hint="eastAsia"/>
          <w:sz w:val="21"/>
          <w:szCs w:val="21"/>
        </w:rPr>
        <w:t>6</w:t>
      </w:r>
      <w:r>
        <w:rPr>
          <w:rFonts w:ascii="Arial" w:hAnsi="Arial" w:cs="Arial"/>
          <w:sz w:val="21"/>
          <w:szCs w:val="21"/>
        </w:rPr>
        <w:t>.</w:t>
      </w:r>
      <w:r>
        <w:rPr>
          <w:rFonts w:ascii="Arial" w:hAnsi="Arial" w:cs="Arial" w:hint="eastAsia"/>
          <w:color w:val="000000"/>
          <w:kern w:val="2"/>
          <w:sz w:val="21"/>
          <w:szCs w:val="21"/>
        </w:rPr>
        <w:t>估价委托人应对其提供的权属证明以及其他资料的真实性、完整性和合法性负责</w:t>
      </w:r>
      <w:r>
        <w:rPr>
          <w:rFonts w:ascii="Arial" w:hAnsi="Arial" w:cs="Arial"/>
          <w:color w:val="000000"/>
          <w:kern w:val="2"/>
          <w:sz w:val="21"/>
          <w:szCs w:val="21"/>
        </w:rPr>
        <w:t>。如因资料失</w:t>
      </w:r>
      <w:r>
        <w:rPr>
          <w:rFonts w:ascii="Arial" w:hAnsi="Arial" w:cs="Arial"/>
          <w:color w:val="000000"/>
          <w:kern w:val="2"/>
          <w:sz w:val="21"/>
          <w:szCs w:val="21"/>
        </w:rPr>
        <w:lastRenderedPageBreak/>
        <w:t>实或资料提供人有所隐匿而导致估价结果失真，估价机构不承担相应的责任。</w:t>
      </w:r>
    </w:p>
    <w:p w14:paraId="28B13E0F" w14:textId="77777777" w:rsidR="00AF6F34" w:rsidRDefault="00AF6F34">
      <w:pPr>
        <w:spacing w:line="480" w:lineRule="auto"/>
        <w:ind w:firstLine="420"/>
        <w:jc w:val="both"/>
      </w:pPr>
      <w:r>
        <w:rPr>
          <w:rFonts w:ascii="Arial" w:hAnsi="Arial" w:cs="Arial" w:hint="eastAsia"/>
          <w:color w:val="000000"/>
          <w:kern w:val="2"/>
          <w:sz w:val="21"/>
          <w:szCs w:val="21"/>
        </w:rPr>
        <w:t>7.</w:t>
      </w:r>
      <w:r>
        <w:rPr>
          <w:rFonts w:ascii="Arial" w:hAnsi="Arial" w:cs="Arial" w:hint="eastAsia"/>
          <w:color w:val="000000"/>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32A69D57" w14:textId="77777777" w:rsidR="00AF6F34" w:rsidRDefault="00AF6F34">
      <w:pPr>
        <w:spacing w:line="480" w:lineRule="auto"/>
        <w:ind w:firstLine="420"/>
        <w:jc w:val="both"/>
      </w:pPr>
      <w:r>
        <w:rPr>
          <w:rFonts w:ascii="Arial" w:hAnsi="Arial" w:cs="Arial" w:hint="eastAsia"/>
          <w:sz w:val="21"/>
          <w:szCs w:val="21"/>
        </w:rPr>
        <w:t>8</w:t>
      </w:r>
      <w:r>
        <w:rPr>
          <w:rFonts w:ascii="Arial" w:hAnsi="Arial" w:cs="Arial"/>
          <w:sz w:val="21"/>
          <w:szCs w:val="21"/>
        </w:rPr>
        <w:t>.</w:t>
      </w:r>
      <w:r>
        <w:rPr>
          <w:rFonts w:ascii="Arial" w:hAnsi="Arial" w:cs="Arial"/>
          <w:sz w:val="21"/>
          <w:szCs w:val="21"/>
        </w:rPr>
        <w:t>本估价报告中数据全部采用电算化连续计算得出，由于在报告中计算的数据均按四舍五入保留两位小数，故可能出现个别等式左右不完全相等的情况，但不影响计算结果及最终评估结论的准确性。</w:t>
      </w:r>
    </w:p>
    <w:p w14:paraId="3CEEEEEB" w14:textId="77777777" w:rsidR="00AF6F34" w:rsidRDefault="00AF6F34">
      <w:pPr>
        <w:spacing w:line="480" w:lineRule="auto"/>
        <w:ind w:firstLine="420"/>
        <w:jc w:val="both"/>
      </w:pPr>
      <w:r>
        <w:rPr>
          <w:rFonts w:ascii="Arial" w:hAnsi="Arial" w:cs="Arial" w:hint="eastAsia"/>
          <w:sz w:val="21"/>
          <w:szCs w:val="21"/>
        </w:rPr>
        <w:t>9</w:t>
      </w:r>
      <w:r>
        <w:rPr>
          <w:rFonts w:ascii="Arial" w:hAnsi="Arial" w:cs="Arial"/>
          <w:sz w:val="21"/>
          <w:szCs w:val="21"/>
        </w:rPr>
        <w:t>.</w:t>
      </w:r>
      <w:r>
        <w:rPr>
          <w:rFonts w:ascii="Arial" w:hAnsi="Arial" w:cs="Arial"/>
          <w:sz w:val="21"/>
          <w:szCs w:val="21"/>
        </w:rPr>
        <w:t>本估价报告在估价机构盖章和注册房地产估价师签字</w:t>
      </w:r>
      <w:r>
        <w:rPr>
          <w:rFonts w:ascii="Arial" w:hAnsi="Arial" w:cs="Arial" w:hint="eastAsia"/>
          <w:sz w:val="21"/>
          <w:szCs w:val="21"/>
        </w:rPr>
        <w:t>或盖章</w:t>
      </w:r>
      <w:r>
        <w:rPr>
          <w:rFonts w:ascii="Arial" w:hAnsi="Arial" w:cs="Arial"/>
          <w:sz w:val="21"/>
          <w:szCs w:val="21"/>
        </w:rPr>
        <w:t>的条件下有效。</w:t>
      </w:r>
    </w:p>
    <w:p w14:paraId="35507ED2" w14:textId="77777777" w:rsidR="00AF6F34" w:rsidRDefault="00AF6F34">
      <w:pPr>
        <w:spacing w:line="480" w:lineRule="auto"/>
        <w:ind w:firstLine="420"/>
        <w:jc w:val="both"/>
      </w:pPr>
      <w:r>
        <w:rPr>
          <w:rFonts w:ascii="Arial" w:hAnsi="Arial" w:cs="Arial" w:hint="eastAsia"/>
          <w:kern w:val="2"/>
          <w:sz w:val="21"/>
          <w:szCs w:val="21"/>
        </w:rPr>
        <w:t>10</w:t>
      </w:r>
      <w:r>
        <w:rPr>
          <w:rFonts w:ascii="Arial" w:hAnsi="Arial" w:cs="Arial"/>
          <w:kern w:val="2"/>
          <w:sz w:val="21"/>
          <w:szCs w:val="21"/>
        </w:rPr>
        <w:t>.</w:t>
      </w:r>
      <w:r>
        <w:rPr>
          <w:rFonts w:ascii="Arial" w:hAnsi="Arial" w:cs="Arial"/>
          <w:sz w:val="21"/>
          <w:szCs w:val="21"/>
        </w:rPr>
        <w:t>价值时点后，估价报告有效期内估价对象的质量及价格标准发生变化，并对估价对象租赁价值产生明显影响时，不能直接使用本次估价结论</w:t>
      </w:r>
      <w:r>
        <w:rPr>
          <w:rFonts w:ascii="Arial" w:hAnsi="Arial" w:cs="Arial" w:hint="eastAsia"/>
          <w:sz w:val="21"/>
          <w:szCs w:val="21"/>
        </w:rPr>
        <w:t>。</w:t>
      </w:r>
    </w:p>
    <w:p w14:paraId="6C1E02C5" w14:textId="77777777" w:rsidR="00AF6F34" w:rsidRDefault="00AF6F34">
      <w:pPr>
        <w:spacing w:line="480" w:lineRule="auto"/>
        <w:ind w:firstLine="420"/>
        <w:jc w:val="both"/>
      </w:pPr>
      <w:r>
        <w:rPr>
          <w:rFonts w:ascii="Arial" w:hAnsi="Arial" w:cs="Arial" w:hint="eastAsia"/>
          <w:sz w:val="21"/>
          <w:szCs w:val="21"/>
        </w:rPr>
        <w:t>11.</w:t>
      </w:r>
      <w:r>
        <w:rPr>
          <w:rFonts w:ascii="Arial" w:hAnsi="Arial" w:cs="Arial"/>
          <w:sz w:val="21"/>
          <w:szCs w:val="21"/>
        </w:rPr>
        <w:t>本次估价未考虑特殊交易方式对估价结果的影响。</w:t>
      </w:r>
    </w:p>
    <w:p w14:paraId="565D4084" w14:textId="77777777" w:rsidR="00AF6F34" w:rsidRDefault="00AF6F34">
      <w:pPr>
        <w:spacing w:line="480" w:lineRule="auto"/>
        <w:ind w:firstLine="420"/>
        <w:jc w:val="both"/>
      </w:pPr>
      <w:r>
        <w:rPr>
          <w:rFonts w:ascii="Arial" w:hAnsi="Arial" w:cs="Arial" w:hint="eastAsia"/>
          <w:sz w:val="21"/>
          <w:szCs w:val="21"/>
        </w:rPr>
        <w:t>12.</w:t>
      </w:r>
      <w:r>
        <w:rPr>
          <w:rFonts w:ascii="Arial" w:hAnsi="Arial" w:cs="Arial"/>
          <w:sz w:val="21"/>
          <w:szCs w:val="21"/>
        </w:rPr>
        <w:t>根据</w:t>
      </w:r>
      <w:r>
        <w:rPr>
          <w:rFonts w:ascii="Arial" w:hAnsi="Arial" w:cs="Arial" w:hint="eastAsia"/>
          <w:sz w:val="21"/>
          <w:szCs w:val="21"/>
        </w:rPr>
        <w:t>估价委托人</w:t>
      </w:r>
      <w:r>
        <w:rPr>
          <w:rFonts w:ascii="Arial" w:hAnsi="Arial" w:cs="Arial"/>
          <w:sz w:val="21"/>
          <w:szCs w:val="21"/>
        </w:rPr>
        <w:t>提供的资料，估价对象不存在抵押、担保等他项权利登记，本次估价不考虑抵押等他项权利及现利用状况对估价对象租金价格产生的影响。</w:t>
      </w:r>
    </w:p>
    <w:p w14:paraId="5280F905" w14:textId="55BA2FD1" w:rsidR="00AF6F34" w:rsidRDefault="00AF6F34">
      <w:pPr>
        <w:spacing w:line="480" w:lineRule="auto"/>
        <w:ind w:firstLine="420"/>
        <w:jc w:val="both"/>
        <w:sectPr w:rsidR="00AF6F34" w:rsidSect="00B943B0">
          <w:headerReference w:type="even" r:id="rId30"/>
          <w:headerReference w:type="default" r:id="rId31"/>
          <w:footerReference w:type="even" r:id="rId32"/>
          <w:footerReference w:type="default" r:id="rId33"/>
          <w:headerReference w:type="first" r:id="rId34"/>
          <w:footerReference w:type="first" r:id="rId35"/>
          <w:pgSz w:w="11906" w:h="16838"/>
          <w:pgMar w:top="1843" w:right="1134" w:bottom="1134" w:left="1474" w:header="1134" w:footer="907" w:gutter="0"/>
          <w:cols w:space="720"/>
          <w:docGrid w:linePitch="326"/>
        </w:sectPr>
      </w:pPr>
      <w:r>
        <w:rPr>
          <w:rFonts w:ascii="Arial" w:hAnsi="Arial" w:cs="Arial" w:hint="eastAsia"/>
          <w:kern w:val="2"/>
          <w:sz w:val="21"/>
          <w:szCs w:val="21"/>
        </w:rPr>
        <w:t>13</w:t>
      </w:r>
      <w:r>
        <w:rPr>
          <w:rFonts w:ascii="Arial" w:hAnsi="Arial" w:cs="Arial"/>
          <w:kern w:val="2"/>
          <w:sz w:val="21"/>
          <w:szCs w:val="21"/>
        </w:rPr>
        <w:t>.</w:t>
      </w:r>
      <w:r>
        <w:rPr>
          <w:rFonts w:ascii="Arial" w:hAnsi="Arial" w:cs="Arial"/>
          <w:kern w:val="2"/>
          <w:sz w:val="21"/>
          <w:szCs w:val="21"/>
        </w:rPr>
        <w:t>本估价报告</w:t>
      </w:r>
      <w:r>
        <w:rPr>
          <w:rFonts w:ascii="Arial" w:hAnsi="Arial" w:cs="Arial" w:hint="eastAsia"/>
          <w:kern w:val="2"/>
          <w:sz w:val="21"/>
          <w:szCs w:val="21"/>
        </w:rPr>
        <w:t>自报告出具日起计算，自</w:t>
      </w:r>
      <w:r w:rsidR="00094507">
        <w:rPr>
          <w:rFonts w:ascii="Arial" w:hAnsi="Arial" w:cs="Arial"/>
          <w:kern w:val="2"/>
          <w:sz w:val="21"/>
          <w:szCs w:val="21"/>
        </w:rPr>
        <w:t>2025</w:t>
      </w:r>
      <w:r w:rsidR="00094507">
        <w:rPr>
          <w:rFonts w:ascii="Arial" w:hAnsi="Arial" w:cs="Arial"/>
          <w:kern w:val="2"/>
          <w:sz w:val="21"/>
          <w:szCs w:val="21"/>
        </w:rPr>
        <w:t>年</w:t>
      </w:r>
      <w:r w:rsidR="00094507">
        <w:rPr>
          <w:rFonts w:ascii="Arial" w:hAnsi="Arial" w:cs="Arial"/>
          <w:kern w:val="2"/>
          <w:sz w:val="21"/>
          <w:szCs w:val="21"/>
        </w:rPr>
        <w:t>11</w:t>
      </w:r>
      <w:r w:rsidR="00094507">
        <w:rPr>
          <w:rFonts w:ascii="Arial" w:hAnsi="Arial" w:cs="Arial"/>
          <w:kern w:val="2"/>
          <w:sz w:val="21"/>
          <w:szCs w:val="21"/>
        </w:rPr>
        <w:t>月</w:t>
      </w:r>
      <w:r w:rsidR="00094507">
        <w:rPr>
          <w:rFonts w:ascii="Arial" w:hAnsi="Arial" w:cs="Arial"/>
          <w:kern w:val="2"/>
          <w:sz w:val="21"/>
          <w:szCs w:val="21"/>
        </w:rPr>
        <w:t>28</w:t>
      </w:r>
      <w:r w:rsidR="00094507">
        <w:rPr>
          <w:rFonts w:ascii="Arial" w:hAnsi="Arial" w:cs="Arial"/>
          <w:kern w:val="2"/>
          <w:sz w:val="21"/>
          <w:szCs w:val="21"/>
        </w:rPr>
        <w:t>日</w:t>
      </w:r>
      <w:r>
        <w:rPr>
          <w:rFonts w:ascii="Arial" w:hAnsi="Arial" w:cs="Arial" w:hint="eastAsia"/>
          <w:kern w:val="2"/>
          <w:sz w:val="21"/>
          <w:szCs w:val="21"/>
        </w:rPr>
        <w:t>至</w:t>
      </w:r>
      <w:r w:rsidR="00D517EB">
        <w:rPr>
          <w:rFonts w:ascii="Arial" w:hAnsi="Arial" w:cs="Arial"/>
          <w:kern w:val="2"/>
          <w:sz w:val="21"/>
          <w:szCs w:val="21"/>
        </w:rPr>
        <w:t>2026</w:t>
      </w:r>
      <w:r w:rsidR="00D517EB">
        <w:rPr>
          <w:rFonts w:ascii="Arial" w:hAnsi="Arial" w:cs="Arial"/>
          <w:kern w:val="2"/>
          <w:sz w:val="21"/>
          <w:szCs w:val="21"/>
        </w:rPr>
        <w:t>年</w:t>
      </w:r>
      <w:r w:rsidR="00D517EB">
        <w:rPr>
          <w:rFonts w:ascii="Arial" w:hAnsi="Arial" w:cs="Arial"/>
          <w:kern w:val="2"/>
          <w:sz w:val="21"/>
          <w:szCs w:val="21"/>
        </w:rPr>
        <w:t>11</w:t>
      </w:r>
      <w:r w:rsidR="00D517EB">
        <w:rPr>
          <w:rFonts w:ascii="Arial" w:hAnsi="Arial" w:cs="Arial"/>
          <w:kern w:val="2"/>
          <w:sz w:val="21"/>
          <w:szCs w:val="21"/>
        </w:rPr>
        <w:t>月</w:t>
      </w:r>
      <w:r w:rsidR="00D517EB">
        <w:rPr>
          <w:rFonts w:ascii="Arial" w:hAnsi="Arial" w:cs="Arial"/>
          <w:kern w:val="2"/>
          <w:sz w:val="21"/>
          <w:szCs w:val="21"/>
        </w:rPr>
        <w:t>27</w:t>
      </w:r>
      <w:r w:rsidR="00D517EB">
        <w:rPr>
          <w:rFonts w:ascii="Arial" w:hAnsi="Arial" w:cs="Arial"/>
          <w:kern w:val="2"/>
          <w:sz w:val="21"/>
          <w:szCs w:val="21"/>
        </w:rPr>
        <w:t>日</w:t>
      </w:r>
      <w:r>
        <w:rPr>
          <w:rFonts w:ascii="Arial" w:hAnsi="Arial" w:cs="Arial" w:hint="eastAsia"/>
          <w:kern w:val="2"/>
          <w:sz w:val="21"/>
          <w:szCs w:val="21"/>
        </w:rPr>
        <w:t>有效</w:t>
      </w:r>
      <w:r>
        <w:rPr>
          <w:rFonts w:ascii="Arial" w:hAnsi="Arial" w:cs="Arial"/>
          <w:kern w:val="2"/>
          <w:sz w:val="21"/>
          <w:szCs w:val="21"/>
        </w:rPr>
        <w:t>。</w:t>
      </w:r>
    </w:p>
    <w:p w14:paraId="38DE1254" w14:textId="77777777" w:rsidR="00AF6F34" w:rsidRDefault="00AF6F34">
      <w:pPr>
        <w:pStyle w:val="1"/>
        <w:spacing w:line="360" w:lineRule="auto"/>
        <w:jc w:val="center"/>
      </w:pPr>
      <w:bookmarkStart w:id="6" w:name="_Toc161661004"/>
      <w:r>
        <w:rPr>
          <w:rFonts w:eastAsia="方正黑体简体" w:hint="eastAsia"/>
          <w:b w:val="0"/>
          <w:kern w:val="2"/>
          <w:sz w:val="32"/>
          <w:szCs w:val="32"/>
        </w:rPr>
        <w:lastRenderedPageBreak/>
        <w:t>估价结果报告</w:t>
      </w:r>
      <w:bookmarkEnd w:id="6"/>
    </w:p>
    <w:p w14:paraId="3A71EE5E" w14:textId="77777777" w:rsidR="00AF6F34" w:rsidRDefault="00AF6F34">
      <w:pPr>
        <w:pStyle w:val="2"/>
        <w:numPr>
          <w:ilvl w:val="0"/>
          <w:numId w:val="0"/>
        </w:numPr>
        <w:overflowPunct w:val="0"/>
        <w:spacing w:line="480" w:lineRule="auto"/>
        <w:ind w:left="358" w:hanging="358"/>
        <w:jc w:val="both"/>
        <w:textAlignment w:val="auto"/>
      </w:pPr>
      <w:bookmarkStart w:id="7" w:name="_Toc161661005"/>
      <w:r>
        <w:rPr>
          <w:rFonts w:eastAsia="宋体"/>
          <w:kern w:val="2"/>
          <w:sz w:val="21"/>
          <w:szCs w:val="21"/>
        </w:rPr>
        <w:t>一、估价委托人</w:t>
      </w:r>
      <w:bookmarkEnd w:id="7"/>
    </w:p>
    <w:p w14:paraId="3FD25B6C" w14:textId="77777777" w:rsidR="00AF6F34" w:rsidRDefault="00AF6F34">
      <w:pPr>
        <w:overflowPunct w:val="0"/>
        <w:spacing w:line="480" w:lineRule="auto"/>
        <w:ind w:firstLine="420"/>
        <w:jc w:val="both"/>
        <w:textAlignment w:val="auto"/>
      </w:pPr>
      <w:r>
        <w:rPr>
          <w:rFonts w:ascii="Arial" w:hAnsi="Arial" w:cs="Arial"/>
          <w:sz w:val="21"/>
          <w:szCs w:val="21"/>
        </w:rPr>
        <w:t>估价委托人为</w:t>
      </w:r>
      <w:r w:rsidR="00DE3E5A">
        <w:rPr>
          <w:rFonts w:ascii="Arial" w:hAnsi="Arial" w:cs="Arial" w:hint="eastAsia"/>
          <w:sz w:val="21"/>
          <w:szCs w:val="21"/>
        </w:rPr>
        <w:t>北京亦庄国际人才发展集团有限公司</w:t>
      </w:r>
      <w:r>
        <w:rPr>
          <w:rFonts w:ascii="Arial" w:hAnsi="Arial" w:cs="Arial"/>
          <w:sz w:val="21"/>
          <w:szCs w:val="21"/>
        </w:rPr>
        <w:t>。</w:t>
      </w:r>
    </w:p>
    <w:p w14:paraId="040A1ED2" w14:textId="77777777" w:rsidR="00AF6F34" w:rsidRDefault="00AF6F34">
      <w:pPr>
        <w:overflowPunct w:val="0"/>
        <w:spacing w:line="480" w:lineRule="auto"/>
        <w:ind w:firstLine="420"/>
        <w:jc w:val="both"/>
        <w:textAlignment w:val="auto"/>
      </w:pPr>
      <w:r>
        <w:rPr>
          <w:rFonts w:ascii="Arial" w:hAnsi="Arial" w:cs="Arial"/>
          <w:sz w:val="21"/>
          <w:szCs w:val="21"/>
        </w:rPr>
        <w:t>单位名称：</w:t>
      </w:r>
      <w:r w:rsidR="00DE3E5A">
        <w:rPr>
          <w:rFonts w:ascii="Arial" w:hAnsi="Arial" w:cs="Arial" w:hint="eastAsia"/>
          <w:sz w:val="21"/>
          <w:szCs w:val="21"/>
        </w:rPr>
        <w:t>北京亦庄国际人才发展集团有限公司</w:t>
      </w:r>
    </w:p>
    <w:p w14:paraId="134D16F0" w14:textId="77777777" w:rsidR="00AF6F34" w:rsidRDefault="00AF6F34">
      <w:pPr>
        <w:overflowPunct w:val="0"/>
        <w:spacing w:line="480" w:lineRule="auto"/>
        <w:ind w:firstLine="420"/>
        <w:jc w:val="both"/>
        <w:textAlignment w:val="auto"/>
      </w:pPr>
      <w:r>
        <w:rPr>
          <w:rFonts w:ascii="Arial" w:hAnsi="Arial" w:cs="Arial" w:hint="eastAsia"/>
          <w:sz w:val="21"/>
          <w:szCs w:val="21"/>
        </w:rPr>
        <w:t>地</w:t>
      </w:r>
      <w:r>
        <w:rPr>
          <w:rFonts w:ascii="Arial" w:eastAsia="Arial" w:hAnsi="Arial" w:cs="Arial" w:hint="eastAsia"/>
          <w:sz w:val="21"/>
          <w:szCs w:val="21"/>
        </w:rPr>
        <w:t xml:space="preserve">    </w:t>
      </w:r>
      <w:r>
        <w:rPr>
          <w:rFonts w:ascii="Arial" w:hAnsi="Arial" w:cs="Arial" w:hint="eastAsia"/>
          <w:sz w:val="21"/>
          <w:szCs w:val="21"/>
        </w:rPr>
        <w:t>址</w:t>
      </w:r>
      <w:r>
        <w:rPr>
          <w:rFonts w:ascii="Arial" w:hAnsi="Arial" w:cs="Arial"/>
          <w:sz w:val="21"/>
          <w:szCs w:val="21"/>
        </w:rPr>
        <w:t>：</w:t>
      </w:r>
      <w:r>
        <w:rPr>
          <w:rFonts w:ascii="Arial" w:hAnsi="Arial" w:cs="Arial" w:hint="eastAsia"/>
          <w:sz w:val="21"/>
          <w:szCs w:val="21"/>
        </w:rPr>
        <w:t>北京市北京经济技术开发区</w:t>
      </w:r>
      <w:r w:rsidR="00BF68D2">
        <w:rPr>
          <w:rFonts w:ascii="Arial" w:hAnsi="Arial" w:cs="Arial" w:hint="eastAsia"/>
          <w:sz w:val="21"/>
          <w:szCs w:val="21"/>
        </w:rPr>
        <w:t>荣华南路</w:t>
      </w:r>
      <w:r w:rsidR="00BF68D2">
        <w:rPr>
          <w:rFonts w:ascii="Arial" w:hAnsi="Arial" w:cs="Arial" w:hint="eastAsia"/>
          <w:sz w:val="21"/>
          <w:szCs w:val="21"/>
        </w:rPr>
        <w:t>1</w:t>
      </w:r>
      <w:r w:rsidR="00BF68D2">
        <w:rPr>
          <w:rFonts w:ascii="Arial" w:hAnsi="Arial" w:cs="Arial"/>
          <w:sz w:val="21"/>
          <w:szCs w:val="21"/>
        </w:rPr>
        <w:t>3</w:t>
      </w:r>
      <w:r w:rsidR="00BF68D2">
        <w:rPr>
          <w:rFonts w:ascii="Arial" w:hAnsi="Arial" w:cs="Arial"/>
          <w:sz w:val="21"/>
          <w:szCs w:val="21"/>
        </w:rPr>
        <w:t>号院</w:t>
      </w:r>
      <w:r w:rsidR="00BF68D2">
        <w:rPr>
          <w:rFonts w:ascii="Arial" w:hAnsi="Arial" w:cs="Arial" w:hint="eastAsia"/>
          <w:sz w:val="21"/>
          <w:szCs w:val="21"/>
        </w:rPr>
        <w:t>2</w:t>
      </w:r>
      <w:r w:rsidR="00BF68D2">
        <w:rPr>
          <w:rFonts w:ascii="Arial" w:hAnsi="Arial" w:cs="Arial" w:hint="eastAsia"/>
          <w:sz w:val="21"/>
          <w:szCs w:val="21"/>
        </w:rPr>
        <w:t>号楼</w:t>
      </w:r>
      <w:r w:rsidR="00BF68D2">
        <w:rPr>
          <w:rFonts w:ascii="Arial" w:hAnsi="Arial" w:cs="Arial" w:hint="eastAsia"/>
          <w:sz w:val="21"/>
          <w:szCs w:val="21"/>
        </w:rPr>
        <w:t>8</w:t>
      </w:r>
      <w:r w:rsidR="00BF68D2">
        <w:rPr>
          <w:rFonts w:ascii="Arial" w:hAnsi="Arial" w:cs="Arial" w:hint="eastAsia"/>
          <w:sz w:val="21"/>
          <w:szCs w:val="21"/>
        </w:rPr>
        <w:t>层</w:t>
      </w:r>
      <w:r w:rsidR="00BF68D2">
        <w:rPr>
          <w:rFonts w:ascii="Arial" w:hAnsi="Arial" w:cs="Arial" w:hint="eastAsia"/>
          <w:sz w:val="21"/>
          <w:szCs w:val="21"/>
        </w:rPr>
        <w:t>2</w:t>
      </w:r>
      <w:r w:rsidR="00BF68D2">
        <w:rPr>
          <w:rFonts w:ascii="Arial" w:hAnsi="Arial" w:cs="Arial"/>
          <w:sz w:val="21"/>
          <w:szCs w:val="21"/>
        </w:rPr>
        <w:t>01-8</w:t>
      </w:r>
    </w:p>
    <w:p w14:paraId="0F75B4F4" w14:textId="1C09F032" w:rsidR="00AF6F34" w:rsidRDefault="00AF6F34">
      <w:pPr>
        <w:overflowPunct w:val="0"/>
        <w:spacing w:line="480" w:lineRule="auto"/>
        <w:ind w:firstLine="420"/>
        <w:jc w:val="both"/>
        <w:textAlignment w:val="auto"/>
      </w:pPr>
      <w:r>
        <w:rPr>
          <w:rFonts w:ascii="Arial" w:hAnsi="Arial" w:cs="Arial" w:hint="eastAsia"/>
          <w:sz w:val="21"/>
          <w:szCs w:val="21"/>
        </w:rPr>
        <w:t>联</w:t>
      </w:r>
      <w:r>
        <w:rPr>
          <w:rFonts w:ascii="Arial" w:eastAsia="Arial" w:hAnsi="Arial" w:cs="Arial" w:hint="eastAsia"/>
          <w:sz w:val="21"/>
          <w:szCs w:val="21"/>
        </w:rPr>
        <w:t xml:space="preserve"> </w:t>
      </w:r>
      <w:r>
        <w:rPr>
          <w:rFonts w:ascii="Arial" w:hAnsi="Arial" w:cs="Arial" w:hint="eastAsia"/>
          <w:sz w:val="21"/>
          <w:szCs w:val="21"/>
        </w:rPr>
        <w:t>系</w:t>
      </w:r>
      <w:r>
        <w:rPr>
          <w:rFonts w:ascii="Arial" w:eastAsia="Arial" w:hAnsi="Arial" w:cs="Arial" w:hint="eastAsia"/>
          <w:sz w:val="21"/>
          <w:szCs w:val="21"/>
        </w:rPr>
        <w:t xml:space="preserve"> </w:t>
      </w:r>
      <w:r>
        <w:rPr>
          <w:rFonts w:ascii="Arial" w:hAnsi="Arial" w:cs="Arial" w:hint="eastAsia"/>
          <w:sz w:val="21"/>
          <w:szCs w:val="21"/>
        </w:rPr>
        <w:t>人：</w:t>
      </w:r>
      <w:r w:rsidR="00D517EB">
        <w:rPr>
          <w:rFonts w:ascii="Arial" w:hAnsi="Arial" w:cs="Arial" w:hint="eastAsia"/>
          <w:sz w:val="21"/>
          <w:szCs w:val="21"/>
        </w:rPr>
        <w:t>韩淳</w:t>
      </w:r>
    </w:p>
    <w:p w14:paraId="31ABBE39" w14:textId="77777777" w:rsidR="00AF6F34" w:rsidRDefault="00AF6F34">
      <w:pPr>
        <w:overflowPunct w:val="0"/>
        <w:spacing w:line="480" w:lineRule="auto"/>
        <w:ind w:firstLine="420"/>
        <w:jc w:val="both"/>
        <w:textAlignment w:val="auto"/>
        <w:rPr>
          <w:rFonts w:ascii="Arial" w:hAnsi="Arial" w:cs="Arial"/>
          <w:sz w:val="21"/>
          <w:szCs w:val="21"/>
        </w:rPr>
      </w:pPr>
    </w:p>
    <w:p w14:paraId="24AD526C" w14:textId="77777777" w:rsidR="00AF6F34" w:rsidRDefault="00AF6F34">
      <w:pPr>
        <w:pStyle w:val="2"/>
        <w:numPr>
          <w:ilvl w:val="0"/>
          <w:numId w:val="0"/>
        </w:numPr>
        <w:overflowPunct w:val="0"/>
        <w:spacing w:line="480" w:lineRule="auto"/>
        <w:ind w:left="358" w:hanging="358"/>
        <w:jc w:val="both"/>
        <w:textAlignment w:val="auto"/>
      </w:pPr>
      <w:bookmarkStart w:id="8" w:name="_Toc161661006"/>
      <w:r>
        <w:rPr>
          <w:rFonts w:eastAsia="宋体"/>
          <w:kern w:val="2"/>
          <w:sz w:val="21"/>
          <w:szCs w:val="21"/>
        </w:rPr>
        <w:t>二、房地产估价机构</w:t>
      </w:r>
      <w:bookmarkEnd w:id="8"/>
    </w:p>
    <w:p w14:paraId="283FB82D" w14:textId="77777777" w:rsidR="00AF6F34" w:rsidRDefault="00AF6F34">
      <w:pPr>
        <w:overflowPunct w:val="0"/>
        <w:spacing w:line="480" w:lineRule="auto"/>
        <w:ind w:firstLine="420"/>
        <w:jc w:val="both"/>
      </w:pPr>
      <w:r>
        <w:rPr>
          <w:rFonts w:ascii="Arial" w:hAnsi="Arial" w:cs="Arial" w:hint="eastAsia"/>
          <w:sz w:val="21"/>
          <w:szCs w:val="21"/>
        </w:rPr>
        <w:t>受托机构：北京康正宏基房地产评估有限公司</w:t>
      </w:r>
    </w:p>
    <w:p w14:paraId="2F896001" w14:textId="77777777" w:rsidR="00AF6F34" w:rsidRDefault="00AF6F34">
      <w:pPr>
        <w:overflowPunct w:val="0"/>
        <w:spacing w:line="480" w:lineRule="auto"/>
        <w:ind w:firstLine="420"/>
        <w:jc w:val="both"/>
      </w:pPr>
      <w:r>
        <w:rPr>
          <w:rFonts w:ascii="Arial" w:hAnsi="Arial" w:cs="Arial" w:hint="eastAsia"/>
          <w:sz w:val="21"/>
          <w:szCs w:val="21"/>
        </w:rPr>
        <w:t>资质级别：壹级</w:t>
      </w:r>
    </w:p>
    <w:p w14:paraId="4434CF0B" w14:textId="77777777" w:rsidR="00AF6F34" w:rsidRDefault="00AF6F34">
      <w:pPr>
        <w:overflowPunct w:val="0"/>
        <w:spacing w:line="480" w:lineRule="auto"/>
        <w:ind w:firstLine="420"/>
        <w:jc w:val="both"/>
        <w:textAlignment w:val="auto"/>
      </w:pPr>
      <w:r>
        <w:rPr>
          <w:rFonts w:ascii="Arial" w:hAnsi="Arial" w:cs="Arial" w:hint="eastAsia"/>
          <w:sz w:val="21"/>
          <w:szCs w:val="21"/>
        </w:rPr>
        <w:t>资格证书号：建房估备字</w:t>
      </w:r>
      <w:r>
        <w:rPr>
          <w:rFonts w:ascii="Arial" w:hAnsi="Arial" w:cs="Arial" w:hint="eastAsia"/>
          <w:sz w:val="21"/>
          <w:szCs w:val="21"/>
        </w:rPr>
        <w:t>[2013</w:t>
      </w:r>
      <w:r>
        <w:rPr>
          <w:rFonts w:ascii="Arial" w:hAnsi="Arial" w:cs="Arial" w:hint="eastAsia"/>
          <w:sz w:val="21"/>
          <w:szCs w:val="21"/>
        </w:rPr>
        <w:t>第</w:t>
      </w:r>
      <w:r>
        <w:rPr>
          <w:rFonts w:ascii="Arial" w:hAnsi="Arial" w:cs="Arial" w:hint="eastAsia"/>
          <w:sz w:val="21"/>
          <w:szCs w:val="21"/>
        </w:rPr>
        <w:t>]081</w:t>
      </w:r>
      <w:r>
        <w:rPr>
          <w:rFonts w:ascii="Arial" w:hAnsi="Arial" w:cs="Arial" w:hint="eastAsia"/>
          <w:sz w:val="21"/>
          <w:szCs w:val="21"/>
        </w:rPr>
        <w:t>号</w:t>
      </w:r>
    </w:p>
    <w:p w14:paraId="38F7BA2E" w14:textId="71B6B823" w:rsidR="00AF6F34" w:rsidRDefault="00AF6F34">
      <w:pPr>
        <w:overflowPunct w:val="0"/>
        <w:spacing w:line="480" w:lineRule="auto"/>
        <w:ind w:firstLine="420"/>
        <w:jc w:val="both"/>
        <w:textAlignment w:val="auto"/>
      </w:pPr>
      <w:r>
        <w:rPr>
          <w:rFonts w:ascii="Arial" w:hAnsi="Arial" w:cs="Arial" w:hint="eastAsia"/>
          <w:sz w:val="21"/>
          <w:szCs w:val="21"/>
        </w:rPr>
        <w:t>有效期限：</w:t>
      </w:r>
      <w:r w:rsidR="00D517EB" w:rsidRPr="00D517EB">
        <w:rPr>
          <w:rFonts w:ascii="Arial" w:hAnsi="Arial" w:cs="Arial" w:hint="eastAsia"/>
          <w:sz w:val="21"/>
          <w:szCs w:val="21"/>
        </w:rPr>
        <w:t>2025</w:t>
      </w:r>
      <w:r w:rsidR="00D517EB" w:rsidRPr="00D517EB">
        <w:rPr>
          <w:rFonts w:ascii="Arial" w:hAnsi="Arial" w:cs="Arial" w:hint="eastAsia"/>
          <w:sz w:val="21"/>
          <w:szCs w:val="21"/>
        </w:rPr>
        <w:t>年</w:t>
      </w:r>
      <w:r w:rsidR="00D517EB" w:rsidRPr="00D517EB">
        <w:rPr>
          <w:rFonts w:ascii="Arial" w:hAnsi="Arial" w:cs="Arial" w:hint="eastAsia"/>
          <w:sz w:val="21"/>
          <w:szCs w:val="21"/>
        </w:rPr>
        <w:t>7</w:t>
      </w:r>
      <w:r w:rsidR="00D517EB" w:rsidRPr="00D517EB">
        <w:rPr>
          <w:rFonts w:ascii="Arial" w:hAnsi="Arial" w:cs="Arial" w:hint="eastAsia"/>
          <w:sz w:val="21"/>
          <w:szCs w:val="21"/>
        </w:rPr>
        <w:t>月</w:t>
      </w:r>
      <w:r w:rsidR="00D517EB" w:rsidRPr="00D517EB">
        <w:rPr>
          <w:rFonts w:ascii="Arial" w:hAnsi="Arial" w:cs="Arial" w:hint="eastAsia"/>
          <w:sz w:val="21"/>
          <w:szCs w:val="21"/>
        </w:rPr>
        <w:t>1</w:t>
      </w:r>
      <w:r w:rsidR="00D517EB" w:rsidRPr="00D517EB">
        <w:rPr>
          <w:rFonts w:ascii="Arial" w:hAnsi="Arial" w:cs="Arial" w:hint="eastAsia"/>
          <w:sz w:val="21"/>
          <w:szCs w:val="21"/>
        </w:rPr>
        <w:t>日至</w:t>
      </w:r>
      <w:r w:rsidR="00D517EB" w:rsidRPr="00D517EB">
        <w:rPr>
          <w:rFonts w:ascii="Arial" w:hAnsi="Arial" w:cs="Arial" w:hint="eastAsia"/>
          <w:sz w:val="21"/>
          <w:szCs w:val="21"/>
        </w:rPr>
        <w:t>2028</w:t>
      </w:r>
      <w:r w:rsidR="00D517EB" w:rsidRPr="00D517EB">
        <w:rPr>
          <w:rFonts w:ascii="Arial" w:hAnsi="Arial" w:cs="Arial" w:hint="eastAsia"/>
          <w:sz w:val="21"/>
          <w:szCs w:val="21"/>
        </w:rPr>
        <w:t>年</w:t>
      </w:r>
      <w:r w:rsidR="00D517EB" w:rsidRPr="00D517EB">
        <w:rPr>
          <w:rFonts w:ascii="Arial" w:hAnsi="Arial" w:cs="Arial" w:hint="eastAsia"/>
          <w:sz w:val="21"/>
          <w:szCs w:val="21"/>
        </w:rPr>
        <w:t>6</w:t>
      </w:r>
      <w:r w:rsidR="00D517EB" w:rsidRPr="00D517EB">
        <w:rPr>
          <w:rFonts w:ascii="Arial" w:hAnsi="Arial" w:cs="Arial" w:hint="eastAsia"/>
          <w:sz w:val="21"/>
          <w:szCs w:val="21"/>
        </w:rPr>
        <w:t>月</w:t>
      </w:r>
      <w:r w:rsidR="00D517EB" w:rsidRPr="00D517EB">
        <w:rPr>
          <w:rFonts w:ascii="Arial" w:hAnsi="Arial" w:cs="Arial" w:hint="eastAsia"/>
          <w:sz w:val="21"/>
          <w:szCs w:val="21"/>
        </w:rPr>
        <w:t>30</w:t>
      </w:r>
      <w:r w:rsidR="00D517EB" w:rsidRPr="00D517EB">
        <w:rPr>
          <w:rFonts w:ascii="Arial" w:hAnsi="Arial" w:cs="Arial" w:hint="eastAsia"/>
          <w:sz w:val="21"/>
          <w:szCs w:val="21"/>
        </w:rPr>
        <w:t>日</w:t>
      </w:r>
    </w:p>
    <w:p w14:paraId="12AE40BE" w14:textId="77777777" w:rsidR="00AF6F34" w:rsidRDefault="00AF6F34">
      <w:pPr>
        <w:overflowPunct w:val="0"/>
        <w:spacing w:line="480" w:lineRule="auto"/>
        <w:ind w:firstLine="420"/>
        <w:jc w:val="both"/>
        <w:textAlignment w:val="auto"/>
      </w:pPr>
      <w:r>
        <w:rPr>
          <w:rFonts w:ascii="Arial" w:hAnsi="Arial" w:cs="Arial" w:hint="eastAsia"/>
          <w:sz w:val="21"/>
          <w:szCs w:val="21"/>
        </w:rPr>
        <w:t>注册地址：北京市丰台区芳城园一区</w:t>
      </w:r>
      <w:r>
        <w:rPr>
          <w:rFonts w:ascii="Arial" w:hAnsi="Arial" w:cs="Arial" w:hint="eastAsia"/>
          <w:sz w:val="21"/>
          <w:szCs w:val="21"/>
        </w:rPr>
        <w:t>16</w:t>
      </w:r>
      <w:r>
        <w:rPr>
          <w:rFonts w:ascii="Arial" w:hAnsi="Arial" w:cs="Arial" w:hint="eastAsia"/>
          <w:sz w:val="21"/>
          <w:szCs w:val="21"/>
        </w:rPr>
        <w:t>号楼</w:t>
      </w:r>
      <w:r>
        <w:rPr>
          <w:rFonts w:ascii="Arial" w:hAnsi="Arial" w:cs="Arial" w:hint="eastAsia"/>
          <w:sz w:val="21"/>
          <w:szCs w:val="21"/>
        </w:rPr>
        <w:t>2</w:t>
      </w:r>
      <w:r>
        <w:rPr>
          <w:rFonts w:ascii="Arial" w:hAnsi="Arial" w:cs="Arial" w:hint="eastAsia"/>
          <w:sz w:val="21"/>
          <w:szCs w:val="21"/>
        </w:rPr>
        <w:t>层</w:t>
      </w:r>
      <w:r>
        <w:rPr>
          <w:rFonts w:ascii="Arial" w:hAnsi="Arial" w:cs="Arial" w:hint="eastAsia"/>
          <w:sz w:val="21"/>
          <w:szCs w:val="21"/>
        </w:rPr>
        <w:t>2</w:t>
      </w:r>
      <w:r>
        <w:rPr>
          <w:rFonts w:ascii="Arial" w:hAnsi="Arial" w:cs="Arial" w:hint="eastAsia"/>
          <w:sz w:val="21"/>
          <w:szCs w:val="21"/>
        </w:rPr>
        <w:t>门配套公建</w:t>
      </w:r>
      <w:r>
        <w:rPr>
          <w:rFonts w:ascii="Arial" w:hAnsi="Arial" w:cs="Arial" w:hint="eastAsia"/>
          <w:sz w:val="21"/>
          <w:szCs w:val="21"/>
        </w:rPr>
        <w:t>01</w:t>
      </w:r>
    </w:p>
    <w:p w14:paraId="41F67E2F" w14:textId="77777777" w:rsidR="00AF6F34" w:rsidRDefault="00AF6F34">
      <w:pPr>
        <w:overflowPunct w:val="0"/>
        <w:spacing w:line="480" w:lineRule="auto"/>
        <w:ind w:firstLine="420"/>
        <w:jc w:val="both"/>
      </w:pPr>
      <w:r>
        <w:rPr>
          <w:rFonts w:ascii="Arial" w:hAnsi="Arial" w:cs="Arial" w:hint="eastAsia"/>
          <w:sz w:val="21"/>
          <w:szCs w:val="21"/>
        </w:rPr>
        <w:t>法定代表人：齐宏</w:t>
      </w:r>
    </w:p>
    <w:p w14:paraId="28539DA7" w14:textId="77777777" w:rsidR="00AF6F34" w:rsidRDefault="00AF6F34">
      <w:pPr>
        <w:overflowPunct w:val="0"/>
        <w:spacing w:line="480" w:lineRule="auto"/>
        <w:ind w:firstLine="420"/>
        <w:jc w:val="both"/>
        <w:textAlignment w:val="auto"/>
      </w:pPr>
      <w:r>
        <w:rPr>
          <w:rFonts w:ascii="Arial" w:hAnsi="Arial" w:cs="Arial"/>
          <w:sz w:val="21"/>
          <w:szCs w:val="21"/>
        </w:rPr>
        <w:t>联</w:t>
      </w:r>
      <w:r>
        <w:rPr>
          <w:rFonts w:ascii="Arial" w:eastAsia="Arial" w:hAnsi="Arial" w:cs="Arial" w:hint="eastAsia"/>
          <w:sz w:val="21"/>
          <w:szCs w:val="21"/>
        </w:rPr>
        <w:t xml:space="preserve"> </w:t>
      </w:r>
      <w:r>
        <w:rPr>
          <w:rFonts w:ascii="Arial" w:hAnsi="Arial" w:cs="Arial"/>
          <w:sz w:val="21"/>
          <w:szCs w:val="21"/>
        </w:rPr>
        <w:t>系</w:t>
      </w:r>
      <w:r>
        <w:rPr>
          <w:rFonts w:ascii="Arial" w:eastAsia="Arial" w:hAnsi="Arial" w:cs="Arial" w:hint="eastAsia"/>
          <w:sz w:val="21"/>
          <w:szCs w:val="21"/>
        </w:rPr>
        <w:t xml:space="preserve"> </w:t>
      </w:r>
      <w:r>
        <w:rPr>
          <w:rFonts w:ascii="Arial" w:hAnsi="Arial" w:cs="Arial"/>
          <w:sz w:val="21"/>
          <w:szCs w:val="21"/>
        </w:rPr>
        <w:t>人：</w:t>
      </w:r>
      <w:r>
        <w:rPr>
          <w:rFonts w:ascii="Arial" w:hAnsi="Arial" w:cs="Arial" w:hint="eastAsia"/>
          <w:sz w:val="21"/>
          <w:szCs w:val="21"/>
        </w:rPr>
        <w:t>常畅</w:t>
      </w:r>
    </w:p>
    <w:p w14:paraId="2AD3DB92" w14:textId="77777777" w:rsidR="00AF6F34" w:rsidRDefault="00AF6F34">
      <w:pPr>
        <w:overflowPunct w:val="0"/>
        <w:spacing w:line="480" w:lineRule="auto"/>
        <w:ind w:firstLine="420"/>
        <w:jc w:val="both"/>
        <w:textAlignment w:val="auto"/>
      </w:pPr>
      <w:r>
        <w:rPr>
          <w:rFonts w:ascii="Arial" w:hAnsi="Arial" w:cs="Arial"/>
          <w:sz w:val="21"/>
          <w:szCs w:val="21"/>
        </w:rPr>
        <w:t>联系电话：</w:t>
      </w:r>
      <w:r>
        <w:rPr>
          <w:rFonts w:ascii="Arial" w:hAnsi="Arial" w:cs="Arial"/>
          <w:sz w:val="21"/>
          <w:szCs w:val="21"/>
        </w:rPr>
        <w:t>010-82253558</w:t>
      </w:r>
    </w:p>
    <w:p w14:paraId="1C9B49F5" w14:textId="77777777" w:rsidR="00AF6F34" w:rsidRDefault="00AF6F34">
      <w:pPr>
        <w:overflowPunct w:val="0"/>
        <w:spacing w:line="480" w:lineRule="auto"/>
        <w:ind w:firstLine="420"/>
        <w:jc w:val="both"/>
        <w:textAlignment w:val="auto"/>
        <w:rPr>
          <w:rFonts w:ascii="Arial" w:hAnsi="Arial" w:cs="Arial"/>
          <w:kern w:val="2"/>
          <w:sz w:val="21"/>
          <w:szCs w:val="21"/>
        </w:rPr>
      </w:pPr>
    </w:p>
    <w:p w14:paraId="0C70EE49" w14:textId="77777777" w:rsidR="00AF6F34" w:rsidRDefault="00AF6F34">
      <w:pPr>
        <w:pStyle w:val="2"/>
        <w:numPr>
          <w:ilvl w:val="0"/>
          <w:numId w:val="0"/>
        </w:numPr>
        <w:overflowPunct w:val="0"/>
        <w:spacing w:line="480" w:lineRule="auto"/>
        <w:ind w:left="358" w:hanging="358"/>
        <w:jc w:val="both"/>
        <w:textAlignment w:val="auto"/>
      </w:pPr>
      <w:bookmarkStart w:id="9" w:name="_Toc161661007"/>
      <w:r>
        <w:rPr>
          <w:rFonts w:eastAsia="宋体"/>
          <w:kern w:val="2"/>
          <w:sz w:val="21"/>
          <w:szCs w:val="21"/>
        </w:rPr>
        <w:t>三、估价目的</w:t>
      </w:r>
      <w:bookmarkEnd w:id="9"/>
    </w:p>
    <w:p w14:paraId="6372156C" w14:textId="77777777" w:rsidR="00AF6F34" w:rsidRDefault="00AF6F34">
      <w:pPr>
        <w:overflowPunct w:val="0"/>
        <w:spacing w:line="480" w:lineRule="auto"/>
        <w:ind w:firstLine="420"/>
        <w:jc w:val="both"/>
        <w:textAlignment w:val="auto"/>
      </w:pPr>
      <w:r>
        <w:rPr>
          <w:rFonts w:ascii="Arial" w:hAnsi="Arial" w:cs="Arial" w:hint="eastAsia"/>
          <w:sz w:val="21"/>
          <w:szCs w:val="21"/>
        </w:rPr>
        <w:t>为估价委托人</w:t>
      </w:r>
      <w:r w:rsidR="00BC3CD9">
        <w:rPr>
          <w:rFonts w:ascii="Arial" w:hAnsi="Arial" w:cs="Arial" w:hint="eastAsia"/>
          <w:sz w:val="21"/>
          <w:szCs w:val="21"/>
        </w:rPr>
        <w:t>确定估价对象</w:t>
      </w:r>
      <w:r w:rsidR="00EF400F">
        <w:rPr>
          <w:rFonts w:ascii="Arial" w:hAnsi="Arial" w:cs="Arial" w:hint="eastAsia"/>
          <w:sz w:val="21"/>
          <w:szCs w:val="21"/>
        </w:rPr>
        <w:t>市场租赁住房</w:t>
      </w:r>
      <w:r w:rsidR="00BC3CD9">
        <w:rPr>
          <w:rFonts w:ascii="Arial" w:hAnsi="Arial" w:cs="Arial" w:hint="eastAsia"/>
          <w:sz w:val="21"/>
          <w:szCs w:val="21"/>
        </w:rPr>
        <w:t>租金水平</w:t>
      </w:r>
      <w:r>
        <w:rPr>
          <w:rFonts w:ascii="Arial" w:hAnsi="Arial" w:cs="Arial" w:hint="eastAsia"/>
          <w:sz w:val="21"/>
          <w:szCs w:val="21"/>
        </w:rPr>
        <w:t>提供参考依据</w:t>
      </w:r>
      <w:r>
        <w:rPr>
          <w:rFonts w:ascii="Arial" w:hAnsi="Arial" w:cs="Arial" w:hint="eastAsia"/>
          <w:kern w:val="2"/>
          <w:sz w:val="21"/>
          <w:szCs w:val="21"/>
        </w:rPr>
        <w:t>。</w:t>
      </w:r>
      <w:r>
        <w:rPr>
          <w:rFonts w:ascii="Arial" w:eastAsia="Arial" w:hAnsi="Arial" w:cs="Arial"/>
          <w:kern w:val="2"/>
          <w:sz w:val="21"/>
          <w:szCs w:val="21"/>
        </w:rPr>
        <w:t xml:space="preserve"> </w:t>
      </w:r>
    </w:p>
    <w:p w14:paraId="2AACC533" w14:textId="77777777" w:rsidR="00AF6F34" w:rsidRDefault="00AF6F34">
      <w:pPr>
        <w:overflowPunct w:val="0"/>
        <w:spacing w:line="480" w:lineRule="auto"/>
        <w:ind w:firstLine="420"/>
        <w:jc w:val="both"/>
        <w:textAlignment w:val="auto"/>
        <w:rPr>
          <w:rFonts w:ascii="Arial" w:hAnsi="Arial" w:cs="Arial"/>
          <w:kern w:val="2"/>
          <w:sz w:val="21"/>
          <w:szCs w:val="21"/>
        </w:rPr>
      </w:pPr>
    </w:p>
    <w:p w14:paraId="4115FDC2" w14:textId="77777777" w:rsidR="00AF6F34" w:rsidRDefault="00AF6F34">
      <w:pPr>
        <w:pStyle w:val="2"/>
        <w:numPr>
          <w:ilvl w:val="0"/>
          <w:numId w:val="0"/>
        </w:numPr>
        <w:overflowPunct w:val="0"/>
        <w:spacing w:line="480" w:lineRule="auto"/>
        <w:ind w:left="358" w:hanging="358"/>
        <w:jc w:val="both"/>
        <w:textAlignment w:val="auto"/>
      </w:pPr>
      <w:bookmarkStart w:id="10" w:name="_Toc161661008"/>
      <w:r>
        <w:rPr>
          <w:rFonts w:eastAsia="宋体"/>
          <w:kern w:val="2"/>
          <w:sz w:val="21"/>
          <w:szCs w:val="21"/>
        </w:rPr>
        <w:t>四、估价对象</w:t>
      </w:r>
      <w:bookmarkEnd w:id="10"/>
    </w:p>
    <w:p w14:paraId="03B4D937" w14:textId="77777777" w:rsidR="00AF6F34" w:rsidRDefault="00AF6F34">
      <w:pPr>
        <w:overflowPunct w:val="0"/>
        <w:spacing w:line="480" w:lineRule="auto"/>
        <w:jc w:val="both"/>
        <w:textAlignment w:val="auto"/>
      </w:pPr>
      <w:r>
        <w:rPr>
          <w:rFonts w:ascii="Arial" w:hAnsi="Arial" w:cs="Arial"/>
          <w:b/>
          <w:kern w:val="2"/>
          <w:sz w:val="21"/>
          <w:szCs w:val="21"/>
        </w:rPr>
        <w:t>（一）估价对象范围</w:t>
      </w:r>
    </w:p>
    <w:p w14:paraId="4BFDCF5F" w14:textId="77777777" w:rsidR="00AF6F34" w:rsidRDefault="00AF6F34">
      <w:pPr>
        <w:overflowPunct w:val="0"/>
        <w:spacing w:line="480" w:lineRule="auto"/>
        <w:ind w:firstLine="420"/>
        <w:jc w:val="both"/>
        <w:textAlignment w:val="auto"/>
      </w:pPr>
      <w:r>
        <w:rPr>
          <w:rFonts w:ascii="Arial" w:hAnsi="Arial" w:cs="Arial" w:hint="eastAsia"/>
          <w:kern w:val="2"/>
          <w:sz w:val="21"/>
          <w:szCs w:val="21"/>
        </w:rPr>
        <w:t>估价对象为北京经济技术开发区</w:t>
      </w:r>
      <w:r w:rsidR="00DE3E5A">
        <w:rPr>
          <w:rFonts w:ascii="Arial" w:hAnsi="Arial" w:cs="Arial" w:hint="eastAsia"/>
          <w:kern w:val="2"/>
          <w:sz w:val="21"/>
          <w:szCs w:val="21"/>
        </w:rPr>
        <w:t>南海家园一里</w:t>
      </w:r>
      <w:r w:rsidR="00DE3E5A">
        <w:rPr>
          <w:rFonts w:ascii="Arial" w:hAnsi="Arial" w:cs="Arial" w:hint="eastAsia"/>
          <w:kern w:val="2"/>
          <w:sz w:val="21"/>
          <w:szCs w:val="21"/>
        </w:rPr>
        <w:t>1</w:t>
      </w:r>
      <w:r w:rsidR="00DE3E5A">
        <w:rPr>
          <w:rFonts w:ascii="Arial" w:hAnsi="Arial" w:cs="Arial" w:hint="eastAsia"/>
          <w:kern w:val="2"/>
          <w:sz w:val="21"/>
          <w:szCs w:val="21"/>
        </w:rPr>
        <w:t>号楼</w:t>
      </w:r>
      <w:r w:rsidR="00DE3E5A">
        <w:rPr>
          <w:rFonts w:ascii="Arial" w:hAnsi="Arial" w:cs="Arial" w:hint="eastAsia"/>
          <w:kern w:val="2"/>
          <w:sz w:val="21"/>
          <w:szCs w:val="21"/>
        </w:rPr>
        <w:t>4</w:t>
      </w:r>
      <w:r w:rsidR="00DE3E5A">
        <w:rPr>
          <w:rFonts w:ascii="Arial" w:hAnsi="Arial" w:cs="Arial" w:hint="eastAsia"/>
          <w:kern w:val="2"/>
          <w:sz w:val="21"/>
          <w:szCs w:val="21"/>
        </w:rPr>
        <w:t>单元</w:t>
      </w:r>
      <w:r w:rsidR="00DE3E5A">
        <w:rPr>
          <w:rFonts w:ascii="Arial" w:hAnsi="Arial" w:cs="Arial" w:hint="eastAsia"/>
          <w:kern w:val="2"/>
          <w:sz w:val="21"/>
          <w:szCs w:val="21"/>
        </w:rPr>
        <w:t>1802</w:t>
      </w:r>
      <w:r>
        <w:rPr>
          <w:rFonts w:ascii="Arial" w:hAnsi="Arial" w:cs="Arial" w:hint="eastAsia"/>
          <w:kern w:val="2"/>
          <w:sz w:val="21"/>
          <w:szCs w:val="21"/>
        </w:rPr>
        <w:t>等</w:t>
      </w:r>
      <w:r w:rsidR="00DE3E5A">
        <w:rPr>
          <w:rFonts w:ascii="Arial" w:hAnsi="Arial" w:cs="Arial" w:hint="eastAsia"/>
          <w:kern w:val="2"/>
          <w:sz w:val="21"/>
          <w:szCs w:val="21"/>
        </w:rPr>
        <w:t>959</w:t>
      </w:r>
      <w:r w:rsidR="00DE3E5A">
        <w:rPr>
          <w:rFonts w:ascii="Arial" w:hAnsi="Arial" w:cs="Arial" w:hint="eastAsia"/>
          <w:kern w:val="2"/>
          <w:sz w:val="21"/>
          <w:szCs w:val="21"/>
        </w:rPr>
        <w:t>套</w:t>
      </w:r>
      <w:r>
        <w:rPr>
          <w:rFonts w:ascii="Arial" w:hAnsi="Arial" w:cs="Arial" w:hint="eastAsia"/>
          <w:kern w:val="2"/>
          <w:sz w:val="21"/>
          <w:szCs w:val="21"/>
        </w:rPr>
        <w:t>（南海家园）住宅用房项目，总建筑面积</w:t>
      </w:r>
      <w:r w:rsidR="00FB51B2">
        <w:rPr>
          <w:rFonts w:ascii="Arial" w:hAnsi="Arial" w:cs="Arial"/>
          <w:kern w:val="2"/>
          <w:sz w:val="21"/>
          <w:szCs w:val="21"/>
        </w:rPr>
        <w:t>74521.94</w:t>
      </w:r>
      <w:r>
        <w:rPr>
          <w:rFonts w:ascii="Arial" w:hAnsi="Arial" w:cs="Arial" w:hint="eastAsia"/>
          <w:kern w:val="2"/>
          <w:sz w:val="21"/>
          <w:szCs w:val="21"/>
        </w:rPr>
        <w:t>平方米。估价对象登记用途为住宅，实际用途为住宅，详见下表：</w:t>
      </w:r>
    </w:p>
    <w:p w14:paraId="630958C9" w14:textId="77777777" w:rsidR="00AF6F34" w:rsidRDefault="00AF6F34">
      <w:pPr>
        <w:overflowPunct w:val="0"/>
        <w:spacing w:line="480" w:lineRule="auto"/>
        <w:ind w:firstLine="420"/>
        <w:jc w:val="both"/>
        <w:textAlignment w:val="auto"/>
        <w:rPr>
          <w:rFonts w:ascii="Arial" w:hAnsi="Arial" w:cs="Arial"/>
          <w:kern w:val="2"/>
          <w:sz w:val="21"/>
          <w:szCs w:val="21"/>
        </w:rPr>
      </w:pPr>
    </w:p>
    <w:tbl>
      <w:tblPr>
        <w:tblW w:w="5000" w:type="pct"/>
        <w:tblInd w:w="-117" w:type="dxa"/>
        <w:tblLayout w:type="fixed"/>
        <w:tblLook w:val="0000" w:firstRow="0" w:lastRow="0" w:firstColumn="0" w:lastColumn="0" w:noHBand="0" w:noVBand="0"/>
      </w:tblPr>
      <w:tblGrid>
        <w:gridCol w:w="1026"/>
        <w:gridCol w:w="1027"/>
        <w:gridCol w:w="1063"/>
        <w:gridCol w:w="1027"/>
        <w:gridCol w:w="1026"/>
        <w:gridCol w:w="1027"/>
        <w:gridCol w:w="1064"/>
        <w:gridCol w:w="1065"/>
        <w:gridCol w:w="1189"/>
      </w:tblGrid>
      <w:tr w:rsidR="000D2D66" w14:paraId="05E41AF1" w14:textId="77777777" w:rsidTr="00972A9A">
        <w:trPr>
          <w:trHeight w:val="23"/>
        </w:trPr>
        <w:tc>
          <w:tcPr>
            <w:tcW w:w="1026" w:type="dxa"/>
            <w:tcBorders>
              <w:top w:val="single" w:sz="4" w:space="0" w:color="000000"/>
              <w:left w:val="single" w:sz="4" w:space="0" w:color="000000"/>
              <w:bottom w:val="single" w:sz="4" w:space="0" w:color="000000"/>
            </w:tcBorders>
            <w:shd w:val="clear" w:color="auto" w:fill="auto"/>
            <w:vAlign w:val="center"/>
          </w:tcPr>
          <w:p w14:paraId="789FF8B9"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lastRenderedPageBreak/>
              <w:t>户型</w:t>
            </w:r>
          </w:p>
        </w:tc>
        <w:tc>
          <w:tcPr>
            <w:tcW w:w="1027" w:type="dxa"/>
            <w:tcBorders>
              <w:top w:val="single" w:sz="4" w:space="0" w:color="000000"/>
              <w:left w:val="single" w:sz="4" w:space="0" w:color="000000"/>
              <w:bottom w:val="single" w:sz="4" w:space="0" w:color="000000"/>
            </w:tcBorders>
            <w:shd w:val="clear" w:color="auto" w:fill="auto"/>
            <w:vAlign w:val="center"/>
          </w:tcPr>
          <w:p w14:paraId="2C15CC04"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南海家园一里</w:t>
            </w:r>
          </w:p>
        </w:tc>
        <w:tc>
          <w:tcPr>
            <w:tcW w:w="1063" w:type="dxa"/>
            <w:tcBorders>
              <w:top w:val="single" w:sz="4" w:space="0" w:color="000000"/>
              <w:left w:val="single" w:sz="4" w:space="0" w:color="000000"/>
              <w:bottom w:val="single" w:sz="4" w:space="0" w:color="000000"/>
            </w:tcBorders>
            <w:shd w:val="clear" w:color="auto" w:fill="auto"/>
            <w:vAlign w:val="center"/>
          </w:tcPr>
          <w:p w14:paraId="5B408434"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南海家园二里</w:t>
            </w:r>
          </w:p>
        </w:tc>
        <w:tc>
          <w:tcPr>
            <w:tcW w:w="1027" w:type="dxa"/>
            <w:tcBorders>
              <w:top w:val="single" w:sz="4" w:space="0" w:color="000000"/>
              <w:left w:val="single" w:sz="4" w:space="0" w:color="000000"/>
              <w:bottom w:val="single" w:sz="4" w:space="0" w:color="000000"/>
            </w:tcBorders>
            <w:shd w:val="clear" w:color="auto" w:fill="auto"/>
            <w:vAlign w:val="center"/>
          </w:tcPr>
          <w:p w14:paraId="551C950F"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南海家园三里</w:t>
            </w:r>
          </w:p>
        </w:tc>
        <w:tc>
          <w:tcPr>
            <w:tcW w:w="1026" w:type="dxa"/>
            <w:tcBorders>
              <w:top w:val="single" w:sz="4" w:space="0" w:color="000000"/>
              <w:left w:val="single" w:sz="4" w:space="0" w:color="000000"/>
              <w:bottom w:val="single" w:sz="4" w:space="0" w:color="000000"/>
            </w:tcBorders>
            <w:shd w:val="clear" w:color="auto" w:fill="auto"/>
            <w:vAlign w:val="center"/>
          </w:tcPr>
          <w:p w14:paraId="448F35F1"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南海家园四里</w:t>
            </w:r>
          </w:p>
        </w:tc>
        <w:tc>
          <w:tcPr>
            <w:tcW w:w="1027" w:type="dxa"/>
            <w:tcBorders>
              <w:top w:val="single" w:sz="4" w:space="0" w:color="000000"/>
              <w:left w:val="single" w:sz="4" w:space="0" w:color="000000"/>
              <w:bottom w:val="single" w:sz="4" w:space="0" w:color="000000"/>
            </w:tcBorders>
            <w:shd w:val="clear" w:color="auto" w:fill="auto"/>
            <w:vAlign w:val="center"/>
          </w:tcPr>
          <w:p w14:paraId="4515420E"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南海家园五里</w:t>
            </w:r>
          </w:p>
        </w:tc>
        <w:tc>
          <w:tcPr>
            <w:tcW w:w="1064" w:type="dxa"/>
            <w:tcBorders>
              <w:top w:val="single" w:sz="4" w:space="0" w:color="000000"/>
              <w:left w:val="single" w:sz="4" w:space="0" w:color="000000"/>
              <w:bottom w:val="single" w:sz="4" w:space="0" w:color="000000"/>
            </w:tcBorders>
            <w:shd w:val="clear" w:color="auto" w:fill="auto"/>
            <w:vAlign w:val="center"/>
          </w:tcPr>
          <w:p w14:paraId="5B93F551"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南海家园六里</w:t>
            </w:r>
          </w:p>
        </w:tc>
        <w:tc>
          <w:tcPr>
            <w:tcW w:w="1065" w:type="dxa"/>
            <w:tcBorders>
              <w:top w:val="single" w:sz="4" w:space="0" w:color="000000"/>
              <w:left w:val="single" w:sz="4" w:space="0" w:color="000000"/>
              <w:bottom w:val="single" w:sz="4" w:space="0" w:color="000000"/>
            </w:tcBorders>
            <w:shd w:val="clear" w:color="auto" w:fill="auto"/>
            <w:vAlign w:val="center"/>
          </w:tcPr>
          <w:p w14:paraId="56370349"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南海家园七里</w:t>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5DFB7"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小计</w:t>
            </w:r>
          </w:p>
        </w:tc>
      </w:tr>
      <w:tr w:rsidR="000D2D66" w14:paraId="5665FCAB" w14:textId="77777777" w:rsidTr="00972A9A">
        <w:trPr>
          <w:trHeight w:val="23"/>
        </w:trPr>
        <w:tc>
          <w:tcPr>
            <w:tcW w:w="1026" w:type="dxa"/>
            <w:tcBorders>
              <w:left w:val="single" w:sz="4" w:space="0" w:color="000000"/>
              <w:bottom w:val="single" w:sz="4" w:space="0" w:color="000000"/>
            </w:tcBorders>
            <w:shd w:val="clear" w:color="auto" w:fill="auto"/>
            <w:vAlign w:val="center"/>
          </w:tcPr>
          <w:p w14:paraId="1AEA5084"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一居</w:t>
            </w:r>
          </w:p>
        </w:tc>
        <w:tc>
          <w:tcPr>
            <w:tcW w:w="1027" w:type="dxa"/>
            <w:tcBorders>
              <w:left w:val="single" w:sz="4" w:space="0" w:color="000000"/>
              <w:bottom w:val="single" w:sz="4" w:space="0" w:color="000000"/>
            </w:tcBorders>
            <w:shd w:val="clear" w:color="auto" w:fill="auto"/>
            <w:vAlign w:val="center"/>
          </w:tcPr>
          <w:p w14:paraId="2A1F9DF0"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14</w:t>
            </w:r>
          </w:p>
        </w:tc>
        <w:tc>
          <w:tcPr>
            <w:tcW w:w="1063" w:type="dxa"/>
            <w:tcBorders>
              <w:left w:val="single" w:sz="4" w:space="0" w:color="000000"/>
              <w:bottom w:val="single" w:sz="4" w:space="0" w:color="000000"/>
            </w:tcBorders>
            <w:shd w:val="clear" w:color="auto" w:fill="auto"/>
            <w:vAlign w:val="center"/>
          </w:tcPr>
          <w:p w14:paraId="19FACCB1"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72</w:t>
            </w:r>
          </w:p>
        </w:tc>
        <w:tc>
          <w:tcPr>
            <w:tcW w:w="1027" w:type="dxa"/>
            <w:tcBorders>
              <w:left w:val="single" w:sz="4" w:space="0" w:color="000000"/>
              <w:bottom w:val="single" w:sz="4" w:space="0" w:color="000000"/>
            </w:tcBorders>
            <w:shd w:val="clear" w:color="auto" w:fill="auto"/>
            <w:vAlign w:val="center"/>
          </w:tcPr>
          <w:p w14:paraId="458B673C"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12</w:t>
            </w:r>
          </w:p>
        </w:tc>
        <w:tc>
          <w:tcPr>
            <w:tcW w:w="1026" w:type="dxa"/>
            <w:tcBorders>
              <w:left w:val="single" w:sz="4" w:space="0" w:color="000000"/>
              <w:bottom w:val="single" w:sz="4" w:space="0" w:color="000000"/>
            </w:tcBorders>
            <w:shd w:val="clear" w:color="auto" w:fill="auto"/>
            <w:vAlign w:val="center"/>
          </w:tcPr>
          <w:p w14:paraId="100446D6"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29</w:t>
            </w:r>
          </w:p>
        </w:tc>
        <w:tc>
          <w:tcPr>
            <w:tcW w:w="1027" w:type="dxa"/>
            <w:tcBorders>
              <w:left w:val="single" w:sz="4" w:space="0" w:color="000000"/>
              <w:bottom w:val="single" w:sz="4" w:space="0" w:color="000000"/>
            </w:tcBorders>
            <w:shd w:val="clear" w:color="auto" w:fill="auto"/>
            <w:vAlign w:val="center"/>
          </w:tcPr>
          <w:p w14:paraId="0F1E31A6"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15</w:t>
            </w:r>
          </w:p>
        </w:tc>
        <w:tc>
          <w:tcPr>
            <w:tcW w:w="1064" w:type="dxa"/>
            <w:tcBorders>
              <w:left w:val="single" w:sz="4" w:space="0" w:color="000000"/>
              <w:bottom w:val="single" w:sz="4" w:space="0" w:color="000000"/>
            </w:tcBorders>
            <w:shd w:val="clear" w:color="auto" w:fill="auto"/>
            <w:vAlign w:val="center"/>
          </w:tcPr>
          <w:p w14:paraId="14635FBC"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90</w:t>
            </w:r>
          </w:p>
        </w:tc>
        <w:tc>
          <w:tcPr>
            <w:tcW w:w="1065" w:type="dxa"/>
            <w:tcBorders>
              <w:left w:val="single" w:sz="4" w:space="0" w:color="000000"/>
              <w:bottom w:val="single" w:sz="4" w:space="0" w:color="000000"/>
            </w:tcBorders>
            <w:shd w:val="clear" w:color="auto" w:fill="auto"/>
            <w:vAlign w:val="center"/>
          </w:tcPr>
          <w:p w14:paraId="435C6C24"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262</w:t>
            </w:r>
          </w:p>
        </w:tc>
        <w:tc>
          <w:tcPr>
            <w:tcW w:w="1189" w:type="dxa"/>
            <w:tcBorders>
              <w:left w:val="single" w:sz="4" w:space="0" w:color="000000"/>
              <w:bottom w:val="single" w:sz="4" w:space="0" w:color="000000"/>
              <w:right w:val="single" w:sz="4" w:space="0" w:color="000000"/>
            </w:tcBorders>
            <w:shd w:val="clear" w:color="auto" w:fill="auto"/>
            <w:vAlign w:val="center"/>
          </w:tcPr>
          <w:p w14:paraId="4BAD676F"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494</w:t>
            </w:r>
          </w:p>
        </w:tc>
      </w:tr>
      <w:tr w:rsidR="000D2D66" w14:paraId="116DC3DC" w14:textId="77777777" w:rsidTr="00972A9A">
        <w:trPr>
          <w:trHeight w:val="23"/>
        </w:trPr>
        <w:tc>
          <w:tcPr>
            <w:tcW w:w="1026" w:type="dxa"/>
            <w:tcBorders>
              <w:left w:val="single" w:sz="4" w:space="0" w:color="000000"/>
              <w:bottom w:val="single" w:sz="4" w:space="0" w:color="000000"/>
            </w:tcBorders>
            <w:shd w:val="clear" w:color="auto" w:fill="auto"/>
            <w:vAlign w:val="center"/>
          </w:tcPr>
          <w:p w14:paraId="219B02D1"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二居</w:t>
            </w:r>
          </w:p>
        </w:tc>
        <w:tc>
          <w:tcPr>
            <w:tcW w:w="1027" w:type="dxa"/>
            <w:tcBorders>
              <w:left w:val="single" w:sz="4" w:space="0" w:color="000000"/>
              <w:bottom w:val="single" w:sz="4" w:space="0" w:color="000000"/>
            </w:tcBorders>
            <w:shd w:val="clear" w:color="auto" w:fill="auto"/>
            <w:vAlign w:val="center"/>
          </w:tcPr>
          <w:p w14:paraId="52C7C578"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30</w:t>
            </w:r>
          </w:p>
        </w:tc>
        <w:tc>
          <w:tcPr>
            <w:tcW w:w="1063" w:type="dxa"/>
            <w:tcBorders>
              <w:left w:val="single" w:sz="4" w:space="0" w:color="000000"/>
              <w:bottom w:val="single" w:sz="4" w:space="0" w:color="000000"/>
            </w:tcBorders>
            <w:shd w:val="clear" w:color="auto" w:fill="auto"/>
            <w:vAlign w:val="center"/>
          </w:tcPr>
          <w:p w14:paraId="54EF799D"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103</w:t>
            </w:r>
          </w:p>
        </w:tc>
        <w:tc>
          <w:tcPr>
            <w:tcW w:w="1027" w:type="dxa"/>
            <w:tcBorders>
              <w:left w:val="single" w:sz="4" w:space="0" w:color="000000"/>
              <w:bottom w:val="single" w:sz="4" w:space="0" w:color="000000"/>
            </w:tcBorders>
            <w:shd w:val="clear" w:color="auto" w:fill="auto"/>
            <w:vAlign w:val="center"/>
          </w:tcPr>
          <w:p w14:paraId="021960E5"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50</w:t>
            </w:r>
          </w:p>
        </w:tc>
        <w:tc>
          <w:tcPr>
            <w:tcW w:w="1026" w:type="dxa"/>
            <w:tcBorders>
              <w:left w:val="single" w:sz="4" w:space="0" w:color="000000"/>
              <w:bottom w:val="single" w:sz="4" w:space="0" w:color="000000"/>
            </w:tcBorders>
            <w:shd w:val="clear" w:color="auto" w:fill="auto"/>
            <w:vAlign w:val="center"/>
          </w:tcPr>
          <w:p w14:paraId="22A6D10A"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82</w:t>
            </w:r>
          </w:p>
        </w:tc>
        <w:tc>
          <w:tcPr>
            <w:tcW w:w="1027" w:type="dxa"/>
            <w:tcBorders>
              <w:left w:val="single" w:sz="4" w:space="0" w:color="000000"/>
              <w:bottom w:val="single" w:sz="4" w:space="0" w:color="000000"/>
            </w:tcBorders>
            <w:shd w:val="clear" w:color="auto" w:fill="auto"/>
            <w:vAlign w:val="center"/>
          </w:tcPr>
          <w:p w14:paraId="74AE27AD"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60</w:t>
            </w:r>
          </w:p>
        </w:tc>
        <w:tc>
          <w:tcPr>
            <w:tcW w:w="1064" w:type="dxa"/>
            <w:tcBorders>
              <w:left w:val="single" w:sz="4" w:space="0" w:color="000000"/>
              <w:bottom w:val="single" w:sz="4" w:space="0" w:color="000000"/>
            </w:tcBorders>
            <w:shd w:val="clear" w:color="auto" w:fill="auto"/>
            <w:vAlign w:val="center"/>
          </w:tcPr>
          <w:p w14:paraId="58350DC9"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66</w:t>
            </w:r>
          </w:p>
        </w:tc>
        <w:tc>
          <w:tcPr>
            <w:tcW w:w="1065" w:type="dxa"/>
            <w:tcBorders>
              <w:left w:val="single" w:sz="4" w:space="0" w:color="000000"/>
              <w:bottom w:val="single" w:sz="4" w:space="0" w:color="000000"/>
            </w:tcBorders>
            <w:shd w:val="clear" w:color="auto" w:fill="auto"/>
            <w:vAlign w:val="center"/>
          </w:tcPr>
          <w:p w14:paraId="065EAE44"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52</w:t>
            </w:r>
          </w:p>
        </w:tc>
        <w:tc>
          <w:tcPr>
            <w:tcW w:w="1189" w:type="dxa"/>
            <w:tcBorders>
              <w:left w:val="single" w:sz="4" w:space="0" w:color="000000"/>
              <w:bottom w:val="single" w:sz="4" w:space="0" w:color="000000"/>
              <w:right w:val="single" w:sz="4" w:space="0" w:color="000000"/>
            </w:tcBorders>
            <w:shd w:val="clear" w:color="auto" w:fill="auto"/>
            <w:vAlign w:val="center"/>
          </w:tcPr>
          <w:p w14:paraId="79501CCC"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443</w:t>
            </w:r>
          </w:p>
        </w:tc>
      </w:tr>
      <w:tr w:rsidR="000D2D66" w14:paraId="519490BC" w14:textId="77777777" w:rsidTr="00972A9A">
        <w:trPr>
          <w:trHeight w:val="23"/>
        </w:trPr>
        <w:tc>
          <w:tcPr>
            <w:tcW w:w="1026" w:type="dxa"/>
            <w:tcBorders>
              <w:left w:val="single" w:sz="4" w:space="0" w:color="000000"/>
              <w:bottom w:val="single" w:sz="4" w:space="0" w:color="000000"/>
            </w:tcBorders>
            <w:shd w:val="clear" w:color="auto" w:fill="auto"/>
            <w:vAlign w:val="center"/>
          </w:tcPr>
          <w:p w14:paraId="3AFF8B3D"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三居</w:t>
            </w:r>
          </w:p>
        </w:tc>
        <w:tc>
          <w:tcPr>
            <w:tcW w:w="1027" w:type="dxa"/>
            <w:tcBorders>
              <w:left w:val="single" w:sz="4" w:space="0" w:color="000000"/>
              <w:bottom w:val="single" w:sz="4" w:space="0" w:color="000000"/>
            </w:tcBorders>
            <w:shd w:val="clear" w:color="auto" w:fill="auto"/>
            <w:vAlign w:val="center"/>
          </w:tcPr>
          <w:p w14:paraId="788D8577"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2</w:t>
            </w:r>
          </w:p>
        </w:tc>
        <w:tc>
          <w:tcPr>
            <w:tcW w:w="1063" w:type="dxa"/>
            <w:tcBorders>
              <w:left w:val="single" w:sz="4" w:space="0" w:color="000000"/>
              <w:bottom w:val="single" w:sz="4" w:space="0" w:color="000000"/>
            </w:tcBorders>
            <w:shd w:val="clear" w:color="auto" w:fill="auto"/>
            <w:vAlign w:val="center"/>
          </w:tcPr>
          <w:p w14:paraId="68460C0E"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5</w:t>
            </w:r>
          </w:p>
        </w:tc>
        <w:tc>
          <w:tcPr>
            <w:tcW w:w="1027" w:type="dxa"/>
            <w:tcBorders>
              <w:left w:val="single" w:sz="4" w:space="0" w:color="000000"/>
              <w:bottom w:val="single" w:sz="4" w:space="0" w:color="000000"/>
            </w:tcBorders>
            <w:shd w:val="clear" w:color="auto" w:fill="auto"/>
            <w:vAlign w:val="center"/>
          </w:tcPr>
          <w:p w14:paraId="62496F98"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9</w:t>
            </w:r>
          </w:p>
        </w:tc>
        <w:tc>
          <w:tcPr>
            <w:tcW w:w="1026" w:type="dxa"/>
            <w:tcBorders>
              <w:left w:val="single" w:sz="4" w:space="0" w:color="000000"/>
              <w:bottom w:val="single" w:sz="4" w:space="0" w:color="000000"/>
            </w:tcBorders>
            <w:shd w:val="clear" w:color="auto" w:fill="auto"/>
            <w:vAlign w:val="center"/>
          </w:tcPr>
          <w:p w14:paraId="364AF362" w14:textId="77777777" w:rsidR="000D2D66" w:rsidRPr="00FB51B2" w:rsidRDefault="000D2D66" w:rsidP="00972A9A">
            <w:pPr>
              <w:spacing w:line="240" w:lineRule="auto"/>
              <w:jc w:val="center"/>
              <w:rPr>
                <w:rFonts w:ascii="Arial" w:hAnsi="Arial" w:cs="Arial"/>
                <w:sz w:val="20"/>
              </w:rPr>
            </w:pPr>
          </w:p>
        </w:tc>
        <w:tc>
          <w:tcPr>
            <w:tcW w:w="1027" w:type="dxa"/>
            <w:tcBorders>
              <w:left w:val="single" w:sz="4" w:space="0" w:color="000000"/>
              <w:bottom w:val="single" w:sz="4" w:space="0" w:color="000000"/>
            </w:tcBorders>
            <w:shd w:val="clear" w:color="auto" w:fill="auto"/>
            <w:vAlign w:val="center"/>
          </w:tcPr>
          <w:p w14:paraId="7467D648" w14:textId="77777777" w:rsidR="000D2D66" w:rsidRPr="00FB51B2" w:rsidRDefault="000D2D66" w:rsidP="00972A9A">
            <w:pPr>
              <w:spacing w:line="240" w:lineRule="auto"/>
              <w:jc w:val="center"/>
              <w:rPr>
                <w:rFonts w:ascii="Arial" w:hAnsi="Arial" w:cs="Arial"/>
                <w:sz w:val="20"/>
              </w:rPr>
            </w:pPr>
          </w:p>
        </w:tc>
        <w:tc>
          <w:tcPr>
            <w:tcW w:w="1064" w:type="dxa"/>
            <w:tcBorders>
              <w:left w:val="single" w:sz="4" w:space="0" w:color="000000"/>
              <w:bottom w:val="single" w:sz="4" w:space="0" w:color="000000"/>
            </w:tcBorders>
            <w:shd w:val="clear" w:color="auto" w:fill="auto"/>
            <w:vAlign w:val="center"/>
          </w:tcPr>
          <w:p w14:paraId="4E9486A2" w14:textId="77777777" w:rsidR="000D2D66" w:rsidRPr="00FB51B2" w:rsidRDefault="000D2D66" w:rsidP="00972A9A">
            <w:pPr>
              <w:spacing w:line="240" w:lineRule="auto"/>
              <w:jc w:val="center"/>
              <w:rPr>
                <w:rFonts w:ascii="Arial" w:hAnsi="Arial" w:cs="Arial"/>
                <w:sz w:val="20"/>
              </w:rPr>
            </w:pPr>
          </w:p>
        </w:tc>
        <w:tc>
          <w:tcPr>
            <w:tcW w:w="1065" w:type="dxa"/>
            <w:tcBorders>
              <w:left w:val="single" w:sz="4" w:space="0" w:color="000000"/>
              <w:bottom w:val="single" w:sz="4" w:space="0" w:color="000000"/>
            </w:tcBorders>
            <w:shd w:val="clear" w:color="auto" w:fill="auto"/>
            <w:vAlign w:val="center"/>
          </w:tcPr>
          <w:p w14:paraId="32FDE612"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6</w:t>
            </w:r>
          </w:p>
        </w:tc>
        <w:tc>
          <w:tcPr>
            <w:tcW w:w="1189" w:type="dxa"/>
            <w:tcBorders>
              <w:left w:val="single" w:sz="4" w:space="0" w:color="000000"/>
              <w:bottom w:val="single" w:sz="4" w:space="0" w:color="000000"/>
              <w:right w:val="single" w:sz="4" w:space="0" w:color="000000"/>
            </w:tcBorders>
            <w:shd w:val="clear" w:color="auto" w:fill="auto"/>
            <w:vAlign w:val="center"/>
          </w:tcPr>
          <w:p w14:paraId="5170059F"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22</w:t>
            </w:r>
          </w:p>
        </w:tc>
      </w:tr>
      <w:tr w:rsidR="000D2D66" w14:paraId="16B1897D" w14:textId="77777777" w:rsidTr="00972A9A">
        <w:trPr>
          <w:trHeight w:val="23"/>
        </w:trPr>
        <w:tc>
          <w:tcPr>
            <w:tcW w:w="1026" w:type="dxa"/>
            <w:tcBorders>
              <w:left w:val="single" w:sz="4" w:space="0" w:color="000000"/>
              <w:bottom w:val="single" w:sz="4" w:space="0" w:color="000000"/>
            </w:tcBorders>
            <w:shd w:val="clear" w:color="auto" w:fill="auto"/>
            <w:vAlign w:val="center"/>
          </w:tcPr>
          <w:p w14:paraId="4B814C52"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合计套数</w:t>
            </w:r>
          </w:p>
        </w:tc>
        <w:tc>
          <w:tcPr>
            <w:tcW w:w="1027" w:type="dxa"/>
            <w:tcBorders>
              <w:left w:val="single" w:sz="4" w:space="0" w:color="000000"/>
              <w:bottom w:val="single" w:sz="4" w:space="0" w:color="000000"/>
            </w:tcBorders>
            <w:shd w:val="clear" w:color="auto" w:fill="auto"/>
            <w:vAlign w:val="center"/>
          </w:tcPr>
          <w:p w14:paraId="3A59BF54"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46</w:t>
            </w:r>
          </w:p>
        </w:tc>
        <w:tc>
          <w:tcPr>
            <w:tcW w:w="1063" w:type="dxa"/>
            <w:tcBorders>
              <w:left w:val="single" w:sz="4" w:space="0" w:color="000000"/>
              <w:bottom w:val="single" w:sz="4" w:space="0" w:color="000000"/>
            </w:tcBorders>
            <w:shd w:val="clear" w:color="auto" w:fill="auto"/>
            <w:vAlign w:val="center"/>
          </w:tcPr>
          <w:p w14:paraId="200DD5AE"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180</w:t>
            </w:r>
          </w:p>
        </w:tc>
        <w:tc>
          <w:tcPr>
            <w:tcW w:w="1027" w:type="dxa"/>
            <w:tcBorders>
              <w:left w:val="single" w:sz="4" w:space="0" w:color="000000"/>
              <w:bottom w:val="single" w:sz="4" w:space="0" w:color="000000"/>
            </w:tcBorders>
            <w:shd w:val="clear" w:color="auto" w:fill="auto"/>
            <w:vAlign w:val="center"/>
          </w:tcPr>
          <w:p w14:paraId="4DCB37B9"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71</w:t>
            </w:r>
          </w:p>
        </w:tc>
        <w:tc>
          <w:tcPr>
            <w:tcW w:w="1026" w:type="dxa"/>
            <w:tcBorders>
              <w:left w:val="single" w:sz="4" w:space="0" w:color="000000"/>
              <w:bottom w:val="single" w:sz="4" w:space="0" w:color="000000"/>
            </w:tcBorders>
            <w:shd w:val="clear" w:color="auto" w:fill="auto"/>
            <w:vAlign w:val="center"/>
          </w:tcPr>
          <w:p w14:paraId="082580F0"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111</w:t>
            </w:r>
          </w:p>
        </w:tc>
        <w:tc>
          <w:tcPr>
            <w:tcW w:w="1027" w:type="dxa"/>
            <w:tcBorders>
              <w:left w:val="single" w:sz="4" w:space="0" w:color="000000"/>
              <w:bottom w:val="single" w:sz="4" w:space="0" w:color="000000"/>
            </w:tcBorders>
            <w:shd w:val="clear" w:color="auto" w:fill="auto"/>
            <w:vAlign w:val="center"/>
          </w:tcPr>
          <w:p w14:paraId="21D02AAA"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75</w:t>
            </w:r>
          </w:p>
        </w:tc>
        <w:tc>
          <w:tcPr>
            <w:tcW w:w="1064" w:type="dxa"/>
            <w:tcBorders>
              <w:left w:val="single" w:sz="4" w:space="0" w:color="000000"/>
              <w:bottom w:val="single" w:sz="4" w:space="0" w:color="000000"/>
            </w:tcBorders>
            <w:shd w:val="clear" w:color="auto" w:fill="auto"/>
            <w:vAlign w:val="center"/>
          </w:tcPr>
          <w:p w14:paraId="4A018D6E"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156</w:t>
            </w:r>
          </w:p>
        </w:tc>
        <w:tc>
          <w:tcPr>
            <w:tcW w:w="1065" w:type="dxa"/>
            <w:tcBorders>
              <w:left w:val="single" w:sz="4" w:space="0" w:color="000000"/>
              <w:bottom w:val="single" w:sz="4" w:space="0" w:color="000000"/>
            </w:tcBorders>
            <w:shd w:val="clear" w:color="auto" w:fill="auto"/>
            <w:vAlign w:val="center"/>
          </w:tcPr>
          <w:p w14:paraId="389B8E5A"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320</w:t>
            </w:r>
          </w:p>
        </w:tc>
        <w:tc>
          <w:tcPr>
            <w:tcW w:w="1189" w:type="dxa"/>
            <w:tcBorders>
              <w:left w:val="single" w:sz="4" w:space="0" w:color="000000"/>
              <w:bottom w:val="single" w:sz="4" w:space="0" w:color="000000"/>
              <w:right w:val="single" w:sz="4" w:space="0" w:color="000000"/>
            </w:tcBorders>
            <w:shd w:val="clear" w:color="auto" w:fill="auto"/>
            <w:vAlign w:val="center"/>
          </w:tcPr>
          <w:p w14:paraId="42B0E0EC"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959</w:t>
            </w:r>
          </w:p>
        </w:tc>
      </w:tr>
      <w:tr w:rsidR="000D2D66" w14:paraId="57EC8549" w14:textId="77777777" w:rsidTr="00972A9A">
        <w:trPr>
          <w:trHeight w:val="23"/>
        </w:trPr>
        <w:tc>
          <w:tcPr>
            <w:tcW w:w="1026" w:type="dxa"/>
            <w:tcBorders>
              <w:left w:val="single" w:sz="4" w:space="0" w:color="000000"/>
              <w:bottom w:val="single" w:sz="4" w:space="0" w:color="000000"/>
            </w:tcBorders>
            <w:shd w:val="clear" w:color="auto" w:fill="auto"/>
            <w:vAlign w:val="center"/>
          </w:tcPr>
          <w:p w14:paraId="33F44C63" w14:textId="0580466B" w:rsidR="000D2D66" w:rsidRDefault="000D2D66" w:rsidP="00972A9A">
            <w:pPr>
              <w:widowControl/>
              <w:spacing w:line="240" w:lineRule="auto"/>
              <w:jc w:val="center"/>
              <w:textAlignment w:val="auto"/>
            </w:pPr>
            <w:r>
              <w:rPr>
                <w:rFonts w:ascii="华文细黑" w:eastAsia="华文细黑" w:hAnsi="华文细黑" w:cs="Arial" w:hint="eastAsia"/>
                <w:sz w:val="18"/>
                <w:szCs w:val="18"/>
              </w:rPr>
              <w:t>合计面积</w:t>
            </w:r>
            <w:r w:rsidR="009A3379">
              <w:rPr>
                <w:rFonts w:ascii="华文细黑" w:eastAsia="华文细黑" w:hAnsi="华文细黑" w:cs="Arial" w:hint="eastAsia"/>
                <w:sz w:val="18"/>
                <w:szCs w:val="18"/>
              </w:rPr>
              <w:t>（m</w:t>
            </w:r>
            <w:r w:rsidR="009A3379" w:rsidRPr="009A3379">
              <w:rPr>
                <w:rFonts w:ascii="华文细黑" w:eastAsia="华文细黑" w:hAnsi="华文细黑" w:cs="Arial"/>
                <w:sz w:val="18"/>
                <w:szCs w:val="18"/>
                <w:vertAlign w:val="superscript"/>
              </w:rPr>
              <w:t>2</w:t>
            </w:r>
            <w:r w:rsidR="009A3379">
              <w:rPr>
                <w:rFonts w:ascii="华文细黑" w:eastAsia="华文细黑" w:hAnsi="华文细黑" w:cs="Arial" w:hint="eastAsia"/>
                <w:sz w:val="18"/>
                <w:szCs w:val="18"/>
              </w:rPr>
              <w:t>）</w:t>
            </w:r>
          </w:p>
        </w:tc>
        <w:tc>
          <w:tcPr>
            <w:tcW w:w="1027" w:type="dxa"/>
            <w:tcBorders>
              <w:left w:val="single" w:sz="4" w:space="0" w:color="000000"/>
              <w:bottom w:val="single" w:sz="4" w:space="0" w:color="000000"/>
            </w:tcBorders>
            <w:shd w:val="clear" w:color="auto" w:fill="auto"/>
            <w:vAlign w:val="center"/>
          </w:tcPr>
          <w:p w14:paraId="3E2352D9"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3825.77</w:t>
            </w:r>
          </w:p>
        </w:tc>
        <w:tc>
          <w:tcPr>
            <w:tcW w:w="1063" w:type="dxa"/>
            <w:tcBorders>
              <w:left w:val="single" w:sz="4" w:space="0" w:color="000000"/>
              <w:bottom w:val="single" w:sz="4" w:space="0" w:color="000000"/>
            </w:tcBorders>
            <w:shd w:val="clear" w:color="auto" w:fill="auto"/>
            <w:vAlign w:val="center"/>
          </w:tcPr>
          <w:p w14:paraId="6C2E2359"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14530.24</w:t>
            </w:r>
          </w:p>
        </w:tc>
        <w:tc>
          <w:tcPr>
            <w:tcW w:w="1027" w:type="dxa"/>
            <w:tcBorders>
              <w:left w:val="single" w:sz="4" w:space="0" w:color="000000"/>
              <w:bottom w:val="single" w:sz="4" w:space="0" w:color="000000"/>
            </w:tcBorders>
            <w:shd w:val="clear" w:color="auto" w:fill="auto"/>
            <w:vAlign w:val="center"/>
          </w:tcPr>
          <w:p w14:paraId="410F0957"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6175.02</w:t>
            </w:r>
          </w:p>
        </w:tc>
        <w:tc>
          <w:tcPr>
            <w:tcW w:w="1026" w:type="dxa"/>
            <w:tcBorders>
              <w:left w:val="single" w:sz="4" w:space="0" w:color="000000"/>
              <w:bottom w:val="single" w:sz="4" w:space="0" w:color="000000"/>
            </w:tcBorders>
            <w:shd w:val="clear" w:color="auto" w:fill="auto"/>
            <w:vAlign w:val="center"/>
          </w:tcPr>
          <w:p w14:paraId="78E619C1"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9218.27</w:t>
            </w:r>
          </w:p>
        </w:tc>
        <w:tc>
          <w:tcPr>
            <w:tcW w:w="1027" w:type="dxa"/>
            <w:tcBorders>
              <w:left w:val="single" w:sz="4" w:space="0" w:color="000000"/>
              <w:bottom w:val="single" w:sz="4" w:space="0" w:color="000000"/>
            </w:tcBorders>
            <w:shd w:val="clear" w:color="auto" w:fill="auto"/>
            <w:vAlign w:val="center"/>
          </w:tcPr>
          <w:p w14:paraId="2E77086F"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6359.37</w:t>
            </w:r>
          </w:p>
        </w:tc>
        <w:tc>
          <w:tcPr>
            <w:tcW w:w="1064" w:type="dxa"/>
            <w:tcBorders>
              <w:left w:val="single" w:sz="4" w:space="0" w:color="000000"/>
              <w:bottom w:val="single" w:sz="4" w:space="0" w:color="000000"/>
            </w:tcBorders>
            <w:shd w:val="clear" w:color="auto" w:fill="auto"/>
            <w:vAlign w:val="center"/>
          </w:tcPr>
          <w:p w14:paraId="278B65F7"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11871.66</w:t>
            </w:r>
          </w:p>
        </w:tc>
        <w:tc>
          <w:tcPr>
            <w:tcW w:w="1065" w:type="dxa"/>
            <w:tcBorders>
              <w:left w:val="single" w:sz="4" w:space="0" w:color="000000"/>
              <w:bottom w:val="single" w:sz="4" w:space="0" w:color="000000"/>
            </w:tcBorders>
            <w:shd w:val="clear" w:color="auto" w:fill="auto"/>
            <w:vAlign w:val="center"/>
          </w:tcPr>
          <w:p w14:paraId="29D36DD4"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22541.61</w:t>
            </w:r>
          </w:p>
        </w:tc>
        <w:tc>
          <w:tcPr>
            <w:tcW w:w="1189" w:type="dxa"/>
            <w:tcBorders>
              <w:left w:val="single" w:sz="4" w:space="0" w:color="000000"/>
              <w:bottom w:val="single" w:sz="4" w:space="0" w:color="000000"/>
              <w:right w:val="single" w:sz="4" w:space="0" w:color="000000"/>
            </w:tcBorders>
            <w:shd w:val="clear" w:color="auto" w:fill="auto"/>
            <w:vAlign w:val="center"/>
          </w:tcPr>
          <w:p w14:paraId="2F29213A"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74521.94</w:t>
            </w:r>
          </w:p>
        </w:tc>
      </w:tr>
    </w:tbl>
    <w:p w14:paraId="27C22BD8" w14:textId="77777777" w:rsidR="00AF6F34" w:rsidRDefault="00AF6F34">
      <w:pPr>
        <w:overflowPunct w:val="0"/>
        <w:spacing w:line="480" w:lineRule="auto"/>
        <w:ind w:firstLine="420"/>
        <w:jc w:val="both"/>
        <w:textAlignment w:val="auto"/>
        <w:rPr>
          <w:rFonts w:ascii="Arial" w:hAnsi="Arial" w:cs="Arial"/>
          <w:kern w:val="2"/>
          <w:sz w:val="21"/>
          <w:szCs w:val="21"/>
        </w:rPr>
      </w:pPr>
    </w:p>
    <w:p w14:paraId="5F18CDA4" w14:textId="77777777" w:rsidR="00AF6F34" w:rsidRDefault="00AF6F34">
      <w:pPr>
        <w:overflowPunct w:val="0"/>
        <w:spacing w:line="480" w:lineRule="auto"/>
        <w:jc w:val="center"/>
        <w:textAlignment w:val="auto"/>
      </w:pPr>
      <w:r>
        <w:rPr>
          <w:rFonts w:ascii="Arial" w:hAnsi="Arial" w:cs="Arial" w:hint="eastAsia"/>
          <w:kern w:val="2"/>
          <w:sz w:val="21"/>
          <w:szCs w:val="21"/>
        </w:rPr>
        <w:t>估价对象位置示意图</w:t>
      </w:r>
    </w:p>
    <w:p w14:paraId="5595F40E" w14:textId="46E08F7C" w:rsidR="00AF6F34" w:rsidRDefault="00FC2399">
      <w:pPr>
        <w:overflowPunct w:val="0"/>
        <w:spacing w:line="480" w:lineRule="auto"/>
        <w:jc w:val="center"/>
        <w:textAlignment w:val="auto"/>
        <w:rPr>
          <w:rFonts w:ascii="Arial" w:hAnsi="Arial" w:cs="Arial"/>
          <w:b/>
          <w:kern w:val="2"/>
          <w:sz w:val="21"/>
          <w:szCs w:val="21"/>
        </w:rPr>
      </w:pPr>
      <w:r>
        <w:rPr>
          <w:noProof/>
        </w:rPr>
        <w:drawing>
          <wp:inline distT="0" distB="0" distL="0" distR="0" wp14:anchorId="3002557E" wp14:editId="40DBAF4A">
            <wp:extent cx="4373245" cy="4055110"/>
            <wp:effectExtent l="0" t="0" r="0" b="0"/>
            <wp:docPr id="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l="-9" t="-11" r="-9" b="-11"/>
                    <a:stretch>
                      <a:fillRect/>
                    </a:stretch>
                  </pic:blipFill>
                  <pic:spPr bwMode="auto">
                    <a:xfrm>
                      <a:off x="0" y="0"/>
                      <a:ext cx="4373245" cy="4055110"/>
                    </a:xfrm>
                    <a:prstGeom prst="rect">
                      <a:avLst/>
                    </a:prstGeom>
                    <a:solidFill>
                      <a:srgbClr val="FFFFFF"/>
                    </a:solidFill>
                    <a:ln>
                      <a:noFill/>
                    </a:ln>
                  </pic:spPr>
                </pic:pic>
              </a:graphicData>
            </a:graphic>
          </wp:inline>
        </w:drawing>
      </w:r>
    </w:p>
    <w:p w14:paraId="74C09101" w14:textId="77777777" w:rsidR="00AF6F34" w:rsidRDefault="00AF6F34">
      <w:pPr>
        <w:overflowPunct w:val="0"/>
        <w:spacing w:line="480" w:lineRule="auto"/>
        <w:jc w:val="both"/>
        <w:textAlignment w:val="auto"/>
      </w:pPr>
      <w:r>
        <w:rPr>
          <w:rFonts w:ascii="Arial" w:hAnsi="Arial" w:cs="Arial"/>
          <w:b/>
          <w:kern w:val="2"/>
          <w:sz w:val="21"/>
          <w:szCs w:val="21"/>
        </w:rPr>
        <w:t>（二）土地基本状况</w:t>
      </w:r>
    </w:p>
    <w:p w14:paraId="1A87BDFD" w14:textId="77777777" w:rsidR="00AF6F34" w:rsidRDefault="00AF6F34">
      <w:pPr>
        <w:overflowPunct w:val="0"/>
        <w:spacing w:line="480" w:lineRule="auto"/>
        <w:ind w:firstLine="420"/>
        <w:jc w:val="both"/>
        <w:textAlignment w:val="auto"/>
      </w:pPr>
      <w:r>
        <w:rPr>
          <w:rFonts w:ascii="Arial" w:hAnsi="Arial" w:cs="Arial"/>
          <w:sz w:val="21"/>
          <w:szCs w:val="21"/>
        </w:rPr>
        <w:t>1.</w:t>
      </w:r>
      <w:r>
        <w:rPr>
          <w:rFonts w:ascii="Arial" w:hAnsi="Arial" w:cs="Arial" w:hint="eastAsia"/>
          <w:kern w:val="2"/>
          <w:sz w:val="21"/>
          <w:szCs w:val="21"/>
        </w:rPr>
        <w:t>根据估价委托人提供的</w:t>
      </w:r>
      <w:r w:rsidR="00B01A7B">
        <w:rPr>
          <w:rFonts w:ascii="Arial" w:hAnsi="Arial" w:cs="Arial" w:hint="eastAsia"/>
          <w:kern w:val="2"/>
          <w:sz w:val="21"/>
          <w:szCs w:val="21"/>
        </w:rPr>
        <w:t>《房屋所有权证》</w:t>
      </w:r>
      <w:r w:rsidR="00B01A7B">
        <w:rPr>
          <w:rFonts w:ascii="Arial" w:hAnsi="Arial" w:cs="Arial" w:hint="eastAsia"/>
          <w:kern w:val="2"/>
          <w:sz w:val="21"/>
          <w:szCs w:val="21"/>
        </w:rPr>
        <w:t>[X</w:t>
      </w:r>
      <w:r w:rsidR="00B01A7B">
        <w:rPr>
          <w:rFonts w:ascii="Arial" w:hAnsi="Arial" w:cs="Arial" w:hint="eastAsia"/>
          <w:kern w:val="2"/>
          <w:sz w:val="21"/>
          <w:szCs w:val="21"/>
        </w:rPr>
        <w:t>京房权证开字第</w:t>
      </w:r>
      <w:r w:rsidR="00B01A7B">
        <w:rPr>
          <w:rFonts w:ascii="Arial" w:hAnsi="Arial" w:cs="Arial" w:hint="eastAsia"/>
          <w:kern w:val="2"/>
          <w:sz w:val="21"/>
          <w:szCs w:val="21"/>
        </w:rPr>
        <w:t>034346</w:t>
      </w:r>
      <w:r w:rsidR="00B01A7B">
        <w:rPr>
          <w:rFonts w:ascii="Arial" w:hAnsi="Arial" w:cs="Arial" w:hint="eastAsia"/>
          <w:kern w:val="2"/>
          <w:sz w:val="21"/>
          <w:szCs w:val="21"/>
        </w:rPr>
        <w:t>、</w:t>
      </w:r>
      <w:r w:rsidR="00B01A7B">
        <w:rPr>
          <w:rFonts w:ascii="Arial" w:hAnsi="Arial" w:cs="Arial" w:hint="eastAsia"/>
          <w:kern w:val="2"/>
          <w:sz w:val="21"/>
          <w:szCs w:val="21"/>
        </w:rPr>
        <w:t>034198</w:t>
      </w:r>
      <w:r w:rsidR="00B01A7B">
        <w:rPr>
          <w:rFonts w:ascii="Arial" w:hAnsi="Arial" w:cs="Arial" w:hint="eastAsia"/>
          <w:kern w:val="2"/>
          <w:sz w:val="21"/>
          <w:szCs w:val="21"/>
        </w:rPr>
        <w:t>、</w:t>
      </w:r>
      <w:r w:rsidR="00B01A7B">
        <w:rPr>
          <w:rFonts w:ascii="Arial" w:hAnsi="Arial" w:cs="Arial" w:hint="eastAsia"/>
          <w:kern w:val="2"/>
          <w:sz w:val="21"/>
          <w:szCs w:val="21"/>
        </w:rPr>
        <w:t>034354</w:t>
      </w:r>
      <w:r w:rsidR="00B01A7B">
        <w:rPr>
          <w:rFonts w:ascii="Arial" w:hAnsi="Arial" w:cs="Arial" w:hint="eastAsia"/>
          <w:kern w:val="2"/>
          <w:sz w:val="21"/>
          <w:szCs w:val="21"/>
        </w:rPr>
        <w:t>、</w:t>
      </w:r>
      <w:r w:rsidR="00B01A7B">
        <w:rPr>
          <w:rFonts w:ascii="Arial" w:hAnsi="Arial" w:cs="Arial" w:hint="eastAsia"/>
          <w:kern w:val="2"/>
          <w:sz w:val="21"/>
          <w:szCs w:val="21"/>
        </w:rPr>
        <w:t>034348</w:t>
      </w:r>
      <w:r w:rsidR="00B01A7B">
        <w:rPr>
          <w:rFonts w:ascii="Arial" w:hAnsi="Arial" w:cs="Arial" w:hint="eastAsia"/>
          <w:kern w:val="2"/>
          <w:sz w:val="21"/>
          <w:szCs w:val="21"/>
        </w:rPr>
        <w:t>、</w:t>
      </w:r>
      <w:r w:rsidR="00B01A7B">
        <w:rPr>
          <w:rFonts w:ascii="Arial" w:hAnsi="Arial" w:cs="Arial" w:hint="eastAsia"/>
          <w:kern w:val="2"/>
          <w:sz w:val="21"/>
          <w:szCs w:val="21"/>
        </w:rPr>
        <w:t>034199</w:t>
      </w:r>
      <w:r w:rsidR="00B01A7B">
        <w:rPr>
          <w:rFonts w:ascii="Arial" w:hAnsi="Arial" w:cs="Arial" w:hint="eastAsia"/>
          <w:kern w:val="2"/>
          <w:sz w:val="21"/>
          <w:szCs w:val="21"/>
        </w:rPr>
        <w:t>、</w:t>
      </w:r>
      <w:r w:rsidR="00B01A7B">
        <w:rPr>
          <w:rFonts w:ascii="Arial" w:hAnsi="Arial" w:cs="Arial" w:hint="eastAsia"/>
          <w:kern w:val="2"/>
          <w:sz w:val="21"/>
          <w:szCs w:val="21"/>
        </w:rPr>
        <w:t>034680</w:t>
      </w:r>
      <w:r w:rsidR="00B01A7B">
        <w:rPr>
          <w:rFonts w:ascii="Arial" w:hAnsi="Arial" w:cs="Arial" w:hint="eastAsia"/>
          <w:kern w:val="2"/>
          <w:sz w:val="21"/>
          <w:szCs w:val="21"/>
        </w:rPr>
        <w:t>、</w:t>
      </w:r>
      <w:r w:rsidR="00B01A7B">
        <w:rPr>
          <w:rFonts w:ascii="Arial" w:hAnsi="Arial" w:cs="Arial" w:hint="eastAsia"/>
          <w:kern w:val="2"/>
          <w:sz w:val="21"/>
          <w:szCs w:val="21"/>
        </w:rPr>
        <w:t>034671</w:t>
      </w:r>
      <w:r w:rsidR="00B01A7B">
        <w:rPr>
          <w:rFonts w:ascii="Arial" w:hAnsi="Arial" w:cs="Arial" w:hint="eastAsia"/>
          <w:kern w:val="2"/>
          <w:sz w:val="21"/>
          <w:szCs w:val="21"/>
        </w:rPr>
        <w:t>号</w:t>
      </w:r>
      <w:r w:rsidR="00B01A7B">
        <w:rPr>
          <w:rFonts w:ascii="Arial" w:hAnsi="Arial" w:cs="Arial" w:hint="eastAsia"/>
          <w:kern w:val="2"/>
          <w:sz w:val="21"/>
          <w:szCs w:val="21"/>
        </w:rPr>
        <w:t>]</w:t>
      </w:r>
      <w:r w:rsidR="00B01A7B">
        <w:rPr>
          <w:rFonts w:ascii="Arial" w:hAnsi="Arial" w:cs="Arial" w:hint="eastAsia"/>
          <w:kern w:val="2"/>
          <w:sz w:val="21"/>
          <w:szCs w:val="21"/>
        </w:rPr>
        <w:t>复印件</w:t>
      </w:r>
      <w:r>
        <w:rPr>
          <w:rFonts w:ascii="Arial" w:hAnsi="Arial" w:cs="Arial" w:hint="eastAsia"/>
          <w:kern w:val="2"/>
          <w:sz w:val="21"/>
          <w:szCs w:val="21"/>
        </w:rPr>
        <w:t>及其</w:t>
      </w:r>
      <w:r>
        <w:rPr>
          <w:rFonts w:ascii="Arial" w:hAnsi="Arial" w:cs="Arial" w:hint="eastAsia"/>
          <w:sz w:val="21"/>
          <w:szCs w:val="21"/>
        </w:rPr>
        <w:t>介绍，</w:t>
      </w:r>
      <w:r>
        <w:rPr>
          <w:rFonts w:ascii="Arial" w:hAnsi="Arial" w:cs="Arial" w:hint="eastAsia"/>
          <w:kern w:val="2"/>
          <w:sz w:val="21"/>
          <w:szCs w:val="21"/>
        </w:rPr>
        <w:t>估价对象所属宗地权利类型为国有建设用地使用权，土地使用权取得方式为有偿（出让）。</w:t>
      </w:r>
      <w:r>
        <w:rPr>
          <w:rFonts w:ascii="Arial" w:eastAsia="Arial" w:hAnsi="Arial" w:cs="Arial"/>
          <w:sz w:val="21"/>
          <w:szCs w:val="21"/>
        </w:rPr>
        <w:t xml:space="preserve"> </w:t>
      </w:r>
    </w:p>
    <w:p w14:paraId="649058AB" w14:textId="77777777" w:rsidR="00AF6F34" w:rsidRDefault="00AF6F34">
      <w:pPr>
        <w:overflowPunct w:val="0"/>
        <w:spacing w:line="480" w:lineRule="auto"/>
        <w:ind w:firstLine="420"/>
        <w:jc w:val="both"/>
        <w:textAlignment w:val="auto"/>
      </w:pPr>
      <w:r>
        <w:rPr>
          <w:rFonts w:ascii="Arial" w:hAnsi="Arial" w:cs="Arial" w:hint="eastAsia"/>
          <w:sz w:val="21"/>
          <w:szCs w:val="21"/>
        </w:rPr>
        <w:t>2</w:t>
      </w:r>
      <w:r>
        <w:rPr>
          <w:rFonts w:ascii="Arial" w:hAnsi="Arial" w:cs="Arial"/>
          <w:sz w:val="21"/>
          <w:szCs w:val="21"/>
        </w:rPr>
        <w:t>.</w:t>
      </w:r>
      <w:r>
        <w:rPr>
          <w:rFonts w:ascii="Arial" w:hAnsi="Arial" w:cs="Arial"/>
          <w:sz w:val="21"/>
          <w:szCs w:val="21"/>
        </w:rPr>
        <w:t>估价对象所属项目</w:t>
      </w:r>
      <w:r>
        <w:rPr>
          <w:rFonts w:ascii="Arial" w:hAnsi="Arial" w:cs="Arial" w:hint="eastAsia"/>
          <w:sz w:val="21"/>
          <w:szCs w:val="21"/>
        </w:rPr>
        <w:t>现状</w:t>
      </w:r>
      <w:r>
        <w:rPr>
          <w:rFonts w:ascii="Arial" w:hAnsi="Arial" w:cs="Arial"/>
          <w:sz w:val="21"/>
          <w:szCs w:val="21"/>
        </w:rPr>
        <w:t>四至：</w:t>
      </w:r>
    </w:p>
    <w:p w14:paraId="10A67616" w14:textId="77777777" w:rsidR="00AF6F34" w:rsidRDefault="00AF6F34">
      <w:pPr>
        <w:overflowPunct w:val="0"/>
        <w:spacing w:line="480" w:lineRule="auto"/>
        <w:ind w:firstLine="420"/>
        <w:jc w:val="both"/>
        <w:textAlignment w:val="auto"/>
      </w:pPr>
      <w:r>
        <w:rPr>
          <w:rFonts w:ascii="Arial" w:hAnsi="Arial" w:cs="Arial" w:hint="eastAsia"/>
          <w:kern w:val="2"/>
          <w:sz w:val="21"/>
          <w:szCs w:val="21"/>
        </w:rPr>
        <w:t>现状四至为东至博兴八路，西至三海子东路、四合路，南至姜场街、千顷堂街，北至黄亦路、泰河路。</w:t>
      </w:r>
    </w:p>
    <w:p w14:paraId="5D0CD4ED" w14:textId="77777777" w:rsidR="00AF6F34" w:rsidRDefault="00AF6F34">
      <w:pPr>
        <w:overflowPunct w:val="0"/>
        <w:spacing w:line="480" w:lineRule="auto"/>
        <w:ind w:firstLine="420"/>
        <w:jc w:val="both"/>
        <w:textAlignment w:val="auto"/>
      </w:pPr>
      <w:r>
        <w:rPr>
          <w:rFonts w:ascii="Arial" w:hAnsi="Arial" w:cs="Arial" w:hint="eastAsia"/>
          <w:sz w:val="21"/>
          <w:szCs w:val="21"/>
        </w:rPr>
        <w:lastRenderedPageBreak/>
        <w:t>3</w:t>
      </w:r>
      <w:r>
        <w:rPr>
          <w:rFonts w:ascii="Arial" w:hAnsi="Arial" w:cs="Arial"/>
          <w:sz w:val="21"/>
          <w:szCs w:val="21"/>
        </w:rPr>
        <w:t>.</w:t>
      </w:r>
      <w:r>
        <w:rPr>
          <w:rFonts w:ascii="Arial" w:hAnsi="Arial" w:cs="Arial"/>
          <w:sz w:val="21"/>
          <w:szCs w:val="21"/>
        </w:rPr>
        <w:t>估价对象所属项目用地呈</w:t>
      </w:r>
      <w:r>
        <w:rPr>
          <w:rFonts w:ascii="Arial" w:hAnsi="Arial" w:cs="Arial" w:hint="eastAsia"/>
          <w:sz w:val="21"/>
          <w:szCs w:val="21"/>
        </w:rPr>
        <w:t>较</w:t>
      </w:r>
      <w:r>
        <w:rPr>
          <w:rFonts w:ascii="Arial" w:hAnsi="Arial" w:cs="Arial"/>
          <w:sz w:val="21"/>
          <w:szCs w:val="21"/>
        </w:rPr>
        <w:t>规则形状，</w:t>
      </w:r>
      <w:r>
        <w:rPr>
          <w:rFonts w:ascii="Arial" w:hAnsi="Arial" w:cs="Arial" w:hint="eastAsia"/>
          <w:sz w:val="21"/>
          <w:szCs w:val="21"/>
        </w:rPr>
        <w:t>对利用无不良影响，</w:t>
      </w:r>
      <w:r>
        <w:rPr>
          <w:rFonts w:ascii="Arial" w:hAnsi="Arial" w:cs="Arial"/>
          <w:sz w:val="21"/>
          <w:szCs w:val="21"/>
        </w:rPr>
        <w:t>场地</w:t>
      </w:r>
      <w:r>
        <w:rPr>
          <w:rFonts w:ascii="Arial" w:hAnsi="Arial" w:cs="Arial" w:hint="eastAsia"/>
          <w:sz w:val="21"/>
          <w:szCs w:val="21"/>
        </w:rPr>
        <w:t>呈</w:t>
      </w:r>
      <w:r>
        <w:rPr>
          <w:rFonts w:ascii="Arial" w:hAnsi="Arial" w:cs="Arial"/>
          <w:sz w:val="21"/>
          <w:szCs w:val="21"/>
        </w:rPr>
        <w:t>较平坦地势</w:t>
      </w:r>
      <w:r>
        <w:rPr>
          <w:rFonts w:ascii="Arial" w:hAnsi="Arial" w:cs="Arial" w:hint="eastAsia"/>
          <w:sz w:val="21"/>
          <w:szCs w:val="21"/>
        </w:rPr>
        <w:t>，工程地质条件良好，无不良地质现象</w:t>
      </w:r>
      <w:r>
        <w:rPr>
          <w:rFonts w:ascii="Arial" w:hAnsi="Arial" w:cs="Arial"/>
          <w:sz w:val="21"/>
          <w:szCs w:val="21"/>
        </w:rPr>
        <w:t>。</w:t>
      </w:r>
      <w:r>
        <w:rPr>
          <w:rFonts w:ascii="Arial" w:hAnsi="Arial" w:cs="Arial" w:hint="eastAsia"/>
          <w:sz w:val="21"/>
          <w:szCs w:val="21"/>
        </w:rPr>
        <w:t>估价对象现状已完成开发建设，土地利用程度高。</w:t>
      </w:r>
    </w:p>
    <w:p w14:paraId="50516502" w14:textId="77777777" w:rsidR="00AF6F34" w:rsidRDefault="00AF6F34">
      <w:pPr>
        <w:overflowPunct w:val="0"/>
        <w:spacing w:line="480" w:lineRule="auto"/>
        <w:ind w:firstLine="420"/>
        <w:jc w:val="both"/>
        <w:textAlignment w:val="auto"/>
      </w:pPr>
      <w:r>
        <w:rPr>
          <w:rFonts w:ascii="Arial" w:hAnsi="Arial" w:cs="Arial" w:hint="eastAsia"/>
          <w:sz w:val="21"/>
          <w:szCs w:val="21"/>
        </w:rPr>
        <w:t>4</w:t>
      </w:r>
      <w:r>
        <w:rPr>
          <w:rFonts w:ascii="Arial" w:hAnsi="Arial" w:cs="Arial"/>
          <w:sz w:val="21"/>
          <w:szCs w:val="21"/>
        </w:rPr>
        <w:t>.</w:t>
      </w:r>
      <w:r>
        <w:rPr>
          <w:rFonts w:ascii="Arial" w:hAnsi="Arial" w:cs="Arial" w:hint="eastAsia"/>
          <w:sz w:val="21"/>
          <w:szCs w:val="21"/>
        </w:rPr>
        <w:t>开发程度</w:t>
      </w:r>
      <w:r>
        <w:rPr>
          <w:rFonts w:ascii="Arial" w:hAnsi="Arial" w:cs="Arial"/>
          <w:sz w:val="21"/>
          <w:szCs w:val="21"/>
        </w:rPr>
        <w:t>：</w:t>
      </w:r>
    </w:p>
    <w:p w14:paraId="5D9CE08E" w14:textId="77777777" w:rsidR="00AF6F34" w:rsidRDefault="00AF6F34">
      <w:pPr>
        <w:overflowPunct w:val="0"/>
        <w:spacing w:line="480" w:lineRule="auto"/>
        <w:ind w:firstLine="420"/>
        <w:jc w:val="both"/>
        <w:textAlignment w:val="auto"/>
      </w:pPr>
      <w:r>
        <w:rPr>
          <w:rFonts w:ascii="Arial" w:hAnsi="Arial" w:cs="Arial"/>
          <w:kern w:val="2"/>
          <w:sz w:val="21"/>
          <w:szCs w:val="21"/>
        </w:rPr>
        <w:t>估价对象所在区域市政基础设施完备，为</w:t>
      </w:r>
      <w:r>
        <w:rPr>
          <w:rFonts w:ascii="Arial" w:hAnsi="Arial" w:cs="Arial"/>
          <w:kern w:val="2"/>
          <w:sz w:val="21"/>
          <w:szCs w:val="21"/>
        </w:rPr>
        <w:t>“</w:t>
      </w:r>
      <w:r>
        <w:rPr>
          <w:rFonts w:ascii="Arial" w:hAnsi="Arial" w:cs="Arial" w:hint="eastAsia"/>
          <w:kern w:val="2"/>
          <w:sz w:val="21"/>
          <w:szCs w:val="21"/>
        </w:rPr>
        <w:t>七</w:t>
      </w:r>
      <w:r>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（即通路、通电、通讯</w:t>
      </w:r>
      <w:r>
        <w:rPr>
          <w:rFonts w:ascii="Arial" w:hAnsi="Arial" w:cs="Arial" w:hint="eastAsia"/>
          <w:kern w:val="2"/>
          <w:sz w:val="21"/>
          <w:szCs w:val="21"/>
        </w:rPr>
        <w:t>、</w:t>
      </w:r>
      <w:r>
        <w:rPr>
          <w:rFonts w:ascii="Arial" w:hAnsi="Arial" w:cs="Arial"/>
          <w:kern w:val="2"/>
          <w:sz w:val="21"/>
          <w:szCs w:val="21"/>
        </w:rPr>
        <w:t>通上水、通下水、通燃气、通热力），且保证程度高。</w:t>
      </w:r>
    </w:p>
    <w:p w14:paraId="665F97D4" w14:textId="77777777" w:rsidR="00AF6F34" w:rsidRDefault="00AF6F34">
      <w:pPr>
        <w:overflowPunct w:val="0"/>
        <w:spacing w:line="480" w:lineRule="auto"/>
        <w:ind w:firstLine="420"/>
        <w:jc w:val="both"/>
        <w:textAlignment w:val="auto"/>
      </w:pPr>
      <w:r>
        <w:rPr>
          <w:rFonts w:ascii="Arial" w:hAnsi="Arial" w:cs="Arial" w:hint="eastAsia"/>
          <w:kern w:val="2"/>
          <w:sz w:val="21"/>
          <w:szCs w:val="21"/>
        </w:rPr>
        <w:t>综上所述，</w:t>
      </w:r>
      <w:r>
        <w:rPr>
          <w:rFonts w:ascii="Arial" w:hAnsi="Arial" w:cs="Arial"/>
          <w:kern w:val="2"/>
          <w:sz w:val="21"/>
          <w:szCs w:val="21"/>
        </w:rPr>
        <w:t>估价对象</w:t>
      </w:r>
      <w:r>
        <w:rPr>
          <w:rFonts w:ascii="Arial" w:hAnsi="Arial" w:cs="Arial" w:hint="eastAsia"/>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ascii="Arial" w:hAnsi="Arial" w:cs="Arial" w:hint="eastAsia"/>
          <w:sz w:val="21"/>
          <w:szCs w:val="21"/>
        </w:rPr>
        <w:t>。</w:t>
      </w:r>
    </w:p>
    <w:p w14:paraId="7C507D99" w14:textId="77777777" w:rsidR="00AF6F34" w:rsidRDefault="00AF6F34">
      <w:pPr>
        <w:overflowPunct w:val="0"/>
        <w:spacing w:line="480" w:lineRule="auto"/>
        <w:jc w:val="both"/>
        <w:textAlignment w:val="auto"/>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）建筑物基本状况</w:t>
      </w:r>
    </w:p>
    <w:p w14:paraId="36EF51C4" w14:textId="77777777" w:rsidR="00AF6F34" w:rsidRDefault="00AF6F34">
      <w:pPr>
        <w:overflowPunct w:val="0"/>
        <w:spacing w:line="480" w:lineRule="auto"/>
        <w:ind w:firstLine="420"/>
        <w:jc w:val="both"/>
        <w:textAlignment w:val="auto"/>
      </w:pPr>
      <w:r>
        <w:rPr>
          <w:rFonts w:ascii="Arial" w:hAnsi="Arial" w:cs="Arial" w:hint="eastAsia"/>
          <w:sz w:val="21"/>
          <w:szCs w:val="21"/>
        </w:rPr>
        <w:t>1</w:t>
      </w:r>
      <w:r>
        <w:rPr>
          <w:rFonts w:ascii="Arial" w:hAnsi="Arial" w:cs="Arial" w:hint="eastAsia"/>
          <w:sz w:val="21"/>
          <w:szCs w:val="21"/>
        </w:rPr>
        <w:t>．建设规模：</w:t>
      </w:r>
      <w:r>
        <w:rPr>
          <w:rFonts w:ascii="Arial" w:hAnsi="Arial" w:cs="Arial" w:hint="eastAsia"/>
          <w:bCs/>
          <w:color w:val="000000"/>
          <w:sz w:val="21"/>
          <w:szCs w:val="21"/>
        </w:rPr>
        <w:t>北京经济技术开发区</w:t>
      </w:r>
      <w:r w:rsidR="00DE3E5A">
        <w:rPr>
          <w:rFonts w:ascii="Arial" w:hAnsi="Arial" w:cs="Arial" w:hint="eastAsia"/>
          <w:bCs/>
          <w:color w:val="000000"/>
          <w:sz w:val="21"/>
          <w:szCs w:val="21"/>
        </w:rPr>
        <w:t>南海家园一里</w:t>
      </w:r>
      <w:r w:rsidR="00DE3E5A">
        <w:rPr>
          <w:rFonts w:ascii="Arial" w:hAnsi="Arial" w:cs="Arial" w:hint="eastAsia"/>
          <w:bCs/>
          <w:color w:val="000000"/>
          <w:sz w:val="21"/>
          <w:szCs w:val="21"/>
        </w:rPr>
        <w:t>1</w:t>
      </w:r>
      <w:r w:rsidR="00DE3E5A">
        <w:rPr>
          <w:rFonts w:ascii="Arial" w:hAnsi="Arial" w:cs="Arial" w:hint="eastAsia"/>
          <w:bCs/>
          <w:color w:val="000000"/>
          <w:sz w:val="21"/>
          <w:szCs w:val="21"/>
        </w:rPr>
        <w:t>号楼</w:t>
      </w:r>
      <w:r w:rsidR="00DE3E5A">
        <w:rPr>
          <w:rFonts w:ascii="Arial" w:hAnsi="Arial" w:cs="Arial" w:hint="eastAsia"/>
          <w:bCs/>
          <w:color w:val="000000"/>
          <w:sz w:val="21"/>
          <w:szCs w:val="21"/>
        </w:rPr>
        <w:t>4</w:t>
      </w:r>
      <w:r w:rsidR="00DE3E5A">
        <w:rPr>
          <w:rFonts w:ascii="Arial" w:hAnsi="Arial" w:cs="Arial" w:hint="eastAsia"/>
          <w:bCs/>
          <w:color w:val="000000"/>
          <w:sz w:val="21"/>
          <w:szCs w:val="21"/>
        </w:rPr>
        <w:t>单元</w:t>
      </w:r>
      <w:r w:rsidR="00DE3E5A">
        <w:rPr>
          <w:rFonts w:ascii="Arial" w:hAnsi="Arial" w:cs="Arial" w:hint="eastAsia"/>
          <w:bCs/>
          <w:color w:val="000000"/>
          <w:sz w:val="21"/>
          <w:szCs w:val="21"/>
        </w:rPr>
        <w:t>1802</w:t>
      </w:r>
      <w:r>
        <w:rPr>
          <w:rFonts w:ascii="Arial" w:hAnsi="Arial" w:cs="Arial" w:hint="eastAsia"/>
          <w:bCs/>
          <w:color w:val="000000"/>
          <w:sz w:val="21"/>
          <w:szCs w:val="21"/>
        </w:rPr>
        <w:t>等</w:t>
      </w:r>
      <w:r w:rsidR="00DE3E5A">
        <w:rPr>
          <w:rFonts w:ascii="Arial" w:hAnsi="Arial" w:cs="Arial" w:hint="eastAsia"/>
          <w:bCs/>
          <w:color w:val="000000"/>
          <w:sz w:val="21"/>
          <w:szCs w:val="21"/>
        </w:rPr>
        <w:t>959</w:t>
      </w:r>
      <w:r w:rsidR="00DE3E5A">
        <w:rPr>
          <w:rFonts w:ascii="Arial" w:hAnsi="Arial" w:cs="Arial" w:hint="eastAsia"/>
          <w:bCs/>
          <w:color w:val="000000"/>
          <w:sz w:val="21"/>
          <w:szCs w:val="21"/>
        </w:rPr>
        <w:t>套</w:t>
      </w:r>
      <w:r>
        <w:rPr>
          <w:rFonts w:ascii="Arial" w:hAnsi="Arial" w:cs="Arial" w:hint="eastAsia"/>
          <w:bCs/>
          <w:color w:val="000000"/>
          <w:sz w:val="21"/>
          <w:szCs w:val="21"/>
        </w:rPr>
        <w:t>（南海家园）</w:t>
      </w:r>
      <w:r>
        <w:rPr>
          <w:rFonts w:ascii="Arial" w:hAnsi="Arial" w:cs="Arial" w:hint="eastAsia"/>
          <w:kern w:val="2"/>
          <w:sz w:val="21"/>
          <w:szCs w:val="21"/>
        </w:rPr>
        <w:t>，总建筑面积</w:t>
      </w:r>
      <w:r w:rsidR="00FB51B2">
        <w:rPr>
          <w:rFonts w:ascii="Arial" w:hAnsi="Arial" w:cs="Arial"/>
          <w:kern w:val="2"/>
          <w:sz w:val="21"/>
          <w:szCs w:val="21"/>
        </w:rPr>
        <w:t>74521.94</w:t>
      </w:r>
      <w:r>
        <w:rPr>
          <w:rFonts w:ascii="Arial" w:hAnsi="Arial" w:cs="Arial" w:hint="eastAsia"/>
          <w:kern w:val="2"/>
          <w:sz w:val="21"/>
          <w:szCs w:val="21"/>
        </w:rPr>
        <w:t>平方米。</w:t>
      </w:r>
    </w:p>
    <w:p w14:paraId="1620975C" w14:textId="0C73DB52" w:rsidR="00AF6F34" w:rsidRDefault="00AF6F34">
      <w:pPr>
        <w:overflowPunct w:val="0"/>
        <w:spacing w:line="480" w:lineRule="auto"/>
        <w:ind w:firstLine="420"/>
        <w:jc w:val="both"/>
        <w:textAlignment w:val="auto"/>
      </w:pPr>
      <w:r>
        <w:rPr>
          <w:rFonts w:ascii="Arial" w:hAnsi="Arial" w:cs="Arial" w:hint="eastAsia"/>
          <w:kern w:val="2"/>
          <w:sz w:val="21"/>
          <w:szCs w:val="21"/>
        </w:rPr>
        <w:t>根据估价委托人提供的《估价委托书》及《南海家园房源表》，确定本次估价范围为北京经济技术开发区南海家园一、二、三、四、五、六、七里</w:t>
      </w:r>
      <w:r w:rsidR="00EA7F82">
        <w:rPr>
          <w:rFonts w:ascii="Arial" w:hAnsi="Arial" w:cs="Arial" w:hint="eastAsia"/>
          <w:kern w:val="2"/>
          <w:sz w:val="21"/>
          <w:szCs w:val="21"/>
        </w:rPr>
        <w:t>部分住宅用房</w:t>
      </w:r>
      <w:r>
        <w:rPr>
          <w:rFonts w:ascii="Arial" w:hAnsi="Arial" w:cs="Arial" w:hint="eastAsia"/>
          <w:kern w:val="2"/>
          <w:sz w:val="21"/>
          <w:szCs w:val="21"/>
        </w:rPr>
        <w:t>，建筑类型为单元式板楼，楼宇主体建筑结构为钢混。建筑面积</w:t>
      </w:r>
      <w:r w:rsidR="00FB51B2">
        <w:rPr>
          <w:rFonts w:ascii="Arial" w:hAnsi="Arial" w:cs="Arial"/>
          <w:kern w:val="2"/>
          <w:sz w:val="21"/>
          <w:szCs w:val="21"/>
        </w:rPr>
        <w:t>74521.94</w:t>
      </w:r>
      <w:r>
        <w:rPr>
          <w:rFonts w:ascii="Arial" w:hAnsi="Arial" w:cs="Arial" w:hint="eastAsia"/>
          <w:kern w:val="2"/>
          <w:sz w:val="21"/>
          <w:szCs w:val="21"/>
        </w:rPr>
        <w:t>平方米。房源具体户型等情况详见下表：</w:t>
      </w:r>
    </w:p>
    <w:tbl>
      <w:tblPr>
        <w:tblW w:w="5000" w:type="pct"/>
        <w:tblInd w:w="-117" w:type="dxa"/>
        <w:tblLayout w:type="fixed"/>
        <w:tblLook w:val="0000" w:firstRow="0" w:lastRow="0" w:firstColumn="0" w:lastColumn="0" w:noHBand="0" w:noVBand="0"/>
      </w:tblPr>
      <w:tblGrid>
        <w:gridCol w:w="1026"/>
        <w:gridCol w:w="1027"/>
        <w:gridCol w:w="1063"/>
        <w:gridCol w:w="1027"/>
        <w:gridCol w:w="1026"/>
        <w:gridCol w:w="1027"/>
        <w:gridCol w:w="1064"/>
        <w:gridCol w:w="1065"/>
        <w:gridCol w:w="1189"/>
      </w:tblGrid>
      <w:tr w:rsidR="002F6ADB" w14:paraId="274C6E6D" w14:textId="77777777" w:rsidTr="00972A9A">
        <w:trPr>
          <w:trHeight w:val="23"/>
        </w:trPr>
        <w:tc>
          <w:tcPr>
            <w:tcW w:w="1026" w:type="dxa"/>
            <w:tcBorders>
              <w:top w:val="single" w:sz="4" w:space="0" w:color="000000"/>
              <w:left w:val="single" w:sz="4" w:space="0" w:color="000000"/>
              <w:bottom w:val="single" w:sz="4" w:space="0" w:color="000000"/>
            </w:tcBorders>
            <w:shd w:val="clear" w:color="auto" w:fill="auto"/>
            <w:vAlign w:val="center"/>
          </w:tcPr>
          <w:p w14:paraId="7B5B5F03"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户型</w:t>
            </w:r>
          </w:p>
        </w:tc>
        <w:tc>
          <w:tcPr>
            <w:tcW w:w="1027" w:type="dxa"/>
            <w:tcBorders>
              <w:top w:val="single" w:sz="4" w:space="0" w:color="000000"/>
              <w:left w:val="single" w:sz="4" w:space="0" w:color="000000"/>
              <w:bottom w:val="single" w:sz="4" w:space="0" w:color="000000"/>
            </w:tcBorders>
            <w:shd w:val="clear" w:color="auto" w:fill="auto"/>
            <w:vAlign w:val="center"/>
          </w:tcPr>
          <w:p w14:paraId="7B58F7F0"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南海家园一里</w:t>
            </w:r>
          </w:p>
        </w:tc>
        <w:tc>
          <w:tcPr>
            <w:tcW w:w="1063" w:type="dxa"/>
            <w:tcBorders>
              <w:top w:val="single" w:sz="4" w:space="0" w:color="000000"/>
              <w:left w:val="single" w:sz="4" w:space="0" w:color="000000"/>
              <w:bottom w:val="single" w:sz="4" w:space="0" w:color="000000"/>
            </w:tcBorders>
            <w:shd w:val="clear" w:color="auto" w:fill="auto"/>
            <w:vAlign w:val="center"/>
          </w:tcPr>
          <w:p w14:paraId="1F2CAA26"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南海家园二里</w:t>
            </w:r>
          </w:p>
        </w:tc>
        <w:tc>
          <w:tcPr>
            <w:tcW w:w="1027" w:type="dxa"/>
            <w:tcBorders>
              <w:top w:val="single" w:sz="4" w:space="0" w:color="000000"/>
              <w:left w:val="single" w:sz="4" w:space="0" w:color="000000"/>
              <w:bottom w:val="single" w:sz="4" w:space="0" w:color="000000"/>
            </w:tcBorders>
            <w:shd w:val="clear" w:color="auto" w:fill="auto"/>
            <w:vAlign w:val="center"/>
          </w:tcPr>
          <w:p w14:paraId="0F88464E"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南海家园三里</w:t>
            </w:r>
          </w:p>
        </w:tc>
        <w:tc>
          <w:tcPr>
            <w:tcW w:w="1026" w:type="dxa"/>
            <w:tcBorders>
              <w:top w:val="single" w:sz="4" w:space="0" w:color="000000"/>
              <w:left w:val="single" w:sz="4" w:space="0" w:color="000000"/>
              <w:bottom w:val="single" w:sz="4" w:space="0" w:color="000000"/>
            </w:tcBorders>
            <w:shd w:val="clear" w:color="auto" w:fill="auto"/>
            <w:vAlign w:val="center"/>
          </w:tcPr>
          <w:p w14:paraId="79FDD149"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南海家园四里</w:t>
            </w:r>
          </w:p>
        </w:tc>
        <w:tc>
          <w:tcPr>
            <w:tcW w:w="1027" w:type="dxa"/>
            <w:tcBorders>
              <w:top w:val="single" w:sz="4" w:space="0" w:color="000000"/>
              <w:left w:val="single" w:sz="4" w:space="0" w:color="000000"/>
              <w:bottom w:val="single" w:sz="4" w:space="0" w:color="000000"/>
            </w:tcBorders>
            <w:shd w:val="clear" w:color="auto" w:fill="auto"/>
            <w:vAlign w:val="center"/>
          </w:tcPr>
          <w:p w14:paraId="1952CB24"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南海家园五里</w:t>
            </w:r>
          </w:p>
        </w:tc>
        <w:tc>
          <w:tcPr>
            <w:tcW w:w="1064" w:type="dxa"/>
            <w:tcBorders>
              <w:top w:val="single" w:sz="4" w:space="0" w:color="000000"/>
              <w:left w:val="single" w:sz="4" w:space="0" w:color="000000"/>
              <w:bottom w:val="single" w:sz="4" w:space="0" w:color="000000"/>
            </w:tcBorders>
            <w:shd w:val="clear" w:color="auto" w:fill="auto"/>
            <w:vAlign w:val="center"/>
          </w:tcPr>
          <w:p w14:paraId="1847F408"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南海家园六里</w:t>
            </w:r>
          </w:p>
        </w:tc>
        <w:tc>
          <w:tcPr>
            <w:tcW w:w="1065" w:type="dxa"/>
            <w:tcBorders>
              <w:top w:val="single" w:sz="4" w:space="0" w:color="000000"/>
              <w:left w:val="single" w:sz="4" w:space="0" w:color="000000"/>
              <w:bottom w:val="single" w:sz="4" w:space="0" w:color="000000"/>
            </w:tcBorders>
            <w:shd w:val="clear" w:color="auto" w:fill="auto"/>
            <w:vAlign w:val="center"/>
          </w:tcPr>
          <w:p w14:paraId="1B69831E"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南海家园七里</w:t>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7CFD2"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小计</w:t>
            </w:r>
          </w:p>
        </w:tc>
      </w:tr>
      <w:tr w:rsidR="002F6ADB" w14:paraId="3D638AA9" w14:textId="77777777" w:rsidTr="00972A9A">
        <w:trPr>
          <w:trHeight w:val="23"/>
        </w:trPr>
        <w:tc>
          <w:tcPr>
            <w:tcW w:w="1026" w:type="dxa"/>
            <w:tcBorders>
              <w:left w:val="single" w:sz="4" w:space="0" w:color="000000"/>
              <w:bottom w:val="single" w:sz="4" w:space="0" w:color="000000"/>
            </w:tcBorders>
            <w:shd w:val="clear" w:color="auto" w:fill="auto"/>
            <w:vAlign w:val="center"/>
          </w:tcPr>
          <w:p w14:paraId="3A351BD9"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一居</w:t>
            </w:r>
          </w:p>
        </w:tc>
        <w:tc>
          <w:tcPr>
            <w:tcW w:w="1027" w:type="dxa"/>
            <w:tcBorders>
              <w:left w:val="single" w:sz="4" w:space="0" w:color="000000"/>
              <w:bottom w:val="single" w:sz="4" w:space="0" w:color="000000"/>
            </w:tcBorders>
            <w:shd w:val="clear" w:color="auto" w:fill="auto"/>
            <w:vAlign w:val="center"/>
          </w:tcPr>
          <w:p w14:paraId="227A1BEA"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14</w:t>
            </w:r>
          </w:p>
        </w:tc>
        <w:tc>
          <w:tcPr>
            <w:tcW w:w="1063" w:type="dxa"/>
            <w:tcBorders>
              <w:left w:val="single" w:sz="4" w:space="0" w:color="000000"/>
              <w:bottom w:val="single" w:sz="4" w:space="0" w:color="000000"/>
            </w:tcBorders>
            <w:shd w:val="clear" w:color="auto" w:fill="auto"/>
            <w:vAlign w:val="center"/>
          </w:tcPr>
          <w:p w14:paraId="418DAFC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72</w:t>
            </w:r>
          </w:p>
        </w:tc>
        <w:tc>
          <w:tcPr>
            <w:tcW w:w="1027" w:type="dxa"/>
            <w:tcBorders>
              <w:left w:val="single" w:sz="4" w:space="0" w:color="000000"/>
              <w:bottom w:val="single" w:sz="4" w:space="0" w:color="000000"/>
            </w:tcBorders>
            <w:shd w:val="clear" w:color="auto" w:fill="auto"/>
            <w:vAlign w:val="center"/>
          </w:tcPr>
          <w:p w14:paraId="739E5CD5"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12</w:t>
            </w:r>
          </w:p>
        </w:tc>
        <w:tc>
          <w:tcPr>
            <w:tcW w:w="1026" w:type="dxa"/>
            <w:tcBorders>
              <w:left w:val="single" w:sz="4" w:space="0" w:color="000000"/>
              <w:bottom w:val="single" w:sz="4" w:space="0" w:color="000000"/>
            </w:tcBorders>
            <w:shd w:val="clear" w:color="auto" w:fill="auto"/>
            <w:vAlign w:val="center"/>
          </w:tcPr>
          <w:p w14:paraId="1D5C3FE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29</w:t>
            </w:r>
          </w:p>
        </w:tc>
        <w:tc>
          <w:tcPr>
            <w:tcW w:w="1027" w:type="dxa"/>
            <w:tcBorders>
              <w:left w:val="single" w:sz="4" w:space="0" w:color="000000"/>
              <w:bottom w:val="single" w:sz="4" w:space="0" w:color="000000"/>
            </w:tcBorders>
            <w:shd w:val="clear" w:color="auto" w:fill="auto"/>
            <w:vAlign w:val="center"/>
          </w:tcPr>
          <w:p w14:paraId="770C69BD"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15</w:t>
            </w:r>
          </w:p>
        </w:tc>
        <w:tc>
          <w:tcPr>
            <w:tcW w:w="1064" w:type="dxa"/>
            <w:tcBorders>
              <w:left w:val="single" w:sz="4" w:space="0" w:color="000000"/>
              <w:bottom w:val="single" w:sz="4" w:space="0" w:color="000000"/>
            </w:tcBorders>
            <w:shd w:val="clear" w:color="auto" w:fill="auto"/>
            <w:vAlign w:val="center"/>
          </w:tcPr>
          <w:p w14:paraId="32417C49"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90</w:t>
            </w:r>
          </w:p>
        </w:tc>
        <w:tc>
          <w:tcPr>
            <w:tcW w:w="1065" w:type="dxa"/>
            <w:tcBorders>
              <w:left w:val="single" w:sz="4" w:space="0" w:color="000000"/>
              <w:bottom w:val="single" w:sz="4" w:space="0" w:color="000000"/>
            </w:tcBorders>
            <w:shd w:val="clear" w:color="auto" w:fill="auto"/>
            <w:vAlign w:val="center"/>
          </w:tcPr>
          <w:p w14:paraId="1549C37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262</w:t>
            </w:r>
          </w:p>
        </w:tc>
        <w:tc>
          <w:tcPr>
            <w:tcW w:w="1189" w:type="dxa"/>
            <w:tcBorders>
              <w:left w:val="single" w:sz="4" w:space="0" w:color="000000"/>
              <w:bottom w:val="single" w:sz="4" w:space="0" w:color="000000"/>
              <w:right w:val="single" w:sz="4" w:space="0" w:color="000000"/>
            </w:tcBorders>
            <w:shd w:val="clear" w:color="auto" w:fill="auto"/>
            <w:vAlign w:val="center"/>
          </w:tcPr>
          <w:p w14:paraId="49DCF9A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494</w:t>
            </w:r>
          </w:p>
        </w:tc>
      </w:tr>
      <w:tr w:rsidR="002F6ADB" w14:paraId="61E74A7F" w14:textId="77777777" w:rsidTr="00972A9A">
        <w:trPr>
          <w:trHeight w:val="23"/>
        </w:trPr>
        <w:tc>
          <w:tcPr>
            <w:tcW w:w="1026" w:type="dxa"/>
            <w:tcBorders>
              <w:left w:val="single" w:sz="4" w:space="0" w:color="000000"/>
              <w:bottom w:val="single" w:sz="4" w:space="0" w:color="000000"/>
            </w:tcBorders>
            <w:shd w:val="clear" w:color="auto" w:fill="auto"/>
            <w:vAlign w:val="center"/>
          </w:tcPr>
          <w:p w14:paraId="2ECB584D"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二居</w:t>
            </w:r>
          </w:p>
        </w:tc>
        <w:tc>
          <w:tcPr>
            <w:tcW w:w="1027" w:type="dxa"/>
            <w:tcBorders>
              <w:left w:val="single" w:sz="4" w:space="0" w:color="000000"/>
              <w:bottom w:val="single" w:sz="4" w:space="0" w:color="000000"/>
            </w:tcBorders>
            <w:shd w:val="clear" w:color="auto" w:fill="auto"/>
            <w:vAlign w:val="center"/>
          </w:tcPr>
          <w:p w14:paraId="4A0752D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30</w:t>
            </w:r>
          </w:p>
        </w:tc>
        <w:tc>
          <w:tcPr>
            <w:tcW w:w="1063" w:type="dxa"/>
            <w:tcBorders>
              <w:left w:val="single" w:sz="4" w:space="0" w:color="000000"/>
              <w:bottom w:val="single" w:sz="4" w:space="0" w:color="000000"/>
            </w:tcBorders>
            <w:shd w:val="clear" w:color="auto" w:fill="auto"/>
            <w:vAlign w:val="center"/>
          </w:tcPr>
          <w:p w14:paraId="16011BC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103</w:t>
            </w:r>
          </w:p>
        </w:tc>
        <w:tc>
          <w:tcPr>
            <w:tcW w:w="1027" w:type="dxa"/>
            <w:tcBorders>
              <w:left w:val="single" w:sz="4" w:space="0" w:color="000000"/>
              <w:bottom w:val="single" w:sz="4" w:space="0" w:color="000000"/>
            </w:tcBorders>
            <w:shd w:val="clear" w:color="auto" w:fill="auto"/>
            <w:vAlign w:val="center"/>
          </w:tcPr>
          <w:p w14:paraId="4392904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50</w:t>
            </w:r>
          </w:p>
        </w:tc>
        <w:tc>
          <w:tcPr>
            <w:tcW w:w="1026" w:type="dxa"/>
            <w:tcBorders>
              <w:left w:val="single" w:sz="4" w:space="0" w:color="000000"/>
              <w:bottom w:val="single" w:sz="4" w:space="0" w:color="000000"/>
            </w:tcBorders>
            <w:shd w:val="clear" w:color="auto" w:fill="auto"/>
            <w:vAlign w:val="center"/>
          </w:tcPr>
          <w:p w14:paraId="68B6EE5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82</w:t>
            </w:r>
          </w:p>
        </w:tc>
        <w:tc>
          <w:tcPr>
            <w:tcW w:w="1027" w:type="dxa"/>
            <w:tcBorders>
              <w:left w:val="single" w:sz="4" w:space="0" w:color="000000"/>
              <w:bottom w:val="single" w:sz="4" w:space="0" w:color="000000"/>
            </w:tcBorders>
            <w:shd w:val="clear" w:color="auto" w:fill="auto"/>
            <w:vAlign w:val="center"/>
          </w:tcPr>
          <w:p w14:paraId="4CE1FF3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60</w:t>
            </w:r>
          </w:p>
        </w:tc>
        <w:tc>
          <w:tcPr>
            <w:tcW w:w="1064" w:type="dxa"/>
            <w:tcBorders>
              <w:left w:val="single" w:sz="4" w:space="0" w:color="000000"/>
              <w:bottom w:val="single" w:sz="4" w:space="0" w:color="000000"/>
            </w:tcBorders>
            <w:shd w:val="clear" w:color="auto" w:fill="auto"/>
            <w:vAlign w:val="center"/>
          </w:tcPr>
          <w:p w14:paraId="150957CC"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66</w:t>
            </w:r>
          </w:p>
        </w:tc>
        <w:tc>
          <w:tcPr>
            <w:tcW w:w="1065" w:type="dxa"/>
            <w:tcBorders>
              <w:left w:val="single" w:sz="4" w:space="0" w:color="000000"/>
              <w:bottom w:val="single" w:sz="4" w:space="0" w:color="000000"/>
            </w:tcBorders>
            <w:shd w:val="clear" w:color="auto" w:fill="auto"/>
            <w:vAlign w:val="center"/>
          </w:tcPr>
          <w:p w14:paraId="2279ED06"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52</w:t>
            </w:r>
          </w:p>
        </w:tc>
        <w:tc>
          <w:tcPr>
            <w:tcW w:w="1189" w:type="dxa"/>
            <w:tcBorders>
              <w:left w:val="single" w:sz="4" w:space="0" w:color="000000"/>
              <w:bottom w:val="single" w:sz="4" w:space="0" w:color="000000"/>
              <w:right w:val="single" w:sz="4" w:space="0" w:color="000000"/>
            </w:tcBorders>
            <w:shd w:val="clear" w:color="auto" w:fill="auto"/>
            <w:vAlign w:val="center"/>
          </w:tcPr>
          <w:p w14:paraId="3A86D6B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443</w:t>
            </w:r>
          </w:p>
        </w:tc>
      </w:tr>
      <w:tr w:rsidR="002F6ADB" w14:paraId="67B34361" w14:textId="77777777" w:rsidTr="00972A9A">
        <w:trPr>
          <w:trHeight w:val="23"/>
        </w:trPr>
        <w:tc>
          <w:tcPr>
            <w:tcW w:w="1026" w:type="dxa"/>
            <w:tcBorders>
              <w:left w:val="single" w:sz="4" w:space="0" w:color="000000"/>
              <w:bottom w:val="single" w:sz="4" w:space="0" w:color="000000"/>
            </w:tcBorders>
            <w:shd w:val="clear" w:color="auto" w:fill="auto"/>
            <w:vAlign w:val="center"/>
          </w:tcPr>
          <w:p w14:paraId="0121D031"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三居</w:t>
            </w:r>
          </w:p>
        </w:tc>
        <w:tc>
          <w:tcPr>
            <w:tcW w:w="1027" w:type="dxa"/>
            <w:tcBorders>
              <w:left w:val="single" w:sz="4" w:space="0" w:color="000000"/>
              <w:bottom w:val="single" w:sz="4" w:space="0" w:color="000000"/>
            </w:tcBorders>
            <w:shd w:val="clear" w:color="auto" w:fill="auto"/>
            <w:vAlign w:val="center"/>
          </w:tcPr>
          <w:p w14:paraId="093CAA6A"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w:t>
            </w:r>
          </w:p>
        </w:tc>
        <w:tc>
          <w:tcPr>
            <w:tcW w:w="1063" w:type="dxa"/>
            <w:tcBorders>
              <w:left w:val="single" w:sz="4" w:space="0" w:color="000000"/>
              <w:bottom w:val="single" w:sz="4" w:space="0" w:color="000000"/>
            </w:tcBorders>
            <w:shd w:val="clear" w:color="auto" w:fill="auto"/>
            <w:vAlign w:val="center"/>
          </w:tcPr>
          <w:p w14:paraId="77626A57"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w:t>
            </w:r>
          </w:p>
        </w:tc>
        <w:tc>
          <w:tcPr>
            <w:tcW w:w="1027" w:type="dxa"/>
            <w:tcBorders>
              <w:left w:val="single" w:sz="4" w:space="0" w:color="000000"/>
              <w:bottom w:val="single" w:sz="4" w:space="0" w:color="000000"/>
            </w:tcBorders>
            <w:shd w:val="clear" w:color="auto" w:fill="auto"/>
            <w:vAlign w:val="center"/>
          </w:tcPr>
          <w:p w14:paraId="15967C0A"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w:t>
            </w:r>
          </w:p>
        </w:tc>
        <w:tc>
          <w:tcPr>
            <w:tcW w:w="1026" w:type="dxa"/>
            <w:tcBorders>
              <w:left w:val="single" w:sz="4" w:space="0" w:color="000000"/>
              <w:bottom w:val="single" w:sz="4" w:space="0" w:color="000000"/>
            </w:tcBorders>
            <w:shd w:val="clear" w:color="auto" w:fill="auto"/>
            <w:vAlign w:val="center"/>
          </w:tcPr>
          <w:p w14:paraId="49214135" w14:textId="77777777" w:rsidR="002F6ADB" w:rsidRPr="00FB51B2" w:rsidRDefault="002F6ADB" w:rsidP="00972A9A">
            <w:pPr>
              <w:spacing w:line="240" w:lineRule="auto"/>
              <w:jc w:val="center"/>
              <w:rPr>
                <w:rFonts w:ascii="Arial" w:hAnsi="Arial" w:cs="Arial"/>
                <w:sz w:val="20"/>
              </w:rPr>
            </w:pPr>
          </w:p>
        </w:tc>
        <w:tc>
          <w:tcPr>
            <w:tcW w:w="1027" w:type="dxa"/>
            <w:tcBorders>
              <w:left w:val="single" w:sz="4" w:space="0" w:color="000000"/>
              <w:bottom w:val="single" w:sz="4" w:space="0" w:color="000000"/>
            </w:tcBorders>
            <w:shd w:val="clear" w:color="auto" w:fill="auto"/>
            <w:vAlign w:val="center"/>
          </w:tcPr>
          <w:p w14:paraId="1BCF633A" w14:textId="77777777" w:rsidR="002F6ADB" w:rsidRPr="00FB51B2" w:rsidRDefault="002F6ADB" w:rsidP="00972A9A">
            <w:pPr>
              <w:spacing w:line="240" w:lineRule="auto"/>
              <w:jc w:val="center"/>
              <w:rPr>
                <w:rFonts w:ascii="Arial" w:hAnsi="Arial" w:cs="Arial"/>
                <w:sz w:val="20"/>
              </w:rPr>
            </w:pPr>
          </w:p>
        </w:tc>
        <w:tc>
          <w:tcPr>
            <w:tcW w:w="1064" w:type="dxa"/>
            <w:tcBorders>
              <w:left w:val="single" w:sz="4" w:space="0" w:color="000000"/>
              <w:bottom w:val="single" w:sz="4" w:space="0" w:color="000000"/>
            </w:tcBorders>
            <w:shd w:val="clear" w:color="auto" w:fill="auto"/>
            <w:vAlign w:val="center"/>
          </w:tcPr>
          <w:p w14:paraId="7E1E5ACB" w14:textId="77777777" w:rsidR="002F6ADB" w:rsidRPr="00FB51B2" w:rsidRDefault="002F6ADB" w:rsidP="00972A9A">
            <w:pPr>
              <w:spacing w:line="240" w:lineRule="auto"/>
              <w:jc w:val="center"/>
              <w:rPr>
                <w:rFonts w:ascii="Arial" w:hAnsi="Arial" w:cs="Arial"/>
                <w:sz w:val="20"/>
              </w:rPr>
            </w:pPr>
          </w:p>
        </w:tc>
        <w:tc>
          <w:tcPr>
            <w:tcW w:w="1065" w:type="dxa"/>
            <w:tcBorders>
              <w:left w:val="single" w:sz="4" w:space="0" w:color="000000"/>
              <w:bottom w:val="single" w:sz="4" w:space="0" w:color="000000"/>
            </w:tcBorders>
            <w:shd w:val="clear" w:color="auto" w:fill="auto"/>
            <w:vAlign w:val="center"/>
          </w:tcPr>
          <w:p w14:paraId="6D8E1CD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w:t>
            </w:r>
          </w:p>
        </w:tc>
        <w:tc>
          <w:tcPr>
            <w:tcW w:w="1189" w:type="dxa"/>
            <w:tcBorders>
              <w:left w:val="single" w:sz="4" w:space="0" w:color="000000"/>
              <w:bottom w:val="single" w:sz="4" w:space="0" w:color="000000"/>
              <w:right w:val="single" w:sz="4" w:space="0" w:color="000000"/>
            </w:tcBorders>
            <w:shd w:val="clear" w:color="auto" w:fill="auto"/>
            <w:vAlign w:val="center"/>
          </w:tcPr>
          <w:p w14:paraId="7FF4A6E3"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22</w:t>
            </w:r>
          </w:p>
        </w:tc>
      </w:tr>
      <w:tr w:rsidR="002F6ADB" w14:paraId="5CBA039A" w14:textId="77777777" w:rsidTr="00972A9A">
        <w:trPr>
          <w:trHeight w:val="23"/>
        </w:trPr>
        <w:tc>
          <w:tcPr>
            <w:tcW w:w="1026" w:type="dxa"/>
            <w:tcBorders>
              <w:left w:val="single" w:sz="4" w:space="0" w:color="000000"/>
              <w:bottom w:val="single" w:sz="4" w:space="0" w:color="000000"/>
            </w:tcBorders>
            <w:shd w:val="clear" w:color="auto" w:fill="auto"/>
            <w:vAlign w:val="center"/>
          </w:tcPr>
          <w:p w14:paraId="632CD640"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合计套数</w:t>
            </w:r>
          </w:p>
        </w:tc>
        <w:tc>
          <w:tcPr>
            <w:tcW w:w="1027" w:type="dxa"/>
            <w:tcBorders>
              <w:left w:val="single" w:sz="4" w:space="0" w:color="000000"/>
              <w:bottom w:val="single" w:sz="4" w:space="0" w:color="000000"/>
            </w:tcBorders>
            <w:shd w:val="clear" w:color="auto" w:fill="auto"/>
            <w:vAlign w:val="center"/>
          </w:tcPr>
          <w:p w14:paraId="4A243250"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46</w:t>
            </w:r>
          </w:p>
        </w:tc>
        <w:tc>
          <w:tcPr>
            <w:tcW w:w="1063" w:type="dxa"/>
            <w:tcBorders>
              <w:left w:val="single" w:sz="4" w:space="0" w:color="000000"/>
              <w:bottom w:val="single" w:sz="4" w:space="0" w:color="000000"/>
            </w:tcBorders>
            <w:shd w:val="clear" w:color="auto" w:fill="auto"/>
            <w:vAlign w:val="center"/>
          </w:tcPr>
          <w:p w14:paraId="69AAF177"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180</w:t>
            </w:r>
          </w:p>
        </w:tc>
        <w:tc>
          <w:tcPr>
            <w:tcW w:w="1027" w:type="dxa"/>
            <w:tcBorders>
              <w:left w:val="single" w:sz="4" w:space="0" w:color="000000"/>
              <w:bottom w:val="single" w:sz="4" w:space="0" w:color="000000"/>
            </w:tcBorders>
            <w:shd w:val="clear" w:color="auto" w:fill="auto"/>
            <w:vAlign w:val="center"/>
          </w:tcPr>
          <w:p w14:paraId="5DFE4A3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71</w:t>
            </w:r>
          </w:p>
        </w:tc>
        <w:tc>
          <w:tcPr>
            <w:tcW w:w="1026" w:type="dxa"/>
            <w:tcBorders>
              <w:left w:val="single" w:sz="4" w:space="0" w:color="000000"/>
              <w:bottom w:val="single" w:sz="4" w:space="0" w:color="000000"/>
            </w:tcBorders>
            <w:shd w:val="clear" w:color="auto" w:fill="auto"/>
            <w:vAlign w:val="center"/>
          </w:tcPr>
          <w:p w14:paraId="7F7297C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111</w:t>
            </w:r>
          </w:p>
        </w:tc>
        <w:tc>
          <w:tcPr>
            <w:tcW w:w="1027" w:type="dxa"/>
            <w:tcBorders>
              <w:left w:val="single" w:sz="4" w:space="0" w:color="000000"/>
              <w:bottom w:val="single" w:sz="4" w:space="0" w:color="000000"/>
            </w:tcBorders>
            <w:shd w:val="clear" w:color="auto" w:fill="auto"/>
            <w:vAlign w:val="center"/>
          </w:tcPr>
          <w:p w14:paraId="6A352E57"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75</w:t>
            </w:r>
          </w:p>
        </w:tc>
        <w:tc>
          <w:tcPr>
            <w:tcW w:w="1064" w:type="dxa"/>
            <w:tcBorders>
              <w:left w:val="single" w:sz="4" w:space="0" w:color="000000"/>
              <w:bottom w:val="single" w:sz="4" w:space="0" w:color="000000"/>
            </w:tcBorders>
            <w:shd w:val="clear" w:color="auto" w:fill="auto"/>
            <w:vAlign w:val="center"/>
          </w:tcPr>
          <w:p w14:paraId="153FAE6D"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156</w:t>
            </w:r>
          </w:p>
        </w:tc>
        <w:tc>
          <w:tcPr>
            <w:tcW w:w="1065" w:type="dxa"/>
            <w:tcBorders>
              <w:left w:val="single" w:sz="4" w:space="0" w:color="000000"/>
              <w:bottom w:val="single" w:sz="4" w:space="0" w:color="000000"/>
            </w:tcBorders>
            <w:shd w:val="clear" w:color="auto" w:fill="auto"/>
            <w:vAlign w:val="center"/>
          </w:tcPr>
          <w:p w14:paraId="471357E0"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320</w:t>
            </w:r>
          </w:p>
        </w:tc>
        <w:tc>
          <w:tcPr>
            <w:tcW w:w="1189" w:type="dxa"/>
            <w:tcBorders>
              <w:left w:val="single" w:sz="4" w:space="0" w:color="000000"/>
              <w:bottom w:val="single" w:sz="4" w:space="0" w:color="000000"/>
              <w:right w:val="single" w:sz="4" w:space="0" w:color="000000"/>
            </w:tcBorders>
            <w:shd w:val="clear" w:color="auto" w:fill="auto"/>
            <w:vAlign w:val="center"/>
          </w:tcPr>
          <w:p w14:paraId="4C1F02C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959</w:t>
            </w:r>
          </w:p>
        </w:tc>
      </w:tr>
      <w:tr w:rsidR="002F6ADB" w14:paraId="697741B4" w14:textId="77777777" w:rsidTr="00972A9A">
        <w:trPr>
          <w:trHeight w:val="23"/>
        </w:trPr>
        <w:tc>
          <w:tcPr>
            <w:tcW w:w="1026" w:type="dxa"/>
            <w:tcBorders>
              <w:left w:val="single" w:sz="4" w:space="0" w:color="000000"/>
              <w:bottom w:val="single" w:sz="4" w:space="0" w:color="000000"/>
            </w:tcBorders>
            <w:shd w:val="clear" w:color="auto" w:fill="auto"/>
            <w:vAlign w:val="center"/>
          </w:tcPr>
          <w:p w14:paraId="67290216" w14:textId="251A2DA5" w:rsidR="002F6ADB" w:rsidRDefault="002F6ADB" w:rsidP="00972A9A">
            <w:pPr>
              <w:widowControl/>
              <w:spacing w:line="240" w:lineRule="auto"/>
              <w:jc w:val="center"/>
              <w:textAlignment w:val="auto"/>
            </w:pPr>
            <w:r>
              <w:rPr>
                <w:rFonts w:ascii="华文细黑" w:eastAsia="华文细黑" w:hAnsi="华文细黑" w:cs="Arial" w:hint="eastAsia"/>
                <w:sz w:val="18"/>
                <w:szCs w:val="18"/>
              </w:rPr>
              <w:t>合计面积</w:t>
            </w:r>
            <w:r w:rsidR="009A3379">
              <w:rPr>
                <w:rFonts w:ascii="华文细黑" w:eastAsia="华文细黑" w:hAnsi="华文细黑" w:cs="Arial" w:hint="eastAsia"/>
                <w:sz w:val="18"/>
                <w:szCs w:val="18"/>
              </w:rPr>
              <w:t>（m</w:t>
            </w:r>
            <w:r w:rsidR="009A3379" w:rsidRPr="009A3379">
              <w:rPr>
                <w:rFonts w:ascii="华文细黑" w:eastAsia="华文细黑" w:hAnsi="华文细黑" w:cs="Arial"/>
                <w:sz w:val="18"/>
                <w:szCs w:val="18"/>
                <w:vertAlign w:val="superscript"/>
              </w:rPr>
              <w:t>2</w:t>
            </w:r>
            <w:r w:rsidR="009A3379">
              <w:rPr>
                <w:rFonts w:ascii="华文细黑" w:eastAsia="华文细黑" w:hAnsi="华文细黑" w:cs="Arial" w:hint="eastAsia"/>
                <w:sz w:val="18"/>
                <w:szCs w:val="18"/>
              </w:rPr>
              <w:t>）</w:t>
            </w:r>
          </w:p>
        </w:tc>
        <w:tc>
          <w:tcPr>
            <w:tcW w:w="1027" w:type="dxa"/>
            <w:tcBorders>
              <w:left w:val="single" w:sz="4" w:space="0" w:color="000000"/>
              <w:bottom w:val="single" w:sz="4" w:space="0" w:color="000000"/>
            </w:tcBorders>
            <w:shd w:val="clear" w:color="auto" w:fill="auto"/>
            <w:vAlign w:val="center"/>
          </w:tcPr>
          <w:p w14:paraId="2B41E959"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3825.77</w:t>
            </w:r>
          </w:p>
        </w:tc>
        <w:tc>
          <w:tcPr>
            <w:tcW w:w="1063" w:type="dxa"/>
            <w:tcBorders>
              <w:left w:val="single" w:sz="4" w:space="0" w:color="000000"/>
              <w:bottom w:val="single" w:sz="4" w:space="0" w:color="000000"/>
            </w:tcBorders>
            <w:shd w:val="clear" w:color="auto" w:fill="auto"/>
            <w:vAlign w:val="center"/>
          </w:tcPr>
          <w:p w14:paraId="1AA1CFA1"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14530.24</w:t>
            </w:r>
          </w:p>
        </w:tc>
        <w:tc>
          <w:tcPr>
            <w:tcW w:w="1027" w:type="dxa"/>
            <w:tcBorders>
              <w:left w:val="single" w:sz="4" w:space="0" w:color="000000"/>
              <w:bottom w:val="single" w:sz="4" w:space="0" w:color="000000"/>
            </w:tcBorders>
            <w:shd w:val="clear" w:color="auto" w:fill="auto"/>
            <w:vAlign w:val="center"/>
          </w:tcPr>
          <w:p w14:paraId="4CA7143A"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6175.02</w:t>
            </w:r>
          </w:p>
        </w:tc>
        <w:tc>
          <w:tcPr>
            <w:tcW w:w="1026" w:type="dxa"/>
            <w:tcBorders>
              <w:left w:val="single" w:sz="4" w:space="0" w:color="000000"/>
              <w:bottom w:val="single" w:sz="4" w:space="0" w:color="000000"/>
            </w:tcBorders>
            <w:shd w:val="clear" w:color="auto" w:fill="auto"/>
            <w:vAlign w:val="center"/>
          </w:tcPr>
          <w:p w14:paraId="40BFCC83"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9218.27</w:t>
            </w:r>
          </w:p>
        </w:tc>
        <w:tc>
          <w:tcPr>
            <w:tcW w:w="1027" w:type="dxa"/>
            <w:tcBorders>
              <w:left w:val="single" w:sz="4" w:space="0" w:color="000000"/>
              <w:bottom w:val="single" w:sz="4" w:space="0" w:color="000000"/>
            </w:tcBorders>
            <w:shd w:val="clear" w:color="auto" w:fill="auto"/>
            <w:vAlign w:val="center"/>
          </w:tcPr>
          <w:p w14:paraId="19159675"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6359.37</w:t>
            </w:r>
          </w:p>
        </w:tc>
        <w:tc>
          <w:tcPr>
            <w:tcW w:w="1064" w:type="dxa"/>
            <w:tcBorders>
              <w:left w:val="single" w:sz="4" w:space="0" w:color="000000"/>
              <w:bottom w:val="single" w:sz="4" w:space="0" w:color="000000"/>
            </w:tcBorders>
            <w:shd w:val="clear" w:color="auto" w:fill="auto"/>
            <w:vAlign w:val="center"/>
          </w:tcPr>
          <w:p w14:paraId="6C39CA50"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11871.66</w:t>
            </w:r>
          </w:p>
        </w:tc>
        <w:tc>
          <w:tcPr>
            <w:tcW w:w="1065" w:type="dxa"/>
            <w:tcBorders>
              <w:left w:val="single" w:sz="4" w:space="0" w:color="000000"/>
              <w:bottom w:val="single" w:sz="4" w:space="0" w:color="000000"/>
            </w:tcBorders>
            <w:shd w:val="clear" w:color="auto" w:fill="auto"/>
            <w:vAlign w:val="center"/>
          </w:tcPr>
          <w:p w14:paraId="001347A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22541.61</w:t>
            </w:r>
          </w:p>
        </w:tc>
        <w:tc>
          <w:tcPr>
            <w:tcW w:w="1189" w:type="dxa"/>
            <w:tcBorders>
              <w:left w:val="single" w:sz="4" w:space="0" w:color="000000"/>
              <w:bottom w:val="single" w:sz="4" w:space="0" w:color="000000"/>
              <w:right w:val="single" w:sz="4" w:space="0" w:color="000000"/>
            </w:tcBorders>
            <w:shd w:val="clear" w:color="auto" w:fill="auto"/>
            <w:vAlign w:val="center"/>
          </w:tcPr>
          <w:p w14:paraId="7EB10E1C"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74521.94</w:t>
            </w:r>
          </w:p>
        </w:tc>
      </w:tr>
    </w:tbl>
    <w:p w14:paraId="1F2095D9" w14:textId="77777777" w:rsidR="00AF6F34" w:rsidRDefault="00AF6F34" w:rsidP="00F52851">
      <w:pPr>
        <w:overflowPunct w:val="0"/>
        <w:spacing w:beforeLines="100" w:before="240" w:line="480" w:lineRule="auto"/>
        <w:ind w:firstLine="420"/>
        <w:jc w:val="both"/>
        <w:textAlignment w:val="auto"/>
      </w:pPr>
      <w:r>
        <w:rPr>
          <w:rFonts w:ascii="Arial" w:hAnsi="Arial" w:cs="Arial" w:hint="eastAsia"/>
          <w:sz w:val="21"/>
          <w:szCs w:val="21"/>
        </w:rPr>
        <w:t>2.</w:t>
      </w:r>
      <w:r>
        <w:rPr>
          <w:rFonts w:ascii="Arial" w:hAnsi="Arial" w:cs="Arial" w:hint="eastAsia"/>
          <w:sz w:val="21"/>
          <w:szCs w:val="21"/>
        </w:rPr>
        <w:t>建筑结构：估价对象所属楼宇建筑结构为</w:t>
      </w:r>
      <w:r>
        <w:rPr>
          <w:rFonts w:ascii="Arial" w:hAnsi="Arial" w:cs="Arial" w:hint="eastAsia"/>
          <w:kern w:val="2"/>
          <w:sz w:val="21"/>
          <w:szCs w:val="21"/>
        </w:rPr>
        <w:t>钢混</w:t>
      </w:r>
      <w:r>
        <w:rPr>
          <w:rFonts w:ascii="Arial" w:hAnsi="Arial" w:cs="Arial" w:hint="eastAsia"/>
          <w:sz w:val="21"/>
          <w:szCs w:val="21"/>
        </w:rPr>
        <w:t>结构。</w:t>
      </w:r>
      <w:bookmarkStart w:id="11" w:name="OLE_LINK2"/>
      <w:bookmarkStart w:id="12" w:name="OLE_LINK3"/>
    </w:p>
    <w:p w14:paraId="4021582F" w14:textId="77777777" w:rsidR="00AF6F34" w:rsidRDefault="00AF6F34">
      <w:pPr>
        <w:overflowPunct w:val="0"/>
        <w:spacing w:line="480" w:lineRule="auto"/>
        <w:ind w:firstLine="420"/>
        <w:jc w:val="both"/>
        <w:textAlignment w:val="auto"/>
      </w:pPr>
      <w:r>
        <w:rPr>
          <w:rFonts w:ascii="Arial" w:hAnsi="Arial" w:cs="Arial" w:hint="eastAsia"/>
          <w:sz w:val="21"/>
          <w:szCs w:val="21"/>
        </w:rPr>
        <w:t>3.</w:t>
      </w:r>
      <w:r>
        <w:rPr>
          <w:rFonts w:ascii="Arial" w:hAnsi="Arial" w:cs="Arial" w:hint="eastAsia"/>
          <w:sz w:val="21"/>
          <w:szCs w:val="21"/>
        </w:rPr>
        <w:t>建筑外观：</w:t>
      </w:r>
      <w:r>
        <w:rPr>
          <w:rFonts w:ascii="Arial" w:hAnsi="Arial" w:cs="Arial" w:hint="eastAsia"/>
          <w:kern w:val="2"/>
          <w:sz w:val="21"/>
          <w:szCs w:val="21"/>
        </w:rPr>
        <w:t>楼型为单元式板楼</w:t>
      </w:r>
      <w:r>
        <w:rPr>
          <w:rFonts w:ascii="Arial" w:hAnsi="Arial" w:cs="Arial" w:hint="eastAsia"/>
          <w:sz w:val="21"/>
          <w:szCs w:val="21"/>
        </w:rPr>
        <w:t>。</w:t>
      </w:r>
    </w:p>
    <w:p w14:paraId="5A40DF4F" w14:textId="77777777" w:rsidR="00AF6F34" w:rsidRDefault="00AF6F34">
      <w:pPr>
        <w:overflowPunct w:val="0"/>
        <w:spacing w:line="480" w:lineRule="auto"/>
        <w:ind w:firstLine="420"/>
        <w:jc w:val="both"/>
        <w:textAlignment w:val="auto"/>
      </w:pPr>
      <w:r>
        <w:rPr>
          <w:rFonts w:ascii="Arial" w:hAnsi="Arial" w:cs="Arial" w:hint="eastAsia"/>
          <w:sz w:val="21"/>
          <w:szCs w:val="21"/>
        </w:rPr>
        <w:t>4.</w:t>
      </w:r>
      <w:r>
        <w:rPr>
          <w:rFonts w:ascii="Arial" w:hAnsi="Arial" w:cs="Arial" w:hint="eastAsia"/>
          <w:sz w:val="21"/>
          <w:szCs w:val="21"/>
        </w:rPr>
        <w:t>设施设备：估价对象所在项目配套设施完备，给排水、电力、电讯、暖通等齐全；防火栓、安防系统等设备齐全；厨房、卫生间配备家具家电。</w:t>
      </w:r>
    </w:p>
    <w:p w14:paraId="05C3CA8C" w14:textId="4B373EE3" w:rsidR="00AF6F34" w:rsidRDefault="00AF6F34">
      <w:pPr>
        <w:overflowPunct w:val="0"/>
        <w:spacing w:line="480" w:lineRule="auto"/>
        <w:ind w:firstLine="420"/>
        <w:jc w:val="both"/>
        <w:textAlignment w:val="auto"/>
      </w:pPr>
      <w:r>
        <w:rPr>
          <w:rFonts w:ascii="Arial" w:hAnsi="Arial" w:cs="Arial" w:hint="eastAsia"/>
          <w:sz w:val="21"/>
          <w:szCs w:val="21"/>
        </w:rPr>
        <w:t>5.</w:t>
      </w:r>
      <w:r>
        <w:rPr>
          <w:rFonts w:ascii="Arial" w:hAnsi="Arial" w:cs="Arial" w:hint="eastAsia"/>
          <w:sz w:val="21"/>
          <w:szCs w:val="21"/>
        </w:rPr>
        <w:t>装饰装修：根据估价人员实地查勘，</w:t>
      </w:r>
      <w:r w:rsidR="0047041D">
        <w:rPr>
          <w:rFonts w:ascii="Arial" w:hAnsi="Arial" w:cs="Arial" w:hint="eastAsia"/>
          <w:sz w:val="21"/>
          <w:szCs w:val="21"/>
        </w:rPr>
        <w:t>估价对象所属楼宇于</w:t>
      </w:r>
      <w:r w:rsidR="0047041D">
        <w:rPr>
          <w:rFonts w:ascii="Arial" w:hAnsi="Arial" w:cs="Arial" w:hint="eastAsia"/>
          <w:sz w:val="21"/>
          <w:szCs w:val="21"/>
        </w:rPr>
        <w:t>2010</w:t>
      </w:r>
      <w:r w:rsidR="0047041D">
        <w:rPr>
          <w:rFonts w:ascii="Arial" w:hAnsi="Arial" w:cs="Arial" w:hint="eastAsia"/>
          <w:sz w:val="21"/>
          <w:szCs w:val="21"/>
        </w:rPr>
        <w:t>年至</w:t>
      </w:r>
      <w:r w:rsidR="0047041D">
        <w:rPr>
          <w:rFonts w:ascii="Arial" w:hAnsi="Arial" w:cs="Arial" w:hint="eastAsia"/>
          <w:sz w:val="21"/>
          <w:szCs w:val="21"/>
        </w:rPr>
        <w:t>2014</w:t>
      </w:r>
      <w:r w:rsidR="0047041D">
        <w:rPr>
          <w:rFonts w:ascii="Arial" w:hAnsi="Arial" w:cs="Arial" w:hint="eastAsia"/>
          <w:sz w:val="21"/>
          <w:szCs w:val="21"/>
        </w:rPr>
        <w:t>年建设</w:t>
      </w:r>
      <w:r w:rsidR="00C40048">
        <w:rPr>
          <w:rFonts w:ascii="Arial" w:hAnsi="Arial" w:cs="Arial" w:hint="eastAsia"/>
          <w:sz w:val="21"/>
          <w:szCs w:val="21"/>
        </w:rPr>
        <w:t>，于价值时点，</w:t>
      </w:r>
      <w:r>
        <w:rPr>
          <w:rFonts w:ascii="Arial" w:hAnsi="Arial" w:cs="Arial" w:hint="eastAsia"/>
          <w:sz w:val="21"/>
          <w:szCs w:val="21"/>
        </w:rPr>
        <w:t>部分房源正在进行室内装修。</w:t>
      </w:r>
      <w:r w:rsidR="00D07C96">
        <w:rPr>
          <w:rFonts w:ascii="Arial" w:hAnsi="Arial" w:cs="Arial" w:hint="eastAsia"/>
          <w:kern w:val="2"/>
          <w:sz w:val="21"/>
          <w:szCs w:val="21"/>
        </w:rPr>
        <w:t>另根据估价委托人介绍设定估价对象于出租时均为全装修</w:t>
      </w:r>
      <w:r>
        <w:rPr>
          <w:rFonts w:ascii="Arial" w:hAnsi="Arial" w:cs="Arial" w:hint="eastAsia"/>
          <w:sz w:val="21"/>
          <w:szCs w:val="21"/>
        </w:rPr>
        <w:t>，外立面喷涂料，公共部分首层地面贴砖，顶棚、墙面刷涂料。室内地面铺设地砖，墙面刷涂料，顶棚刷涂料；厨房地面铺设地砖，墙面为墙砖，顶棚为铝扣板；卫生间地面铺设地砖，墙面为墙砖，顶棚为铝</w:t>
      </w:r>
      <w:r>
        <w:rPr>
          <w:rFonts w:ascii="Arial" w:hAnsi="Arial" w:cs="Arial" w:hint="eastAsia"/>
          <w:sz w:val="21"/>
          <w:szCs w:val="21"/>
        </w:rPr>
        <w:lastRenderedPageBreak/>
        <w:t>扣板。</w:t>
      </w:r>
    </w:p>
    <w:p w14:paraId="433DFF1A" w14:textId="24343E38" w:rsidR="00AF6F34" w:rsidRDefault="00AF6F34">
      <w:pPr>
        <w:spacing w:line="480" w:lineRule="auto"/>
        <w:ind w:firstLine="420"/>
      </w:pPr>
      <w:r>
        <w:rPr>
          <w:rFonts w:ascii="Arial" w:hAnsi="Arial" w:cs="Arial" w:hint="eastAsia"/>
          <w:sz w:val="21"/>
          <w:szCs w:val="21"/>
        </w:rPr>
        <w:t>6.</w:t>
      </w:r>
      <w:r>
        <w:rPr>
          <w:rFonts w:ascii="Arial" w:hAnsi="Arial" w:cs="Arial" w:hint="eastAsia"/>
          <w:sz w:val="21"/>
          <w:szCs w:val="21"/>
        </w:rPr>
        <w:t>新旧程度：估价对象所属</w:t>
      </w:r>
      <w:r w:rsidR="0047041D">
        <w:rPr>
          <w:rFonts w:ascii="Arial" w:hAnsi="Arial" w:cs="Arial" w:hint="eastAsia"/>
          <w:sz w:val="21"/>
          <w:szCs w:val="21"/>
        </w:rPr>
        <w:t>项目建成于</w:t>
      </w:r>
      <w:r w:rsidR="0047041D">
        <w:rPr>
          <w:rFonts w:ascii="Arial" w:hAnsi="Arial" w:cs="Arial" w:hint="eastAsia"/>
          <w:sz w:val="21"/>
          <w:szCs w:val="21"/>
        </w:rPr>
        <w:t>2012</w:t>
      </w:r>
      <w:r w:rsidR="0047041D">
        <w:rPr>
          <w:rFonts w:ascii="Arial" w:hAnsi="Arial" w:cs="Arial" w:hint="eastAsia"/>
          <w:sz w:val="21"/>
          <w:szCs w:val="21"/>
        </w:rPr>
        <w:t>年至</w:t>
      </w:r>
      <w:r w:rsidR="0047041D">
        <w:rPr>
          <w:rFonts w:ascii="Arial" w:hAnsi="Arial" w:cs="Arial" w:hint="eastAsia"/>
          <w:sz w:val="21"/>
          <w:szCs w:val="21"/>
        </w:rPr>
        <w:t>2014</w:t>
      </w:r>
      <w:r w:rsidR="0047041D">
        <w:rPr>
          <w:rFonts w:ascii="Arial" w:hAnsi="Arial" w:cs="Arial" w:hint="eastAsia"/>
          <w:sz w:val="21"/>
          <w:szCs w:val="21"/>
        </w:rPr>
        <w:t>年</w:t>
      </w:r>
      <w:r>
        <w:rPr>
          <w:rFonts w:ascii="Arial" w:hAnsi="Arial" w:cs="Arial" w:hint="eastAsia"/>
          <w:sz w:val="21"/>
          <w:szCs w:val="21"/>
        </w:rPr>
        <w:t>，截至价值时点尚未交付使用，估价对象观察成新度较高，综合成新度约为</w:t>
      </w:r>
      <w:r>
        <w:rPr>
          <w:rFonts w:ascii="Arial" w:hAnsi="Arial" w:cs="Arial"/>
          <w:sz w:val="21"/>
          <w:szCs w:val="21"/>
        </w:rPr>
        <w:t>80%</w:t>
      </w:r>
      <w:r>
        <w:rPr>
          <w:rFonts w:ascii="Arial" w:hAnsi="Arial" w:cs="Arial" w:hint="eastAsia"/>
          <w:sz w:val="21"/>
          <w:szCs w:val="21"/>
        </w:rPr>
        <w:t>，成新度较高。</w:t>
      </w:r>
    </w:p>
    <w:p w14:paraId="3C7062A9" w14:textId="77777777" w:rsidR="00AF6F34" w:rsidRDefault="00AF6F34" w:rsidP="002F6ADB">
      <w:pPr>
        <w:spacing w:line="480" w:lineRule="auto"/>
        <w:ind w:firstLine="420"/>
      </w:pPr>
      <w:r>
        <w:rPr>
          <w:rFonts w:ascii="Arial" w:hAnsi="Arial" w:cs="Arial" w:hint="eastAsia"/>
          <w:sz w:val="21"/>
          <w:szCs w:val="21"/>
        </w:rPr>
        <w:t>7.</w:t>
      </w:r>
      <w:r>
        <w:rPr>
          <w:rFonts w:ascii="Arial" w:hAnsi="Arial" w:cs="Arial" w:hint="eastAsia"/>
          <w:sz w:val="21"/>
          <w:szCs w:val="21"/>
        </w:rPr>
        <w:t>户型设计：</w:t>
      </w:r>
    </w:p>
    <w:p w14:paraId="3E85BB8C" w14:textId="77777777" w:rsidR="00AF6F34" w:rsidRDefault="00AF6F34" w:rsidP="002F6ADB">
      <w:pPr>
        <w:spacing w:line="480" w:lineRule="auto"/>
        <w:ind w:firstLine="420"/>
      </w:pPr>
      <w:r>
        <w:rPr>
          <w:rFonts w:ascii="Arial" w:hAnsi="Arial" w:cs="Arial" w:hint="eastAsia"/>
          <w:sz w:val="21"/>
          <w:szCs w:val="21"/>
        </w:rPr>
        <w:t>南海家园有三种户型，分别为一居室、二居室、三居室。其中，</w:t>
      </w:r>
      <w:r w:rsidR="00CD440E">
        <w:rPr>
          <w:rFonts w:ascii="Arial" w:hAnsi="Arial" w:cs="Arial" w:hint="eastAsia"/>
          <w:sz w:val="21"/>
          <w:szCs w:val="21"/>
        </w:rPr>
        <w:t>一居室共</w:t>
      </w:r>
      <w:r w:rsidR="00CD440E">
        <w:rPr>
          <w:rFonts w:ascii="Arial" w:hAnsi="Arial" w:cs="Arial" w:hint="eastAsia"/>
          <w:sz w:val="21"/>
          <w:szCs w:val="21"/>
        </w:rPr>
        <w:t>494</w:t>
      </w:r>
      <w:r w:rsidR="00CD440E">
        <w:rPr>
          <w:rFonts w:ascii="Arial" w:hAnsi="Arial" w:cs="Arial" w:hint="eastAsia"/>
          <w:sz w:val="21"/>
          <w:szCs w:val="21"/>
        </w:rPr>
        <w:t>套，</w:t>
      </w:r>
      <w:r w:rsidR="008322C0">
        <w:rPr>
          <w:rFonts w:ascii="Arial" w:hAnsi="Arial" w:cs="Arial" w:hint="eastAsia"/>
          <w:sz w:val="21"/>
          <w:szCs w:val="21"/>
        </w:rPr>
        <w:t>约占估价对象总套数的</w:t>
      </w:r>
      <w:r w:rsidR="002F6ADB">
        <w:rPr>
          <w:rFonts w:ascii="Arial" w:hAnsi="Arial" w:cs="Arial" w:hint="eastAsia"/>
          <w:sz w:val="21"/>
          <w:szCs w:val="21"/>
        </w:rPr>
        <w:t>51.5%</w:t>
      </w:r>
      <w:r w:rsidR="00CD440E">
        <w:rPr>
          <w:rFonts w:ascii="Arial" w:hAnsi="Arial" w:cs="Arial" w:hint="eastAsia"/>
          <w:sz w:val="21"/>
          <w:szCs w:val="21"/>
        </w:rPr>
        <w:t>，</w:t>
      </w:r>
      <w:r w:rsidR="00990456">
        <w:rPr>
          <w:rFonts w:ascii="Arial" w:hAnsi="Arial" w:cs="Arial" w:hint="eastAsia"/>
          <w:sz w:val="21"/>
          <w:szCs w:val="21"/>
        </w:rPr>
        <w:t>面积集中在</w:t>
      </w:r>
      <w:r w:rsidR="00990456">
        <w:rPr>
          <w:rFonts w:ascii="Arial" w:hAnsi="Arial" w:cs="Arial" w:hint="eastAsia"/>
          <w:sz w:val="21"/>
          <w:szCs w:val="21"/>
        </w:rPr>
        <w:t>62.36-69.96</w:t>
      </w:r>
      <w:r w:rsidR="00990456">
        <w:rPr>
          <w:rFonts w:ascii="Arial" w:hAnsi="Arial" w:cs="Arial" w:hint="eastAsia"/>
          <w:sz w:val="21"/>
          <w:szCs w:val="21"/>
        </w:rPr>
        <w:t>平方米（仅有一间</w:t>
      </w:r>
      <w:r w:rsidR="00990456">
        <w:rPr>
          <w:rFonts w:ascii="Arial" w:hAnsi="Arial" w:cs="Arial" w:hint="eastAsia"/>
          <w:sz w:val="21"/>
          <w:szCs w:val="21"/>
        </w:rPr>
        <w:t>49.81</w:t>
      </w:r>
      <w:r w:rsidR="00990456">
        <w:rPr>
          <w:rFonts w:ascii="Arial" w:hAnsi="Arial" w:cs="Arial" w:hint="eastAsia"/>
          <w:sz w:val="21"/>
          <w:szCs w:val="21"/>
        </w:rPr>
        <w:t>平方米）</w:t>
      </w:r>
      <w:r w:rsidR="004B20B9">
        <w:rPr>
          <w:rFonts w:ascii="Arial" w:hAnsi="Arial" w:cs="Arial" w:hint="eastAsia"/>
          <w:sz w:val="21"/>
          <w:szCs w:val="21"/>
        </w:rPr>
        <w:t>，建筑面积小计</w:t>
      </w:r>
      <w:r w:rsidR="004B20B9" w:rsidRPr="004B20B9">
        <w:rPr>
          <w:rFonts w:ascii="Arial" w:hAnsi="Arial" w:cs="Arial"/>
          <w:sz w:val="21"/>
          <w:szCs w:val="21"/>
        </w:rPr>
        <w:t>32561.36</w:t>
      </w:r>
      <w:r w:rsidR="004B20B9">
        <w:rPr>
          <w:rFonts w:ascii="Arial" w:hAnsi="Arial" w:cs="Arial"/>
          <w:sz w:val="21"/>
          <w:szCs w:val="21"/>
        </w:rPr>
        <w:t>平方米</w:t>
      </w:r>
      <w:r>
        <w:rPr>
          <w:rFonts w:ascii="Arial" w:hAnsi="Arial" w:cs="Arial" w:hint="eastAsia"/>
          <w:sz w:val="21"/>
          <w:szCs w:val="21"/>
        </w:rPr>
        <w:t>；</w:t>
      </w:r>
      <w:r w:rsidR="002F6ADB">
        <w:rPr>
          <w:rFonts w:ascii="Arial" w:hAnsi="Arial" w:cs="Arial" w:hint="eastAsia"/>
          <w:sz w:val="21"/>
          <w:szCs w:val="21"/>
        </w:rPr>
        <w:t>二居室共</w:t>
      </w:r>
      <w:r w:rsidR="002F6ADB">
        <w:rPr>
          <w:rFonts w:ascii="Arial" w:hAnsi="Arial" w:cs="Arial" w:hint="eastAsia"/>
          <w:sz w:val="21"/>
          <w:szCs w:val="21"/>
        </w:rPr>
        <w:t>443</w:t>
      </w:r>
      <w:r w:rsidR="002F6ADB">
        <w:rPr>
          <w:rFonts w:ascii="Arial" w:hAnsi="Arial" w:cs="Arial" w:hint="eastAsia"/>
          <w:sz w:val="21"/>
          <w:szCs w:val="21"/>
        </w:rPr>
        <w:t>套</w:t>
      </w:r>
      <w:r w:rsidR="00CD440E">
        <w:rPr>
          <w:rFonts w:ascii="Arial" w:hAnsi="Arial" w:cs="Arial" w:hint="eastAsia"/>
          <w:sz w:val="21"/>
          <w:szCs w:val="21"/>
        </w:rPr>
        <w:t>，</w:t>
      </w:r>
      <w:r w:rsidR="008322C0">
        <w:rPr>
          <w:rFonts w:ascii="Arial" w:hAnsi="Arial" w:cs="Arial" w:hint="eastAsia"/>
          <w:sz w:val="21"/>
          <w:szCs w:val="21"/>
        </w:rPr>
        <w:t>约占估价对象总套数的</w:t>
      </w:r>
      <w:r w:rsidR="002F6ADB">
        <w:rPr>
          <w:rFonts w:ascii="Arial" w:hAnsi="Arial" w:cs="Arial" w:hint="eastAsia"/>
          <w:sz w:val="21"/>
          <w:szCs w:val="21"/>
        </w:rPr>
        <w:t>46.2%</w:t>
      </w:r>
      <w:r w:rsidR="00CD440E">
        <w:rPr>
          <w:rFonts w:ascii="Arial" w:hAnsi="Arial" w:cs="Arial" w:hint="eastAsia"/>
          <w:sz w:val="21"/>
          <w:szCs w:val="21"/>
        </w:rPr>
        <w:t>，</w:t>
      </w:r>
      <w:r w:rsidR="00CB5D09">
        <w:rPr>
          <w:rFonts w:ascii="Arial" w:hAnsi="Arial" w:cs="Arial" w:hint="eastAsia"/>
          <w:sz w:val="21"/>
          <w:szCs w:val="21"/>
        </w:rPr>
        <w:t>面积集中在</w:t>
      </w:r>
      <w:r>
        <w:rPr>
          <w:rFonts w:ascii="Arial" w:hAnsi="Arial" w:cs="Arial"/>
          <w:sz w:val="21"/>
          <w:szCs w:val="21"/>
        </w:rPr>
        <w:t>87.22-91.05</w:t>
      </w:r>
      <w:r>
        <w:rPr>
          <w:rFonts w:ascii="Arial" w:hAnsi="Arial" w:cs="Arial" w:hint="eastAsia"/>
          <w:sz w:val="21"/>
          <w:szCs w:val="21"/>
        </w:rPr>
        <w:t>平方米</w:t>
      </w:r>
      <w:r w:rsidR="004B20B9">
        <w:rPr>
          <w:rFonts w:ascii="Arial" w:hAnsi="Arial" w:cs="Arial" w:hint="eastAsia"/>
          <w:sz w:val="21"/>
          <w:szCs w:val="21"/>
        </w:rPr>
        <w:t>，建筑面积小计</w:t>
      </w:r>
      <w:r w:rsidR="002F6ADB">
        <w:rPr>
          <w:rFonts w:ascii="Arial" w:hAnsi="Arial" w:cs="Arial" w:hint="eastAsia"/>
          <w:sz w:val="21"/>
          <w:szCs w:val="21"/>
        </w:rPr>
        <w:t>39731.9</w:t>
      </w:r>
      <w:r w:rsidR="004B20B9">
        <w:rPr>
          <w:rFonts w:ascii="Arial" w:hAnsi="Arial" w:cs="Arial"/>
          <w:sz w:val="21"/>
          <w:szCs w:val="21"/>
        </w:rPr>
        <w:t>平方米</w:t>
      </w:r>
      <w:r>
        <w:rPr>
          <w:rFonts w:ascii="Arial" w:hAnsi="Arial" w:cs="Arial" w:hint="eastAsia"/>
          <w:sz w:val="21"/>
          <w:szCs w:val="21"/>
        </w:rPr>
        <w:t>；</w:t>
      </w:r>
      <w:r w:rsidR="00CD440E">
        <w:rPr>
          <w:rFonts w:ascii="Arial" w:hAnsi="Arial" w:cs="Arial" w:hint="eastAsia"/>
          <w:sz w:val="21"/>
          <w:szCs w:val="21"/>
        </w:rPr>
        <w:t>三居室共</w:t>
      </w:r>
      <w:r w:rsidR="00CD440E">
        <w:rPr>
          <w:rFonts w:ascii="Arial" w:hAnsi="Arial" w:cs="Arial" w:hint="eastAsia"/>
          <w:sz w:val="21"/>
          <w:szCs w:val="21"/>
        </w:rPr>
        <w:t>22</w:t>
      </w:r>
      <w:r w:rsidR="00CD440E">
        <w:rPr>
          <w:rFonts w:ascii="Arial" w:hAnsi="Arial" w:cs="Arial" w:hint="eastAsia"/>
          <w:sz w:val="21"/>
          <w:szCs w:val="21"/>
        </w:rPr>
        <w:t>套，</w:t>
      </w:r>
      <w:r w:rsidR="008322C0">
        <w:rPr>
          <w:rFonts w:ascii="Arial" w:hAnsi="Arial" w:cs="Arial" w:hint="eastAsia"/>
          <w:sz w:val="21"/>
          <w:szCs w:val="21"/>
        </w:rPr>
        <w:t>约占估价对象总套数的</w:t>
      </w:r>
      <w:r w:rsidR="00CD440E">
        <w:rPr>
          <w:rFonts w:ascii="Arial" w:hAnsi="Arial" w:cs="Arial" w:hint="eastAsia"/>
          <w:sz w:val="21"/>
          <w:szCs w:val="21"/>
        </w:rPr>
        <w:t>2.3%</w:t>
      </w:r>
      <w:r w:rsidR="00CD440E">
        <w:rPr>
          <w:rFonts w:ascii="Arial" w:hAnsi="Arial" w:cs="Arial" w:hint="eastAsia"/>
          <w:sz w:val="21"/>
          <w:szCs w:val="21"/>
        </w:rPr>
        <w:t>，</w:t>
      </w:r>
      <w:r w:rsidR="00CB5D09">
        <w:rPr>
          <w:rFonts w:ascii="Arial" w:hAnsi="Arial" w:cs="Arial" w:hint="eastAsia"/>
          <w:sz w:val="21"/>
          <w:szCs w:val="21"/>
        </w:rPr>
        <w:t>面积集中在</w:t>
      </w:r>
      <w:r>
        <w:rPr>
          <w:rFonts w:ascii="Arial" w:hAnsi="Arial" w:cs="Arial"/>
          <w:sz w:val="21"/>
          <w:szCs w:val="21"/>
        </w:rPr>
        <w:t>97.97-109.46</w:t>
      </w:r>
      <w:r>
        <w:rPr>
          <w:rFonts w:ascii="Arial" w:hAnsi="Arial" w:cs="Arial" w:hint="eastAsia"/>
          <w:sz w:val="21"/>
          <w:szCs w:val="21"/>
        </w:rPr>
        <w:t>平方米</w:t>
      </w:r>
      <w:r w:rsidR="004B20B9">
        <w:rPr>
          <w:rFonts w:ascii="Arial" w:hAnsi="Arial" w:cs="Arial" w:hint="eastAsia"/>
          <w:sz w:val="21"/>
          <w:szCs w:val="21"/>
        </w:rPr>
        <w:t>，建筑面积小计</w:t>
      </w:r>
      <w:r w:rsidR="004B20B9" w:rsidRPr="004B20B9">
        <w:rPr>
          <w:rFonts w:ascii="Arial" w:hAnsi="Arial" w:cs="Arial"/>
          <w:sz w:val="21"/>
          <w:szCs w:val="21"/>
        </w:rPr>
        <w:t>2228.68</w:t>
      </w:r>
      <w:r w:rsidR="004B20B9">
        <w:rPr>
          <w:rFonts w:ascii="Arial" w:hAnsi="Arial" w:cs="Arial"/>
          <w:sz w:val="21"/>
          <w:szCs w:val="21"/>
        </w:rPr>
        <w:t>平方米</w:t>
      </w:r>
      <w:r>
        <w:rPr>
          <w:rFonts w:ascii="Arial" w:hAnsi="Arial" w:cs="Arial" w:hint="eastAsia"/>
          <w:sz w:val="21"/>
          <w:szCs w:val="21"/>
        </w:rPr>
        <w:t>。</w:t>
      </w:r>
    </w:p>
    <w:p w14:paraId="2B78AEA5" w14:textId="77777777" w:rsidR="00AF6F34" w:rsidRPr="002F6ADB" w:rsidRDefault="00AF6F34" w:rsidP="002F6ADB">
      <w:pPr>
        <w:spacing w:line="480" w:lineRule="auto"/>
        <w:ind w:firstLine="420"/>
        <w:rPr>
          <w:rFonts w:ascii="Arial" w:hAnsi="Arial" w:cs="Arial"/>
          <w:sz w:val="21"/>
          <w:szCs w:val="21"/>
        </w:rPr>
      </w:pPr>
      <w:r>
        <w:rPr>
          <w:rFonts w:ascii="Arial" w:hAnsi="Arial" w:cs="Arial" w:hint="eastAsia"/>
          <w:sz w:val="21"/>
          <w:szCs w:val="21"/>
        </w:rPr>
        <w:t>8.</w:t>
      </w:r>
      <w:r>
        <w:rPr>
          <w:rFonts w:ascii="Arial" w:hAnsi="Arial" w:cs="Arial" w:hint="eastAsia"/>
          <w:sz w:val="21"/>
          <w:szCs w:val="21"/>
        </w:rPr>
        <w:t>朝向：</w:t>
      </w:r>
    </w:p>
    <w:p w14:paraId="4FD0C00A" w14:textId="53B19781" w:rsidR="00AF6F34" w:rsidRPr="002F6ADB" w:rsidRDefault="00AF6F34" w:rsidP="002F6ADB">
      <w:pPr>
        <w:spacing w:line="480" w:lineRule="auto"/>
        <w:ind w:firstLine="420"/>
        <w:rPr>
          <w:rFonts w:ascii="Arial" w:hAnsi="Arial" w:cs="Arial"/>
          <w:sz w:val="21"/>
          <w:szCs w:val="21"/>
        </w:rPr>
      </w:pPr>
      <w:r>
        <w:rPr>
          <w:rFonts w:ascii="Arial" w:hAnsi="Arial" w:cs="Arial" w:hint="eastAsia"/>
          <w:sz w:val="21"/>
          <w:szCs w:val="21"/>
        </w:rPr>
        <w:t>朝向</w:t>
      </w:r>
      <w:r w:rsidR="00EA7F82">
        <w:rPr>
          <w:rFonts w:ascii="Arial" w:hAnsi="Arial" w:cs="Arial" w:hint="eastAsia"/>
          <w:sz w:val="21"/>
          <w:szCs w:val="21"/>
        </w:rPr>
        <w:t>分别</w:t>
      </w:r>
      <w:r>
        <w:rPr>
          <w:rFonts w:ascii="Arial" w:hAnsi="Arial" w:cs="Arial" w:hint="eastAsia"/>
          <w:sz w:val="21"/>
          <w:szCs w:val="21"/>
        </w:rPr>
        <w:t>为南北、南，以南朝向为主。</w:t>
      </w:r>
    </w:p>
    <w:bookmarkEnd w:id="11"/>
    <w:bookmarkEnd w:id="12"/>
    <w:p w14:paraId="16642025" w14:textId="77777777" w:rsidR="00AF6F34" w:rsidRDefault="00AF6F34">
      <w:pPr>
        <w:spacing w:line="560" w:lineRule="exact"/>
      </w:pPr>
      <w:r>
        <w:rPr>
          <w:rFonts w:ascii="Arial" w:hAnsi="Arial" w:cs="Arial" w:hint="eastAsia"/>
          <w:b/>
          <w:kern w:val="2"/>
          <w:sz w:val="21"/>
          <w:szCs w:val="21"/>
        </w:rPr>
        <w:t>（四）对价格影响的分析</w:t>
      </w:r>
    </w:p>
    <w:p w14:paraId="1A31DD1F" w14:textId="77777777" w:rsidR="00AF6F34" w:rsidRDefault="00AF6F34">
      <w:pPr>
        <w:spacing w:line="560" w:lineRule="exact"/>
        <w:ind w:firstLine="420"/>
      </w:pPr>
      <w:r>
        <w:rPr>
          <w:rFonts w:ascii="Arial" w:hAnsi="Arial" w:cs="Arial"/>
          <w:sz w:val="21"/>
          <w:szCs w:val="21"/>
        </w:rPr>
        <w:t>估价对象作为住宅使用，通用性相对较好，能完全满足大部分求租者的需求，因此将会在一定程度上影响其租金价格水平。</w:t>
      </w:r>
    </w:p>
    <w:p w14:paraId="05FCB227" w14:textId="77777777" w:rsidR="00AF6F34" w:rsidRDefault="00AF6F34">
      <w:pPr>
        <w:spacing w:line="560" w:lineRule="exact"/>
      </w:pPr>
      <w:r>
        <w:rPr>
          <w:rFonts w:ascii="Arial" w:hAnsi="Arial" w:cs="Arial" w:hint="eastAsia"/>
          <w:b/>
          <w:kern w:val="2"/>
          <w:sz w:val="21"/>
          <w:szCs w:val="21"/>
        </w:rPr>
        <w:t>（五）他项权利状况</w:t>
      </w:r>
    </w:p>
    <w:p w14:paraId="4A4B2502" w14:textId="77777777" w:rsidR="00AF6F34" w:rsidRDefault="00AF6F34">
      <w:pPr>
        <w:spacing w:line="560" w:lineRule="exact"/>
        <w:ind w:firstLine="420"/>
      </w:pPr>
      <w:r>
        <w:rPr>
          <w:rFonts w:ascii="Arial" w:hAnsi="Arial" w:cs="Arial" w:hint="eastAsia"/>
          <w:sz w:val="21"/>
          <w:szCs w:val="21"/>
        </w:rPr>
        <w:t>根据估价委托人提供的资料及评估专业人员实地查勘，于价值时点，未发现估价对象存在</w:t>
      </w:r>
      <w:r>
        <w:rPr>
          <w:rFonts w:ascii="Arial" w:hAnsi="Arial" w:cs="Arial" w:hint="eastAsia"/>
          <w:kern w:val="2"/>
          <w:sz w:val="21"/>
          <w:szCs w:val="21"/>
        </w:rPr>
        <w:t>抵押、租赁、地役、查封等他项权利</w:t>
      </w:r>
      <w:r>
        <w:rPr>
          <w:rFonts w:ascii="Arial" w:hAnsi="Arial" w:cs="Arial" w:hint="eastAsia"/>
          <w:sz w:val="21"/>
          <w:szCs w:val="21"/>
        </w:rPr>
        <w:t>。</w:t>
      </w:r>
      <w:r>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3FD7A953" w14:textId="77777777" w:rsidR="00AF6F34" w:rsidRDefault="00AF6F34">
      <w:pPr>
        <w:overflowPunct w:val="0"/>
        <w:spacing w:line="480" w:lineRule="auto"/>
        <w:ind w:firstLine="420"/>
        <w:jc w:val="both"/>
        <w:textAlignment w:val="auto"/>
        <w:rPr>
          <w:rFonts w:ascii="Arial" w:hAnsi="Arial" w:cs="Arial"/>
          <w:color w:val="E36C0A"/>
          <w:kern w:val="2"/>
          <w:sz w:val="21"/>
          <w:szCs w:val="21"/>
        </w:rPr>
      </w:pPr>
    </w:p>
    <w:p w14:paraId="4F87A8B2" w14:textId="77777777" w:rsidR="00AF6F34" w:rsidRDefault="00AF6F34">
      <w:pPr>
        <w:pStyle w:val="2"/>
        <w:numPr>
          <w:ilvl w:val="0"/>
          <w:numId w:val="0"/>
        </w:numPr>
        <w:overflowPunct w:val="0"/>
        <w:spacing w:line="480" w:lineRule="auto"/>
        <w:ind w:left="358" w:hanging="358"/>
        <w:jc w:val="both"/>
        <w:textAlignment w:val="auto"/>
      </w:pPr>
      <w:bookmarkStart w:id="13" w:name="_Toc161661009"/>
      <w:r>
        <w:rPr>
          <w:rFonts w:eastAsia="宋体"/>
          <w:kern w:val="2"/>
          <w:sz w:val="21"/>
          <w:szCs w:val="21"/>
        </w:rPr>
        <w:t>五、价值时点</w:t>
      </w:r>
      <w:bookmarkEnd w:id="13"/>
    </w:p>
    <w:p w14:paraId="225FA2D0" w14:textId="70434EFC" w:rsidR="00AF6F34" w:rsidRDefault="00094507">
      <w:pPr>
        <w:overflowPunct w:val="0"/>
        <w:spacing w:line="480" w:lineRule="auto"/>
        <w:ind w:firstLine="420"/>
        <w:jc w:val="both"/>
        <w:textAlignment w:val="auto"/>
      </w:pPr>
      <w:r>
        <w:rPr>
          <w:rFonts w:ascii="Arial" w:hAnsi="Arial" w:cs="Arial"/>
          <w:sz w:val="21"/>
          <w:szCs w:val="21"/>
        </w:rPr>
        <w:t>2025</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AF6F34">
        <w:rPr>
          <w:rFonts w:ascii="Arial" w:hAnsi="Arial" w:cs="Arial"/>
          <w:sz w:val="21"/>
          <w:szCs w:val="21"/>
        </w:rPr>
        <w:t>（</w:t>
      </w:r>
      <w:r w:rsidR="00AF6F34">
        <w:rPr>
          <w:rFonts w:ascii="Arial" w:hAnsi="Arial" w:cs="Arial" w:hint="eastAsia"/>
          <w:sz w:val="21"/>
          <w:szCs w:val="21"/>
        </w:rPr>
        <w:t>根据《估价委托书》确定</w:t>
      </w:r>
      <w:r w:rsidR="00AF6F34">
        <w:rPr>
          <w:rFonts w:ascii="Arial" w:hAnsi="Arial" w:cs="Arial"/>
          <w:sz w:val="21"/>
          <w:szCs w:val="21"/>
        </w:rPr>
        <w:t>）</w:t>
      </w:r>
    </w:p>
    <w:p w14:paraId="49F5B97D" w14:textId="77777777" w:rsidR="00AF6F34" w:rsidRDefault="00AF6F34" w:rsidP="002D3E07">
      <w:pPr>
        <w:overflowPunct w:val="0"/>
        <w:spacing w:line="240" w:lineRule="auto"/>
        <w:ind w:firstLine="420"/>
        <w:jc w:val="both"/>
        <w:textAlignment w:val="auto"/>
        <w:rPr>
          <w:rFonts w:ascii="Arial" w:hAnsi="Arial" w:cs="Arial"/>
          <w:sz w:val="21"/>
          <w:szCs w:val="21"/>
        </w:rPr>
      </w:pPr>
    </w:p>
    <w:p w14:paraId="72D9C587" w14:textId="77777777" w:rsidR="00AF6F34" w:rsidRDefault="00AF6F34">
      <w:pPr>
        <w:pStyle w:val="2"/>
        <w:numPr>
          <w:ilvl w:val="0"/>
          <w:numId w:val="0"/>
        </w:numPr>
        <w:overflowPunct w:val="0"/>
        <w:spacing w:line="480" w:lineRule="auto"/>
        <w:ind w:left="358" w:hanging="358"/>
        <w:jc w:val="both"/>
        <w:textAlignment w:val="auto"/>
      </w:pPr>
      <w:bookmarkStart w:id="14" w:name="_Toc161661010"/>
      <w:r>
        <w:rPr>
          <w:rFonts w:eastAsia="宋体"/>
          <w:kern w:val="2"/>
          <w:sz w:val="21"/>
          <w:szCs w:val="21"/>
        </w:rPr>
        <w:t>六、价值类型</w:t>
      </w:r>
      <w:bookmarkEnd w:id="14"/>
    </w:p>
    <w:p w14:paraId="277BB312" w14:textId="77777777" w:rsidR="00AF6F34" w:rsidRDefault="00AF6F34">
      <w:pPr>
        <w:spacing w:line="480" w:lineRule="auto"/>
      </w:pPr>
      <w:r>
        <w:rPr>
          <w:rFonts w:ascii="Arial" w:hAnsi="Arial" w:cs="Arial" w:hint="eastAsia"/>
          <w:b/>
          <w:kern w:val="2"/>
          <w:sz w:val="21"/>
          <w:szCs w:val="21"/>
        </w:rPr>
        <w:t>（一）价值类型</w:t>
      </w:r>
    </w:p>
    <w:p w14:paraId="4F918A16" w14:textId="77777777" w:rsidR="00AF6F34" w:rsidRDefault="00AF6F34">
      <w:pPr>
        <w:spacing w:line="480" w:lineRule="auto"/>
        <w:ind w:firstLine="420"/>
      </w:pPr>
      <w:r>
        <w:rPr>
          <w:rFonts w:ascii="Arial" w:hAnsi="Arial" w:cs="Arial"/>
          <w:sz w:val="21"/>
          <w:szCs w:val="21"/>
        </w:rPr>
        <w:t>根据房地产评估的技术规程和本次估价目的，本次估价采用的是公开市场价值标准。</w:t>
      </w:r>
      <w:r>
        <w:rPr>
          <w:rFonts w:ascii="Arial" w:hAnsi="Arial" w:cs="Arial" w:hint="eastAsia"/>
          <w:sz w:val="21"/>
          <w:szCs w:val="21"/>
        </w:rPr>
        <w:t>市场价值是指估价对象经适当营销后，由熟悉情况、谨慎行事且不受强迫的交易双方，以公平交易方式在价值时</w:t>
      </w:r>
      <w:r>
        <w:rPr>
          <w:rFonts w:ascii="Arial" w:hAnsi="Arial" w:cs="Arial" w:hint="eastAsia"/>
          <w:sz w:val="21"/>
          <w:szCs w:val="21"/>
        </w:rPr>
        <w:lastRenderedPageBreak/>
        <w:t>点自愿进行交易的金额。</w:t>
      </w:r>
    </w:p>
    <w:p w14:paraId="1D6B51F3" w14:textId="77777777" w:rsidR="00AF6F34" w:rsidRDefault="00B07EA8" w:rsidP="00B07EA8">
      <w:pPr>
        <w:spacing w:line="480" w:lineRule="auto"/>
        <w:ind w:firstLine="420"/>
      </w:pPr>
      <w:r w:rsidRPr="00B07EA8">
        <w:rPr>
          <w:rFonts w:ascii="Arial" w:hAnsi="Arial" w:cs="Arial" w:hint="eastAsia"/>
          <w:sz w:val="21"/>
          <w:szCs w:val="21"/>
        </w:rPr>
        <w:t>项目同地段、同类型的普通住房在估价时段的市场租赁平均价格，包括地租、房屋折旧、设备折旧、维修费、保险费、物业费、供暖费、管理费、利息、利润、家具、家电租赁费及租赁税费等；不含水电费、天然气费、通信费、有线电视费、上网宽带费等。</w:t>
      </w:r>
    </w:p>
    <w:p w14:paraId="39339698" w14:textId="77777777" w:rsidR="00AF6F34" w:rsidRDefault="00AF6F34">
      <w:pPr>
        <w:spacing w:line="480" w:lineRule="auto"/>
      </w:pPr>
      <w:r>
        <w:rPr>
          <w:rFonts w:ascii="Arial" w:hAnsi="Arial" w:cs="Arial" w:hint="eastAsia"/>
          <w:b/>
          <w:kern w:val="2"/>
          <w:sz w:val="21"/>
          <w:szCs w:val="21"/>
        </w:rPr>
        <w:t>（二）设定条件</w:t>
      </w:r>
    </w:p>
    <w:p w14:paraId="0B250B5B" w14:textId="45B0F917" w:rsidR="00AF6F34" w:rsidRDefault="00AF6F34" w:rsidP="002F6ADB">
      <w:pPr>
        <w:spacing w:line="480" w:lineRule="auto"/>
        <w:ind w:firstLine="420"/>
        <w:jc w:val="both"/>
      </w:pPr>
      <w:r>
        <w:rPr>
          <w:rFonts w:ascii="Arial" w:hAnsi="Arial" w:cs="Arial"/>
          <w:sz w:val="21"/>
          <w:szCs w:val="21"/>
        </w:rPr>
        <w:t>估价结果中的房地产租金价格是指估价对象</w:t>
      </w:r>
      <w:r>
        <w:rPr>
          <w:rFonts w:ascii="Arial" w:hAnsi="Arial" w:cs="Arial" w:hint="eastAsia"/>
          <w:sz w:val="21"/>
          <w:szCs w:val="21"/>
        </w:rPr>
        <w:t>房地产于价值时点</w:t>
      </w:r>
      <w:r w:rsidR="00094507">
        <w:rPr>
          <w:rFonts w:ascii="Arial" w:hAnsi="Arial" w:cs="Arial" w:hint="eastAsia"/>
          <w:sz w:val="21"/>
          <w:szCs w:val="21"/>
        </w:rPr>
        <w:t>2025</w:t>
      </w:r>
      <w:r w:rsidR="00094507">
        <w:rPr>
          <w:rFonts w:ascii="Arial" w:hAnsi="Arial" w:cs="Arial" w:hint="eastAsia"/>
          <w:sz w:val="21"/>
          <w:szCs w:val="21"/>
        </w:rPr>
        <w:t>年</w:t>
      </w:r>
      <w:r w:rsidR="00094507">
        <w:rPr>
          <w:rFonts w:ascii="Arial" w:hAnsi="Arial" w:cs="Arial" w:hint="eastAsia"/>
          <w:sz w:val="21"/>
          <w:szCs w:val="21"/>
        </w:rPr>
        <w:t>11</w:t>
      </w:r>
      <w:r w:rsidR="00094507">
        <w:rPr>
          <w:rFonts w:ascii="Arial" w:hAnsi="Arial" w:cs="Arial" w:hint="eastAsia"/>
          <w:sz w:val="21"/>
          <w:szCs w:val="21"/>
        </w:rPr>
        <w:t>月</w:t>
      </w:r>
      <w:r w:rsidR="00094507">
        <w:rPr>
          <w:rFonts w:ascii="Arial" w:hAnsi="Arial" w:cs="Arial" w:hint="eastAsia"/>
          <w:sz w:val="21"/>
          <w:szCs w:val="21"/>
        </w:rPr>
        <w:t>1</w:t>
      </w:r>
      <w:r w:rsidR="00094507">
        <w:rPr>
          <w:rFonts w:ascii="Arial" w:hAnsi="Arial" w:cs="Arial" w:hint="eastAsia"/>
          <w:sz w:val="21"/>
          <w:szCs w:val="21"/>
        </w:rPr>
        <w:t>日</w:t>
      </w:r>
      <w:r>
        <w:rPr>
          <w:rFonts w:ascii="Arial" w:hAnsi="Arial" w:cs="Arial" w:hint="eastAsia"/>
          <w:sz w:val="21"/>
          <w:szCs w:val="21"/>
        </w:rPr>
        <w:t>前一年内（</w:t>
      </w:r>
      <w:r w:rsidR="00D517EB">
        <w:rPr>
          <w:rFonts w:ascii="Arial" w:hAnsi="Arial" w:cs="Arial" w:hint="eastAsia"/>
          <w:sz w:val="21"/>
          <w:szCs w:val="21"/>
        </w:rPr>
        <w:t>2024</w:t>
      </w:r>
      <w:r w:rsidR="00D517EB">
        <w:rPr>
          <w:rFonts w:ascii="Arial" w:hAnsi="Arial" w:cs="Arial" w:hint="eastAsia"/>
          <w:sz w:val="21"/>
          <w:szCs w:val="21"/>
        </w:rPr>
        <w:t>年</w:t>
      </w:r>
      <w:r w:rsidR="00D517EB">
        <w:rPr>
          <w:rFonts w:ascii="Arial" w:hAnsi="Arial" w:cs="Arial" w:hint="eastAsia"/>
          <w:sz w:val="21"/>
          <w:szCs w:val="21"/>
        </w:rPr>
        <w:t>11</w:t>
      </w:r>
      <w:r w:rsidR="00D517EB">
        <w:rPr>
          <w:rFonts w:ascii="Arial" w:hAnsi="Arial" w:cs="Arial" w:hint="eastAsia"/>
          <w:sz w:val="21"/>
          <w:szCs w:val="21"/>
        </w:rPr>
        <w:t>月</w:t>
      </w:r>
      <w:r w:rsidR="00D517EB">
        <w:rPr>
          <w:rFonts w:ascii="Arial" w:hAnsi="Arial" w:cs="Arial" w:hint="eastAsia"/>
          <w:sz w:val="21"/>
          <w:szCs w:val="21"/>
        </w:rPr>
        <w:t>1</w:t>
      </w:r>
      <w:r w:rsidR="00D517EB">
        <w:rPr>
          <w:rFonts w:ascii="Arial" w:hAnsi="Arial" w:cs="Arial" w:hint="eastAsia"/>
          <w:sz w:val="21"/>
          <w:szCs w:val="21"/>
        </w:rPr>
        <w:t>日至</w:t>
      </w:r>
      <w:r w:rsidR="00D517EB">
        <w:rPr>
          <w:rFonts w:ascii="Arial" w:hAnsi="Arial" w:cs="Arial" w:hint="eastAsia"/>
          <w:sz w:val="21"/>
          <w:szCs w:val="21"/>
        </w:rPr>
        <w:t>2025</w:t>
      </w:r>
      <w:r w:rsidR="00D517EB">
        <w:rPr>
          <w:rFonts w:ascii="Arial" w:hAnsi="Arial" w:cs="Arial" w:hint="eastAsia"/>
          <w:sz w:val="21"/>
          <w:szCs w:val="21"/>
        </w:rPr>
        <w:t>年</w:t>
      </w:r>
      <w:r w:rsidR="00D517EB">
        <w:rPr>
          <w:rFonts w:ascii="Arial" w:hAnsi="Arial" w:cs="Arial" w:hint="eastAsia"/>
          <w:sz w:val="21"/>
          <w:szCs w:val="21"/>
        </w:rPr>
        <w:t>10</w:t>
      </w:r>
      <w:r w:rsidR="00D517EB">
        <w:rPr>
          <w:rFonts w:ascii="Arial" w:hAnsi="Arial" w:cs="Arial" w:hint="eastAsia"/>
          <w:sz w:val="21"/>
          <w:szCs w:val="21"/>
        </w:rPr>
        <w:t>月</w:t>
      </w:r>
      <w:r w:rsidR="00D517EB">
        <w:rPr>
          <w:rFonts w:ascii="Arial" w:hAnsi="Arial" w:cs="Arial" w:hint="eastAsia"/>
          <w:sz w:val="21"/>
          <w:szCs w:val="21"/>
        </w:rPr>
        <w:t>31</w:t>
      </w:r>
      <w:r w:rsidR="00D517EB">
        <w:rPr>
          <w:rFonts w:ascii="Arial" w:hAnsi="Arial" w:cs="Arial" w:hint="eastAsia"/>
          <w:sz w:val="21"/>
          <w:szCs w:val="21"/>
        </w:rPr>
        <w:t>日</w:t>
      </w:r>
      <w:r>
        <w:rPr>
          <w:rFonts w:ascii="Arial" w:hAnsi="Arial" w:cs="Arial" w:hint="eastAsia"/>
          <w:sz w:val="21"/>
          <w:szCs w:val="21"/>
        </w:rPr>
        <w:t>）的估价时段内，</w:t>
      </w:r>
      <w:r>
        <w:rPr>
          <w:rFonts w:ascii="Arial" w:hAnsi="Arial" w:cs="Arial"/>
          <w:sz w:val="21"/>
          <w:szCs w:val="21"/>
        </w:rPr>
        <w:t>估价对象在规划利用条件及下述设定条件下的市场平均租金价格：</w:t>
      </w:r>
    </w:p>
    <w:p w14:paraId="27315623" w14:textId="02A5E61D" w:rsidR="00AF6F34" w:rsidRDefault="00AF6F34">
      <w:pPr>
        <w:spacing w:line="480" w:lineRule="auto"/>
        <w:ind w:firstLine="420"/>
      </w:pPr>
      <w:r>
        <w:rPr>
          <w:rFonts w:ascii="Arial" w:hAnsi="Arial" w:cs="Arial"/>
          <w:sz w:val="21"/>
          <w:szCs w:val="21"/>
        </w:rPr>
        <w:t>1.</w:t>
      </w:r>
      <w:r>
        <w:rPr>
          <w:rFonts w:ascii="Arial" w:hAnsi="Arial" w:cs="Arial" w:hint="eastAsia"/>
          <w:sz w:val="21"/>
          <w:szCs w:val="21"/>
        </w:rPr>
        <w:t xml:space="preserve"> </w:t>
      </w:r>
      <w:r>
        <w:rPr>
          <w:rFonts w:ascii="Arial" w:hAnsi="Arial" w:cs="Arial" w:hint="eastAsia"/>
          <w:sz w:val="21"/>
          <w:szCs w:val="21"/>
        </w:rPr>
        <w:t>估价结果为项目同地段、同类型普通住宅前</w:t>
      </w:r>
      <w:r>
        <w:rPr>
          <w:rFonts w:ascii="Arial" w:hAnsi="Arial" w:cs="Arial" w:hint="eastAsia"/>
          <w:sz w:val="21"/>
          <w:szCs w:val="21"/>
        </w:rPr>
        <w:t>12</w:t>
      </w:r>
      <w:r>
        <w:rPr>
          <w:rFonts w:ascii="Arial" w:hAnsi="Arial" w:cs="Arial" w:hint="eastAsia"/>
          <w:sz w:val="21"/>
          <w:szCs w:val="21"/>
        </w:rPr>
        <w:t>个月（</w:t>
      </w:r>
      <w:r w:rsidR="00D517EB">
        <w:rPr>
          <w:rFonts w:ascii="Arial" w:hAnsi="Arial" w:cs="Arial" w:hint="eastAsia"/>
          <w:sz w:val="21"/>
          <w:szCs w:val="21"/>
        </w:rPr>
        <w:t>2024</w:t>
      </w:r>
      <w:r w:rsidR="00D517EB">
        <w:rPr>
          <w:rFonts w:ascii="Arial" w:hAnsi="Arial" w:cs="Arial" w:hint="eastAsia"/>
          <w:sz w:val="21"/>
          <w:szCs w:val="21"/>
        </w:rPr>
        <w:t>年</w:t>
      </w:r>
      <w:r w:rsidR="00D517EB">
        <w:rPr>
          <w:rFonts w:ascii="Arial" w:hAnsi="Arial" w:cs="Arial" w:hint="eastAsia"/>
          <w:sz w:val="21"/>
          <w:szCs w:val="21"/>
        </w:rPr>
        <w:t>11</w:t>
      </w:r>
      <w:r w:rsidR="00D517EB">
        <w:rPr>
          <w:rFonts w:ascii="Arial" w:hAnsi="Arial" w:cs="Arial" w:hint="eastAsia"/>
          <w:sz w:val="21"/>
          <w:szCs w:val="21"/>
        </w:rPr>
        <w:t>月</w:t>
      </w:r>
      <w:r w:rsidR="00D517EB">
        <w:rPr>
          <w:rFonts w:ascii="Arial" w:hAnsi="Arial" w:cs="Arial" w:hint="eastAsia"/>
          <w:sz w:val="21"/>
          <w:szCs w:val="21"/>
        </w:rPr>
        <w:t>1</w:t>
      </w:r>
      <w:r w:rsidR="00D517EB">
        <w:rPr>
          <w:rFonts w:ascii="Arial" w:hAnsi="Arial" w:cs="Arial" w:hint="eastAsia"/>
          <w:sz w:val="21"/>
          <w:szCs w:val="21"/>
        </w:rPr>
        <w:t>日至</w:t>
      </w:r>
      <w:r w:rsidR="00D517EB">
        <w:rPr>
          <w:rFonts w:ascii="Arial" w:hAnsi="Arial" w:cs="Arial" w:hint="eastAsia"/>
          <w:sz w:val="21"/>
          <w:szCs w:val="21"/>
        </w:rPr>
        <w:t>2025</w:t>
      </w:r>
      <w:r w:rsidR="00D517EB">
        <w:rPr>
          <w:rFonts w:ascii="Arial" w:hAnsi="Arial" w:cs="Arial" w:hint="eastAsia"/>
          <w:sz w:val="21"/>
          <w:szCs w:val="21"/>
        </w:rPr>
        <w:t>年</w:t>
      </w:r>
      <w:r w:rsidR="00D517EB">
        <w:rPr>
          <w:rFonts w:ascii="Arial" w:hAnsi="Arial" w:cs="Arial" w:hint="eastAsia"/>
          <w:sz w:val="21"/>
          <w:szCs w:val="21"/>
        </w:rPr>
        <w:t>10</w:t>
      </w:r>
      <w:r w:rsidR="00D517EB">
        <w:rPr>
          <w:rFonts w:ascii="Arial" w:hAnsi="Arial" w:cs="Arial" w:hint="eastAsia"/>
          <w:sz w:val="21"/>
          <w:szCs w:val="21"/>
        </w:rPr>
        <w:t>月</w:t>
      </w:r>
      <w:r w:rsidR="00D517EB">
        <w:rPr>
          <w:rFonts w:ascii="Arial" w:hAnsi="Arial" w:cs="Arial" w:hint="eastAsia"/>
          <w:sz w:val="21"/>
          <w:szCs w:val="21"/>
        </w:rPr>
        <w:t>31</w:t>
      </w:r>
      <w:r w:rsidR="00D517EB">
        <w:rPr>
          <w:rFonts w:ascii="Arial" w:hAnsi="Arial" w:cs="Arial" w:hint="eastAsia"/>
          <w:sz w:val="21"/>
          <w:szCs w:val="21"/>
        </w:rPr>
        <w:t>日</w:t>
      </w:r>
      <w:r>
        <w:rPr>
          <w:rFonts w:ascii="Arial" w:hAnsi="Arial" w:cs="Arial" w:hint="eastAsia"/>
          <w:sz w:val="21"/>
          <w:szCs w:val="21"/>
        </w:rPr>
        <w:t>）的市场平均月租金价格</w:t>
      </w:r>
      <w:r>
        <w:rPr>
          <w:rFonts w:ascii="Arial" w:hAnsi="Arial" w:cs="Arial"/>
          <w:sz w:val="21"/>
          <w:szCs w:val="21"/>
        </w:rPr>
        <w:t>；</w:t>
      </w:r>
    </w:p>
    <w:p w14:paraId="2AC23969" w14:textId="77777777" w:rsidR="00AF6F34" w:rsidRDefault="00AF6F34">
      <w:pPr>
        <w:spacing w:line="480" w:lineRule="auto"/>
        <w:ind w:firstLine="420"/>
      </w:pPr>
      <w:r>
        <w:rPr>
          <w:rFonts w:ascii="Arial" w:hAnsi="Arial" w:cs="Arial" w:hint="eastAsia"/>
          <w:sz w:val="21"/>
          <w:szCs w:val="21"/>
        </w:rPr>
        <w:t>2</w:t>
      </w:r>
      <w:r>
        <w:rPr>
          <w:rFonts w:ascii="Arial" w:hAnsi="Arial" w:cs="Arial"/>
          <w:sz w:val="21"/>
          <w:szCs w:val="21"/>
        </w:rPr>
        <w:t>.</w:t>
      </w:r>
      <w:r>
        <w:rPr>
          <w:rFonts w:ascii="Arial" w:hAnsi="Arial" w:cs="Arial"/>
          <w:sz w:val="21"/>
          <w:szCs w:val="21"/>
        </w:rPr>
        <w:t>估价对象所在区域是指与估价对象地理位置比较接近或者一致，基础设施、环境条件、规划条件、配套服务设施等情况基本相同的区域；</w:t>
      </w:r>
    </w:p>
    <w:p w14:paraId="78212990" w14:textId="77777777" w:rsidR="00AF6F34" w:rsidRDefault="00AF6F34">
      <w:pPr>
        <w:spacing w:line="480" w:lineRule="auto"/>
        <w:ind w:firstLine="420"/>
      </w:pPr>
      <w:r>
        <w:rPr>
          <w:rFonts w:ascii="Arial" w:hAnsi="Arial" w:cs="Arial" w:hint="eastAsia"/>
          <w:sz w:val="21"/>
          <w:szCs w:val="21"/>
        </w:rPr>
        <w:t>3</w:t>
      </w:r>
      <w:r>
        <w:rPr>
          <w:rFonts w:ascii="Arial" w:hAnsi="Arial" w:cs="Arial"/>
          <w:sz w:val="21"/>
          <w:szCs w:val="21"/>
        </w:rPr>
        <w:t>.</w:t>
      </w:r>
      <w:r>
        <w:rPr>
          <w:rFonts w:ascii="Arial" w:hAnsi="Arial" w:cs="Arial" w:hint="eastAsia"/>
          <w:sz w:val="21"/>
          <w:szCs w:val="21"/>
        </w:rPr>
        <w:t>同地段、</w:t>
      </w:r>
      <w:r>
        <w:rPr>
          <w:rFonts w:ascii="Arial" w:hAnsi="Arial" w:cs="Arial"/>
          <w:sz w:val="21"/>
          <w:szCs w:val="21"/>
        </w:rPr>
        <w:t>同类型住房是指普通住宅，含普通商品住宅、限价商品住房等；</w:t>
      </w:r>
    </w:p>
    <w:p w14:paraId="2B4470E6" w14:textId="77777777" w:rsidR="00AF6F34" w:rsidRDefault="004B20B9">
      <w:pPr>
        <w:spacing w:line="480" w:lineRule="auto"/>
        <w:ind w:firstLine="420"/>
        <w:rPr>
          <w:rFonts w:ascii="Arial" w:hAnsi="Arial" w:cs="Arial"/>
          <w:sz w:val="21"/>
          <w:szCs w:val="21"/>
        </w:rPr>
      </w:pPr>
      <w:r>
        <w:rPr>
          <w:rFonts w:ascii="Arial" w:hAnsi="Arial" w:cs="Arial"/>
          <w:sz w:val="21"/>
          <w:szCs w:val="21"/>
        </w:rPr>
        <w:t>4</w:t>
      </w:r>
      <w:r w:rsidR="00AF6F34">
        <w:rPr>
          <w:rFonts w:ascii="Arial" w:hAnsi="Arial" w:cs="Arial"/>
          <w:sz w:val="21"/>
          <w:szCs w:val="21"/>
        </w:rPr>
        <w:t>.</w:t>
      </w:r>
      <w:r w:rsidR="00AF6F34">
        <w:rPr>
          <w:rFonts w:ascii="Arial" w:hAnsi="Arial" w:cs="Arial"/>
          <w:sz w:val="21"/>
          <w:szCs w:val="21"/>
        </w:rPr>
        <w:t>租金估价结果</w:t>
      </w:r>
      <w:r w:rsidR="00AF6F34">
        <w:rPr>
          <w:rFonts w:ascii="Arial" w:hAnsi="Arial" w:cs="Arial" w:hint="eastAsia"/>
          <w:sz w:val="21"/>
          <w:szCs w:val="21"/>
        </w:rPr>
        <w:t>包括地租、房屋折旧、设备折旧、维修费、保险费、物业费、供暖费、管理费、利息、利润、家具、家电租赁费及租赁税费等；不含水电费、天然气费、通信费、有线电视费、上网宽带费等。</w:t>
      </w:r>
    </w:p>
    <w:p w14:paraId="7BABFD7E" w14:textId="77777777" w:rsidR="00F52851" w:rsidRDefault="00F52851">
      <w:pPr>
        <w:spacing w:line="480" w:lineRule="auto"/>
        <w:ind w:firstLine="420"/>
      </w:pPr>
    </w:p>
    <w:p w14:paraId="1028D817" w14:textId="77777777" w:rsidR="00AF6F34" w:rsidRDefault="00AF6F34">
      <w:pPr>
        <w:pStyle w:val="2"/>
        <w:numPr>
          <w:ilvl w:val="0"/>
          <w:numId w:val="0"/>
        </w:numPr>
        <w:overflowPunct w:val="0"/>
        <w:spacing w:line="480" w:lineRule="auto"/>
        <w:ind w:left="358" w:hanging="358"/>
        <w:jc w:val="both"/>
        <w:textAlignment w:val="auto"/>
      </w:pPr>
      <w:bookmarkStart w:id="15" w:name="_Toc161661011"/>
      <w:r>
        <w:rPr>
          <w:rFonts w:eastAsia="宋体"/>
          <w:kern w:val="2"/>
          <w:sz w:val="21"/>
          <w:szCs w:val="21"/>
        </w:rPr>
        <w:t>七、估价原则</w:t>
      </w:r>
      <w:bookmarkEnd w:id="15"/>
    </w:p>
    <w:p w14:paraId="09F6B403" w14:textId="77777777" w:rsidR="00AF6F34" w:rsidRDefault="00AF6F34">
      <w:pPr>
        <w:overflowPunct w:val="0"/>
        <w:spacing w:line="480" w:lineRule="auto"/>
        <w:ind w:firstLine="424"/>
        <w:jc w:val="both"/>
        <w:textAlignment w:val="auto"/>
      </w:pPr>
      <w:r>
        <w:rPr>
          <w:rFonts w:ascii="Arial" w:hAnsi="Arial" w:cs="Arial"/>
          <w:sz w:val="21"/>
          <w:szCs w:val="21"/>
        </w:rPr>
        <w:t>我们在本次估价时遵循了以下原则：</w:t>
      </w:r>
      <w:r>
        <w:rPr>
          <w:rFonts w:ascii="Arial" w:eastAsia="Arial" w:hAnsi="Arial" w:cs="Arial"/>
          <w:sz w:val="21"/>
          <w:szCs w:val="21"/>
        </w:rPr>
        <w:t xml:space="preserve"> </w:t>
      </w:r>
    </w:p>
    <w:p w14:paraId="58649FC5" w14:textId="77777777" w:rsidR="00AF6F34" w:rsidRDefault="00AF6F34">
      <w:pPr>
        <w:overflowPunct w:val="0"/>
        <w:spacing w:line="480" w:lineRule="auto"/>
        <w:jc w:val="both"/>
        <w:textAlignment w:val="auto"/>
      </w:pPr>
      <w:r>
        <w:rPr>
          <w:rFonts w:ascii="Arial" w:hAnsi="Arial" w:cs="Arial"/>
          <w:b/>
          <w:sz w:val="21"/>
          <w:szCs w:val="21"/>
        </w:rPr>
        <w:t>（一）独立、客观、公正原则</w:t>
      </w:r>
    </w:p>
    <w:p w14:paraId="275229C0" w14:textId="77777777" w:rsidR="00AF6F34" w:rsidRDefault="00AF6F34">
      <w:pPr>
        <w:overflowPunct w:val="0"/>
        <w:spacing w:line="480" w:lineRule="auto"/>
        <w:ind w:firstLine="420"/>
        <w:jc w:val="both"/>
        <w:textAlignment w:val="auto"/>
      </w:pPr>
      <w:r>
        <w:rPr>
          <w:rFonts w:ascii="Arial" w:hAnsi="Arial" w:cs="Arial"/>
          <w:sz w:val="21"/>
          <w:szCs w:val="21"/>
        </w:rPr>
        <w:t>独立、客观、公正原则要求</w:t>
      </w:r>
      <w:r>
        <w:rPr>
          <w:rFonts w:ascii="Arial" w:hAnsi="Arial" w:cs="Arial" w:hint="eastAsia"/>
          <w:sz w:val="21"/>
          <w:szCs w:val="21"/>
        </w:rPr>
        <w:t>评估专业人员</w:t>
      </w:r>
      <w:r>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161874C8" w14:textId="77777777" w:rsidR="00AF6F34" w:rsidRDefault="00AF6F34">
      <w:pPr>
        <w:overflowPunct w:val="0"/>
        <w:spacing w:line="480" w:lineRule="auto"/>
        <w:jc w:val="both"/>
        <w:textAlignment w:val="auto"/>
      </w:pPr>
      <w:r>
        <w:rPr>
          <w:rFonts w:ascii="Arial" w:hAnsi="Arial" w:cs="Arial"/>
          <w:b/>
          <w:sz w:val="21"/>
          <w:szCs w:val="21"/>
        </w:rPr>
        <w:t>（二）合法原则</w:t>
      </w:r>
    </w:p>
    <w:p w14:paraId="4344E1D1" w14:textId="77777777" w:rsidR="00AF6F34" w:rsidRDefault="00AF6F34">
      <w:pPr>
        <w:overflowPunct w:val="0"/>
        <w:spacing w:line="480" w:lineRule="auto"/>
        <w:ind w:firstLine="420"/>
        <w:jc w:val="both"/>
        <w:textAlignment w:val="auto"/>
      </w:pPr>
      <w:r>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w:t>
      </w:r>
      <w:r>
        <w:rPr>
          <w:rFonts w:ascii="Arial" w:hAnsi="Arial" w:cs="Arial" w:hint="eastAsia"/>
          <w:sz w:val="21"/>
          <w:szCs w:val="21"/>
        </w:rPr>
        <w:lastRenderedPageBreak/>
        <w:t>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r>
        <w:rPr>
          <w:rFonts w:ascii="Arial" w:hAnsi="Arial" w:cs="Arial"/>
          <w:sz w:val="21"/>
          <w:szCs w:val="21"/>
        </w:rPr>
        <w:t>。</w:t>
      </w:r>
    </w:p>
    <w:p w14:paraId="4497DB81" w14:textId="77777777" w:rsidR="00AF6F34" w:rsidRDefault="00AF6F34">
      <w:pPr>
        <w:overflowPunct w:val="0"/>
        <w:spacing w:line="480" w:lineRule="auto"/>
        <w:jc w:val="both"/>
        <w:textAlignment w:val="auto"/>
      </w:pPr>
      <w:r>
        <w:rPr>
          <w:rFonts w:ascii="Arial" w:hAnsi="Arial" w:cs="Arial"/>
          <w:b/>
          <w:sz w:val="21"/>
          <w:szCs w:val="21"/>
        </w:rPr>
        <w:t>（三）最高最佳利用原则</w:t>
      </w:r>
    </w:p>
    <w:p w14:paraId="10CCAFC5" w14:textId="77777777" w:rsidR="00AF6F34" w:rsidRDefault="00AF6F34">
      <w:pPr>
        <w:overflowPunct w:val="0"/>
        <w:spacing w:line="480" w:lineRule="auto"/>
        <w:ind w:firstLine="420"/>
        <w:jc w:val="both"/>
        <w:textAlignment w:val="auto"/>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177FCC1F" w14:textId="77777777" w:rsidR="00AF6F34" w:rsidRDefault="00AF6F34">
      <w:pPr>
        <w:overflowPunct w:val="0"/>
        <w:spacing w:line="480" w:lineRule="auto"/>
        <w:jc w:val="both"/>
        <w:textAlignment w:val="auto"/>
      </w:pPr>
      <w:r>
        <w:rPr>
          <w:rFonts w:ascii="Arial" w:hAnsi="Arial" w:cs="Arial"/>
          <w:b/>
          <w:sz w:val="21"/>
          <w:szCs w:val="21"/>
        </w:rPr>
        <w:t>（四）替代原则</w:t>
      </w:r>
    </w:p>
    <w:p w14:paraId="1CC6738B" w14:textId="77777777" w:rsidR="00AF6F34" w:rsidRDefault="00AF6F34">
      <w:pPr>
        <w:overflowPunct w:val="0"/>
        <w:spacing w:line="480" w:lineRule="auto"/>
        <w:ind w:firstLine="420"/>
        <w:jc w:val="both"/>
        <w:textAlignment w:val="auto"/>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044B4A68" w14:textId="77777777" w:rsidR="00AF6F34" w:rsidRDefault="00AF6F34">
      <w:pPr>
        <w:overflowPunct w:val="0"/>
        <w:spacing w:line="480" w:lineRule="auto"/>
        <w:ind w:firstLine="420"/>
        <w:jc w:val="both"/>
        <w:textAlignment w:val="auto"/>
      </w:pPr>
      <w:r>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57722004" w14:textId="77777777" w:rsidR="00AF6F34" w:rsidRDefault="00AF6F34">
      <w:pPr>
        <w:overflowPunct w:val="0"/>
        <w:spacing w:line="480" w:lineRule="auto"/>
        <w:jc w:val="both"/>
        <w:textAlignment w:val="auto"/>
      </w:pPr>
      <w:r>
        <w:rPr>
          <w:rFonts w:ascii="Arial" w:hAnsi="Arial" w:cs="Arial"/>
          <w:b/>
          <w:sz w:val="21"/>
          <w:szCs w:val="21"/>
        </w:rPr>
        <w:t>（五）价值时点原则</w:t>
      </w:r>
    </w:p>
    <w:p w14:paraId="5043280C" w14:textId="77777777" w:rsidR="00AF6F34" w:rsidRDefault="00AF6F34">
      <w:pPr>
        <w:overflowPunct w:val="0"/>
        <w:spacing w:line="480" w:lineRule="auto"/>
        <w:ind w:firstLine="420"/>
        <w:jc w:val="both"/>
        <w:textAlignment w:val="auto"/>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B643218" w14:textId="77777777" w:rsidR="00AF6F34" w:rsidRDefault="00AF6F34">
      <w:pPr>
        <w:overflowPunct w:val="0"/>
        <w:spacing w:line="480" w:lineRule="auto"/>
        <w:ind w:firstLine="420"/>
        <w:jc w:val="both"/>
        <w:textAlignment w:val="auto"/>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0DE2A57A" w14:textId="77777777" w:rsidR="00AF6F34" w:rsidRDefault="00AF6F34">
      <w:pPr>
        <w:overflowPunct w:val="0"/>
        <w:spacing w:line="480" w:lineRule="auto"/>
        <w:ind w:firstLine="420"/>
        <w:jc w:val="both"/>
        <w:textAlignment w:val="auto"/>
      </w:pPr>
      <w:r>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w:t>
      </w:r>
      <w:r>
        <w:rPr>
          <w:rFonts w:ascii="Arial" w:hAnsi="Arial" w:cs="Arial"/>
          <w:sz w:val="21"/>
          <w:szCs w:val="21"/>
        </w:rPr>
        <w:lastRenderedPageBreak/>
        <w:t>价值时点前</w:t>
      </w:r>
      <w:r>
        <w:rPr>
          <w:rFonts w:ascii="Arial" w:hAnsi="Arial" w:cs="Arial"/>
          <w:sz w:val="21"/>
          <w:szCs w:val="21"/>
        </w:rPr>
        <w:t xml:space="preserve">12 </w:t>
      </w:r>
      <w:r>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r>
        <w:rPr>
          <w:rFonts w:ascii="Arial" w:hAnsi="Arial" w:cs="Arial" w:hint="eastAsia"/>
          <w:sz w:val="21"/>
          <w:szCs w:val="21"/>
        </w:rPr>
        <w:t>。</w:t>
      </w:r>
    </w:p>
    <w:p w14:paraId="4AF2FC3B" w14:textId="77777777" w:rsidR="00AF6F34" w:rsidRDefault="00AF6F34">
      <w:pPr>
        <w:overflowPunct w:val="0"/>
        <w:spacing w:line="480" w:lineRule="auto"/>
        <w:ind w:firstLine="420"/>
        <w:jc w:val="both"/>
        <w:textAlignment w:val="auto"/>
        <w:rPr>
          <w:rFonts w:ascii="Arial" w:hAnsi="Arial" w:cs="Arial"/>
          <w:sz w:val="21"/>
          <w:szCs w:val="21"/>
        </w:rPr>
      </w:pPr>
    </w:p>
    <w:p w14:paraId="66C34523" w14:textId="77777777" w:rsidR="00AF6F34" w:rsidRDefault="00AF6F34">
      <w:pPr>
        <w:pStyle w:val="2"/>
        <w:numPr>
          <w:ilvl w:val="0"/>
          <w:numId w:val="0"/>
        </w:numPr>
        <w:overflowPunct w:val="0"/>
        <w:spacing w:line="480" w:lineRule="auto"/>
        <w:ind w:left="358" w:hanging="358"/>
        <w:jc w:val="both"/>
        <w:textAlignment w:val="auto"/>
      </w:pPr>
      <w:bookmarkStart w:id="16" w:name="_Toc161661012"/>
      <w:r>
        <w:rPr>
          <w:rFonts w:eastAsia="宋体"/>
          <w:kern w:val="2"/>
          <w:sz w:val="21"/>
          <w:szCs w:val="21"/>
        </w:rPr>
        <w:t>八、估价依据</w:t>
      </w:r>
      <w:bookmarkEnd w:id="16"/>
    </w:p>
    <w:p w14:paraId="6C404A85" w14:textId="77777777" w:rsidR="00AF6F34" w:rsidRDefault="00AF6F34">
      <w:pPr>
        <w:overflowPunct w:val="0"/>
        <w:spacing w:line="480" w:lineRule="auto"/>
        <w:jc w:val="both"/>
        <w:textAlignment w:val="auto"/>
      </w:pPr>
      <w:r>
        <w:rPr>
          <w:rFonts w:ascii="Arial" w:hAnsi="Arial" w:cs="Arial"/>
          <w:b/>
          <w:sz w:val="21"/>
          <w:szCs w:val="21"/>
        </w:rPr>
        <w:t>（一）有关的法律、法规</w:t>
      </w:r>
      <w:r w:rsidR="00990456">
        <w:rPr>
          <w:rFonts w:ascii="Arial" w:hAnsi="Arial" w:cs="Arial"/>
          <w:b/>
          <w:sz w:val="21"/>
          <w:szCs w:val="21"/>
        </w:rPr>
        <w:t>文件</w:t>
      </w:r>
    </w:p>
    <w:p w14:paraId="093DC959" w14:textId="77777777" w:rsidR="002D3E07" w:rsidRPr="00C56E7B" w:rsidRDefault="002D3E07" w:rsidP="002D3E07">
      <w:pPr>
        <w:wordWrap w:val="0"/>
        <w:overflowPunct w:val="0"/>
        <w:spacing w:line="480" w:lineRule="auto"/>
        <w:jc w:val="both"/>
        <w:rPr>
          <w:rFonts w:ascii="Arial" w:hAnsi="Arial" w:cs="Arial"/>
          <w:sz w:val="21"/>
          <w:szCs w:val="21"/>
        </w:rPr>
      </w:pPr>
      <w:r w:rsidRPr="00C56E7B">
        <w:rPr>
          <w:rFonts w:ascii="Arial" w:hAnsi="Arial" w:cs="Arial" w:hint="eastAsia"/>
          <w:sz w:val="21"/>
          <w:szCs w:val="21"/>
        </w:rPr>
        <w:t>1.</w:t>
      </w:r>
      <w:r w:rsidRPr="00C56E7B">
        <w:rPr>
          <w:rFonts w:ascii="Arial" w:hAnsi="Arial" w:cs="Arial" w:hint="eastAsia"/>
          <w:sz w:val="21"/>
          <w:szCs w:val="21"/>
        </w:rPr>
        <w:t>《中华人民共和国民法典》（</w:t>
      </w:r>
      <w:r w:rsidRPr="00C56E7B">
        <w:rPr>
          <w:rFonts w:ascii="Arial" w:hAnsi="Arial" w:cs="Arial" w:hint="eastAsia"/>
          <w:sz w:val="21"/>
          <w:szCs w:val="21"/>
        </w:rPr>
        <w:t>2020</w:t>
      </w:r>
      <w:r w:rsidRPr="00C56E7B">
        <w:rPr>
          <w:rFonts w:ascii="Arial" w:hAnsi="Arial" w:cs="Arial" w:hint="eastAsia"/>
          <w:sz w:val="21"/>
          <w:szCs w:val="21"/>
        </w:rPr>
        <w:t>年</w:t>
      </w:r>
      <w:r w:rsidRPr="00C56E7B">
        <w:rPr>
          <w:rFonts w:ascii="Arial" w:hAnsi="Arial" w:cs="Arial" w:hint="eastAsia"/>
          <w:sz w:val="21"/>
          <w:szCs w:val="21"/>
        </w:rPr>
        <w:t>5</w:t>
      </w:r>
      <w:r w:rsidRPr="00C56E7B">
        <w:rPr>
          <w:rFonts w:ascii="Arial" w:hAnsi="Arial" w:cs="Arial" w:hint="eastAsia"/>
          <w:sz w:val="21"/>
          <w:szCs w:val="21"/>
        </w:rPr>
        <w:t>月</w:t>
      </w:r>
      <w:r w:rsidRPr="00C56E7B">
        <w:rPr>
          <w:rFonts w:ascii="Arial" w:hAnsi="Arial" w:cs="Arial" w:hint="eastAsia"/>
          <w:sz w:val="21"/>
          <w:szCs w:val="21"/>
        </w:rPr>
        <w:t>28</w:t>
      </w:r>
      <w:r w:rsidRPr="00C56E7B">
        <w:rPr>
          <w:rFonts w:ascii="Arial" w:hAnsi="Arial" w:cs="Arial" w:hint="eastAsia"/>
          <w:sz w:val="21"/>
          <w:szCs w:val="21"/>
        </w:rPr>
        <w:t>日第十三届全国人大三次会议表决通过，自</w:t>
      </w:r>
      <w:r w:rsidRPr="00C56E7B">
        <w:rPr>
          <w:rFonts w:ascii="Arial" w:hAnsi="Arial" w:cs="Arial" w:hint="eastAsia"/>
          <w:sz w:val="21"/>
          <w:szCs w:val="21"/>
        </w:rPr>
        <w:t>2021</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p>
    <w:p w14:paraId="22620AC4" w14:textId="77777777" w:rsidR="002D3E07" w:rsidRPr="00C56E7B" w:rsidRDefault="002D3E07" w:rsidP="002D3E07">
      <w:pPr>
        <w:wordWrap w:val="0"/>
        <w:overflowPunct w:val="0"/>
        <w:spacing w:line="480" w:lineRule="auto"/>
        <w:jc w:val="both"/>
        <w:rPr>
          <w:rFonts w:ascii="Arial" w:hAnsi="Arial" w:cs="Arial"/>
          <w:sz w:val="21"/>
          <w:szCs w:val="21"/>
        </w:rPr>
      </w:pPr>
      <w:r w:rsidRPr="00C56E7B">
        <w:rPr>
          <w:rFonts w:ascii="Arial" w:hAnsi="Arial" w:cs="Arial" w:hint="eastAsia"/>
          <w:sz w:val="21"/>
          <w:szCs w:val="21"/>
        </w:rPr>
        <w:t>2.</w:t>
      </w:r>
      <w:r w:rsidRPr="00C56E7B">
        <w:rPr>
          <w:rFonts w:ascii="Arial" w:hAnsi="Arial" w:cs="Arial" w:hint="eastAsia"/>
          <w:sz w:val="21"/>
          <w:szCs w:val="21"/>
        </w:rPr>
        <w:t>《中华人民共和国土地管理法》（</w:t>
      </w:r>
      <w:r w:rsidRPr="00C56E7B">
        <w:rPr>
          <w:rFonts w:ascii="Arial" w:hAnsi="Arial" w:cs="Arial" w:hint="eastAsia"/>
          <w:sz w:val="21"/>
          <w:szCs w:val="21"/>
        </w:rPr>
        <w:t>1986</w:t>
      </w:r>
      <w:r w:rsidRPr="00C56E7B">
        <w:rPr>
          <w:rFonts w:ascii="Arial" w:hAnsi="Arial" w:cs="Arial" w:hint="eastAsia"/>
          <w:sz w:val="21"/>
          <w:szCs w:val="21"/>
        </w:rPr>
        <w:t>年</w:t>
      </w:r>
      <w:r w:rsidRPr="00C56E7B">
        <w:rPr>
          <w:rFonts w:ascii="Arial" w:hAnsi="Arial" w:cs="Arial" w:hint="eastAsia"/>
          <w:sz w:val="21"/>
          <w:szCs w:val="21"/>
        </w:rPr>
        <w:t>6</w:t>
      </w:r>
      <w:r w:rsidRPr="00C56E7B">
        <w:rPr>
          <w:rFonts w:ascii="Arial" w:hAnsi="Arial" w:cs="Arial" w:hint="eastAsia"/>
          <w:sz w:val="21"/>
          <w:szCs w:val="21"/>
        </w:rPr>
        <w:t>月</w:t>
      </w:r>
      <w:r w:rsidRPr="00C56E7B">
        <w:rPr>
          <w:rFonts w:ascii="Arial" w:hAnsi="Arial" w:cs="Arial" w:hint="eastAsia"/>
          <w:sz w:val="21"/>
          <w:szCs w:val="21"/>
        </w:rPr>
        <w:t>25</w:t>
      </w:r>
      <w:r w:rsidRPr="00C56E7B">
        <w:rPr>
          <w:rFonts w:ascii="Arial" w:hAnsi="Arial" w:cs="Arial" w:hint="eastAsia"/>
          <w:sz w:val="21"/>
          <w:szCs w:val="21"/>
        </w:rPr>
        <w:t>日第六届全国人民代表大会常务委员会第十六次会议通过，中华人民共和国主席令第</w:t>
      </w:r>
      <w:r w:rsidRPr="00C56E7B">
        <w:rPr>
          <w:rFonts w:ascii="Arial" w:hAnsi="Arial" w:cs="Arial" w:hint="eastAsia"/>
          <w:sz w:val="21"/>
          <w:szCs w:val="21"/>
        </w:rPr>
        <w:t>41</w:t>
      </w:r>
      <w:r w:rsidRPr="00C56E7B">
        <w:rPr>
          <w:rFonts w:ascii="Arial" w:hAnsi="Arial" w:cs="Arial" w:hint="eastAsia"/>
          <w:sz w:val="21"/>
          <w:szCs w:val="21"/>
        </w:rPr>
        <w:t>号公布，</w:t>
      </w:r>
      <w:r w:rsidRPr="00C56E7B">
        <w:rPr>
          <w:rFonts w:ascii="Arial" w:hAnsi="Arial" w:cs="Arial" w:hint="eastAsia"/>
          <w:sz w:val="21"/>
          <w:szCs w:val="21"/>
        </w:rPr>
        <w:t>1987</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r w:rsidRPr="00C56E7B">
        <w:rPr>
          <w:rFonts w:ascii="Arial" w:hAnsi="Arial" w:cs="Arial" w:hint="eastAsia"/>
          <w:sz w:val="21"/>
          <w:szCs w:val="21"/>
        </w:rPr>
        <w:t>1988</w:t>
      </w:r>
      <w:r w:rsidRPr="00C56E7B">
        <w:rPr>
          <w:rFonts w:ascii="Arial" w:hAnsi="Arial" w:cs="Arial" w:hint="eastAsia"/>
          <w:sz w:val="21"/>
          <w:szCs w:val="21"/>
        </w:rPr>
        <w:t>年</w:t>
      </w:r>
      <w:r w:rsidRPr="00C56E7B">
        <w:rPr>
          <w:rFonts w:ascii="Arial" w:hAnsi="Arial" w:cs="Arial" w:hint="eastAsia"/>
          <w:sz w:val="21"/>
          <w:szCs w:val="21"/>
        </w:rPr>
        <w:t>12</w:t>
      </w:r>
      <w:r w:rsidRPr="00C56E7B">
        <w:rPr>
          <w:rFonts w:ascii="Arial" w:hAnsi="Arial" w:cs="Arial" w:hint="eastAsia"/>
          <w:sz w:val="21"/>
          <w:szCs w:val="21"/>
        </w:rPr>
        <w:t>月</w:t>
      </w:r>
      <w:r w:rsidRPr="00C56E7B">
        <w:rPr>
          <w:rFonts w:ascii="Arial" w:hAnsi="Arial" w:cs="Arial" w:hint="eastAsia"/>
          <w:sz w:val="21"/>
          <w:szCs w:val="21"/>
        </w:rPr>
        <w:t>29</w:t>
      </w:r>
      <w:r w:rsidRPr="00C56E7B">
        <w:rPr>
          <w:rFonts w:ascii="Arial" w:hAnsi="Arial" w:cs="Arial" w:hint="eastAsia"/>
          <w:sz w:val="21"/>
          <w:szCs w:val="21"/>
        </w:rPr>
        <w:t>日第七届全国人民代表大会常务委员会第五次会议第一次修正通过，自</w:t>
      </w:r>
      <w:r w:rsidRPr="00C56E7B">
        <w:rPr>
          <w:rFonts w:ascii="Arial" w:hAnsi="Arial" w:cs="Arial" w:hint="eastAsia"/>
          <w:sz w:val="21"/>
          <w:szCs w:val="21"/>
        </w:rPr>
        <w:t>1988</w:t>
      </w:r>
      <w:r w:rsidRPr="00C56E7B">
        <w:rPr>
          <w:rFonts w:ascii="Arial" w:hAnsi="Arial" w:cs="Arial" w:hint="eastAsia"/>
          <w:sz w:val="21"/>
          <w:szCs w:val="21"/>
        </w:rPr>
        <w:t>年</w:t>
      </w:r>
      <w:r w:rsidRPr="00C56E7B">
        <w:rPr>
          <w:rFonts w:ascii="Arial" w:hAnsi="Arial" w:cs="Arial" w:hint="eastAsia"/>
          <w:sz w:val="21"/>
          <w:szCs w:val="21"/>
        </w:rPr>
        <w:t>12</w:t>
      </w:r>
      <w:r w:rsidRPr="00C56E7B">
        <w:rPr>
          <w:rFonts w:ascii="Arial" w:hAnsi="Arial" w:cs="Arial" w:hint="eastAsia"/>
          <w:sz w:val="21"/>
          <w:szCs w:val="21"/>
        </w:rPr>
        <w:t>月</w:t>
      </w:r>
      <w:r w:rsidRPr="00C56E7B">
        <w:rPr>
          <w:rFonts w:ascii="Arial" w:hAnsi="Arial" w:cs="Arial" w:hint="eastAsia"/>
          <w:sz w:val="21"/>
          <w:szCs w:val="21"/>
        </w:rPr>
        <w:t>29</w:t>
      </w:r>
      <w:r w:rsidRPr="00C56E7B">
        <w:rPr>
          <w:rFonts w:ascii="Arial" w:hAnsi="Arial" w:cs="Arial" w:hint="eastAsia"/>
          <w:sz w:val="21"/>
          <w:szCs w:val="21"/>
        </w:rPr>
        <w:t>日起施行；</w:t>
      </w:r>
      <w:r w:rsidRPr="00C56E7B">
        <w:rPr>
          <w:rFonts w:ascii="Arial" w:hAnsi="Arial" w:cs="Arial" w:hint="eastAsia"/>
          <w:sz w:val="21"/>
          <w:szCs w:val="21"/>
        </w:rPr>
        <w:t>1998</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29</w:t>
      </w:r>
      <w:r w:rsidRPr="00C56E7B">
        <w:rPr>
          <w:rFonts w:ascii="Arial" w:hAnsi="Arial" w:cs="Arial" w:hint="eastAsia"/>
          <w:sz w:val="21"/>
          <w:szCs w:val="21"/>
        </w:rPr>
        <w:t>日第九届全国人民代表大会常务委员会第四次会议修订通过，中华人民共和国主席令第</w:t>
      </w:r>
      <w:r w:rsidRPr="00C56E7B">
        <w:rPr>
          <w:rFonts w:ascii="Arial" w:hAnsi="Arial" w:cs="Arial" w:hint="eastAsia"/>
          <w:sz w:val="21"/>
          <w:szCs w:val="21"/>
        </w:rPr>
        <w:t>8</w:t>
      </w:r>
      <w:r w:rsidRPr="00C56E7B">
        <w:rPr>
          <w:rFonts w:ascii="Arial" w:hAnsi="Arial" w:cs="Arial" w:hint="eastAsia"/>
          <w:sz w:val="21"/>
          <w:szCs w:val="21"/>
        </w:rPr>
        <w:t>号公布，自</w:t>
      </w:r>
      <w:r w:rsidRPr="00C56E7B">
        <w:rPr>
          <w:rFonts w:ascii="Arial" w:hAnsi="Arial" w:cs="Arial" w:hint="eastAsia"/>
          <w:sz w:val="21"/>
          <w:szCs w:val="21"/>
        </w:rPr>
        <w:t>1999</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r w:rsidRPr="00C56E7B">
        <w:rPr>
          <w:rFonts w:ascii="Arial" w:hAnsi="Arial" w:cs="Arial" w:hint="eastAsia"/>
          <w:sz w:val="21"/>
          <w:szCs w:val="21"/>
        </w:rPr>
        <w:t>2004</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28</w:t>
      </w:r>
      <w:r w:rsidRPr="00C56E7B">
        <w:rPr>
          <w:rFonts w:ascii="Arial" w:hAnsi="Arial" w:cs="Arial" w:hint="eastAsia"/>
          <w:sz w:val="21"/>
          <w:szCs w:val="21"/>
        </w:rPr>
        <w:t>日第十届全国人民代表大会常务委员会第十一次会议第二次修正通过，中华人民共和国主席令第</w:t>
      </w:r>
      <w:r w:rsidRPr="00C56E7B">
        <w:rPr>
          <w:rFonts w:ascii="Arial" w:hAnsi="Arial" w:cs="Arial" w:hint="eastAsia"/>
          <w:sz w:val="21"/>
          <w:szCs w:val="21"/>
        </w:rPr>
        <w:t>28</w:t>
      </w:r>
      <w:r w:rsidRPr="00C56E7B">
        <w:rPr>
          <w:rFonts w:ascii="Arial" w:hAnsi="Arial" w:cs="Arial" w:hint="eastAsia"/>
          <w:sz w:val="21"/>
          <w:szCs w:val="21"/>
        </w:rPr>
        <w:t>号公布，自公布起日起施行；</w:t>
      </w:r>
      <w:r w:rsidRPr="00C56E7B">
        <w:rPr>
          <w:rFonts w:ascii="Arial" w:hAnsi="Arial" w:cs="Arial" w:hint="eastAsia"/>
          <w:sz w:val="21"/>
          <w:szCs w:val="21"/>
        </w:rPr>
        <w:t>2019</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26</w:t>
      </w:r>
      <w:r w:rsidRPr="00C56E7B">
        <w:rPr>
          <w:rFonts w:ascii="Arial" w:hAnsi="Arial" w:cs="Arial" w:hint="eastAsia"/>
          <w:sz w:val="21"/>
          <w:szCs w:val="21"/>
        </w:rPr>
        <w:t>日第十三届全国人民代表大会常务委员会第十二次会议第三次修正通过，自</w:t>
      </w:r>
      <w:r w:rsidRPr="00C56E7B">
        <w:rPr>
          <w:rFonts w:ascii="Arial" w:hAnsi="Arial" w:cs="Arial" w:hint="eastAsia"/>
          <w:sz w:val="21"/>
          <w:szCs w:val="21"/>
        </w:rPr>
        <w:t>2020</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p>
    <w:p w14:paraId="2643B3DB" w14:textId="77777777" w:rsidR="002D3E07" w:rsidRPr="00C56E7B" w:rsidRDefault="002D3E07" w:rsidP="002D3E07">
      <w:pPr>
        <w:wordWrap w:val="0"/>
        <w:overflowPunct w:val="0"/>
        <w:spacing w:line="480" w:lineRule="auto"/>
        <w:jc w:val="both"/>
        <w:rPr>
          <w:rFonts w:ascii="Arial" w:hAnsi="Arial" w:cs="Arial"/>
          <w:sz w:val="21"/>
          <w:szCs w:val="21"/>
        </w:rPr>
      </w:pPr>
      <w:r w:rsidRPr="00C56E7B">
        <w:rPr>
          <w:rFonts w:ascii="Arial" w:hAnsi="Arial" w:cs="Arial" w:hint="eastAsia"/>
          <w:sz w:val="21"/>
          <w:szCs w:val="21"/>
        </w:rPr>
        <w:t>3.</w:t>
      </w:r>
      <w:r w:rsidRPr="00C56E7B">
        <w:rPr>
          <w:rFonts w:ascii="Arial" w:hAnsi="Arial" w:cs="Arial" w:hint="eastAsia"/>
          <w:sz w:val="21"/>
          <w:szCs w:val="21"/>
        </w:rPr>
        <w:t>《中华人民共和国资产评估法》（</w:t>
      </w:r>
      <w:r w:rsidRPr="00C56E7B">
        <w:rPr>
          <w:rFonts w:ascii="Arial" w:hAnsi="Arial" w:cs="Arial" w:hint="eastAsia"/>
          <w:sz w:val="21"/>
          <w:szCs w:val="21"/>
        </w:rPr>
        <w:t>2016</w:t>
      </w:r>
      <w:r w:rsidRPr="00C56E7B">
        <w:rPr>
          <w:rFonts w:ascii="Arial" w:hAnsi="Arial" w:cs="Arial" w:hint="eastAsia"/>
          <w:sz w:val="21"/>
          <w:szCs w:val="21"/>
        </w:rPr>
        <w:t>年</w:t>
      </w:r>
      <w:r w:rsidRPr="00C56E7B">
        <w:rPr>
          <w:rFonts w:ascii="Arial" w:hAnsi="Arial" w:cs="Arial" w:hint="eastAsia"/>
          <w:sz w:val="21"/>
          <w:szCs w:val="21"/>
        </w:rPr>
        <w:t>7</w:t>
      </w:r>
      <w:r w:rsidRPr="00C56E7B">
        <w:rPr>
          <w:rFonts w:ascii="Arial" w:hAnsi="Arial" w:cs="Arial" w:hint="eastAsia"/>
          <w:sz w:val="21"/>
          <w:szCs w:val="21"/>
        </w:rPr>
        <w:t>月</w:t>
      </w:r>
      <w:r w:rsidRPr="00C56E7B">
        <w:rPr>
          <w:rFonts w:ascii="Arial" w:hAnsi="Arial" w:cs="Arial" w:hint="eastAsia"/>
          <w:sz w:val="21"/>
          <w:szCs w:val="21"/>
        </w:rPr>
        <w:t>2</w:t>
      </w:r>
      <w:r w:rsidRPr="00C56E7B">
        <w:rPr>
          <w:rFonts w:ascii="Arial" w:hAnsi="Arial" w:cs="Arial" w:hint="eastAsia"/>
          <w:sz w:val="21"/>
          <w:szCs w:val="21"/>
        </w:rPr>
        <w:t>日第十二届全国人民代表大会常务委员会第二十一次会议通过</w:t>
      </w:r>
      <w:r w:rsidRPr="00C56E7B">
        <w:rPr>
          <w:rFonts w:ascii="Arial" w:hAnsi="Arial" w:cs="Arial" w:hint="eastAsia"/>
          <w:sz w:val="21"/>
          <w:szCs w:val="21"/>
        </w:rPr>
        <w:t xml:space="preserve"> 2016</w:t>
      </w:r>
      <w:r w:rsidRPr="00C56E7B">
        <w:rPr>
          <w:rFonts w:ascii="Arial" w:hAnsi="Arial" w:cs="Arial" w:hint="eastAsia"/>
          <w:sz w:val="21"/>
          <w:szCs w:val="21"/>
        </w:rPr>
        <w:t>年</w:t>
      </w:r>
      <w:r w:rsidRPr="00C56E7B">
        <w:rPr>
          <w:rFonts w:ascii="Arial" w:hAnsi="Arial" w:cs="Arial" w:hint="eastAsia"/>
          <w:sz w:val="21"/>
          <w:szCs w:val="21"/>
        </w:rPr>
        <w:t>3</w:t>
      </w:r>
      <w:r w:rsidRPr="00C56E7B">
        <w:rPr>
          <w:rFonts w:ascii="Arial" w:hAnsi="Arial" w:cs="Arial" w:hint="eastAsia"/>
          <w:sz w:val="21"/>
          <w:szCs w:val="21"/>
        </w:rPr>
        <w:t>月</w:t>
      </w:r>
      <w:r w:rsidRPr="00C56E7B">
        <w:rPr>
          <w:rFonts w:ascii="Arial" w:hAnsi="Arial" w:cs="Arial" w:hint="eastAsia"/>
          <w:sz w:val="21"/>
          <w:szCs w:val="21"/>
        </w:rPr>
        <w:t>16</w:t>
      </w:r>
      <w:r w:rsidRPr="00C56E7B">
        <w:rPr>
          <w:rFonts w:ascii="Arial" w:hAnsi="Arial" w:cs="Arial" w:hint="eastAsia"/>
          <w:sz w:val="21"/>
          <w:szCs w:val="21"/>
        </w:rPr>
        <w:t>日中华人民共和国主席令第</w:t>
      </w:r>
      <w:r w:rsidRPr="00C56E7B">
        <w:rPr>
          <w:rFonts w:ascii="Arial" w:hAnsi="Arial" w:cs="Arial" w:hint="eastAsia"/>
          <w:sz w:val="21"/>
          <w:szCs w:val="21"/>
        </w:rPr>
        <w:t>46</w:t>
      </w:r>
      <w:r w:rsidRPr="00C56E7B">
        <w:rPr>
          <w:rFonts w:ascii="Arial" w:hAnsi="Arial" w:cs="Arial" w:hint="eastAsia"/>
          <w:sz w:val="21"/>
          <w:szCs w:val="21"/>
        </w:rPr>
        <w:t>号公布</w:t>
      </w:r>
      <w:r w:rsidRPr="00C56E7B">
        <w:rPr>
          <w:rFonts w:ascii="Arial" w:hAnsi="Arial" w:cs="Arial" w:hint="eastAsia"/>
          <w:sz w:val="21"/>
          <w:szCs w:val="21"/>
        </w:rPr>
        <w:t xml:space="preserve"> </w:t>
      </w:r>
      <w:r w:rsidRPr="00C56E7B">
        <w:rPr>
          <w:rFonts w:ascii="Arial" w:hAnsi="Arial" w:cs="Arial" w:hint="eastAsia"/>
          <w:sz w:val="21"/>
          <w:szCs w:val="21"/>
        </w:rPr>
        <w:t>自</w:t>
      </w:r>
      <w:r w:rsidRPr="00C56E7B">
        <w:rPr>
          <w:rFonts w:ascii="Arial" w:hAnsi="Arial" w:cs="Arial" w:hint="eastAsia"/>
          <w:sz w:val="21"/>
          <w:szCs w:val="21"/>
        </w:rPr>
        <w:t>2016</w:t>
      </w:r>
      <w:r w:rsidRPr="00C56E7B">
        <w:rPr>
          <w:rFonts w:ascii="Arial" w:hAnsi="Arial" w:cs="Arial" w:hint="eastAsia"/>
          <w:sz w:val="21"/>
          <w:szCs w:val="21"/>
        </w:rPr>
        <w:t>年</w:t>
      </w:r>
      <w:r w:rsidRPr="00C56E7B">
        <w:rPr>
          <w:rFonts w:ascii="Arial" w:hAnsi="Arial" w:cs="Arial" w:hint="eastAsia"/>
          <w:sz w:val="21"/>
          <w:szCs w:val="21"/>
        </w:rPr>
        <w:t>12</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p>
    <w:p w14:paraId="0E57AA4F" w14:textId="77777777" w:rsidR="002D3E07" w:rsidRPr="00C56E7B" w:rsidRDefault="002D3E07" w:rsidP="002D3E07">
      <w:pPr>
        <w:wordWrap w:val="0"/>
        <w:overflowPunct w:val="0"/>
        <w:spacing w:line="480" w:lineRule="auto"/>
        <w:jc w:val="both"/>
        <w:rPr>
          <w:rFonts w:ascii="Arial" w:hAnsi="Arial" w:cs="Arial"/>
          <w:sz w:val="21"/>
          <w:szCs w:val="21"/>
        </w:rPr>
      </w:pPr>
      <w:r w:rsidRPr="00C56E7B">
        <w:rPr>
          <w:rFonts w:ascii="Arial" w:hAnsi="Arial" w:cs="Arial" w:hint="eastAsia"/>
          <w:sz w:val="21"/>
          <w:szCs w:val="21"/>
        </w:rPr>
        <w:t>4.</w:t>
      </w:r>
      <w:r w:rsidRPr="00C56E7B">
        <w:rPr>
          <w:rFonts w:ascii="Arial" w:hAnsi="Arial" w:cs="Arial" w:hint="eastAsia"/>
          <w:sz w:val="21"/>
          <w:szCs w:val="21"/>
        </w:rPr>
        <w:t>《中华人民共和国城镇国有土地使用权出让和转让暂行条例》（</w:t>
      </w:r>
      <w:r w:rsidRPr="00C56E7B">
        <w:rPr>
          <w:rFonts w:ascii="Arial" w:hAnsi="Arial" w:cs="Arial" w:hint="eastAsia"/>
          <w:sz w:val="21"/>
          <w:szCs w:val="21"/>
        </w:rPr>
        <w:t>1990</w:t>
      </w:r>
      <w:r w:rsidRPr="00C56E7B">
        <w:rPr>
          <w:rFonts w:ascii="Arial" w:hAnsi="Arial" w:cs="Arial" w:hint="eastAsia"/>
          <w:sz w:val="21"/>
          <w:szCs w:val="21"/>
        </w:rPr>
        <w:t>年</w:t>
      </w:r>
      <w:r w:rsidRPr="00C56E7B">
        <w:rPr>
          <w:rFonts w:ascii="Arial" w:hAnsi="Arial" w:cs="Arial" w:hint="eastAsia"/>
          <w:sz w:val="21"/>
          <w:szCs w:val="21"/>
        </w:rPr>
        <w:t>5</w:t>
      </w:r>
      <w:r w:rsidRPr="00C56E7B">
        <w:rPr>
          <w:rFonts w:ascii="Arial" w:hAnsi="Arial" w:cs="Arial" w:hint="eastAsia"/>
          <w:sz w:val="21"/>
          <w:szCs w:val="21"/>
        </w:rPr>
        <w:t>月</w:t>
      </w:r>
      <w:r w:rsidRPr="00C56E7B">
        <w:rPr>
          <w:rFonts w:ascii="Arial" w:hAnsi="Arial" w:cs="Arial" w:hint="eastAsia"/>
          <w:sz w:val="21"/>
          <w:szCs w:val="21"/>
        </w:rPr>
        <w:t>19</w:t>
      </w:r>
      <w:r w:rsidRPr="00C56E7B">
        <w:rPr>
          <w:rFonts w:ascii="Arial" w:hAnsi="Arial" w:cs="Arial" w:hint="eastAsia"/>
          <w:sz w:val="21"/>
          <w:szCs w:val="21"/>
        </w:rPr>
        <w:t>日中华人民共和国国务院令第</w:t>
      </w:r>
      <w:r w:rsidRPr="00C56E7B">
        <w:rPr>
          <w:rFonts w:ascii="Arial" w:hAnsi="Arial" w:cs="Arial" w:hint="eastAsia"/>
          <w:sz w:val="21"/>
          <w:szCs w:val="21"/>
        </w:rPr>
        <w:t>55</w:t>
      </w:r>
      <w:r w:rsidRPr="00C56E7B">
        <w:rPr>
          <w:rFonts w:ascii="Arial" w:hAnsi="Arial" w:cs="Arial" w:hint="eastAsia"/>
          <w:sz w:val="21"/>
          <w:szCs w:val="21"/>
        </w:rPr>
        <w:t>号发布</w:t>
      </w:r>
      <w:r w:rsidRPr="00C56E7B">
        <w:rPr>
          <w:rFonts w:ascii="Arial" w:hAnsi="Arial" w:cs="Arial" w:hint="eastAsia"/>
          <w:sz w:val="21"/>
          <w:szCs w:val="21"/>
        </w:rPr>
        <w:t xml:space="preserve"> </w:t>
      </w:r>
      <w:r w:rsidRPr="00C56E7B">
        <w:rPr>
          <w:rFonts w:ascii="Arial" w:hAnsi="Arial" w:cs="Arial" w:hint="eastAsia"/>
          <w:sz w:val="21"/>
          <w:szCs w:val="21"/>
        </w:rPr>
        <w:t>根据</w:t>
      </w:r>
      <w:r w:rsidRPr="00C56E7B">
        <w:rPr>
          <w:rFonts w:ascii="Arial" w:hAnsi="Arial" w:cs="Arial" w:hint="eastAsia"/>
          <w:sz w:val="21"/>
          <w:szCs w:val="21"/>
        </w:rPr>
        <w:t>2020</w:t>
      </w:r>
      <w:r w:rsidRPr="00C56E7B">
        <w:rPr>
          <w:rFonts w:ascii="Arial" w:hAnsi="Arial" w:cs="Arial" w:hint="eastAsia"/>
          <w:sz w:val="21"/>
          <w:szCs w:val="21"/>
        </w:rPr>
        <w:t>年</w:t>
      </w:r>
      <w:r w:rsidRPr="00C56E7B">
        <w:rPr>
          <w:rFonts w:ascii="Arial" w:hAnsi="Arial" w:cs="Arial" w:hint="eastAsia"/>
          <w:sz w:val="21"/>
          <w:szCs w:val="21"/>
        </w:rPr>
        <w:t>11</w:t>
      </w:r>
      <w:r w:rsidRPr="00C56E7B">
        <w:rPr>
          <w:rFonts w:ascii="Arial" w:hAnsi="Arial" w:cs="Arial" w:hint="eastAsia"/>
          <w:sz w:val="21"/>
          <w:szCs w:val="21"/>
        </w:rPr>
        <w:t>月</w:t>
      </w:r>
      <w:r w:rsidRPr="00C56E7B">
        <w:rPr>
          <w:rFonts w:ascii="Arial" w:hAnsi="Arial" w:cs="Arial" w:hint="eastAsia"/>
          <w:sz w:val="21"/>
          <w:szCs w:val="21"/>
        </w:rPr>
        <w:t>29</w:t>
      </w:r>
      <w:r w:rsidRPr="00C56E7B">
        <w:rPr>
          <w:rFonts w:ascii="Arial" w:hAnsi="Arial" w:cs="Arial" w:hint="eastAsia"/>
          <w:sz w:val="21"/>
          <w:szCs w:val="21"/>
        </w:rPr>
        <w:t>日《国务院关于修改和废止部分行政法规的决定》修订）</w:t>
      </w:r>
    </w:p>
    <w:p w14:paraId="542D52B1" w14:textId="77777777" w:rsidR="002D3E07" w:rsidRPr="00C56E7B" w:rsidRDefault="002D3E07" w:rsidP="002D3E07">
      <w:pPr>
        <w:wordWrap w:val="0"/>
        <w:overflowPunct w:val="0"/>
        <w:spacing w:line="480" w:lineRule="auto"/>
        <w:jc w:val="both"/>
        <w:rPr>
          <w:rFonts w:ascii="Arial" w:hAnsi="Arial" w:cs="Arial"/>
          <w:sz w:val="21"/>
          <w:szCs w:val="21"/>
        </w:rPr>
      </w:pPr>
      <w:r w:rsidRPr="00C56E7B">
        <w:rPr>
          <w:rFonts w:ascii="Arial" w:hAnsi="Arial" w:cs="Arial" w:hint="eastAsia"/>
          <w:sz w:val="21"/>
          <w:szCs w:val="21"/>
        </w:rPr>
        <w:t>5.</w:t>
      </w:r>
      <w:r w:rsidRPr="00C56E7B">
        <w:rPr>
          <w:rFonts w:ascii="Arial" w:hAnsi="Arial" w:cs="Arial" w:hint="eastAsia"/>
          <w:sz w:val="21"/>
          <w:szCs w:val="21"/>
        </w:rPr>
        <w:t>《中华人民共和国城市房地产管理法》（</w:t>
      </w:r>
      <w:r w:rsidRPr="00C56E7B">
        <w:rPr>
          <w:rFonts w:ascii="Arial" w:hAnsi="Arial" w:cs="Arial" w:hint="eastAsia"/>
          <w:sz w:val="21"/>
          <w:szCs w:val="21"/>
        </w:rPr>
        <w:t>1994</w:t>
      </w:r>
      <w:r w:rsidRPr="00C56E7B">
        <w:rPr>
          <w:rFonts w:ascii="Arial" w:hAnsi="Arial" w:cs="Arial" w:hint="eastAsia"/>
          <w:sz w:val="21"/>
          <w:szCs w:val="21"/>
        </w:rPr>
        <w:t>年</w:t>
      </w:r>
      <w:r w:rsidRPr="00C56E7B">
        <w:rPr>
          <w:rFonts w:ascii="Arial" w:hAnsi="Arial" w:cs="Arial" w:hint="eastAsia"/>
          <w:sz w:val="21"/>
          <w:szCs w:val="21"/>
        </w:rPr>
        <w:t>7</w:t>
      </w:r>
      <w:r w:rsidRPr="00C56E7B">
        <w:rPr>
          <w:rFonts w:ascii="Arial" w:hAnsi="Arial" w:cs="Arial" w:hint="eastAsia"/>
          <w:sz w:val="21"/>
          <w:szCs w:val="21"/>
        </w:rPr>
        <w:t>月</w:t>
      </w:r>
      <w:r w:rsidRPr="00C56E7B">
        <w:rPr>
          <w:rFonts w:ascii="Arial" w:hAnsi="Arial" w:cs="Arial" w:hint="eastAsia"/>
          <w:sz w:val="21"/>
          <w:szCs w:val="21"/>
        </w:rPr>
        <w:t>5</w:t>
      </w:r>
      <w:r w:rsidRPr="00C56E7B">
        <w:rPr>
          <w:rFonts w:ascii="Arial" w:hAnsi="Arial" w:cs="Arial" w:hint="eastAsia"/>
          <w:sz w:val="21"/>
          <w:szCs w:val="21"/>
        </w:rPr>
        <w:t>日第八届全国人民代表大会常务委员会第八次会议通过，中华人民共和国主席令第</w:t>
      </w:r>
      <w:r w:rsidRPr="00C56E7B">
        <w:rPr>
          <w:rFonts w:ascii="Arial" w:hAnsi="Arial" w:cs="Arial" w:hint="eastAsia"/>
          <w:sz w:val="21"/>
          <w:szCs w:val="21"/>
        </w:rPr>
        <w:t>29</w:t>
      </w:r>
      <w:r w:rsidRPr="00C56E7B">
        <w:rPr>
          <w:rFonts w:ascii="Arial" w:hAnsi="Arial" w:cs="Arial" w:hint="eastAsia"/>
          <w:sz w:val="21"/>
          <w:szCs w:val="21"/>
        </w:rPr>
        <w:t>号公布，自</w:t>
      </w:r>
      <w:r w:rsidRPr="00C56E7B">
        <w:rPr>
          <w:rFonts w:ascii="Arial" w:hAnsi="Arial" w:cs="Arial" w:hint="eastAsia"/>
          <w:sz w:val="21"/>
          <w:szCs w:val="21"/>
        </w:rPr>
        <w:t>1995</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r w:rsidRPr="00C56E7B">
        <w:rPr>
          <w:rFonts w:ascii="Arial" w:hAnsi="Arial" w:cs="Arial" w:hint="eastAsia"/>
          <w:sz w:val="21"/>
          <w:szCs w:val="21"/>
        </w:rPr>
        <w:t>2007</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30</w:t>
      </w:r>
      <w:r w:rsidRPr="00C56E7B">
        <w:rPr>
          <w:rFonts w:ascii="Arial" w:hAnsi="Arial" w:cs="Arial" w:hint="eastAsia"/>
          <w:sz w:val="21"/>
          <w:szCs w:val="21"/>
        </w:rPr>
        <w:t>日第十届全国人民代表大会常务委员会第二十九次会议通过第一次修正通过，中华人民共和国主席令第</w:t>
      </w:r>
      <w:r w:rsidRPr="00C56E7B">
        <w:rPr>
          <w:rFonts w:ascii="Arial" w:hAnsi="Arial" w:cs="Arial" w:hint="eastAsia"/>
          <w:sz w:val="21"/>
          <w:szCs w:val="21"/>
        </w:rPr>
        <w:t>72</w:t>
      </w:r>
      <w:r w:rsidRPr="00C56E7B">
        <w:rPr>
          <w:rFonts w:ascii="Arial" w:hAnsi="Arial" w:cs="Arial" w:hint="eastAsia"/>
          <w:sz w:val="21"/>
          <w:szCs w:val="21"/>
        </w:rPr>
        <w:t>号公布，自公布之日起施行；</w:t>
      </w:r>
      <w:r w:rsidRPr="00C56E7B">
        <w:rPr>
          <w:rFonts w:ascii="Arial" w:hAnsi="Arial" w:cs="Arial" w:hint="eastAsia"/>
          <w:sz w:val="21"/>
          <w:szCs w:val="21"/>
        </w:rPr>
        <w:t>2009</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27</w:t>
      </w:r>
      <w:r w:rsidRPr="00C56E7B">
        <w:rPr>
          <w:rFonts w:ascii="Arial" w:hAnsi="Arial" w:cs="Arial" w:hint="eastAsia"/>
          <w:sz w:val="21"/>
          <w:szCs w:val="21"/>
        </w:rPr>
        <w:t>日第十一届全国人民代表大会常务委员会第十次会议第二次修正通过，中华人民共和国主席令第</w:t>
      </w:r>
      <w:r w:rsidRPr="00C56E7B">
        <w:rPr>
          <w:rFonts w:ascii="Arial" w:hAnsi="Arial" w:cs="Arial" w:hint="eastAsia"/>
          <w:sz w:val="21"/>
          <w:szCs w:val="21"/>
        </w:rPr>
        <w:t>18</w:t>
      </w:r>
      <w:r w:rsidRPr="00C56E7B">
        <w:rPr>
          <w:rFonts w:ascii="Arial" w:hAnsi="Arial" w:cs="Arial" w:hint="eastAsia"/>
          <w:sz w:val="21"/>
          <w:szCs w:val="21"/>
        </w:rPr>
        <w:t>号公布，自公布之日起施行；</w:t>
      </w:r>
      <w:r w:rsidRPr="00C56E7B">
        <w:rPr>
          <w:rFonts w:ascii="Arial" w:hAnsi="Arial" w:cs="Arial" w:hint="eastAsia"/>
          <w:sz w:val="21"/>
          <w:szCs w:val="21"/>
        </w:rPr>
        <w:t>2019</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26</w:t>
      </w:r>
      <w:r w:rsidRPr="00C56E7B">
        <w:rPr>
          <w:rFonts w:ascii="Arial" w:hAnsi="Arial" w:cs="Arial" w:hint="eastAsia"/>
          <w:sz w:val="21"/>
          <w:szCs w:val="21"/>
        </w:rPr>
        <w:t>日</w:t>
      </w:r>
      <w:r w:rsidRPr="00C56E7B">
        <w:rPr>
          <w:rFonts w:ascii="Arial" w:hAnsi="Arial" w:cs="Arial" w:hint="eastAsia"/>
          <w:sz w:val="21"/>
          <w:szCs w:val="21"/>
        </w:rPr>
        <w:lastRenderedPageBreak/>
        <w:t>第十三届全国人大常委会第十二次会议通过第三次修正，自</w:t>
      </w:r>
      <w:r w:rsidRPr="00C56E7B">
        <w:rPr>
          <w:rFonts w:ascii="Arial" w:hAnsi="Arial" w:cs="Arial" w:hint="eastAsia"/>
          <w:sz w:val="21"/>
          <w:szCs w:val="21"/>
        </w:rPr>
        <w:t>2020</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p>
    <w:p w14:paraId="3E4B3250" w14:textId="77777777" w:rsidR="00D92BB7" w:rsidRDefault="00D92BB7" w:rsidP="00D92BB7">
      <w:pPr>
        <w:wordWrap w:val="0"/>
        <w:overflowPunct w:val="0"/>
        <w:spacing w:line="480" w:lineRule="auto"/>
        <w:jc w:val="both"/>
        <w:rPr>
          <w:rFonts w:ascii="Arial" w:hAnsi="Arial" w:cs="Arial"/>
          <w:sz w:val="21"/>
          <w:szCs w:val="21"/>
        </w:rPr>
      </w:pPr>
      <w:r>
        <w:rPr>
          <w:rFonts w:ascii="Arial" w:hAnsi="Arial" w:cs="Arial"/>
          <w:sz w:val="21"/>
          <w:szCs w:val="21"/>
        </w:rPr>
        <w:t>6.</w:t>
      </w:r>
      <w:r>
        <w:rPr>
          <w:rFonts w:ascii="Arial" w:hAnsi="Arial" w:cs="Arial" w:hint="eastAsia"/>
          <w:sz w:val="21"/>
          <w:szCs w:val="21"/>
        </w:rPr>
        <w:t>《关于完善住房租赁有关税收政策的公告》（财务部</w:t>
      </w:r>
      <w:r>
        <w:rPr>
          <w:rFonts w:ascii="Arial" w:hAnsi="Arial" w:cs="Arial"/>
          <w:sz w:val="21"/>
          <w:szCs w:val="21"/>
        </w:rPr>
        <w:t xml:space="preserve"> </w:t>
      </w:r>
      <w:r>
        <w:rPr>
          <w:rFonts w:ascii="Arial" w:hAnsi="Arial" w:cs="Arial" w:hint="eastAsia"/>
          <w:sz w:val="21"/>
          <w:szCs w:val="21"/>
        </w:rPr>
        <w:t>税务总局</w:t>
      </w:r>
      <w:r>
        <w:rPr>
          <w:rFonts w:ascii="Arial" w:hAnsi="Arial" w:cs="Arial"/>
          <w:sz w:val="21"/>
          <w:szCs w:val="21"/>
        </w:rPr>
        <w:t xml:space="preserve"> </w:t>
      </w:r>
      <w:r>
        <w:rPr>
          <w:rFonts w:ascii="Arial" w:hAnsi="Arial" w:cs="Arial" w:hint="eastAsia"/>
          <w:sz w:val="21"/>
          <w:szCs w:val="21"/>
        </w:rPr>
        <w:t>住房城乡建设部公告</w:t>
      </w:r>
      <w:r>
        <w:rPr>
          <w:rFonts w:ascii="Arial" w:hAnsi="Arial" w:cs="Arial"/>
          <w:sz w:val="21"/>
          <w:szCs w:val="21"/>
        </w:rPr>
        <w:t>2021</w:t>
      </w:r>
      <w:r>
        <w:rPr>
          <w:rFonts w:ascii="Arial" w:hAnsi="Arial" w:cs="Arial" w:hint="eastAsia"/>
          <w:sz w:val="21"/>
          <w:szCs w:val="21"/>
        </w:rPr>
        <w:t>年第</w:t>
      </w:r>
      <w:r>
        <w:rPr>
          <w:rFonts w:ascii="Arial" w:hAnsi="Arial" w:cs="Arial"/>
          <w:sz w:val="21"/>
          <w:szCs w:val="21"/>
        </w:rPr>
        <w:t>24</w:t>
      </w:r>
      <w:r>
        <w:rPr>
          <w:rFonts w:ascii="Arial" w:hAnsi="Arial" w:cs="Arial" w:hint="eastAsia"/>
          <w:sz w:val="21"/>
          <w:szCs w:val="21"/>
        </w:rPr>
        <w:t>号）</w:t>
      </w:r>
    </w:p>
    <w:p w14:paraId="65D5F7D5" w14:textId="77777777" w:rsidR="00BC03DC" w:rsidRPr="00890531" w:rsidRDefault="00D92BB7" w:rsidP="00BC03DC">
      <w:pPr>
        <w:wordWrap w:val="0"/>
        <w:overflowPunct w:val="0"/>
        <w:spacing w:line="480" w:lineRule="auto"/>
        <w:jc w:val="both"/>
        <w:rPr>
          <w:rFonts w:ascii="Arial" w:hAnsi="Arial" w:cs="Arial"/>
          <w:sz w:val="21"/>
          <w:szCs w:val="21"/>
        </w:rPr>
      </w:pPr>
      <w:r>
        <w:rPr>
          <w:rFonts w:ascii="Arial" w:hAnsi="Arial" w:cs="Arial"/>
          <w:sz w:val="21"/>
          <w:szCs w:val="21"/>
        </w:rPr>
        <w:t>7.</w:t>
      </w:r>
      <w:r w:rsidR="00BC03DC" w:rsidRPr="00890531">
        <w:rPr>
          <w:rFonts w:ascii="Arial" w:hAnsi="Arial" w:cs="Arial" w:hint="eastAsia"/>
          <w:sz w:val="21"/>
          <w:szCs w:val="21"/>
        </w:rPr>
        <w:t>《商品房屋租赁管理办法》</w:t>
      </w:r>
      <w:r w:rsidR="00294190">
        <w:rPr>
          <w:rFonts w:ascii="Arial" w:hAnsi="Arial" w:cs="Arial" w:hint="eastAsia"/>
          <w:sz w:val="21"/>
          <w:szCs w:val="21"/>
        </w:rPr>
        <w:t>（</w:t>
      </w:r>
      <w:r w:rsidR="00294190" w:rsidRPr="00294190">
        <w:rPr>
          <w:rFonts w:ascii="Arial" w:hAnsi="Arial" w:cs="Arial" w:hint="eastAsia"/>
          <w:sz w:val="21"/>
          <w:szCs w:val="21"/>
        </w:rPr>
        <w:t>2010</w:t>
      </w:r>
      <w:r w:rsidR="00294190" w:rsidRPr="00294190">
        <w:rPr>
          <w:rFonts w:ascii="Arial" w:hAnsi="Arial" w:cs="Arial" w:hint="eastAsia"/>
          <w:sz w:val="21"/>
          <w:szCs w:val="21"/>
        </w:rPr>
        <w:t>年</w:t>
      </w:r>
      <w:r w:rsidR="00294190" w:rsidRPr="00294190">
        <w:rPr>
          <w:rFonts w:ascii="Arial" w:hAnsi="Arial" w:cs="Arial" w:hint="eastAsia"/>
          <w:sz w:val="21"/>
          <w:szCs w:val="21"/>
        </w:rPr>
        <w:t>12</w:t>
      </w:r>
      <w:r w:rsidR="00294190" w:rsidRPr="00294190">
        <w:rPr>
          <w:rFonts w:ascii="Arial" w:hAnsi="Arial" w:cs="Arial" w:hint="eastAsia"/>
          <w:sz w:val="21"/>
          <w:szCs w:val="21"/>
        </w:rPr>
        <w:t>月</w:t>
      </w:r>
      <w:r w:rsidR="00294190" w:rsidRPr="00294190">
        <w:rPr>
          <w:rFonts w:ascii="Arial" w:hAnsi="Arial" w:cs="Arial" w:hint="eastAsia"/>
          <w:sz w:val="21"/>
          <w:szCs w:val="21"/>
        </w:rPr>
        <w:t>1</w:t>
      </w:r>
      <w:r w:rsidR="00294190" w:rsidRPr="00294190">
        <w:rPr>
          <w:rFonts w:ascii="Arial" w:hAnsi="Arial" w:cs="Arial" w:hint="eastAsia"/>
          <w:sz w:val="21"/>
          <w:szCs w:val="21"/>
        </w:rPr>
        <w:t>日中华人民共和国住房和城乡建设部令第</w:t>
      </w:r>
      <w:r w:rsidR="00294190" w:rsidRPr="00294190">
        <w:rPr>
          <w:rFonts w:ascii="Arial" w:hAnsi="Arial" w:cs="Arial" w:hint="eastAsia"/>
          <w:sz w:val="21"/>
          <w:szCs w:val="21"/>
        </w:rPr>
        <w:t>6</w:t>
      </w:r>
      <w:r w:rsidR="00294190" w:rsidRPr="00294190">
        <w:rPr>
          <w:rFonts w:ascii="Arial" w:hAnsi="Arial" w:cs="Arial" w:hint="eastAsia"/>
          <w:sz w:val="21"/>
          <w:szCs w:val="21"/>
        </w:rPr>
        <w:t>号</w:t>
      </w:r>
      <w:r w:rsidR="00294190">
        <w:rPr>
          <w:rFonts w:ascii="Arial" w:hAnsi="Arial" w:cs="Arial" w:hint="eastAsia"/>
          <w:sz w:val="21"/>
          <w:szCs w:val="21"/>
        </w:rPr>
        <w:t>）</w:t>
      </w:r>
    </w:p>
    <w:p w14:paraId="5C919F3D" w14:textId="3D616FA8" w:rsidR="00D92BB7" w:rsidRPr="002D3E07" w:rsidRDefault="00BC03DC" w:rsidP="00BC03DC">
      <w:pPr>
        <w:wordWrap w:val="0"/>
        <w:overflowPunct w:val="0"/>
        <w:spacing w:line="480" w:lineRule="auto"/>
        <w:jc w:val="both"/>
        <w:rPr>
          <w:rFonts w:ascii="Arial" w:hAnsi="Arial" w:cs="Arial"/>
          <w:sz w:val="21"/>
          <w:szCs w:val="21"/>
        </w:rPr>
      </w:pPr>
      <w:r w:rsidRPr="00890531">
        <w:rPr>
          <w:rFonts w:ascii="Arial" w:hAnsi="Arial" w:cs="Arial" w:hint="eastAsia"/>
          <w:sz w:val="21"/>
          <w:szCs w:val="21"/>
        </w:rPr>
        <w:t>8</w:t>
      </w:r>
      <w:r w:rsidRPr="00890531">
        <w:rPr>
          <w:rFonts w:ascii="Arial" w:hAnsi="Arial" w:cs="Arial"/>
          <w:sz w:val="21"/>
          <w:szCs w:val="21"/>
        </w:rPr>
        <w:t>.</w:t>
      </w:r>
      <w:r w:rsidR="002D3E07" w:rsidRPr="002D3E07">
        <w:rPr>
          <w:rFonts w:ascii="Arial" w:hAnsi="Arial" w:cs="Arial" w:hint="eastAsia"/>
          <w:sz w:val="21"/>
          <w:szCs w:val="21"/>
        </w:rPr>
        <w:t>《住房租赁条例》（</w:t>
      </w:r>
      <w:r w:rsidR="002D3E07" w:rsidRPr="002D3E07">
        <w:rPr>
          <w:rFonts w:ascii="Arial" w:hAnsi="Arial" w:cs="Arial" w:hint="eastAsia"/>
          <w:sz w:val="21"/>
          <w:szCs w:val="21"/>
        </w:rPr>
        <w:t>2025</w:t>
      </w:r>
      <w:r w:rsidR="002D3E07" w:rsidRPr="002D3E07">
        <w:rPr>
          <w:rFonts w:ascii="Arial" w:hAnsi="Arial" w:cs="Arial" w:hint="eastAsia"/>
          <w:sz w:val="21"/>
          <w:szCs w:val="21"/>
        </w:rPr>
        <w:t>年</w:t>
      </w:r>
      <w:r w:rsidR="002D3E07" w:rsidRPr="002D3E07">
        <w:rPr>
          <w:rFonts w:ascii="Arial" w:hAnsi="Arial" w:cs="Arial" w:hint="eastAsia"/>
          <w:sz w:val="21"/>
          <w:szCs w:val="21"/>
        </w:rPr>
        <w:t>7</w:t>
      </w:r>
      <w:r w:rsidR="002D3E07" w:rsidRPr="002D3E07">
        <w:rPr>
          <w:rFonts w:ascii="Arial" w:hAnsi="Arial" w:cs="Arial" w:hint="eastAsia"/>
          <w:sz w:val="21"/>
          <w:szCs w:val="21"/>
        </w:rPr>
        <w:t>月</w:t>
      </w:r>
      <w:r w:rsidR="002D3E07" w:rsidRPr="002D3E07">
        <w:rPr>
          <w:rFonts w:ascii="Arial" w:hAnsi="Arial" w:cs="Arial" w:hint="eastAsia"/>
          <w:sz w:val="21"/>
          <w:szCs w:val="21"/>
        </w:rPr>
        <w:t>16</w:t>
      </w:r>
      <w:r w:rsidR="002D3E07" w:rsidRPr="002D3E07">
        <w:rPr>
          <w:rFonts w:ascii="Arial" w:hAnsi="Arial" w:cs="Arial" w:hint="eastAsia"/>
          <w:sz w:val="21"/>
          <w:szCs w:val="21"/>
        </w:rPr>
        <w:t>日中华人民共和国国务院令第</w:t>
      </w:r>
      <w:r w:rsidR="002D3E07" w:rsidRPr="002D3E07">
        <w:rPr>
          <w:rFonts w:ascii="Arial" w:hAnsi="Arial" w:cs="Arial" w:hint="eastAsia"/>
          <w:sz w:val="21"/>
          <w:szCs w:val="21"/>
        </w:rPr>
        <w:t>812</w:t>
      </w:r>
      <w:r w:rsidR="002D3E07" w:rsidRPr="002D3E07">
        <w:rPr>
          <w:rFonts w:ascii="Arial" w:hAnsi="Arial" w:cs="Arial" w:hint="eastAsia"/>
          <w:sz w:val="21"/>
          <w:szCs w:val="21"/>
        </w:rPr>
        <w:t>号公布，自</w:t>
      </w:r>
      <w:r w:rsidR="002D3E07" w:rsidRPr="002D3E07">
        <w:rPr>
          <w:rFonts w:ascii="Arial" w:hAnsi="Arial" w:cs="Arial" w:hint="eastAsia"/>
          <w:sz w:val="21"/>
          <w:szCs w:val="21"/>
        </w:rPr>
        <w:t>2025</w:t>
      </w:r>
      <w:r w:rsidR="002D3E07" w:rsidRPr="002D3E07">
        <w:rPr>
          <w:rFonts w:ascii="Arial" w:hAnsi="Arial" w:cs="Arial" w:hint="eastAsia"/>
          <w:sz w:val="21"/>
          <w:szCs w:val="21"/>
        </w:rPr>
        <w:t>年</w:t>
      </w:r>
      <w:r w:rsidR="002D3E07" w:rsidRPr="002D3E07">
        <w:rPr>
          <w:rFonts w:ascii="Arial" w:hAnsi="Arial" w:cs="Arial" w:hint="eastAsia"/>
          <w:sz w:val="21"/>
          <w:szCs w:val="21"/>
        </w:rPr>
        <w:t>9</w:t>
      </w:r>
      <w:r w:rsidR="002D3E07" w:rsidRPr="002D3E07">
        <w:rPr>
          <w:rFonts w:ascii="Arial" w:hAnsi="Arial" w:cs="Arial" w:hint="eastAsia"/>
          <w:sz w:val="21"/>
          <w:szCs w:val="21"/>
        </w:rPr>
        <w:t>月</w:t>
      </w:r>
      <w:r w:rsidR="002D3E07" w:rsidRPr="002D3E07">
        <w:rPr>
          <w:rFonts w:ascii="Arial" w:hAnsi="Arial" w:cs="Arial" w:hint="eastAsia"/>
          <w:sz w:val="21"/>
          <w:szCs w:val="21"/>
        </w:rPr>
        <w:t>15</w:t>
      </w:r>
      <w:r w:rsidR="002D3E07" w:rsidRPr="002D3E07">
        <w:rPr>
          <w:rFonts w:ascii="Arial" w:hAnsi="Arial" w:cs="Arial" w:hint="eastAsia"/>
          <w:sz w:val="21"/>
          <w:szCs w:val="21"/>
        </w:rPr>
        <w:t>日起施行）</w:t>
      </w:r>
    </w:p>
    <w:p w14:paraId="5996C079" w14:textId="77777777" w:rsidR="00AF6F34" w:rsidRDefault="00AF6F34">
      <w:pPr>
        <w:overflowPunct w:val="0"/>
        <w:spacing w:line="480" w:lineRule="auto"/>
        <w:jc w:val="both"/>
        <w:textAlignment w:val="auto"/>
      </w:pPr>
      <w:r>
        <w:rPr>
          <w:rFonts w:ascii="Arial" w:hAnsi="Arial" w:cs="Arial"/>
          <w:b/>
          <w:sz w:val="21"/>
          <w:szCs w:val="21"/>
        </w:rPr>
        <w:t>（</w:t>
      </w:r>
      <w:r>
        <w:rPr>
          <w:rFonts w:ascii="Arial" w:hAnsi="Arial" w:cs="Arial" w:hint="eastAsia"/>
          <w:b/>
          <w:sz w:val="21"/>
          <w:szCs w:val="21"/>
        </w:rPr>
        <w:t>二</w:t>
      </w:r>
      <w:r>
        <w:rPr>
          <w:rFonts w:ascii="Arial" w:hAnsi="Arial" w:cs="Arial"/>
          <w:b/>
          <w:sz w:val="21"/>
          <w:szCs w:val="21"/>
        </w:rPr>
        <w:t>）</w:t>
      </w:r>
      <w:r>
        <w:rPr>
          <w:rFonts w:ascii="Arial" w:hAnsi="Arial" w:cs="Arial" w:hint="eastAsia"/>
          <w:b/>
          <w:sz w:val="21"/>
          <w:szCs w:val="21"/>
        </w:rPr>
        <w:t>技术标准</w:t>
      </w:r>
    </w:p>
    <w:p w14:paraId="0762CF95" w14:textId="77777777" w:rsidR="00AF6F34" w:rsidRPr="002F6ADB" w:rsidRDefault="002F6ADB" w:rsidP="002F6ADB">
      <w:pPr>
        <w:wordWrap w:val="0"/>
        <w:overflowPunct w:val="0"/>
        <w:spacing w:line="480" w:lineRule="auto"/>
        <w:jc w:val="both"/>
        <w:rPr>
          <w:rFonts w:ascii="Arial" w:hAnsi="Arial" w:cs="Arial"/>
          <w:sz w:val="21"/>
          <w:szCs w:val="21"/>
        </w:rPr>
      </w:pPr>
      <w:r>
        <w:rPr>
          <w:rFonts w:ascii="Arial" w:hAnsi="Arial" w:cs="Arial" w:hint="eastAsia"/>
          <w:sz w:val="21"/>
          <w:szCs w:val="21"/>
        </w:rPr>
        <w:t>1</w:t>
      </w:r>
      <w:r>
        <w:rPr>
          <w:rFonts w:ascii="Arial" w:hAnsi="Arial" w:cs="Arial"/>
          <w:sz w:val="21"/>
          <w:szCs w:val="21"/>
        </w:rPr>
        <w:t>.</w:t>
      </w:r>
      <w:r w:rsidR="00AF6F34">
        <w:rPr>
          <w:rFonts w:ascii="Arial" w:hAnsi="Arial" w:cs="Arial"/>
          <w:sz w:val="21"/>
          <w:szCs w:val="21"/>
        </w:rPr>
        <w:t>《房地产估价规范》</w:t>
      </w:r>
      <w:r w:rsidR="00AF6F34">
        <w:rPr>
          <w:rFonts w:ascii="Arial" w:hAnsi="Arial" w:cs="Arial"/>
          <w:sz w:val="21"/>
          <w:szCs w:val="21"/>
        </w:rPr>
        <w:t>[GB/T</w:t>
      </w:r>
      <w:r w:rsidR="00AF6F34">
        <w:rPr>
          <w:rFonts w:ascii="Arial" w:hAnsi="Arial" w:cs="Arial" w:hint="eastAsia"/>
          <w:sz w:val="21"/>
          <w:szCs w:val="21"/>
        </w:rPr>
        <w:t xml:space="preserve"> </w:t>
      </w:r>
      <w:r w:rsidR="00AF6F34">
        <w:rPr>
          <w:rFonts w:ascii="Arial" w:hAnsi="Arial" w:cs="Arial"/>
          <w:sz w:val="21"/>
          <w:szCs w:val="21"/>
        </w:rPr>
        <w:t>50291-2015]</w:t>
      </w:r>
    </w:p>
    <w:p w14:paraId="74C230A3" w14:textId="77777777" w:rsidR="00AF6F34" w:rsidRPr="002F6ADB" w:rsidRDefault="002F6ADB" w:rsidP="002F6ADB">
      <w:pPr>
        <w:wordWrap w:val="0"/>
        <w:overflowPunct w:val="0"/>
        <w:spacing w:line="480" w:lineRule="auto"/>
        <w:jc w:val="both"/>
        <w:rPr>
          <w:rFonts w:ascii="Arial" w:hAnsi="Arial" w:cs="Arial"/>
          <w:sz w:val="21"/>
          <w:szCs w:val="21"/>
        </w:rPr>
      </w:pPr>
      <w:r>
        <w:rPr>
          <w:rFonts w:ascii="Arial" w:hAnsi="Arial" w:cs="Arial" w:hint="eastAsia"/>
          <w:sz w:val="21"/>
          <w:szCs w:val="21"/>
        </w:rPr>
        <w:t>2</w:t>
      </w:r>
      <w:r>
        <w:rPr>
          <w:rFonts w:ascii="Arial" w:hAnsi="Arial" w:cs="Arial"/>
          <w:sz w:val="21"/>
          <w:szCs w:val="21"/>
        </w:rPr>
        <w:t>.</w:t>
      </w:r>
      <w:r w:rsidR="00AF6F34">
        <w:rPr>
          <w:rFonts w:ascii="Arial" w:hAnsi="Arial" w:cs="Arial" w:hint="eastAsia"/>
          <w:sz w:val="21"/>
          <w:szCs w:val="21"/>
        </w:rPr>
        <w:t>《</w:t>
      </w:r>
      <w:r w:rsidR="00AF6F34">
        <w:rPr>
          <w:rFonts w:ascii="Arial" w:hAnsi="Arial" w:cs="Arial"/>
          <w:sz w:val="21"/>
          <w:szCs w:val="21"/>
        </w:rPr>
        <w:t>房地产估价基本术语标</w:t>
      </w:r>
      <w:r w:rsidR="00AF6F34">
        <w:rPr>
          <w:rFonts w:ascii="Arial" w:hAnsi="Arial" w:cs="Arial" w:hint="eastAsia"/>
          <w:sz w:val="21"/>
          <w:szCs w:val="21"/>
        </w:rPr>
        <w:t>准》</w:t>
      </w:r>
      <w:r w:rsidR="00AF6F34">
        <w:rPr>
          <w:rFonts w:ascii="Arial" w:hAnsi="Arial" w:cs="Arial"/>
          <w:sz w:val="21"/>
          <w:szCs w:val="21"/>
        </w:rPr>
        <w:t>[GB/T</w:t>
      </w:r>
      <w:r w:rsidR="00AF6F34">
        <w:rPr>
          <w:rFonts w:ascii="Arial" w:hAnsi="Arial" w:cs="Arial" w:hint="eastAsia"/>
          <w:sz w:val="21"/>
          <w:szCs w:val="21"/>
        </w:rPr>
        <w:t xml:space="preserve"> </w:t>
      </w:r>
      <w:r w:rsidR="00AF6F34">
        <w:rPr>
          <w:rFonts w:ascii="Arial" w:hAnsi="Arial" w:cs="Arial"/>
          <w:sz w:val="21"/>
          <w:szCs w:val="21"/>
        </w:rPr>
        <w:t>50899-2013]</w:t>
      </w:r>
    </w:p>
    <w:p w14:paraId="58D0CF2E" w14:textId="77777777" w:rsidR="00AF6F34" w:rsidRDefault="00AF6F34" w:rsidP="002F6ADB">
      <w:pPr>
        <w:numPr>
          <w:ilvl w:val="0"/>
          <w:numId w:val="14"/>
        </w:numPr>
        <w:overflowPunct w:val="0"/>
        <w:spacing w:line="480" w:lineRule="auto"/>
        <w:jc w:val="both"/>
        <w:textAlignment w:val="auto"/>
      </w:pPr>
      <w:r>
        <w:rPr>
          <w:rFonts w:ascii="Arial" w:hAnsi="Arial" w:cs="Arial"/>
          <w:b/>
          <w:sz w:val="21"/>
          <w:szCs w:val="21"/>
        </w:rPr>
        <w:t>估价委托人提供的资料</w:t>
      </w:r>
    </w:p>
    <w:p w14:paraId="5DA8FC30" w14:textId="77777777" w:rsidR="00AF6F34" w:rsidRPr="002F6ADB" w:rsidRDefault="002F6ADB" w:rsidP="002D3E07">
      <w:pPr>
        <w:wordWrap w:val="0"/>
        <w:overflowPunct w:val="0"/>
        <w:spacing w:line="480" w:lineRule="auto"/>
        <w:jc w:val="both"/>
        <w:rPr>
          <w:rFonts w:ascii="Arial" w:hAnsi="Arial" w:cs="Arial"/>
          <w:sz w:val="21"/>
          <w:szCs w:val="21"/>
        </w:rPr>
      </w:pPr>
      <w:r>
        <w:rPr>
          <w:rFonts w:ascii="Arial" w:hAnsi="Arial" w:cs="Arial" w:hint="eastAsia"/>
          <w:sz w:val="21"/>
          <w:szCs w:val="21"/>
        </w:rPr>
        <w:t>1</w:t>
      </w:r>
      <w:r>
        <w:rPr>
          <w:rFonts w:ascii="Arial" w:hAnsi="Arial" w:cs="Arial"/>
          <w:sz w:val="21"/>
          <w:szCs w:val="21"/>
        </w:rPr>
        <w:t>.</w:t>
      </w:r>
      <w:r w:rsidR="00AF6F34">
        <w:rPr>
          <w:rFonts w:ascii="Arial" w:hAnsi="Arial" w:cs="Arial" w:hint="eastAsia"/>
          <w:sz w:val="21"/>
          <w:szCs w:val="21"/>
        </w:rPr>
        <w:t>《估价委托书》</w:t>
      </w:r>
    </w:p>
    <w:p w14:paraId="36DFAD88" w14:textId="77777777" w:rsidR="00AF6F34" w:rsidRPr="002F6ADB" w:rsidRDefault="002F6ADB" w:rsidP="002D3E07">
      <w:pPr>
        <w:wordWrap w:val="0"/>
        <w:overflowPunct w:val="0"/>
        <w:spacing w:line="480" w:lineRule="auto"/>
        <w:jc w:val="both"/>
        <w:rPr>
          <w:rFonts w:ascii="Arial" w:hAnsi="Arial" w:cs="Arial"/>
          <w:sz w:val="21"/>
          <w:szCs w:val="21"/>
        </w:rPr>
      </w:pPr>
      <w:r>
        <w:rPr>
          <w:rFonts w:ascii="Arial" w:hAnsi="Arial" w:cs="Arial" w:hint="eastAsia"/>
          <w:sz w:val="21"/>
          <w:szCs w:val="21"/>
        </w:rPr>
        <w:t>2</w:t>
      </w:r>
      <w:r>
        <w:rPr>
          <w:rFonts w:ascii="Arial" w:hAnsi="Arial" w:cs="Arial"/>
          <w:sz w:val="21"/>
          <w:szCs w:val="21"/>
        </w:rPr>
        <w:t>.</w:t>
      </w:r>
      <w:r w:rsidR="00B01A7B">
        <w:rPr>
          <w:rFonts w:ascii="Arial" w:hAnsi="Arial" w:cs="Arial" w:hint="eastAsia"/>
          <w:sz w:val="21"/>
          <w:szCs w:val="21"/>
        </w:rPr>
        <w:t>《房屋所有权证》</w:t>
      </w:r>
      <w:r w:rsidR="00B01A7B">
        <w:rPr>
          <w:rFonts w:ascii="Arial" w:hAnsi="Arial" w:cs="Arial" w:hint="eastAsia"/>
          <w:sz w:val="21"/>
          <w:szCs w:val="21"/>
        </w:rPr>
        <w:t>[X</w:t>
      </w:r>
      <w:r w:rsidR="00B01A7B">
        <w:rPr>
          <w:rFonts w:ascii="Arial" w:hAnsi="Arial" w:cs="Arial" w:hint="eastAsia"/>
          <w:sz w:val="21"/>
          <w:szCs w:val="21"/>
        </w:rPr>
        <w:t>京房权证开字第</w:t>
      </w:r>
      <w:r w:rsidR="00B01A7B">
        <w:rPr>
          <w:rFonts w:ascii="Arial" w:hAnsi="Arial" w:cs="Arial" w:hint="eastAsia"/>
          <w:sz w:val="21"/>
          <w:szCs w:val="21"/>
        </w:rPr>
        <w:t>034346</w:t>
      </w:r>
      <w:r w:rsidR="00B01A7B">
        <w:rPr>
          <w:rFonts w:ascii="Arial" w:hAnsi="Arial" w:cs="Arial" w:hint="eastAsia"/>
          <w:sz w:val="21"/>
          <w:szCs w:val="21"/>
        </w:rPr>
        <w:t>、</w:t>
      </w:r>
      <w:r w:rsidR="00B01A7B">
        <w:rPr>
          <w:rFonts w:ascii="Arial" w:hAnsi="Arial" w:cs="Arial" w:hint="eastAsia"/>
          <w:sz w:val="21"/>
          <w:szCs w:val="21"/>
        </w:rPr>
        <w:t>034198</w:t>
      </w:r>
      <w:r w:rsidR="00B01A7B">
        <w:rPr>
          <w:rFonts w:ascii="Arial" w:hAnsi="Arial" w:cs="Arial" w:hint="eastAsia"/>
          <w:sz w:val="21"/>
          <w:szCs w:val="21"/>
        </w:rPr>
        <w:t>、</w:t>
      </w:r>
      <w:r w:rsidR="00B01A7B">
        <w:rPr>
          <w:rFonts w:ascii="Arial" w:hAnsi="Arial" w:cs="Arial" w:hint="eastAsia"/>
          <w:sz w:val="21"/>
          <w:szCs w:val="21"/>
        </w:rPr>
        <w:t>034354</w:t>
      </w:r>
      <w:r w:rsidR="00B01A7B">
        <w:rPr>
          <w:rFonts w:ascii="Arial" w:hAnsi="Arial" w:cs="Arial" w:hint="eastAsia"/>
          <w:sz w:val="21"/>
          <w:szCs w:val="21"/>
        </w:rPr>
        <w:t>、</w:t>
      </w:r>
      <w:r w:rsidR="00B01A7B">
        <w:rPr>
          <w:rFonts w:ascii="Arial" w:hAnsi="Arial" w:cs="Arial" w:hint="eastAsia"/>
          <w:sz w:val="21"/>
          <w:szCs w:val="21"/>
        </w:rPr>
        <w:t>034348</w:t>
      </w:r>
      <w:r w:rsidR="00B01A7B">
        <w:rPr>
          <w:rFonts w:ascii="Arial" w:hAnsi="Arial" w:cs="Arial" w:hint="eastAsia"/>
          <w:sz w:val="21"/>
          <w:szCs w:val="21"/>
        </w:rPr>
        <w:t>、</w:t>
      </w:r>
      <w:r w:rsidR="00B01A7B">
        <w:rPr>
          <w:rFonts w:ascii="Arial" w:hAnsi="Arial" w:cs="Arial" w:hint="eastAsia"/>
          <w:sz w:val="21"/>
          <w:szCs w:val="21"/>
        </w:rPr>
        <w:t>034199</w:t>
      </w:r>
      <w:r w:rsidR="00B01A7B">
        <w:rPr>
          <w:rFonts w:ascii="Arial" w:hAnsi="Arial" w:cs="Arial" w:hint="eastAsia"/>
          <w:sz w:val="21"/>
          <w:szCs w:val="21"/>
        </w:rPr>
        <w:t>、</w:t>
      </w:r>
      <w:r w:rsidR="00B01A7B">
        <w:rPr>
          <w:rFonts w:ascii="Arial" w:hAnsi="Arial" w:cs="Arial" w:hint="eastAsia"/>
          <w:sz w:val="21"/>
          <w:szCs w:val="21"/>
        </w:rPr>
        <w:t>034680</w:t>
      </w:r>
      <w:r w:rsidR="00B01A7B">
        <w:rPr>
          <w:rFonts w:ascii="Arial" w:hAnsi="Arial" w:cs="Arial" w:hint="eastAsia"/>
          <w:sz w:val="21"/>
          <w:szCs w:val="21"/>
        </w:rPr>
        <w:t>、</w:t>
      </w:r>
      <w:r w:rsidR="00B01A7B">
        <w:rPr>
          <w:rFonts w:ascii="Arial" w:hAnsi="Arial" w:cs="Arial" w:hint="eastAsia"/>
          <w:sz w:val="21"/>
          <w:szCs w:val="21"/>
        </w:rPr>
        <w:t>034671</w:t>
      </w:r>
      <w:r w:rsidR="00B01A7B">
        <w:rPr>
          <w:rFonts w:ascii="Arial" w:hAnsi="Arial" w:cs="Arial" w:hint="eastAsia"/>
          <w:sz w:val="21"/>
          <w:szCs w:val="21"/>
        </w:rPr>
        <w:t>号</w:t>
      </w:r>
      <w:r w:rsidR="00B01A7B">
        <w:rPr>
          <w:rFonts w:ascii="Arial" w:hAnsi="Arial" w:cs="Arial" w:hint="eastAsia"/>
          <w:sz w:val="21"/>
          <w:szCs w:val="21"/>
        </w:rPr>
        <w:t>]</w:t>
      </w:r>
      <w:r w:rsidR="00B01A7B">
        <w:rPr>
          <w:rFonts w:ascii="Arial" w:hAnsi="Arial" w:cs="Arial" w:hint="eastAsia"/>
          <w:sz w:val="21"/>
          <w:szCs w:val="21"/>
        </w:rPr>
        <w:t>复印件</w:t>
      </w:r>
    </w:p>
    <w:p w14:paraId="3E110A0E" w14:textId="77777777" w:rsidR="00AF6F34" w:rsidRPr="002F6ADB" w:rsidRDefault="002F6ADB" w:rsidP="002D3E07">
      <w:pPr>
        <w:wordWrap w:val="0"/>
        <w:overflowPunct w:val="0"/>
        <w:spacing w:line="480" w:lineRule="auto"/>
        <w:jc w:val="both"/>
        <w:rPr>
          <w:rFonts w:ascii="Arial" w:hAnsi="Arial" w:cs="Arial"/>
          <w:sz w:val="21"/>
          <w:szCs w:val="21"/>
        </w:rPr>
      </w:pPr>
      <w:r>
        <w:rPr>
          <w:rFonts w:ascii="Arial" w:hAnsi="Arial" w:cs="Arial" w:hint="eastAsia"/>
          <w:sz w:val="21"/>
          <w:szCs w:val="21"/>
        </w:rPr>
        <w:t>3</w:t>
      </w:r>
      <w:r>
        <w:rPr>
          <w:rFonts w:ascii="Arial" w:hAnsi="Arial" w:cs="Arial"/>
          <w:sz w:val="21"/>
          <w:szCs w:val="21"/>
        </w:rPr>
        <w:t>.</w:t>
      </w:r>
      <w:r w:rsidR="00AF6F34">
        <w:rPr>
          <w:rFonts w:ascii="Arial" w:hAnsi="Arial" w:cs="Arial" w:hint="eastAsia"/>
          <w:sz w:val="21"/>
          <w:szCs w:val="21"/>
        </w:rPr>
        <w:t>《南海家园房源表》</w:t>
      </w:r>
      <w:r w:rsidR="00AF6F34">
        <w:rPr>
          <w:rFonts w:ascii="Arial" w:hAnsi="Arial" w:cs="Arial"/>
          <w:sz w:val="21"/>
          <w:szCs w:val="21"/>
        </w:rPr>
        <w:t>复印件</w:t>
      </w:r>
    </w:p>
    <w:p w14:paraId="2EBB9826" w14:textId="77777777" w:rsidR="007E31FC" w:rsidRPr="007E31FC" w:rsidRDefault="002F6ADB" w:rsidP="002D3E07">
      <w:pPr>
        <w:wordWrap w:val="0"/>
        <w:overflowPunct w:val="0"/>
        <w:spacing w:line="480" w:lineRule="auto"/>
        <w:jc w:val="both"/>
        <w:rPr>
          <w:rFonts w:ascii="Arial" w:hAnsi="Arial" w:cs="Arial"/>
          <w:sz w:val="21"/>
          <w:szCs w:val="21"/>
        </w:rPr>
      </w:pPr>
      <w:r>
        <w:rPr>
          <w:rFonts w:ascii="Arial" w:hAnsi="Arial" w:cs="Arial" w:hint="eastAsia"/>
          <w:sz w:val="21"/>
          <w:szCs w:val="21"/>
        </w:rPr>
        <w:t>4</w:t>
      </w:r>
      <w:r>
        <w:rPr>
          <w:rFonts w:ascii="Arial" w:hAnsi="Arial" w:cs="Arial"/>
          <w:sz w:val="21"/>
          <w:szCs w:val="21"/>
        </w:rPr>
        <w:t>.</w:t>
      </w:r>
      <w:r w:rsidR="007E31FC">
        <w:rPr>
          <w:rFonts w:ascii="Arial" w:hAnsi="Arial" w:cs="Arial"/>
          <w:sz w:val="21"/>
          <w:szCs w:val="21"/>
        </w:rPr>
        <w:t>《</w:t>
      </w:r>
      <w:r w:rsidR="007E31FC" w:rsidRPr="007E31FC">
        <w:rPr>
          <w:rFonts w:ascii="Arial" w:hAnsi="Arial" w:cs="Arial" w:hint="eastAsia"/>
          <w:sz w:val="21"/>
          <w:szCs w:val="21"/>
        </w:rPr>
        <w:t>南海家园项目房屋附属家具、电器及其他设备设施状况</w:t>
      </w:r>
      <w:r w:rsidR="007E31FC" w:rsidRPr="007E31FC">
        <w:rPr>
          <w:rFonts w:ascii="Arial" w:hAnsi="Arial" w:cs="Arial"/>
          <w:sz w:val="21"/>
          <w:szCs w:val="21"/>
        </w:rPr>
        <w:t>》</w:t>
      </w:r>
      <w:r w:rsidR="007E31FC">
        <w:rPr>
          <w:rFonts w:ascii="Arial" w:hAnsi="Arial" w:cs="Arial"/>
          <w:sz w:val="21"/>
          <w:szCs w:val="21"/>
        </w:rPr>
        <w:t>复印件</w:t>
      </w:r>
    </w:p>
    <w:p w14:paraId="6DC8B435" w14:textId="77777777" w:rsidR="007E31FC" w:rsidRPr="002D3E07" w:rsidRDefault="007E31FC" w:rsidP="002D3E07">
      <w:pPr>
        <w:wordWrap w:val="0"/>
        <w:overflowPunct w:val="0"/>
        <w:spacing w:line="480" w:lineRule="auto"/>
        <w:jc w:val="both"/>
        <w:rPr>
          <w:rFonts w:ascii="Arial" w:hAnsi="Arial" w:cs="Arial"/>
          <w:sz w:val="21"/>
          <w:szCs w:val="21"/>
        </w:rPr>
      </w:pPr>
      <w:r>
        <w:rPr>
          <w:rFonts w:ascii="Arial" w:hAnsi="Arial" w:cs="Arial" w:hint="eastAsia"/>
          <w:sz w:val="21"/>
          <w:szCs w:val="21"/>
        </w:rPr>
        <w:t>5</w:t>
      </w:r>
      <w:r>
        <w:rPr>
          <w:rFonts w:ascii="Arial" w:hAnsi="Arial" w:cs="Arial"/>
          <w:sz w:val="21"/>
          <w:szCs w:val="21"/>
        </w:rPr>
        <w:t>.</w:t>
      </w:r>
      <w:r w:rsidR="00AF6DC8">
        <w:rPr>
          <w:rFonts w:ascii="Arial" w:hAnsi="Arial" w:cs="Arial"/>
          <w:sz w:val="21"/>
          <w:szCs w:val="21"/>
        </w:rPr>
        <w:t xml:space="preserve"> </w:t>
      </w:r>
      <w:r>
        <w:rPr>
          <w:rFonts w:ascii="Arial" w:hAnsi="Arial" w:cs="Arial" w:hint="eastAsia"/>
          <w:sz w:val="21"/>
          <w:szCs w:val="21"/>
        </w:rPr>
        <w:t>估价委托人《营业执照（副本）》复印件</w:t>
      </w:r>
    </w:p>
    <w:p w14:paraId="47B63D41" w14:textId="77777777" w:rsidR="007E31FC" w:rsidRPr="002D3E07" w:rsidRDefault="007E31FC" w:rsidP="002D3E07">
      <w:pPr>
        <w:wordWrap w:val="0"/>
        <w:overflowPunct w:val="0"/>
        <w:spacing w:line="480" w:lineRule="auto"/>
        <w:jc w:val="both"/>
        <w:rPr>
          <w:rFonts w:ascii="Arial" w:hAnsi="Arial" w:cs="Arial"/>
          <w:sz w:val="21"/>
          <w:szCs w:val="21"/>
        </w:rPr>
      </w:pPr>
      <w:r>
        <w:rPr>
          <w:rFonts w:ascii="Arial" w:hAnsi="Arial" w:cs="Arial" w:hint="eastAsia"/>
          <w:sz w:val="21"/>
          <w:szCs w:val="21"/>
        </w:rPr>
        <w:t>6</w:t>
      </w:r>
      <w:r>
        <w:rPr>
          <w:rFonts w:ascii="Arial" w:hAnsi="Arial" w:cs="Arial"/>
          <w:sz w:val="21"/>
          <w:szCs w:val="21"/>
        </w:rPr>
        <w:t>.</w:t>
      </w:r>
      <w:r w:rsidR="00AF6DC8">
        <w:rPr>
          <w:rFonts w:ascii="Arial" w:hAnsi="Arial" w:cs="Arial"/>
          <w:sz w:val="21"/>
          <w:szCs w:val="21"/>
        </w:rPr>
        <w:t xml:space="preserve"> </w:t>
      </w:r>
      <w:r>
        <w:rPr>
          <w:rFonts w:ascii="Arial" w:hAnsi="Arial" w:cs="Arial" w:hint="eastAsia"/>
          <w:sz w:val="21"/>
          <w:szCs w:val="21"/>
        </w:rPr>
        <w:t>不动产权利人《营业执照》复印件</w:t>
      </w:r>
    </w:p>
    <w:p w14:paraId="3558C4F3" w14:textId="77777777" w:rsidR="00AF6F34" w:rsidRDefault="00AF6F34">
      <w:pPr>
        <w:overflowPunct w:val="0"/>
        <w:spacing w:line="480" w:lineRule="auto"/>
        <w:jc w:val="both"/>
        <w:textAlignment w:val="auto"/>
      </w:pPr>
      <w:r>
        <w:rPr>
          <w:rFonts w:ascii="Arial" w:hAnsi="Arial" w:cs="Arial"/>
          <w:b/>
          <w:sz w:val="21"/>
          <w:szCs w:val="21"/>
        </w:rPr>
        <w:t>（四）评估专业人员实地查勘的有关资料</w:t>
      </w:r>
    </w:p>
    <w:p w14:paraId="29886C0E" w14:textId="77777777" w:rsidR="00AF6F34" w:rsidRDefault="00AF6F34" w:rsidP="000C0A09">
      <w:pPr>
        <w:numPr>
          <w:ilvl w:val="0"/>
          <w:numId w:val="13"/>
        </w:numPr>
        <w:overflowPunct w:val="0"/>
        <w:spacing w:line="480" w:lineRule="auto"/>
        <w:jc w:val="both"/>
        <w:textAlignment w:val="auto"/>
      </w:pPr>
      <w:r>
        <w:rPr>
          <w:rFonts w:ascii="Arial" w:hAnsi="Arial" w:cs="Arial" w:hint="eastAsia"/>
          <w:b/>
          <w:color w:val="000000"/>
          <w:sz w:val="21"/>
          <w:szCs w:val="21"/>
        </w:rPr>
        <w:t>房地产</w:t>
      </w:r>
      <w:r>
        <w:rPr>
          <w:rFonts w:ascii="Arial" w:hAnsi="Arial" w:cs="Arial"/>
          <w:b/>
          <w:color w:val="000000"/>
          <w:sz w:val="21"/>
          <w:szCs w:val="21"/>
        </w:rPr>
        <w:t>估价机构资质证书</w:t>
      </w:r>
    </w:p>
    <w:p w14:paraId="71A61D64" w14:textId="77777777" w:rsidR="00AF6F34" w:rsidRDefault="00AF6F34">
      <w:pPr>
        <w:overflowPunct w:val="0"/>
        <w:spacing w:line="480" w:lineRule="auto"/>
        <w:ind w:firstLine="420"/>
        <w:jc w:val="both"/>
        <w:textAlignment w:val="auto"/>
        <w:rPr>
          <w:rFonts w:ascii="Arial" w:hAnsi="Arial" w:cs="Arial"/>
          <w:b/>
          <w:color w:val="000000"/>
          <w:sz w:val="21"/>
          <w:szCs w:val="21"/>
        </w:rPr>
      </w:pPr>
    </w:p>
    <w:p w14:paraId="0CC26A09" w14:textId="77777777" w:rsidR="00AF6F34" w:rsidRDefault="000C0A09" w:rsidP="000C0A09">
      <w:pPr>
        <w:pStyle w:val="2"/>
        <w:numPr>
          <w:ilvl w:val="0"/>
          <w:numId w:val="0"/>
        </w:numPr>
        <w:overflowPunct w:val="0"/>
        <w:spacing w:line="480" w:lineRule="auto"/>
        <w:ind w:left="360" w:hanging="360"/>
        <w:textAlignment w:val="auto"/>
      </w:pPr>
      <w:bookmarkStart w:id="17" w:name="_Toc161661013"/>
      <w:r>
        <w:rPr>
          <w:rFonts w:eastAsia="宋体"/>
          <w:kern w:val="2"/>
          <w:sz w:val="21"/>
          <w:szCs w:val="21"/>
        </w:rPr>
        <w:t>九、</w:t>
      </w:r>
      <w:r w:rsidR="00AF6F34">
        <w:rPr>
          <w:rFonts w:eastAsia="宋体"/>
          <w:kern w:val="2"/>
          <w:sz w:val="21"/>
          <w:szCs w:val="21"/>
        </w:rPr>
        <w:t>估价方法</w:t>
      </w:r>
      <w:bookmarkEnd w:id="17"/>
    </w:p>
    <w:p w14:paraId="196A938B" w14:textId="77777777" w:rsidR="00AF6F34" w:rsidRDefault="00AF6F34">
      <w:pPr>
        <w:overflowPunct w:val="0"/>
        <w:autoSpaceDE w:val="0"/>
        <w:spacing w:line="480" w:lineRule="auto"/>
        <w:ind w:right="140" w:firstLine="420"/>
        <w:jc w:val="both"/>
        <w:textAlignment w:val="auto"/>
      </w:pPr>
      <w:r>
        <w:rPr>
          <w:rFonts w:ascii="Arial" w:hAnsi="Arial" w:cs="Arial"/>
          <w:color w:val="000000"/>
          <w:sz w:val="21"/>
          <w:szCs w:val="21"/>
        </w:rPr>
        <w:t>由于本次评估是</w:t>
      </w:r>
      <w:r>
        <w:rPr>
          <w:rFonts w:ascii="Arial" w:hAnsi="Arial" w:cs="Arial" w:hint="eastAsia"/>
          <w:color w:val="000000"/>
          <w:sz w:val="21"/>
          <w:szCs w:val="21"/>
        </w:rPr>
        <w:t>为估价委托人</w:t>
      </w:r>
      <w:r w:rsidR="00BC3CD9">
        <w:rPr>
          <w:rFonts w:ascii="Arial" w:hAnsi="Arial" w:cs="Arial" w:hint="eastAsia"/>
          <w:color w:val="000000"/>
          <w:sz w:val="21"/>
          <w:szCs w:val="21"/>
        </w:rPr>
        <w:t>确定估价对象</w:t>
      </w:r>
      <w:r w:rsidR="00EF400F">
        <w:rPr>
          <w:rFonts w:ascii="Arial" w:hAnsi="Arial" w:cs="Arial" w:hint="eastAsia"/>
          <w:color w:val="000000"/>
          <w:sz w:val="21"/>
          <w:szCs w:val="21"/>
        </w:rPr>
        <w:t>市场租赁住房</w:t>
      </w:r>
      <w:r w:rsidR="00BC3CD9">
        <w:rPr>
          <w:rFonts w:ascii="Arial" w:hAnsi="Arial" w:cs="Arial" w:hint="eastAsia"/>
          <w:color w:val="000000"/>
          <w:sz w:val="21"/>
          <w:szCs w:val="21"/>
        </w:rPr>
        <w:t>租金水平</w:t>
      </w:r>
      <w:r>
        <w:rPr>
          <w:rFonts w:ascii="Arial" w:hAnsi="Arial" w:cs="Arial" w:hint="eastAsia"/>
          <w:color w:val="000000"/>
          <w:sz w:val="21"/>
          <w:szCs w:val="21"/>
        </w:rPr>
        <w:t>提供参考依据</w:t>
      </w:r>
      <w:r>
        <w:rPr>
          <w:rFonts w:ascii="Arial" w:hAnsi="Arial" w:cs="Arial"/>
          <w:color w:val="000000"/>
          <w:sz w:val="21"/>
          <w:szCs w:val="21"/>
        </w:rPr>
        <w:t>，因此我们在认真分析研究估价对象的相关资料，并通过对邻近地区同类物业调查的基础上，根据《房地产估价规范》</w:t>
      </w:r>
      <w:r>
        <w:rPr>
          <w:rFonts w:ascii="Arial" w:hAnsi="Arial" w:cs="Arial" w:hint="eastAsia"/>
          <w:color w:val="000000"/>
          <w:sz w:val="21"/>
          <w:szCs w:val="21"/>
        </w:rPr>
        <w:t>（</w:t>
      </w:r>
      <w:r>
        <w:rPr>
          <w:rFonts w:ascii="Arial" w:hAnsi="Arial" w:cs="Arial"/>
          <w:color w:val="000000"/>
          <w:sz w:val="21"/>
          <w:szCs w:val="21"/>
        </w:rPr>
        <w:t>GB/T</w:t>
      </w:r>
      <w:r>
        <w:rPr>
          <w:rFonts w:ascii="Arial" w:hAnsi="Arial" w:cs="Arial" w:hint="eastAsia"/>
          <w:color w:val="000000"/>
          <w:sz w:val="21"/>
          <w:szCs w:val="21"/>
        </w:rPr>
        <w:t xml:space="preserve"> </w:t>
      </w:r>
      <w:r>
        <w:rPr>
          <w:rFonts w:ascii="Arial" w:hAnsi="Arial" w:cs="Arial"/>
          <w:color w:val="000000"/>
          <w:sz w:val="21"/>
          <w:szCs w:val="21"/>
        </w:rPr>
        <w:t>50291-2015</w:t>
      </w:r>
      <w:r>
        <w:rPr>
          <w:rFonts w:ascii="Arial" w:hAnsi="Arial" w:cs="Arial" w:hint="eastAsia"/>
          <w:color w:val="000000"/>
          <w:sz w:val="21"/>
          <w:szCs w:val="21"/>
        </w:rPr>
        <w:t>）</w:t>
      </w:r>
      <w:r>
        <w:rPr>
          <w:rFonts w:ascii="Arial" w:hAnsi="Arial" w:cs="Arial"/>
          <w:sz w:val="21"/>
          <w:szCs w:val="21"/>
        </w:rPr>
        <w:t>的估价程序，选用</w:t>
      </w:r>
      <w:r>
        <w:rPr>
          <w:rFonts w:ascii="Arial" w:hAnsi="Arial" w:cs="Arial" w:hint="eastAsia"/>
          <w:sz w:val="21"/>
          <w:szCs w:val="21"/>
        </w:rPr>
        <w:t>比较法</w:t>
      </w:r>
      <w:r>
        <w:rPr>
          <w:rFonts w:ascii="Arial" w:hAnsi="Arial" w:cs="Arial"/>
          <w:sz w:val="21"/>
          <w:szCs w:val="21"/>
        </w:rPr>
        <w:t>为主方法进行估价</w:t>
      </w:r>
      <w:r>
        <w:rPr>
          <w:rFonts w:ascii="Arial" w:hAnsi="Arial" w:cs="Arial" w:hint="eastAsia"/>
          <w:sz w:val="21"/>
          <w:szCs w:val="21"/>
        </w:rPr>
        <w:t>，进而确定估价对象市场平均租金价格水平。</w:t>
      </w:r>
    </w:p>
    <w:p w14:paraId="28AAFEC9" w14:textId="77777777" w:rsidR="00AF6F34" w:rsidRDefault="00AF6F34">
      <w:pPr>
        <w:pStyle w:val="LO-Normal"/>
        <w:overflowPunct w:val="0"/>
        <w:autoSpaceDE w:val="0"/>
        <w:spacing w:line="480" w:lineRule="auto"/>
        <w:ind w:right="140"/>
        <w:jc w:val="both"/>
        <w:textAlignment w:val="auto"/>
      </w:pPr>
      <w:r>
        <w:rPr>
          <w:rFonts w:ascii="Arial" w:hAnsi="Arial" w:cs="Arial" w:hint="eastAsia"/>
          <w:b/>
          <w:color w:val="000000"/>
          <w:sz w:val="21"/>
          <w:szCs w:val="21"/>
        </w:rPr>
        <w:lastRenderedPageBreak/>
        <w:t>（一）估价思路</w:t>
      </w:r>
      <w:r>
        <w:rPr>
          <w:rFonts w:ascii="Arial" w:eastAsia="Arial" w:hAnsi="Arial" w:cs="Arial"/>
          <w:b/>
          <w:color w:val="000000"/>
          <w:sz w:val="21"/>
          <w:szCs w:val="21"/>
        </w:rPr>
        <w:t xml:space="preserve"> </w:t>
      </w:r>
    </w:p>
    <w:p w14:paraId="42FD1CD7" w14:textId="77777777" w:rsidR="00AF6F34" w:rsidRDefault="00AF6F34">
      <w:pPr>
        <w:pStyle w:val="LO-Normal"/>
        <w:overflowPunct w:val="0"/>
        <w:autoSpaceDE w:val="0"/>
        <w:spacing w:line="480" w:lineRule="auto"/>
        <w:ind w:right="140" w:firstLine="420"/>
        <w:jc w:val="both"/>
        <w:textAlignment w:val="auto"/>
      </w:pPr>
      <w:r>
        <w:rPr>
          <w:rFonts w:ascii="Arial" w:hAnsi="Arial" w:cs="Arial"/>
          <w:color w:val="000000"/>
          <w:sz w:val="21"/>
          <w:szCs w:val="21"/>
        </w:rPr>
        <w:t>本次选用比较法对估价对象的市场租金水平进行测算，具体测算思路如下：</w:t>
      </w:r>
    </w:p>
    <w:p w14:paraId="03484A50" w14:textId="77777777" w:rsidR="00AF6F34" w:rsidRDefault="00AF6F34">
      <w:pPr>
        <w:pStyle w:val="LO-Normal"/>
        <w:overflowPunct w:val="0"/>
        <w:autoSpaceDE w:val="0"/>
        <w:spacing w:line="480" w:lineRule="auto"/>
        <w:ind w:right="140" w:firstLine="420"/>
        <w:jc w:val="both"/>
        <w:textAlignment w:val="auto"/>
      </w:pPr>
      <w:r>
        <w:rPr>
          <w:rFonts w:ascii="Arial" w:hAnsi="Arial" w:cs="Arial"/>
          <w:color w:val="000000"/>
          <w:sz w:val="21"/>
          <w:szCs w:val="21"/>
        </w:rPr>
        <w:t>1.</w:t>
      </w:r>
      <w:r>
        <w:rPr>
          <w:rFonts w:ascii="Arial" w:hAnsi="Arial" w:cs="Arial"/>
          <w:color w:val="000000"/>
          <w:sz w:val="21"/>
          <w:szCs w:val="21"/>
        </w:rPr>
        <w:t>首先</w:t>
      </w:r>
      <w:r>
        <w:rPr>
          <w:rFonts w:ascii="Arial" w:hAnsi="Arial" w:cs="Arial" w:hint="eastAsia"/>
          <w:color w:val="000000"/>
          <w:sz w:val="21"/>
          <w:szCs w:val="21"/>
        </w:rPr>
        <w:t>确认</w:t>
      </w:r>
      <w:r>
        <w:rPr>
          <w:rFonts w:ascii="Arial" w:hAnsi="Arial" w:cs="Arial"/>
          <w:color w:val="000000"/>
          <w:sz w:val="21"/>
          <w:szCs w:val="21"/>
        </w:rPr>
        <w:t>估价对象</w:t>
      </w:r>
      <w:r w:rsidR="00431E21">
        <w:rPr>
          <w:rFonts w:ascii="Arial" w:hAnsi="Arial" w:cs="Arial" w:hint="eastAsia"/>
          <w:color w:val="000000"/>
          <w:sz w:val="21"/>
          <w:szCs w:val="21"/>
        </w:rPr>
        <w:t>一居室</w:t>
      </w:r>
      <w:r w:rsidR="00431E21">
        <w:rPr>
          <w:rFonts w:ascii="Arial" w:hAnsi="Arial" w:cs="Arial"/>
          <w:color w:val="000000"/>
          <w:sz w:val="21"/>
          <w:szCs w:val="21"/>
        </w:rPr>
        <w:t>设定条件</w:t>
      </w:r>
      <w:r>
        <w:rPr>
          <w:rFonts w:ascii="Arial" w:hAnsi="Arial" w:cs="Arial" w:hint="eastAsia"/>
          <w:color w:val="000000"/>
          <w:sz w:val="21"/>
          <w:szCs w:val="21"/>
        </w:rPr>
        <w:t>。</w:t>
      </w:r>
    </w:p>
    <w:p w14:paraId="07578940" w14:textId="390246EA" w:rsidR="00EF400F" w:rsidRPr="00B07EA8" w:rsidRDefault="00EF400F" w:rsidP="00EF400F">
      <w:pPr>
        <w:pStyle w:val="LO-Normal"/>
        <w:overflowPunct w:val="0"/>
        <w:autoSpaceDE w:val="0"/>
        <w:spacing w:line="480" w:lineRule="auto"/>
        <w:ind w:right="140" w:firstLine="420"/>
        <w:jc w:val="both"/>
        <w:textAlignment w:val="auto"/>
        <w:rPr>
          <w:rFonts w:ascii="Arial" w:hAnsi="Arial" w:cs="Arial"/>
          <w:sz w:val="21"/>
          <w:szCs w:val="21"/>
        </w:rPr>
      </w:pPr>
      <w:r w:rsidRPr="00EF400F">
        <w:rPr>
          <w:rFonts w:ascii="Arial" w:hAnsi="Arial" w:cs="Arial" w:hint="eastAsia"/>
          <w:bCs/>
          <w:color w:val="000000"/>
          <w:sz w:val="21"/>
          <w:szCs w:val="21"/>
        </w:rPr>
        <w:t>参照</w:t>
      </w:r>
      <w:r>
        <w:rPr>
          <w:rFonts w:ascii="Arial" w:hAnsi="Arial" w:cs="Arial" w:hint="eastAsia"/>
          <w:bCs/>
          <w:color w:val="000000"/>
          <w:sz w:val="21"/>
          <w:szCs w:val="21"/>
        </w:rPr>
        <w:t>估价对象</w:t>
      </w:r>
      <w:r w:rsidRPr="00EF400F">
        <w:rPr>
          <w:rFonts w:ascii="Arial" w:hAnsi="Arial" w:cs="Arial" w:hint="eastAsia"/>
          <w:bCs/>
          <w:color w:val="000000"/>
          <w:sz w:val="21"/>
          <w:szCs w:val="21"/>
        </w:rPr>
        <w:t>项目的建筑类型、结构、户型、装饰装修、设施设备、家具家电、楼层、朝向等指标进行分类，分别设定的具有代表性的房屋。</w:t>
      </w:r>
      <w:r w:rsidR="00AF6F34">
        <w:rPr>
          <w:rFonts w:ascii="Arial" w:hAnsi="Arial" w:cs="Arial"/>
          <w:bCs/>
          <w:color w:val="000000"/>
          <w:sz w:val="21"/>
          <w:szCs w:val="21"/>
        </w:rPr>
        <w:t>估价对象</w:t>
      </w:r>
      <w:r w:rsidR="00AF6F34">
        <w:rPr>
          <w:rFonts w:ascii="Arial" w:hAnsi="Arial" w:cs="Arial" w:hint="eastAsia"/>
          <w:sz w:val="21"/>
          <w:szCs w:val="21"/>
        </w:rPr>
        <w:t>有三种户型，分别为一居室、二居室、三居室。其中，</w:t>
      </w:r>
      <w:r w:rsidR="00CD440E">
        <w:rPr>
          <w:rFonts w:ascii="Arial" w:hAnsi="Arial" w:cs="Arial" w:hint="eastAsia"/>
          <w:sz w:val="21"/>
          <w:szCs w:val="21"/>
        </w:rPr>
        <w:t>一居室共</w:t>
      </w:r>
      <w:r w:rsidR="00CD440E">
        <w:rPr>
          <w:rFonts w:ascii="Arial" w:hAnsi="Arial" w:cs="Arial" w:hint="eastAsia"/>
          <w:sz w:val="21"/>
          <w:szCs w:val="21"/>
        </w:rPr>
        <w:t>494</w:t>
      </w:r>
      <w:r w:rsidR="00CD440E">
        <w:rPr>
          <w:rFonts w:ascii="Arial" w:hAnsi="Arial" w:cs="Arial" w:hint="eastAsia"/>
          <w:sz w:val="21"/>
          <w:szCs w:val="21"/>
        </w:rPr>
        <w:t>套，</w:t>
      </w:r>
      <w:r w:rsidR="008322C0">
        <w:rPr>
          <w:rFonts w:ascii="Arial" w:hAnsi="Arial" w:cs="Arial" w:hint="eastAsia"/>
          <w:sz w:val="21"/>
          <w:szCs w:val="21"/>
        </w:rPr>
        <w:t>约占估价对象总套数的</w:t>
      </w:r>
      <w:r w:rsidR="002F6ADB">
        <w:rPr>
          <w:rFonts w:ascii="Arial" w:hAnsi="Arial" w:cs="Arial" w:hint="eastAsia"/>
          <w:sz w:val="21"/>
          <w:szCs w:val="21"/>
        </w:rPr>
        <w:t>51.5%</w:t>
      </w:r>
      <w:r w:rsidR="00CD440E">
        <w:rPr>
          <w:rFonts w:ascii="Arial" w:hAnsi="Arial" w:cs="Arial" w:hint="eastAsia"/>
          <w:sz w:val="21"/>
          <w:szCs w:val="21"/>
        </w:rPr>
        <w:t>，</w:t>
      </w:r>
      <w:r w:rsidR="00990456">
        <w:rPr>
          <w:rFonts w:ascii="Arial" w:hAnsi="Arial" w:cs="Arial" w:hint="eastAsia"/>
          <w:sz w:val="21"/>
          <w:szCs w:val="21"/>
        </w:rPr>
        <w:t>面积集中在</w:t>
      </w:r>
      <w:r w:rsidR="00990456">
        <w:rPr>
          <w:rFonts w:ascii="Arial" w:hAnsi="Arial" w:cs="Arial" w:hint="eastAsia"/>
          <w:sz w:val="21"/>
          <w:szCs w:val="21"/>
        </w:rPr>
        <w:t>62.36-69.96</w:t>
      </w:r>
      <w:r w:rsidR="00990456">
        <w:rPr>
          <w:rFonts w:ascii="Arial" w:hAnsi="Arial" w:cs="Arial" w:hint="eastAsia"/>
          <w:sz w:val="21"/>
          <w:szCs w:val="21"/>
        </w:rPr>
        <w:t>平方米（仅有一间</w:t>
      </w:r>
      <w:r w:rsidR="00990456">
        <w:rPr>
          <w:rFonts w:ascii="Arial" w:hAnsi="Arial" w:cs="Arial" w:hint="eastAsia"/>
          <w:sz w:val="21"/>
          <w:szCs w:val="21"/>
        </w:rPr>
        <w:t>49.81</w:t>
      </w:r>
      <w:r w:rsidR="00990456">
        <w:rPr>
          <w:rFonts w:ascii="Arial" w:hAnsi="Arial" w:cs="Arial" w:hint="eastAsia"/>
          <w:sz w:val="21"/>
          <w:szCs w:val="21"/>
        </w:rPr>
        <w:t>平方米）</w:t>
      </w:r>
      <w:r w:rsidR="00AF6F34">
        <w:rPr>
          <w:rFonts w:ascii="Arial" w:hAnsi="Arial" w:cs="Arial" w:hint="eastAsia"/>
          <w:sz w:val="21"/>
          <w:szCs w:val="21"/>
        </w:rPr>
        <w:t>；</w:t>
      </w:r>
      <w:r w:rsidR="002F6ADB">
        <w:rPr>
          <w:rFonts w:ascii="Arial" w:hAnsi="Arial" w:cs="Arial" w:hint="eastAsia"/>
          <w:sz w:val="21"/>
          <w:szCs w:val="21"/>
        </w:rPr>
        <w:t>二居室共</w:t>
      </w:r>
      <w:r w:rsidR="002F6ADB">
        <w:rPr>
          <w:rFonts w:ascii="Arial" w:hAnsi="Arial" w:cs="Arial" w:hint="eastAsia"/>
          <w:sz w:val="21"/>
          <w:szCs w:val="21"/>
        </w:rPr>
        <w:t>443</w:t>
      </w:r>
      <w:r w:rsidR="002F6ADB">
        <w:rPr>
          <w:rFonts w:ascii="Arial" w:hAnsi="Arial" w:cs="Arial" w:hint="eastAsia"/>
          <w:sz w:val="21"/>
          <w:szCs w:val="21"/>
        </w:rPr>
        <w:t>套</w:t>
      </w:r>
      <w:r w:rsidR="00CD440E">
        <w:rPr>
          <w:rFonts w:ascii="Arial" w:hAnsi="Arial" w:cs="Arial" w:hint="eastAsia"/>
          <w:sz w:val="21"/>
          <w:szCs w:val="21"/>
        </w:rPr>
        <w:t>，</w:t>
      </w:r>
      <w:r w:rsidR="008322C0">
        <w:rPr>
          <w:rFonts w:ascii="Arial" w:hAnsi="Arial" w:cs="Arial" w:hint="eastAsia"/>
          <w:sz w:val="21"/>
          <w:szCs w:val="21"/>
        </w:rPr>
        <w:t>约占估价对象总套数的</w:t>
      </w:r>
      <w:r w:rsidR="002F6ADB">
        <w:rPr>
          <w:rFonts w:ascii="Arial" w:hAnsi="Arial" w:cs="Arial" w:hint="eastAsia"/>
          <w:sz w:val="21"/>
          <w:szCs w:val="21"/>
        </w:rPr>
        <w:t>46.2%</w:t>
      </w:r>
      <w:r w:rsidR="00CD440E">
        <w:rPr>
          <w:rFonts w:ascii="Arial" w:hAnsi="Arial" w:cs="Arial" w:hint="eastAsia"/>
          <w:sz w:val="21"/>
          <w:szCs w:val="21"/>
        </w:rPr>
        <w:t>，</w:t>
      </w:r>
      <w:r w:rsidR="00CB5D09">
        <w:rPr>
          <w:rFonts w:ascii="Arial" w:hAnsi="Arial" w:cs="Arial" w:hint="eastAsia"/>
          <w:sz w:val="21"/>
          <w:szCs w:val="21"/>
        </w:rPr>
        <w:t>面积集中在</w:t>
      </w:r>
      <w:r w:rsidR="00AF6F34">
        <w:rPr>
          <w:rFonts w:ascii="Arial" w:hAnsi="Arial" w:cs="Arial" w:hint="eastAsia"/>
          <w:sz w:val="21"/>
          <w:szCs w:val="21"/>
        </w:rPr>
        <w:t>87.22-91.05</w:t>
      </w:r>
      <w:r w:rsidR="00AF6F34">
        <w:rPr>
          <w:rFonts w:ascii="Arial" w:hAnsi="Arial" w:cs="Arial" w:hint="eastAsia"/>
          <w:sz w:val="21"/>
          <w:szCs w:val="21"/>
        </w:rPr>
        <w:t>平方米；</w:t>
      </w:r>
      <w:r w:rsidR="00CD440E">
        <w:rPr>
          <w:rFonts w:ascii="Arial" w:hAnsi="Arial" w:cs="Arial" w:hint="eastAsia"/>
          <w:sz w:val="21"/>
          <w:szCs w:val="21"/>
        </w:rPr>
        <w:t>三居室共</w:t>
      </w:r>
      <w:r w:rsidR="00CD440E">
        <w:rPr>
          <w:rFonts w:ascii="Arial" w:hAnsi="Arial" w:cs="Arial" w:hint="eastAsia"/>
          <w:sz w:val="21"/>
          <w:szCs w:val="21"/>
        </w:rPr>
        <w:t>22</w:t>
      </w:r>
      <w:r w:rsidR="00CD440E">
        <w:rPr>
          <w:rFonts w:ascii="Arial" w:hAnsi="Arial" w:cs="Arial" w:hint="eastAsia"/>
          <w:sz w:val="21"/>
          <w:szCs w:val="21"/>
        </w:rPr>
        <w:t>套，</w:t>
      </w:r>
      <w:r w:rsidR="008322C0">
        <w:rPr>
          <w:rFonts w:ascii="Arial" w:hAnsi="Arial" w:cs="Arial" w:hint="eastAsia"/>
          <w:sz w:val="21"/>
          <w:szCs w:val="21"/>
        </w:rPr>
        <w:t>约占估价对象总套数的</w:t>
      </w:r>
      <w:r w:rsidR="00CD440E">
        <w:rPr>
          <w:rFonts w:ascii="Arial" w:hAnsi="Arial" w:cs="Arial" w:hint="eastAsia"/>
          <w:sz w:val="21"/>
          <w:szCs w:val="21"/>
        </w:rPr>
        <w:t>2.3%</w:t>
      </w:r>
      <w:r w:rsidR="00CD440E">
        <w:rPr>
          <w:rFonts w:ascii="Arial" w:hAnsi="Arial" w:cs="Arial" w:hint="eastAsia"/>
          <w:sz w:val="21"/>
          <w:szCs w:val="21"/>
        </w:rPr>
        <w:t>，</w:t>
      </w:r>
      <w:r w:rsidR="00CB5D09">
        <w:rPr>
          <w:rFonts w:ascii="Arial" w:hAnsi="Arial" w:cs="Arial" w:hint="eastAsia"/>
          <w:sz w:val="21"/>
          <w:szCs w:val="21"/>
        </w:rPr>
        <w:t>面积集中在</w:t>
      </w:r>
      <w:r w:rsidR="00AF6F34">
        <w:rPr>
          <w:rFonts w:ascii="Arial" w:hAnsi="Arial" w:cs="Arial" w:hint="eastAsia"/>
          <w:sz w:val="21"/>
          <w:szCs w:val="21"/>
        </w:rPr>
        <w:t>97.97-109.46</w:t>
      </w:r>
      <w:r w:rsidR="00AF6F34">
        <w:rPr>
          <w:rFonts w:ascii="Arial" w:hAnsi="Arial" w:cs="Arial" w:hint="eastAsia"/>
          <w:sz w:val="21"/>
          <w:szCs w:val="21"/>
        </w:rPr>
        <w:t>平方米。依据众数原则，选取户型为一居室，面积为</w:t>
      </w:r>
      <w:r w:rsidR="00AF6F34">
        <w:rPr>
          <w:rFonts w:ascii="Arial" w:hAnsi="Arial" w:cs="Arial" w:hint="eastAsia"/>
          <w:sz w:val="21"/>
          <w:szCs w:val="21"/>
        </w:rPr>
        <w:t>60-70</w:t>
      </w:r>
      <w:r w:rsidR="00AF6F34">
        <w:rPr>
          <w:rFonts w:ascii="Arial" w:hAnsi="Arial" w:cs="Arial" w:hint="eastAsia"/>
          <w:sz w:val="21"/>
          <w:szCs w:val="21"/>
        </w:rPr>
        <w:t>平方米，朝向为南，</w:t>
      </w:r>
      <w:r w:rsidR="00464E89">
        <w:rPr>
          <w:rFonts w:ascii="Arial" w:hAnsi="Arial" w:cs="Arial" w:hint="eastAsia"/>
          <w:sz w:val="21"/>
          <w:szCs w:val="21"/>
        </w:rPr>
        <w:t>装修情况设定为全装修</w:t>
      </w:r>
      <w:r w:rsidR="00AF6F34">
        <w:rPr>
          <w:rFonts w:ascii="Arial" w:hAnsi="Arial" w:cs="Arial" w:hint="eastAsia"/>
          <w:sz w:val="21"/>
          <w:szCs w:val="21"/>
        </w:rPr>
        <w:t>。</w:t>
      </w:r>
    </w:p>
    <w:p w14:paraId="443919D8" w14:textId="77777777" w:rsidR="00AF6F34" w:rsidRDefault="00AF6F34">
      <w:pPr>
        <w:pStyle w:val="LO-Normal"/>
        <w:overflowPunct w:val="0"/>
        <w:autoSpaceDE w:val="0"/>
        <w:spacing w:line="480" w:lineRule="auto"/>
        <w:ind w:right="140" w:firstLine="420"/>
        <w:jc w:val="both"/>
        <w:textAlignment w:val="auto"/>
      </w:pPr>
      <w:r>
        <w:rPr>
          <w:rFonts w:ascii="Arial" w:hAnsi="Arial" w:cs="Arial"/>
          <w:color w:val="000000"/>
          <w:sz w:val="21"/>
          <w:szCs w:val="21"/>
        </w:rPr>
        <w:t>2.</w:t>
      </w:r>
      <w:r>
        <w:rPr>
          <w:rFonts w:ascii="Arial" w:hAnsi="Arial" w:cs="Arial"/>
          <w:color w:val="000000"/>
          <w:sz w:val="21"/>
          <w:szCs w:val="21"/>
        </w:rPr>
        <w:t>在估价对象周边区域选取适当数量住宅小区，结合估价机构监测数据、估价机构市场调查</w:t>
      </w:r>
      <w:r>
        <w:rPr>
          <w:rFonts w:ascii="Arial" w:hAnsi="Arial" w:cs="Arial" w:hint="eastAsia"/>
          <w:color w:val="000000"/>
          <w:sz w:val="21"/>
          <w:szCs w:val="21"/>
        </w:rPr>
        <w:t>两</w:t>
      </w:r>
      <w:r>
        <w:rPr>
          <w:rFonts w:ascii="Arial" w:hAnsi="Arial" w:cs="Arial"/>
          <w:color w:val="000000"/>
          <w:sz w:val="21"/>
          <w:szCs w:val="21"/>
        </w:rPr>
        <w:t>个方面的批量数据，选取可比小区。</w:t>
      </w:r>
    </w:p>
    <w:p w14:paraId="5DA149C6" w14:textId="77777777" w:rsidR="00AF6F34" w:rsidRDefault="00AF6F34">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将所选可比小区与评估对象</w:t>
      </w:r>
      <w:r w:rsidR="005C6339">
        <w:rPr>
          <w:rFonts w:ascii="Arial" w:hAnsi="Arial" w:cs="Arial" w:hint="eastAsia"/>
          <w:color w:val="000000"/>
          <w:sz w:val="21"/>
          <w:szCs w:val="21"/>
        </w:rPr>
        <w:t>一居室</w:t>
      </w:r>
      <w:r>
        <w:rPr>
          <w:rFonts w:ascii="Arial" w:hAnsi="Arial" w:cs="Arial"/>
          <w:color w:val="000000"/>
          <w:sz w:val="21"/>
          <w:szCs w:val="21"/>
        </w:rPr>
        <w:t>进行比较，进行区位状况调整和实物状况调整，计算各可比实例</w:t>
      </w:r>
      <w:r w:rsidR="00CD440E">
        <w:rPr>
          <w:rFonts w:ascii="Arial" w:hAnsi="Arial" w:cs="Arial"/>
          <w:color w:val="000000"/>
          <w:sz w:val="21"/>
          <w:szCs w:val="21"/>
        </w:rPr>
        <w:t>比准租金，得到估价对象</w:t>
      </w:r>
      <w:r w:rsidR="00431E21">
        <w:rPr>
          <w:rFonts w:ascii="Arial" w:hAnsi="Arial" w:cs="Arial" w:hint="eastAsia"/>
          <w:color w:val="000000"/>
          <w:sz w:val="21"/>
          <w:szCs w:val="21"/>
        </w:rPr>
        <w:t>一居室</w:t>
      </w:r>
      <w:r w:rsidR="00CD440E">
        <w:rPr>
          <w:rFonts w:ascii="Arial" w:hAnsi="Arial" w:cs="Arial"/>
          <w:color w:val="000000"/>
          <w:sz w:val="21"/>
          <w:szCs w:val="21"/>
        </w:rPr>
        <w:t>租金水平</w:t>
      </w:r>
      <w:r>
        <w:rPr>
          <w:rFonts w:ascii="Arial" w:hAnsi="Arial" w:cs="Arial"/>
          <w:color w:val="000000"/>
          <w:sz w:val="21"/>
          <w:szCs w:val="21"/>
        </w:rPr>
        <w:t>。</w:t>
      </w:r>
    </w:p>
    <w:p w14:paraId="0F982B71" w14:textId="77777777" w:rsidR="00CD440E" w:rsidRDefault="00CD440E">
      <w:pPr>
        <w:pStyle w:val="LO-Normal"/>
        <w:overflowPunct w:val="0"/>
        <w:autoSpaceDE w:val="0"/>
        <w:spacing w:line="480" w:lineRule="auto"/>
        <w:ind w:right="140" w:firstLine="420"/>
        <w:jc w:val="both"/>
        <w:textAlignment w:val="auto"/>
        <w:rPr>
          <w:rFonts w:ascii="Arial" w:hAnsi="Arial" w:cs="Arial"/>
          <w:color w:val="000000"/>
          <w:sz w:val="21"/>
          <w:szCs w:val="21"/>
        </w:rPr>
      </w:pPr>
      <w:r w:rsidRPr="00CD440E">
        <w:rPr>
          <w:rFonts w:ascii="Arial" w:hAnsi="Arial" w:cs="Arial" w:hint="eastAsia"/>
          <w:color w:val="000000"/>
          <w:sz w:val="21"/>
          <w:szCs w:val="21"/>
        </w:rPr>
        <w:t>4.</w:t>
      </w:r>
      <w:r w:rsidR="00EF400F" w:rsidRPr="00EF400F">
        <w:rPr>
          <w:rFonts w:ascii="Arial" w:hAnsi="Arial" w:cs="Arial" w:hint="eastAsia"/>
          <w:color w:val="000000"/>
          <w:sz w:val="21"/>
          <w:szCs w:val="21"/>
        </w:rPr>
        <w:t>以</w:t>
      </w:r>
      <w:r w:rsidR="00702DAC">
        <w:rPr>
          <w:rFonts w:ascii="Arial" w:hAnsi="Arial" w:cs="Arial" w:hint="eastAsia"/>
          <w:color w:val="000000"/>
          <w:sz w:val="21"/>
          <w:szCs w:val="21"/>
        </w:rPr>
        <w:t>一居室</w:t>
      </w:r>
      <w:r w:rsidR="00EF400F" w:rsidRPr="00EF400F">
        <w:rPr>
          <w:rFonts w:ascii="Arial" w:hAnsi="Arial" w:cs="Arial" w:hint="eastAsia"/>
          <w:color w:val="000000"/>
          <w:sz w:val="21"/>
          <w:szCs w:val="21"/>
        </w:rPr>
        <w:t>评估结果为基准，通过差异调整求取其他不同户型的市场租金。</w:t>
      </w:r>
    </w:p>
    <w:p w14:paraId="5BC740DA" w14:textId="77777777" w:rsidR="00A578FA" w:rsidRPr="00CD440E" w:rsidRDefault="00A578FA">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hint="eastAsia"/>
          <w:color w:val="000000"/>
          <w:sz w:val="21"/>
          <w:szCs w:val="21"/>
        </w:rPr>
        <w:t>5</w:t>
      </w:r>
      <w:r>
        <w:rPr>
          <w:rFonts w:ascii="Arial" w:hAnsi="Arial" w:cs="Arial"/>
          <w:color w:val="000000"/>
          <w:sz w:val="21"/>
          <w:szCs w:val="21"/>
        </w:rPr>
        <w:t>.</w:t>
      </w:r>
      <w:r w:rsidRPr="00A578FA">
        <w:rPr>
          <w:rFonts w:ascii="Arial" w:hAnsi="Arial" w:cs="Arial" w:hint="eastAsia"/>
          <w:color w:val="000000"/>
          <w:sz w:val="21"/>
          <w:szCs w:val="21"/>
        </w:rPr>
        <w:t>采用</w:t>
      </w:r>
      <w:r w:rsidR="00B07EA8">
        <w:rPr>
          <w:rFonts w:ascii="Arial" w:hAnsi="Arial" w:cs="Arial" w:hint="eastAsia"/>
          <w:color w:val="000000"/>
          <w:sz w:val="21"/>
          <w:szCs w:val="21"/>
        </w:rPr>
        <w:t>不同户型</w:t>
      </w:r>
      <w:r w:rsidRPr="00A578FA">
        <w:rPr>
          <w:rFonts w:ascii="Arial" w:hAnsi="Arial" w:cs="Arial" w:hint="eastAsia"/>
          <w:color w:val="000000"/>
          <w:sz w:val="21"/>
          <w:szCs w:val="21"/>
        </w:rPr>
        <w:t>建筑面积加权得出项目总价，最后折算出单价</w:t>
      </w:r>
      <w:r>
        <w:rPr>
          <w:rFonts w:ascii="Arial" w:hAnsi="Arial" w:cs="Arial" w:hint="eastAsia"/>
          <w:color w:val="000000"/>
          <w:sz w:val="21"/>
          <w:szCs w:val="21"/>
        </w:rPr>
        <w:t>。</w:t>
      </w:r>
    </w:p>
    <w:p w14:paraId="060FCAE2" w14:textId="77777777" w:rsidR="00AF6F34" w:rsidRDefault="00AF6F34">
      <w:pPr>
        <w:pStyle w:val="LO-Normal"/>
        <w:overflowPunct w:val="0"/>
        <w:autoSpaceDE w:val="0"/>
        <w:spacing w:line="480" w:lineRule="auto"/>
        <w:ind w:right="140"/>
        <w:jc w:val="both"/>
        <w:textAlignment w:val="auto"/>
      </w:pPr>
      <w:r>
        <w:rPr>
          <w:rFonts w:ascii="Arial" w:hAnsi="Arial" w:cs="Arial" w:hint="eastAsia"/>
          <w:b/>
          <w:color w:val="000000"/>
          <w:sz w:val="21"/>
          <w:szCs w:val="21"/>
        </w:rPr>
        <w:t>（二）估价方法</w:t>
      </w:r>
      <w:r>
        <w:rPr>
          <w:rFonts w:ascii="Arial" w:eastAsia="Arial" w:hAnsi="Arial" w:cs="Arial"/>
          <w:b/>
          <w:color w:val="000000"/>
          <w:sz w:val="21"/>
          <w:szCs w:val="21"/>
        </w:rPr>
        <w:t xml:space="preserve"> </w:t>
      </w:r>
    </w:p>
    <w:p w14:paraId="26E6F1DB" w14:textId="77777777" w:rsidR="00AF6F34" w:rsidRDefault="00AF6F34">
      <w:pPr>
        <w:pStyle w:val="LO-Normal"/>
        <w:overflowPunct w:val="0"/>
        <w:autoSpaceDE w:val="0"/>
        <w:spacing w:line="480" w:lineRule="auto"/>
        <w:ind w:right="140" w:firstLine="420"/>
        <w:jc w:val="both"/>
        <w:textAlignment w:val="auto"/>
      </w:pPr>
      <w:r>
        <w:rPr>
          <w:rFonts w:ascii="Arial" w:hAnsi="Arial" w:cs="Arial"/>
          <w:color w:val="000000"/>
          <w:sz w:val="21"/>
          <w:szCs w:val="21"/>
        </w:rPr>
        <w:t>比较法，是在求取估价对象房地产</w:t>
      </w:r>
      <w:r>
        <w:rPr>
          <w:rFonts w:ascii="Arial" w:hAnsi="Arial" w:cs="Arial" w:hint="eastAsia"/>
          <w:color w:val="000000"/>
          <w:sz w:val="21"/>
          <w:szCs w:val="21"/>
        </w:rPr>
        <w:t>市场租金水平</w:t>
      </w:r>
      <w:r>
        <w:rPr>
          <w:rFonts w:ascii="Arial" w:hAnsi="Arial" w:cs="Arial"/>
          <w:color w:val="000000"/>
          <w:sz w:val="21"/>
          <w:szCs w:val="21"/>
        </w:rPr>
        <w:t>时，根据替代原则，将估价对象与在较近时期内已发生交易的类似房地产</w:t>
      </w:r>
      <w:r>
        <w:rPr>
          <w:rFonts w:ascii="Arial" w:hAnsi="Arial" w:cs="Arial" w:hint="eastAsia"/>
          <w:color w:val="000000"/>
          <w:sz w:val="21"/>
          <w:szCs w:val="21"/>
        </w:rPr>
        <w:t>租赁</w:t>
      </w:r>
      <w:r>
        <w:rPr>
          <w:rFonts w:ascii="Arial" w:hAnsi="Arial" w:cs="Arial"/>
          <w:color w:val="000000"/>
          <w:sz w:val="21"/>
          <w:szCs w:val="21"/>
        </w:rPr>
        <w:t>交易实例进行对照比较，并依据后者已知的价格，参照该房地产的交易情况、期日、区域及实物状况的差别，修正得出估价对象房地产</w:t>
      </w:r>
      <w:r>
        <w:rPr>
          <w:rFonts w:ascii="Arial" w:hAnsi="Arial" w:cs="Arial" w:hint="eastAsia"/>
          <w:color w:val="000000"/>
          <w:sz w:val="21"/>
          <w:szCs w:val="21"/>
        </w:rPr>
        <w:t>市场租金水平</w:t>
      </w:r>
      <w:r>
        <w:rPr>
          <w:rFonts w:ascii="Arial" w:hAnsi="Arial" w:cs="Arial"/>
          <w:color w:val="000000"/>
          <w:sz w:val="21"/>
          <w:szCs w:val="21"/>
        </w:rPr>
        <w:t>的方法。本次估价采用比较法思路评估租金价格水平。</w:t>
      </w:r>
    </w:p>
    <w:p w14:paraId="04D9296A" w14:textId="77777777" w:rsidR="00AF6F34" w:rsidRDefault="00AF6F34">
      <w:pPr>
        <w:pStyle w:val="LO-Normal"/>
        <w:overflowPunct w:val="0"/>
        <w:autoSpaceDE w:val="0"/>
        <w:spacing w:line="480" w:lineRule="auto"/>
        <w:ind w:right="140" w:firstLine="420"/>
        <w:jc w:val="both"/>
        <w:textAlignment w:val="auto"/>
      </w:pPr>
      <w:r>
        <w:rPr>
          <w:rFonts w:ascii="Arial" w:hAnsi="Arial" w:cs="Arial" w:hint="eastAsia"/>
          <w:color w:val="000000"/>
          <w:sz w:val="21"/>
          <w:szCs w:val="21"/>
        </w:rPr>
        <w:t>1.</w:t>
      </w:r>
      <w:r>
        <w:rPr>
          <w:rFonts w:ascii="Arial" w:hAnsi="Arial" w:cs="Arial"/>
          <w:color w:val="000000"/>
          <w:sz w:val="21"/>
          <w:szCs w:val="21"/>
        </w:rPr>
        <w:t>采用</w:t>
      </w:r>
      <w:r>
        <w:rPr>
          <w:rFonts w:ascii="Arial" w:hAnsi="Arial" w:cs="Arial" w:hint="eastAsia"/>
          <w:color w:val="000000"/>
          <w:sz w:val="21"/>
          <w:szCs w:val="21"/>
        </w:rPr>
        <w:t>比较法</w:t>
      </w:r>
      <w:r>
        <w:rPr>
          <w:rFonts w:ascii="Arial" w:hAnsi="Arial" w:cs="Arial"/>
          <w:color w:val="000000"/>
          <w:sz w:val="21"/>
          <w:szCs w:val="21"/>
        </w:rPr>
        <w:t>的理由</w:t>
      </w:r>
      <w:r>
        <w:rPr>
          <w:rFonts w:ascii="Arial" w:hAnsi="Arial" w:cs="Arial" w:hint="eastAsia"/>
          <w:color w:val="000000"/>
          <w:sz w:val="21"/>
          <w:szCs w:val="21"/>
        </w:rPr>
        <w:t>：</w:t>
      </w:r>
    </w:p>
    <w:p w14:paraId="1A168C98" w14:textId="77777777" w:rsidR="00AF6F34" w:rsidRDefault="00AF6F34">
      <w:pPr>
        <w:pStyle w:val="LO-Normal"/>
        <w:overflowPunct w:val="0"/>
        <w:autoSpaceDE w:val="0"/>
        <w:spacing w:line="480" w:lineRule="auto"/>
        <w:ind w:right="140" w:firstLine="420"/>
        <w:jc w:val="both"/>
        <w:textAlignment w:val="auto"/>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ascii="Arial" w:hAnsi="Arial" w:cs="Arial" w:hint="eastAsia"/>
          <w:sz w:val="21"/>
          <w:szCs w:val="21"/>
        </w:rPr>
        <w:t>。</w:t>
      </w:r>
      <w:r>
        <w:rPr>
          <w:rFonts w:ascii="Arial" w:eastAsia="Arial" w:hAnsi="Arial" w:cs="Arial"/>
          <w:color w:val="000000"/>
          <w:sz w:val="21"/>
          <w:szCs w:val="21"/>
        </w:rPr>
        <w:t xml:space="preserve"> </w:t>
      </w:r>
      <w:r>
        <w:rPr>
          <w:rFonts w:ascii="Arial" w:hAnsi="Arial" w:cs="Arial"/>
          <w:color w:val="000000"/>
          <w:sz w:val="21"/>
          <w:szCs w:val="21"/>
        </w:rPr>
        <w:t>同时</w:t>
      </w:r>
      <w:r>
        <w:rPr>
          <w:rFonts w:ascii="Arial" w:hAnsi="Arial" w:cs="Arial" w:hint="eastAsia"/>
          <w:color w:val="000000"/>
          <w:sz w:val="21"/>
          <w:szCs w:val="21"/>
        </w:rPr>
        <w:t>，</w:t>
      </w:r>
      <w:r>
        <w:rPr>
          <w:rFonts w:ascii="Arial" w:hAnsi="Arial" w:cs="Arial"/>
          <w:color w:val="000000"/>
          <w:sz w:val="21"/>
          <w:szCs w:val="21"/>
        </w:rPr>
        <w:t>通过区域因素修正得出估价对象相邻或相似区域住宅租赁价格水平</w:t>
      </w:r>
      <w:r>
        <w:rPr>
          <w:rFonts w:ascii="Arial" w:hAnsi="Arial" w:cs="Arial" w:hint="eastAsia"/>
          <w:color w:val="000000"/>
          <w:sz w:val="21"/>
          <w:szCs w:val="21"/>
        </w:rPr>
        <w:t>。</w:t>
      </w:r>
    </w:p>
    <w:p w14:paraId="6E1C68D3" w14:textId="77777777" w:rsidR="00AF6F34" w:rsidRPr="00941FE0" w:rsidRDefault="00AF6F34">
      <w:pPr>
        <w:pStyle w:val="LO-Normal"/>
        <w:overflowPunct w:val="0"/>
        <w:autoSpaceDE w:val="0"/>
        <w:spacing w:line="480" w:lineRule="auto"/>
        <w:ind w:right="140" w:firstLine="420"/>
        <w:jc w:val="both"/>
        <w:textAlignment w:val="auto"/>
        <w:rPr>
          <w:rFonts w:ascii="Arial" w:hAnsi="Arial" w:cs="Arial"/>
        </w:rPr>
      </w:pPr>
      <w:r w:rsidRPr="00941FE0">
        <w:rPr>
          <w:rFonts w:ascii="Arial" w:hAnsi="Arial" w:cs="Arial"/>
          <w:color w:val="000000"/>
          <w:sz w:val="21"/>
          <w:szCs w:val="21"/>
        </w:rPr>
        <w:lastRenderedPageBreak/>
        <w:t>2.</w:t>
      </w:r>
      <w:r w:rsidRPr="00941FE0">
        <w:rPr>
          <w:rFonts w:ascii="Arial" w:hAnsi="Arial" w:cs="Arial"/>
          <w:color w:val="000000"/>
          <w:sz w:val="21"/>
          <w:szCs w:val="21"/>
        </w:rPr>
        <w:t>不采用成本法、假设开发法、收益法的理由：</w:t>
      </w:r>
    </w:p>
    <w:p w14:paraId="52EE5D0A" w14:textId="77777777" w:rsidR="00AF6F34" w:rsidRPr="00941FE0" w:rsidRDefault="00AF6F34">
      <w:pPr>
        <w:pStyle w:val="LO-Normal"/>
        <w:overflowPunct w:val="0"/>
        <w:autoSpaceDE w:val="0"/>
        <w:spacing w:line="480" w:lineRule="auto"/>
        <w:ind w:right="140" w:firstLine="420"/>
        <w:jc w:val="both"/>
        <w:textAlignment w:val="auto"/>
        <w:rPr>
          <w:rFonts w:ascii="Arial" w:hAnsi="Arial" w:cs="Arial"/>
        </w:rPr>
      </w:pPr>
      <w:r w:rsidRPr="00941FE0">
        <w:rPr>
          <w:rFonts w:ascii="Arial" w:hAnsi="Arial" w:cs="Arial"/>
          <w:color w:val="000000"/>
          <w:sz w:val="21"/>
          <w:szCs w:val="21"/>
        </w:rPr>
        <w:t>（</w:t>
      </w:r>
      <w:r w:rsidRPr="00941FE0">
        <w:rPr>
          <w:rFonts w:ascii="Arial" w:hAnsi="Arial" w:cs="Arial"/>
          <w:color w:val="000000"/>
          <w:sz w:val="21"/>
          <w:szCs w:val="21"/>
        </w:rPr>
        <w:t>1</w:t>
      </w:r>
      <w:r w:rsidRPr="00941FE0">
        <w:rPr>
          <w:rFonts w:ascii="Arial" w:hAnsi="Arial" w:cs="Arial"/>
          <w:color w:val="000000"/>
          <w:sz w:val="21"/>
          <w:szCs w:val="21"/>
        </w:rPr>
        <w:t>）成本法和假设开发法可评估房地产市场价值，但不适于租赁价格的评估。</w:t>
      </w:r>
    </w:p>
    <w:p w14:paraId="1D74222D" w14:textId="77777777" w:rsidR="00AF6F34" w:rsidRDefault="00AF6F34">
      <w:pPr>
        <w:pStyle w:val="LO-Normal"/>
        <w:overflowPunct w:val="0"/>
        <w:autoSpaceDE w:val="0"/>
        <w:spacing w:line="480" w:lineRule="auto"/>
        <w:ind w:right="140" w:firstLine="420"/>
        <w:jc w:val="both"/>
        <w:textAlignment w:val="auto"/>
      </w:pPr>
      <w:r w:rsidRPr="00941FE0">
        <w:rPr>
          <w:rFonts w:ascii="Arial" w:hAnsi="Arial" w:cs="Arial"/>
          <w:color w:val="000000"/>
          <w:sz w:val="21"/>
          <w:szCs w:val="21"/>
        </w:rPr>
        <w:t>（</w:t>
      </w:r>
      <w:r w:rsidRPr="00941FE0">
        <w:rPr>
          <w:rFonts w:ascii="Arial" w:hAnsi="Arial" w:cs="Arial"/>
          <w:color w:val="000000"/>
          <w:sz w:val="21"/>
          <w:szCs w:val="21"/>
        </w:rPr>
        <w:t>2</w:t>
      </w:r>
      <w:r w:rsidRPr="00941FE0">
        <w:rPr>
          <w:rFonts w:ascii="Arial" w:hAnsi="Arial" w:cs="Arial"/>
          <w:color w:val="000000"/>
          <w:sz w:val="21"/>
          <w:szCs w:val="21"/>
        </w:rPr>
        <w:t>）</w:t>
      </w:r>
      <w:r w:rsidRPr="00941FE0">
        <w:rPr>
          <w:rFonts w:ascii="Arial" w:hAnsi="Arial" w:cs="Arial"/>
          <w:sz w:val="21"/>
          <w:szCs w:val="21"/>
        </w:rPr>
        <w:t>收益法适用于有现实收益或潜在收益的土地或房地产估价。估价对象用途为住宅用房，能对外出租，为收益性物业，估价对象虽具有潜在租金收益，租金水平也相对稳定，而由于受到国人传统的购房理念以</w:t>
      </w:r>
      <w:r>
        <w:rPr>
          <w:rFonts w:ascii="Arial" w:hAnsi="Arial" w:cs="Arial"/>
          <w:sz w:val="21"/>
          <w:szCs w:val="21"/>
        </w:rPr>
        <w:t>及固定资产投资、保值需求等的影响，目前估价对象所在区域同类商品房住宅业态租售比差距较大，</w:t>
      </w:r>
      <w:r>
        <w:rPr>
          <w:rFonts w:ascii="Arial" w:eastAsia="Arial" w:hAnsi="Arial" w:cs="Arial"/>
          <w:sz w:val="21"/>
          <w:szCs w:val="21"/>
        </w:rPr>
        <w:t xml:space="preserve"> </w:t>
      </w:r>
      <w:r>
        <w:rPr>
          <w:rFonts w:ascii="Arial" w:hAnsi="Arial" w:cs="Arial"/>
          <w:sz w:val="21"/>
          <w:szCs w:val="21"/>
        </w:rPr>
        <w:t>采用房屋交易价格测算出的房屋租金不能反映正常的市场租金水平，故未采用收益法</w:t>
      </w:r>
      <w:r>
        <w:rPr>
          <w:rFonts w:ascii="Arial" w:hAnsi="Arial" w:cs="Arial" w:hint="eastAsia"/>
          <w:sz w:val="21"/>
          <w:szCs w:val="21"/>
        </w:rPr>
        <w:t>。</w:t>
      </w:r>
      <w:r>
        <w:rPr>
          <w:rFonts w:ascii="Arial" w:eastAsia="Arial" w:hAnsi="Arial" w:cs="Arial"/>
          <w:sz w:val="21"/>
          <w:szCs w:val="21"/>
        </w:rPr>
        <w:t xml:space="preserve"> </w:t>
      </w:r>
    </w:p>
    <w:p w14:paraId="0B4FCE26" w14:textId="77777777" w:rsidR="00AF6F34" w:rsidRDefault="00AF6F34">
      <w:pPr>
        <w:pStyle w:val="LO-Normal"/>
        <w:overflowPunct w:val="0"/>
        <w:autoSpaceDE w:val="0"/>
        <w:spacing w:line="480" w:lineRule="auto"/>
        <w:ind w:right="140" w:firstLine="420"/>
        <w:jc w:val="both"/>
        <w:textAlignment w:val="auto"/>
        <w:rPr>
          <w:rFonts w:ascii="Arial" w:hAnsi="Arial" w:cs="Arial"/>
          <w:sz w:val="21"/>
          <w:szCs w:val="21"/>
        </w:rPr>
      </w:pPr>
    </w:p>
    <w:p w14:paraId="0FA44B51" w14:textId="77777777" w:rsidR="00AF6F34" w:rsidRDefault="00AF6F34">
      <w:pPr>
        <w:pStyle w:val="2"/>
        <w:numPr>
          <w:ilvl w:val="0"/>
          <w:numId w:val="0"/>
        </w:numPr>
        <w:overflowPunct w:val="0"/>
        <w:spacing w:line="480" w:lineRule="auto"/>
        <w:ind w:left="358" w:hanging="358"/>
        <w:jc w:val="both"/>
        <w:textAlignment w:val="auto"/>
      </w:pPr>
      <w:bookmarkStart w:id="18" w:name="_Toc161661014"/>
      <w:r>
        <w:rPr>
          <w:rFonts w:eastAsia="宋体"/>
          <w:kern w:val="2"/>
          <w:sz w:val="21"/>
          <w:szCs w:val="21"/>
        </w:rPr>
        <w:t>十、估价结果</w:t>
      </w:r>
      <w:bookmarkEnd w:id="18"/>
    </w:p>
    <w:p w14:paraId="2CEA2F27" w14:textId="23665C20" w:rsidR="00AF6F34" w:rsidRDefault="00AF6F34">
      <w:pPr>
        <w:overflowPunct w:val="0"/>
        <w:spacing w:line="480" w:lineRule="auto"/>
        <w:ind w:firstLine="420"/>
        <w:jc w:val="both"/>
        <w:textAlignment w:val="auto"/>
      </w:pPr>
      <w:r>
        <w:rPr>
          <w:rFonts w:ascii="Arial" w:hAnsi="Arial" w:cs="Arial"/>
          <w:sz w:val="21"/>
          <w:szCs w:val="21"/>
        </w:rPr>
        <w:t>评估专业人员根据估价的目的，</w:t>
      </w:r>
      <w:r>
        <w:rPr>
          <w:rFonts w:ascii="Arial" w:hAnsi="Arial" w:cs="Arial" w:hint="eastAsia"/>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ascii="Arial" w:hAnsi="Arial" w:cs="Arial" w:hint="eastAsia"/>
          <w:sz w:val="21"/>
          <w:szCs w:val="21"/>
        </w:rPr>
        <w:t>租赁</w:t>
      </w:r>
      <w:r>
        <w:rPr>
          <w:rFonts w:ascii="Arial" w:hAnsi="Arial" w:cs="Arial"/>
          <w:sz w:val="21"/>
          <w:szCs w:val="21"/>
        </w:rPr>
        <w:t>价格的因素，</w:t>
      </w:r>
      <w:r>
        <w:rPr>
          <w:rFonts w:ascii="Arial" w:hAnsi="Arial" w:cs="Arial" w:hint="eastAsia"/>
          <w:sz w:val="21"/>
          <w:szCs w:val="21"/>
        </w:rPr>
        <w:t>最终</w:t>
      </w:r>
      <w:r>
        <w:rPr>
          <w:rFonts w:ascii="Arial" w:hAnsi="Arial" w:cs="Arial"/>
          <w:sz w:val="21"/>
          <w:szCs w:val="21"/>
        </w:rPr>
        <w:t>确定估价对象</w:t>
      </w:r>
      <w:r>
        <w:rPr>
          <w:rFonts w:ascii="Arial" w:hAnsi="Arial" w:cs="Arial" w:hint="eastAsia"/>
          <w:sz w:val="21"/>
          <w:szCs w:val="21"/>
        </w:rPr>
        <w:t>同地块、同类型普通住宅房地产于价值时点</w:t>
      </w:r>
      <w:r w:rsidR="00094507">
        <w:rPr>
          <w:rFonts w:ascii="Arial" w:hAnsi="Arial" w:cs="Arial" w:hint="eastAsia"/>
          <w:sz w:val="21"/>
          <w:szCs w:val="21"/>
        </w:rPr>
        <w:t>2025</w:t>
      </w:r>
      <w:r w:rsidR="00094507">
        <w:rPr>
          <w:rFonts w:ascii="Arial" w:hAnsi="Arial" w:cs="Arial" w:hint="eastAsia"/>
          <w:sz w:val="21"/>
          <w:szCs w:val="21"/>
        </w:rPr>
        <w:t>年</w:t>
      </w:r>
      <w:r w:rsidR="00094507">
        <w:rPr>
          <w:rFonts w:ascii="Arial" w:hAnsi="Arial" w:cs="Arial" w:hint="eastAsia"/>
          <w:sz w:val="21"/>
          <w:szCs w:val="21"/>
        </w:rPr>
        <w:t>11</w:t>
      </w:r>
      <w:r w:rsidR="00094507">
        <w:rPr>
          <w:rFonts w:ascii="Arial" w:hAnsi="Arial" w:cs="Arial" w:hint="eastAsia"/>
          <w:sz w:val="21"/>
          <w:szCs w:val="21"/>
        </w:rPr>
        <w:t>月</w:t>
      </w:r>
      <w:r w:rsidR="00094507">
        <w:rPr>
          <w:rFonts w:ascii="Arial" w:hAnsi="Arial" w:cs="Arial" w:hint="eastAsia"/>
          <w:sz w:val="21"/>
          <w:szCs w:val="21"/>
        </w:rPr>
        <w:t>1</w:t>
      </w:r>
      <w:r w:rsidR="00094507">
        <w:rPr>
          <w:rFonts w:ascii="Arial" w:hAnsi="Arial" w:cs="Arial" w:hint="eastAsia"/>
          <w:sz w:val="21"/>
          <w:szCs w:val="21"/>
        </w:rPr>
        <w:t>日</w:t>
      </w:r>
      <w:r>
        <w:rPr>
          <w:rFonts w:ascii="Arial" w:hAnsi="Arial" w:cs="Arial" w:hint="eastAsia"/>
          <w:sz w:val="21"/>
          <w:szCs w:val="21"/>
        </w:rPr>
        <w:t>前一年内（</w:t>
      </w:r>
      <w:r w:rsidR="00D517EB">
        <w:rPr>
          <w:rFonts w:ascii="Arial" w:hAnsi="Arial" w:cs="Arial" w:hint="eastAsia"/>
          <w:sz w:val="21"/>
          <w:szCs w:val="21"/>
        </w:rPr>
        <w:t>2024</w:t>
      </w:r>
      <w:r w:rsidR="00D517EB">
        <w:rPr>
          <w:rFonts w:ascii="Arial" w:hAnsi="Arial" w:cs="Arial" w:hint="eastAsia"/>
          <w:sz w:val="21"/>
          <w:szCs w:val="21"/>
        </w:rPr>
        <w:t>年</w:t>
      </w:r>
      <w:r w:rsidR="00D517EB">
        <w:rPr>
          <w:rFonts w:ascii="Arial" w:hAnsi="Arial" w:cs="Arial" w:hint="eastAsia"/>
          <w:sz w:val="21"/>
          <w:szCs w:val="21"/>
        </w:rPr>
        <w:t>11</w:t>
      </w:r>
      <w:r w:rsidR="00D517EB">
        <w:rPr>
          <w:rFonts w:ascii="Arial" w:hAnsi="Arial" w:cs="Arial" w:hint="eastAsia"/>
          <w:sz w:val="21"/>
          <w:szCs w:val="21"/>
        </w:rPr>
        <w:t>月</w:t>
      </w:r>
      <w:r w:rsidR="00D517EB">
        <w:rPr>
          <w:rFonts w:ascii="Arial" w:hAnsi="Arial" w:cs="Arial" w:hint="eastAsia"/>
          <w:sz w:val="21"/>
          <w:szCs w:val="21"/>
        </w:rPr>
        <w:t>1</w:t>
      </w:r>
      <w:r w:rsidR="00D517EB">
        <w:rPr>
          <w:rFonts w:ascii="Arial" w:hAnsi="Arial" w:cs="Arial" w:hint="eastAsia"/>
          <w:sz w:val="21"/>
          <w:szCs w:val="21"/>
        </w:rPr>
        <w:t>日至</w:t>
      </w:r>
      <w:r w:rsidR="00D517EB">
        <w:rPr>
          <w:rFonts w:ascii="Arial" w:hAnsi="Arial" w:cs="Arial" w:hint="eastAsia"/>
          <w:sz w:val="21"/>
          <w:szCs w:val="21"/>
        </w:rPr>
        <w:t>2025</w:t>
      </w:r>
      <w:r w:rsidR="00D517EB">
        <w:rPr>
          <w:rFonts w:ascii="Arial" w:hAnsi="Arial" w:cs="Arial" w:hint="eastAsia"/>
          <w:sz w:val="21"/>
          <w:szCs w:val="21"/>
        </w:rPr>
        <w:t>年</w:t>
      </w:r>
      <w:r w:rsidR="00D517EB">
        <w:rPr>
          <w:rFonts w:ascii="Arial" w:hAnsi="Arial" w:cs="Arial" w:hint="eastAsia"/>
          <w:sz w:val="21"/>
          <w:szCs w:val="21"/>
        </w:rPr>
        <w:t>10</w:t>
      </w:r>
      <w:r w:rsidR="00D517EB">
        <w:rPr>
          <w:rFonts w:ascii="Arial" w:hAnsi="Arial" w:cs="Arial" w:hint="eastAsia"/>
          <w:sz w:val="21"/>
          <w:szCs w:val="21"/>
        </w:rPr>
        <w:t>月</w:t>
      </w:r>
      <w:r w:rsidR="00D517EB">
        <w:rPr>
          <w:rFonts w:ascii="Arial" w:hAnsi="Arial" w:cs="Arial" w:hint="eastAsia"/>
          <w:sz w:val="21"/>
          <w:szCs w:val="21"/>
        </w:rPr>
        <w:t>31</w:t>
      </w:r>
      <w:r w:rsidR="00D517EB">
        <w:rPr>
          <w:rFonts w:ascii="Arial" w:hAnsi="Arial" w:cs="Arial" w:hint="eastAsia"/>
          <w:sz w:val="21"/>
          <w:szCs w:val="21"/>
        </w:rPr>
        <w:t>日</w:t>
      </w:r>
      <w:r>
        <w:rPr>
          <w:rFonts w:ascii="Arial" w:hAnsi="Arial" w:cs="Arial" w:hint="eastAsia"/>
          <w:sz w:val="21"/>
          <w:szCs w:val="21"/>
        </w:rPr>
        <w:t>）平均市场租金水平为：</w:t>
      </w:r>
      <w:r>
        <w:rPr>
          <w:rFonts w:ascii="Arial" w:eastAsia="Arial" w:hAnsi="Arial" w:cs="Arial" w:hint="eastAsia"/>
          <w:sz w:val="21"/>
          <w:szCs w:val="21"/>
        </w:rPr>
        <w:t xml:space="preserve"> </w:t>
      </w:r>
    </w:p>
    <w:p w14:paraId="2F1FC502" w14:textId="5B2C3782" w:rsidR="0098638C" w:rsidRDefault="0098638C" w:rsidP="0098638C">
      <w:pPr>
        <w:overflowPunct w:val="0"/>
        <w:spacing w:line="480" w:lineRule="auto"/>
        <w:ind w:firstLine="422"/>
        <w:textAlignment w:val="auto"/>
        <w:rPr>
          <w:rFonts w:ascii="Arial" w:hAnsi="Arial" w:cs="Arial"/>
          <w:b/>
          <w:bCs/>
          <w:sz w:val="21"/>
          <w:szCs w:val="21"/>
        </w:rPr>
      </w:pPr>
      <w:r>
        <w:rPr>
          <w:rFonts w:ascii="Arial" w:hAnsi="Arial" w:cs="Arial" w:hint="eastAsia"/>
          <w:b/>
          <w:bCs/>
          <w:sz w:val="21"/>
          <w:szCs w:val="21"/>
        </w:rPr>
        <w:t>南海家园：</w:t>
      </w:r>
      <w:r w:rsidR="00EC4DBF">
        <w:rPr>
          <w:rFonts w:ascii="Arial" w:hAnsi="Arial" w:cs="Arial"/>
          <w:b/>
          <w:bCs/>
          <w:sz w:val="21"/>
          <w:szCs w:val="21"/>
        </w:rPr>
        <w:t>56.00</w:t>
      </w: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r>
        <w:rPr>
          <w:rFonts w:ascii="Arial" w:hAnsi="Arial" w:cs="Arial"/>
          <w:b/>
          <w:bCs/>
          <w:sz w:val="21"/>
          <w:szCs w:val="21"/>
        </w:rPr>
        <w:t>·</w:t>
      </w:r>
      <w:r>
        <w:rPr>
          <w:rFonts w:ascii="Arial" w:hAnsi="Arial" w:cs="Arial"/>
          <w:b/>
          <w:bCs/>
          <w:sz w:val="21"/>
          <w:szCs w:val="21"/>
        </w:rPr>
        <w:t>月</w:t>
      </w:r>
      <w:r>
        <w:rPr>
          <w:rFonts w:ascii="Arial" w:hAnsi="Arial" w:cs="Arial" w:hint="eastAsia"/>
          <w:b/>
          <w:bCs/>
          <w:sz w:val="21"/>
          <w:szCs w:val="21"/>
        </w:rPr>
        <w:t>（货币种类：人民币）</w:t>
      </w:r>
    </w:p>
    <w:p w14:paraId="70D5AF65" w14:textId="77777777" w:rsidR="00AF6F34" w:rsidRDefault="00AF6F34">
      <w:pPr>
        <w:overflowPunct w:val="0"/>
        <w:spacing w:line="480" w:lineRule="auto"/>
        <w:ind w:firstLine="360"/>
        <w:jc w:val="both"/>
        <w:textAlignment w:val="auto"/>
      </w:pPr>
      <w:r>
        <w:rPr>
          <w:rFonts w:ascii="Arial" w:hAnsi="Arial" w:cs="Arial"/>
          <w:sz w:val="18"/>
          <w:szCs w:val="18"/>
        </w:rPr>
        <w:t>注：</w:t>
      </w:r>
      <w:r>
        <w:rPr>
          <w:rFonts w:ascii="Arial" w:hAnsi="Arial" w:cs="Arial"/>
          <w:sz w:val="18"/>
          <w:szCs w:val="18"/>
        </w:rPr>
        <w:t>1</w:t>
      </w:r>
      <w:r>
        <w:rPr>
          <w:rFonts w:ascii="Arial" w:hAnsi="Arial" w:cs="Arial"/>
          <w:sz w:val="18"/>
          <w:szCs w:val="18"/>
        </w:rPr>
        <w:t>、</w:t>
      </w:r>
      <w:r>
        <w:rPr>
          <w:rFonts w:ascii="Arial" w:hAnsi="Arial" w:cs="Arial" w:hint="eastAsia"/>
          <w:sz w:val="18"/>
          <w:szCs w:val="18"/>
        </w:rPr>
        <w:t>评估的详细结果、过程及有关说明，详见《估价结果报告》、《估价技术报告》。</w:t>
      </w:r>
    </w:p>
    <w:p w14:paraId="50B6B572" w14:textId="77777777" w:rsidR="00AF6F34" w:rsidRDefault="00AF6F34">
      <w:pPr>
        <w:overflowPunct w:val="0"/>
        <w:spacing w:line="480" w:lineRule="auto"/>
        <w:ind w:left="360"/>
        <w:jc w:val="both"/>
        <w:textAlignment w:val="auto"/>
      </w:pPr>
      <w:r>
        <w:rPr>
          <w:rFonts w:ascii="Arial" w:eastAsia="Arial" w:hAnsi="Arial" w:cs="Arial"/>
          <w:sz w:val="18"/>
          <w:szCs w:val="18"/>
        </w:rPr>
        <w:t xml:space="preserve">    </w:t>
      </w:r>
      <w:r>
        <w:rPr>
          <w:rFonts w:ascii="Arial" w:hAnsi="Arial" w:cs="Arial"/>
          <w:sz w:val="18"/>
          <w:szCs w:val="18"/>
        </w:rPr>
        <w:t>2</w:t>
      </w:r>
      <w:r>
        <w:rPr>
          <w:rFonts w:ascii="Arial" w:hAnsi="Arial" w:cs="Arial"/>
          <w:sz w:val="18"/>
          <w:szCs w:val="18"/>
        </w:rPr>
        <w:t>、</w:t>
      </w:r>
      <w:r>
        <w:rPr>
          <w:rFonts w:ascii="Arial" w:hAnsi="Arial" w:cs="Arial" w:hint="eastAsia"/>
          <w:sz w:val="18"/>
          <w:szCs w:val="18"/>
        </w:rPr>
        <w:t>估价结果为项目同地段、同类型普通住宅前</w:t>
      </w:r>
      <w:r>
        <w:rPr>
          <w:rFonts w:ascii="Arial" w:hAnsi="Arial" w:cs="Arial" w:hint="eastAsia"/>
          <w:sz w:val="18"/>
          <w:szCs w:val="18"/>
        </w:rPr>
        <w:t>12</w:t>
      </w:r>
      <w:r>
        <w:rPr>
          <w:rFonts w:ascii="Arial" w:hAnsi="Arial" w:cs="Arial" w:hint="eastAsia"/>
          <w:sz w:val="18"/>
          <w:szCs w:val="18"/>
        </w:rPr>
        <w:t>个月的市场平均月租金价格。</w:t>
      </w:r>
    </w:p>
    <w:p w14:paraId="0C5BA4B8" w14:textId="77777777" w:rsidR="00AF6F34" w:rsidRDefault="00AF6F34">
      <w:pPr>
        <w:overflowPunct w:val="0"/>
        <w:spacing w:line="480" w:lineRule="auto"/>
        <w:ind w:left="720" w:hanging="360"/>
        <w:jc w:val="both"/>
        <w:textAlignment w:val="auto"/>
      </w:pPr>
      <w:r>
        <w:rPr>
          <w:rFonts w:ascii="Arial" w:eastAsia="Arial" w:hAnsi="Arial" w:cs="Arial"/>
          <w:sz w:val="18"/>
          <w:szCs w:val="18"/>
        </w:rPr>
        <w:t xml:space="preserve">    </w:t>
      </w:r>
      <w:r w:rsidR="007C5209">
        <w:rPr>
          <w:rFonts w:ascii="Arial" w:hAnsi="Arial" w:cs="Arial"/>
          <w:sz w:val="18"/>
          <w:szCs w:val="18"/>
        </w:rPr>
        <w:t>3</w:t>
      </w:r>
      <w:r>
        <w:rPr>
          <w:rFonts w:ascii="Arial" w:hAnsi="Arial" w:cs="Arial"/>
          <w:sz w:val="18"/>
          <w:szCs w:val="18"/>
        </w:rPr>
        <w:t>、估价结果</w:t>
      </w:r>
      <w:r>
        <w:rPr>
          <w:rFonts w:ascii="Arial" w:hAnsi="Arial" w:cs="Arial" w:hint="eastAsia"/>
          <w:sz w:val="18"/>
          <w:szCs w:val="18"/>
        </w:rPr>
        <w:t>包括地租、房屋折旧、设备折旧、维修费、保险费、物业费、供暖费、管理费、利息、利润、家具、家电租赁费及租赁税费等；不含水电费、天然气费、通信费、有线电视费、上网宽带费等。</w:t>
      </w:r>
    </w:p>
    <w:p w14:paraId="32CAD334" w14:textId="77777777" w:rsidR="00AF6F34" w:rsidRDefault="00AF6F34">
      <w:pPr>
        <w:overflowPunct w:val="0"/>
        <w:spacing w:line="480" w:lineRule="auto"/>
        <w:ind w:left="707" w:hanging="347"/>
        <w:jc w:val="both"/>
        <w:textAlignment w:val="auto"/>
        <w:rPr>
          <w:rFonts w:ascii="Arial" w:hAnsi="Arial" w:cs="Arial"/>
          <w:sz w:val="18"/>
          <w:szCs w:val="18"/>
        </w:rPr>
      </w:pPr>
    </w:p>
    <w:p w14:paraId="2A1539C0" w14:textId="77777777" w:rsidR="00AF6F34" w:rsidRDefault="004B0380">
      <w:pPr>
        <w:pStyle w:val="2"/>
        <w:numPr>
          <w:ilvl w:val="0"/>
          <w:numId w:val="0"/>
        </w:numPr>
        <w:overflowPunct w:val="0"/>
        <w:spacing w:line="480" w:lineRule="auto"/>
        <w:jc w:val="both"/>
        <w:textAlignment w:val="auto"/>
      </w:pPr>
      <w:r>
        <w:rPr>
          <w:rFonts w:eastAsia="宋体"/>
          <w:kern w:val="2"/>
          <w:sz w:val="21"/>
          <w:szCs w:val="21"/>
        </w:rPr>
        <w:br w:type="page"/>
      </w:r>
      <w:bookmarkStart w:id="19" w:name="_Toc161661015"/>
      <w:r w:rsidR="00AF6F34">
        <w:rPr>
          <w:rFonts w:eastAsia="宋体"/>
          <w:kern w:val="2"/>
          <w:sz w:val="21"/>
          <w:szCs w:val="21"/>
        </w:rPr>
        <w:lastRenderedPageBreak/>
        <w:t>十一、参与本次估价工作的</w:t>
      </w:r>
      <w:r w:rsidR="00AF6F34">
        <w:rPr>
          <w:rFonts w:eastAsia="宋体" w:hint="eastAsia"/>
          <w:kern w:val="2"/>
          <w:sz w:val="21"/>
          <w:szCs w:val="21"/>
        </w:rPr>
        <w:t>评估专业</w:t>
      </w:r>
      <w:r w:rsidR="00AF6F34">
        <w:t>人员</w:t>
      </w:r>
      <w:bookmarkEnd w:id="19"/>
    </w:p>
    <w:tbl>
      <w:tblPr>
        <w:tblW w:w="0" w:type="auto"/>
        <w:jc w:val="center"/>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7"/>
      </w:tblGrid>
      <w:tr w:rsidR="00AF6F34" w14:paraId="5EF7CBF0" w14:textId="77777777">
        <w:trPr>
          <w:cantSplit/>
          <w:trHeight w:hRule="exact" w:val="454"/>
          <w:jc w:val="center"/>
        </w:trPr>
        <w:tc>
          <w:tcPr>
            <w:tcW w:w="9304" w:type="dxa"/>
            <w:gridSpan w:val="4"/>
            <w:tcBorders>
              <w:top w:val="single" w:sz="2" w:space="0" w:color="404040"/>
              <w:left w:val="single" w:sz="2" w:space="0" w:color="404040"/>
              <w:bottom w:val="single" w:sz="2" w:space="0" w:color="404040"/>
              <w:right w:val="single" w:sz="2" w:space="0" w:color="404040"/>
            </w:tcBorders>
            <w:shd w:val="clear" w:color="auto" w:fill="auto"/>
            <w:vAlign w:val="center"/>
          </w:tcPr>
          <w:p w14:paraId="0B5535A6" w14:textId="77777777" w:rsidR="00AF6F34" w:rsidRDefault="00AF6F34">
            <w:pPr>
              <w:tabs>
                <w:tab w:val="left" w:pos="5160"/>
              </w:tabs>
              <w:overflowPunct w:val="0"/>
              <w:spacing w:line="240" w:lineRule="auto"/>
            </w:pPr>
            <w:r>
              <w:rPr>
                <w:rFonts w:ascii="Arial" w:hAnsi="Arial" w:cs="Arial"/>
                <w:b/>
                <w:kern w:val="2"/>
                <w:sz w:val="21"/>
                <w:szCs w:val="21"/>
              </w:rPr>
              <w:t>注册房地产估价师</w:t>
            </w:r>
          </w:p>
        </w:tc>
      </w:tr>
      <w:tr w:rsidR="00AF6F34" w14:paraId="51DBFB33" w14:textId="77777777">
        <w:trPr>
          <w:cantSplit/>
          <w:trHeight w:hRule="exact" w:val="454"/>
          <w:jc w:val="center"/>
        </w:trPr>
        <w:tc>
          <w:tcPr>
            <w:tcW w:w="1746" w:type="dxa"/>
            <w:tcBorders>
              <w:top w:val="single" w:sz="2" w:space="0" w:color="404040"/>
              <w:left w:val="single" w:sz="2" w:space="0" w:color="404040"/>
              <w:bottom w:val="single" w:sz="2" w:space="0" w:color="404040"/>
            </w:tcBorders>
            <w:shd w:val="clear" w:color="auto" w:fill="auto"/>
            <w:vAlign w:val="center"/>
          </w:tcPr>
          <w:p w14:paraId="63579D96" w14:textId="77777777" w:rsidR="00AF6F34" w:rsidRDefault="00AF6F34">
            <w:pPr>
              <w:tabs>
                <w:tab w:val="left" w:pos="5160"/>
              </w:tabs>
              <w:overflowPunct w:val="0"/>
              <w:spacing w:line="240" w:lineRule="auto"/>
            </w:pPr>
            <w:r>
              <w:rPr>
                <w:rFonts w:ascii="Arial" w:hAnsi="Arial" w:cs="Arial"/>
                <w:color w:val="000000"/>
                <w:sz w:val="21"/>
                <w:szCs w:val="21"/>
              </w:rPr>
              <w:t>姓</w:t>
            </w:r>
            <w:r>
              <w:rPr>
                <w:rFonts w:ascii="Arial" w:eastAsia="Arial" w:hAnsi="Arial" w:cs="Arial" w:hint="eastAsia"/>
                <w:color w:val="000000"/>
                <w:sz w:val="21"/>
                <w:szCs w:val="21"/>
              </w:rPr>
              <w:t xml:space="preserve">  </w:t>
            </w:r>
            <w:r>
              <w:rPr>
                <w:rFonts w:ascii="Arial" w:hAnsi="Arial" w:cs="Arial"/>
                <w:color w:val="000000"/>
                <w:sz w:val="21"/>
                <w:szCs w:val="21"/>
              </w:rPr>
              <w:t>名</w:t>
            </w:r>
          </w:p>
        </w:tc>
        <w:tc>
          <w:tcPr>
            <w:tcW w:w="2197" w:type="dxa"/>
            <w:tcBorders>
              <w:top w:val="single" w:sz="2" w:space="0" w:color="404040"/>
              <w:left w:val="single" w:sz="2" w:space="0" w:color="404040"/>
              <w:bottom w:val="single" w:sz="2" w:space="0" w:color="404040"/>
            </w:tcBorders>
            <w:shd w:val="clear" w:color="auto" w:fill="auto"/>
            <w:vAlign w:val="center"/>
          </w:tcPr>
          <w:p w14:paraId="334576CF" w14:textId="77777777" w:rsidR="00AF6F34" w:rsidRDefault="00AF6F34">
            <w:pPr>
              <w:tabs>
                <w:tab w:val="left" w:pos="5160"/>
              </w:tabs>
              <w:overflowPunct w:val="0"/>
              <w:spacing w:line="240" w:lineRule="auto"/>
            </w:pPr>
            <w:r>
              <w:rPr>
                <w:rFonts w:ascii="Arial" w:hAnsi="Arial" w:cs="Arial"/>
                <w:color w:val="000000"/>
                <w:sz w:val="21"/>
                <w:szCs w:val="21"/>
              </w:rPr>
              <w:t>注册号</w:t>
            </w:r>
          </w:p>
        </w:tc>
        <w:tc>
          <w:tcPr>
            <w:tcW w:w="2774" w:type="dxa"/>
            <w:tcBorders>
              <w:top w:val="single" w:sz="2" w:space="0" w:color="404040"/>
              <w:left w:val="single" w:sz="2" w:space="0" w:color="404040"/>
              <w:bottom w:val="single" w:sz="2" w:space="0" w:color="404040"/>
            </w:tcBorders>
            <w:shd w:val="clear" w:color="auto" w:fill="auto"/>
            <w:vAlign w:val="center"/>
          </w:tcPr>
          <w:p w14:paraId="0AEBAB95" w14:textId="77777777" w:rsidR="00AF6F34" w:rsidRDefault="00AF6F34">
            <w:pPr>
              <w:tabs>
                <w:tab w:val="left" w:pos="5160"/>
              </w:tabs>
              <w:overflowPunct w:val="0"/>
              <w:spacing w:line="240" w:lineRule="auto"/>
            </w:pPr>
            <w:r>
              <w:rPr>
                <w:rFonts w:ascii="Arial" w:hAnsi="Arial" w:cs="Arial"/>
                <w:color w:val="000000"/>
                <w:sz w:val="21"/>
                <w:szCs w:val="21"/>
              </w:rPr>
              <w:t>签名</w:t>
            </w:r>
          </w:p>
        </w:tc>
        <w:tc>
          <w:tcPr>
            <w:tcW w:w="2587" w:type="dxa"/>
            <w:tcBorders>
              <w:top w:val="single" w:sz="2" w:space="0" w:color="404040"/>
              <w:left w:val="single" w:sz="2" w:space="0" w:color="404040"/>
              <w:bottom w:val="single" w:sz="2" w:space="0" w:color="404040"/>
              <w:right w:val="single" w:sz="2" w:space="0" w:color="404040"/>
            </w:tcBorders>
            <w:shd w:val="clear" w:color="auto" w:fill="auto"/>
            <w:vAlign w:val="center"/>
          </w:tcPr>
          <w:p w14:paraId="0E223871" w14:textId="77777777" w:rsidR="00AF6F34" w:rsidRDefault="00AF6F34">
            <w:pPr>
              <w:tabs>
                <w:tab w:val="left" w:pos="5160"/>
              </w:tabs>
              <w:overflowPunct w:val="0"/>
              <w:spacing w:line="240" w:lineRule="auto"/>
            </w:pPr>
            <w:r>
              <w:rPr>
                <w:rFonts w:ascii="Arial" w:hAnsi="Arial" w:cs="Arial"/>
                <w:color w:val="000000"/>
                <w:sz w:val="21"/>
                <w:szCs w:val="21"/>
              </w:rPr>
              <w:t>签名日期</w:t>
            </w:r>
          </w:p>
        </w:tc>
      </w:tr>
      <w:tr w:rsidR="00AF6F34" w14:paraId="28E815CC" w14:textId="77777777">
        <w:trPr>
          <w:cantSplit/>
          <w:trHeight w:hRule="exact" w:val="1134"/>
          <w:jc w:val="center"/>
        </w:trPr>
        <w:tc>
          <w:tcPr>
            <w:tcW w:w="1746" w:type="dxa"/>
            <w:tcBorders>
              <w:top w:val="single" w:sz="2" w:space="0" w:color="404040"/>
              <w:left w:val="single" w:sz="2" w:space="0" w:color="404040"/>
              <w:bottom w:val="single" w:sz="2" w:space="0" w:color="404040"/>
            </w:tcBorders>
            <w:shd w:val="clear" w:color="auto" w:fill="auto"/>
            <w:vAlign w:val="center"/>
          </w:tcPr>
          <w:p w14:paraId="7F40BD8C" w14:textId="721052E3" w:rsidR="00AF6F34" w:rsidRDefault="00941FE0">
            <w:pPr>
              <w:tabs>
                <w:tab w:val="left" w:pos="5160"/>
              </w:tabs>
              <w:overflowPunct w:val="0"/>
              <w:spacing w:line="240" w:lineRule="auto"/>
            </w:pPr>
            <w:r>
              <w:rPr>
                <w:rFonts w:ascii="Arial" w:hAnsi="Arial" w:cs="Arial" w:hint="eastAsia"/>
                <w:color w:val="000000"/>
                <w:sz w:val="21"/>
                <w:szCs w:val="21"/>
              </w:rPr>
              <w:t>常</w:t>
            </w:r>
            <w:r>
              <w:rPr>
                <w:rFonts w:ascii="Arial" w:hAnsi="Arial" w:cs="Arial" w:hint="eastAsia"/>
                <w:color w:val="000000"/>
                <w:sz w:val="21"/>
                <w:szCs w:val="21"/>
              </w:rPr>
              <w:t xml:space="preserve"> </w:t>
            </w:r>
            <w:r>
              <w:rPr>
                <w:rFonts w:ascii="Arial" w:hAnsi="Arial" w:cs="Arial"/>
                <w:color w:val="000000"/>
                <w:sz w:val="21"/>
                <w:szCs w:val="21"/>
              </w:rPr>
              <w:t xml:space="preserve"> </w:t>
            </w:r>
            <w:r>
              <w:rPr>
                <w:rFonts w:ascii="Arial" w:hAnsi="Arial" w:cs="Arial" w:hint="eastAsia"/>
                <w:color w:val="000000"/>
                <w:sz w:val="21"/>
                <w:szCs w:val="21"/>
              </w:rPr>
              <w:t>畅</w:t>
            </w:r>
          </w:p>
        </w:tc>
        <w:tc>
          <w:tcPr>
            <w:tcW w:w="2197" w:type="dxa"/>
            <w:tcBorders>
              <w:top w:val="single" w:sz="2" w:space="0" w:color="404040"/>
              <w:left w:val="single" w:sz="2" w:space="0" w:color="404040"/>
              <w:bottom w:val="single" w:sz="2" w:space="0" w:color="404040"/>
            </w:tcBorders>
            <w:shd w:val="clear" w:color="auto" w:fill="auto"/>
            <w:vAlign w:val="center"/>
          </w:tcPr>
          <w:p w14:paraId="71B4A4E2" w14:textId="4FF14445" w:rsidR="00AF6F34" w:rsidRDefault="00AF6F34" w:rsidP="00941FE0">
            <w:pPr>
              <w:tabs>
                <w:tab w:val="left" w:pos="5160"/>
              </w:tabs>
              <w:overflowPunct w:val="0"/>
              <w:spacing w:line="240" w:lineRule="auto"/>
            </w:pPr>
            <w:r>
              <w:rPr>
                <w:rFonts w:ascii="Arial" w:hAnsi="Arial" w:cs="Arial" w:hint="eastAsia"/>
                <w:color w:val="000000"/>
                <w:sz w:val="21"/>
                <w:szCs w:val="21"/>
              </w:rPr>
              <w:t>1120</w:t>
            </w:r>
            <w:r w:rsidR="00941FE0">
              <w:rPr>
                <w:rFonts w:ascii="Arial" w:hAnsi="Arial" w:cs="Arial"/>
                <w:color w:val="000000"/>
                <w:sz w:val="21"/>
                <w:szCs w:val="21"/>
              </w:rPr>
              <w:t>250061</w:t>
            </w:r>
          </w:p>
        </w:tc>
        <w:tc>
          <w:tcPr>
            <w:tcW w:w="2774" w:type="dxa"/>
            <w:tcBorders>
              <w:top w:val="single" w:sz="2" w:space="0" w:color="404040"/>
              <w:left w:val="single" w:sz="2" w:space="0" w:color="404040"/>
              <w:bottom w:val="single" w:sz="2" w:space="0" w:color="404040"/>
            </w:tcBorders>
            <w:shd w:val="clear" w:color="auto" w:fill="auto"/>
            <w:vAlign w:val="center"/>
          </w:tcPr>
          <w:p w14:paraId="3A266A36" w14:textId="77777777" w:rsidR="00AF6F34" w:rsidRDefault="00AF6F34">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shd w:val="clear" w:color="auto" w:fill="auto"/>
            <w:vAlign w:val="center"/>
          </w:tcPr>
          <w:p w14:paraId="6EC57A0C" w14:textId="77777777" w:rsidR="00AF6F34" w:rsidRDefault="00AF6F34">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hint="eastAsia"/>
                <w:color w:val="000000"/>
                <w:sz w:val="21"/>
                <w:szCs w:val="21"/>
              </w:rPr>
              <w:t xml:space="preserve">    </w:t>
            </w:r>
            <w:r>
              <w:rPr>
                <w:rFonts w:ascii="Arial" w:hAnsi="Arial" w:cs="Arial"/>
                <w:color w:val="000000"/>
                <w:sz w:val="21"/>
                <w:szCs w:val="21"/>
              </w:rPr>
              <w:t>月</w:t>
            </w:r>
            <w:r>
              <w:rPr>
                <w:rFonts w:ascii="Arial" w:eastAsia="Arial" w:hAnsi="Arial" w:cs="Arial" w:hint="eastAsia"/>
                <w:color w:val="000000"/>
                <w:sz w:val="21"/>
                <w:szCs w:val="21"/>
              </w:rPr>
              <w:t xml:space="preserve">    </w:t>
            </w:r>
            <w:r>
              <w:rPr>
                <w:rFonts w:ascii="Arial" w:hAnsi="Arial" w:cs="Arial"/>
                <w:color w:val="000000"/>
                <w:sz w:val="21"/>
                <w:szCs w:val="21"/>
              </w:rPr>
              <w:t>日</w:t>
            </w:r>
          </w:p>
        </w:tc>
      </w:tr>
      <w:tr w:rsidR="00AF6F34" w14:paraId="7F171AFF" w14:textId="77777777">
        <w:trPr>
          <w:cantSplit/>
          <w:trHeight w:hRule="exact" w:val="1134"/>
          <w:jc w:val="center"/>
        </w:trPr>
        <w:tc>
          <w:tcPr>
            <w:tcW w:w="1746" w:type="dxa"/>
            <w:tcBorders>
              <w:top w:val="single" w:sz="2" w:space="0" w:color="404040"/>
              <w:left w:val="single" w:sz="2" w:space="0" w:color="404040"/>
              <w:bottom w:val="single" w:sz="2" w:space="0" w:color="404040"/>
            </w:tcBorders>
            <w:shd w:val="clear" w:color="auto" w:fill="auto"/>
            <w:vAlign w:val="center"/>
          </w:tcPr>
          <w:p w14:paraId="6A98FB43" w14:textId="77777777" w:rsidR="00AF6F34" w:rsidRDefault="00AF6F34">
            <w:pPr>
              <w:tabs>
                <w:tab w:val="left" w:pos="5160"/>
              </w:tabs>
              <w:overflowPunct w:val="0"/>
              <w:spacing w:line="240" w:lineRule="auto"/>
            </w:pPr>
            <w:r>
              <w:rPr>
                <w:rFonts w:ascii="Arial" w:hAnsi="Arial" w:cs="Arial" w:hint="eastAsia"/>
                <w:color w:val="000000"/>
                <w:sz w:val="21"/>
                <w:szCs w:val="21"/>
              </w:rPr>
              <w:t>许皓源</w:t>
            </w:r>
          </w:p>
        </w:tc>
        <w:tc>
          <w:tcPr>
            <w:tcW w:w="2197" w:type="dxa"/>
            <w:tcBorders>
              <w:top w:val="single" w:sz="2" w:space="0" w:color="404040"/>
              <w:left w:val="single" w:sz="2" w:space="0" w:color="404040"/>
              <w:bottom w:val="single" w:sz="2" w:space="0" w:color="404040"/>
            </w:tcBorders>
            <w:shd w:val="clear" w:color="auto" w:fill="auto"/>
            <w:vAlign w:val="center"/>
          </w:tcPr>
          <w:p w14:paraId="09EC3679" w14:textId="77777777" w:rsidR="00AF6F34" w:rsidRDefault="00AF6F34">
            <w:pPr>
              <w:tabs>
                <w:tab w:val="left" w:pos="5160"/>
              </w:tabs>
              <w:overflowPunct w:val="0"/>
              <w:spacing w:line="240" w:lineRule="auto"/>
            </w:pPr>
            <w:r>
              <w:rPr>
                <w:rFonts w:ascii="Arial" w:eastAsia="方正黑体简体" w:hAnsi="Arial" w:cs="Arial"/>
                <w:sz w:val="21"/>
                <w:szCs w:val="21"/>
              </w:rPr>
              <w:t>1119980019</w:t>
            </w:r>
          </w:p>
        </w:tc>
        <w:tc>
          <w:tcPr>
            <w:tcW w:w="2774" w:type="dxa"/>
            <w:tcBorders>
              <w:top w:val="single" w:sz="2" w:space="0" w:color="404040"/>
              <w:left w:val="single" w:sz="2" w:space="0" w:color="404040"/>
              <w:bottom w:val="single" w:sz="2" w:space="0" w:color="404040"/>
            </w:tcBorders>
            <w:shd w:val="clear" w:color="auto" w:fill="auto"/>
            <w:vAlign w:val="center"/>
          </w:tcPr>
          <w:p w14:paraId="45F28078" w14:textId="77777777" w:rsidR="00AF6F34" w:rsidRDefault="00AF6F34">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shd w:val="clear" w:color="auto" w:fill="auto"/>
            <w:vAlign w:val="center"/>
          </w:tcPr>
          <w:p w14:paraId="0337647F" w14:textId="77777777" w:rsidR="00AF6F34" w:rsidRDefault="00AF6F34">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hint="eastAsia"/>
                <w:color w:val="000000"/>
                <w:sz w:val="21"/>
                <w:szCs w:val="21"/>
              </w:rPr>
              <w:t xml:space="preserve">    </w:t>
            </w:r>
            <w:r>
              <w:rPr>
                <w:rFonts w:ascii="Arial" w:hAnsi="Arial" w:cs="Arial"/>
                <w:color w:val="000000"/>
                <w:sz w:val="21"/>
                <w:szCs w:val="21"/>
              </w:rPr>
              <w:t>月</w:t>
            </w:r>
            <w:r>
              <w:rPr>
                <w:rFonts w:ascii="Arial" w:eastAsia="Arial" w:hAnsi="Arial" w:cs="Arial" w:hint="eastAsia"/>
                <w:color w:val="000000"/>
                <w:sz w:val="21"/>
                <w:szCs w:val="21"/>
              </w:rPr>
              <w:t xml:space="preserve">    </w:t>
            </w:r>
            <w:r>
              <w:rPr>
                <w:rFonts w:ascii="Arial" w:hAnsi="Arial" w:cs="Arial"/>
                <w:color w:val="000000"/>
                <w:sz w:val="21"/>
                <w:szCs w:val="21"/>
              </w:rPr>
              <w:t>日</w:t>
            </w:r>
          </w:p>
        </w:tc>
      </w:tr>
    </w:tbl>
    <w:p w14:paraId="1EA25CAE" w14:textId="77777777" w:rsidR="00AF6F34" w:rsidRDefault="00AF6F34">
      <w:pPr>
        <w:overflowPunct w:val="0"/>
        <w:spacing w:line="480" w:lineRule="auto"/>
        <w:jc w:val="both"/>
        <w:textAlignment w:val="auto"/>
        <w:rPr>
          <w:rFonts w:ascii="Arial" w:hAnsi="Arial" w:cs="Arial"/>
          <w:kern w:val="2"/>
          <w:sz w:val="21"/>
          <w:szCs w:val="21"/>
        </w:rPr>
      </w:pPr>
    </w:p>
    <w:p w14:paraId="55CA4006" w14:textId="77777777" w:rsidR="00AF6F34" w:rsidRDefault="00AF6F34">
      <w:pPr>
        <w:pStyle w:val="2"/>
        <w:numPr>
          <w:ilvl w:val="0"/>
          <w:numId w:val="0"/>
        </w:numPr>
        <w:overflowPunct w:val="0"/>
        <w:spacing w:line="480" w:lineRule="auto"/>
        <w:jc w:val="both"/>
        <w:textAlignment w:val="auto"/>
      </w:pPr>
      <w:bookmarkStart w:id="20" w:name="_Toc161661016"/>
      <w:r>
        <w:rPr>
          <w:rFonts w:eastAsia="宋体"/>
          <w:kern w:val="2"/>
          <w:sz w:val="21"/>
          <w:szCs w:val="21"/>
        </w:rPr>
        <w:t>十二、实地查勘期</w:t>
      </w:r>
      <w:bookmarkEnd w:id="20"/>
    </w:p>
    <w:p w14:paraId="4B070497" w14:textId="17323B6D" w:rsidR="00AF6F34" w:rsidRDefault="00094507">
      <w:pPr>
        <w:overflowPunct w:val="0"/>
        <w:spacing w:line="480" w:lineRule="auto"/>
        <w:ind w:firstLine="420"/>
        <w:jc w:val="both"/>
        <w:textAlignment w:val="auto"/>
      </w:pPr>
      <w:r>
        <w:rPr>
          <w:rFonts w:ascii="Arial" w:hAnsi="Arial" w:cs="Arial"/>
          <w:sz w:val="21"/>
          <w:szCs w:val="21"/>
        </w:rPr>
        <w:t>2025</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6747E999" w14:textId="77777777" w:rsidR="00AF6F34" w:rsidRDefault="00AF6F34">
      <w:pPr>
        <w:overflowPunct w:val="0"/>
        <w:spacing w:line="480" w:lineRule="auto"/>
        <w:jc w:val="both"/>
        <w:textAlignment w:val="auto"/>
        <w:rPr>
          <w:rFonts w:ascii="Arial" w:hAnsi="Arial" w:cs="Arial"/>
          <w:kern w:val="2"/>
          <w:sz w:val="21"/>
          <w:szCs w:val="21"/>
        </w:rPr>
      </w:pPr>
    </w:p>
    <w:p w14:paraId="4CD97D21" w14:textId="77777777" w:rsidR="00AF6F34" w:rsidRDefault="00AF6F34">
      <w:pPr>
        <w:pStyle w:val="2"/>
        <w:numPr>
          <w:ilvl w:val="0"/>
          <w:numId w:val="0"/>
        </w:numPr>
        <w:overflowPunct w:val="0"/>
        <w:spacing w:line="480" w:lineRule="auto"/>
        <w:jc w:val="both"/>
        <w:textAlignment w:val="auto"/>
      </w:pPr>
      <w:bookmarkStart w:id="21" w:name="_Toc161661017"/>
      <w:r>
        <w:rPr>
          <w:rFonts w:eastAsia="宋体"/>
          <w:kern w:val="2"/>
          <w:sz w:val="21"/>
          <w:szCs w:val="21"/>
        </w:rPr>
        <w:t>十三、估价作业期</w:t>
      </w:r>
      <w:bookmarkEnd w:id="21"/>
      <w:r>
        <w:rPr>
          <w:rFonts w:eastAsia="Arial" w:hint="eastAsia"/>
          <w:kern w:val="2"/>
          <w:sz w:val="21"/>
          <w:szCs w:val="21"/>
        </w:rPr>
        <w:t xml:space="preserve">  </w:t>
      </w:r>
    </w:p>
    <w:p w14:paraId="4EA24011" w14:textId="17699080" w:rsidR="00AF6F34" w:rsidRDefault="00941FE0">
      <w:pPr>
        <w:overflowPunct w:val="0"/>
        <w:spacing w:line="480" w:lineRule="auto"/>
        <w:ind w:firstLine="420"/>
        <w:jc w:val="both"/>
        <w:textAlignment w:val="auto"/>
        <w:sectPr w:rsidR="00AF6F34" w:rsidSect="00B943B0">
          <w:headerReference w:type="even" r:id="rId37"/>
          <w:headerReference w:type="default" r:id="rId38"/>
          <w:footerReference w:type="even" r:id="rId39"/>
          <w:footerReference w:type="default" r:id="rId40"/>
          <w:headerReference w:type="first" r:id="rId41"/>
          <w:footerReference w:type="first" r:id="rId42"/>
          <w:pgSz w:w="11906" w:h="16838"/>
          <w:pgMar w:top="1843" w:right="1134" w:bottom="1134" w:left="1474" w:header="1134" w:footer="907" w:gutter="0"/>
          <w:cols w:space="720"/>
          <w:docGrid w:linePitch="326"/>
        </w:sectPr>
      </w:pPr>
      <w:r>
        <w:rPr>
          <w:rFonts w:ascii="Arial" w:hAnsi="Arial" w:cs="Arial"/>
          <w:sz w:val="21"/>
          <w:szCs w:val="21"/>
        </w:rPr>
        <w:t>2025</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27</w:t>
      </w:r>
      <w:r>
        <w:rPr>
          <w:rFonts w:ascii="Arial" w:hAnsi="Arial" w:cs="Arial"/>
          <w:sz w:val="21"/>
          <w:szCs w:val="21"/>
        </w:rPr>
        <w:t>日至</w:t>
      </w:r>
      <w:r>
        <w:rPr>
          <w:rFonts w:ascii="Arial" w:hAnsi="Arial" w:cs="Arial"/>
          <w:sz w:val="21"/>
          <w:szCs w:val="21"/>
        </w:rPr>
        <w:t>2025</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28</w:t>
      </w:r>
      <w:r>
        <w:rPr>
          <w:rFonts w:ascii="Arial" w:hAnsi="Arial" w:cs="Arial"/>
          <w:sz w:val="21"/>
          <w:szCs w:val="21"/>
        </w:rPr>
        <w:t>日</w:t>
      </w:r>
      <w:r>
        <w:rPr>
          <w:rFonts w:ascii="Arial" w:hAnsi="Arial" w:cs="Arial"/>
          <w:sz w:val="21"/>
          <w:szCs w:val="21"/>
        </w:rPr>
        <w:t xml:space="preserve"> </w:t>
      </w:r>
    </w:p>
    <w:p w14:paraId="4180A74A" w14:textId="77777777" w:rsidR="00AF6F34" w:rsidRDefault="00AF6F34">
      <w:pPr>
        <w:pStyle w:val="1"/>
        <w:spacing w:line="480" w:lineRule="auto"/>
        <w:jc w:val="center"/>
      </w:pPr>
      <w:bookmarkStart w:id="22" w:name="_Toc161661018"/>
      <w:r>
        <w:rPr>
          <w:rFonts w:eastAsia="方正黑体简体" w:hint="eastAsia"/>
          <w:b w:val="0"/>
          <w:kern w:val="2"/>
          <w:sz w:val="32"/>
          <w:szCs w:val="32"/>
        </w:rPr>
        <w:lastRenderedPageBreak/>
        <w:t>估价技术报告</w:t>
      </w:r>
      <w:bookmarkEnd w:id="22"/>
    </w:p>
    <w:p w14:paraId="7F9E96EC" w14:textId="77777777" w:rsidR="00AF6F34" w:rsidRDefault="00AF6F34">
      <w:pPr>
        <w:pStyle w:val="2"/>
        <w:numPr>
          <w:ilvl w:val="0"/>
          <w:numId w:val="0"/>
        </w:numPr>
        <w:spacing w:line="480" w:lineRule="auto"/>
        <w:ind w:left="358" w:hanging="358"/>
        <w:jc w:val="both"/>
      </w:pPr>
      <w:bookmarkStart w:id="23" w:name="_Toc161661019"/>
      <w:r>
        <w:rPr>
          <w:rFonts w:eastAsia="宋体"/>
          <w:kern w:val="2"/>
          <w:sz w:val="21"/>
          <w:szCs w:val="21"/>
        </w:rPr>
        <w:t>一、估价对象描述与分析</w:t>
      </w:r>
      <w:bookmarkEnd w:id="23"/>
    </w:p>
    <w:p w14:paraId="0210E229" w14:textId="77777777" w:rsidR="00AF6F34" w:rsidRDefault="00AF6F34">
      <w:pPr>
        <w:pStyle w:val="2"/>
        <w:numPr>
          <w:ilvl w:val="0"/>
          <w:numId w:val="0"/>
        </w:numPr>
        <w:spacing w:line="480" w:lineRule="auto"/>
        <w:ind w:left="360" w:hanging="360"/>
        <w:jc w:val="both"/>
      </w:pPr>
      <w:bookmarkStart w:id="24" w:name="_Toc161661020"/>
      <w:r>
        <w:rPr>
          <w:rFonts w:eastAsia="宋体"/>
          <w:kern w:val="2"/>
          <w:sz w:val="21"/>
          <w:szCs w:val="21"/>
        </w:rPr>
        <w:t>（</w:t>
      </w:r>
      <w:r>
        <w:rPr>
          <w:rFonts w:eastAsia="宋体" w:hint="eastAsia"/>
          <w:kern w:val="2"/>
          <w:sz w:val="21"/>
          <w:szCs w:val="21"/>
        </w:rPr>
        <w:t>一</w:t>
      </w:r>
      <w:r>
        <w:rPr>
          <w:rFonts w:eastAsia="宋体"/>
          <w:kern w:val="2"/>
          <w:sz w:val="21"/>
          <w:szCs w:val="21"/>
        </w:rPr>
        <w:t>）区位状况分析</w:t>
      </w:r>
      <w:bookmarkEnd w:id="24"/>
    </w:p>
    <w:p w14:paraId="5CC0ED46" w14:textId="77777777" w:rsidR="00AF6F34" w:rsidRDefault="00AF6F34">
      <w:pPr>
        <w:spacing w:line="480" w:lineRule="auto"/>
        <w:ind w:firstLine="420"/>
        <w:jc w:val="both"/>
      </w:pPr>
      <w:r>
        <w:rPr>
          <w:rFonts w:ascii="Arial" w:hAnsi="Arial" w:cs="Arial"/>
          <w:sz w:val="21"/>
          <w:szCs w:val="21"/>
        </w:rPr>
        <w:t>1.</w:t>
      </w:r>
      <w:r>
        <w:rPr>
          <w:rFonts w:ascii="Arial" w:hAnsi="Arial" w:cs="Arial"/>
          <w:sz w:val="21"/>
          <w:szCs w:val="21"/>
        </w:rPr>
        <w:t>位置状况</w:t>
      </w:r>
      <w:r>
        <w:rPr>
          <w:rFonts w:ascii="Arial" w:eastAsia="Arial" w:hAnsi="Arial" w:cs="Arial" w:hint="eastAsia"/>
          <w:sz w:val="21"/>
          <w:szCs w:val="21"/>
        </w:rPr>
        <w:t xml:space="preserve">  </w:t>
      </w:r>
      <w:r>
        <w:rPr>
          <w:rFonts w:ascii="Arial" w:eastAsia="Arial" w:hAnsi="Arial" w:cs="Arial" w:hint="eastAsia"/>
          <w:kern w:val="2"/>
          <w:sz w:val="21"/>
          <w:szCs w:val="21"/>
        </w:rPr>
        <w:t xml:space="preserve">  </w:t>
      </w:r>
    </w:p>
    <w:p w14:paraId="705B80FA" w14:textId="77777777" w:rsidR="00AF6F34" w:rsidRDefault="00AF6F34">
      <w:pPr>
        <w:spacing w:line="480" w:lineRule="auto"/>
        <w:ind w:firstLine="420"/>
        <w:jc w:val="both"/>
      </w:pPr>
      <w:r>
        <w:rPr>
          <w:rFonts w:ascii="Arial" w:hAnsi="Arial" w:cs="Arial" w:hint="eastAsia"/>
          <w:kern w:val="2"/>
          <w:sz w:val="21"/>
          <w:szCs w:val="21"/>
        </w:rPr>
        <w:t>估价对象</w:t>
      </w:r>
      <w:r>
        <w:rPr>
          <w:rFonts w:ascii="Arial" w:hAnsi="Arial" w:cs="Arial"/>
          <w:kern w:val="2"/>
          <w:sz w:val="21"/>
          <w:szCs w:val="21"/>
        </w:rPr>
        <w:t>位于</w:t>
      </w:r>
      <w:r>
        <w:rPr>
          <w:rFonts w:ascii="Arial" w:hAnsi="Arial" w:cs="Arial" w:hint="eastAsia"/>
          <w:kern w:val="2"/>
          <w:sz w:val="21"/>
          <w:szCs w:val="21"/>
        </w:rPr>
        <w:t>北京经济技术开发区南海家园一、二、三、四、五、六、七里</w:t>
      </w:r>
      <w:r>
        <w:rPr>
          <w:rFonts w:ascii="Arial" w:hAnsi="Arial" w:cs="Arial"/>
          <w:kern w:val="2"/>
          <w:sz w:val="21"/>
          <w:szCs w:val="21"/>
        </w:rPr>
        <w:t>，其所属项目</w:t>
      </w:r>
      <w:r>
        <w:rPr>
          <w:rFonts w:ascii="Arial" w:hAnsi="Arial" w:cs="Arial" w:hint="eastAsia"/>
          <w:kern w:val="2"/>
          <w:sz w:val="21"/>
          <w:szCs w:val="21"/>
        </w:rPr>
        <w:t>北侧</w:t>
      </w:r>
      <w:r>
        <w:rPr>
          <w:rFonts w:ascii="Arial" w:hAnsi="Arial" w:cs="Arial"/>
          <w:kern w:val="2"/>
          <w:sz w:val="21"/>
          <w:szCs w:val="21"/>
        </w:rPr>
        <w:t>紧邻</w:t>
      </w:r>
      <w:r>
        <w:rPr>
          <w:rFonts w:ascii="Arial" w:hAnsi="Arial" w:cs="Arial" w:hint="eastAsia"/>
          <w:kern w:val="2"/>
          <w:sz w:val="21"/>
          <w:szCs w:val="21"/>
        </w:rPr>
        <w:t>黄亦路、泰河路</w:t>
      </w:r>
      <w:r>
        <w:rPr>
          <w:rFonts w:ascii="Arial" w:hAnsi="Arial" w:cs="Arial"/>
          <w:kern w:val="2"/>
          <w:sz w:val="21"/>
          <w:szCs w:val="21"/>
        </w:rPr>
        <w:t>，土地级别属于北京市基准地价居住类七级，</w:t>
      </w:r>
      <w:r>
        <w:rPr>
          <w:rFonts w:ascii="Arial" w:hAnsi="Arial" w:cs="Arial"/>
          <w:kern w:val="2"/>
          <w:sz w:val="21"/>
          <w:szCs w:val="21"/>
        </w:rPr>
        <w:t>VII-</w:t>
      </w:r>
      <w:r>
        <w:rPr>
          <w:rFonts w:ascii="Arial" w:hAnsi="Arial" w:cs="Arial"/>
          <w:kern w:val="2"/>
          <w:sz w:val="21"/>
          <w:szCs w:val="21"/>
        </w:rPr>
        <w:t>亦</w:t>
      </w:r>
      <w:r>
        <w:rPr>
          <w:rFonts w:ascii="Arial" w:hAnsi="Arial" w:cs="Arial"/>
          <w:kern w:val="2"/>
          <w:sz w:val="21"/>
          <w:szCs w:val="21"/>
        </w:rPr>
        <w:t>1</w:t>
      </w:r>
      <w:r>
        <w:rPr>
          <w:rFonts w:ascii="Arial" w:hAnsi="Arial" w:cs="Arial"/>
          <w:kern w:val="2"/>
          <w:sz w:val="21"/>
          <w:szCs w:val="21"/>
        </w:rPr>
        <w:t>区片，地理位置状况较好。</w:t>
      </w:r>
    </w:p>
    <w:p w14:paraId="016FF2E8" w14:textId="77777777" w:rsidR="00AF6F34" w:rsidRDefault="00AF6F34">
      <w:pPr>
        <w:spacing w:line="480" w:lineRule="auto"/>
        <w:ind w:firstLine="420"/>
        <w:jc w:val="both"/>
      </w:pPr>
      <w:r>
        <w:rPr>
          <w:rFonts w:ascii="Arial" w:hAnsi="Arial" w:cs="Arial"/>
          <w:color w:val="0D0D0D"/>
          <w:sz w:val="21"/>
          <w:szCs w:val="21"/>
        </w:rPr>
        <w:t>2.</w:t>
      </w:r>
      <w:r>
        <w:rPr>
          <w:rFonts w:ascii="Arial" w:hAnsi="Arial" w:cs="Arial"/>
          <w:sz w:val="21"/>
          <w:szCs w:val="21"/>
        </w:rPr>
        <w:t>居住社区成熟度</w:t>
      </w:r>
    </w:p>
    <w:p w14:paraId="3EC659F7" w14:textId="77777777" w:rsidR="00AF6F34" w:rsidRDefault="00AF6F34">
      <w:pPr>
        <w:spacing w:line="480" w:lineRule="auto"/>
        <w:ind w:firstLine="420"/>
        <w:jc w:val="both"/>
      </w:pPr>
      <w:r>
        <w:rPr>
          <w:rFonts w:ascii="Arial" w:hAnsi="Arial" w:cs="Arial" w:hint="eastAsia"/>
          <w:kern w:val="2"/>
          <w:sz w:val="21"/>
          <w:szCs w:val="21"/>
        </w:rPr>
        <w:t>估价对象</w:t>
      </w:r>
      <w:r w:rsidR="00830400">
        <w:rPr>
          <w:rFonts w:ascii="Arial" w:hAnsi="Arial" w:cs="Arial" w:hint="eastAsia"/>
          <w:kern w:val="2"/>
          <w:sz w:val="21"/>
          <w:szCs w:val="21"/>
        </w:rPr>
        <w:t>周边有鹿海园、泰河园、和悦华锦、兴海园、观海苑、中芯花园、悦廷、博客雅苑</w:t>
      </w:r>
      <w:r>
        <w:rPr>
          <w:rFonts w:ascii="Arial" w:hAnsi="Arial" w:cs="Arial" w:hint="eastAsia"/>
          <w:kern w:val="2"/>
          <w:sz w:val="21"/>
          <w:szCs w:val="21"/>
        </w:rPr>
        <w:t>等居住小区，居住小区规模较大，入住率较高，综合评价居住区成熟度较好。</w:t>
      </w:r>
    </w:p>
    <w:p w14:paraId="5A762E99" w14:textId="77777777" w:rsidR="00AF6F34" w:rsidRDefault="00AF6F34">
      <w:pPr>
        <w:spacing w:line="480" w:lineRule="auto"/>
        <w:ind w:firstLine="420"/>
        <w:jc w:val="both"/>
      </w:pPr>
      <w:r>
        <w:rPr>
          <w:rFonts w:ascii="Arial" w:hAnsi="Arial" w:cs="Arial"/>
          <w:sz w:val="21"/>
          <w:szCs w:val="21"/>
        </w:rPr>
        <w:t>3.</w:t>
      </w:r>
      <w:r>
        <w:rPr>
          <w:rFonts w:ascii="Arial" w:hAnsi="Arial" w:cs="Arial" w:hint="eastAsia"/>
          <w:sz w:val="21"/>
          <w:szCs w:val="21"/>
        </w:rPr>
        <w:t>交</w:t>
      </w:r>
      <w:r>
        <w:rPr>
          <w:rFonts w:ascii="Arial" w:hAnsi="Arial" w:cs="Arial"/>
          <w:sz w:val="21"/>
          <w:szCs w:val="21"/>
        </w:rPr>
        <w:t>通状况</w:t>
      </w:r>
    </w:p>
    <w:p w14:paraId="02E68F09" w14:textId="77777777" w:rsidR="00AF6F34" w:rsidRDefault="00AF6F34">
      <w:pPr>
        <w:spacing w:line="480" w:lineRule="auto"/>
        <w:ind w:firstLine="420"/>
        <w:jc w:val="both"/>
      </w:pPr>
      <w:r>
        <w:rPr>
          <w:rFonts w:ascii="Arial" w:hAnsi="Arial" w:cs="Arial" w:hint="eastAsia"/>
          <w:kern w:val="2"/>
          <w:sz w:val="21"/>
          <w:szCs w:val="21"/>
        </w:rPr>
        <w:t>估价对象所属项目北侧临近城市快速路——南五环路，周边有公交车站（南海家园三里、南海家园六里等），停靠线路有兴</w:t>
      </w:r>
      <w:r>
        <w:rPr>
          <w:rFonts w:ascii="Arial" w:hAnsi="Arial" w:cs="Arial" w:hint="eastAsia"/>
          <w:kern w:val="2"/>
          <w:sz w:val="21"/>
          <w:szCs w:val="21"/>
        </w:rPr>
        <w:t>72</w:t>
      </w:r>
      <w:r>
        <w:rPr>
          <w:rFonts w:ascii="Arial" w:hAnsi="Arial" w:cs="Arial" w:hint="eastAsia"/>
          <w:kern w:val="2"/>
          <w:sz w:val="21"/>
          <w:szCs w:val="21"/>
        </w:rPr>
        <w:t>路、兴</w:t>
      </w:r>
      <w:r>
        <w:rPr>
          <w:rFonts w:ascii="Arial" w:hAnsi="Arial" w:cs="Arial" w:hint="eastAsia"/>
          <w:kern w:val="2"/>
          <w:sz w:val="21"/>
          <w:szCs w:val="21"/>
        </w:rPr>
        <w:t>74</w:t>
      </w:r>
      <w:r>
        <w:rPr>
          <w:rFonts w:ascii="Arial" w:hAnsi="Arial" w:cs="Arial" w:hint="eastAsia"/>
          <w:kern w:val="2"/>
          <w:sz w:val="21"/>
          <w:szCs w:val="21"/>
        </w:rPr>
        <w:t>路、</w:t>
      </w:r>
      <w:r>
        <w:rPr>
          <w:rFonts w:ascii="Arial" w:eastAsia="Arial" w:hAnsi="Arial" w:cs="Arial" w:hint="eastAsia"/>
          <w:kern w:val="2"/>
          <w:sz w:val="21"/>
          <w:szCs w:val="21"/>
        </w:rPr>
        <w:t xml:space="preserve"> </w:t>
      </w:r>
      <w:r>
        <w:rPr>
          <w:rFonts w:ascii="Arial" w:hAnsi="Arial" w:cs="Arial" w:hint="eastAsia"/>
          <w:kern w:val="2"/>
          <w:sz w:val="21"/>
          <w:szCs w:val="21"/>
        </w:rPr>
        <w:t>兴</w:t>
      </w:r>
      <w:r>
        <w:rPr>
          <w:rFonts w:ascii="Arial" w:hAnsi="Arial" w:cs="Arial" w:hint="eastAsia"/>
          <w:kern w:val="2"/>
          <w:sz w:val="21"/>
          <w:szCs w:val="21"/>
        </w:rPr>
        <w:t>76</w:t>
      </w:r>
      <w:r>
        <w:rPr>
          <w:rFonts w:ascii="Arial" w:hAnsi="Arial" w:cs="Arial" w:hint="eastAsia"/>
          <w:kern w:val="2"/>
          <w:sz w:val="21"/>
          <w:szCs w:val="21"/>
        </w:rPr>
        <w:t>路、兴</w:t>
      </w:r>
      <w:r>
        <w:rPr>
          <w:rFonts w:ascii="Arial" w:hAnsi="Arial" w:cs="Arial" w:hint="eastAsia"/>
          <w:kern w:val="2"/>
          <w:sz w:val="21"/>
          <w:szCs w:val="21"/>
        </w:rPr>
        <w:t>78</w:t>
      </w:r>
      <w:r>
        <w:rPr>
          <w:rFonts w:ascii="Arial" w:hAnsi="Arial" w:cs="Arial" w:hint="eastAsia"/>
          <w:kern w:val="2"/>
          <w:sz w:val="21"/>
          <w:szCs w:val="21"/>
        </w:rPr>
        <w:t>路、</w:t>
      </w:r>
      <w:r>
        <w:rPr>
          <w:rFonts w:ascii="Arial" w:hAnsi="Arial" w:cs="Arial" w:hint="eastAsia"/>
          <w:kern w:val="2"/>
          <w:sz w:val="21"/>
          <w:szCs w:val="21"/>
        </w:rPr>
        <w:t>573</w:t>
      </w:r>
      <w:r>
        <w:rPr>
          <w:rFonts w:ascii="Arial" w:hAnsi="Arial" w:cs="Arial" w:hint="eastAsia"/>
          <w:kern w:val="2"/>
          <w:sz w:val="21"/>
          <w:szCs w:val="21"/>
        </w:rPr>
        <w:t>路、</w:t>
      </w:r>
      <w:r>
        <w:rPr>
          <w:rFonts w:ascii="Arial" w:hAnsi="Arial" w:cs="Arial" w:hint="eastAsia"/>
          <w:kern w:val="2"/>
          <w:sz w:val="21"/>
          <w:szCs w:val="21"/>
        </w:rPr>
        <w:t>580</w:t>
      </w:r>
      <w:r>
        <w:rPr>
          <w:rFonts w:ascii="Arial" w:hAnsi="Arial" w:cs="Arial" w:hint="eastAsia"/>
          <w:kern w:val="2"/>
          <w:sz w:val="21"/>
          <w:szCs w:val="21"/>
        </w:rPr>
        <w:t>路等公交线路，距地铁亦庄</w:t>
      </w:r>
      <w:r>
        <w:rPr>
          <w:rFonts w:ascii="Arial" w:hAnsi="Arial" w:cs="Arial" w:hint="eastAsia"/>
          <w:kern w:val="2"/>
          <w:sz w:val="21"/>
          <w:szCs w:val="21"/>
        </w:rPr>
        <w:t>T1</w:t>
      </w:r>
      <w:r>
        <w:rPr>
          <w:rFonts w:ascii="Arial" w:hAnsi="Arial" w:cs="Arial" w:hint="eastAsia"/>
          <w:kern w:val="2"/>
          <w:sz w:val="21"/>
          <w:szCs w:val="21"/>
        </w:rPr>
        <w:t>线（泰和路站）约</w:t>
      </w:r>
      <w:r>
        <w:rPr>
          <w:rFonts w:ascii="Arial" w:hAnsi="Arial" w:cs="Arial" w:hint="eastAsia"/>
          <w:kern w:val="2"/>
          <w:sz w:val="21"/>
          <w:szCs w:val="21"/>
        </w:rPr>
        <w:t>1.</w:t>
      </w:r>
      <w:r>
        <w:rPr>
          <w:rFonts w:ascii="Arial" w:hAnsi="Arial" w:cs="Arial"/>
          <w:kern w:val="2"/>
          <w:sz w:val="21"/>
          <w:szCs w:val="21"/>
        </w:rPr>
        <w:t>5</w:t>
      </w:r>
      <w:r>
        <w:rPr>
          <w:rFonts w:ascii="Arial" w:hAnsi="Arial" w:cs="Arial" w:hint="eastAsia"/>
          <w:kern w:val="2"/>
          <w:sz w:val="21"/>
          <w:szCs w:val="21"/>
        </w:rPr>
        <w:t>公里，综合评价交通便捷度一般。</w:t>
      </w:r>
    </w:p>
    <w:p w14:paraId="6209EB83" w14:textId="77777777" w:rsidR="00AF6F34" w:rsidRDefault="00AF6F34">
      <w:pPr>
        <w:spacing w:line="480" w:lineRule="auto"/>
        <w:ind w:firstLine="420"/>
        <w:jc w:val="both"/>
      </w:pPr>
      <w:r>
        <w:rPr>
          <w:rFonts w:ascii="Arial" w:hAnsi="Arial" w:cs="Arial"/>
          <w:sz w:val="21"/>
          <w:szCs w:val="21"/>
        </w:rPr>
        <w:t>4.</w:t>
      </w:r>
      <w:r>
        <w:rPr>
          <w:rFonts w:ascii="Arial" w:hAnsi="Arial" w:cs="Arial" w:hint="eastAsia"/>
          <w:sz w:val="21"/>
          <w:szCs w:val="21"/>
        </w:rPr>
        <w:t>商业设施</w:t>
      </w:r>
    </w:p>
    <w:p w14:paraId="319CF6FB" w14:textId="77777777" w:rsidR="00AF6F34" w:rsidRDefault="00AF6F34">
      <w:pPr>
        <w:spacing w:line="480" w:lineRule="auto"/>
        <w:ind w:firstLine="420"/>
        <w:jc w:val="both"/>
      </w:pPr>
      <w:r>
        <w:rPr>
          <w:rFonts w:ascii="Arial" w:hAnsi="Arial" w:cs="Arial" w:hint="eastAsia"/>
          <w:kern w:val="2"/>
          <w:sz w:val="21"/>
          <w:szCs w:val="21"/>
        </w:rPr>
        <w:t>估价对象周边有龙湖北京亦庄天街、物美超市</w:t>
      </w:r>
      <w:r>
        <w:rPr>
          <w:rFonts w:ascii="Arial" w:hAnsi="Arial" w:cs="Arial" w:hint="eastAsia"/>
          <w:kern w:val="2"/>
          <w:sz w:val="21"/>
          <w:szCs w:val="21"/>
        </w:rPr>
        <w:t>(</w:t>
      </w:r>
      <w:r>
        <w:rPr>
          <w:rFonts w:ascii="Arial" w:hAnsi="Arial" w:cs="Arial" w:hint="eastAsia"/>
          <w:kern w:val="2"/>
          <w:sz w:val="21"/>
          <w:szCs w:val="21"/>
        </w:rPr>
        <w:t>南海家园店</w:t>
      </w:r>
      <w:r>
        <w:rPr>
          <w:rFonts w:ascii="Arial" w:hAnsi="Arial" w:cs="Arial" w:hint="eastAsia"/>
          <w:kern w:val="2"/>
          <w:sz w:val="21"/>
          <w:szCs w:val="21"/>
        </w:rPr>
        <w:t>)</w:t>
      </w:r>
      <w:r>
        <w:rPr>
          <w:rFonts w:ascii="Arial" w:hAnsi="Arial" w:cs="Arial" w:hint="eastAsia"/>
          <w:kern w:val="2"/>
          <w:sz w:val="21"/>
          <w:szCs w:val="21"/>
        </w:rPr>
        <w:t>等，商业设施齐备度一般。</w:t>
      </w:r>
    </w:p>
    <w:p w14:paraId="6DBBC55C" w14:textId="77777777" w:rsidR="00AF6F34" w:rsidRDefault="00AF6F34">
      <w:pPr>
        <w:spacing w:line="480" w:lineRule="auto"/>
        <w:ind w:firstLine="420"/>
        <w:jc w:val="both"/>
      </w:pPr>
      <w:r>
        <w:rPr>
          <w:rFonts w:ascii="Arial" w:hAnsi="Arial" w:cs="Arial" w:hint="eastAsia"/>
          <w:sz w:val="21"/>
          <w:szCs w:val="21"/>
        </w:rPr>
        <w:t>5.</w:t>
      </w:r>
      <w:r>
        <w:rPr>
          <w:rFonts w:ascii="Arial" w:hAnsi="Arial" w:cs="Arial"/>
          <w:color w:val="000000"/>
          <w:sz w:val="21"/>
          <w:szCs w:val="21"/>
        </w:rPr>
        <w:t>环境状况</w:t>
      </w:r>
    </w:p>
    <w:p w14:paraId="578F53E1" w14:textId="77777777" w:rsidR="00AF6F34" w:rsidRDefault="00AF6F34">
      <w:pPr>
        <w:spacing w:line="480" w:lineRule="auto"/>
        <w:ind w:firstLine="420"/>
        <w:jc w:val="both"/>
      </w:pPr>
      <w:r>
        <w:rPr>
          <w:rFonts w:ascii="Arial" w:hAnsi="Arial" w:cs="Arial" w:hint="eastAsia"/>
          <w:kern w:val="2"/>
          <w:sz w:val="21"/>
          <w:szCs w:val="21"/>
        </w:rPr>
        <w:t>估价对象周边有南海子公园、凉水河等自然景观，绿化面积较大，自然与人文环境较好</w:t>
      </w:r>
      <w:r>
        <w:rPr>
          <w:rFonts w:ascii="Arial" w:hAnsi="Arial" w:cs="Arial" w:hint="eastAsia"/>
          <w:sz w:val="21"/>
          <w:szCs w:val="21"/>
        </w:rPr>
        <w:t>。</w:t>
      </w:r>
    </w:p>
    <w:p w14:paraId="3091C983" w14:textId="77777777" w:rsidR="00AF6F34" w:rsidRDefault="00AF6F34">
      <w:pPr>
        <w:spacing w:line="480" w:lineRule="auto"/>
        <w:ind w:firstLine="420"/>
        <w:jc w:val="both"/>
      </w:pPr>
      <w:r>
        <w:rPr>
          <w:rFonts w:ascii="Arial" w:hAnsi="Arial" w:cs="Arial" w:hint="eastAsia"/>
          <w:sz w:val="21"/>
          <w:szCs w:val="21"/>
        </w:rPr>
        <w:t>6.</w:t>
      </w:r>
      <w:r>
        <w:rPr>
          <w:rFonts w:ascii="Arial" w:hAnsi="Arial" w:cs="Arial"/>
          <w:sz w:val="21"/>
          <w:szCs w:val="21"/>
        </w:rPr>
        <w:t>外部配套设施状况</w:t>
      </w:r>
    </w:p>
    <w:p w14:paraId="63EC7A35" w14:textId="77777777" w:rsidR="00AF6F34" w:rsidRDefault="00AF6F34">
      <w:pPr>
        <w:spacing w:line="480" w:lineRule="auto"/>
        <w:ind w:firstLine="420"/>
        <w:jc w:val="both"/>
      </w:pPr>
      <w:r>
        <w:rPr>
          <w:rFonts w:ascii="Arial" w:hAnsi="Arial" w:cs="Arial" w:hint="eastAsia"/>
          <w:kern w:val="2"/>
          <w:sz w:val="21"/>
          <w:szCs w:val="21"/>
        </w:rPr>
        <w:t>估价对象</w:t>
      </w:r>
      <w:r>
        <w:rPr>
          <w:rFonts w:ascii="Arial" w:hAnsi="Arial" w:cs="Arial"/>
          <w:sz w:val="21"/>
          <w:szCs w:val="21"/>
        </w:rPr>
        <w:t>所处区域目前已拥有完善的基础设施配套保障，区内大部分区域基础设施配套目前可达到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（通路、通电、通讯、供水、排水</w:t>
      </w:r>
      <w:r>
        <w:rPr>
          <w:rFonts w:ascii="Arial" w:hAnsi="Arial" w:cs="Arial" w:hint="eastAsia"/>
          <w:sz w:val="21"/>
          <w:szCs w:val="21"/>
        </w:rPr>
        <w:t>、通暖、通燃气</w:t>
      </w:r>
      <w:r>
        <w:rPr>
          <w:rFonts w:ascii="Arial" w:hAnsi="Arial" w:cs="Arial"/>
          <w:sz w:val="21"/>
          <w:szCs w:val="21"/>
        </w:rPr>
        <w:t>）条件，且保证程度高。</w:t>
      </w:r>
    </w:p>
    <w:p w14:paraId="0219385F" w14:textId="77777777" w:rsidR="00AF6F34" w:rsidRDefault="00AF6F34">
      <w:pPr>
        <w:spacing w:line="480" w:lineRule="auto"/>
        <w:ind w:firstLine="420"/>
        <w:jc w:val="both"/>
      </w:pPr>
      <w:r>
        <w:rPr>
          <w:rFonts w:ascii="Arial" w:hAnsi="Arial" w:cs="Arial" w:hint="eastAsia"/>
          <w:kern w:val="2"/>
          <w:sz w:val="21"/>
          <w:szCs w:val="21"/>
        </w:rPr>
        <w:t>估价对象所在区域周边</w:t>
      </w:r>
      <w:r>
        <w:rPr>
          <w:rFonts w:ascii="Arial" w:hAnsi="Arial" w:cs="Arial" w:hint="eastAsia"/>
          <w:kern w:val="2"/>
          <w:sz w:val="21"/>
          <w:szCs w:val="21"/>
        </w:rPr>
        <w:t>2</w:t>
      </w:r>
      <w:r>
        <w:rPr>
          <w:rFonts w:ascii="Arial" w:hAnsi="Arial" w:cs="Arial" w:hint="eastAsia"/>
          <w:kern w:val="2"/>
          <w:sz w:val="21"/>
          <w:szCs w:val="21"/>
        </w:rPr>
        <w:t>公里范围内有龙湖北京亦庄天街、物美超市</w:t>
      </w:r>
      <w:r>
        <w:rPr>
          <w:rFonts w:ascii="Arial" w:hAnsi="Arial" w:cs="Arial" w:hint="eastAsia"/>
          <w:kern w:val="2"/>
          <w:sz w:val="21"/>
          <w:szCs w:val="21"/>
        </w:rPr>
        <w:t>(</w:t>
      </w:r>
      <w:r>
        <w:rPr>
          <w:rFonts w:ascii="Arial" w:hAnsi="Arial" w:cs="Arial" w:hint="eastAsia"/>
          <w:kern w:val="2"/>
          <w:sz w:val="21"/>
          <w:szCs w:val="21"/>
        </w:rPr>
        <w:t>南海家园店</w:t>
      </w:r>
      <w:r>
        <w:rPr>
          <w:rFonts w:ascii="Arial" w:hAnsi="Arial" w:cs="Arial" w:hint="eastAsia"/>
          <w:kern w:val="2"/>
          <w:sz w:val="21"/>
          <w:szCs w:val="21"/>
        </w:rPr>
        <w:t>)</w:t>
      </w:r>
      <w:r>
        <w:rPr>
          <w:rFonts w:ascii="Arial" w:hAnsi="Arial" w:cs="Arial" w:hint="eastAsia"/>
          <w:kern w:val="2"/>
          <w:sz w:val="21"/>
          <w:szCs w:val="21"/>
        </w:rPr>
        <w:t>等商业场所；北京市大兴区亦庄第五幼儿园、北京亦庄实验小学、亦庄实验中学等教育机构；北京中医药大学东方医院</w:t>
      </w:r>
      <w:r>
        <w:rPr>
          <w:rFonts w:ascii="Arial" w:hAnsi="Arial" w:cs="Arial" w:hint="eastAsia"/>
          <w:kern w:val="2"/>
          <w:sz w:val="21"/>
          <w:szCs w:val="21"/>
        </w:rPr>
        <w:t>(</w:t>
      </w:r>
      <w:r>
        <w:rPr>
          <w:rFonts w:ascii="Arial" w:hAnsi="Arial" w:cs="Arial" w:hint="eastAsia"/>
          <w:kern w:val="2"/>
          <w:sz w:val="21"/>
          <w:szCs w:val="21"/>
        </w:rPr>
        <w:t>南院区</w:t>
      </w:r>
      <w:r>
        <w:rPr>
          <w:rFonts w:ascii="Arial" w:hAnsi="Arial" w:cs="Arial" w:hint="eastAsia"/>
          <w:kern w:val="2"/>
          <w:sz w:val="21"/>
          <w:szCs w:val="21"/>
        </w:rPr>
        <w:t>)</w:t>
      </w:r>
      <w:r>
        <w:rPr>
          <w:rFonts w:ascii="Arial" w:hAnsi="Arial" w:cs="Arial" w:hint="eastAsia"/>
          <w:kern w:val="2"/>
          <w:sz w:val="21"/>
          <w:szCs w:val="21"/>
        </w:rPr>
        <w:t>等医疗机构；中国建设银行、中国农商银行等</w:t>
      </w:r>
      <w:r w:rsidR="00D07C96">
        <w:rPr>
          <w:rFonts w:ascii="Arial" w:hAnsi="Arial" w:cs="Arial" w:hint="eastAsia"/>
          <w:kern w:val="2"/>
          <w:sz w:val="21"/>
          <w:szCs w:val="21"/>
        </w:rPr>
        <w:t>金融机构</w:t>
      </w:r>
      <w:r>
        <w:rPr>
          <w:rFonts w:ascii="Arial" w:hAnsi="Arial" w:cs="Arial" w:hint="eastAsia"/>
          <w:kern w:val="2"/>
          <w:sz w:val="21"/>
          <w:szCs w:val="21"/>
        </w:rPr>
        <w:t>，公共配套设施状况较好</w:t>
      </w:r>
      <w:r>
        <w:rPr>
          <w:rFonts w:ascii="Arial" w:hAnsi="Arial" w:cs="Arial" w:hint="eastAsia"/>
          <w:sz w:val="21"/>
          <w:szCs w:val="21"/>
        </w:rPr>
        <w:t>。</w:t>
      </w:r>
    </w:p>
    <w:p w14:paraId="1C944452" w14:textId="77777777" w:rsidR="00AF6F34" w:rsidRDefault="00AF6F34">
      <w:pPr>
        <w:spacing w:line="480" w:lineRule="auto"/>
        <w:ind w:firstLine="420"/>
        <w:jc w:val="both"/>
      </w:pPr>
      <w:r>
        <w:rPr>
          <w:rFonts w:ascii="Arial" w:hAnsi="Arial" w:cs="Arial" w:hint="eastAsia"/>
          <w:sz w:val="21"/>
          <w:szCs w:val="21"/>
        </w:rPr>
        <w:t>6.</w:t>
      </w:r>
      <w:r>
        <w:rPr>
          <w:rFonts w:ascii="Arial" w:hAnsi="Arial" w:cs="Arial" w:hint="eastAsia"/>
          <w:sz w:val="21"/>
          <w:szCs w:val="21"/>
        </w:rPr>
        <w:t>总体评价</w:t>
      </w:r>
    </w:p>
    <w:p w14:paraId="7F0DACEB" w14:textId="77777777" w:rsidR="00AF6F34" w:rsidRDefault="00AF6F34">
      <w:pPr>
        <w:spacing w:line="480" w:lineRule="auto"/>
        <w:ind w:firstLine="420"/>
        <w:jc w:val="both"/>
      </w:pPr>
      <w:r>
        <w:rPr>
          <w:rFonts w:ascii="Arial" w:hAnsi="Arial" w:cs="Arial" w:hint="eastAsia"/>
          <w:sz w:val="21"/>
          <w:szCs w:val="21"/>
        </w:rPr>
        <w:lastRenderedPageBreak/>
        <w:t>估价对象地理位置状况较好，居住社区成熟度较好，交通便捷度一般，商业设施一般，环境状况较好</w:t>
      </w:r>
      <w:r>
        <w:rPr>
          <w:rFonts w:ascii="Arial" w:hAnsi="Arial" w:cs="Arial"/>
          <w:sz w:val="21"/>
          <w:szCs w:val="21"/>
        </w:rPr>
        <w:t>，区内大部分区域基础设施配套目前可达到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”，公共配套设施状况较齐全。</w:t>
      </w:r>
      <w:r>
        <w:rPr>
          <w:rFonts w:ascii="Arial" w:hAnsi="Arial" w:cs="Arial"/>
          <w:sz w:val="21"/>
          <w:szCs w:val="21"/>
        </w:rPr>
        <w:t>区域规划</w:t>
      </w:r>
      <w:r>
        <w:rPr>
          <w:rFonts w:ascii="Arial" w:hAnsi="Arial" w:cs="Arial" w:hint="eastAsia"/>
          <w:sz w:val="21"/>
          <w:szCs w:val="21"/>
        </w:rPr>
        <w:t>无特殊限制</w:t>
      </w:r>
      <w:r>
        <w:rPr>
          <w:rFonts w:ascii="Arial" w:hAnsi="Arial" w:cs="Arial"/>
          <w:sz w:val="21"/>
          <w:szCs w:val="21"/>
        </w:rPr>
        <w:t>。总体评价影响估价对象的</w:t>
      </w:r>
      <w:r>
        <w:rPr>
          <w:rFonts w:ascii="Arial" w:hAnsi="Arial" w:cs="Arial" w:hint="eastAsia"/>
          <w:sz w:val="21"/>
          <w:szCs w:val="21"/>
        </w:rPr>
        <w:t>区位条件较好</w:t>
      </w:r>
      <w:r>
        <w:rPr>
          <w:rFonts w:ascii="Arial" w:hAnsi="Arial" w:cs="Arial"/>
          <w:sz w:val="21"/>
          <w:szCs w:val="21"/>
        </w:rPr>
        <w:t>。</w:t>
      </w:r>
    </w:p>
    <w:p w14:paraId="4AAFADE1" w14:textId="77777777" w:rsidR="00AF6F34" w:rsidRDefault="00AF6F34">
      <w:pPr>
        <w:pStyle w:val="2"/>
        <w:numPr>
          <w:ilvl w:val="0"/>
          <w:numId w:val="0"/>
        </w:numPr>
        <w:spacing w:line="480" w:lineRule="auto"/>
        <w:ind w:left="360" w:hanging="360"/>
        <w:jc w:val="both"/>
      </w:pPr>
      <w:bookmarkStart w:id="25" w:name="_Toc161661021"/>
      <w:r>
        <w:rPr>
          <w:rFonts w:eastAsia="宋体"/>
          <w:kern w:val="2"/>
          <w:sz w:val="21"/>
          <w:szCs w:val="21"/>
        </w:rPr>
        <w:t>（</w:t>
      </w:r>
      <w:r>
        <w:rPr>
          <w:rFonts w:eastAsia="宋体" w:hint="eastAsia"/>
          <w:kern w:val="2"/>
          <w:sz w:val="21"/>
          <w:szCs w:val="21"/>
        </w:rPr>
        <w:t>二</w:t>
      </w:r>
      <w:r>
        <w:rPr>
          <w:rFonts w:eastAsia="宋体"/>
          <w:kern w:val="2"/>
          <w:sz w:val="21"/>
          <w:szCs w:val="21"/>
        </w:rPr>
        <w:t>）实物状况分析</w:t>
      </w:r>
      <w:bookmarkEnd w:id="25"/>
    </w:p>
    <w:p w14:paraId="50AE69FA" w14:textId="77777777" w:rsidR="00AF6F34" w:rsidRDefault="00AF6F34">
      <w:pPr>
        <w:overflowPunct w:val="0"/>
        <w:spacing w:line="480" w:lineRule="auto"/>
        <w:ind w:firstLine="420"/>
        <w:jc w:val="both"/>
        <w:textAlignment w:val="auto"/>
      </w:pPr>
      <w:r>
        <w:rPr>
          <w:rFonts w:ascii="Arial" w:hAnsi="Arial" w:cs="Arial" w:hint="eastAsia"/>
          <w:kern w:val="2"/>
          <w:sz w:val="21"/>
          <w:szCs w:val="21"/>
        </w:rPr>
        <w:t>估价对象为北京经济技术开发区</w:t>
      </w:r>
      <w:r w:rsidR="00DE3E5A">
        <w:rPr>
          <w:rFonts w:ascii="Arial" w:hAnsi="Arial" w:cs="Arial" w:hint="eastAsia"/>
          <w:kern w:val="2"/>
          <w:sz w:val="21"/>
          <w:szCs w:val="21"/>
        </w:rPr>
        <w:t>南海家园一里</w:t>
      </w:r>
      <w:r w:rsidR="00DE3E5A">
        <w:rPr>
          <w:rFonts w:ascii="Arial" w:hAnsi="Arial" w:cs="Arial" w:hint="eastAsia"/>
          <w:kern w:val="2"/>
          <w:sz w:val="21"/>
          <w:szCs w:val="21"/>
        </w:rPr>
        <w:t>1</w:t>
      </w:r>
      <w:r w:rsidR="00DE3E5A">
        <w:rPr>
          <w:rFonts w:ascii="Arial" w:hAnsi="Arial" w:cs="Arial" w:hint="eastAsia"/>
          <w:kern w:val="2"/>
          <w:sz w:val="21"/>
          <w:szCs w:val="21"/>
        </w:rPr>
        <w:t>号楼</w:t>
      </w:r>
      <w:r w:rsidR="00DE3E5A">
        <w:rPr>
          <w:rFonts w:ascii="Arial" w:hAnsi="Arial" w:cs="Arial" w:hint="eastAsia"/>
          <w:kern w:val="2"/>
          <w:sz w:val="21"/>
          <w:szCs w:val="21"/>
        </w:rPr>
        <w:t>4</w:t>
      </w:r>
      <w:r w:rsidR="00DE3E5A">
        <w:rPr>
          <w:rFonts w:ascii="Arial" w:hAnsi="Arial" w:cs="Arial" w:hint="eastAsia"/>
          <w:kern w:val="2"/>
          <w:sz w:val="21"/>
          <w:szCs w:val="21"/>
        </w:rPr>
        <w:t>单元</w:t>
      </w:r>
      <w:r w:rsidR="00DE3E5A">
        <w:rPr>
          <w:rFonts w:ascii="Arial" w:hAnsi="Arial" w:cs="Arial" w:hint="eastAsia"/>
          <w:kern w:val="2"/>
          <w:sz w:val="21"/>
          <w:szCs w:val="21"/>
        </w:rPr>
        <w:t>1802</w:t>
      </w:r>
      <w:r>
        <w:rPr>
          <w:rFonts w:ascii="Arial" w:hAnsi="Arial" w:cs="Arial" w:hint="eastAsia"/>
          <w:kern w:val="2"/>
          <w:sz w:val="21"/>
          <w:szCs w:val="21"/>
        </w:rPr>
        <w:t>等</w:t>
      </w:r>
      <w:r w:rsidR="00DE3E5A">
        <w:rPr>
          <w:rFonts w:ascii="Arial" w:hAnsi="Arial" w:cs="Arial" w:hint="eastAsia"/>
          <w:kern w:val="2"/>
          <w:sz w:val="21"/>
          <w:szCs w:val="21"/>
        </w:rPr>
        <w:t>959</w:t>
      </w:r>
      <w:r w:rsidR="00DE3E5A">
        <w:rPr>
          <w:rFonts w:ascii="Arial" w:hAnsi="Arial" w:cs="Arial" w:hint="eastAsia"/>
          <w:kern w:val="2"/>
          <w:sz w:val="21"/>
          <w:szCs w:val="21"/>
        </w:rPr>
        <w:t>套</w:t>
      </w:r>
      <w:r>
        <w:rPr>
          <w:rFonts w:ascii="Arial" w:hAnsi="Arial" w:cs="Arial" w:hint="eastAsia"/>
          <w:kern w:val="2"/>
          <w:sz w:val="21"/>
          <w:szCs w:val="21"/>
        </w:rPr>
        <w:t>（南海家园）住宅用房项目，总建筑面积</w:t>
      </w:r>
      <w:r w:rsidR="00FB51B2">
        <w:rPr>
          <w:rFonts w:ascii="Arial" w:hAnsi="Arial" w:cs="Arial"/>
          <w:kern w:val="2"/>
          <w:sz w:val="21"/>
          <w:szCs w:val="21"/>
        </w:rPr>
        <w:t>74521.94</w:t>
      </w:r>
      <w:r>
        <w:rPr>
          <w:rFonts w:ascii="Arial" w:hAnsi="Arial" w:cs="Arial" w:hint="eastAsia"/>
          <w:kern w:val="2"/>
          <w:sz w:val="21"/>
          <w:szCs w:val="21"/>
        </w:rPr>
        <w:t>平方米。详见下表：</w:t>
      </w:r>
    </w:p>
    <w:tbl>
      <w:tblPr>
        <w:tblW w:w="5000" w:type="pct"/>
        <w:tblInd w:w="-117" w:type="dxa"/>
        <w:tblLayout w:type="fixed"/>
        <w:tblLook w:val="0000" w:firstRow="0" w:lastRow="0" w:firstColumn="0" w:lastColumn="0" w:noHBand="0" w:noVBand="0"/>
      </w:tblPr>
      <w:tblGrid>
        <w:gridCol w:w="1026"/>
        <w:gridCol w:w="1027"/>
        <w:gridCol w:w="1063"/>
        <w:gridCol w:w="1027"/>
        <w:gridCol w:w="1026"/>
        <w:gridCol w:w="1027"/>
        <w:gridCol w:w="1064"/>
        <w:gridCol w:w="1065"/>
        <w:gridCol w:w="1189"/>
      </w:tblGrid>
      <w:tr w:rsidR="002F6ADB" w14:paraId="6AE14419" w14:textId="77777777" w:rsidTr="00972A9A">
        <w:trPr>
          <w:trHeight w:val="23"/>
        </w:trPr>
        <w:tc>
          <w:tcPr>
            <w:tcW w:w="1026" w:type="dxa"/>
            <w:tcBorders>
              <w:top w:val="single" w:sz="4" w:space="0" w:color="000000"/>
              <w:left w:val="single" w:sz="4" w:space="0" w:color="000000"/>
              <w:bottom w:val="single" w:sz="4" w:space="0" w:color="000000"/>
            </w:tcBorders>
            <w:shd w:val="clear" w:color="auto" w:fill="auto"/>
            <w:vAlign w:val="center"/>
          </w:tcPr>
          <w:p w14:paraId="4E248279"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户型</w:t>
            </w:r>
          </w:p>
        </w:tc>
        <w:tc>
          <w:tcPr>
            <w:tcW w:w="1027" w:type="dxa"/>
            <w:tcBorders>
              <w:top w:val="single" w:sz="4" w:space="0" w:color="000000"/>
              <w:left w:val="single" w:sz="4" w:space="0" w:color="000000"/>
              <w:bottom w:val="single" w:sz="4" w:space="0" w:color="000000"/>
            </w:tcBorders>
            <w:shd w:val="clear" w:color="auto" w:fill="auto"/>
            <w:vAlign w:val="center"/>
          </w:tcPr>
          <w:p w14:paraId="69AE2FF3"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南海家园一里</w:t>
            </w:r>
          </w:p>
        </w:tc>
        <w:tc>
          <w:tcPr>
            <w:tcW w:w="1063" w:type="dxa"/>
            <w:tcBorders>
              <w:top w:val="single" w:sz="4" w:space="0" w:color="000000"/>
              <w:left w:val="single" w:sz="4" w:space="0" w:color="000000"/>
              <w:bottom w:val="single" w:sz="4" w:space="0" w:color="000000"/>
            </w:tcBorders>
            <w:shd w:val="clear" w:color="auto" w:fill="auto"/>
            <w:vAlign w:val="center"/>
          </w:tcPr>
          <w:p w14:paraId="5A726EDE"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南海家园二里</w:t>
            </w:r>
          </w:p>
        </w:tc>
        <w:tc>
          <w:tcPr>
            <w:tcW w:w="1027" w:type="dxa"/>
            <w:tcBorders>
              <w:top w:val="single" w:sz="4" w:space="0" w:color="000000"/>
              <w:left w:val="single" w:sz="4" w:space="0" w:color="000000"/>
              <w:bottom w:val="single" w:sz="4" w:space="0" w:color="000000"/>
            </w:tcBorders>
            <w:shd w:val="clear" w:color="auto" w:fill="auto"/>
            <w:vAlign w:val="center"/>
          </w:tcPr>
          <w:p w14:paraId="73142292"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南海家园三里</w:t>
            </w:r>
          </w:p>
        </w:tc>
        <w:tc>
          <w:tcPr>
            <w:tcW w:w="1026" w:type="dxa"/>
            <w:tcBorders>
              <w:top w:val="single" w:sz="4" w:space="0" w:color="000000"/>
              <w:left w:val="single" w:sz="4" w:space="0" w:color="000000"/>
              <w:bottom w:val="single" w:sz="4" w:space="0" w:color="000000"/>
            </w:tcBorders>
            <w:shd w:val="clear" w:color="auto" w:fill="auto"/>
            <w:vAlign w:val="center"/>
          </w:tcPr>
          <w:p w14:paraId="667F38C4"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南海家园四里</w:t>
            </w:r>
          </w:p>
        </w:tc>
        <w:tc>
          <w:tcPr>
            <w:tcW w:w="1027" w:type="dxa"/>
            <w:tcBorders>
              <w:top w:val="single" w:sz="4" w:space="0" w:color="000000"/>
              <w:left w:val="single" w:sz="4" w:space="0" w:color="000000"/>
              <w:bottom w:val="single" w:sz="4" w:space="0" w:color="000000"/>
            </w:tcBorders>
            <w:shd w:val="clear" w:color="auto" w:fill="auto"/>
            <w:vAlign w:val="center"/>
          </w:tcPr>
          <w:p w14:paraId="39B1AF9D"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南海家园五里</w:t>
            </w:r>
          </w:p>
        </w:tc>
        <w:tc>
          <w:tcPr>
            <w:tcW w:w="1064" w:type="dxa"/>
            <w:tcBorders>
              <w:top w:val="single" w:sz="4" w:space="0" w:color="000000"/>
              <w:left w:val="single" w:sz="4" w:space="0" w:color="000000"/>
              <w:bottom w:val="single" w:sz="4" w:space="0" w:color="000000"/>
            </w:tcBorders>
            <w:shd w:val="clear" w:color="auto" w:fill="auto"/>
            <w:vAlign w:val="center"/>
          </w:tcPr>
          <w:p w14:paraId="70AAEFE6"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南海家园六里</w:t>
            </w:r>
          </w:p>
        </w:tc>
        <w:tc>
          <w:tcPr>
            <w:tcW w:w="1065" w:type="dxa"/>
            <w:tcBorders>
              <w:top w:val="single" w:sz="4" w:space="0" w:color="000000"/>
              <w:left w:val="single" w:sz="4" w:space="0" w:color="000000"/>
              <w:bottom w:val="single" w:sz="4" w:space="0" w:color="000000"/>
            </w:tcBorders>
            <w:shd w:val="clear" w:color="auto" w:fill="auto"/>
            <w:vAlign w:val="center"/>
          </w:tcPr>
          <w:p w14:paraId="68C250E6"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南海家园七里</w:t>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67B9F"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小计</w:t>
            </w:r>
          </w:p>
        </w:tc>
      </w:tr>
      <w:tr w:rsidR="002F6ADB" w14:paraId="5D10E5A7" w14:textId="77777777" w:rsidTr="00972A9A">
        <w:trPr>
          <w:trHeight w:val="23"/>
        </w:trPr>
        <w:tc>
          <w:tcPr>
            <w:tcW w:w="1026" w:type="dxa"/>
            <w:tcBorders>
              <w:left w:val="single" w:sz="4" w:space="0" w:color="000000"/>
              <w:bottom w:val="single" w:sz="4" w:space="0" w:color="000000"/>
            </w:tcBorders>
            <w:shd w:val="clear" w:color="auto" w:fill="auto"/>
            <w:vAlign w:val="center"/>
          </w:tcPr>
          <w:p w14:paraId="5EFE5BE8"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一居</w:t>
            </w:r>
          </w:p>
        </w:tc>
        <w:tc>
          <w:tcPr>
            <w:tcW w:w="1027" w:type="dxa"/>
            <w:tcBorders>
              <w:left w:val="single" w:sz="4" w:space="0" w:color="000000"/>
              <w:bottom w:val="single" w:sz="4" w:space="0" w:color="000000"/>
            </w:tcBorders>
            <w:shd w:val="clear" w:color="auto" w:fill="auto"/>
            <w:vAlign w:val="center"/>
          </w:tcPr>
          <w:p w14:paraId="5F18BD27"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14</w:t>
            </w:r>
          </w:p>
        </w:tc>
        <w:tc>
          <w:tcPr>
            <w:tcW w:w="1063" w:type="dxa"/>
            <w:tcBorders>
              <w:left w:val="single" w:sz="4" w:space="0" w:color="000000"/>
              <w:bottom w:val="single" w:sz="4" w:space="0" w:color="000000"/>
            </w:tcBorders>
            <w:shd w:val="clear" w:color="auto" w:fill="auto"/>
            <w:vAlign w:val="center"/>
          </w:tcPr>
          <w:p w14:paraId="531D744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72</w:t>
            </w:r>
          </w:p>
        </w:tc>
        <w:tc>
          <w:tcPr>
            <w:tcW w:w="1027" w:type="dxa"/>
            <w:tcBorders>
              <w:left w:val="single" w:sz="4" w:space="0" w:color="000000"/>
              <w:bottom w:val="single" w:sz="4" w:space="0" w:color="000000"/>
            </w:tcBorders>
            <w:shd w:val="clear" w:color="auto" w:fill="auto"/>
            <w:vAlign w:val="center"/>
          </w:tcPr>
          <w:p w14:paraId="2C01E1D1"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12</w:t>
            </w:r>
          </w:p>
        </w:tc>
        <w:tc>
          <w:tcPr>
            <w:tcW w:w="1026" w:type="dxa"/>
            <w:tcBorders>
              <w:left w:val="single" w:sz="4" w:space="0" w:color="000000"/>
              <w:bottom w:val="single" w:sz="4" w:space="0" w:color="000000"/>
            </w:tcBorders>
            <w:shd w:val="clear" w:color="auto" w:fill="auto"/>
            <w:vAlign w:val="center"/>
          </w:tcPr>
          <w:p w14:paraId="5F40E099"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29</w:t>
            </w:r>
          </w:p>
        </w:tc>
        <w:tc>
          <w:tcPr>
            <w:tcW w:w="1027" w:type="dxa"/>
            <w:tcBorders>
              <w:left w:val="single" w:sz="4" w:space="0" w:color="000000"/>
              <w:bottom w:val="single" w:sz="4" w:space="0" w:color="000000"/>
            </w:tcBorders>
            <w:shd w:val="clear" w:color="auto" w:fill="auto"/>
            <w:vAlign w:val="center"/>
          </w:tcPr>
          <w:p w14:paraId="56F526F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15</w:t>
            </w:r>
          </w:p>
        </w:tc>
        <w:tc>
          <w:tcPr>
            <w:tcW w:w="1064" w:type="dxa"/>
            <w:tcBorders>
              <w:left w:val="single" w:sz="4" w:space="0" w:color="000000"/>
              <w:bottom w:val="single" w:sz="4" w:space="0" w:color="000000"/>
            </w:tcBorders>
            <w:shd w:val="clear" w:color="auto" w:fill="auto"/>
            <w:vAlign w:val="center"/>
          </w:tcPr>
          <w:p w14:paraId="15E4ECA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90</w:t>
            </w:r>
          </w:p>
        </w:tc>
        <w:tc>
          <w:tcPr>
            <w:tcW w:w="1065" w:type="dxa"/>
            <w:tcBorders>
              <w:left w:val="single" w:sz="4" w:space="0" w:color="000000"/>
              <w:bottom w:val="single" w:sz="4" w:space="0" w:color="000000"/>
            </w:tcBorders>
            <w:shd w:val="clear" w:color="auto" w:fill="auto"/>
            <w:vAlign w:val="center"/>
          </w:tcPr>
          <w:p w14:paraId="0A58C155"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262</w:t>
            </w:r>
          </w:p>
        </w:tc>
        <w:tc>
          <w:tcPr>
            <w:tcW w:w="1189" w:type="dxa"/>
            <w:tcBorders>
              <w:left w:val="single" w:sz="4" w:space="0" w:color="000000"/>
              <w:bottom w:val="single" w:sz="4" w:space="0" w:color="000000"/>
              <w:right w:val="single" w:sz="4" w:space="0" w:color="000000"/>
            </w:tcBorders>
            <w:shd w:val="clear" w:color="auto" w:fill="auto"/>
            <w:vAlign w:val="center"/>
          </w:tcPr>
          <w:p w14:paraId="09FD7F7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494</w:t>
            </w:r>
          </w:p>
        </w:tc>
      </w:tr>
      <w:tr w:rsidR="002F6ADB" w14:paraId="5331EBA9" w14:textId="77777777" w:rsidTr="00972A9A">
        <w:trPr>
          <w:trHeight w:val="23"/>
        </w:trPr>
        <w:tc>
          <w:tcPr>
            <w:tcW w:w="1026" w:type="dxa"/>
            <w:tcBorders>
              <w:left w:val="single" w:sz="4" w:space="0" w:color="000000"/>
              <w:bottom w:val="single" w:sz="4" w:space="0" w:color="000000"/>
            </w:tcBorders>
            <w:shd w:val="clear" w:color="auto" w:fill="auto"/>
            <w:vAlign w:val="center"/>
          </w:tcPr>
          <w:p w14:paraId="6C47328C"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二居</w:t>
            </w:r>
          </w:p>
        </w:tc>
        <w:tc>
          <w:tcPr>
            <w:tcW w:w="1027" w:type="dxa"/>
            <w:tcBorders>
              <w:left w:val="single" w:sz="4" w:space="0" w:color="000000"/>
              <w:bottom w:val="single" w:sz="4" w:space="0" w:color="000000"/>
            </w:tcBorders>
            <w:shd w:val="clear" w:color="auto" w:fill="auto"/>
            <w:vAlign w:val="center"/>
          </w:tcPr>
          <w:p w14:paraId="026B20D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30</w:t>
            </w:r>
          </w:p>
        </w:tc>
        <w:tc>
          <w:tcPr>
            <w:tcW w:w="1063" w:type="dxa"/>
            <w:tcBorders>
              <w:left w:val="single" w:sz="4" w:space="0" w:color="000000"/>
              <w:bottom w:val="single" w:sz="4" w:space="0" w:color="000000"/>
            </w:tcBorders>
            <w:shd w:val="clear" w:color="auto" w:fill="auto"/>
            <w:vAlign w:val="center"/>
          </w:tcPr>
          <w:p w14:paraId="62D8AFCD"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103</w:t>
            </w:r>
          </w:p>
        </w:tc>
        <w:tc>
          <w:tcPr>
            <w:tcW w:w="1027" w:type="dxa"/>
            <w:tcBorders>
              <w:left w:val="single" w:sz="4" w:space="0" w:color="000000"/>
              <w:bottom w:val="single" w:sz="4" w:space="0" w:color="000000"/>
            </w:tcBorders>
            <w:shd w:val="clear" w:color="auto" w:fill="auto"/>
            <w:vAlign w:val="center"/>
          </w:tcPr>
          <w:p w14:paraId="2DDD2C6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50</w:t>
            </w:r>
          </w:p>
        </w:tc>
        <w:tc>
          <w:tcPr>
            <w:tcW w:w="1026" w:type="dxa"/>
            <w:tcBorders>
              <w:left w:val="single" w:sz="4" w:space="0" w:color="000000"/>
              <w:bottom w:val="single" w:sz="4" w:space="0" w:color="000000"/>
            </w:tcBorders>
            <w:shd w:val="clear" w:color="auto" w:fill="auto"/>
            <w:vAlign w:val="center"/>
          </w:tcPr>
          <w:p w14:paraId="18FE6A7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82</w:t>
            </w:r>
          </w:p>
        </w:tc>
        <w:tc>
          <w:tcPr>
            <w:tcW w:w="1027" w:type="dxa"/>
            <w:tcBorders>
              <w:left w:val="single" w:sz="4" w:space="0" w:color="000000"/>
              <w:bottom w:val="single" w:sz="4" w:space="0" w:color="000000"/>
            </w:tcBorders>
            <w:shd w:val="clear" w:color="auto" w:fill="auto"/>
            <w:vAlign w:val="center"/>
          </w:tcPr>
          <w:p w14:paraId="7346AC9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60</w:t>
            </w:r>
          </w:p>
        </w:tc>
        <w:tc>
          <w:tcPr>
            <w:tcW w:w="1064" w:type="dxa"/>
            <w:tcBorders>
              <w:left w:val="single" w:sz="4" w:space="0" w:color="000000"/>
              <w:bottom w:val="single" w:sz="4" w:space="0" w:color="000000"/>
            </w:tcBorders>
            <w:shd w:val="clear" w:color="auto" w:fill="auto"/>
            <w:vAlign w:val="center"/>
          </w:tcPr>
          <w:p w14:paraId="795835D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66</w:t>
            </w:r>
          </w:p>
        </w:tc>
        <w:tc>
          <w:tcPr>
            <w:tcW w:w="1065" w:type="dxa"/>
            <w:tcBorders>
              <w:left w:val="single" w:sz="4" w:space="0" w:color="000000"/>
              <w:bottom w:val="single" w:sz="4" w:space="0" w:color="000000"/>
            </w:tcBorders>
            <w:shd w:val="clear" w:color="auto" w:fill="auto"/>
            <w:vAlign w:val="center"/>
          </w:tcPr>
          <w:p w14:paraId="48170F77"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52</w:t>
            </w:r>
          </w:p>
        </w:tc>
        <w:tc>
          <w:tcPr>
            <w:tcW w:w="1189" w:type="dxa"/>
            <w:tcBorders>
              <w:left w:val="single" w:sz="4" w:space="0" w:color="000000"/>
              <w:bottom w:val="single" w:sz="4" w:space="0" w:color="000000"/>
              <w:right w:val="single" w:sz="4" w:space="0" w:color="000000"/>
            </w:tcBorders>
            <w:shd w:val="clear" w:color="auto" w:fill="auto"/>
            <w:vAlign w:val="center"/>
          </w:tcPr>
          <w:p w14:paraId="37B91A47"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443</w:t>
            </w:r>
          </w:p>
        </w:tc>
      </w:tr>
      <w:tr w:rsidR="002F6ADB" w14:paraId="496A56D9" w14:textId="77777777" w:rsidTr="00972A9A">
        <w:trPr>
          <w:trHeight w:val="23"/>
        </w:trPr>
        <w:tc>
          <w:tcPr>
            <w:tcW w:w="1026" w:type="dxa"/>
            <w:tcBorders>
              <w:left w:val="single" w:sz="4" w:space="0" w:color="000000"/>
              <w:bottom w:val="single" w:sz="4" w:space="0" w:color="000000"/>
            </w:tcBorders>
            <w:shd w:val="clear" w:color="auto" w:fill="auto"/>
            <w:vAlign w:val="center"/>
          </w:tcPr>
          <w:p w14:paraId="3D2A9261"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三居</w:t>
            </w:r>
          </w:p>
        </w:tc>
        <w:tc>
          <w:tcPr>
            <w:tcW w:w="1027" w:type="dxa"/>
            <w:tcBorders>
              <w:left w:val="single" w:sz="4" w:space="0" w:color="000000"/>
              <w:bottom w:val="single" w:sz="4" w:space="0" w:color="000000"/>
            </w:tcBorders>
            <w:shd w:val="clear" w:color="auto" w:fill="auto"/>
            <w:vAlign w:val="center"/>
          </w:tcPr>
          <w:p w14:paraId="253E60DE"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w:t>
            </w:r>
          </w:p>
        </w:tc>
        <w:tc>
          <w:tcPr>
            <w:tcW w:w="1063" w:type="dxa"/>
            <w:tcBorders>
              <w:left w:val="single" w:sz="4" w:space="0" w:color="000000"/>
              <w:bottom w:val="single" w:sz="4" w:space="0" w:color="000000"/>
            </w:tcBorders>
            <w:shd w:val="clear" w:color="auto" w:fill="auto"/>
            <w:vAlign w:val="center"/>
          </w:tcPr>
          <w:p w14:paraId="6516DF0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w:t>
            </w:r>
          </w:p>
        </w:tc>
        <w:tc>
          <w:tcPr>
            <w:tcW w:w="1027" w:type="dxa"/>
            <w:tcBorders>
              <w:left w:val="single" w:sz="4" w:space="0" w:color="000000"/>
              <w:bottom w:val="single" w:sz="4" w:space="0" w:color="000000"/>
            </w:tcBorders>
            <w:shd w:val="clear" w:color="auto" w:fill="auto"/>
            <w:vAlign w:val="center"/>
          </w:tcPr>
          <w:p w14:paraId="39768966"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w:t>
            </w:r>
          </w:p>
        </w:tc>
        <w:tc>
          <w:tcPr>
            <w:tcW w:w="1026" w:type="dxa"/>
            <w:tcBorders>
              <w:left w:val="single" w:sz="4" w:space="0" w:color="000000"/>
              <w:bottom w:val="single" w:sz="4" w:space="0" w:color="000000"/>
            </w:tcBorders>
            <w:shd w:val="clear" w:color="auto" w:fill="auto"/>
            <w:vAlign w:val="center"/>
          </w:tcPr>
          <w:p w14:paraId="1381EBF1" w14:textId="77777777" w:rsidR="002F6ADB" w:rsidRPr="00FB51B2" w:rsidRDefault="002F6ADB" w:rsidP="00972A9A">
            <w:pPr>
              <w:spacing w:line="240" w:lineRule="auto"/>
              <w:jc w:val="center"/>
              <w:rPr>
                <w:rFonts w:ascii="Arial" w:hAnsi="Arial" w:cs="Arial"/>
                <w:sz w:val="20"/>
              </w:rPr>
            </w:pPr>
          </w:p>
        </w:tc>
        <w:tc>
          <w:tcPr>
            <w:tcW w:w="1027" w:type="dxa"/>
            <w:tcBorders>
              <w:left w:val="single" w:sz="4" w:space="0" w:color="000000"/>
              <w:bottom w:val="single" w:sz="4" w:space="0" w:color="000000"/>
            </w:tcBorders>
            <w:shd w:val="clear" w:color="auto" w:fill="auto"/>
            <w:vAlign w:val="center"/>
          </w:tcPr>
          <w:p w14:paraId="7A4546E0" w14:textId="77777777" w:rsidR="002F6ADB" w:rsidRPr="00FB51B2" w:rsidRDefault="002F6ADB" w:rsidP="00972A9A">
            <w:pPr>
              <w:spacing w:line="240" w:lineRule="auto"/>
              <w:jc w:val="center"/>
              <w:rPr>
                <w:rFonts w:ascii="Arial" w:hAnsi="Arial" w:cs="Arial"/>
                <w:sz w:val="20"/>
              </w:rPr>
            </w:pPr>
          </w:p>
        </w:tc>
        <w:tc>
          <w:tcPr>
            <w:tcW w:w="1064" w:type="dxa"/>
            <w:tcBorders>
              <w:left w:val="single" w:sz="4" w:space="0" w:color="000000"/>
              <w:bottom w:val="single" w:sz="4" w:space="0" w:color="000000"/>
            </w:tcBorders>
            <w:shd w:val="clear" w:color="auto" w:fill="auto"/>
            <w:vAlign w:val="center"/>
          </w:tcPr>
          <w:p w14:paraId="4EBD06C5" w14:textId="77777777" w:rsidR="002F6ADB" w:rsidRPr="00FB51B2" w:rsidRDefault="002F6ADB" w:rsidP="00972A9A">
            <w:pPr>
              <w:spacing w:line="240" w:lineRule="auto"/>
              <w:jc w:val="center"/>
              <w:rPr>
                <w:rFonts w:ascii="Arial" w:hAnsi="Arial" w:cs="Arial"/>
                <w:sz w:val="20"/>
              </w:rPr>
            </w:pPr>
          </w:p>
        </w:tc>
        <w:tc>
          <w:tcPr>
            <w:tcW w:w="1065" w:type="dxa"/>
            <w:tcBorders>
              <w:left w:val="single" w:sz="4" w:space="0" w:color="000000"/>
              <w:bottom w:val="single" w:sz="4" w:space="0" w:color="000000"/>
            </w:tcBorders>
            <w:shd w:val="clear" w:color="auto" w:fill="auto"/>
            <w:vAlign w:val="center"/>
          </w:tcPr>
          <w:p w14:paraId="44B99619"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w:t>
            </w:r>
          </w:p>
        </w:tc>
        <w:tc>
          <w:tcPr>
            <w:tcW w:w="1189" w:type="dxa"/>
            <w:tcBorders>
              <w:left w:val="single" w:sz="4" w:space="0" w:color="000000"/>
              <w:bottom w:val="single" w:sz="4" w:space="0" w:color="000000"/>
              <w:right w:val="single" w:sz="4" w:space="0" w:color="000000"/>
            </w:tcBorders>
            <w:shd w:val="clear" w:color="auto" w:fill="auto"/>
            <w:vAlign w:val="center"/>
          </w:tcPr>
          <w:p w14:paraId="1EC0117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22</w:t>
            </w:r>
          </w:p>
        </w:tc>
      </w:tr>
      <w:tr w:rsidR="002F6ADB" w14:paraId="302A0341" w14:textId="77777777" w:rsidTr="00972A9A">
        <w:trPr>
          <w:trHeight w:val="23"/>
        </w:trPr>
        <w:tc>
          <w:tcPr>
            <w:tcW w:w="1026" w:type="dxa"/>
            <w:tcBorders>
              <w:left w:val="single" w:sz="4" w:space="0" w:color="000000"/>
              <w:bottom w:val="single" w:sz="4" w:space="0" w:color="000000"/>
            </w:tcBorders>
            <w:shd w:val="clear" w:color="auto" w:fill="auto"/>
            <w:vAlign w:val="center"/>
          </w:tcPr>
          <w:p w14:paraId="0F929628"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合计套数</w:t>
            </w:r>
          </w:p>
        </w:tc>
        <w:tc>
          <w:tcPr>
            <w:tcW w:w="1027" w:type="dxa"/>
            <w:tcBorders>
              <w:left w:val="single" w:sz="4" w:space="0" w:color="000000"/>
              <w:bottom w:val="single" w:sz="4" w:space="0" w:color="000000"/>
            </w:tcBorders>
            <w:shd w:val="clear" w:color="auto" w:fill="auto"/>
            <w:vAlign w:val="center"/>
          </w:tcPr>
          <w:p w14:paraId="05972F69"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46</w:t>
            </w:r>
          </w:p>
        </w:tc>
        <w:tc>
          <w:tcPr>
            <w:tcW w:w="1063" w:type="dxa"/>
            <w:tcBorders>
              <w:left w:val="single" w:sz="4" w:space="0" w:color="000000"/>
              <w:bottom w:val="single" w:sz="4" w:space="0" w:color="000000"/>
            </w:tcBorders>
            <w:shd w:val="clear" w:color="auto" w:fill="auto"/>
            <w:vAlign w:val="center"/>
          </w:tcPr>
          <w:p w14:paraId="14028F70"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180</w:t>
            </w:r>
          </w:p>
        </w:tc>
        <w:tc>
          <w:tcPr>
            <w:tcW w:w="1027" w:type="dxa"/>
            <w:tcBorders>
              <w:left w:val="single" w:sz="4" w:space="0" w:color="000000"/>
              <w:bottom w:val="single" w:sz="4" w:space="0" w:color="000000"/>
            </w:tcBorders>
            <w:shd w:val="clear" w:color="auto" w:fill="auto"/>
            <w:vAlign w:val="center"/>
          </w:tcPr>
          <w:p w14:paraId="4145695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71</w:t>
            </w:r>
          </w:p>
        </w:tc>
        <w:tc>
          <w:tcPr>
            <w:tcW w:w="1026" w:type="dxa"/>
            <w:tcBorders>
              <w:left w:val="single" w:sz="4" w:space="0" w:color="000000"/>
              <w:bottom w:val="single" w:sz="4" w:space="0" w:color="000000"/>
            </w:tcBorders>
            <w:shd w:val="clear" w:color="auto" w:fill="auto"/>
            <w:vAlign w:val="center"/>
          </w:tcPr>
          <w:p w14:paraId="1EE63A05"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111</w:t>
            </w:r>
          </w:p>
        </w:tc>
        <w:tc>
          <w:tcPr>
            <w:tcW w:w="1027" w:type="dxa"/>
            <w:tcBorders>
              <w:left w:val="single" w:sz="4" w:space="0" w:color="000000"/>
              <w:bottom w:val="single" w:sz="4" w:space="0" w:color="000000"/>
            </w:tcBorders>
            <w:shd w:val="clear" w:color="auto" w:fill="auto"/>
            <w:vAlign w:val="center"/>
          </w:tcPr>
          <w:p w14:paraId="014C936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75</w:t>
            </w:r>
          </w:p>
        </w:tc>
        <w:tc>
          <w:tcPr>
            <w:tcW w:w="1064" w:type="dxa"/>
            <w:tcBorders>
              <w:left w:val="single" w:sz="4" w:space="0" w:color="000000"/>
              <w:bottom w:val="single" w:sz="4" w:space="0" w:color="000000"/>
            </w:tcBorders>
            <w:shd w:val="clear" w:color="auto" w:fill="auto"/>
            <w:vAlign w:val="center"/>
          </w:tcPr>
          <w:p w14:paraId="71BEC79A"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156</w:t>
            </w:r>
          </w:p>
        </w:tc>
        <w:tc>
          <w:tcPr>
            <w:tcW w:w="1065" w:type="dxa"/>
            <w:tcBorders>
              <w:left w:val="single" w:sz="4" w:space="0" w:color="000000"/>
              <w:bottom w:val="single" w:sz="4" w:space="0" w:color="000000"/>
            </w:tcBorders>
            <w:shd w:val="clear" w:color="auto" w:fill="auto"/>
            <w:vAlign w:val="center"/>
          </w:tcPr>
          <w:p w14:paraId="3EFC5735"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320</w:t>
            </w:r>
          </w:p>
        </w:tc>
        <w:tc>
          <w:tcPr>
            <w:tcW w:w="1189" w:type="dxa"/>
            <w:tcBorders>
              <w:left w:val="single" w:sz="4" w:space="0" w:color="000000"/>
              <w:bottom w:val="single" w:sz="4" w:space="0" w:color="000000"/>
              <w:right w:val="single" w:sz="4" w:space="0" w:color="000000"/>
            </w:tcBorders>
            <w:shd w:val="clear" w:color="auto" w:fill="auto"/>
            <w:vAlign w:val="center"/>
          </w:tcPr>
          <w:p w14:paraId="71AA5FCC"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959</w:t>
            </w:r>
          </w:p>
        </w:tc>
      </w:tr>
      <w:tr w:rsidR="002F6ADB" w14:paraId="4EA29E7D" w14:textId="77777777" w:rsidTr="00972A9A">
        <w:trPr>
          <w:trHeight w:val="23"/>
        </w:trPr>
        <w:tc>
          <w:tcPr>
            <w:tcW w:w="1026" w:type="dxa"/>
            <w:tcBorders>
              <w:left w:val="single" w:sz="4" w:space="0" w:color="000000"/>
              <w:bottom w:val="single" w:sz="4" w:space="0" w:color="000000"/>
            </w:tcBorders>
            <w:shd w:val="clear" w:color="auto" w:fill="auto"/>
            <w:vAlign w:val="center"/>
          </w:tcPr>
          <w:p w14:paraId="56CBAF0D" w14:textId="7855E44F" w:rsidR="002F6ADB" w:rsidRDefault="002F6ADB" w:rsidP="00972A9A">
            <w:pPr>
              <w:widowControl/>
              <w:spacing w:line="240" w:lineRule="auto"/>
              <w:jc w:val="center"/>
              <w:textAlignment w:val="auto"/>
            </w:pPr>
            <w:r>
              <w:rPr>
                <w:rFonts w:ascii="华文细黑" w:eastAsia="华文细黑" w:hAnsi="华文细黑" w:cs="Arial" w:hint="eastAsia"/>
                <w:sz w:val="18"/>
                <w:szCs w:val="18"/>
              </w:rPr>
              <w:t>合计面积</w:t>
            </w:r>
            <w:r w:rsidR="009A3379">
              <w:rPr>
                <w:rFonts w:ascii="华文细黑" w:eastAsia="华文细黑" w:hAnsi="华文细黑" w:cs="Arial" w:hint="eastAsia"/>
                <w:sz w:val="18"/>
                <w:szCs w:val="18"/>
              </w:rPr>
              <w:t>（m</w:t>
            </w:r>
            <w:r w:rsidR="009A3379" w:rsidRPr="009A3379">
              <w:rPr>
                <w:rFonts w:ascii="华文细黑" w:eastAsia="华文细黑" w:hAnsi="华文细黑" w:cs="Arial"/>
                <w:sz w:val="18"/>
                <w:szCs w:val="18"/>
                <w:vertAlign w:val="superscript"/>
              </w:rPr>
              <w:t>2</w:t>
            </w:r>
            <w:r w:rsidR="009A3379">
              <w:rPr>
                <w:rFonts w:ascii="华文细黑" w:eastAsia="华文细黑" w:hAnsi="华文细黑" w:cs="Arial" w:hint="eastAsia"/>
                <w:sz w:val="18"/>
                <w:szCs w:val="18"/>
              </w:rPr>
              <w:t>）</w:t>
            </w:r>
          </w:p>
        </w:tc>
        <w:tc>
          <w:tcPr>
            <w:tcW w:w="1027" w:type="dxa"/>
            <w:tcBorders>
              <w:left w:val="single" w:sz="4" w:space="0" w:color="000000"/>
              <w:bottom w:val="single" w:sz="4" w:space="0" w:color="000000"/>
            </w:tcBorders>
            <w:shd w:val="clear" w:color="auto" w:fill="auto"/>
            <w:vAlign w:val="center"/>
          </w:tcPr>
          <w:p w14:paraId="5F0768C7"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3825.77</w:t>
            </w:r>
          </w:p>
        </w:tc>
        <w:tc>
          <w:tcPr>
            <w:tcW w:w="1063" w:type="dxa"/>
            <w:tcBorders>
              <w:left w:val="single" w:sz="4" w:space="0" w:color="000000"/>
              <w:bottom w:val="single" w:sz="4" w:space="0" w:color="000000"/>
            </w:tcBorders>
            <w:shd w:val="clear" w:color="auto" w:fill="auto"/>
            <w:vAlign w:val="center"/>
          </w:tcPr>
          <w:p w14:paraId="3A4B791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14530.24</w:t>
            </w:r>
          </w:p>
        </w:tc>
        <w:tc>
          <w:tcPr>
            <w:tcW w:w="1027" w:type="dxa"/>
            <w:tcBorders>
              <w:left w:val="single" w:sz="4" w:space="0" w:color="000000"/>
              <w:bottom w:val="single" w:sz="4" w:space="0" w:color="000000"/>
            </w:tcBorders>
            <w:shd w:val="clear" w:color="auto" w:fill="auto"/>
            <w:vAlign w:val="center"/>
          </w:tcPr>
          <w:p w14:paraId="7C70C57C"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6175.02</w:t>
            </w:r>
          </w:p>
        </w:tc>
        <w:tc>
          <w:tcPr>
            <w:tcW w:w="1026" w:type="dxa"/>
            <w:tcBorders>
              <w:left w:val="single" w:sz="4" w:space="0" w:color="000000"/>
              <w:bottom w:val="single" w:sz="4" w:space="0" w:color="000000"/>
            </w:tcBorders>
            <w:shd w:val="clear" w:color="auto" w:fill="auto"/>
            <w:vAlign w:val="center"/>
          </w:tcPr>
          <w:p w14:paraId="0D55225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9218.27</w:t>
            </w:r>
          </w:p>
        </w:tc>
        <w:tc>
          <w:tcPr>
            <w:tcW w:w="1027" w:type="dxa"/>
            <w:tcBorders>
              <w:left w:val="single" w:sz="4" w:space="0" w:color="000000"/>
              <w:bottom w:val="single" w:sz="4" w:space="0" w:color="000000"/>
            </w:tcBorders>
            <w:shd w:val="clear" w:color="auto" w:fill="auto"/>
            <w:vAlign w:val="center"/>
          </w:tcPr>
          <w:p w14:paraId="1613BDB9"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6359.37</w:t>
            </w:r>
          </w:p>
        </w:tc>
        <w:tc>
          <w:tcPr>
            <w:tcW w:w="1064" w:type="dxa"/>
            <w:tcBorders>
              <w:left w:val="single" w:sz="4" w:space="0" w:color="000000"/>
              <w:bottom w:val="single" w:sz="4" w:space="0" w:color="000000"/>
            </w:tcBorders>
            <w:shd w:val="clear" w:color="auto" w:fill="auto"/>
            <w:vAlign w:val="center"/>
          </w:tcPr>
          <w:p w14:paraId="0E6232A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11871.66</w:t>
            </w:r>
          </w:p>
        </w:tc>
        <w:tc>
          <w:tcPr>
            <w:tcW w:w="1065" w:type="dxa"/>
            <w:tcBorders>
              <w:left w:val="single" w:sz="4" w:space="0" w:color="000000"/>
              <w:bottom w:val="single" w:sz="4" w:space="0" w:color="000000"/>
            </w:tcBorders>
            <w:shd w:val="clear" w:color="auto" w:fill="auto"/>
            <w:vAlign w:val="center"/>
          </w:tcPr>
          <w:p w14:paraId="683F1A3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22541.61</w:t>
            </w:r>
          </w:p>
        </w:tc>
        <w:tc>
          <w:tcPr>
            <w:tcW w:w="1189" w:type="dxa"/>
            <w:tcBorders>
              <w:left w:val="single" w:sz="4" w:space="0" w:color="000000"/>
              <w:bottom w:val="single" w:sz="4" w:space="0" w:color="000000"/>
              <w:right w:val="single" w:sz="4" w:space="0" w:color="000000"/>
            </w:tcBorders>
            <w:shd w:val="clear" w:color="auto" w:fill="auto"/>
            <w:vAlign w:val="center"/>
          </w:tcPr>
          <w:p w14:paraId="57DCD9F6"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74521.94</w:t>
            </w:r>
          </w:p>
        </w:tc>
      </w:tr>
    </w:tbl>
    <w:p w14:paraId="4FA6FF5F" w14:textId="77777777" w:rsidR="00AF6F34" w:rsidRDefault="00AF6F34" w:rsidP="002F6ADB">
      <w:pPr>
        <w:spacing w:beforeLines="50" w:before="120" w:line="480" w:lineRule="auto"/>
        <w:ind w:firstLine="420"/>
        <w:jc w:val="both"/>
      </w:pPr>
      <w:r>
        <w:rPr>
          <w:rFonts w:ascii="Arial" w:hAnsi="Arial" w:cs="Arial"/>
          <w:sz w:val="21"/>
          <w:szCs w:val="21"/>
        </w:rPr>
        <w:t>1.</w:t>
      </w:r>
      <w:r>
        <w:rPr>
          <w:rFonts w:ascii="Arial" w:hAnsi="Arial" w:cs="Arial"/>
          <w:sz w:val="21"/>
          <w:szCs w:val="21"/>
        </w:rPr>
        <w:t>土地实物状况</w:t>
      </w:r>
    </w:p>
    <w:p w14:paraId="549FB0CF" w14:textId="77777777" w:rsidR="00AF6F34" w:rsidRDefault="00AF6F34">
      <w:pPr>
        <w:overflowPunct w:val="0"/>
        <w:spacing w:line="480" w:lineRule="auto"/>
        <w:ind w:firstLine="420"/>
        <w:jc w:val="both"/>
        <w:textAlignment w:val="auto"/>
      </w:pPr>
      <w:r>
        <w:rPr>
          <w:rFonts w:ascii="Arial" w:hAnsi="Arial" w:cs="Arial" w:hint="eastAsia"/>
          <w:kern w:val="2"/>
          <w:sz w:val="21"/>
          <w:szCs w:val="21"/>
        </w:rPr>
        <w:t>根据估价委托人提供的</w:t>
      </w:r>
      <w:r w:rsidR="00B01A7B">
        <w:rPr>
          <w:rFonts w:ascii="Arial" w:hAnsi="Arial" w:cs="Arial" w:hint="eastAsia"/>
          <w:kern w:val="2"/>
          <w:sz w:val="21"/>
          <w:szCs w:val="21"/>
        </w:rPr>
        <w:t>《房屋所有权证》</w:t>
      </w:r>
      <w:r w:rsidR="00B01A7B">
        <w:rPr>
          <w:rFonts w:ascii="Arial" w:hAnsi="Arial" w:cs="Arial" w:hint="eastAsia"/>
          <w:kern w:val="2"/>
          <w:sz w:val="21"/>
          <w:szCs w:val="21"/>
        </w:rPr>
        <w:t>[X</w:t>
      </w:r>
      <w:r w:rsidR="00B01A7B">
        <w:rPr>
          <w:rFonts w:ascii="Arial" w:hAnsi="Arial" w:cs="Arial" w:hint="eastAsia"/>
          <w:kern w:val="2"/>
          <w:sz w:val="21"/>
          <w:szCs w:val="21"/>
        </w:rPr>
        <w:t>京房权证开字第</w:t>
      </w:r>
      <w:r w:rsidR="00B01A7B">
        <w:rPr>
          <w:rFonts w:ascii="Arial" w:hAnsi="Arial" w:cs="Arial" w:hint="eastAsia"/>
          <w:kern w:val="2"/>
          <w:sz w:val="21"/>
          <w:szCs w:val="21"/>
        </w:rPr>
        <w:t>034346</w:t>
      </w:r>
      <w:r w:rsidR="00B01A7B">
        <w:rPr>
          <w:rFonts w:ascii="Arial" w:hAnsi="Arial" w:cs="Arial" w:hint="eastAsia"/>
          <w:kern w:val="2"/>
          <w:sz w:val="21"/>
          <w:szCs w:val="21"/>
        </w:rPr>
        <w:t>、</w:t>
      </w:r>
      <w:r w:rsidR="00B01A7B">
        <w:rPr>
          <w:rFonts w:ascii="Arial" w:hAnsi="Arial" w:cs="Arial" w:hint="eastAsia"/>
          <w:kern w:val="2"/>
          <w:sz w:val="21"/>
          <w:szCs w:val="21"/>
        </w:rPr>
        <w:t>034198</w:t>
      </w:r>
      <w:r w:rsidR="00B01A7B">
        <w:rPr>
          <w:rFonts w:ascii="Arial" w:hAnsi="Arial" w:cs="Arial" w:hint="eastAsia"/>
          <w:kern w:val="2"/>
          <w:sz w:val="21"/>
          <w:szCs w:val="21"/>
        </w:rPr>
        <w:t>、</w:t>
      </w:r>
      <w:r w:rsidR="00B01A7B">
        <w:rPr>
          <w:rFonts w:ascii="Arial" w:hAnsi="Arial" w:cs="Arial" w:hint="eastAsia"/>
          <w:kern w:val="2"/>
          <w:sz w:val="21"/>
          <w:szCs w:val="21"/>
        </w:rPr>
        <w:t>034354</w:t>
      </w:r>
      <w:r w:rsidR="00B01A7B">
        <w:rPr>
          <w:rFonts w:ascii="Arial" w:hAnsi="Arial" w:cs="Arial" w:hint="eastAsia"/>
          <w:kern w:val="2"/>
          <w:sz w:val="21"/>
          <w:szCs w:val="21"/>
        </w:rPr>
        <w:t>、</w:t>
      </w:r>
      <w:r w:rsidR="00B01A7B">
        <w:rPr>
          <w:rFonts w:ascii="Arial" w:hAnsi="Arial" w:cs="Arial" w:hint="eastAsia"/>
          <w:kern w:val="2"/>
          <w:sz w:val="21"/>
          <w:szCs w:val="21"/>
        </w:rPr>
        <w:t>034348</w:t>
      </w:r>
      <w:r w:rsidR="00B01A7B">
        <w:rPr>
          <w:rFonts w:ascii="Arial" w:hAnsi="Arial" w:cs="Arial" w:hint="eastAsia"/>
          <w:kern w:val="2"/>
          <w:sz w:val="21"/>
          <w:szCs w:val="21"/>
        </w:rPr>
        <w:t>、</w:t>
      </w:r>
      <w:r w:rsidR="00B01A7B">
        <w:rPr>
          <w:rFonts w:ascii="Arial" w:hAnsi="Arial" w:cs="Arial" w:hint="eastAsia"/>
          <w:kern w:val="2"/>
          <w:sz w:val="21"/>
          <w:szCs w:val="21"/>
        </w:rPr>
        <w:t>034199</w:t>
      </w:r>
      <w:r w:rsidR="00B01A7B">
        <w:rPr>
          <w:rFonts w:ascii="Arial" w:hAnsi="Arial" w:cs="Arial" w:hint="eastAsia"/>
          <w:kern w:val="2"/>
          <w:sz w:val="21"/>
          <w:szCs w:val="21"/>
        </w:rPr>
        <w:t>、</w:t>
      </w:r>
      <w:r w:rsidR="00B01A7B">
        <w:rPr>
          <w:rFonts w:ascii="Arial" w:hAnsi="Arial" w:cs="Arial" w:hint="eastAsia"/>
          <w:kern w:val="2"/>
          <w:sz w:val="21"/>
          <w:szCs w:val="21"/>
        </w:rPr>
        <w:t>034680</w:t>
      </w:r>
      <w:r w:rsidR="00B01A7B">
        <w:rPr>
          <w:rFonts w:ascii="Arial" w:hAnsi="Arial" w:cs="Arial" w:hint="eastAsia"/>
          <w:kern w:val="2"/>
          <w:sz w:val="21"/>
          <w:szCs w:val="21"/>
        </w:rPr>
        <w:t>、</w:t>
      </w:r>
      <w:r w:rsidR="00B01A7B">
        <w:rPr>
          <w:rFonts w:ascii="Arial" w:hAnsi="Arial" w:cs="Arial" w:hint="eastAsia"/>
          <w:kern w:val="2"/>
          <w:sz w:val="21"/>
          <w:szCs w:val="21"/>
        </w:rPr>
        <w:t>034671</w:t>
      </w:r>
      <w:r w:rsidR="00B01A7B">
        <w:rPr>
          <w:rFonts w:ascii="Arial" w:hAnsi="Arial" w:cs="Arial" w:hint="eastAsia"/>
          <w:kern w:val="2"/>
          <w:sz w:val="21"/>
          <w:szCs w:val="21"/>
        </w:rPr>
        <w:t>号</w:t>
      </w:r>
      <w:r w:rsidR="00B01A7B">
        <w:rPr>
          <w:rFonts w:ascii="Arial" w:hAnsi="Arial" w:cs="Arial" w:hint="eastAsia"/>
          <w:kern w:val="2"/>
          <w:sz w:val="21"/>
          <w:szCs w:val="21"/>
        </w:rPr>
        <w:t>]</w:t>
      </w:r>
      <w:r w:rsidR="00B01A7B">
        <w:rPr>
          <w:rFonts w:ascii="Arial" w:hAnsi="Arial" w:cs="Arial" w:hint="eastAsia"/>
          <w:kern w:val="2"/>
          <w:sz w:val="21"/>
          <w:szCs w:val="21"/>
        </w:rPr>
        <w:t>复印件</w:t>
      </w:r>
      <w:r>
        <w:rPr>
          <w:rFonts w:ascii="Arial" w:hAnsi="Arial" w:cs="Arial" w:hint="eastAsia"/>
          <w:kern w:val="2"/>
          <w:sz w:val="21"/>
          <w:szCs w:val="21"/>
        </w:rPr>
        <w:t>及其</w:t>
      </w:r>
      <w:r>
        <w:rPr>
          <w:rFonts w:ascii="Arial" w:hAnsi="Arial" w:cs="Arial" w:hint="eastAsia"/>
          <w:sz w:val="21"/>
          <w:szCs w:val="21"/>
        </w:rPr>
        <w:t>介绍，</w:t>
      </w:r>
      <w:r>
        <w:rPr>
          <w:rFonts w:ascii="Arial" w:hAnsi="Arial" w:cs="Arial" w:hint="eastAsia"/>
          <w:kern w:val="2"/>
          <w:sz w:val="21"/>
          <w:szCs w:val="21"/>
        </w:rPr>
        <w:t>估价对象所属宗地权利类型为国有建设用地使用权，土地使用权取得方式为有偿（出让）。</w:t>
      </w:r>
    </w:p>
    <w:p w14:paraId="0D4ED21D" w14:textId="77777777" w:rsidR="00AF6F34" w:rsidRDefault="00AF6F34">
      <w:pPr>
        <w:overflowPunct w:val="0"/>
        <w:spacing w:line="480" w:lineRule="auto"/>
        <w:ind w:firstLine="420"/>
        <w:jc w:val="both"/>
        <w:textAlignment w:val="auto"/>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估价对象所属项目用地四至：</w:t>
      </w:r>
    </w:p>
    <w:p w14:paraId="23DF5F01" w14:textId="77777777" w:rsidR="00AF6F34" w:rsidRDefault="00AF6F34">
      <w:pPr>
        <w:overflowPunct w:val="0"/>
        <w:spacing w:line="480" w:lineRule="auto"/>
        <w:ind w:firstLine="420"/>
        <w:jc w:val="both"/>
        <w:textAlignment w:val="auto"/>
      </w:pPr>
      <w:r>
        <w:rPr>
          <w:rFonts w:ascii="Arial" w:hAnsi="Arial" w:cs="Arial" w:hint="eastAsia"/>
          <w:kern w:val="2"/>
          <w:sz w:val="21"/>
          <w:szCs w:val="21"/>
        </w:rPr>
        <w:t>现状四至为东至博兴八路，西至三海子东路、四合路，南至姜场街、千顷堂街，北至黄亦路、泰河路。</w:t>
      </w:r>
    </w:p>
    <w:p w14:paraId="4B4C733E" w14:textId="77777777" w:rsidR="00AF6F34" w:rsidRDefault="00AF6F34">
      <w:pPr>
        <w:overflowPunct w:val="0"/>
        <w:spacing w:line="480" w:lineRule="auto"/>
        <w:ind w:firstLine="420"/>
        <w:jc w:val="both"/>
        <w:textAlignment w:val="auto"/>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Pr>
          <w:rFonts w:ascii="Arial" w:hAnsi="Arial" w:cs="Arial"/>
          <w:sz w:val="21"/>
          <w:szCs w:val="21"/>
        </w:rPr>
        <w:t>估价对象所属项目用地呈</w:t>
      </w:r>
      <w:r>
        <w:rPr>
          <w:rFonts w:ascii="Arial" w:hAnsi="Arial" w:cs="Arial" w:hint="eastAsia"/>
          <w:sz w:val="21"/>
          <w:szCs w:val="21"/>
        </w:rPr>
        <w:t>较</w:t>
      </w:r>
      <w:r>
        <w:rPr>
          <w:rFonts w:ascii="Arial" w:hAnsi="Arial" w:cs="Arial"/>
          <w:sz w:val="21"/>
          <w:szCs w:val="21"/>
        </w:rPr>
        <w:t>规则形状，</w:t>
      </w:r>
      <w:r>
        <w:rPr>
          <w:rFonts w:ascii="Arial" w:hAnsi="Arial" w:cs="Arial" w:hint="eastAsia"/>
          <w:sz w:val="21"/>
          <w:szCs w:val="21"/>
        </w:rPr>
        <w:t>对利用无不良影响，</w:t>
      </w:r>
      <w:r>
        <w:rPr>
          <w:rFonts w:ascii="Arial" w:hAnsi="Arial" w:cs="Arial"/>
          <w:sz w:val="21"/>
          <w:szCs w:val="21"/>
        </w:rPr>
        <w:t>场地</w:t>
      </w:r>
      <w:r>
        <w:rPr>
          <w:rFonts w:ascii="Arial" w:hAnsi="Arial" w:cs="Arial" w:hint="eastAsia"/>
          <w:sz w:val="21"/>
          <w:szCs w:val="21"/>
        </w:rPr>
        <w:t>呈</w:t>
      </w:r>
      <w:r>
        <w:rPr>
          <w:rFonts w:ascii="Arial" w:hAnsi="Arial" w:cs="Arial"/>
          <w:sz w:val="21"/>
          <w:szCs w:val="21"/>
        </w:rPr>
        <w:t>较平坦地势</w:t>
      </w:r>
      <w:r>
        <w:rPr>
          <w:rFonts w:ascii="Arial" w:hAnsi="Arial" w:cs="Arial" w:hint="eastAsia"/>
          <w:sz w:val="21"/>
          <w:szCs w:val="21"/>
        </w:rPr>
        <w:t>，工程地质条件良好，无不良地质现象</w:t>
      </w:r>
      <w:r>
        <w:rPr>
          <w:rFonts w:ascii="Arial" w:hAnsi="Arial" w:cs="Arial"/>
          <w:sz w:val="21"/>
          <w:szCs w:val="21"/>
        </w:rPr>
        <w:t>。</w:t>
      </w:r>
      <w:r>
        <w:rPr>
          <w:rFonts w:ascii="Arial" w:hAnsi="Arial" w:cs="Arial" w:hint="eastAsia"/>
          <w:sz w:val="21"/>
          <w:szCs w:val="21"/>
        </w:rPr>
        <w:t>估价对象现状已完成开发建设，土地利用程度高。</w:t>
      </w:r>
    </w:p>
    <w:p w14:paraId="4EEDEF1C" w14:textId="77777777" w:rsidR="00AF6F34" w:rsidRDefault="00AF6F34">
      <w:pPr>
        <w:overflowPunct w:val="0"/>
        <w:spacing w:line="480" w:lineRule="auto"/>
        <w:ind w:firstLine="420"/>
        <w:jc w:val="both"/>
        <w:textAlignment w:val="auto"/>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）开发程度</w:t>
      </w:r>
      <w:r>
        <w:rPr>
          <w:rFonts w:ascii="Arial" w:hAnsi="Arial" w:cs="Arial"/>
          <w:sz w:val="21"/>
          <w:szCs w:val="21"/>
        </w:rPr>
        <w:t>：</w:t>
      </w:r>
    </w:p>
    <w:p w14:paraId="18FAD9FE" w14:textId="77777777" w:rsidR="00AF6F34" w:rsidRDefault="00AF6F34">
      <w:pPr>
        <w:overflowPunct w:val="0"/>
        <w:spacing w:line="480" w:lineRule="auto"/>
        <w:ind w:firstLine="420"/>
        <w:jc w:val="both"/>
        <w:textAlignment w:val="auto"/>
      </w:pPr>
      <w:r>
        <w:rPr>
          <w:rFonts w:ascii="Arial" w:hAnsi="Arial" w:cs="Arial"/>
          <w:kern w:val="2"/>
          <w:sz w:val="21"/>
          <w:szCs w:val="21"/>
        </w:rPr>
        <w:t>估价对象所在区域市政基础设施完备，为</w:t>
      </w:r>
      <w:r>
        <w:rPr>
          <w:rFonts w:ascii="Arial" w:hAnsi="Arial" w:cs="Arial"/>
          <w:kern w:val="2"/>
          <w:sz w:val="21"/>
          <w:szCs w:val="21"/>
        </w:rPr>
        <w:t>“</w:t>
      </w:r>
      <w:r>
        <w:rPr>
          <w:rFonts w:ascii="Arial" w:hAnsi="Arial" w:cs="Arial" w:hint="eastAsia"/>
          <w:kern w:val="2"/>
          <w:sz w:val="21"/>
          <w:szCs w:val="21"/>
        </w:rPr>
        <w:t>七</w:t>
      </w:r>
      <w:r>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（即通路、通电、通讯</w:t>
      </w:r>
      <w:r>
        <w:rPr>
          <w:rFonts w:ascii="Arial" w:hAnsi="Arial" w:cs="Arial" w:hint="eastAsia"/>
          <w:kern w:val="2"/>
          <w:sz w:val="21"/>
          <w:szCs w:val="21"/>
        </w:rPr>
        <w:t>、</w:t>
      </w:r>
      <w:r>
        <w:rPr>
          <w:rFonts w:ascii="Arial" w:hAnsi="Arial" w:cs="Arial"/>
          <w:kern w:val="2"/>
          <w:sz w:val="21"/>
          <w:szCs w:val="21"/>
        </w:rPr>
        <w:t>通上水、通下水、通燃气、通热力），且保证程度高。</w:t>
      </w:r>
    </w:p>
    <w:p w14:paraId="6A89B06D" w14:textId="77777777" w:rsidR="00AF6F34" w:rsidRDefault="00AF6F34">
      <w:pPr>
        <w:overflowPunct w:val="0"/>
        <w:spacing w:line="480" w:lineRule="auto"/>
        <w:ind w:firstLine="420"/>
        <w:jc w:val="both"/>
        <w:textAlignment w:val="auto"/>
      </w:pPr>
      <w:r>
        <w:rPr>
          <w:rFonts w:ascii="Arial" w:hAnsi="Arial" w:cs="Arial" w:hint="eastAsia"/>
          <w:kern w:val="2"/>
          <w:sz w:val="21"/>
          <w:szCs w:val="21"/>
        </w:rPr>
        <w:t>综上所述，</w:t>
      </w:r>
      <w:r>
        <w:rPr>
          <w:rFonts w:ascii="Arial" w:hAnsi="Arial" w:cs="Arial"/>
          <w:kern w:val="2"/>
          <w:sz w:val="21"/>
          <w:szCs w:val="21"/>
        </w:rPr>
        <w:t>估价对象</w:t>
      </w:r>
      <w:r>
        <w:rPr>
          <w:rFonts w:ascii="Arial" w:hAnsi="Arial" w:cs="Arial" w:hint="eastAsia"/>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ascii="Arial" w:hAnsi="Arial" w:cs="Arial" w:hint="eastAsia"/>
          <w:sz w:val="21"/>
          <w:szCs w:val="21"/>
        </w:rPr>
        <w:t>。</w:t>
      </w:r>
    </w:p>
    <w:p w14:paraId="3F42268E" w14:textId="77777777" w:rsidR="00AF6F34" w:rsidRDefault="00AF6F34">
      <w:pPr>
        <w:spacing w:line="480" w:lineRule="auto"/>
        <w:ind w:firstLine="420"/>
        <w:jc w:val="both"/>
      </w:pPr>
      <w:r>
        <w:rPr>
          <w:rFonts w:ascii="Arial" w:hAnsi="Arial" w:cs="Arial"/>
          <w:sz w:val="21"/>
          <w:szCs w:val="21"/>
        </w:rPr>
        <w:t>2.</w:t>
      </w:r>
      <w:r>
        <w:rPr>
          <w:rFonts w:ascii="Arial" w:hAnsi="Arial" w:cs="Arial"/>
          <w:sz w:val="21"/>
          <w:szCs w:val="21"/>
        </w:rPr>
        <w:t>建筑物实物状况</w:t>
      </w:r>
    </w:p>
    <w:p w14:paraId="67CDF112" w14:textId="77777777" w:rsidR="00AF6F34" w:rsidRDefault="00AF6F34">
      <w:pPr>
        <w:overflowPunct w:val="0"/>
        <w:spacing w:line="480" w:lineRule="auto"/>
        <w:ind w:firstLine="420"/>
        <w:jc w:val="both"/>
        <w:textAlignment w:val="auto"/>
      </w:pPr>
      <w:r>
        <w:rPr>
          <w:rFonts w:ascii="Arial" w:hAnsi="Arial" w:cs="Arial" w:hint="eastAsia"/>
          <w:sz w:val="21"/>
          <w:szCs w:val="21"/>
        </w:rPr>
        <w:lastRenderedPageBreak/>
        <w:t>（</w:t>
      </w:r>
      <w:r>
        <w:rPr>
          <w:rFonts w:ascii="Arial" w:hAnsi="Arial" w:cs="Arial" w:hint="eastAsia"/>
          <w:sz w:val="21"/>
          <w:szCs w:val="21"/>
        </w:rPr>
        <w:t>1</w:t>
      </w:r>
      <w:r>
        <w:rPr>
          <w:rFonts w:ascii="Arial" w:hAnsi="Arial" w:cs="Arial" w:hint="eastAsia"/>
          <w:sz w:val="21"/>
          <w:szCs w:val="21"/>
        </w:rPr>
        <w:t>）建设规模：</w:t>
      </w:r>
      <w:r>
        <w:rPr>
          <w:rFonts w:ascii="Arial" w:hAnsi="Arial" w:cs="Arial" w:hint="eastAsia"/>
          <w:bCs/>
          <w:color w:val="000000"/>
          <w:sz w:val="21"/>
          <w:szCs w:val="21"/>
        </w:rPr>
        <w:t>北京经济技术开发区</w:t>
      </w:r>
      <w:r w:rsidR="00DE3E5A">
        <w:rPr>
          <w:rFonts w:ascii="Arial" w:hAnsi="Arial" w:cs="Arial" w:hint="eastAsia"/>
          <w:bCs/>
          <w:color w:val="000000"/>
          <w:sz w:val="21"/>
          <w:szCs w:val="21"/>
        </w:rPr>
        <w:t>南海家园一里</w:t>
      </w:r>
      <w:r w:rsidR="00DE3E5A">
        <w:rPr>
          <w:rFonts w:ascii="Arial" w:hAnsi="Arial" w:cs="Arial" w:hint="eastAsia"/>
          <w:bCs/>
          <w:color w:val="000000"/>
          <w:sz w:val="21"/>
          <w:szCs w:val="21"/>
        </w:rPr>
        <w:t>1</w:t>
      </w:r>
      <w:r w:rsidR="00DE3E5A">
        <w:rPr>
          <w:rFonts w:ascii="Arial" w:hAnsi="Arial" w:cs="Arial" w:hint="eastAsia"/>
          <w:bCs/>
          <w:color w:val="000000"/>
          <w:sz w:val="21"/>
          <w:szCs w:val="21"/>
        </w:rPr>
        <w:t>号楼</w:t>
      </w:r>
      <w:r w:rsidR="00DE3E5A">
        <w:rPr>
          <w:rFonts w:ascii="Arial" w:hAnsi="Arial" w:cs="Arial" w:hint="eastAsia"/>
          <w:bCs/>
          <w:color w:val="000000"/>
          <w:sz w:val="21"/>
          <w:szCs w:val="21"/>
        </w:rPr>
        <w:t>4</w:t>
      </w:r>
      <w:r w:rsidR="00DE3E5A">
        <w:rPr>
          <w:rFonts w:ascii="Arial" w:hAnsi="Arial" w:cs="Arial" w:hint="eastAsia"/>
          <w:bCs/>
          <w:color w:val="000000"/>
          <w:sz w:val="21"/>
          <w:szCs w:val="21"/>
        </w:rPr>
        <w:t>单元</w:t>
      </w:r>
      <w:r w:rsidR="00DE3E5A">
        <w:rPr>
          <w:rFonts w:ascii="Arial" w:hAnsi="Arial" w:cs="Arial" w:hint="eastAsia"/>
          <w:bCs/>
          <w:color w:val="000000"/>
          <w:sz w:val="21"/>
          <w:szCs w:val="21"/>
        </w:rPr>
        <w:t>1802</w:t>
      </w:r>
      <w:r>
        <w:rPr>
          <w:rFonts w:ascii="Arial" w:hAnsi="Arial" w:cs="Arial" w:hint="eastAsia"/>
          <w:bCs/>
          <w:color w:val="000000"/>
          <w:sz w:val="21"/>
          <w:szCs w:val="21"/>
        </w:rPr>
        <w:t>等</w:t>
      </w:r>
      <w:r w:rsidR="00DE3E5A">
        <w:rPr>
          <w:rFonts w:ascii="Arial" w:hAnsi="Arial" w:cs="Arial" w:hint="eastAsia"/>
          <w:bCs/>
          <w:color w:val="000000"/>
          <w:sz w:val="21"/>
          <w:szCs w:val="21"/>
        </w:rPr>
        <w:t>959</w:t>
      </w:r>
      <w:r w:rsidR="00DE3E5A">
        <w:rPr>
          <w:rFonts w:ascii="Arial" w:hAnsi="Arial" w:cs="Arial" w:hint="eastAsia"/>
          <w:bCs/>
          <w:color w:val="000000"/>
          <w:sz w:val="21"/>
          <w:szCs w:val="21"/>
        </w:rPr>
        <w:t>套</w:t>
      </w:r>
      <w:r>
        <w:rPr>
          <w:rFonts w:ascii="Arial" w:hAnsi="Arial" w:cs="Arial" w:hint="eastAsia"/>
          <w:bCs/>
          <w:color w:val="000000"/>
          <w:sz w:val="21"/>
          <w:szCs w:val="21"/>
        </w:rPr>
        <w:t>（南海家园），总建筑面积</w:t>
      </w:r>
      <w:r w:rsidR="00FB51B2">
        <w:rPr>
          <w:rFonts w:ascii="Arial" w:hAnsi="Arial" w:cs="Arial"/>
          <w:bCs/>
          <w:color w:val="000000"/>
          <w:sz w:val="21"/>
          <w:szCs w:val="21"/>
        </w:rPr>
        <w:t>74521.94</w:t>
      </w:r>
      <w:r>
        <w:rPr>
          <w:rFonts w:ascii="Arial" w:hAnsi="Arial" w:cs="Arial" w:hint="eastAsia"/>
          <w:bCs/>
          <w:color w:val="000000"/>
          <w:sz w:val="21"/>
          <w:szCs w:val="21"/>
        </w:rPr>
        <w:t>平方米。</w:t>
      </w:r>
    </w:p>
    <w:p w14:paraId="62A6376C" w14:textId="77777777" w:rsidR="00AF6F34" w:rsidRDefault="00AF6F34">
      <w:pPr>
        <w:overflowPunct w:val="0"/>
        <w:spacing w:line="480" w:lineRule="auto"/>
        <w:ind w:firstLine="420"/>
        <w:jc w:val="both"/>
        <w:textAlignment w:val="auto"/>
      </w:pPr>
      <w:r>
        <w:rPr>
          <w:rFonts w:ascii="Arial" w:hAnsi="Arial" w:cs="Arial" w:hint="eastAsia"/>
          <w:kern w:val="2"/>
          <w:sz w:val="21"/>
          <w:szCs w:val="21"/>
        </w:rPr>
        <w:t>根据估价委托人提供的《估价委托书》及《南海家园房源表》，确定本次估价范围为北京经济技术开发区南海家园一、二、三、四、五、六、七里，建筑类型为单元式板楼，楼宇主体建筑结构为钢混。建筑面积</w:t>
      </w:r>
      <w:r w:rsidR="00FB51B2">
        <w:rPr>
          <w:rFonts w:ascii="Arial" w:hAnsi="Arial" w:cs="Arial"/>
          <w:kern w:val="2"/>
          <w:sz w:val="21"/>
          <w:szCs w:val="21"/>
        </w:rPr>
        <w:t>74521.94</w:t>
      </w:r>
      <w:r>
        <w:rPr>
          <w:rFonts w:ascii="Arial" w:hAnsi="Arial" w:cs="Arial" w:hint="eastAsia"/>
          <w:kern w:val="2"/>
          <w:sz w:val="21"/>
          <w:szCs w:val="21"/>
        </w:rPr>
        <w:t>平方米。房源具体户型等情况详见下表：</w:t>
      </w:r>
    </w:p>
    <w:tbl>
      <w:tblPr>
        <w:tblW w:w="5000" w:type="pct"/>
        <w:tblInd w:w="-117" w:type="dxa"/>
        <w:tblLayout w:type="fixed"/>
        <w:tblLook w:val="0000" w:firstRow="0" w:lastRow="0" w:firstColumn="0" w:lastColumn="0" w:noHBand="0" w:noVBand="0"/>
      </w:tblPr>
      <w:tblGrid>
        <w:gridCol w:w="1026"/>
        <w:gridCol w:w="1027"/>
        <w:gridCol w:w="1063"/>
        <w:gridCol w:w="1027"/>
        <w:gridCol w:w="1026"/>
        <w:gridCol w:w="1027"/>
        <w:gridCol w:w="1064"/>
        <w:gridCol w:w="1065"/>
        <w:gridCol w:w="1189"/>
      </w:tblGrid>
      <w:tr w:rsidR="002F6ADB" w14:paraId="3988AC55" w14:textId="77777777" w:rsidTr="00972A9A">
        <w:trPr>
          <w:trHeight w:val="23"/>
        </w:trPr>
        <w:tc>
          <w:tcPr>
            <w:tcW w:w="1026" w:type="dxa"/>
            <w:tcBorders>
              <w:top w:val="single" w:sz="4" w:space="0" w:color="000000"/>
              <w:left w:val="single" w:sz="4" w:space="0" w:color="000000"/>
              <w:bottom w:val="single" w:sz="4" w:space="0" w:color="000000"/>
            </w:tcBorders>
            <w:shd w:val="clear" w:color="auto" w:fill="auto"/>
            <w:vAlign w:val="center"/>
          </w:tcPr>
          <w:p w14:paraId="1DA91C0E"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户型</w:t>
            </w:r>
          </w:p>
        </w:tc>
        <w:tc>
          <w:tcPr>
            <w:tcW w:w="1027" w:type="dxa"/>
            <w:tcBorders>
              <w:top w:val="single" w:sz="4" w:space="0" w:color="000000"/>
              <w:left w:val="single" w:sz="4" w:space="0" w:color="000000"/>
              <w:bottom w:val="single" w:sz="4" w:space="0" w:color="000000"/>
            </w:tcBorders>
            <w:shd w:val="clear" w:color="auto" w:fill="auto"/>
            <w:vAlign w:val="center"/>
          </w:tcPr>
          <w:p w14:paraId="7BA5F530"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南海家园一里</w:t>
            </w:r>
          </w:p>
        </w:tc>
        <w:tc>
          <w:tcPr>
            <w:tcW w:w="1063" w:type="dxa"/>
            <w:tcBorders>
              <w:top w:val="single" w:sz="4" w:space="0" w:color="000000"/>
              <w:left w:val="single" w:sz="4" w:space="0" w:color="000000"/>
              <w:bottom w:val="single" w:sz="4" w:space="0" w:color="000000"/>
            </w:tcBorders>
            <w:shd w:val="clear" w:color="auto" w:fill="auto"/>
            <w:vAlign w:val="center"/>
          </w:tcPr>
          <w:p w14:paraId="28BC23CE"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南海家园二里</w:t>
            </w:r>
          </w:p>
        </w:tc>
        <w:tc>
          <w:tcPr>
            <w:tcW w:w="1027" w:type="dxa"/>
            <w:tcBorders>
              <w:top w:val="single" w:sz="4" w:space="0" w:color="000000"/>
              <w:left w:val="single" w:sz="4" w:space="0" w:color="000000"/>
              <w:bottom w:val="single" w:sz="4" w:space="0" w:color="000000"/>
            </w:tcBorders>
            <w:shd w:val="clear" w:color="auto" w:fill="auto"/>
            <w:vAlign w:val="center"/>
          </w:tcPr>
          <w:p w14:paraId="54B668EE"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南海家园三里</w:t>
            </w:r>
          </w:p>
        </w:tc>
        <w:tc>
          <w:tcPr>
            <w:tcW w:w="1026" w:type="dxa"/>
            <w:tcBorders>
              <w:top w:val="single" w:sz="4" w:space="0" w:color="000000"/>
              <w:left w:val="single" w:sz="4" w:space="0" w:color="000000"/>
              <w:bottom w:val="single" w:sz="4" w:space="0" w:color="000000"/>
            </w:tcBorders>
            <w:shd w:val="clear" w:color="auto" w:fill="auto"/>
            <w:vAlign w:val="center"/>
          </w:tcPr>
          <w:p w14:paraId="74E45D28"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南海家园四里</w:t>
            </w:r>
          </w:p>
        </w:tc>
        <w:tc>
          <w:tcPr>
            <w:tcW w:w="1027" w:type="dxa"/>
            <w:tcBorders>
              <w:top w:val="single" w:sz="4" w:space="0" w:color="000000"/>
              <w:left w:val="single" w:sz="4" w:space="0" w:color="000000"/>
              <w:bottom w:val="single" w:sz="4" w:space="0" w:color="000000"/>
            </w:tcBorders>
            <w:shd w:val="clear" w:color="auto" w:fill="auto"/>
            <w:vAlign w:val="center"/>
          </w:tcPr>
          <w:p w14:paraId="77D6BA8B"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南海家园五里</w:t>
            </w:r>
          </w:p>
        </w:tc>
        <w:tc>
          <w:tcPr>
            <w:tcW w:w="1064" w:type="dxa"/>
            <w:tcBorders>
              <w:top w:val="single" w:sz="4" w:space="0" w:color="000000"/>
              <w:left w:val="single" w:sz="4" w:space="0" w:color="000000"/>
              <w:bottom w:val="single" w:sz="4" w:space="0" w:color="000000"/>
            </w:tcBorders>
            <w:shd w:val="clear" w:color="auto" w:fill="auto"/>
            <w:vAlign w:val="center"/>
          </w:tcPr>
          <w:p w14:paraId="03BF5FCF"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南海家园六里</w:t>
            </w:r>
          </w:p>
        </w:tc>
        <w:tc>
          <w:tcPr>
            <w:tcW w:w="1065" w:type="dxa"/>
            <w:tcBorders>
              <w:top w:val="single" w:sz="4" w:space="0" w:color="000000"/>
              <w:left w:val="single" w:sz="4" w:space="0" w:color="000000"/>
              <w:bottom w:val="single" w:sz="4" w:space="0" w:color="000000"/>
            </w:tcBorders>
            <w:shd w:val="clear" w:color="auto" w:fill="auto"/>
            <w:vAlign w:val="center"/>
          </w:tcPr>
          <w:p w14:paraId="5FCB3EAC"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南海家园七里</w:t>
            </w:r>
          </w:p>
        </w:tc>
        <w:tc>
          <w:tcPr>
            <w:tcW w:w="11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02859"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小计</w:t>
            </w:r>
          </w:p>
        </w:tc>
      </w:tr>
      <w:tr w:rsidR="002F6ADB" w14:paraId="58F7A9E9" w14:textId="77777777" w:rsidTr="00972A9A">
        <w:trPr>
          <w:trHeight w:val="23"/>
        </w:trPr>
        <w:tc>
          <w:tcPr>
            <w:tcW w:w="1026" w:type="dxa"/>
            <w:tcBorders>
              <w:left w:val="single" w:sz="4" w:space="0" w:color="000000"/>
              <w:bottom w:val="single" w:sz="4" w:space="0" w:color="000000"/>
            </w:tcBorders>
            <w:shd w:val="clear" w:color="auto" w:fill="auto"/>
            <w:vAlign w:val="center"/>
          </w:tcPr>
          <w:p w14:paraId="4B481617"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一居</w:t>
            </w:r>
          </w:p>
        </w:tc>
        <w:tc>
          <w:tcPr>
            <w:tcW w:w="1027" w:type="dxa"/>
            <w:tcBorders>
              <w:left w:val="single" w:sz="4" w:space="0" w:color="000000"/>
              <w:bottom w:val="single" w:sz="4" w:space="0" w:color="000000"/>
            </w:tcBorders>
            <w:shd w:val="clear" w:color="auto" w:fill="auto"/>
            <w:vAlign w:val="center"/>
          </w:tcPr>
          <w:p w14:paraId="278448B3"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14</w:t>
            </w:r>
          </w:p>
        </w:tc>
        <w:tc>
          <w:tcPr>
            <w:tcW w:w="1063" w:type="dxa"/>
            <w:tcBorders>
              <w:left w:val="single" w:sz="4" w:space="0" w:color="000000"/>
              <w:bottom w:val="single" w:sz="4" w:space="0" w:color="000000"/>
            </w:tcBorders>
            <w:shd w:val="clear" w:color="auto" w:fill="auto"/>
            <w:vAlign w:val="center"/>
          </w:tcPr>
          <w:p w14:paraId="18E5B46D"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72</w:t>
            </w:r>
          </w:p>
        </w:tc>
        <w:tc>
          <w:tcPr>
            <w:tcW w:w="1027" w:type="dxa"/>
            <w:tcBorders>
              <w:left w:val="single" w:sz="4" w:space="0" w:color="000000"/>
              <w:bottom w:val="single" w:sz="4" w:space="0" w:color="000000"/>
            </w:tcBorders>
            <w:shd w:val="clear" w:color="auto" w:fill="auto"/>
            <w:vAlign w:val="center"/>
          </w:tcPr>
          <w:p w14:paraId="3F47725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12</w:t>
            </w:r>
          </w:p>
        </w:tc>
        <w:tc>
          <w:tcPr>
            <w:tcW w:w="1026" w:type="dxa"/>
            <w:tcBorders>
              <w:left w:val="single" w:sz="4" w:space="0" w:color="000000"/>
              <w:bottom w:val="single" w:sz="4" w:space="0" w:color="000000"/>
            </w:tcBorders>
            <w:shd w:val="clear" w:color="auto" w:fill="auto"/>
            <w:vAlign w:val="center"/>
          </w:tcPr>
          <w:p w14:paraId="32F97A86"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29</w:t>
            </w:r>
          </w:p>
        </w:tc>
        <w:tc>
          <w:tcPr>
            <w:tcW w:w="1027" w:type="dxa"/>
            <w:tcBorders>
              <w:left w:val="single" w:sz="4" w:space="0" w:color="000000"/>
              <w:bottom w:val="single" w:sz="4" w:space="0" w:color="000000"/>
            </w:tcBorders>
            <w:shd w:val="clear" w:color="auto" w:fill="auto"/>
            <w:vAlign w:val="center"/>
          </w:tcPr>
          <w:p w14:paraId="27DE2C2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15</w:t>
            </w:r>
          </w:p>
        </w:tc>
        <w:tc>
          <w:tcPr>
            <w:tcW w:w="1064" w:type="dxa"/>
            <w:tcBorders>
              <w:left w:val="single" w:sz="4" w:space="0" w:color="000000"/>
              <w:bottom w:val="single" w:sz="4" w:space="0" w:color="000000"/>
            </w:tcBorders>
            <w:shd w:val="clear" w:color="auto" w:fill="auto"/>
            <w:vAlign w:val="center"/>
          </w:tcPr>
          <w:p w14:paraId="1150232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90</w:t>
            </w:r>
          </w:p>
        </w:tc>
        <w:tc>
          <w:tcPr>
            <w:tcW w:w="1065" w:type="dxa"/>
            <w:tcBorders>
              <w:left w:val="single" w:sz="4" w:space="0" w:color="000000"/>
              <w:bottom w:val="single" w:sz="4" w:space="0" w:color="000000"/>
            </w:tcBorders>
            <w:shd w:val="clear" w:color="auto" w:fill="auto"/>
            <w:vAlign w:val="center"/>
          </w:tcPr>
          <w:p w14:paraId="4A61E40A"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262</w:t>
            </w:r>
          </w:p>
        </w:tc>
        <w:tc>
          <w:tcPr>
            <w:tcW w:w="1189" w:type="dxa"/>
            <w:tcBorders>
              <w:left w:val="single" w:sz="4" w:space="0" w:color="000000"/>
              <w:bottom w:val="single" w:sz="4" w:space="0" w:color="000000"/>
              <w:right w:val="single" w:sz="4" w:space="0" w:color="000000"/>
            </w:tcBorders>
            <w:shd w:val="clear" w:color="auto" w:fill="auto"/>
            <w:vAlign w:val="center"/>
          </w:tcPr>
          <w:p w14:paraId="28762F0C"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494</w:t>
            </w:r>
          </w:p>
        </w:tc>
      </w:tr>
      <w:tr w:rsidR="002F6ADB" w14:paraId="2D66BC81" w14:textId="77777777" w:rsidTr="00972A9A">
        <w:trPr>
          <w:trHeight w:val="23"/>
        </w:trPr>
        <w:tc>
          <w:tcPr>
            <w:tcW w:w="1026" w:type="dxa"/>
            <w:tcBorders>
              <w:left w:val="single" w:sz="4" w:space="0" w:color="000000"/>
              <w:bottom w:val="single" w:sz="4" w:space="0" w:color="000000"/>
            </w:tcBorders>
            <w:shd w:val="clear" w:color="auto" w:fill="auto"/>
            <w:vAlign w:val="center"/>
          </w:tcPr>
          <w:p w14:paraId="303E4595"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二居</w:t>
            </w:r>
          </w:p>
        </w:tc>
        <w:tc>
          <w:tcPr>
            <w:tcW w:w="1027" w:type="dxa"/>
            <w:tcBorders>
              <w:left w:val="single" w:sz="4" w:space="0" w:color="000000"/>
              <w:bottom w:val="single" w:sz="4" w:space="0" w:color="000000"/>
            </w:tcBorders>
            <w:shd w:val="clear" w:color="auto" w:fill="auto"/>
            <w:vAlign w:val="center"/>
          </w:tcPr>
          <w:p w14:paraId="60003B3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30</w:t>
            </w:r>
          </w:p>
        </w:tc>
        <w:tc>
          <w:tcPr>
            <w:tcW w:w="1063" w:type="dxa"/>
            <w:tcBorders>
              <w:left w:val="single" w:sz="4" w:space="0" w:color="000000"/>
              <w:bottom w:val="single" w:sz="4" w:space="0" w:color="000000"/>
            </w:tcBorders>
            <w:shd w:val="clear" w:color="auto" w:fill="auto"/>
            <w:vAlign w:val="center"/>
          </w:tcPr>
          <w:p w14:paraId="03ECC83C"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103</w:t>
            </w:r>
          </w:p>
        </w:tc>
        <w:tc>
          <w:tcPr>
            <w:tcW w:w="1027" w:type="dxa"/>
            <w:tcBorders>
              <w:left w:val="single" w:sz="4" w:space="0" w:color="000000"/>
              <w:bottom w:val="single" w:sz="4" w:space="0" w:color="000000"/>
            </w:tcBorders>
            <w:shd w:val="clear" w:color="auto" w:fill="auto"/>
            <w:vAlign w:val="center"/>
          </w:tcPr>
          <w:p w14:paraId="2DCA6710"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50</w:t>
            </w:r>
          </w:p>
        </w:tc>
        <w:tc>
          <w:tcPr>
            <w:tcW w:w="1026" w:type="dxa"/>
            <w:tcBorders>
              <w:left w:val="single" w:sz="4" w:space="0" w:color="000000"/>
              <w:bottom w:val="single" w:sz="4" w:space="0" w:color="000000"/>
            </w:tcBorders>
            <w:shd w:val="clear" w:color="auto" w:fill="auto"/>
            <w:vAlign w:val="center"/>
          </w:tcPr>
          <w:p w14:paraId="48E08C4E"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82</w:t>
            </w:r>
          </w:p>
        </w:tc>
        <w:tc>
          <w:tcPr>
            <w:tcW w:w="1027" w:type="dxa"/>
            <w:tcBorders>
              <w:left w:val="single" w:sz="4" w:space="0" w:color="000000"/>
              <w:bottom w:val="single" w:sz="4" w:space="0" w:color="000000"/>
            </w:tcBorders>
            <w:shd w:val="clear" w:color="auto" w:fill="auto"/>
            <w:vAlign w:val="center"/>
          </w:tcPr>
          <w:p w14:paraId="69736EB7"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60</w:t>
            </w:r>
          </w:p>
        </w:tc>
        <w:tc>
          <w:tcPr>
            <w:tcW w:w="1064" w:type="dxa"/>
            <w:tcBorders>
              <w:left w:val="single" w:sz="4" w:space="0" w:color="000000"/>
              <w:bottom w:val="single" w:sz="4" w:space="0" w:color="000000"/>
            </w:tcBorders>
            <w:shd w:val="clear" w:color="auto" w:fill="auto"/>
            <w:vAlign w:val="center"/>
          </w:tcPr>
          <w:p w14:paraId="0C6B4F4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66</w:t>
            </w:r>
          </w:p>
        </w:tc>
        <w:tc>
          <w:tcPr>
            <w:tcW w:w="1065" w:type="dxa"/>
            <w:tcBorders>
              <w:left w:val="single" w:sz="4" w:space="0" w:color="000000"/>
              <w:bottom w:val="single" w:sz="4" w:space="0" w:color="000000"/>
            </w:tcBorders>
            <w:shd w:val="clear" w:color="auto" w:fill="auto"/>
            <w:vAlign w:val="center"/>
          </w:tcPr>
          <w:p w14:paraId="0BCD26B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52</w:t>
            </w:r>
          </w:p>
        </w:tc>
        <w:tc>
          <w:tcPr>
            <w:tcW w:w="1189" w:type="dxa"/>
            <w:tcBorders>
              <w:left w:val="single" w:sz="4" w:space="0" w:color="000000"/>
              <w:bottom w:val="single" w:sz="4" w:space="0" w:color="000000"/>
              <w:right w:val="single" w:sz="4" w:space="0" w:color="000000"/>
            </w:tcBorders>
            <w:shd w:val="clear" w:color="auto" w:fill="auto"/>
            <w:vAlign w:val="center"/>
          </w:tcPr>
          <w:p w14:paraId="5854199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443</w:t>
            </w:r>
          </w:p>
        </w:tc>
      </w:tr>
      <w:tr w:rsidR="002F6ADB" w14:paraId="7B2A296E" w14:textId="77777777" w:rsidTr="00972A9A">
        <w:trPr>
          <w:trHeight w:val="23"/>
        </w:trPr>
        <w:tc>
          <w:tcPr>
            <w:tcW w:w="1026" w:type="dxa"/>
            <w:tcBorders>
              <w:left w:val="single" w:sz="4" w:space="0" w:color="000000"/>
              <w:bottom w:val="single" w:sz="4" w:space="0" w:color="000000"/>
            </w:tcBorders>
            <w:shd w:val="clear" w:color="auto" w:fill="auto"/>
            <w:vAlign w:val="center"/>
          </w:tcPr>
          <w:p w14:paraId="595A63FF"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三居</w:t>
            </w:r>
          </w:p>
        </w:tc>
        <w:tc>
          <w:tcPr>
            <w:tcW w:w="1027" w:type="dxa"/>
            <w:tcBorders>
              <w:left w:val="single" w:sz="4" w:space="0" w:color="000000"/>
              <w:bottom w:val="single" w:sz="4" w:space="0" w:color="000000"/>
            </w:tcBorders>
            <w:shd w:val="clear" w:color="auto" w:fill="auto"/>
            <w:vAlign w:val="center"/>
          </w:tcPr>
          <w:p w14:paraId="7BBB243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w:t>
            </w:r>
          </w:p>
        </w:tc>
        <w:tc>
          <w:tcPr>
            <w:tcW w:w="1063" w:type="dxa"/>
            <w:tcBorders>
              <w:left w:val="single" w:sz="4" w:space="0" w:color="000000"/>
              <w:bottom w:val="single" w:sz="4" w:space="0" w:color="000000"/>
            </w:tcBorders>
            <w:shd w:val="clear" w:color="auto" w:fill="auto"/>
            <w:vAlign w:val="center"/>
          </w:tcPr>
          <w:p w14:paraId="556A735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w:t>
            </w:r>
          </w:p>
        </w:tc>
        <w:tc>
          <w:tcPr>
            <w:tcW w:w="1027" w:type="dxa"/>
            <w:tcBorders>
              <w:left w:val="single" w:sz="4" w:space="0" w:color="000000"/>
              <w:bottom w:val="single" w:sz="4" w:space="0" w:color="000000"/>
            </w:tcBorders>
            <w:shd w:val="clear" w:color="auto" w:fill="auto"/>
            <w:vAlign w:val="center"/>
          </w:tcPr>
          <w:p w14:paraId="6FD753D3"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w:t>
            </w:r>
          </w:p>
        </w:tc>
        <w:tc>
          <w:tcPr>
            <w:tcW w:w="1026" w:type="dxa"/>
            <w:tcBorders>
              <w:left w:val="single" w:sz="4" w:space="0" w:color="000000"/>
              <w:bottom w:val="single" w:sz="4" w:space="0" w:color="000000"/>
            </w:tcBorders>
            <w:shd w:val="clear" w:color="auto" w:fill="auto"/>
            <w:vAlign w:val="center"/>
          </w:tcPr>
          <w:p w14:paraId="32B7BE96" w14:textId="77777777" w:rsidR="002F6ADB" w:rsidRPr="00FB51B2" w:rsidRDefault="002F6ADB" w:rsidP="00972A9A">
            <w:pPr>
              <w:spacing w:line="240" w:lineRule="auto"/>
              <w:jc w:val="center"/>
              <w:rPr>
                <w:rFonts w:ascii="Arial" w:hAnsi="Arial" w:cs="Arial"/>
                <w:sz w:val="20"/>
              </w:rPr>
            </w:pPr>
          </w:p>
        </w:tc>
        <w:tc>
          <w:tcPr>
            <w:tcW w:w="1027" w:type="dxa"/>
            <w:tcBorders>
              <w:left w:val="single" w:sz="4" w:space="0" w:color="000000"/>
              <w:bottom w:val="single" w:sz="4" w:space="0" w:color="000000"/>
            </w:tcBorders>
            <w:shd w:val="clear" w:color="auto" w:fill="auto"/>
            <w:vAlign w:val="center"/>
          </w:tcPr>
          <w:p w14:paraId="4E1760ED" w14:textId="77777777" w:rsidR="002F6ADB" w:rsidRPr="00FB51B2" w:rsidRDefault="002F6ADB" w:rsidP="00972A9A">
            <w:pPr>
              <w:spacing w:line="240" w:lineRule="auto"/>
              <w:jc w:val="center"/>
              <w:rPr>
                <w:rFonts w:ascii="Arial" w:hAnsi="Arial" w:cs="Arial"/>
                <w:sz w:val="20"/>
              </w:rPr>
            </w:pPr>
          </w:p>
        </w:tc>
        <w:tc>
          <w:tcPr>
            <w:tcW w:w="1064" w:type="dxa"/>
            <w:tcBorders>
              <w:left w:val="single" w:sz="4" w:space="0" w:color="000000"/>
              <w:bottom w:val="single" w:sz="4" w:space="0" w:color="000000"/>
            </w:tcBorders>
            <w:shd w:val="clear" w:color="auto" w:fill="auto"/>
            <w:vAlign w:val="center"/>
          </w:tcPr>
          <w:p w14:paraId="71EE352B" w14:textId="77777777" w:rsidR="002F6ADB" w:rsidRPr="00FB51B2" w:rsidRDefault="002F6ADB" w:rsidP="00972A9A">
            <w:pPr>
              <w:spacing w:line="240" w:lineRule="auto"/>
              <w:jc w:val="center"/>
              <w:rPr>
                <w:rFonts w:ascii="Arial" w:hAnsi="Arial" w:cs="Arial"/>
                <w:sz w:val="20"/>
              </w:rPr>
            </w:pPr>
          </w:p>
        </w:tc>
        <w:tc>
          <w:tcPr>
            <w:tcW w:w="1065" w:type="dxa"/>
            <w:tcBorders>
              <w:left w:val="single" w:sz="4" w:space="0" w:color="000000"/>
              <w:bottom w:val="single" w:sz="4" w:space="0" w:color="000000"/>
            </w:tcBorders>
            <w:shd w:val="clear" w:color="auto" w:fill="auto"/>
            <w:vAlign w:val="center"/>
          </w:tcPr>
          <w:p w14:paraId="5A7AA0FD"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w:t>
            </w:r>
          </w:p>
        </w:tc>
        <w:tc>
          <w:tcPr>
            <w:tcW w:w="1189" w:type="dxa"/>
            <w:tcBorders>
              <w:left w:val="single" w:sz="4" w:space="0" w:color="000000"/>
              <w:bottom w:val="single" w:sz="4" w:space="0" w:color="000000"/>
              <w:right w:val="single" w:sz="4" w:space="0" w:color="000000"/>
            </w:tcBorders>
            <w:shd w:val="clear" w:color="auto" w:fill="auto"/>
            <w:vAlign w:val="center"/>
          </w:tcPr>
          <w:p w14:paraId="2D7EF92E"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22</w:t>
            </w:r>
          </w:p>
        </w:tc>
      </w:tr>
      <w:tr w:rsidR="002F6ADB" w14:paraId="42E23CA3" w14:textId="77777777" w:rsidTr="00972A9A">
        <w:trPr>
          <w:trHeight w:val="23"/>
        </w:trPr>
        <w:tc>
          <w:tcPr>
            <w:tcW w:w="1026" w:type="dxa"/>
            <w:tcBorders>
              <w:left w:val="single" w:sz="4" w:space="0" w:color="000000"/>
              <w:bottom w:val="single" w:sz="4" w:space="0" w:color="000000"/>
            </w:tcBorders>
            <w:shd w:val="clear" w:color="auto" w:fill="auto"/>
            <w:vAlign w:val="center"/>
          </w:tcPr>
          <w:p w14:paraId="1B846B5B"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合计套数</w:t>
            </w:r>
          </w:p>
        </w:tc>
        <w:tc>
          <w:tcPr>
            <w:tcW w:w="1027" w:type="dxa"/>
            <w:tcBorders>
              <w:left w:val="single" w:sz="4" w:space="0" w:color="000000"/>
              <w:bottom w:val="single" w:sz="4" w:space="0" w:color="000000"/>
            </w:tcBorders>
            <w:shd w:val="clear" w:color="auto" w:fill="auto"/>
            <w:vAlign w:val="center"/>
          </w:tcPr>
          <w:p w14:paraId="4217486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46</w:t>
            </w:r>
          </w:p>
        </w:tc>
        <w:tc>
          <w:tcPr>
            <w:tcW w:w="1063" w:type="dxa"/>
            <w:tcBorders>
              <w:left w:val="single" w:sz="4" w:space="0" w:color="000000"/>
              <w:bottom w:val="single" w:sz="4" w:space="0" w:color="000000"/>
            </w:tcBorders>
            <w:shd w:val="clear" w:color="auto" w:fill="auto"/>
            <w:vAlign w:val="center"/>
          </w:tcPr>
          <w:p w14:paraId="1241F9D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180</w:t>
            </w:r>
          </w:p>
        </w:tc>
        <w:tc>
          <w:tcPr>
            <w:tcW w:w="1027" w:type="dxa"/>
            <w:tcBorders>
              <w:left w:val="single" w:sz="4" w:space="0" w:color="000000"/>
              <w:bottom w:val="single" w:sz="4" w:space="0" w:color="000000"/>
            </w:tcBorders>
            <w:shd w:val="clear" w:color="auto" w:fill="auto"/>
            <w:vAlign w:val="center"/>
          </w:tcPr>
          <w:p w14:paraId="081AF6E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71</w:t>
            </w:r>
          </w:p>
        </w:tc>
        <w:tc>
          <w:tcPr>
            <w:tcW w:w="1026" w:type="dxa"/>
            <w:tcBorders>
              <w:left w:val="single" w:sz="4" w:space="0" w:color="000000"/>
              <w:bottom w:val="single" w:sz="4" w:space="0" w:color="000000"/>
            </w:tcBorders>
            <w:shd w:val="clear" w:color="auto" w:fill="auto"/>
            <w:vAlign w:val="center"/>
          </w:tcPr>
          <w:p w14:paraId="0D7E4260"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111</w:t>
            </w:r>
          </w:p>
        </w:tc>
        <w:tc>
          <w:tcPr>
            <w:tcW w:w="1027" w:type="dxa"/>
            <w:tcBorders>
              <w:left w:val="single" w:sz="4" w:space="0" w:color="000000"/>
              <w:bottom w:val="single" w:sz="4" w:space="0" w:color="000000"/>
            </w:tcBorders>
            <w:shd w:val="clear" w:color="auto" w:fill="auto"/>
            <w:vAlign w:val="center"/>
          </w:tcPr>
          <w:p w14:paraId="3FC5238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75</w:t>
            </w:r>
          </w:p>
        </w:tc>
        <w:tc>
          <w:tcPr>
            <w:tcW w:w="1064" w:type="dxa"/>
            <w:tcBorders>
              <w:left w:val="single" w:sz="4" w:space="0" w:color="000000"/>
              <w:bottom w:val="single" w:sz="4" w:space="0" w:color="000000"/>
            </w:tcBorders>
            <w:shd w:val="clear" w:color="auto" w:fill="auto"/>
            <w:vAlign w:val="center"/>
          </w:tcPr>
          <w:p w14:paraId="08F0FD43"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156</w:t>
            </w:r>
          </w:p>
        </w:tc>
        <w:tc>
          <w:tcPr>
            <w:tcW w:w="1065" w:type="dxa"/>
            <w:tcBorders>
              <w:left w:val="single" w:sz="4" w:space="0" w:color="000000"/>
              <w:bottom w:val="single" w:sz="4" w:space="0" w:color="000000"/>
            </w:tcBorders>
            <w:shd w:val="clear" w:color="auto" w:fill="auto"/>
            <w:vAlign w:val="center"/>
          </w:tcPr>
          <w:p w14:paraId="2030B98D"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320</w:t>
            </w:r>
          </w:p>
        </w:tc>
        <w:tc>
          <w:tcPr>
            <w:tcW w:w="1189" w:type="dxa"/>
            <w:tcBorders>
              <w:left w:val="single" w:sz="4" w:space="0" w:color="000000"/>
              <w:bottom w:val="single" w:sz="4" w:space="0" w:color="000000"/>
              <w:right w:val="single" w:sz="4" w:space="0" w:color="000000"/>
            </w:tcBorders>
            <w:shd w:val="clear" w:color="auto" w:fill="auto"/>
            <w:vAlign w:val="center"/>
          </w:tcPr>
          <w:p w14:paraId="084B1145"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959</w:t>
            </w:r>
          </w:p>
        </w:tc>
      </w:tr>
      <w:tr w:rsidR="002F6ADB" w14:paraId="12605531" w14:textId="77777777" w:rsidTr="00972A9A">
        <w:trPr>
          <w:trHeight w:val="23"/>
        </w:trPr>
        <w:tc>
          <w:tcPr>
            <w:tcW w:w="1026" w:type="dxa"/>
            <w:tcBorders>
              <w:left w:val="single" w:sz="4" w:space="0" w:color="000000"/>
              <w:bottom w:val="single" w:sz="4" w:space="0" w:color="000000"/>
            </w:tcBorders>
            <w:shd w:val="clear" w:color="auto" w:fill="auto"/>
            <w:vAlign w:val="center"/>
          </w:tcPr>
          <w:p w14:paraId="7C3D185F" w14:textId="1224B4F2" w:rsidR="002F6ADB" w:rsidRDefault="002F6ADB" w:rsidP="00972A9A">
            <w:pPr>
              <w:widowControl/>
              <w:spacing w:line="240" w:lineRule="auto"/>
              <w:jc w:val="center"/>
              <w:textAlignment w:val="auto"/>
            </w:pPr>
            <w:r>
              <w:rPr>
                <w:rFonts w:ascii="华文细黑" w:eastAsia="华文细黑" w:hAnsi="华文细黑" w:cs="Arial" w:hint="eastAsia"/>
                <w:sz w:val="18"/>
                <w:szCs w:val="18"/>
              </w:rPr>
              <w:t>合计面积</w:t>
            </w:r>
            <w:r w:rsidR="009A3379">
              <w:rPr>
                <w:rFonts w:ascii="华文细黑" w:eastAsia="华文细黑" w:hAnsi="华文细黑" w:cs="Arial" w:hint="eastAsia"/>
                <w:sz w:val="18"/>
                <w:szCs w:val="18"/>
              </w:rPr>
              <w:t>（m</w:t>
            </w:r>
            <w:r w:rsidR="009A3379" w:rsidRPr="009A3379">
              <w:rPr>
                <w:rFonts w:ascii="华文细黑" w:eastAsia="华文细黑" w:hAnsi="华文细黑" w:cs="Arial"/>
                <w:sz w:val="18"/>
                <w:szCs w:val="18"/>
                <w:vertAlign w:val="superscript"/>
              </w:rPr>
              <w:t>2</w:t>
            </w:r>
            <w:r w:rsidR="009A3379">
              <w:rPr>
                <w:rFonts w:ascii="华文细黑" w:eastAsia="华文细黑" w:hAnsi="华文细黑" w:cs="Arial" w:hint="eastAsia"/>
                <w:sz w:val="18"/>
                <w:szCs w:val="18"/>
              </w:rPr>
              <w:t>）</w:t>
            </w:r>
          </w:p>
        </w:tc>
        <w:tc>
          <w:tcPr>
            <w:tcW w:w="1027" w:type="dxa"/>
            <w:tcBorders>
              <w:left w:val="single" w:sz="4" w:space="0" w:color="000000"/>
              <w:bottom w:val="single" w:sz="4" w:space="0" w:color="000000"/>
            </w:tcBorders>
            <w:shd w:val="clear" w:color="auto" w:fill="auto"/>
            <w:vAlign w:val="center"/>
          </w:tcPr>
          <w:p w14:paraId="4EDCE893"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3825.77</w:t>
            </w:r>
          </w:p>
        </w:tc>
        <w:tc>
          <w:tcPr>
            <w:tcW w:w="1063" w:type="dxa"/>
            <w:tcBorders>
              <w:left w:val="single" w:sz="4" w:space="0" w:color="000000"/>
              <w:bottom w:val="single" w:sz="4" w:space="0" w:color="000000"/>
            </w:tcBorders>
            <w:shd w:val="clear" w:color="auto" w:fill="auto"/>
            <w:vAlign w:val="center"/>
          </w:tcPr>
          <w:p w14:paraId="0BD3372E"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14530.24</w:t>
            </w:r>
          </w:p>
        </w:tc>
        <w:tc>
          <w:tcPr>
            <w:tcW w:w="1027" w:type="dxa"/>
            <w:tcBorders>
              <w:left w:val="single" w:sz="4" w:space="0" w:color="000000"/>
              <w:bottom w:val="single" w:sz="4" w:space="0" w:color="000000"/>
            </w:tcBorders>
            <w:shd w:val="clear" w:color="auto" w:fill="auto"/>
            <w:vAlign w:val="center"/>
          </w:tcPr>
          <w:p w14:paraId="40F8A92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6175.02</w:t>
            </w:r>
          </w:p>
        </w:tc>
        <w:tc>
          <w:tcPr>
            <w:tcW w:w="1026" w:type="dxa"/>
            <w:tcBorders>
              <w:left w:val="single" w:sz="4" w:space="0" w:color="000000"/>
              <w:bottom w:val="single" w:sz="4" w:space="0" w:color="000000"/>
            </w:tcBorders>
            <w:shd w:val="clear" w:color="auto" w:fill="auto"/>
            <w:vAlign w:val="center"/>
          </w:tcPr>
          <w:p w14:paraId="1E7DA43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9218.27</w:t>
            </w:r>
          </w:p>
        </w:tc>
        <w:tc>
          <w:tcPr>
            <w:tcW w:w="1027" w:type="dxa"/>
            <w:tcBorders>
              <w:left w:val="single" w:sz="4" w:space="0" w:color="000000"/>
              <w:bottom w:val="single" w:sz="4" w:space="0" w:color="000000"/>
            </w:tcBorders>
            <w:shd w:val="clear" w:color="auto" w:fill="auto"/>
            <w:vAlign w:val="center"/>
          </w:tcPr>
          <w:p w14:paraId="5511BF86"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6359.37</w:t>
            </w:r>
          </w:p>
        </w:tc>
        <w:tc>
          <w:tcPr>
            <w:tcW w:w="1064" w:type="dxa"/>
            <w:tcBorders>
              <w:left w:val="single" w:sz="4" w:space="0" w:color="000000"/>
              <w:bottom w:val="single" w:sz="4" w:space="0" w:color="000000"/>
            </w:tcBorders>
            <w:shd w:val="clear" w:color="auto" w:fill="auto"/>
            <w:vAlign w:val="center"/>
          </w:tcPr>
          <w:p w14:paraId="24ED66F3"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11871.66</w:t>
            </w:r>
          </w:p>
        </w:tc>
        <w:tc>
          <w:tcPr>
            <w:tcW w:w="1065" w:type="dxa"/>
            <w:tcBorders>
              <w:left w:val="single" w:sz="4" w:space="0" w:color="000000"/>
              <w:bottom w:val="single" w:sz="4" w:space="0" w:color="000000"/>
            </w:tcBorders>
            <w:shd w:val="clear" w:color="auto" w:fill="auto"/>
            <w:vAlign w:val="center"/>
          </w:tcPr>
          <w:p w14:paraId="42934800"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22541.61</w:t>
            </w:r>
          </w:p>
        </w:tc>
        <w:tc>
          <w:tcPr>
            <w:tcW w:w="1189" w:type="dxa"/>
            <w:tcBorders>
              <w:left w:val="single" w:sz="4" w:space="0" w:color="000000"/>
              <w:bottom w:val="single" w:sz="4" w:space="0" w:color="000000"/>
              <w:right w:val="single" w:sz="4" w:space="0" w:color="000000"/>
            </w:tcBorders>
            <w:shd w:val="clear" w:color="auto" w:fill="auto"/>
            <w:vAlign w:val="center"/>
          </w:tcPr>
          <w:p w14:paraId="273E0C0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74521.94</w:t>
            </w:r>
          </w:p>
        </w:tc>
      </w:tr>
    </w:tbl>
    <w:p w14:paraId="14B0FAD1" w14:textId="77777777" w:rsidR="00AF6F34" w:rsidRDefault="00AF6F34" w:rsidP="00F52851">
      <w:pPr>
        <w:overflowPunct w:val="0"/>
        <w:spacing w:beforeLines="100" w:before="240" w:line="480" w:lineRule="auto"/>
        <w:ind w:firstLine="420"/>
        <w:jc w:val="both"/>
        <w:textAlignment w:val="auto"/>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）建筑结构：估价对象所属楼宇建筑结构均为</w:t>
      </w:r>
      <w:r>
        <w:rPr>
          <w:rFonts w:ascii="Arial" w:hAnsi="Arial" w:cs="Arial" w:hint="eastAsia"/>
          <w:kern w:val="2"/>
          <w:sz w:val="21"/>
          <w:szCs w:val="21"/>
        </w:rPr>
        <w:t>钢混</w:t>
      </w:r>
      <w:r>
        <w:rPr>
          <w:rFonts w:ascii="Arial" w:hAnsi="Arial" w:cs="Arial" w:hint="eastAsia"/>
          <w:sz w:val="21"/>
          <w:szCs w:val="21"/>
        </w:rPr>
        <w:t>结构。</w:t>
      </w:r>
    </w:p>
    <w:p w14:paraId="6492D860" w14:textId="77777777" w:rsidR="00AF6F34" w:rsidRDefault="00AF6F34">
      <w:pPr>
        <w:overflowPunct w:val="0"/>
        <w:spacing w:line="480" w:lineRule="auto"/>
        <w:ind w:firstLine="420"/>
        <w:jc w:val="both"/>
        <w:textAlignment w:val="auto"/>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）建筑外观：</w:t>
      </w:r>
      <w:r>
        <w:rPr>
          <w:rFonts w:ascii="Arial" w:hAnsi="Arial" w:cs="Arial" w:hint="eastAsia"/>
          <w:kern w:val="2"/>
          <w:sz w:val="21"/>
          <w:szCs w:val="21"/>
        </w:rPr>
        <w:t>楼型为单元式板楼</w:t>
      </w:r>
      <w:r>
        <w:rPr>
          <w:rFonts w:ascii="Arial" w:hAnsi="Arial" w:cs="Arial" w:hint="eastAsia"/>
          <w:sz w:val="21"/>
          <w:szCs w:val="21"/>
        </w:rPr>
        <w:t>。</w:t>
      </w:r>
    </w:p>
    <w:p w14:paraId="7083BA68" w14:textId="77777777" w:rsidR="00AF6F34" w:rsidRDefault="00AF6F34">
      <w:pPr>
        <w:overflowPunct w:val="0"/>
        <w:spacing w:line="480" w:lineRule="auto"/>
        <w:ind w:firstLine="420"/>
        <w:jc w:val="both"/>
        <w:textAlignment w:val="auto"/>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）设施设备：估价对象所在项目配套设施完备，给排水、电力、电讯、暖通等齐全；防火栓、安防系统等设备齐全；配备家具家电。</w:t>
      </w:r>
    </w:p>
    <w:p w14:paraId="08931854" w14:textId="509647A2" w:rsidR="00AF6F34" w:rsidRDefault="00AF6F34">
      <w:pPr>
        <w:overflowPunct w:val="0"/>
        <w:spacing w:line="480" w:lineRule="auto"/>
        <w:ind w:firstLine="420"/>
        <w:jc w:val="both"/>
        <w:textAlignment w:val="auto"/>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）装饰装修：根据估价人员实地查勘，</w:t>
      </w:r>
      <w:r w:rsidR="0047041D">
        <w:rPr>
          <w:rFonts w:ascii="Arial" w:hAnsi="Arial" w:cs="Arial" w:hint="eastAsia"/>
          <w:sz w:val="21"/>
          <w:szCs w:val="21"/>
        </w:rPr>
        <w:t>估价对象所属楼宇于</w:t>
      </w:r>
      <w:r w:rsidR="0047041D">
        <w:rPr>
          <w:rFonts w:ascii="Arial" w:hAnsi="Arial" w:cs="Arial" w:hint="eastAsia"/>
          <w:sz w:val="21"/>
          <w:szCs w:val="21"/>
        </w:rPr>
        <w:t>2010</w:t>
      </w:r>
      <w:r w:rsidR="0047041D">
        <w:rPr>
          <w:rFonts w:ascii="Arial" w:hAnsi="Arial" w:cs="Arial" w:hint="eastAsia"/>
          <w:sz w:val="21"/>
          <w:szCs w:val="21"/>
        </w:rPr>
        <w:t>年至</w:t>
      </w:r>
      <w:r w:rsidR="0047041D">
        <w:rPr>
          <w:rFonts w:ascii="Arial" w:hAnsi="Arial" w:cs="Arial" w:hint="eastAsia"/>
          <w:sz w:val="21"/>
          <w:szCs w:val="21"/>
        </w:rPr>
        <w:t>2014</w:t>
      </w:r>
      <w:r w:rsidR="0047041D">
        <w:rPr>
          <w:rFonts w:ascii="Arial" w:hAnsi="Arial" w:cs="Arial" w:hint="eastAsia"/>
          <w:sz w:val="21"/>
          <w:szCs w:val="21"/>
        </w:rPr>
        <w:t>年建设</w:t>
      </w:r>
      <w:r w:rsidR="00C40048">
        <w:rPr>
          <w:rFonts w:ascii="Arial" w:hAnsi="Arial" w:cs="Arial" w:hint="eastAsia"/>
          <w:sz w:val="21"/>
          <w:szCs w:val="21"/>
        </w:rPr>
        <w:t>，于价值时点，</w:t>
      </w:r>
      <w:r>
        <w:rPr>
          <w:rFonts w:ascii="Arial" w:hAnsi="Arial" w:cs="Arial" w:hint="eastAsia"/>
          <w:sz w:val="21"/>
          <w:szCs w:val="21"/>
        </w:rPr>
        <w:t>部分房源正在进行室内装修。</w:t>
      </w:r>
      <w:r w:rsidR="00D07C96">
        <w:rPr>
          <w:rFonts w:ascii="Arial" w:hAnsi="Arial" w:cs="Arial" w:hint="eastAsia"/>
          <w:sz w:val="21"/>
          <w:szCs w:val="21"/>
        </w:rPr>
        <w:t>另根据估价委托人介绍设定估价对象于出租时均为全装修</w:t>
      </w:r>
      <w:r>
        <w:rPr>
          <w:rFonts w:ascii="Arial" w:hAnsi="Arial" w:cs="Arial" w:hint="eastAsia"/>
          <w:sz w:val="21"/>
          <w:szCs w:val="21"/>
        </w:rPr>
        <w:t>，外立面喷涂料，公共部分首层地面贴砖，顶棚、墙面刷涂料。室内地面铺设地砖，墙面刷涂料，顶棚刷涂料；厨房地面铺设地砖，墙面为墙砖，顶棚为铝扣板；卫生间地面铺设地砖，墙面为墙砖，顶棚为铝扣板。</w:t>
      </w:r>
    </w:p>
    <w:p w14:paraId="0E18FB67" w14:textId="0A59B238" w:rsidR="00AF6F34" w:rsidRPr="002F6ADB" w:rsidRDefault="00AF6F34">
      <w:pPr>
        <w:overflowPunct w:val="0"/>
        <w:spacing w:line="480" w:lineRule="auto"/>
        <w:ind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6</w:t>
      </w:r>
      <w:r>
        <w:rPr>
          <w:rFonts w:ascii="Arial" w:hAnsi="Arial" w:cs="Arial" w:hint="eastAsia"/>
          <w:sz w:val="21"/>
          <w:szCs w:val="21"/>
        </w:rPr>
        <w:t>）新旧程度：估价对象所属</w:t>
      </w:r>
      <w:r w:rsidR="0047041D">
        <w:rPr>
          <w:rFonts w:ascii="Arial" w:hAnsi="Arial" w:cs="Arial" w:hint="eastAsia"/>
          <w:sz w:val="21"/>
          <w:szCs w:val="21"/>
        </w:rPr>
        <w:t>项目建成于</w:t>
      </w:r>
      <w:r w:rsidR="0047041D">
        <w:rPr>
          <w:rFonts w:ascii="Arial" w:hAnsi="Arial" w:cs="Arial" w:hint="eastAsia"/>
          <w:sz w:val="21"/>
          <w:szCs w:val="21"/>
        </w:rPr>
        <w:t>2012</w:t>
      </w:r>
      <w:r w:rsidR="0047041D">
        <w:rPr>
          <w:rFonts w:ascii="Arial" w:hAnsi="Arial" w:cs="Arial" w:hint="eastAsia"/>
          <w:sz w:val="21"/>
          <w:szCs w:val="21"/>
        </w:rPr>
        <w:t>年至</w:t>
      </w:r>
      <w:r w:rsidR="0047041D">
        <w:rPr>
          <w:rFonts w:ascii="Arial" w:hAnsi="Arial" w:cs="Arial" w:hint="eastAsia"/>
          <w:sz w:val="21"/>
          <w:szCs w:val="21"/>
        </w:rPr>
        <w:t>2014</w:t>
      </w:r>
      <w:r w:rsidR="0047041D">
        <w:rPr>
          <w:rFonts w:ascii="Arial" w:hAnsi="Arial" w:cs="Arial" w:hint="eastAsia"/>
          <w:sz w:val="21"/>
          <w:szCs w:val="21"/>
        </w:rPr>
        <w:t>年</w:t>
      </w:r>
      <w:r>
        <w:rPr>
          <w:rFonts w:ascii="Arial" w:hAnsi="Arial" w:cs="Arial" w:hint="eastAsia"/>
          <w:sz w:val="21"/>
          <w:szCs w:val="21"/>
        </w:rPr>
        <w:t>，截至价值时点尚未交付使用，估价对象观察成新度较高，综合成新度约为</w:t>
      </w:r>
      <w:r>
        <w:rPr>
          <w:rFonts w:ascii="Arial" w:hAnsi="Arial" w:cs="Arial"/>
          <w:sz w:val="21"/>
          <w:szCs w:val="21"/>
        </w:rPr>
        <w:t>80%</w:t>
      </w:r>
      <w:r>
        <w:rPr>
          <w:rFonts w:ascii="Arial" w:hAnsi="Arial" w:cs="Arial" w:hint="eastAsia"/>
          <w:sz w:val="21"/>
          <w:szCs w:val="21"/>
        </w:rPr>
        <w:t>，成新度较高。</w:t>
      </w:r>
    </w:p>
    <w:p w14:paraId="6F714A53" w14:textId="77777777" w:rsidR="007C5209" w:rsidRPr="002F6ADB" w:rsidRDefault="00AF6F34" w:rsidP="002F6ADB">
      <w:pPr>
        <w:overflowPunct w:val="0"/>
        <w:spacing w:line="480" w:lineRule="auto"/>
        <w:ind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7</w:t>
      </w:r>
      <w:r>
        <w:rPr>
          <w:rFonts w:ascii="Arial" w:hAnsi="Arial" w:cs="Arial" w:hint="eastAsia"/>
          <w:sz w:val="21"/>
          <w:szCs w:val="21"/>
        </w:rPr>
        <w:t>）户型设计：</w:t>
      </w:r>
      <w:r w:rsidR="007C5209">
        <w:rPr>
          <w:rFonts w:ascii="Arial" w:hAnsi="Arial" w:cs="Arial" w:hint="eastAsia"/>
          <w:sz w:val="21"/>
          <w:szCs w:val="21"/>
        </w:rPr>
        <w:t>南海家园有三种户型，分别为一居室、二居室、三居室。其中，一居室共</w:t>
      </w:r>
      <w:r w:rsidR="007C5209">
        <w:rPr>
          <w:rFonts w:ascii="Arial" w:hAnsi="Arial" w:cs="Arial" w:hint="eastAsia"/>
          <w:sz w:val="21"/>
          <w:szCs w:val="21"/>
        </w:rPr>
        <w:t>494</w:t>
      </w:r>
      <w:r w:rsidR="007C5209">
        <w:rPr>
          <w:rFonts w:ascii="Arial" w:hAnsi="Arial" w:cs="Arial" w:hint="eastAsia"/>
          <w:sz w:val="21"/>
          <w:szCs w:val="21"/>
        </w:rPr>
        <w:t>套，约占估价对象总套数的</w:t>
      </w:r>
      <w:r w:rsidR="002F6ADB">
        <w:rPr>
          <w:rFonts w:ascii="Arial" w:hAnsi="Arial" w:cs="Arial" w:hint="eastAsia"/>
          <w:sz w:val="21"/>
          <w:szCs w:val="21"/>
        </w:rPr>
        <w:t>51.5%</w:t>
      </w:r>
      <w:r w:rsidR="007C5209">
        <w:rPr>
          <w:rFonts w:ascii="Arial" w:hAnsi="Arial" w:cs="Arial" w:hint="eastAsia"/>
          <w:sz w:val="21"/>
          <w:szCs w:val="21"/>
        </w:rPr>
        <w:t>，面积集中在</w:t>
      </w:r>
      <w:r w:rsidR="007C5209">
        <w:rPr>
          <w:rFonts w:ascii="Arial" w:hAnsi="Arial" w:cs="Arial" w:hint="eastAsia"/>
          <w:sz w:val="21"/>
          <w:szCs w:val="21"/>
        </w:rPr>
        <w:t>62.36-69.96</w:t>
      </w:r>
      <w:r w:rsidR="007C5209">
        <w:rPr>
          <w:rFonts w:ascii="Arial" w:hAnsi="Arial" w:cs="Arial" w:hint="eastAsia"/>
          <w:sz w:val="21"/>
          <w:szCs w:val="21"/>
        </w:rPr>
        <w:t>平方米（仅有一间</w:t>
      </w:r>
      <w:r w:rsidR="007C5209">
        <w:rPr>
          <w:rFonts w:ascii="Arial" w:hAnsi="Arial" w:cs="Arial" w:hint="eastAsia"/>
          <w:sz w:val="21"/>
          <w:szCs w:val="21"/>
        </w:rPr>
        <w:t>49.81</w:t>
      </w:r>
      <w:r w:rsidR="007C5209">
        <w:rPr>
          <w:rFonts w:ascii="Arial" w:hAnsi="Arial" w:cs="Arial" w:hint="eastAsia"/>
          <w:sz w:val="21"/>
          <w:szCs w:val="21"/>
        </w:rPr>
        <w:t>平方米），建筑面积小计</w:t>
      </w:r>
      <w:r w:rsidR="007C5209" w:rsidRPr="004B20B9">
        <w:rPr>
          <w:rFonts w:ascii="Arial" w:hAnsi="Arial" w:cs="Arial"/>
          <w:sz w:val="21"/>
          <w:szCs w:val="21"/>
        </w:rPr>
        <w:t>32561.36</w:t>
      </w:r>
      <w:r w:rsidR="007C5209">
        <w:rPr>
          <w:rFonts w:ascii="Arial" w:hAnsi="Arial" w:cs="Arial"/>
          <w:sz w:val="21"/>
          <w:szCs w:val="21"/>
        </w:rPr>
        <w:t>平方米</w:t>
      </w:r>
      <w:r w:rsidR="007C5209">
        <w:rPr>
          <w:rFonts w:ascii="Arial" w:hAnsi="Arial" w:cs="Arial" w:hint="eastAsia"/>
          <w:sz w:val="21"/>
          <w:szCs w:val="21"/>
        </w:rPr>
        <w:t>；</w:t>
      </w:r>
      <w:r w:rsidR="002F6ADB">
        <w:rPr>
          <w:rFonts w:ascii="Arial" w:hAnsi="Arial" w:cs="Arial" w:hint="eastAsia"/>
          <w:sz w:val="21"/>
          <w:szCs w:val="21"/>
        </w:rPr>
        <w:t>二居室共</w:t>
      </w:r>
      <w:r w:rsidR="002F6ADB">
        <w:rPr>
          <w:rFonts w:ascii="Arial" w:hAnsi="Arial" w:cs="Arial" w:hint="eastAsia"/>
          <w:sz w:val="21"/>
          <w:szCs w:val="21"/>
        </w:rPr>
        <w:t>443</w:t>
      </w:r>
      <w:r w:rsidR="002F6ADB">
        <w:rPr>
          <w:rFonts w:ascii="Arial" w:hAnsi="Arial" w:cs="Arial" w:hint="eastAsia"/>
          <w:sz w:val="21"/>
          <w:szCs w:val="21"/>
        </w:rPr>
        <w:t>套</w:t>
      </w:r>
      <w:r w:rsidR="007C5209">
        <w:rPr>
          <w:rFonts w:ascii="Arial" w:hAnsi="Arial" w:cs="Arial" w:hint="eastAsia"/>
          <w:sz w:val="21"/>
          <w:szCs w:val="21"/>
        </w:rPr>
        <w:t>，约占估价对象总套数的</w:t>
      </w:r>
      <w:r w:rsidR="002F6ADB">
        <w:rPr>
          <w:rFonts w:ascii="Arial" w:hAnsi="Arial" w:cs="Arial" w:hint="eastAsia"/>
          <w:sz w:val="21"/>
          <w:szCs w:val="21"/>
        </w:rPr>
        <w:t>46.2%</w:t>
      </w:r>
      <w:r w:rsidR="007C5209">
        <w:rPr>
          <w:rFonts w:ascii="Arial" w:hAnsi="Arial" w:cs="Arial" w:hint="eastAsia"/>
          <w:sz w:val="21"/>
          <w:szCs w:val="21"/>
        </w:rPr>
        <w:t>，面积集中在</w:t>
      </w:r>
      <w:r w:rsidR="007C5209">
        <w:rPr>
          <w:rFonts w:ascii="Arial" w:hAnsi="Arial" w:cs="Arial"/>
          <w:sz w:val="21"/>
          <w:szCs w:val="21"/>
        </w:rPr>
        <w:t>87.22-91.05</w:t>
      </w:r>
      <w:r w:rsidR="007C5209">
        <w:rPr>
          <w:rFonts w:ascii="Arial" w:hAnsi="Arial" w:cs="Arial" w:hint="eastAsia"/>
          <w:sz w:val="21"/>
          <w:szCs w:val="21"/>
        </w:rPr>
        <w:t>平方米，建筑面积小计</w:t>
      </w:r>
      <w:r w:rsidR="002F6ADB">
        <w:rPr>
          <w:rFonts w:ascii="Arial" w:hAnsi="Arial" w:cs="Arial" w:hint="eastAsia"/>
          <w:sz w:val="21"/>
          <w:szCs w:val="21"/>
        </w:rPr>
        <w:t>39731.9</w:t>
      </w:r>
      <w:r w:rsidR="007C5209">
        <w:rPr>
          <w:rFonts w:ascii="Arial" w:hAnsi="Arial" w:cs="Arial"/>
          <w:sz w:val="21"/>
          <w:szCs w:val="21"/>
        </w:rPr>
        <w:t>平方米</w:t>
      </w:r>
      <w:r w:rsidR="007C5209">
        <w:rPr>
          <w:rFonts w:ascii="Arial" w:hAnsi="Arial" w:cs="Arial" w:hint="eastAsia"/>
          <w:sz w:val="21"/>
          <w:szCs w:val="21"/>
        </w:rPr>
        <w:t>；三居室共</w:t>
      </w:r>
      <w:r w:rsidR="007C5209">
        <w:rPr>
          <w:rFonts w:ascii="Arial" w:hAnsi="Arial" w:cs="Arial" w:hint="eastAsia"/>
          <w:sz w:val="21"/>
          <w:szCs w:val="21"/>
        </w:rPr>
        <w:t>22</w:t>
      </w:r>
      <w:r w:rsidR="007C5209">
        <w:rPr>
          <w:rFonts w:ascii="Arial" w:hAnsi="Arial" w:cs="Arial" w:hint="eastAsia"/>
          <w:sz w:val="21"/>
          <w:szCs w:val="21"/>
        </w:rPr>
        <w:t>套，约占估价对象总套数的</w:t>
      </w:r>
      <w:r w:rsidR="007C5209">
        <w:rPr>
          <w:rFonts w:ascii="Arial" w:hAnsi="Arial" w:cs="Arial" w:hint="eastAsia"/>
          <w:sz w:val="21"/>
          <w:szCs w:val="21"/>
        </w:rPr>
        <w:t>2.3%</w:t>
      </w:r>
      <w:r w:rsidR="007C5209">
        <w:rPr>
          <w:rFonts w:ascii="Arial" w:hAnsi="Arial" w:cs="Arial" w:hint="eastAsia"/>
          <w:sz w:val="21"/>
          <w:szCs w:val="21"/>
        </w:rPr>
        <w:t>，面积集中在</w:t>
      </w:r>
      <w:r w:rsidR="007C5209">
        <w:rPr>
          <w:rFonts w:ascii="Arial" w:hAnsi="Arial" w:cs="Arial"/>
          <w:sz w:val="21"/>
          <w:szCs w:val="21"/>
        </w:rPr>
        <w:t>97.97-109.46</w:t>
      </w:r>
      <w:r w:rsidR="007C5209">
        <w:rPr>
          <w:rFonts w:ascii="Arial" w:hAnsi="Arial" w:cs="Arial" w:hint="eastAsia"/>
          <w:sz w:val="21"/>
          <w:szCs w:val="21"/>
        </w:rPr>
        <w:t>平方米，建筑面积小计</w:t>
      </w:r>
      <w:r w:rsidR="007C5209" w:rsidRPr="004B20B9">
        <w:rPr>
          <w:rFonts w:ascii="Arial" w:hAnsi="Arial" w:cs="Arial"/>
          <w:sz w:val="21"/>
          <w:szCs w:val="21"/>
        </w:rPr>
        <w:t>2228.68</w:t>
      </w:r>
      <w:r w:rsidR="007C5209">
        <w:rPr>
          <w:rFonts w:ascii="Arial" w:hAnsi="Arial" w:cs="Arial"/>
          <w:sz w:val="21"/>
          <w:szCs w:val="21"/>
        </w:rPr>
        <w:t>平方米</w:t>
      </w:r>
      <w:r w:rsidR="007C5209">
        <w:rPr>
          <w:rFonts w:ascii="Arial" w:hAnsi="Arial" w:cs="Arial" w:hint="eastAsia"/>
          <w:sz w:val="21"/>
          <w:szCs w:val="21"/>
        </w:rPr>
        <w:t>。</w:t>
      </w:r>
    </w:p>
    <w:p w14:paraId="683D3CEC" w14:textId="77777777" w:rsidR="00AF6F34" w:rsidRPr="002F6ADB" w:rsidRDefault="00AF6F34" w:rsidP="002F6ADB">
      <w:pPr>
        <w:overflowPunct w:val="0"/>
        <w:spacing w:line="480" w:lineRule="auto"/>
        <w:ind w:firstLine="420"/>
        <w:jc w:val="both"/>
        <w:textAlignment w:val="auto"/>
        <w:rPr>
          <w:rFonts w:ascii="Arial" w:hAnsi="Arial" w:cs="Arial"/>
          <w:sz w:val="21"/>
          <w:szCs w:val="21"/>
        </w:rPr>
      </w:pPr>
      <w:r>
        <w:rPr>
          <w:rFonts w:ascii="Arial" w:hAnsi="Arial" w:cs="Arial" w:hint="eastAsia"/>
          <w:sz w:val="21"/>
          <w:szCs w:val="21"/>
        </w:rPr>
        <w:lastRenderedPageBreak/>
        <w:t>（</w:t>
      </w:r>
      <w:r>
        <w:rPr>
          <w:rFonts w:ascii="Arial" w:hAnsi="Arial" w:cs="Arial" w:hint="eastAsia"/>
          <w:sz w:val="21"/>
          <w:szCs w:val="21"/>
        </w:rPr>
        <w:t>8</w:t>
      </w:r>
      <w:r>
        <w:rPr>
          <w:rFonts w:ascii="Arial" w:hAnsi="Arial" w:cs="Arial" w:hint="eastAsia"/>
          <w:sz w:val="21"/>
          <w:szCs w:val="21"/>
        </w:rPr>
        <w:t>）朝向：朝向为南北、南，以南朝向为主。</w:t>
      </w:r>
    </w:p>
    <w:p w14:paraId="105723CC" w14:textId="77777777" w:rsidR="00AF6F34" w:rsidRPr="002F6ADB" w:rsidRDefault="00AF6F34">
      <w:pPr>
        <w:spacing w:line="480" w:lineRule="auto"/>
        <w:ind w:firstLine="420"/>
        <w:rPr>
          <w:rFonts w:ascii="Arial" w:hAnsi="Arial" w:cs="Arial"/>
          <w:sz w:val="21"/>
          <w:szCs w:val="21"/>
        </w:rPr>
      </w:pPr>
      <w:r>
        <w:rPr>
          <w:rFonts w:ascii="Arial" w:hAnsi="Arial" w:cs="Arial" w:hint="eastAsia"/>
          <w:sz w:val="21"/>
          <w:szCs w:val="21"/>
        </w:rPr>
        <w:t>3</w:t>
      </w:r>
      <w:r>
        <w:rPr>
          <w:rFonts w:ascii="Arial" w:hAnsi="Arial" w:cs="Arial"/>
          <w:sz w:val="21"/>
          <w:szCs w:val="21"/>
        </w:rPr>
        <w:t>.</w:t>
      </w:r>
      <w:r>
        <w:rPr>
          <w:rFonts w:ascii="Arial" w:hAnsi="Arial" w:cs="Arial" w:hint="eastAsia"/>
          <w:sz w:val="21"/>
          <w:szCs w:val="21"/>
        </w:rPr>
        <w:t>对价格影响的分析</w:t>
      </w:r>
    </w:p>
    <w:p w14:paraId="7A04F876" w14:textId="77777777" w:rsidR="00AF6F34" w:rsidRDefault="00AF6F34">
      <w:pPr>
        <w:spacing w:line="480" w:lineRule="auto"/>
        <w:ind w:firstLine="420"/>
      </w:pPr>
      <w:r>
        <w:rPr>
          <w:rFonts w:ascii="Arial" w:hAnsi="Arial" w:cs="Arial"/>
          <w:sz w:val="21"/>
          <w:szCs w:val="21"/>
        </w:rPr>
        <w:t>估价对象作为住宅使用，通用性相对较好，能完全满足大部分求租者的需求，因此</w:t>
      </w:r>
      <w:r>
        <w:rPr>
          <w:rFonts w:ascii="Arial" w:hAnsi="Arial" w:cs="Arial" w:hint="eastAsia"/>
          <w:sz w:val="21"/>
          <w:szCs w:val="21"/>
        </w:rPr>
        <w:t>不</w:t>
      </w:r>
      <w:r>
        <w:rPr>
          <w:rFonts w:ascii="Arial" w:hAnsi="Arial" w:cs="Arial"/>
          <w:sz w:val="21"/>
          <w:szCs w:val="21"/>
        </w:rPr>
        <w:t>会影响其租金价格水平。</w:t>
      </w:r>
    </w:p>
    <w:p w14:paraId="2BBCBF47" w14:textId="77777777" w:rsidR="00AF6F34" w:rsidRDefault="00AF6F34">
      <w:pPr>
        <w:pStyle w:val="2"/>
        <w:numPr>
          <w:ilvl w:val="0"/>
          <w:numId w:val="0"/>
        </w:numPr>
        <w:spacing w:line="480" w:lineRule="auto"/>
        <w:ind w:left="360" w:hanging="360"/>
        <w:jc w:val="both"/>
      </w:pPr>
      <w:bookmarkStart w:id="26" w:name="_Toc161661022"/>
      <w:r>
        <w:rPr>
          <w:rFonts w:eastAsia="宋体"/>
          <w:kern w:val="2"/>
          <w:sz w:val="21"/>
          <w:szCs w:val="21"/>
        </w:rPr>
        <w:t>（</w:t>
      </w:r>
      <w:r>
        <w:rPr>
          <w:rFonts w:eastAsia="宋体" w:hint="eastAsia"/>
          <w:kern w:val="2"/>
          <w:sz w:val="21"/>
          <w:szCs w:val="21"/>
        </w:rPr>
        <w:t>三</w:t>
      </w:r>
      <w:r>
        <w:rPr>
          <w:rFonts w:eastAsia="宋体"/>
          <w:kern w:val="2"/>
          <w:sz w:val="21"/>
          <w:szCs w:val="21"/>
        </w:rPr>
        <w:t>）权益状况分析</w:t>
      </w:r>
      <w:bookmarkEnd w:id="26"/>
    </w:p>
    <w:p w14:paraId="0302DCBD" w14:textId="77777777" w:rsidR="00961BB7" w:rsidRDefault="00334B2E" w:rsidP="00334B2E">
      <w:pPr>
        <w:spacing w:line="480" w:lineRule="auto"/>
        <w:ind w:firstLine="420"/>
        <w:jc w:val="both"/>
        <w:rPr>
          <w:rFonts w:ascii="Arial" w:hAnsi="Arial" w:cs="Arial"/>
          <w:sz w:val="21"/>
          <w:szCs w:val="21"/>
        </w:rPr>
      </w:pPr>
      <w:r>
        <w:rPr>
          <w:rFonts w:ascii="Arial" w:hAnsi="Arial" w:cs="Arial" w:hint="eastAsia"/>
          <w:sz w:val="21"/>
          <w:szCs w:val="21"/>
        </w:rPr>
        <w:t>根据估价委托人提供的资料及评估专业人员实地查勘，</w:t>
      </w:r>
      <w:r w:rsidR="004761C6">
        <w:rPr>
          <w:rFonts w:ascii="Arial" w:hAnsi="Arial" w:cs="Arial" w:hint="eastAsia"/>
          <w:sz w:val="21"/>
          <w:szCs w:val="21"/>
        </w:rPr>
        <w:t>估价对象房屋所有权人为</w:t>
      </w:r>
      <w:r w:rsidR="00B01A7B">
        <w:rPr>
          <w:rFonts w:ascii="Arial" w:hAnsi="Arial" w:cs="Arial" w:hint="eastAsia"/>
          <w:kern w:val="2"/>
          <w:sz w:val="21"/>
          <w:szCs w:val="21"/>
        </w:rPr>
        <w:t>北京经济技术投资开发总公司</w:t>
      </w:r>
      <w:r>
        <w:rPr>
          <w:rFonts w:ascii="Arial" w:hAnsi="Arial" w:cs="Arial" w:hint="eastAsia"/>
          <w:sz w:val="21"/>
          <w:szCs w:val="21"/>
        </w:rPr>
        <w:t>，</w:t>
      </w:r>
      <w:r>
        <w:rPr>
          <w:rFonts w:ascii="Arial" w:hAnsi="Arial" w:cs="Arial" w:hint="eastAsia"/>
          <w:kern w:val="2"/>
          <w:sz w:val="21"/>
          <w:szCs w:val="21"/>
        </w:rPr>
        <w:t>共有情况为单独所有，房屋性质为商品房，用途为住宅，</w:t>
      </w:r>
      <w:r>
        <w:rPr>
          <w:rFonts w:ascii="Arial" w:hAnsi="Arial" w:cs="Arial" w:hint="eastAsia"/>
          <w:sz w:val="21"/>
          <w:szCs w:val="21"/>
        </w:rPr>
        <w:t>土地使用权取得方式为有偿（出让）</w:t>
      </w:r>
      <w:r w:rsidR="00294190">
        <w:rPr>
          <w:rFonts w:ascii="Arial" w:hAnsi="Arial" w:cs="Arial" w:hint="eastAsia"/>
          <w:sz w:val="21"/>
          <w:szCs w:val="21"/>
        </w:rPr>
        <w:t>，于价值时点，房屋使用状况为空置，估价对象所属项目由物业管理公司进行管理，未发现估价对象存在权属不明、临建、查封等不被允许的经济行为及拖欠各种费用的情况，</w:t>
      </w:r>
      <w:r w:rsidR="00294190">
        <w:rPr>
          <w:rFonts w:ascii="Arial" w:hAnsi="Arial" w:cs="Arial" w:hint="eastAsia"/>
          <w:kern w:val="2"/>
          <w:sz w:val="21"/>
          <w:szCs w:val="21"/>
        </w:rPr>
        <w:t>故设定估价对象于价值时点不存在</w:t>
      </w:r>
      <w:r w:rsidR="00294190">
        <w:rPr>
          <w:rFonts w:ascii="Arial" w:hAnsi="Arial" w:cs="Arial" w:hint="eastAsia"/>
          <w:sz w:val="21"/>
          <w:szCs w:val="21"/>
        </w:rPr>
        <w:t>权属不明、临建、查封等不被允许的经济行为及拖欠各种费用的情况</w:t>
      </w:r>
      <w:r w:rsidR="004761C6">
        <w:rPr>
          <w:rFonts w:ascii="Arial" w:hAnsi="Arial" w:cs="Arial" w:hint="eastAsia"/>
          <w:sz w:val="21"/>
          <w:szCs w:val="21"/>
        </w:rPr>
        <w:t>。</w:t>
      </w:r>
    </w:p>
    <w:p w14:paraId="1FDAFF40" w14:textId="77777777" w:rsidR="00AF6F34" w:rsidRDefault="00AF6F34" w:rsidP="00334B2E">
      <w:pPr>
        <w:spacing w:line="480" w:lineRule="auto"/>
        <w:ind w:firstLine="420"/>
        <w:jc w:val="both"/>
        <w:rPr>
          <w:rFonts w:ascii="Arial" w:hAnsi="Arial" w:cs="Arial"/>
          <w:kern w:val="2"/>
          <w:sz w:val="21"/>
          <w:szCs w:val="21"/>
        </w:rPr>
      </w:pPr>
      <w:r>
        <w:rPr>
          <w:rFonts w:ascii="Arial" w:hAnsi="Arial" w:cs="Arial" w:hint="eastAsia"/>
          <w:sz w:val="21"/>
          <w:szCs w:val="21"/>
        </w:rPr>
        <w:t>根据估价委托人提供的资料及评估专业人员实地查勘，于价值时点，未发现估价对象存在</w:t>
      </w:r>
      <w:r>
        <w:rPr>
          <w:rFonts w:ascii="Arial" w:hAnsi="Arial" w:cs="Arial" w:hint="eastAsia"/>
          <w:kern w:val="2"/>
          <w:sz w:val="21"/>
          <w:szCs w:val="21"/>
        </w:rPr>
        <w:t>抵押、租赁、地役、查封等他项权利</w:t>
      </w:r>
      <w:r>
        <w:rPr>
          <w:rFonts w:ascii="Arial" w:hAnsi="Arial" w:cs="Arial" w:hint="eastAsia"/>
          <w:sz w:val="21"/>
          <w:szCs w:val="21"/>
        </w:rPr>
        <w:t>。</w:t>
      </w:r>
      <w:r>
        <w:rPr>
          <w:rFonts w:ascii="Arial" w:hAnsi="Arial" w:cs="Arial" w:hint="eastAsia"/>
          <w:kern w:val="2"/>
          <w:sz w:val="21"/>
          <w:szCs w:val="21"/>
        </w:rPr>
        <w:t>故设定估价对象于价值时点不存在抵押、租赁、地役、查封等他项权利限制。</w:t>
      </w:r>
    </w:p>
    <w:p w14:paraId="2F7F03C2" w14:textId="77777777" w:rsidR="00961BB7" w:rsidRPr="00961BB7" w:rsidRDefault="00961BB7" w:rsidP="00961BB7">
      <w:pPr>
        <w:spacing w:line="480" w:lineRule="auto"/>
        <w:ind w:firstLine="420"/>
      </w:pPr>
    </w:p>
    <w:p w14:paraId="36BFFB39" w14:textId="77777777" w:rsidR="00AF6F34" w:rsidRDefault="00AF6F34">
      <w:pPr>
        <w:pStyle w:val="2"/>
        <w:numPr>
          <w:ilvl w:val="0"/>
          <w:numId w:val="0"/>
        </w:numPr>
        <w:spacing w:line="480" w:lineRule="auto"/>
        <w:ind w:left="358" w:hanging="358"/>
        <w:jc w:val="both"/>
      </w:pPr>
      <w:bookmarkStart w:id="27" w:name="_Toc161661023"/>
      <w:r>
        <w:rPr>
          <w:rFonts w:eastAsia="宋体"/>
          <w:kern w:val="2"/>
          <w:sz w:val="21"/>
          <w:szCs w:val="21"/>
        </w:rPr>
        <w:t>二、市场背景描述与分析</w:t>
      </w:r>
      <w:bookmarkEnd w:id="27"/>
    </w:p>
    <w:p w14:paraId="50922369" w14:textId="77777777" w:rsidR="00941FE0" w:rsidRPr="00EC06B5" w:rsidRDefault="00941FE0" w:rsidP="00941FE0">
      <w:pPr>
        <w:overflowPunct w:val="0"/>
        <w:spacing w:line="480" w:lineRule="auto"/>
        <w:ind w:right="205"/>
        <w:jc w:val="both"/>
        <w:textAlignment w:val="auto"/>
        <w:rPr>
          <w:rFonts w:ascii="Arial" w:hAnsi="Arial"/>
          <w:b/>
          <w:bCs/>
          <w:sz w:val="21"/>
          <w:szCs w:val="21"/>
        </w:rPr>
      </w:pPr>
      <w:r w:rsidRPr="00EC06B5">
        <w:rPr>
          <w:rFonts w:ascii="Arial" w:hAnsi="Arial" w:hint="eastAsia"/>
          <w:b/>
          <w:bCs/>
          <w:sz w:val="21"/>
          <w:szCs w:val="21"/>
        </w:rPr>
        <w:t>（一）类似房地产市场状况</w:t>
      </w:r>
    </w:p>
    <w:p w14:paraId="11654126" w14:textId="77777777" w:rsidR="00941FE0" w:rsidRPr="00EC06B5" w:rsidRDefault="00941FE0" w:rsidP="00941FE0">
      <w:pPr>
        <w:overflowPunct w:val="0"/>
        <w:spacing w:line="480" w:lineRule="auto"/>
        <w:ind w:firstLineChars="200" w:firstLine="420"/>
        <w:jc w:val="both"/>
        <w:textAlignment w:val="auto"/>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748105A6"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bookmarkStart w:id="28" w:name="OLE_LINK33"/>
      <w:bookmarkStart w:id="29"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14C2B003"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0BE71C90" w14:textId="77777777" w:rsidR="00941FE0" w:rsidRPr="00EC06B5" w:rsidRDefault="00941FE0" w:rsidP="00941FE0">
      <w:pPr>
        <w:overflowPunct w:val="0"/>
        <w:spacing w:line="240" w:lineRule="auto"/>
        <w:jc w:val="center"/>
        <w:rPr>
          <w:rFonts w:ascii="Arial" w:eastAsia="方正黑体简体" w:hAnsi="Arial"/>
          <w:bCs/>
          <w:color w:val="000000"/>
          <w:szCs w:val="24"/>
        </w:rPr>
      </w:pPr>
      <w:r w:rsidRPr="00EC06B5">
        <w:rPr>
          <w:rFonts w:ascii="Arial" w:eastAsia="方正黑体简体" w:hAnsi="Arial"/>
          <w:bCs/>
          <w:color w:val="000000"/>
          <w:szCs w:val="24"/>
        </w:rPr>
        <w:lastRenderedPageBreak/>
        <w:t>20</w:t>
      </w:r>
      <w:r w:rsidRPr="00EC06B5">
        <w:rPr>
          <w:rFonts w:ascii="Arial" w:eastAsia="方正黑体简体" w:hAnsi="Arial" w:hint="eastAsia"/>
          <w:bCs/>
          <w:color w:val="000000"/>
          <w:szCs w:val="24"/>
        </w:rPr>
        <w:t>20</w:t>
      </w:r>
      <w:r w:rsidRPr="00EC06B5">
        <w:rPr>
          <w:rFonts w:ascii="Arial" w:eastAsia="方正黑体简体" w:hAnsi="Arial"/>
          <w:bCs/>
          <w:color w:val="000000"/>
          <w:szCs w:val="24"/>
        </w:rPr>
        <w:t>-202</w:t>
      </w:r>
      <w:r w:rsidRPr="00EC06B5">
        <w:rPr>
          <w:rFonts w:ascii="Arial" w:eastAsia="方正黑体简体" w:hAnsi="Arial" w:hint="eastAsia"/>
          <w:bCs/>
          <w:color w:val="000000"/>
          <w:szCs w:val="24"/>
        </w:rPr>
        <w:t>4</w:t>
      </w:r>
      <w:r w:rsidRPr="00EC06B5">
        <w:rPr>
          <w:rFonts w:ascii="Arial" w:eastAsia="方正黑体简体" w:hAnsi="Arial" w:hint="eastAsia"/>
          <w:bCs/>
          <w:color w:val="000000"/>
          <w:szCs w:val="24"/>
        </w:rPr>
        <w:t>年常住人口增量及增长速度</w:t>
      </w:r>
    </w:p>
    <w:p w14:paraId="3C3F8001" w14:textId="77777777" w:rsidR="00941FE0" w:rsidRPr="00EC06B5" w:rsidRDefault="00941FE0" w:rsidP="00941FE0">
      <w:pPr>
        <w:widowControl/>
        <w:spacing w:line="480" w:lineRule="auto"/>
        <w:jc w:val="center"/>
        <w:textAlignment w:val="auto"/>
        <w:rPr>
          <w:rFonts w:ascii="Arial" w:hAnsi="Arial"/>
          <w:color w:val="000000"/>
          <w:sz w:val="21"/>
          <w:szCs w:val="21"/>
        </w:rPr>
      </w:pPr>
      <w:r w:rsidRPr="00EC06B5">
        <w:rPr>
          <w:rFonts w:ascii="Arial" w:eastAsia="仿宋" w:hAnsi="Arial" w:cs="Arial"/>
          <w:noProof/>
          <w:sz w:val="28"/>
          <w:szCs w:val="28"/>
        </w:rPr>
        <w:drawing>
          <wp:inline distT="0" distB="0" distL="0" distR="0" wp14:anchorId="26BFE05A" wp14:editId="2A0EA740">
            <wp:extent cx="5905500" cy="2167890"/>
            <wp:effectExtent l="0" t="0" r="0" b="0"/>
            <wp:docPr id="5"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bookmarkEnd w:id="28"/>
    <w:bookmarkEnd w:id="29"/>
    <w:p w14:paraId="6B1E68F9"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根据北京市统计局地区生产总值统一核算结果，</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年前三季度，北京市实现地区生产总值</w:t>
      </w:r>
      <w:r w:rsidRPr="00454720">
        <w:rPr>
          <w:rFonts w:ascii="Arial" w:hAnsi="Arial" w:hint="eastAsia"/>
          <w:color w:val="000000"/>
          <w:sz w:val="21"/>
          <w:szCs w:val="21"/>
        </w:rPr>
        <w:t>38415.9</w:t>
      </w:r>
      <w:r w:rsidRPr="00454720">
        <w:rPr>
          <w:rFonts w:ascii="Arial" w:hAnsi="Arial" w:hint="eastAsia"/>
          <w:color w:val="000000"/>
          <w:sz w:val="21"/>
          <w:szCs w:val="21"/>
        </w:rPr>
        <w:t>亿元，按不变价格计算，同比增长</w:t>
      </w:r>
      <w:r w:rsidRPr="00454720">
        <w:rPr>
          <w:rFonts w:ascii="Arial" w:hAnsi="Arial" w:hint="eastAsia"/>
          <w:color w:val="000000"/>
          <w:sz w:val="21"/>
          <w:szCs w:val="21"/>
        </w:rPr>
        <w:t>5.6%</w:t>
      </w:r>
      <w:r w:rsidRPr="00454720">
        <w:rPr>
          <w:rFonts w:ascii="Arial" w:hAnsi="Arial" w:hint="eastAsia"/>
          <w:color w:val="000000"/>
          <w:sz w:val="21"/>
          <w:szCs w:val="21"/>
        </w:rPr>
        <w:t>。分产业看，第一产业实现增加值</w:t>
      </w:r>
      <w:r w:rsidRPr="00454720">
        <w:rPr>
          <w:rFonts w:ascii="Arial" w:hAnsi="Arial" w:hint="eastAsia"/>
          <w:color w:val="000000"/>
          <w:sz w:val="21"/>
          <w:szCs w:val="21"/>
        </w:rPr>
        <w:t>77.9</w:t>
      </w:r>
      <w:r w:rsidRPr="00454720">
        <w:rPr>
          <w:rFonts w:ascii="Arial" w:hAnsi="Arial" w:hint="eastAsia"/>
          <w:color w:val="000000"/>
          <w:sz w:val="21"/>
          <w:szCs w:val="21"/>
        </w:rPr>
        <w:t>亿元，下降</w:t>
      </w:r>
      <w:r w:rsidRPr="00454720">
        <w:rPr>
          <w:rFonts w:ascii="Arial" w:hAnsi="Arial" w:hint="eastAsia"/>
          <w:color w:val="000000"/>
          <w:sz w:val="21"/>
          <w:szCs w:val="21"/>
        </w:rPr>
        <w:t>1.1%</w:t>
      </w:r>
      <w:r w:rsidRPr="00454720">
        <w:rPr>
          <w:rFonts w:ascii="Arial" w:hAnsi="Arial" w:hint="eastAsia"/>
          <w:color w:val="000000"/>
          <w:sz w:val="21"/>
          <w:szCs w:val="21"/>
        </w:rPr>
        <w:t>；第二产业实现增加值</w:t>
      </w:r>
      <w:r w:rsidRPr="00454720">
        <w:rPr>
          <w:rFonts w:ascii="Arial" w:hAnsi="Arial" w:hint="eastAsia"/>
          <w:color w:val="000000"/>
          <w:sz w:val="21"/>
          <w:szCs w:val="21"/>
        </w:rPr>
        <w:t>5055.9</w:t>
      </w:r>
      <w:r w:rsidRPr="00454720">
        <w:rPr>
          <w:rFonts w:ascii="Arial" w:hAnsi="Arial" w:hint="eastAsia"/>
          <w:color w:val="000000"/>
          <w:sz w:val="21"/>
          <w:szCs w:val="21"/>
        </w:rPr>
        <w:t>亿元，增长</w:t>
      </w:r>
      <w:r w:rsidRPr="00454720">
        <w:rPr>
          <w:rFonts w:ascii="Arial" w:hAnsi="Arial" w:hint="eastAsia"/>
          <w:color w:val="000000"/>
          <w:sz w:val="21"/>
          <w:szCs w:val="21"/>
        </w:rPr>
        <w:t>4.0%</w:t>
      </w:r>
      <w:r w:rsidRPr="00454720">
        <w:rPr>
          <w:rFonts w:ascii="Arial" w:hAnsi="Arial" w:hint="eastAsia"/>
          <w:color w:val="000000"/>
          <w:sz w:val="21"/>
          <w:szCs w:val="21"/>
        </w:rPr>
        <w:t>；第三产业实现增加值</w:t>
      </w:r>
      <w:r w:rsidRPr="00454720">
        <w:rPr>
          <w:rFonts w:ascii="Arial" w:hAnsi="Arial" w:hint="eastAsia"/>
          <w:color w:val="000000"/>
          <w:sz w:val="21"/>
          <w:szCs w:val="21"/>
        </w:rPr>
        <w:t>33282.0</w:t>
      </w:r>
      <w:r w:rsidRPr="00454720">
        <w:rPr>
          <w:rFonts w:ascii="Arial" w:hAnsi="Arial" w:hint="eastAsia"/>
          <w:color w:val="000000"/>
          <w:sz w:val="21"/>
          <w:szCs w:val="21"/>
        </w:rPr>
        <w:t>亿元，增长</w:t>
      </w:r>
      <w:r w:rsidRPr="00454720">
        <w:rPr>
          <w:rFonts w:ascii="Arial" w:hAnsi="Arial" w:hint="eastAsia"/>
          <w:color w:val="000000"/>
          <w:sz w:val="21"/>
          <w:szCs w:val="21"/>
        </w:rPr>
        <w:t>5.8%</w:t>
      </w:r>
      <w:r w:rsidRPr="00EC06B5">
        <w:rPr>
          <w:rFonts w:ascii="Arial" w:hAnsi="Arial" w:hint="eastAsia"/>
          <w:color w:val="000000"/>
          <w:sz w:val="21"/>
          <w:szCs w:val="21"/>
        </w:rPr>
        <w:t>。</w:t>
      </w:r>
    </w:p>
    <w:p w14:paraId="08AE04A8" w14:textId="77777777" w:rsidR="00941FE0" w:rsidRPr="00D033F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年前三季度，北京市固定资产投资（不含农户）同比增长</w:t>
      </w:r>
      <w:r w:rsidRPr="00454720">
        <w:rPr>
          <w:rFonts w:ascii="Arial" w:hAnsi="Arial" w:hint="eastAsia"/>
          <w:color w:val="000000"/>
          <w:sz w:val="21"/>
          <w:szCs w:val="21"/>
        </w:rPr>
        <w:t>9.0%</w:t>
      </w:r>
      <w:r w:rsidRPr="00454720">
        <w:rPr>
          <w:rFonts w:ascii="Arial" w:hAnsi="Arial" w:hint="eastAsia"/>
          <w:color w:val="000000"/>
          <w:sz w:val="21"/>
          <w:szCs w:val="21"/>
        </w:rPr>
        <w:t>。其中，反映企业扩大生产能力的设备购置投资增长</w:t>
      </w:r>
      <w:r w:rsidRPr="00454720">
        <w:rPr>
          <w:rFonts w:ascii="Arial" w:hAnsi="Arial" w:hint="eastAsia"/>
          <w:color w:val="000000"/>
          <w:sz w:val="21"/>
          <w:szCs w:val="21"/>
        </w:rPr>
        <w:t>83.1%</w:t>
      </w:r>
      <w:r w:rsidRPr="00454720">
        <w:rPr>
          <w:rFonts w:ascii="Arial" w:hAnsi="Arial" w:hint="eastAsia"/>
          <w:color w:val="000000"/>
          <w:sz w:val="21"/>
          <w:szCs w:val="21"/>
        </w:rPr>
        <w:t>，占全市固定资产投资的比重进一步提升至</w:t>
      </w:r>
      <w:r w:rsidRPr="00454720">
        <w:rPr>
          <w:rFonts w:ascii="Arial" w:hAnsi="Arial" w:hint="eastAsia"/>
          <w:color w:val="000000"/>
          <w:sz w:val="21"/>
          <w:szCs w:val="21"/>
        </w:rPr>
        <w:t>29.3%</w:t>
      </w:r>
      <w:r w:rsidRPr="00454720">
        <w:rPr>
          <w:rFonts w:ascii="Arial" w:hAnsi="Arial" w:hint="eastAsia"/>
          <w:color w:val="000000"/>
          <w:sz w:val="21"/>
          <w:szCs w:val="21"/>
        </w:rPr>
        <w:t>。分领域看，基础设施投资增长</w:t>
      </w:r>
      <w:r w:rsidRPr="00454720">
        <w:rPr>
          <w:rFonts w:ascii="Arial" w:hAnsi="Arial" w:hint="eastAsia"/>
          <w:color w:val="000000"/>
          <w:sz w:val="21"/>
          <w:szCs w:val="21"/>
        </w:rPr>
        <w:t>2.3%</w:t>
      </w:r>
      <w:r w:rsidRPr="00454720">
        <w:rPr>
          <w:rFonts w:ascii="Arial" w:hAnsi="Arial" w:hint="eastAsia"/>
          <w:color w:val="000000"/>
          <w:sz w:val="21"/>
          <w:szCs w:val="21"/>
        </w:rPr>
        <w:t>，制造业投资增长</w:t>
      </w:r>
      <w:r w:rsidRPr="00454720">
        <w:rPr>
          <w:rFonts w:ascii="Arial" w:hAnsi="Arial" w:hint="eastAsia"/>
          <w:color w:val="000000"/>
          <w:sz w:val="21"/>
          <w:szCs w:val="21"/>
        </w:rPr>
        <w:t>5.4%</w:t>
      </w:r>
      <w:r w:rsidRPr="00454720">
        <w:rPr>
          <w:rFonts w:ascii="Arial" w:hAnsi="Arial" w:hint="eastAsia"/>
          <w:color w:val="000000"/>
          <w:sz w:val="21"/>
          <w:szCs w:val="21"/>
        </w:rPr>
        <w:t>，房地产开发投资下降</w:t>
      </w:r>
      <w:r w:rsidRPr="00454720">
        <w:rPr>
          <w:rFonts w:ascii="Arial" w:hAnsi="Arial" w:hint="eastAsia"/>
          <w:color w:val="000000"/>
          <w:sz w:val="21"/>
          <w:szCs w:val="21"/>
        </w:rPr>
        <w:t>13.7%</w:t>
      </w:r>
      <w:r w:rsidRPr="00454720">
        <w:rPr>
          <w:rFonts w:ascii="Arial" w:hAnsi="Arial" w:hint="eastAsia"/>
          <w:color w:val="000000"/>
          <w:sz w:val="21"/>
          <w:szCs w:val="21"/>
        </w:rPr>
        <w:t>。分产业看，第一产业投资增长</w:t>
      </w:r>
      <w:r w:rsidRPr="00454720">
        <w:rPr>
          <w:rFonts w:ascii="Arial" w:hAnsi="Arial" w:hint="eastAsia"/>
          <w:color w:val="000000"/>
          <w:sz w:val="21"/>
          <w:szCs w:val="21"/>
        </w:rPr>
        <w:t>23.8%</w:t>
      </w:r>
      <w:r w:rsidRPr="00454720">
        <w:rPr>
          <w:rFonts w:ascii="Arial" w:hAnsi="Arial" w:hint="eastAsia"/>
          <w:color w:val="000000"/>
          <w:sz w:val="21"/>
          <w:szCs w:val="21"/>
        </w:rPr>
        <w:t>，第二产业投资增长</w:t>
      </w:r>
      <w:r w:rsidRPr="00454720">
        <w:rPr>
          <w:rFonts w:ascii="Arial" w:hAnsi="Arial" w:hint="eastAsia"/>
          <w:color w:val="000000"/>
          <w:sz w:val="21"/>
          <w:szCs w:val="21"/>
        </w:rPr>
        <w:t>10.4%</w:t>
      </w:r>
      <w:r w:rsidRPr="00454720">
        <w:rPr>
          <w:rFonts w:ascii="Arial" w:hAnsi="Arial" w:hint="eastAsia"/>
          <w:color w:val="000000"/>
          <w:sz w:val="21"/>
          <w:szCs w:val="21"/>
        </w:rPr>
        <w:t>，第三产业投资增长</w:t>
      </w:r>
      <w:r w:rsidRPr="00454720">
        <w:rPr>
          <w:rFonts w:ascii="Arial" w:hAnsi="Arial" w:hint="eastAsia"/>
          <w:color w:val="000000"/>
          <w:sz w:val="21"/>
          <w:szCs w:val="21"/>
        </w:rPr>
        <w:t>8.8%</w:t>
      </w:r>
      <w:r w:rsidRPr="00454720">
        <w:rPr>
          <w:rFonts w:ascii="Arial" w:hAnsi="Arial" w:hint="eastAsia"/>
          <w:color w:val="000000"/>
          <w:sz w:val="21"/>
          <w:szCs w:val="21"/>
        </w:rPr>
        <w:t>。在信息传输、软件和信息技术服务业带动下，高技术产业投资保持活跃，增长</w:t>
      </w:r>
      <w:r w:rsidRPr="00454720">
        <w:rPr>
          <w:rFonts w:ascii="Arial" w:hAnsi="Arial" w:hint="eastAsia"/>
          <w:color w:val="000000"/>
          <w:sz w:val="21"/>
          <w:szCs w:val="21"/>
        </w:rPr>
        <w:t>51.7%</w:t>
      </w:r>
      <w:r w:rsidRPr="00D033F5">
        <w:rPr>
          <w:rFonts w:ascii="Arial" w:hAnsi="Arial" w:hint="eastAsia"/>
          <w:color w:val="000000"/>
          <w:sz w:val="21"/>
          <w:szCs w:val="21"/>
        </w:rPr>
        <w:t>。</w:t>
      </w:r>
    </w:p>
    <w:p w14:paraId="16F55F99"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年前三季度，北京市房屋施工面积</w:t>
      </w:r>
      <w:r w:rsidRPr="00454720">
        <w:rPr>
          <w:rFonts w:ascii="Arial" w:hAnsi="Arial" w:hint="eastAsia"/>
          <w:color w:val="000000"/>
          <w:sz w:val="21"/>
          <w:szCs w:val="21"/>
        </w:rPr>
        <w:t>10150.0</w:t>
      </w:r>
      <w:r w:rsidRPr="00454720">
        <w:rPr>
          <w:rFonts w:ascii="Arial" w:hAnsi="Arial" w:hint="eastAsia"/>
          <w:color w:val="000000"/>
          <w:sz w:val="21"/>
          <w:szCs w:val="21"/>
        </w:rPr>
        <w:t>万平方米，同比下降</w:t>
      </w:r>
      <w:r w:rsidRPr="00454720">
        <w:rPr>
          <w:rFonts w:ascii="Arial" w:hAnsi="Arial" w:hint="eastAsia"/>
          <w:color w:val="000000"/>
          <w:sz w:val="21"/>
          <w:szCs w:val="21"/>
        </w:rPr>
        <w:t>7.8%</w:t>
      </w:r>
      <w:r w:rsidRPr="00454720">
        <w:rPr>
          <w:rFonts w:ascii="Arial" w:hAnsi="Arial" w:hint="eastAsia"/>
          <w:color w:val="000000"/>
          <w:sz w:val="21"/>
          <w:szCs w:val="21"/>
        </w:rPr>
        <w:t>，其中住宅施工面积</w:t>
      </w:r>
      <w:r w:rsidRPr="00454720">
        <w:rPr>
          <w:rFonts w:ascii="Arial" w:hAnsi="Arial" w:hint="eastAsia"/>
          <w:color w:val="000000"/>
          <w:sz w:val="21"/>
          <w:szCs w:val="21"/>
        </w:rPr>
        <w:t>5050.5</w:t>
      </w:r>
      <w:r w:rsidRPr="00454720">
        <w:rPr>
          <w:rFonts w:ascii="Arial" w:hAnsi="Arial" w:hint="eastAsia"/>
          <w:color w:val="000000"/>
          <w:sz w:val="21"/>
          <w:szCs w:val="21"/>
        </w:rPr>
        <w:t>万平方米，下降</w:t>
      </w:r>
      <w:r w:rsidRPr="00454720">
        <w:rPr>
          <w:rFonts w:ascii="Arial" w:hAnsi="Arial" w:hint="eastAsia"/>
          <w:color w:val="000000"/>
          <w:sz w:val="21"/>
          <w:szCs w:val="21"/>
        </w:rPr>
        <w:t>8.5%</w:t>
      </w:r>
      <w:r w:rsidRPr="00454720">
        <w:rPr>
          <w:rFonts w:ascii="Arial" w:hAnsi="Arial" w:hint="eastAsia"/>
          <w:color w:val="000000"/>
          <w:sz w:val="21"/>
          <w:szCs w:val="21"/>
        </w:rPr>
        <w:t>。全市新建商品房销售面积</w:t>
      </w:r>
      <w:r w:rsidRPr="00454720">
        <w:rPr>
          <w:rFonts w:ascii="Arial" w:hAnsi="Arial" w:hint="eastAsia"/>
          <w:color w:val="000000"/>
          <w:sz w:val="21"/>
          <w:szCs w:val="21"/>
        </w:rPr>
        <w:t>739.6</w:t>
      </w:r>
      <w:r w:rsidRPr="00454720">
        <w:rPr>
          <w:rFonts w:ascii="Arial" w:hAnsi="Arial" w:hint="eastAsia"/>
          <w:color w:val="000000"/>
          <w:sz w:val="21"/>
          <w:szCs w:val="21"/>
        </w:rPr>
        <w:t>万平方米，同比下降</w:t>
      </w:r>
      <w:r w:rsidRPr="00454720">
        <w:rPr>
          <w:rFonts w:ascii="Arial" w:hAnsi="Arial" w:hint="eastAsia"/>
          <w:color w:val="000000"/>
          <w:sz w:val="21"/>
          <w:szCs w:val="21"/>
        </w:rPr>
        <w:t>3.5%</w:t>
      </w:r>
      <w:r w:rsidRPr="00454720">
        <w:rPr>
          <w:rFonts w:ascii="Arial" w:hAnsi="Arial" w:hint="eastAsia"/>
          <w:color w:val="000000"/>
          <w:sz w:val="21"/>
          <w:szCs w:val="21"/>
        </w:rPr>
        <w:t>，其中住宅销售面积</w:t>
      </w:r>
      <w:r w:rsidRPr="00454720">
        <w:rPr>
          <w:rFonts w:ascii="Arial" w:hAnsi="Arial" w:hint="eastAsia"/>
          <w:color w:val="000000"/>
          <w:sz w:val="21"/>
          <w:szCs w:val="21"/>
        </w:rPr>
        <w:t>491.7</w:t>
      </w:r>
      <w:r w:rsidRPr="00454720">
        <w:rPr>
          <w:rFonts w:ascii="Arial" w:hAnsi="Arial" w:hint="eastAsia"/>
          <w:color w:val="000000"/>
          <w:sz w:val="21"/>
          <w:szCs w:val="21"/>
        </w:rPr>
        <w:t>万平方米，下降</w:t>
      </w:r>
      <w:r w:rsidRPr="00454720">
        <w:rPr>
          <w:rFonts w:ascii="Arial" w:hAnsi="Arial" w:hint="eastAsia"/>
          <w:color w:val="000000"/>
          <w:sz w:val="21"/>
          <w:szCs w:val="21"/>
        </w:rPr>
        <w:t>8.2%</w:t>
      </w:r>
      <w:r w:rsidRPr="00454720">
        <w:rPr>
          <w:rFonts w:ascii="Arial" w:hAnsi="Arial" w:hint="eastAsia"/>
          <w:color w:val="000000"/>
          <w:sz w:val="21"/>
          <w:szCs w:val="21"/>
        </w:rPr>
        <w:t>，住宅中的纯商品住宅销售面积增长</w:t>
      </w:r>
      <w:r w:rsidRPr="00454720">
        <w:rPr>
          <w:rFonts w:ascii="Arial" w:hAnsi="Arial" w:hint="eastAsia"/>
          <w:color w:val="000000"/>
          <w:sz w:val="21"/>
          <w:szCs w:val="21"/>
        </w:rPr>
        <w:t>20.1%</w:t>
      </w:r>
      <w:r w:rsidRPr="00EC06B5">
        <w:rPr>
          <w:rFonts w:ascii="Arial" w:hAnsi="Arial" w:hint="eastAsia"/>
          <w:color w:val="000000"/>
          <w:sz w:val="21"/>
          <w:szCs w:val="21"/>
        </w:rPr>
        <w:t>。</w:t>
      </w:r>
    </w:p>
    <w:p w14:paraId="5E613DC2" w14:textId="77777777" w:rsidR="00941FE0" w:rsidRPr="00454720"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年前三季度，北京市房地产开发投资同比下降</w:t>
      </w:r>
      <w:r w:rsidRPr="00454720">
        <w:rPr>
          <w:rFonts w:ascii="Arial" w:hAnsi="Arial" w:hint="eastAsia"/>
          <w:color w:val="000000"/>
          <w:sz w:val="21"/>
          <w:szCs w:val="21"/>
        </w:rPr>
        <w:t>13.7%</w:t>
      </w:r>
      <w:r w:rsidRPr="00454720">
        <w:rPr>
          <w:rFonts w:ascii="Arial" w:hAnsi="Arial" w:hint="eastAsia"/>
          <w:color w:val="000000"/>
          <w:sz w:val="21"/>
          <w:szCs w:val="21"/>
        </w:rPr>
        <w:t>，房屋新开工面积</w:t>
      </w:r>
      <w:r w:rsidRPr="00454720">
        <w:rPr>
          <w:rFonts w:ascii="Arial" w:hAnsi="Arial" w:hint="eastAsia"/>
          <w:color w:val="000000"/>
          <w:sz w:val="21"/>
          <w:szCs w:val="21"/>
        </w:rPr>
        <w:t>912</w:t>
      </w:r>
      <w:r w:rsidRPr="00454720">
        <w:rPr>
          <w:rFonts w:ascii="Arial" w:hAnsi="Arial" w:hint="eastAsia"/>
          <w:color w:val="000000"/>
          <w:sz w:val="21"/>
          <w:szCs w:val="21"/>
        </w:rPr>
        <w:t>万平方米，同比下降</w:t>
      </w:r>
      <w:r w:rsidRPr="00454720">
        <w:rPr>
          <w:rFonts w:ascii="Arial" w:hAnsi="Arial" w:hint="eastAsia"/>
          <w:color w:val="000000"/>
          <w:sz w:val="21"/>
          <w:szCs w:val="21"/>
        </w:rPr>
        <w:t>7.4%</w:t>
      </w:r>
      <w:r w:rsidRPr="00454720">
        <w:rPr>
          <w:rFonts w:ascii="Arial" w:hAnsi="Arial" w:hint="eastAsia"/>
          <w:color w:val="000000"/>
          <w:sz w:val="21"/>
          <w:szCs w:val="21"/>
        </w:rPr>
        <w:t>。其中，住宅新开工面积</w:t>
      </w:r>
      <w:r w:rsidRPr="00454720">
        <w:rPr>
          <w:rFonts w:ascii="Arial" w:hAnsi="Arial" w:hint="eastAsia"/>
          <w:color w:val="000000"/>
          <w:sz w:val="21"/>
          <w:szCs w:val="21"/>
        </w:rPr>
        <w:t>576.6</w:t>
      </w:r>
      <w:r w:rsidRPr="00454720">
        <w:rPr>
          <w:rFonts w:ascii="Arial" w:hAnsi="Arial" w:hint="eastAsia"/>
          <w:color w:val="000000"/>
          <w:sz w:val="21"/>
          <w:szCs w:val="21"/>
        </w:rPr>
        <w:t>万平方米，下降</w:t>
      </w:r>
      <w:r w:rsidRPr="00454720">
        <w:rPr>
          <w:rFonts w:ascii="Arial" w:hAnsi="Arial" w:hint="eastAsia"/>
          <w:color w:val="000000"/>
          <w:sz w:val="21"/>
          <w:szCs w:val="21"/>
        </w:rPr>
        <w:t>6%</w:t>
      </w:r>
      <w:r w:rsidRPr="00454720">
        <w:rPr>
          <w:rFonts w:ascii="Arial" w:hAnsi="Arial" w:hint="eastAsia"/>
          <w:color w:val="000000"/>
          <w:sz w:val="21"/>
          <w:szCs w:val="21"/>
        </w:rPr>
        <w:t>；办公楼</w:t>
      </w:r>
      <w:r w:rsidRPr="00454720">
        <w:rPr>
          <w:rFonts w:ascii="Arial" w:hAnsi="Arial" w:hint="eastAsia"/>
          <w:color w:val="000000"/>
          <w:sz w:val="21"/>
          <w:szCs w:val="21"/>
        </w:rPr>
        <w:t>26.7</w:t>
      </w:r>
      <w:r w:rsidRPr="00454720">
        <w:rPr>
          <w:rFonts w:ascii="Arial" w:hAnsi="Arial" w:hint="eastAsia"/>
          <w:color w:val="000000"/>
          <w:sz w:val="21"/>
          <w:szCs w:val="21"/>
        </w:rPr>
        <w:t>万平方米，增长</w:t>
      </w:r>
      <w:r w:rsidRPr="00454720">
        <w:rPr>
          <w:rFonts w:ascii="Arial" w:hAnsi="Arial" w:hint="eastAsia"/>
          <w:color w:val="000000"/>
          <w:sz w:val="21"/>
          <w:szCs w:val="21"/>
        </w:rPr>
        <w:t>39%</w:t>
      </w:r>
      <w:r w:rsidRPr="00454720">
        <w:rPr>
          <w:rFonts w:ascii="Arial" w:hAnsi="Arial" w:hint="eastAsia"/>
          <w:color w:val="000000"/>
          <w:sz w:val="21"/>
          <w:szCs w:val="21"/>
        </w:rPr>
        <w:t>；商业营业用房</w:t>
      </w:r>
      <w:r w:rsidRPr="00454720">
        <w:rPr>
          <w:rFonts w:ascii="Arial" w:hAnsi="Arial" w:hint="eastAsia"/>
          <w:color w:val="000000"/>
          <w:sz w:val="21"/>
          <w:szCs w:val="21"/>
        </w:rPr>
        <w:t>45.7</w:t>
      </w:r>
      <w:r w:rsidRPr="00454720">
        <w:rPr>
          <w:rFonts w:ascii="Arial" w:hAnsi="Arial" w:hint="eastAsia"/>
          <w:color w:val="000000"/>
          <w:sz w:val="21"/>
          <w:szCs w:val="21"/>
        </w:rPr>
        <w:t>万平方米，增长</w:t>
      </w:r>
      <w:r w:rsidRPr="00454720">
        <w:rPr>
          <w:rFonts w:ascii="Arial" w:hAnsi="Arial" w:hint="eastAsia"/>
          <w:color w:val="000000"/>
          <w:sz w:val="21"/>
          <w:szCs w:val="21"/>
        </w:rPr>
        <w:t>0.3%</w:t>
      </w:r>
      <w:r w:rsidRPr="00454720">
        <w:rPr>
          <w:rFonts w:ascii="Arial" w:hAnsi="Arial" w:hint="eastAsia"/>
          <w:color w:val="000000"/>
          <w:sz w:val="21"/>
          <w:szCs w:val="21"/>
        </w:rPr>
        <w:t>。</w:t>
      </w:r>
    </w:p>
    <w:p w14:paraId="538B18C3"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北京市房屋竣工面积</w:t>
      </w:r>
      <w:r w:rsidRPr="00454720">
        <w:rPr>
          <w:rFonts w:ascii="Arial" w:hAnsi="Arial" w:hint="eastAsia"/>
          <w:color w:val="000000"/>
          <w:sz w:val="21"/>
          <w:szCs w:val="21"/>
        </w:rPr>
        <w:t>787.8</w:t>
      </w:r>
      <w:r w:rsidRPr="00454720">
        <w:rPr>
          <w:rFonts w:ascii="Arial" w:hAnsi="Arial" w:hint="eastAsia"/>
          <w:color w:val="000000"/>
          <w:sz w:val="21"/>
          <w:szCs w:val="21"/>
        </w:rPr>
        <w:t>万平方米，同比增长</w:t>
      </w:r>
      <w:r w:rsidRPr="00454720">
        <w:rPr>
          <w:rFonts w:ascii="Arial" w:hAnsi="Arial" w:hint="eastAsia"/>
          <w:color w:val="000000"/>
          <w:sz w:val="21"/>
          <w:szCs w:val="21"/>
        </w:rPr>
        <w:t>6.1%</w:t>
      </w:r>
      <w:r w:rsidRPr="00454720">
        <w:rPr>
          <w:rFonts w:ascii="Arial" w:hAnsi="Arial" w:hint="eastAsia"/>
          <w:color w:val="000000"/>
          <w:sz w:val="21"/>
          <w:szCs w:val="21"/>
        </w:rPr>
        <w:t>。其中，住宅竣工面积</w:t>
      </w:r>
      <w:r w:rsidRPr="00454720">
        <w:rPr>
          <w:rFonts w:ascii="Arial" w:hAnsi="Arial" w:hint="eastAsia"/>
          <w:color w:val="000000"/>
          <w:sz w:val="21"/>
          <w:szCs w:val="21"/>
        </w:rPr>
        <w:t>403.3</w:t>
      </w:r>
      <w:r w:rsidRPr="00454720">
        <w:rPr>
          <w:rFonts w:ascii="Arial" w:hAnsi="Arial" w:hint="eastAsia"/>
          <w:color w:val="000000"/>
          <w:sz w:val="21"/>
          <w:szCs w:val="21"/>
        </w:rPr>
        <w:t>万平方米，下降</w:t>
      </w:r>
      <w:r w:rsidRPr="00454720">
        <w:rPr>
          <w:rFonts w:ascii="Arial" w:hAnsi="Arial" w:hint="eastAsia"/>
          <w:color w:val="000000"/>
          <w:sz w:val="21"/>
          <w:szCs w:val="21"/>
        </w:rPr>
        <w:t>1.5%</w:t>
      </w:r>
      <w:r w:rsidRPr="00454720">
        <w:rPr>
          <w:rFonts w:ascii="Arial" w:hAnsi="Arial" w:hint="eastAsia"/>
          <w:color w:val="000000"/>
          <w:sz w:val="21"/>
          <w:szCs w:val="21"/>
        </w:rPr>
        <w:t>；办公楼</w:t>
      </w:r>
      <w:r w:rsidRPr="00454720">
        <w:rPr>
          <w:rFonts w:ascii="Arial" w:hAnsi="Arial" w:hint="eastAsia"/>
          <w:color w:val="000000"/>
          <w:sz w:val="21"/>
          <w:szCs w:val="21"/>
        </w:rPr>
        <w:t>23.2</w:t>
      </w:r>
      <w:r w:rsidRPr="00454720">
        <w:rPr>
          <w:rFonts w:ascii="Arial" w:hAnsi="Arial" w:hint="eastAsia"/>
          <w:color w:val="000000"/>
          <w:sz w:val="21"/>
          <w:szCs w:val="21"/>
        </w:rPr>
        <w:t>万平方米，下降</w:t>
      </w:r>
      <w:r w:rsidRPr="00454720">
        <w:rPr>
          <w:rFonts w:ascii="Arial" w:hAnsi="Arial" w:hint="eastAsia"/>
          <w:color w:val="000000"/>
          <w:sz w:val="21"/>
          <w:szCs w:val="21"/>
        </w:rPr>
        <w:t>33%</w:t>
      </w:r>
      <w:r w:rsidRPr="00454720">
        <w:rPr>
          <w:rFonts w:ascii="Arial" w:hAnsi="Arial" w:hint="eastAsia"/>
          <w:color w:val="000000"/>
          <w:sz w:val="21"/>
          <w:szCs w:val="21"/>
        </w:rPr>
        <w:t>；商业营业用房</w:t>
      </w:r>
      <w:r w:rsidRPr="00454720">
        <w:rPr>
          <w:rFonts w:ascii="Arial" w:hAnsi="Arial" w:hint="eastAsia"/>
          <w:color w:val="000000"/>
          <w:sz w:val="21"/>
          <w:szCs w:val="21"/>
        </w:rPr>
        <w:t>78.7</w:t>
      </w:r>
      <w:r w:rsidRPr="00454720">
        <w:rPr>
          <w:rFonts w:ascii="Arial" w:hAnsi="Arial" w:hint="eastAsia"/>
          <w:color w:val="000000"/>
          <w:sz w:val="21"/>
          <w:szCs w:val="21"/>
        </w:rPr>
        <w:t>万平方米，增长</w:t>
      </w:r>
      <w:r w:rsidRPr="00454720">
        <w:rPr>
          <w:rFonts w:ascii="Arial" w:hAnsi="Arial" w:hint="eastAsia"/>
          <w:color w:val="000000"/>
          <w:sz w:val="21"/>
          <w:szCs w:val="21"/>
        </w:rPr>
        <w:t>1.2</w:t>
      </w:r>
      <w:r w:rsidRPr="00454720">
        <w:rPr>
          <w:rFonts w:ascii="Arial" w:hAnsi="Arial" w:hint="eastAsia"/>
          <w:color w:val="000000"/>
          <w:sz w:val="21"/>
          <w:szCs w:val="21"/>
        </w:rPr>
        <w:t>倍</w:t>
      </w:r>
      <w:r w:rsidRPr="00EC06B5">
        <w:rPr>
          <w:rFonts w:ascii="Arial" w:hAnsi="Arial" w:hint="eastAsia"/>
          <w:color w:val="000000"/>
          <w:sz w:val="21"/>
          <w:szCs w:val="21"/>
        </w:rPr>
        <w:t>。</w:t>
      </w:r>
    </w:p>
    <w:p w14:paraId="1A41D027"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lastRenderedPageBreak/>
        <w:t>总的来看，</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r w:rsidRPr="00EC06B5">
        <w:rPr>
          <w:rFonts w:ascii="Arial" w:hAnsi="Arial" w:hint="eastAsia"/>
          <w:color w:val="000000"/>
          <w:sz w:val="21"/>
          <w:szCs w:val="21"/>
        </w:rPr>
        <w:t>。</w:t>
      </w:r>
    </w:p>
    <w:p w14:paraId="69DB1D71" w14:textId="77777777" w:rsidR="00941FE0" w:rsidRPr="00EC06B5" w:rsidRDefault="00941FE0" w:rsidP="00941FE0">
      <w:pPr>
        <w:widowControl/>
        <w:overflowPunct w:val="0"/>
        <w:spacing w:line="480" w:lineRule="auto"/>
        <w:ind w:firstLineChars="200" w:firstLine="420"/>
        <w:jc w:val="both"/>
        <w:textAlignment w:val="auto"/>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16055783" w14:textId="77777777" w:rsidR="00941FE0" w:rsidRPr="00EC06B5" w:rsidRDefault="00941FE0" w:rsidP="00941FE0">
      <w:pPr>
        <w:widowControl/>
        <w:overflowPunct w:val="0"/>
        <w:spacing w:line="480" w:lineRule="auto"/>
        <w:ind w:firstLineChars="200" w:firstLine="420"/>
        <w:jc w:val="both"/>
        <w:textAlignment w:val="auto"/>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65FAFFCC"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北京商品住宅用地共推出</w:t>
      </w:r>
      <w:r w:rsidRPr="00110642">
        <w:rPr>
          <w:rFonts w:ascii="Arial" w:hAnsi="Arial" w:hint="eastAsia"/>
          <w:color w:val="000000"/>
          <w:sz w:val="21"/>
          <w:szCs w:val="21"/>
        </w:rPr>
        <w:t>8</w:t>
      </w:r>
      <w:r w:rsidRPr="00110642">
        <w:rPr>
          <w:rFonts w:ascii="Arial" w:hAnsi="Arial"/>
          <w:color w:val="000000"/>
          <w:sz w:val="21"/>
          <w:szCs w:val="21"/>
        </w:rPr>
        <w:t>宗，累计供应规划建面</w:t>
      </w:r>
      <w:r w:rsidRPr="00110642">
        <w:rPr>
          <w:rFonts w:ascii="Arial" w:hAnsi="Arial" w:hint="eastAsia"/>
          <w:color w:val="000000"/>
          <w:sz w:val="21"/>
          <w:szCs w:val="21"/>
        </w:rPr>
        <w:t>44.96</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w:t>
      </w:r>
      <w:r w:rsidRPr="00110642">
        <w:rPr>
          <w:rFonts w:ascii="Arial" w:hAnsi="Arial" w:hint="eastAsia"/>
          <w:color w:val="000000"/>
          <w:sz w:val="21"/>
          <w:szCs w:val="21"/>
        </w:rPr>
        <w:t>下降</w:t>
      </w:r>
      <w:r w:rsidRPr="00110642">
        <w:rPr>
          <w:rFonts w:ascii="Arial" w:hAnsi="Arial" w:hint="eastAsia"/>
          <w:color w:val="000000"/>
          <w:sz w:val="21"/>
          <w:szCs w:val="21"/>
        </w:rPr>
        <w:t>57.1</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w:t>
      </w:r>
      <w:r w:rsidRPr="00110642">
        <w:rPr>
          <w:rFonts w:ascii="Arial" w:hAnsi="Arial" w:hint="eastAsia"/>
          <w:color w:val="000000"/>
          <w:sz w:val="21"/>
          <w:szCs w:val="21"/>
        </w:rPr>
        <w:t>共</w:t>
      </w:r>
      <w:r w:rsidRPr="00110642">
        <w:rPr>
          <w:rFonts w:ascii="Arial" w:hAnsi="Arial"/>
          <w:color w:val="000000"/>
          <w:sz w:val="21"/>
          <w:szCs w:val="21"/>
        </w:rPr>
        <w:t>成交</w:t>
      </w:r>
      <w:r w:rsidRPr="00110642">
        <w:rPr>
          <w:rFonts w:ascii="Arial" w:hAnsi="Arial" w:hint="eastAsia"/>
          <w:color w:val="000000"/>
          <w:sz w:val="21"/>
          <w:szCs w:val="21"/>
        </w:rPr>
        <w:t>7</w:t>
      </w:r>
      <w:r w:rsidRPr="00110642">
        <w:rPr>
          <w:rFonts w:ascii="Arial" w:hAnsi="Arial"/>
          <w:color w:val="000000"/>
          <w:sz w:val="21"/>
          <w:szCs w:val="21"/>
        </w:rPr>
        <w:t>宗，成交规划建面</w:t>
      </w:r>
      <w:r w:rsidRPr="00110642">
        <w:rPr>
          <w:rFonts w:ascii="Arial" w:hAnsi="Arial" w:hint="eastAsia"/>
          <w:color w:val="000000"/>
          <w:sz w:val="21"/>
          <w:szCs w:val="21"/>
        </w:rPr>
        <w:t>32.01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，同比下降</w:t>
      </w:r>
      <w:r w:rsidRPr="00110642">
        <w:rPr>
          <w:rFonts w:ascii="Arial" w:hAnsi="Arial" w:hint="eastAsia"/>
          <w:color w:val="000000"/>
          <w:sz w:val="21"/>
          <w:szCs w:val="21"/>
        </w:rPr>
        <w:t>70.8</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hint="eastAsia"/>
          <w:color w:val="000000"/>
          <w:sz w:val="21"/>
          <w:szCs w:val="21"/>
        </w:rPr>
        <w:t>土地成交价款合计</w:t>
      </w:r>
      <w:r w:rsidRPr="00110642">
        <w:rPr>
          <w:rFonts w:ascii="Arial" w:hAnsi="Arial" w:hint="eastAsia"/>
          <w:color w:val="000000"/>
          <w:sz w:val="21"/>
          <w:szCs w:val="21"/>
        </w:rPr>
        <w:t>115.77</w:t>
      </w:r>
      <w:r w:rsidRPr="00110642">
        <w:rPr>
          <w:rFonts w:ascii="Arial" w:hAnsi="Arial" w:hint="eastAsia"/>
          <w:color w:val="000000"/>
          <w:sz w:val="21"/>
          <w:szCs w:val="21"/>
        </w:rPr>
        <w:t>亿元，同比下降</w:t>
      </w:r>
      <w:r w:rsidRPr="00110642">
        <w:rPr>
          <w:rFonts w:ascii="Arial" w:hAnsi="Arial" w:hint="eastAsia"/>
          <w:color w:val="000000"/>
          <w:sz w:val="21"/>
          <w:szCs w:val="21"/>
        </w:rPr>
        <w:t>58.7%</w:t>
      </w:r>
      <w:r w:rsidRPr="00110642">
        <w:rPr>
          <w:rFonts w:ascii="Arial" w:hAnsi="Arial" w:hint="eastAsia"/>
          <w:color w:val="000000"/>
          <w:sz w:val="21"/>
          <w:szCs w:val="21"/>
        </w:rPr>
        <w:t>。与上半年相比，三季度土地市场明显转冷，住宅用地供求规模显著下降，除太阳宫地块外，均底价成交</w:t>
      </w:r>
      <w:r w:rsidRPr="00EC06B5">
        <w:rPr>
          <w:rFonts w:ascii="Arial" w:hAnsi="Arial" w:hint="eastAsia"/>
          <w:color w:val="000000"/>
          <w:sz w:val="21"/>
          <w:szCs w:val="21"/>
        </w:rPr>
        <w:t>。</w:t>
      </w:r>
    </w:p>
    <w:p w14:paraId="693432B0" w14:textId="77777777" w:rsidR="00941FE0" w:rsidRPr="00EC06B5" w:rsidRDefault="00941FE0" w:rsidP="00941FE0">
      <w:pPr>
        <w:overflowPunct w:val="0"/>
        <w:spacing w:line="360" w:lineRule="auto"/>
        <w:jc w:val="center"/>
        <w:rPr>
          <w:rFonts w:ascii="Arial" w:eastAsia="仿宋_GB2312" w:hAnsi="Arial"/>
          <w:b/>
          <w:bCs/>
          <w:color w:val="000000"/>
          <w:szCs w:val="24"/>
        </w:rPr>
      </w:pPr>
      <w:r w:rsidRPr="00F85E95">
        <w:rPr>
          <w:noProof/>
        </w:rPr>
        <w:drawing>
          <wp:inline distT="0" distB="0" distL="0" distR="0" wp14:anchorId="0F3311D4" wp14:editId="353FA1BF">
            <wp:extent cx="4530725" cy="244030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30725" cy="2440305"/>
                    </a:xfrm>
                    <a:prstGeom prst="rect">
                      <a:avLst/>
                    </a:prstGeom>
                    <a:noFill/>
                    <a:ln>
                      <a:noFill/>
                    </a:ln>
                  </pic:spPr>
                </pic:pic>
              </a:graphicData>
            </a:graphic>
          </wp:inline>
        </w:drawing>
      </w:r>
    </w:p>
    <w:p w14:paraId="12897444" w14:textId="77777777" w:rsidR="00941FE0" w:rsidRPr="00EC06B5" w:rsidRDefault="00941FE0" w:rsidP="00941FE0">
      <w:pPr>
        <w:widowControl/>
        <w:overflowPunct w:val="0"/>
        <w:spacing w:line="480" w:lineRule="auto"/>
        <w:ind w:firstLineChars="200" w:firstLine="420"/>
        <w:jc w:val="both"/>
        <w:textAlignment w:val="auto"/>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3E3DFE83"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，北京市商品住宅用地中心城区朝阳、丰台累计成交</w:t>
      </w:r>
      <w:r w:rsidRPr="00110642">
        <w:rPr>
          <w:rFonts w:ascii="Arial" w:hAnsi="Arial" w:hint="eastAsia"/>
          <w:color w:val="000000"/>
          <w:sz w:val="21"/>
          <w:szCs w:val="21"/>
        </w:rPr>
        <w:t>3</w:t>
      </w:r>
      <w:r w:rsidRPr="00110642">
        <w:rPr>
          <w:rFonts w:ascii="Arial" w:hAnsi="Arial"/>
          <w:color w:val="000000"/>
          <w:sz w:val="21"/>
          <w:szCs w:val="21"/>
        </w:rPr>
        <w:t>宗宅地，累计成交规划建面</w:t>
      </w:r>
      <w:r w:rsidRPr="00110642">
        <w:rPr>
          <w:rFonts w:ascii="Arial" w:hAnsi="Arial" w:hint="eastAsia"/>
          <w:color w:val="000000"/>
          <w:sz w:val="21"/>
          <w:szCs w:val="21"/>
        </w:rPr>
        <w:t>11.61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w:t>
      </w:r>
      <w:r w:rsidRPr="00110642">
        <w:rPr>
          <w:rFonts w:ascii="Arial" w:hAnsi="Arial" w:hint="eastAsia"/>
          <w:color w:val="000000"/>
          <w:sz w:val="21"/>
          <w:szCs w:val="21"/>
        </w:rPr>
        <w:t>36</w:t>
      </w:r>
      <w:r w:rsidRPr="00110642">
        <w:rPr>
          <w:rFonts w:ascii="Arial" w:hAnsi="Arial"/>
          <w:color w:val="000000"/>
          <w:sz w:val="21"/>
          <w:szCs w:val="21"/>
        </w:rPr>
        <w:t>%</w:t>
      </w:r>
      <w:r w:rsidRPr="00110642">
        <w:rPr>
          <w:rFonts w:ascii="Arial" w:hAnsi="Arial"/>
          <w:color w:val="000000"/>
          <w:sz w:val="21"/>
          <w:szCs w:val="21"/>
        </w:rPr>
        <w:t>，较上年同期增长</w:t>
      </w:r>
      <w:r w:rsidRPr="00110642">
        <w:rPr>
          <w:rFonts w:ascii="Arial" w:hAnsi="Arial" w:hint="eastAsia"/>
          <w:color w:val="000000"/>
          <w:sz w:val="21"/>
          <w:szCs w:val="21"/>
        </w:rPr>
        <w:t>21</w:t>
      </w:r>
      <w:r w:rsidRPr="00110642">
        <w:rPr>
          <w:rFonts w:ascii="Arial" w:hAnsi="Arial"/>
          <w:color w:val="000000"/>
          <w:sz w:val="21"/>
          <w:szCs w:val="21"/>
        </w:rPr>
        <w:t>个百分点。近郊区主要集中在</w:t>
      </w:r>
      <w:r w:rsidRPr="00110642">
        <w:rPr>
          <w:rFonts w:ascii="Arial" w:hAnsi="Arial" w:hint="eastAsia"/>
          <w:color w:val="000000"/>
          <w:sz w:val="21"/>
          <w:szCs w:val="21"/>
        </w:rPr>
        <w:t>昌平、门头沟和</w:t>
      </w:r>
      <w:r w:rsidRPr="00110642">
        <w:rPr>
          <w:rFonts w:ascii="Arial" w:hAnsi="Arial"/>
          <w:color w:val="000000"/>
          <w:sz w:val="21"/>
          <w:szCs w:val="21"/>
        </w:rPr>
        <w:t>顺义，累计成交</w:t>
      </w:r>
      <w:r w:rsidRPr="00110642">
        <w:rPr>
          <w:rFonts w:ascii="Arial" w:hAnsi="Arial" w:hint="eastAsia"/>
          <w:color w:val="000000"/>
          <w:sz w:val="21"/>
          <w:szCs w:val="21"/>
        </w:rPr>
        <w:t>16.78</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，占比为</w:t>
      </w:r>
      <w:r w:rsidRPr="00110642">
        <w:rPr>
          <w:rFonts w:ascii="Arial" w:hAnsi="Arial" w:hint="eastAsia"/>
          <w:color w:val="000000"/>
          <w:sz w:val="21"/>
          <w:szCs w:val="21"/>
        </w:rPr>
        <w:t>52</w:t>
      </w:r>
      <w:r w:rsidRPr="00110642">
        <w:rPr>
          <w:rFonts w:ascii="Arial" w:hAnsi="Arial"/>
          <w:color w:val="000000"/>
          <w:sz w:val="21"/>
          <w:szCs w:val="21"/>
        </w:rPr>
        <w:t>%</w:t>
      </w:r>
      <w:r w:rsidRPr="00110642">
        <w:rPr>
          <w:rFonts w:ascii="Arial" w:hAnsi="Arial"/>
          <w:color w:val="000000"/>
          <w:sz w:val="21"/>
          <w:szCs w:val="21"/>
        </w:rPr>
        <w:t>，较去年同期下降</w:t>
      </w:r>
      <w:r w:rsidRPr="00110642">
        <w:rPr>
          <w:rFonts w:ascii="Arial" w:hAnsi="Arial" w:hint="eastAsia"/>
          <w:color w:val="000000"/>
          <w:sz w:val="21"/>
          <w:szCs w:val="21"/>
        </w:rPr>
        <w:t>33</w:t>
      </w:r>
      <w:r w:rsidRPr="00110642">
        <w:rPr>
          <w:rFonts w:ascii="Arial" w:hAnsi="Arial"/>
          <w:color w:val="000000"/>
          <w:sz w:val="21"/>
          <w:szCs w:val="21"/>
        </w:rPr>
        <w:t>个百分点；</w:t>
      </w:r>
      <w:r w:rsidRPr="00110642">
        <w:rPr>
          <w:rFonts w:ascii="Arial" w:hAnsi="Arial" w:hint="eastAsia"/>
          <w:color w:val="000000"/>
          <w:sz w:val="21"/>
          <w:szCs w:val="21"/>
        </w:rPr>
        <w:t>延庆</w:t>
      </w:r>
      <w:r w:rsidRPr="00110642">
        <w:rPr>
          <w:rFonts w:ascii="Arial" w:hAnsi="Arial"/>
          <w:color w:val="000000"/>
          <w:sz w:val="21"/>
          <w:szCs w:val="21"/>
        </w:rPr>
        <w:t>区成交</w:t>
      </w:r>
      <w:r w:rsidRPr="00110642">
        <w:rPr>
          <w:rFonts w:ascii="Arial" w:hAnsi="Arial" w:hint="eastAsia"/>
          <w:color w:val="000000"/>
          <w:sz w:val="21"/>
          <w:szCs w:val="21"/>
        </w:rPr>
        <w:t>1</w:t>
      </w:r>
      <w:r w:rsidRPr="00110642">
        <w:rPr>
          <w:rFonts w:ascii="Arial" w:hAnsi="Arial" w:hint="eastAsia"/>
          <w:color w:val="000000"/>
          <w:sz w:val="21"/>
          <w:szCs w:val="21"/>
        </w:rPr>
        <w:t>宗宅地，占比</w:t>
      </w:r>
      <w:r w:rsidRPr="00110642">
        <w:rPr>
          <w:rFonts w:ascii="Arial" w:hAnsi="Arial" w:hint="eastAsia"/>
          <w:color w:val="000000"/>
          <w:sz w:val="21"/>
          <w:szCs w:val="21"/>
        </w:rPr>
        <w:t>11%</w:t>
      </w:r>
      <w:r w:rsidRPr="00EC06B5">
        <w:rPr>
          <w:rFonts w:ascii="Arial" w:hAnsi="Arial" w:hint="eastAsia"/>
          <w:color w:val="000000"/>
          <w:sz w:val="21"/>
          <w:szCs w:val="21"/>
        </w:rPr>
        <w:t>。</w:t>
      </w:r>
    </w:p>
    <w:p w14:paraId="6B59CF10" w14:textId="77777777" w:rsidR="00941FE0" w:rsidRPr="00EC06B5" w:rsidRDefault="00941FE0" w:rsidP="00941FE0">
      <w:pPr>
        <w:overflowPunct w:val="0"/>
        <w:spacing w:line="360" w:lineRule="auto"/>
        <w:jc w:val="center"/>
        <w:textAlignment w:val="auto"/>
        <w:rPr>
          <w:rFonts w:ascii="Arial" w:eastAsia="仿宋_GB2312" w:hAnsi="Arial"/>
          <w:bCs/>
          <w:color w:val="000000"/>
          <w:sz w:val="28"/>
          <w:szCs w:val="28"/>
        </w:rPr>
      </w:pPr>
      <w:r w:rsidRPr="00F85E95">
        <w:rPr>
          <w:noProof/>
        </w:rPr>
        <w:lastRenderedPageBreak/>
        <w:drawing>
          <wp:inline distT="0" distB="0" distL="0" distR="0" wp14:anchorId="652CEAE9" wp14:editId="073CD446">
            <wp:extent cx="5908040" cy="2950845"/>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8040" cy="2950845"/>
                    </a:xfrm>
                    <a:prstGeom prst="rect">
                      <a:avLst/>
                    </a:prstGeom>
                    <a:noFill/>
                    <a:ln>
                      <a:noFill/>
                    </a:ln>
                  </pic:spPr>
                </pic:pic>
              </a:graphicData>
            </a:graphic>
          </wp:inline>
        </w:drawing>
      </w:r>
    </w:p>
    <w:p w14:paraId="6F699318" w14:textId="77777777" w:rsidR="00941FE0" w:rsidRPr="00DF712D" w:rsidRDefault="00941FE0" w:rsidP="00941FE0">
      <w:pPr>
        <w:widowControl/>
        <w:overflowPunct w:val="0"/>
        <w:spacing w:line="480" w:lineRule="auto"/>
        <w:ind w:firstLineChars="200" w:firstLine="420"/>
        <w:jc w:val="both"/>
        <w:textAlignment w:val="auto"/>
        <w:rPr>
          <w:rFonts w:ascii="Arial" w:hAnsi="Arial"/>
          <w:sz w:val="21"/>
          <w:szCs w:val="28"/>
        </w:rPr>
      </w:pPr>
      <w:r w:rsidRPr="00110642">
        <w:rPr>
          <w:rFonts w:ascii="Arial" w:hAnsi="Arial" w:hint="eastAsia"/>
          <w:color w:val="000000"/>
          <w:sz w:val="21"/>
          <w:szCs w:val="21"/>
        </w:rPr>
        <w:t>从不同区域来看，中心城区成交规模同比下降</w:t>
      </w:r>
      <w:r w:rsidRPr="00110642">
        <w:rPr>
          <w:rFonts w:ascii="Arial" w:hAnsi="Arial" w:hint="eastAsia"/>
          <w:color w:val="000000"/>
          <w:sz w:val="21"/>
          <w:szCs w:val="21"/>
        </w:rPr>
        <w:t>31%</w:t>
      </w:r>
      <w:r w:rsidRPr="00110642">
        <w:rPr>
          <w:rFonts w:ascii="Arial" w:hAnsi="Arial" w:hint="eastAsia"/>
          <w:color w:val="000000"/>
          <w:sz w:val="21"/>
          <w:szCs w:val="21"/>
        </w:rPr>
        <w:t>，其中东城、海淀无成交；近郊区成交规模同比下降</w:t>
      </w:r>
      <w:r w:rsidRPr="00110642">
        <w:rPr>
          <w:rFonts w:ascii="Arial" w:hAnsi="Arial" w:hint="eastAsia"/>
          <w:color w:val="000000"/>
          <w:sz w:val="21"/>
          <w:szCs w:val="21"/>
        </w:rPr>
        <w:t>82%</w:t>
      </w:r>
      <w:r w:rsidRPr="00110642">
        <w:rPr>
          <w:rFonts w:ascii="Arial" w:hAnsi="Arial" w:hint="eastAsia"/>
          <w:color w:val="000000"/>
          <w:sz w:val="21"/>
          <w:szCs w:val="21"/>
        </w:rPr>
        <w:t>，其中大兴、房山、通州均无住宅用地成交，顺义同比下降</w:t>
      </w:r>
      <w:r w:rsidRPr="00110642">
        <w:rPr>
          <w:rFonts w:ascii="Arial" w:hAnsi="Arial" w:hint="eastAsia"/>
          <w:color w:val="000000"/>
          <w:sz w:val="21"/>
          <w:szCs w:val="21"/>
        </w:rPr>
        <w:t>80%</w:t>
      </w:r>
      <w:r w:rsidRPr="00110642">
        <w:rPr>
          <w:rFonts w:ascii="Arial" w:hAnsi="Arial" w:hint="eastAsia"/>
          <w:color w:val="000000"/>
          <w:sz w:val="21"/>
          <w:szCs w:val="21"/>
        </w:rPr>
        <w:t>，门头沟和昌平同比分别下降</w:t>
      </w:r>
      <w:r w:rsidRPr="00110642">
        <w:rPr>
          <w:rFonts w:ascii="Arial" w:hAnsi="Arial" w:hint="eastAsia"/>
          <w:color w:val="000000"/>
          <w:sz w:val="21"/>
          <w:szCs w:val="21"/>
        </w:rPr>
        <w:t>52%</w:t>
      </w:r>
      <w:r w:rsidRPr="00110642">
        <w:rPr>
          <w:rFonts w:ascii="Arial" w:hAnsi="Arial" w:hint="eastAsia"/>
          <w:color w:val="000000"/>
          <w:sz w:val="21"/>
          <w:szCs w:val="21"/>
        </w:rPr>
        <w:t>和</w:t>
      </w:r>
      <w:r w:rsidRPr="00110642">
        <w:rPr>
          <w:rFonts w:ascii="Arial" w:hAnsi="Arial" w:hint="eastAsia"/>
          <w:color w:val="000000"/>
          <w:sz w:val="21"/>
          <w:szCs w:val="21"/>
        </w:rPr>
        <w:t>42%</w:t>
      </w:r>
      <w:r w:rsidRPr="00DF712D">
        <w:rPr>
          <w:rFonts w:ascii="Arial" w:hAnsi="Arial" w:hint="eastAsia"/>
          <w:sz w:val="21"/>
          <w:szCs w:val="28"/>
        </w:rPr>
        <w:t>。</w:t>
      </w:r>
    </w:p>
    <w:p w14:paraId="403CEA58" w14:textId="77777777" w:rsidR="00941FE0" w:rsidRPr="00EC06B5" w:rsidRDefault="00941FE0" w:rsidP="00941FE0">
      <w:pPr>
        <w:widowControl/>
        <w:overflowPunct w:val="0"/>
        <w:spacing w:line="480" w:lineRule="auto"/>
        <w:jc w:val="center"/>
        <w:textAlignment w:val="auto"/>
        <w:rPr>
          <w:noProof/>
        </w:rPr>
      </w:pPr>
      <w:r w:rsidRPr="00F85E95">
        <w:rPr>
          <w:noProof/>
        </w:rPr>
        <w:drawing>
          <wp:inline distT="0" distB="0" distL="0" distR="0" wp14:anchorId="43A83CEC" wp14:editId="28360C1E">
            <wp:extent cx="4269105" cy="368744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69105" cy="3687445"/>
                    </a:xfrm>
                    <a:prstGeom prst="rect">
                      <a:avLst/>
                    </a:prstGeom>
                    <a:noFill/>
                    <a:ln>
                      <a:noFill/>
                    </a:ln>
                  </pic:spPr>
                </pic:pic>
              </a:graphicData>
            </a:graphic>
          </wp:inline>
        </w:drawing>
      </w:r>
    </w:p>
    <w:p w14:paraId="7BF6F7B9" w14:textId="77777777" w:rsidR="00941FE0" w:rsidRPr="00EC06B5" w:rsidRDefault="00941FE0" w:rsidP="00941FE0">
      <w:pPr>
        <w:overflowPunct w:val="0"/>
        <w:spacing w:line="480" w:lineRule="auto"/>
        <w:ind w:firstLineChars="200" w:firstLine="420"/>
        <w:jc w:val="both"/>
        <w:textAlignment w:val="auto"/>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4C8A7888" w14:textId="77777777" w:rsidR="00941FE0" w:rsidRPr="00364904" w:rsidRDefault="00941FE0" w:rsidP="00941FE0">
      <w:pPr>
        <w:widowControl/>
        <w:overflowPunct w:val="0"/>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lastRenderedPageBreak/>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，在</w:t>
      </w:r>
      <w:r w:rsidRPr="00364904">
        <w:rPr>
          <w:rFonts w:ascii="Arial" w:hAnsi="Arial" w:hint="eastAsia"/>
          <w:color w:val="000000"/>
          <w:sz w:val="21"/>
          <w:szCs w:val="21"/>
        </w:rPr>
        <w:t>朝阳太阳宫、呼家楼以及丰台岳各庄</w:t>
      </w:r>
      <w:r w:rsidRPr="00364904">
        <w:rPr>
          <w:rFonts w:ascii="Arial" w:hAnsi="Arial"/>
          <w:color w:val="000000"/>
          <w:sz w:val="21"/>
          <w:szCs w:val="21"/>
        </w:rPr>
        <w:t>地块带动下，北京宅地整体成交楼面均价</w:t>
      </w:r>
      <w:r w:rsidRPr="00364904">
        <w:rPr>
          <w:rFonts w:ascii="Arial" w:hAnsi="Arial" w:hint="eastAsia"/>
          <w:color w:val="000000"/>
          <w:sz w:val="21"/>
          <w:szCs w:val="21"/>
        </w:rPr>
        <w:t>36161</w:t>
      </w:r>
      <w:r w:rsidRPr="00364904">
        <w:rPr>
          <w:rFonts w:ascii="Arial" w:hAnsi="Arial"/>
          <w:color w:val="000000"/>
          <w:sz w:val="21"/>
          <w:szCs w:val="21"/>
        </w:rPr>
        <w:t>元</w:t>
      </w:r>
      <w:r w:rsidRPr="00364904">
        <w:rPr>
          <w:rFonts w:ascii="Arial" w:hAnsi="Arial"/>
          <w:color w:val="000000"/>
          <w:sz w:val="21"/>
          <w:szCs w:val="21"/>
        </w:rPr>
        <w:t>/</w:t>
      </w:r>
      <w:r w:rsidRPr="00364904">
        <w:rPr>
          <w:rFonts w:ascii="Arial" w:hAnsi="Arial" w:hint="eastAsia"/>
          <w:color w:val="000000"/>
          <w:sz w:val="21"/>
          <w:szCs w:val="21"/>
        </w:rPr>
        <w:t>平方米</w:t>
      </w:r>
      <w:r w:rsidRPr="00364904">
        <w:rPr>
          <w:rFonts w:ascii="Arial" w:hAnsi="Arial"/>
          <w:color w:val="000000"/>
          <w:sz w:val="21"/>
          <w:szCs w:val="21"/>
        </w:rPr>
        <w:t>，同比增长</w:t>
      </w:r>
      <w:r w:rsidRPr="00364904">
        <w:rPr>
          <w:rFonts w:ascii="Arial" w:hAnsi="Arial" w:hint="eastAsia"/>
          <w:color w:val="000000"/>
          <w:sz w:val="21"/>
          <w:szCs w:val="21"/>
        </w:rPr>
        <w:t>41.4</w:t>
      </w:r>
      <w:r w:rsidRPr="00364904">
        <w:rPr>
          <w:rFonts w:ascii="Arial" w:hAnsi="Arial"/>
          <w:color w:val="000000"/>
          <w:sz w:val="21"/>
          <w:szCs w:val="21"/>
        </w:rPr>
        <w:t>%</w:t>
      </w:r>
      <w:r w:rsidRPr="00364904">
        <w:rPr>
          <w:rFonts w:ascii="Arial" w:hAnsi="Arial"/>
          <w:color w:val="000000"/>
          <w:sz w:val="21"/>
          <w:szCs w:val="21"/>
        </w:rPr>
        <w:t>。溢价率方面，受</w:t>
      </w:r>
      <w:r w:rsidRPr="00364904">
        <w:rPr>
          <w:rFonts w:ascii="Arial" w:hAnsi="Arial" w:hint="eastAsia"/>
          <w:color w:val="000000"/>
          <w:sz w:val="21"/>
          <w:szCs w:val="21"/>
        </w:rPr>
        <w:t>朝阳太阳宫</w:t>
      </w:r>
      <w:r w:rsidRPr="00364904">
        <w:rPr>
          <w:rFonts w:ascii="Arial" w:hAnsi="Arial"/>
          <w:color w:val="000000"/>
          <w:sz w:val="21"/>
          <w:szCs w:val="21"/>
        </w:rPr>
        <w:t>高溢价地块的带动下，</w:t>
      </w:r>
      <w:r w:rsidRPr="00364904">
        <w:rPr>
          <w:rFonts w:ascii="Arial" w:hAnsi="Arial" w:hint="eastAsia"/>
          <w:color w:val="000000"/>
          <w:sz w:val="21"/>
          <w:szCs w:val="21"/>
        </w:rPr>
        <w:t>三季度</w:t>
      </w:r>
      <w:r w:rsidRPr="00364904">
        <w:rPr>
          <w:rFonts w:ascii="Arial" w:hAnsi="Arial"/>
          <w:color w:val="000000"/>
          <w:sz w:val="21"/>
          <w:szCs w:val="21"/>
        </w:rPr>
        <w:t>北京宅地成交溢价率</w:t>
      </w:r>
      <w:r w:rsidRPr="00364904">
        <w:rPr>
          <w:rFonts w:ascii="Arial" w:hAnsi="Arial" w:hint="eastAsia"/>
          <w:color w:val="000000"/>
          <w:sz w:val="21"/>
          <w:szCs w:val="21"/>
        </w:rPr>
        <w:t>11.7</w:t>
      </w:r>
      <w:r w:rsidRPr="00364904">
        <w:rPr>
          <w:rFonts w:ascii="Arial" w:hAnsi="Arial"/>
          <w:color w:val="000000"/>
          <w:sz w:val="21"/>
          <w:szCs w:val="21"/>
        </w:rPr>
        <w:t>%</w:t>
      </w:r>
      <w:r w:rsidRPr="00364904">
        <w:rPr>
          <w:rFonts w:ascii="Arial" w:hAnsi="Arial"/>
          <w:color w:val="000000"/>
          <w:sz w:val="21"/>
          <w:szCs w:val="21"/>
        </w:rPr>
        <w:t>，同比提升</w:t>
      </w:r>
      <w:r w:rsidRPr="00364904">
        <w:rPr>
          <w:rFonts w:ascii="Arial" w:hAnsi="Arial" w:hint="eastAsia"/>
          <w:color w:val="000000"/>
          <w:sz w:val="21"/>
          <w:szCs w:val="21"/>
        </w:rPr>
        <w:t>10.4</w:t>
      </w:r>
      <w:r w:rsidRPr="00364904">
        <w:rPr>
          <w:rFonts w:ascii="Arial" w:hAnsi="Arial"/>
          <w:color w:val="000000"/>
          <w:sz w:val="21"/>
          <w:szCs w:val="21"/>
        </w:rPr>
        <w:t>个百分点。整体来看</w:t>
      </w:r>
      <w:r w:rsidRPr="00364904">
        <w:rPr>
          <w:rFonts w:ascii="Arial" w:hAnsi="Arial" w:hint="eastAsia"/>
          <w:color w:val="000000"/>
          <w:sz w:val="21"/>
          <w:szCs w:val="21"/>
        </w:rPr>
        <w:t>，三季度北京宅地市场热度较低，仅太阳宫地块热度较高，经过超</w:t>
      </w:r>
      <w:r w:rsidRPr="00364904">
        <w:rPr>
          <w:rFonts w:ascii="Arial" w:hAnsi="Arial" w:hint="eastAsia"/>
          <w:color w:val="000000"/>
          <w:sz w:val="21"/>
          <w:szCs w:val="21"/>
        </w:rPr>
        <w:t>330</w:t>
      </w:r>
      <w:r w:rsidRPr="00364904">
        <w:rPr>
          <w:rFonts w:ascii="Arial" w:hAnsi="Arial" w:hint="eastAsia"/>
          <w:color w:val="000000"/>
          <w:sz w:val="21"/>
          <w:szCs w:val="21"/>
        </w:rPr>
        <w:t>轮现场举牌竞价成交，溢价率</w:t>
      </w:r>
      <w:r w:rsidRPr="00364904">
        <w:rPr>
          <w:rFonts w:ascii="Arial" w:hAnsi="Arial" w:hint="eastAsia"/>
          <w:color w:val="000000"/>
          <w:sz w:val="21"/>
          <w:szCs w:val="21"/>
        </w:rPr>
        <w:t>39.18%</w:t>
      </w:r>
      <w:r w:rsidRPr="00364904">
        <w:rPr>
          <w:rFonts w:ascii="Arial" w:hAnsi="Arial"/>
          <w:color w:val="000000"/>
          <w:sz w:val="21"/>
          <w:szCs w:val="21"/>
        </w:rPr>
        <w:t>，</w:t>
      </w:r>
      <w:r w:rsidRPr="00364904">
        <w:rPr>
          <w:rFonts w:ascii="Arial" w:hAnsi="Arial" w:hint="eastAsia"/>
          <w:color w:val="000000"/>
          <w:sz w:val="21"/>
          <w:szCs w:val="21"/>
        </w:rPr>
        <w:t>而其余</w:t>
      </w:r>
      <w:r w:rsidRPr="00364904">
        <w:rPr>
          <w:rFonts w:ascii="Arial" w:hAnsi="Arial" w:hint="eastAsia"/>
          <w:color w:val="000000"/>
          <w:sz w:val="21"/>
          <w:szCs w:val="21"/>
        </w:rPr>
        <w:t>6</w:t>
      </w:r>
      <w:r w:rsidRPr="00364904">
        <w:rPr>
          <w:rFonts w:ascii="Arial" w:hAnsi="Arial"/>
          <w:color w:val="000000"/>
          <w:sz w:val="21"/>
          <w:szCs w:val="21"/>
        </w:rPr>
        <w:t>宗地块</w:t>
      </w:r>
      <w:r w:rsidRPr="00364904">
        <w:rPr>
          <w:rFonts w:ascii="Arial" w:hAnsi="Arial" w:hint="eastAsia"/>
          <w:color w:val="000000"/>
          <w:sz w:val="21"/>
          <w:szCs w:val="21"/>
        </w:rPr>
        <w:t>均</w:t>
      </w:r>
      <w:r w:rsidRPr="00364904">
        <w:rPr>
          <w:rFonts w:ascii="Arial" w:hAnsi="Arial"/>
          <w:color w:val="000000"/>
          <w:sz w:val="21"/>
          <w:szCs w:val="21"/>
        </w:rPr>
        <w:t>以底价成交。</w:t>
      </w:r>
    </w:p>
    <w:p w14:paraId="773ECADA" w14:textId="77777777" w:rsidR="00941FE0" w:rsidRPr="00EC06B5" w:rsidRDefault="00941FE0" w:rsidP="00941FE0">
      <w:pPr>
        <w:spacing w:line="480" w:lineRule="auto"/>
        <w:jc w:val="center"/>
        <w:rPr>
          <w:rFonts w:ascii="Arial" w:hAnsi="Arial" w:cs="Arial"/>
          <w:sz w:val="21"/>
          <w:szCs w:val="21"/>
        </w:rPr>
      </w:pPr>
      <w:r w:rsidRPr="00F85E95">
        <w:rPr>
          <w:noProof/>
        </w:rPr>
        <w:drawing>
          <wp:inline distT="0" distB="0" distL="0" distR="0" wp14:anchorId="3C7BA155" wp14:editId="6DE909D3">
            <wp:extent cx="5908040" cy="331343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8040" cy="3313430"/>
                    </a:xfrm>
                    <a:prstGeom prst="rect">
                      <a:avLst/>
                    </a:prstGeom>
                    <a:noFill/>
                    <a:ln>
                      <a:noFill/>
                    </a:ln>
                  </pic:spPr>
                </pic:pic>
              </a:graphicData>
            </a:graphic>
          </wp:inline>
        </w:drawing>
      </w:r>
    </w:p>
    <w:p w14:paraId="3EF8F80B" w14:textId="77777777" w:rsidR="00941FE0" w:rsidRPr="00EC06B5" w:rsidRDefault="00941FE0" w:rsidP="00941FE0">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705098BB" w14:textId="77777777" w:rsidR="00941FE0" w:rsidRPr="00EC06B5" w:rsidRDefault="00941FE0" w:rsidP="00941FE0">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5F003CDC" w14:textId="77777777" w:rsidR="00941FE0" w:rsidRPr="00EC06B5" w:rsidRDefault="00941FE0" w:rsidP="00941FE0">
      <w:pPr>
        <w:spacing w:line="360" w:lineRule="auto"/>
        <w:ind w:firstLineChars="200" w:firstLine="420"/>
        <w:jc w:val="both"/>
        <w:outlineLvl w:val="0"/>
        <w:rPr>
          <w:rFonts w:ascii="Arial" w:hAnsi="Arial"/>
          <w:sz w:val="21"/>
          <w:szCs w:val="28"/>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北京商品住宅（不含保障</w:t>
      </w:r>
      <w:r w:rsidRPr="00364904">
        <w:rPr>
          <w:rFonts w:ascii="Arial" w:hAnsi="Arial" w:hint="eastAsia"/>
          <w:color w:val="000000"/>
          <w:sz w:val="21"/>
          <w:szCs w:val="21"/>
        </w:rPr>
        <w:t>性住</w:t>
      </w:r>
      <w:r w:rsidRPr="00364904">
        <w:rPr>
          <w:rFonts w:ascii="Arial" w:hAnsi="Arial"/>
          <w:color w:val="000000"/>
          <w:sz w:val="21"/>
          <w:szCs w:val="21"/>
        </w:rPr>
        <w:t>房）累计供应</w:t>
      </w:r>
      <w:r w:rsidRPr="00364904">
        <w:rPr>
          <w:rFonts w:ascii="Arial" w:hAnsi="Arial" w:hint="eastAsia"/>
          <w:color w:val="000000"/>
          <w:sz w:val="21"/>
          <w:szCs w:val="21"/>
        </w:rPr>
        <w:t>100</w:t>
      </w:r>
      <w:r w:rsidRPr="00364904">
        <w:rPr>
          <w:rFonts w:ascii="Arial" w:hAnsi="Arial"/>
          <w:color w:val="000000"/>
          <w:sz w:val="21"/>
          <w:szCs w:val="21"/>
        </w:rPr>
        <w:t>万</w:t>
      </w:r>
      <w:r w:rsidRPr="00364904">
        <w:rPr>
          <w:rFonts w:ascii="Arial" w:hAnsi="Arial" w:hint="eastAsia"/>
          <w:color w:val="000000"/>
          <w:sz w:val="21"/>
          <w:szCs w:val="21"/>
        </w:rPr>
        <w:t>平方米</w:t>
      </w:r>
      <w:r w:rsidRPr="00364904">
        <w:rPr>
          <w:rFonts w:ascii="Arial" w:hAnsi="Arial"/>
          <w:color w:val="000000"/>
          <w:sz w:val="21"/>
          <w:szCs w:val="21"/>
        </w:rPr>
        <w:t>，</w:t>
      </w:r>
      <w:r w:rsidRPr="00364904">
        <w:rPr>
          <w:rFonts w:ascii="Arial" w:hAnsi="Arial" w:hint="eastAsia"/>
          <w:color w:val="000000"/>
          <w:sz w:val="21"/>
          <w:szCs w:val="21"/>
        </w:rPr>
        <w:t>月均供应量居近几年同期低位</w:t>
      </w:r>
      <w:r w:rsidRPr="00364904">
        <w:rPr>
          <w:rFonts w:ascii="Arial" w:hAnsi="Arial"/>
          <w:color w:val="000000"/>
          <w:sz w:val="21"/>
          <w:szCs w:val="21"/>
        </w:rPr>
        <w:t>。</w:t>
      </w:r>
      <w:r w:rsidRPr="00364904">
        <w:rPr>
          <w:rFonts w:ascii="Arial" w:hAnsi="Arial" w:hint="eastAsia"/>
          <w:color w:val="000000"/>
          <w:sz w:val="21"/>
          <w:szCs w:val="21"/>
        </w:rPr>
        <w:t>整体来看，伴随着存量库存的去化，房企入市积极性有所增强，但整体供应量较去年同期仍略有不足。具体来看，</w:t>
      </w:r>
      <w:r w:rsidRPr="00364904">
        <w:rPr>
          <w:rFonts w:ascii="Arial" w:hAnsi="Arial" w:hint="eastAsia"/>
          <w:color w:val="000000"/>
          <w:sz w:val="21"/>
          <w:szCs w:val="21"/>
        </w:rPr>
        <w:t>7</w:t>
      </w:r>
      <w:r w:rsidRPr="00364904">
        <w:rPr>
          <w:rFonts w:ascii="Arial" w:hAnsi="Arial" w:hint="eastAsia"/>
          <w:color w:val="000000"/>
          <w:sz w:val="21"/>
          <w:szCs w:val="21"/>
        </w:rPr>
        <w:t>月，受季节性因素的影响，房企入市积极性明显下滑，新增供应规模月</w:t>
      </w:r>
      <w:r w:rsidRPr="00364904">
        <w:rPr>
          <w:rFonts w:ascii="Arial" w:hAnsi="Arial" w:hint="eastAsia"/>
          <w:color w:val="000000"/>
          <w:sz w:val="21"/>
          <w:szCs w:val="21"/>
        </w:rPr>
        <w:t>18.93</w:t>
      </w:r>
      <w:r w:rsidRPr="00364904">
        <w:rPr>
          <w:rFonts w:ascii="Arial" w:hAnsi="Arial" w:hint="eastAsia"/>
          <w:color w:val="000000"/>
          <w:sz w:val="21"/>
          <w:szCs w:val="21"/>
        </w:rPr>
        <w:t>万平方米，环比减少</w:t>
      </w:r>
      <w:r w:rsidRPr="00364904">
        <w:rPr>
          <w:rFonts w:ascii="Arial" w:hAnsi="Arial" w:hint="eastAsia"/>
          <w:color w:val="000000"/>
          <w:sz w:val="21"/>
          <w:szCs w:val="21"/>
        </w:rPr>
        <w:t>51%</w:t>
      </w:r>
      <w:r w:rsidRPr="00364904">
        <w:rPr>
          <w:rFonts w:ascii="Arial" w:hAnsi="Arial" w:hint="eastAsia"/>
          <w:color w:val="000000"/>
          <w:sz w:val="21"/>
          <w:szCs w:val="21"/>
        </w:rPr>
        <w:t>；</w:t>
      </w:r>
      <w:r w:rsidRPr="00364904">
        <w:rPr>
          <w:rFonts w:ascii="Arial" w:hAnsi="Arial" w:hint="eastAsia"/>
          <w:color w:val="000000"/>
          <w:sz w:val="21"/>
          <w:szCs w:val="21"/>
        </w:rPr>
        <w:t>8</w:t>
      </w:r>
      <w:r w:rsidRPr="00364904">
        <w:rPr>
          <w:rFonts w:ascii="Arial" w:hAnsi="Arial" w:hint="eastAsia"/>
          <w:color w:val="000000"/>
          <w:sz w:val="21"/>
          <w:szCs w:val="21"/>
        </w:rPr>
        <w:t>月新增供应规模约</w:t>
      </w:r>
      <w:r w:rsidRPr="00364904">
        <w:rPr>
          <w:rFonts w:ascii="Arial" w:hAnsi="Arial" w:hint="eastAsia"/>
          <w:color w:val="000000"/>
          <w:sz w:val="21"/>
          <w:szCs w:val="21"/>
        </w:rPr>
        <w:t>18.52</w:t>
      </w:r>
      <w:r w:rsidRPr="00364904">
        <w:rPr>
          <w:rFonts w:ascii="Arial" w:hAnsi="Arial" w:hint="eastAsia"/>
          <w:color w:val="000000"/>
          <w:sz w:val="21"/>
          <w:szCs w:val="21"/>
        </w:rPr>
        <w:t>万平方米，环比减少</w:t>
      </w:r>
      <w:r w:rsidRPr="00364904">
        <w:rPr>
          <w:rFonts w:ascii="Arial" w:hAnsi="Arial" w:hint="eastAsia"/>
          <w:color w:val="000000"/>
          <w:sz w:val="21"/>
          <w:szCs w:val="21"/>
        </w:rPr>
        <w:t>2%</w:t>
      </w:r>
      <w:r w:rsidRPr="00364904">
        <w:rPr>
          <w:rFonts w:ascii="Arial" w:hAnsi="Arial" w:hint="eastAsia"/>
          <w:color w:val="000000"/>
          <w:sz w:val="21"/>
          <w:szCs w:val="21"/>
        </w:rPr>
        <w:t>；</w:t>
      </w:r>
      <w:r w:rsidRPr="00364904">
        <w:rPr>
          <w:rFonts w:ascii="Arial" w:hAnsi="Arial" w:hint="eastAsia"/>
          <w:color w:val="000000"/>
          <w:sz w:val="21"/>
          <w:szCs w:val="21"/>
        </w:rPr>
        <w:t>9</w:t>
      </w:r>
      <w:r w:rsidRPr="00364904">
        <w:rPr>
          <w:rFonts w:ascii="Arial" w:hAnsi="Arial" w:hint="eastAsia"/>
          <w:color w:val="000000"/>
          <w:sz w:val="21"/>
          <w:szCs w:val="21"/>
        </w:rPr>
        <w:t>月，随着“金九银十”行业传统旺季的来临，房企供应节奏有所加快，在中建·运河玖院、首钢璟悦长安、中海瑞文里、建发金茂观宸等项目积极入市带动下，新房供应量环比涨幅达</w:t>
      </w:r>
      <w:r w:rsidRPr="00364904">
        <w:rPr>
          <w:rFonts w:ascii="Arial" w:hAnsi="Arial" w:hint="eastAsia"/>
          <w:color w:val="000000"/>
          <w:sz w:val="21"/>
          <w:szCs w:val="21"/>
        </w:rPr>
        <w:t>239%</w:t>
      </w:r>
      <w:r w:rsidRPr="00364904">
        <w:rPr>
          <w:rFonts w:ascii="Arial" w:hAnsi="Arial" w:hint="eastAsia"/>
          <w:color w:val="000000"/>
          <w:sz w:val="21"/>
          <w:szCs w:val="21"/>
        </w:rPr>
        <w:t>，累计来看，三季度北京商品住宅市场累计供应规模约为</w:t>
      </w:r>
      <w:r w:rsidRPr="00364904">
        <w:rPr>
          <w:rFonts w:ascii="Arial" w:hAnsi="Arial" w:hint="eastAsia"/>
          <w:color w:val="000000"/>
          <w:sz w:val="21"/>
          <w:szCs w:val="21"/>
        </w:rPr>
        <w:t>100.28</w:t>
      </w:r>
      <w:r w:rsidRPr="00364904">
        <w:rPr>
          <w:rFonts w:ascii="Arial" w:hAnsi="Arial" w:hint="eastAsia"/>
          <w:color w:val="000000"/>
          <w:sz w:val="21"/>
          <w:szCs w:val="21"/>
        </w:rPr>
        <w:t>万平方米，同比减少约</w:t>
      </w:r>
      <w:r w:rsidRPr="00364904">
        <w:rPr>
          <w:rFonts w:ascii="Arial" w:hAnsi="Arial" w:hint="eastAsia"/>
          <w:color w:val="000000"/>
          <w:sz w:val="21"/>
          <w:szCs w:val="21"/>
        </w:rPr>
        <w:t>38%</w:t>
      </w:r>
      <w:r w:rsidRPr="00364904">
        <w:rPr>
          <w:rFonts w:ascii="Arial" w:hAnsi="Arial" w:hint="eastAsia"/>
          <w:color w:val="000000"/>
          <w:sz w:val="21"/>
          <w:szCs w:val="21"/>
        </w:rPr>
        <w:t>，环比减少</w:t>
      </w:r>
      <w:r w:rsidRPr="00364904">
        <w:rPr>
          <w:rFonts w:ascii="Arial" w:hAnsi="Arial" w:hint="eastAsia"/>
          <w:color w:val="000000"/>
          <w:sz w:val="21"/>
          <w:szCs w:val="21"/>
        </w:rPr>
        <w:t>9%</w:t>
      </w:r>
      <w:r w:rsidRPr="00EC06B5">
        <w:rPr>
          <w:rFonts w:ascii="Arial" w:hAnsi="Arial"/>
          <w:sz w:val="21"/>
          <w:szCs w:val="28"/>
        </w:rPr>
        <w:t>。</w:t>
      </w:r>
    </w:p>
    <w:p w14:paraId="272BB8BD" w14:textId="77777777" w:rsidR="00941FE0" w:rsidRPr="00EC06B5" w:rsidRDefault="00941FE0" w:rsidP="00941FE0">
      <w:pPr>
        <w:overflowPunct w:val="0"/>
        <w:spacing w:line="480" w:lineRule="auto"/>
        <w:jc w:val="both"/>
        <w:textAlignment w:val="auto"/>
        <w:rPr>
          <w:rFonts w:ascii="Arial" w:hAnsi="Arial"/>
          <w:sz w:val="21"/>
          <w:szCs w:val="28"/>
        </w:rPr>
      </w:pPr>
      <w:r w:rsidRPr="00F85E95">
        <w:rPr>
          <w:noProof/>
        </w:rPr>
        <w:lastRenderedPageBreak/>
        <w:drawing>
          <wp:inline distT="0" distB="0" distL="0" distR="0" wp14:anchorId="202ADC97" wp14:editId="275D46ED">
            <wp:extent cx="5801360" cy="339026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01360" cy="3390265"/>
                    </a:xfrm>
                    <a:prstGeom prst="rect">
                      <a:avLst/>
                    </a:prstGeom>
                    <a:noFill/>
                    <a:ln>
                      <a:noFill/>
                    </a:ln>
                  </pic:spPr>
                </pic:pic>
              </a:graphicData>
            </a:graphic>
          </wp:inline>
        </w:drawing>
      </w:r>
    </w:p>
    <w:p w14:paraId="535AE4F4" w14:textId="77777777" w:rsidR="00941FE0" w:rsidRPr="00364904" w:rsidRDefault="00941FE0" w:rsidP="00941FE0">
      <w:pPr>
        <w:spacing w:line="360" w:lineRule="auto"/>
        <w:ind w:firstLineChars="200" w:firstLine="420"/>
        <w:jc w:val="both"/>
        <w:outlineLvl w:val="0"/>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年三季度北京商品住宅（不含保障房）库存规模同比增加，但仍居近年同期低位。截至</w:t>
      </w:r>
      <w:r w:rsidRPr="00364904">
        <w:rPr>
          <w:rFonts w:ascii="Arial" w:hAnsi="Arial" w:hint="eastAsia"/>
          <w:color w:val="000000"/>
          <w:sz w:val="21"/>
          <w:szCs w:val="21"/>
        </w:rPr>
        <w:t>9</w:t>
      </w:r>
      <w:r w:rsidRPr="00364904">
        <w:rPr>
          <w:rFonts w:ascii="Arial" w:hAnsi="Arial"/>
          <w:color w:val="000000"/>
          <w:sz w:val="21"/>
          <w:szCs w:val="21"/>
        </w:rPr>
        <w:t>月底，北京商品住宅（不含保障房）库存量约为</w:t>
      </w:r>
      <w:r w:rsidRPr="00364904">
        <w:rPr>
          <w:rFonts w:ascii="Arial" w:hAnsi="Arial"/>
          <w:color w:val="000000"/>
          <w:sz w:val="21"/>
          <w:szCs w:val="21"/>
        </w:rPr>
        <w:t>988.72</w:t>
      </w:r>
      <w:r w:rsidRPr="00364904">
        <w:rPr>
          <w:rFonts w:ascii="Arial" w:hAnsi="Arial"/>
          <w:color w:val="000000"/>
          <w:sz w:val="21"/>
          <w:szCs w:val="21"/>
        </w:rPr>
        <w:t>万平方米，较去年同期增加</w:t>
      </w:r>
      <w:r w:rsidRPr="00364904">
        <w:rPr>
          <w:rFonts w:ascii="Arial" w:hAnsi="Arial"/>
          <w:color w:val="000000"/>
          <w:sz w:val="21"/>
          <w:szCs w:val="21"/>
        </w:rPr>
        <w:t>2%</w:t>
      </w:r>
      <w:r w:rsidRPr="00364904">
        <w:rPr>
          <w:rFonts w:ascii="Arial" w:hAnsi="Arial"/>
          <w:color w:val="000000"/>
          <w:sz w:val="21"/>
          <w:szCs w:val="21"/>
        </w:rPr>
        <w:t>；月度来看，近期北京商品住宅市场库存规模整体呈现出小幅回升的趋势，本月市场供求规模基本均衡，库存规模维持平稳。去年</w:t>
      </w:r>
      <w:r w:rsidRPr="00364904">
        <w:rPr>
          <w:rFonts w:ascii="Arial" w:hAnsi="Arial"/>
          <w:color w:val="000000"/>
          <w:sz w:val="21"/>
          <w:szCs w:val="21"/>
        </w:rPr>
        <w:t>930</w:t>
      </w:r>
      <w:r w:rsidRPr="00364904">
        <w:rPr>
          <w:rFonts w:ascii="Arial" w:hAnsi="Arial"/>
          <w:color w:val="000000"/>
          <w:sz w:val="21"/>
          <w:szCs w:val="21"/>
        </w:rPr>
        <w:t>新政后，市场平均</w:t>
      </w:r>
      <w:r w:rsidRPr="00364904">
        <w:rPr>
          <w:rFonts w:ascii="Arial" w:hAnsi="Arial" w:hint="eastAsia"/>
          <w:color w:val="000000"/>
          <w:sz w:val="21"/>
          <w:szCs w:val="21"/>
        </w:rPr>
        <w:t>去化速度明显加快，叠加库存规模的逐步回落，出清周期呈现出明显的下滑趋势；进入</w:t>
      </w:r>
      <w:r w:rsidRPr="00364904">
        <w:rPr>
          <w:rFonts w:ascii="Arial" w:hAnsi="Arial" w:hint="eastAsia"/>
          <w:color w:val="000000"/>
          <w:sz w:val="21"/>
          <w:szCs w:val="21"/>
        </w:rPr>
        <w:t>2025</w:t>
      </w:r>
      <w:r w:rsidRPr="00364904">
        <w:rPr>
          <w:rFonts w:ascii="Arial" w:hAnsi="Arial" w:hint="eastAsia"/>
          <w:color w:val="000000"/>
          <w:sz w:val="21"/>
          <w:szCs w:val="21"/>
        </w:rPr>
        <w:t>年，伴随着需求的逐步释放，市场去化速度放缓，出清周期再次波动回升，截</w:t>
      </w:r>
      <w:r w:rsidRPr="00364904">
        <w:rPr>
          <w:rFonts w:ascii="Arial" w:hAnsi="Arial"/>
          <w:color w:val="000000"/>
          <w:sz w:val="21"/>
          <w:szCs w:val="21"/>
        </w:rPr>
        <w:t>止到</w:t>
      </w:r>
      <w:r w:rsidRPr="00364904">
        <w:rPr>
          <w:rFonts w:ascii="Arial" w:hAnsi="Arial"/>
          <w:color w:val="000000"/>
          <w:sz w:val="21"/>
          <w:szCs w:val="21"/>
        </w:rPr>
        <w:t>9</w:t>
      </w:r>
      <w:r w:rsidRPr="00364904">
        <w:rPr>
          <w:rFonts w:ascii="Arial" w:hAnsi="Arial"/>
          <w:color w:val="000000"/>
          <w:sz w:val="21"/>
          <w:szCs w:val="21"/>
        </w:rPr>
        <w:t>月去化周期回升至</w:t>
      </w:r>
      <w:r w:rsidRPr="00364904">
        <w:rPr>
          <w:rFonts w:ascii="Arial" w:hAnsi="Arial"/>
          <w:color w:val="000000"/>
          <w:sz w:val="21"/>
          <w:szCs w:val="21"/>
        </w:rPr>
        <w:t>23.0</w:t>
      </w:r>
      <w:r w:rsidRPr="00364904">
        <w:rPr>
          <w:rFonts w:ascii="Arial" w:hAnsi="Arial"/>
          <w:color w:val="000000"/>
          <w:sz w:val="21"/>
          <w:szCs w:val="21"/>
        </w:rPr>
        <w:t>个月。</w:t>
      </w:r>
    </w:p>
    <w:p w14:paraId="610E4A9E" w14:textId="77777777" w:rsidR="00941FE0" w:rsidRPr="00EC06B5" w:rsidRDefault="00941FE0" w:rsidP="00941FE0">
      <w:pPr>
        <w:overflowPunct w:val="0"/>
        <w:spacing w:line="480" w:lineRule="auto"/>
        <w:jc w:val="center"/>
        <w:textAlignment w:val="auto"/>
        <w:rPr>
          <w:rFonts w:ascii="Arial" w:hAnsi="Arial"/>
          <w:sz w:val="21"/>
        </w:rPr>
      </w:pPr>
      <w:r w:rsidRPr="00F85E95">
        <w:rPr>
          <w:noProof/>
        </w:rPr>
        <w:drawing>
          <wp:inline distT="0" distB="0" distL="0" distR="0" wp14:anchorId="4076C32C" wp14:editId="272A36FE">
            <wp:extent cx="5902325" cy="1840865"/>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02325" cy="1840865"/>
                    </a:xfrm>
                    <a:prstGeom prst="rect">
                      <a:avLst/>
                    </a:prstGeom>
                    <a:noFill/>
                    <a:ln>
                      <a:noFill/>
                    </a:ln>
                  </pic:spPr>
                </pic:pic>
              </a:graphicData>
            </a:graphic>
          </wp:inline>
        </w:drawing>
      </w:r>
    </w:p>
    <w:p w14:paraId="7C517167" w14:textId="77777777" w:rsidR="00941FE0" w:rsidRPr="00EC06B5" w:rsidRDefault="00941FE0" w:rsidP="00941FE0">
      <w:pPr>
        <w:overflowPunct w:val="0"/>
        <w:spacing w:line="480" w:lineRule="auto"/>
        <w:ind w:firstLineChars="200" w:firstLine="420"/>
        <w:jc w:val="both"/>
        <w:textAlignment w:val="auto"/>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5B786CBC" w14:textId="77777777" w:rsidR="00941FE0" w:rsidRPr="00EC06B5" w:rsidRDefault="00941FE0" w:rsidP="00941FE0">
      <w:pPr>
        <w:tabs>
          <w:tab w:val="left" w:pos="426"/>
        </w:tabs>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）成交量</w:t>
      </w:r>
    </w:p>
    <w:p w14:paraId="35F04CED" w14:textId="77777777" w:rsidR="00941FE0" w:rsidRPr="00EC06B5" w:rsidRDefault="00941FE0" w:rsidP="00941FE0">
      <w:pPr>
        <w:spacing w:line="360" w:lineRule="auto"/>
        <w:ind w:firstLineChars="200" w:firstLine="420"/>
        <w:jc w:val="both"/>
        <w:outlineLvl w:val="0"/>
        <w:rPr>
          <w:rFonts w:ascii="Arial" w:hAnsi="Arial"/>
          <w:sz w:val="21"/>
          <w:szCs w:val="28"/>
        </w:rPr>
      </w:pPr>
      <w:r w:rsidRPr="00DF3576">
        <w:rPr>
          <w:rFonts w:ascii="Arial" w:hAnsi="Arial"/>
          <w:color w:val="000000"/>
          <w:sz w:val="21"/>
          <w:szCs w:val="21"/>
        </w:rPr>
        <w:t>2025</w:t>
      </w:r>
      <w:r w:rsidRPr="00DF3576">
        <w:rPr>
          <w:rFonts w:ascii="Arial" w:hAnsi="Arial"/>
          <w:color w:val="000000"/>
          <w:sz w:val="21"/>
          <w:szCs w:val="21"/>
        </w:rPr>
        <w:t>年三季度北京市场活跃度下滑，成交规模同环比均有所减少。</w:t>
      </w:r>
      <w:r w:rsidRPr="00DF3576">
        <w:rPr>
          <w:rFonts w:ascii="Arial" w:hAnsi="Arial"/>
          <w:color w:val="000000"/>
          <w:sz w:val="21"/>
          <w:szCs w:val="21"/>
        </w:rPr>
        <w:t>2025</w:t>
      </w:r>
      <w:r w:rsidRPr="00DF3576">
        <w:rPr>
          <w:rFonts w:ascii="Arial" w:hAnsi="Arial"/>
          <w:color w:val="000000"/>
          <w:sz w:val="21"/>
          <w:szCs w:val="21"/>
        </w:rPr>
        <w:t>年</w:t>
      </w:r>
      <w:r w:rsidRPr="00DF3576">
        <w:rPr>
          <w:rFonts w:ascii="Arial" w:hAnsi="Arial"/>
          <w:color w:val="000000"/>
          <w:sz w:val="21"/>
          <w:szCs w:val="21"/>
        </w:rPr>
        <w:t>1-9</w:t>
      </w:r>
      <w:r w:rsidRPr="00DF3576">
        <w:rPr>
          <w:rFonts w:ascii="Arial" w:hAnsi="Arial"/>
          <w:color w:val="000000"/>
          <w:sz w:val="21"/>
          <w:szCs w:val="21"/>
        </w:rPr>
        <w:t>月北京新房市场累计成交规模为</w:t>
      </w:r>
      <w:r w:rsidRPr="00DF3576">
        <w:rPr>
          <w:rFonts w:ascii="Arial" w:hAnsi="Arial"/>
          <w:color w:val="000000"/>
          <w:sz w:val="21"/>
          <w:szCs w:val="21"/>
        </w:rPr>
        <w:t>338.49</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，同比增加</w:t>
      </w:r>
      <w:r w:rsidRPr="00DF3576">
        <w:rPr>
          <w:rFonts w:ascii="Arial" w:hAnsi="Arial"/>
          <w:color w:val="000000"/>
          <w:sz w:val="21"/>
          <w:szCs w:val="21"/>
        </w:rPr>
        <w:t>12%</w:t>
      </w:r>
      <w:r w:rsidRPr="00DF3576">
        <w:rPr>
          <w:rFonts w:ascii="Arial" w:hAnsi="Arial"/>
          <w:color w:val="000000"/>
          <w:sz w:val="21"/>
          <w:szCs w:val="21"/>
        </w:rPr>
        <w:t>。其中，三季度来看，北京新房市场活跃度同环比均有所回落，市场活跃度有所下滑，商品住宅累计成交规模约为</w:t>
      </w:r>
      <w:r w:rsidRPr="00DF3576">
        <w:rPr>
          <w:rFonts w:ascii="Arial" w:hAnsi="Arial"/>
          <w:color w:val="000000"/>
          <w:sz w:val="21"/>
          <w:szCs w:val="21"/>
        </w:rPr>
        <w:t>105.73</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，同比减少</w:t>
      </w:r>
      <w:r w:rsidRPr="00DF3576">
        <w:rPr>
          <w:rFonts w:ascii="Arial" w:hAnsi="Arial"/>
          <w:color w:val="000000"/>
          <w:sz w:val="21"/>
          <w:szCs w:val="21"/>
        </w:rPr>
        <w:t>0.1%</w:t>
      </w:r>
      <w:r w:rsidRPr="00DF3576">
        <w:rPr>
          <w:rFonts w:ascii="Arial" w:hAnsi="Arial"/>
          <w:color w:val="000000"/>
          <w:sz w:val="21"/>
          <w:szCs w:val="21"/>
        </w:rPr>
        <w:t>，环比减少</w:t>
      </w:r>
      <w:r w:rsidRPr="00DF3576">
        <w:rPr>
          <w:rFonts w:ascii="Arial" w:hAnsi="Arial"/>
          <w:color w:val="000000"/>
          <w:sz w:val="21"/>
          <w:szCs w:val="21"/>
        </w:rPr>
        <w:t>17%</w:t>
      </w:r>
      <w:r w:rsidRPr="00DF3576">
        <w:rPr>
          <w:rFonts w:ascii="Arial" w:hAnsi="Arial"/>
          <w:color w:val="000000"/>
          <w:sz w:val="21"/>
          <w:szCs w:val="21"/>
        </w:rPr>
        <w:t>。分月度来看，</w:t>
      </w:r>
      <w:r w:rsidRPr="00DF3576">
        <w:rPr>
          <w:rFonts w:ascii="Arial" w:hAnsi="Arial"/>
          <w:color w:val="000000"/>
          <w:sz w:val="21"/>
          <w:szCs w:val="21"/>
        </w:rPr>
        <w:t>7</w:t>
      </w:r>
      <w:r w:rsidRPr="00DF3576">
        <w:rPr>
          <w:rFonts w:ascii="Arial" w:hAnsi="Arial"/>
          <w:color w:val="000000"/>
          <w:sz w:val="21"/>
          <w:szCs w:val="21"/>
        </w:rPr>
        <w:t>月，受季节性因素的影响，成交规模环比明显下滑。</w:t>
      </w:r>
      <w:r w:rsidRPr="00DF3576">
        <w:rPr>
          <w:rFonts w:ascii="Arial" w:hAnsi="Arial"/>
          <w:color w:val="000000"/>
          <w:sz w:val="21"/>
          <w:szCs w:val="21"/>
        </w:rPr>
        <w:t>8</w:t>
      </w:r>
      <w:r w:rsidRPr="00DF3576">
        <w:rPr>
          <w:rFonts w:ascii="Arial" w:hAnsi="Arial"/>
          <w:color w:val="000000"/>
          <w:sz w:val="21"/>
          <w:szCs w:val="21"/>
        </w:rPr>
        <w:t>月</w:t>
      </w:r>
      <w:r w:rsidRPr="00DF3576">
        <w:rPr>
          <w:rFonts w:ascii="Arial" w:hAnsi="Arial"/>
          <w:color w:val="000000"/>
          <w:sz w:val="21"/>
          <w:szCs w:val="21"/>
        </w:rPr>
        <w:t>8</w:t>
      </w:r>
      <w:r w:rsidRPr="00DF3576">
        <w:rPr>
          <w:rFonts w:ascii="Arial" w:hAnsi="Arial"/>
          <w:color w:val="000000"/>
          <w:sz w:val="21"/>
          <w:szCs w:val="21"/>
        </w:rPr>
        <w:t>日，北京</w:t>
      </w:r>
      <w:r w:rsidRPr="00DF3576">
        <w:rPr>
          <w:rFonts w:ascii="Arial" w:hAnsi="Arial"/>
          <w:color w:val="000000"/>
          <w:sz w:val="21"/>
          <w:szCs w:val="21"/>
        </w:rPr>
        <w:lastRenderedPageBreak/>
        <w:t>五环外解除限购同时优化公积金贷款政策，为楼市铺上了防滑垫，当月新房成交量环比略有增长，但鉴于政策力</w:t>
      </w:r>
      <w:r w:rsidRPr="00DF3576">
        <w:rPr>
          <w:rFonts w:ascii="Arial" w:hAnsi="Arial"/>
          <w:color w:val="000000"/>
          <w:sz w:val="21"/>
          <w:szCs w:val="21"/>
        </w:rPr>
        <w:t xml:space="preserve"> </w:t>
      </w:r>
      <w:r w:rsidRPr="00DF3576">
        <w:rPr>
          <w:rFonts w:ascii="Arial" w:hAnsi="Arial"/>
          <w:color w:val="000000"/>
          <w:sz w:val="21"/>
          <w:szCs w:val="21"/>
        </w:rPr>
        <w:t>度较为温和，且</w:t>
      </w:r>
      <w:r w:rsidRPr="00DF3576">
        <w:rPr>
          <w:rFonts w:ascii="Arial" w:hAnsi="Arial"/>
          <w:color w:val="000000"/>
          <w:sz w:val="21"/>
          <w:szCs w:val="21"/>
        </w:rPr>
        <w:t>2024</w:t>
      </w:r>
      <w:r w:rsidRPr="00DF3576">
        <w:rPr>
          <w:rFonts w:ascii="Arial" w:hAnsi="Arial"/>
          <w:color w:val="000000"/>
          <w:sz w:val="21"/>
          <w:szCs w:val="21"/>
        </w:rPr>
        <w:t>年多轮政策优化后需求已有释放，本次新政的边际效果较为有限。</w:t>
      </w:r>
      <w:r w:rsidRPr="00DF3576">
        <w:rPr>
          <w:rFonts w:ascii="Arial" w:hAnsi="Arial"/>
          <w:color w:val="000000"/>
          <w:sz w:val="21"/>
          <w:szCs w:val="21"/>
        </w:rPr>
        <w:t>9</w:t>
      </w:r>
      <w:r w:rsidRPr="00DF3576">
        <w:rPr>
          <w:rFonts w:ascii="Arial" w:hAnsi="Arial"/>
          <w:color w:val="000000"/>
          <w:sz w:val="21"/>
          <w:szCs w:val="21"/>
        </w:rPr>
        <w:t>月，随着</w:t>
      </w:r>
      <w:r w:rsidRPr="00DF3576">
        <w:rPr>
          <w:rFonts w:ascii="Arial" w:hAnsi="Arial"/>
          <w:color w:val="000000"/>
          <w:sz w:val="21"/>
          <w:szCs w:val="21"/>
        </w:rPr>
        <w:t>“</w:t>
      </w:r>
      <w:r w:rsidRPr="00DF3576">
        <w:rPr>
          <w:rFonts w:ascii="Arial" w:hAnsi="Arial"/>
          <w:color w:val="000000"/>
          <w:sz w:val="21"/>
          <w:szCs w:val="21"/>
        </w:rPr>
        <w:t>金九银十</w:t>
      </w:r>
      <w:r w:rsidRPr="00DF3576">
        <w:rPr>
          <w:rFonts w:ascii="Arial" w:hAnsi="Arial"/>
          <w:color w:val="000000"/>
          <w:sz w:val="21"/>
          <w:szCs w:val="21"/>
        </w:rPr>
        <w:t>”</w:t>
      </w:r>
      <w:r w:rsidRPr="00DF3576">
        <w:rPr>
          <w:rFonts w:ascii="Arial" w:hAnsi="Arial"/>
          <w:color w:val="000000"/>
          <w:sz w:val="21"/>
          <w:szCs w:val="21"/>
        </w:rPr>
        <w:t>行业旺季的到来，房企入市意愿增强，供应量环比大增，带动成交规模环比上行</w:t>
      </w:r>
      <w:r w:rsidRPr="00EC06B5">
        <w:rPr>
          <w:rFonts w:ascii="Arial" w:hAnsi="Arial" w:hint="eastAsia"/>
          <w:sz w:val="21"/>
          <w:szCs w:val="28"/>
        </w:rPr>
        <w:t>。</w:t>
      </w:r>
    </w:p>
    <w:p w14:paraId="5EC3F7C3" w14:textId="77777777" w:rsidR="00941FE0" w:rsidRPr="00EC06B5" w:rsidRDefault="00941FE0" w:rsidP="00941FE0">
      <w:pPr>
        <w:overflowPunct w:val="0"/>
        <w:spacing w:line="480" w:lineRule="auto"/>
        <w:jc w:val="both"/>
        <w:textAlignment w:val="auto"/>
        <w:rPr>
          <w:rFonts w:ascii="Arial" w:hAnsi="Arial"/>
          <w:sz w:val="21"/>
        </w:rPr>
      </w:pPr>
      <w:r w:rsidRPr="00F85E95">
        <w:rPr>
          <w:noProof/>
        </w:rPr>
        <w:drawing>
          <wp:inline distT="0" distB="0" distL="0" distR="0" wp14:anchorId="198C771B" wp14:editId="3CC20F91">
            <wp:extent cx="5902325" cy="166878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02325" cy="1668780"/>
                    </a:xfrm>
                    <a:prstGeom prst="rect">
                      <a:avLst/>
                    </a:prstGeom>
                    <a:noFill/>
                    <a:ln>
                      <a:noFill/>
                    </a:ln>
                  </pic:spPr>
                </pic:pic>
              </a:graphicData>
            </a:graphic>
          </wp:inline>
        </w:drawing>
      </w:r>
    </w:p>
    <w:p w14:paraId="1F04E19D" w14:textId="77777777" w:rsidR="00941FE0" w:rsidRPr="00EC06B5" w:rsidRDefault="00941FE0" w:rsidP="00941FE0">
      <w:pPr>
        <w:overflowPunct w:val="0"/>
        <w:spacing w:line="480" w:lineRule="auto"/>
        <w:ind w:firstLineChars="200" w:firstLine="420"/>
        <w:textAlignment w:val="auto"/>
        <w:rPr>
          <w:rFonts w:ascii="Arial" w:hAnsi="Arial"/>
          <w:sz w:val="21"/>
        </w:rPr>
      </w:pPr>
      <w:r w:rsidRPr="00EC06B5">
        <w:rPr>
          <w:rFonts w:ascii="Arial" w:hAnsi="Arial" w:hint="eastAsia"/>
          <w:sz w:val="21"/>
        </w:rPr>
        <w:t>2</w:t>
      </w:r>
      <w:r w:rsidRPr="00EC06B5">
        <w:rPr>
          <w:rFonts w:ascii="Arial" w:hAnsi="Arial" w:hint="eastAsia"/>
          <w:sz w:val="21"/>
        </w:rPr>
        <w:t>）成交价格</w:t>
      </w:r>
    </w:p>
    <w:p w14:paraId="194FFB7C" w14:textId="77777777" w:rsidR="00941FE0" w:rsidRPr="00EC06B5" w:rsidRDefault="00941FE0" w:rsidP="00941FE0">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2C6F8769" w14:textId="77777777" w:rsidR="00941FE0" w:rsidRPr="00EC06B5" w:rsidRDefault="00941FE0" w:rsidP="00941FE0">
      <w:pPr>
        <w:spacing w:line="360" w:lineRule="auto"/>
        <w:ind w:firstLineChars="200" w:firstLine="420"/>
        <w:jc w:val="both"/>
        <w:outlineLvl w:val="0"/>
        <w:rPr>
          <w:rFonts w:ascii="Arial" w:hAnsi="Arial"/>
          <w:sz w:val="21"/>
          <w:szCs w:val="28"/>
        </w:rPr>
      </w:pPr>
      <w:r w:rsidRPr="003E0008">
        <w:rPr>
          <w:rFonts w:ascii="Arial" w:hAnsi="Arial"/>
          <w:color w:val="000000"/>
          <w:sz w:val="21"/>
          <w:szCs w:val="21"/>
        </w:rPr>
        <w:t>受结构性因素的影响，三季度北京商品住宅成交均价创同期新高，累计涨幅底部回升。在房地产市场持续深度调整背景下，房企拿地策略转向理性谨慎，为激活市场活力，主城核心区域密集推出多宗配套成熟、开发潜力突出的优质地块。这些地块的入市直接带动中高端改善型产品供应量显著提升，叠加核心区资源稀缺性及改善需求崛起，推动北京楼市成交均价呈现结构性上涨趋势。</w:t>
      </w:r>
      <w:r w:rsidRPr="003E0008">
        <w:rPr>
          <w:rFonts w:ascii="Arial" w:hAnsi="Arial"/>
          <w:color w:val="000000"/>
          <w:sz w:val="21"/>
          <w:szCs w:val="21"/>
        </w:rPr>
        <w:t>2025</w:t>
      </w:r>
      <w:r w:rsidRPr="003E0008">
        <w:rPr>
          <w:rFonts w:ascii="Arial" w:hAnsi="Arial"/>
          <w:color w:val="000000"/>
          <w:sz w:val="21"/>
          <w:szCs w:val="21"/>
        </w:rPr>
        <w:t>年三季度，中建</w:t>
      </w:r>
      <w:r w:rsidRPr="003E0008">
        <w:rPr>
          <w:rFonts w:ascii="Arial" w:hAnsi="Arial"/>
          <w:color w:val="000000"/>
          <w:sz w:val="21"/>
          <w:szCs w:val="21"/>
        </w:rPr>
        <w:t>·</w:t>
      </w:r>
      <w:r w:rsidRPr="003E0008">
        <w:rPr>
          <w:rFonts w:ascii="Arial" w:hAnsi="Arial"/>
          <w:color w:val="000000"/>
          <w:sz w:val="21"/>
          <w:szCs w:val="21"/>
        </w:rPr>
        <w:t>运河玖院、华润臻云、建发</w:t>
      </w:r>
      <w:r w:rsidRPr="003E0008">
        <w:rPr>
          <w:rFonts w:ascii="Arial" w:hAnsi="Arial"/>
          <w:color w:val="000000"/>
          <w:sz w:val="21"/>
          <w:szCs w:val="21"/>
        </w:rPr>
        <w:t>·</w:t>
      </w:r>
      <w:r w:rsidRPr="003E0008">
        <w:rPr>
          <w:rFonts w:ascii="Arial" w:hAnsi="Arial"/>
          <w:color w:val="000000"/>
          <w:sz w:val="21"/>
          <w:szCs w:val="21"/>
        </w:rPr>
        <w:t>海晏、中海萬吉玖序、融创壹号院等项目热销，带动新房成交均价结构性上涨，商品住宅价格指数为</w:t>
      </w:r>
      <w:r w:rsidRPr="003E0008">
        <w:rPr>
          <w:rFonts w:ascii="Arial" w:hAnsi="Arial"/>
          <w:color w:val="000000"/>
          <w:sz w:val="21"/>
          <w:szCs w:val="21"/>
        </w:rPr>
        <w:t>46511</w:t>
      </w:r>
      <w:r w:rsidRPr="003E0008">
        <w:rPr>
          <w:rFonts w:ascii="Arial" w:hAnsi="Arial"/>
          <w:color w:val="000000"/>
          <w:sz w:val="21"/>
          <w:szCs w:val="21"/>
        </w:rPr>
        <w:t>元</w:t>
      </w:r>
      <w:r w:rsidRPr="003E0008">
        <w:rPr>
          <w:rFonts w:ascii="Arial" w:hAnsi="Arial"/>
          <w:color w:val="000000"/>
          <w:sz w:val="21"/>
          <w:szCs w:val="21"/>
        </w:rPr>
        <w:t>/</w:t>
      </w:r>
      <w:r w:rsidRPr="003E0008">
        <w:rPr>
          <w:rFonts w:ascii="Arial" w:hAnsi="Arial"/>
          <w:color w:val="000000"/>
          <w:sz w:val="21"/>
          <w:szCs w:val="21"/>
        </w:rPr>
        <w:t>平方米，同比上涨</w:t>
      </w:r>
      <w:r w:rsidRPr="003E0008">
        <w:rPr>
          <w:rFonts w:ascii="Arial" w:hAnsi="Arial"/>
          <w:color w:val="000000"/>
          <w:sz w:val="21"/>
          <w:szCs w:val="21"/>
        </w:rPr>
        <w:t>2.4%</w:t>
      </w:r>
      <w:r w:rsidRPr="003E0008">
        <w:rPr>
          <w:rFonts w:ascii="Arial" w:hAnsi="Arial"/>
          <w:color w:val="000000"/>
          <w:sz w:val="21"/>
          <w:szCs w:val="21"/>
        </w:rPr>
        <w:t>，同比涨幅居历史同期高位；累计来看，三季度商品住房价格累计上涨</w:t>
      </w:r>
      <w:r w:rsidRPr="003E0008">
        <w:rPr>
          <w:rFonts w:ascii="Arial" w:hAnsi="Arial"/>
          <w:color w:val="000000"/>
          <w:sz w:val="21"/>
          <w:szCs w:val="21"/>
        </w:rPr>
        <w:t>0.14%</w:t>
      </w:r>
      <w:r w:rsidRPr="003E0008">
        <w:rPr>
          <w:rFonts w:ascii="Arial" w:hAnsi="Arial"/>
          <w:color w:val="000000"/>
          <w:sz w:val="21"/>
          <w:szCs w:val="21"/>
        </w:rPr>
        <w:t>，较去年同期有所改善</w:t>
      </w:r>
      <w:r w:rsidRPr="00EC06B5">
        <w:rPr>
          <w:rFonts w:ascii="Arial" w:hAnsi="Arial"/>
          <w:sz w:val="21"/>
          <w:szCs w:val="28"/>
        </w:rPr>
        <w:t>。</w:t>
      </w:r>
    </w:p>
    <w:p w14:paraId="4DAA85EF" w14:textId="77777777" w:rsidR="00941FE0" w:rsidRPr="00EC06B5" w:rsidRDefault="00941FE0" w:rsidP="00941FE0">
      <w:pPr>
        <w:tabs>
          <w:tab w:val="left" w:pos="426"/>
        </w:tabs>
        <w:overflowPunct w:val="0"/>
        <w:spacing w:line="480" w:lineRule="auto"/>
        <w:jc w:val="center"/>
        <w:textAlignment w:val="auto"/>
        <w:rPr>
          <w:rFonts w:ascii="Arial" w:hAnsi="Arial"/>
          <w:sz w:val="21"/>
          <w:szCs w:val="28"/>
        </w:rPr>
      </w:pPr>
      <w:r w:rsidRPr="00F85E95">
        <w:rPr>
          <w:noProof/>
        </w:rPr>
        <w:drawing>
          <wp:inline distT="0" distB="0" distL="0" distR="0" wp14:anchorId="7BDBEF76" wp14:editId="3F7E6E24">
            <wp:extent cx="5902325" cy="1834515"/>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2325" cy="1834515"/>
                    </a:xfrm>
                    <a:prstGeom prst="rect">
                      <a:avLst/>
                    </a:prstGeom>
                    <a:noFill/>
                    <a:ln>
                      <a:noFill/>
                    </a:ln>
                  </pic:spPr>
                </pic:pic>
              </a:graphicData>
            </a:graphic>
          </wp:inline>
        </w:drawing>
      </w:r>
    </w:p>
    <w:p w14:paraId="21E103E8" w14:textId="77777777" w:rsidR="00941FE0" w:rsidRPr="00EC06B5" w:rsidRDefault="00941FE0" w:rsidP="00941FE0">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505FAC34" w14:textId="77777777" w:rsidR="00941FE0" w:rsidRPr="003E0008" w:rsidRDefault="00941FE0" w:rsidP="00941FE0">
      <w:pPr>
        <w:overflowPunct w:val="0"/>
        <w:spacing w:line="480" w:lineRule="auto"/>
        <w:ind w:firstLineChars="200" w:firstLine="420"/>
        <w:jc w:val="both"/>
        <w:textAlignment w:val="auto"/>
        <w:rPr>
          <w:rFonts w:ascii="Arial" w:hAnsi="Arial"/>
          <w:sz w:val="21"/>
          <w:szCs w:val="28"/>
        </w:rPr>
      </w:pPr>
      <w:r w:rsidRPr="003E0008">
        <w:rPr>
          <w:rFonts w:ascii="Arial" w:hAnsi="Arial"/>
          <w:sz w:val="21"/>
          <w:szCs w:val="28"/>
        </w:rPr>
        <w:t>2025</w:t>
      </w:r>
      <w:r w:rsidRPr="003E0008">
        <w:rPr>
          <w:rFonts w:ascii="Arial" w:hAnsi="Arial"/>
          <w:sz w:val="21"/>
          <w:szCs w:val="28"/>
        </w:rPr>
        <w:t>年三季度，</w:t>
      </w:r>
      <w:r w:rsidRPr="003E0008">
        <w:rPr>
          <w:rFonts w:ascii="Arial" w:hAnsi="Arial"/>
          <w:sz w:val="21"/>
          <w:szCs w:val="28"/>
        </w:rPr>
        <w:t>90-200</w:t>
      </w:r>
      <w:r w:rsidRPr="003E0008">
        <w:rPr>
          <w:rFonts w:ascii="Arial" w:hAnsi="Arial" w:hint="eastAsia"/>
          <w:sz w:val="21"/>
          <w:szCs w:val="28"/>
        </w:rPr>
        <w:t>平方米</w:t>
      </w:r>
      <w:r w:rsidRPr="003E0008">
        <w:rPr>
          <w:rFonts w:ascii="Arial" w:hAnsi="Arial"/>
          <w:sz w:val="21"/>
          <w:szCs w:val="28"/>
        </w:rPr>
        <w:t>面积段的刚改和改善型产品成交占比提升明显，成交套数占比达</w:t>
      </w:r>
      <w:r w:rsidRPr="003E0008">
        <w:rPr>
          <w:rFonts w:ascii="Arial" w:hAnsi="Arial"/>
          <w:sz w:val="21"/>
          <w:szCs w:val="28"/>
        </w:rPr>
        <w:t xml:space="preserve"> 71.1%</w:t>
      </w:r>
      <w:r w:rsidRPr="003E0008">
        <w:rPr>
          <w:rFonts w:ascii="Arial" w:hAnsi="Arial"/>
          <w:sz w:val="21"/>
          <w:szCs w:val="28"/>
        </w:rPr>
        <w:t>，占比提升</w:t>
      </w:r>
      <w:r w:rsidRPr="003E0008">
        <w:rPr>
          <w:rFonts w:ascii="Arial" w:hAnsi="Arial"/>
          <w:sz w:val="21"/>
          <w:szCs w:val="28"/>
        </w:rPr>
        <w:t>5.6</w:t>
      </w:r>
      <w:r w:rsidRPr="003E0008">
        <w:rPr>
          <w:rFonts w:ascii="Arial" w:hAnsi="Arial"/>
          <w:sz w:val="21"/>
          <w:szCs w:val="28"/>
        </w:rPr>
        <w:t>个百分点，中低面积段产品成交占比下滑明显，占比为</w:t>
      </w:r>
      <w:r w:rsidRPr="003E0008">
        <w:rPr>
          <w:rFonts w:ascii="Arial" w:hAnsi="Arial"/>
          <w:sz w:val="21"/>
          <w:szCs w:val="28"/>
        </w:rPr>
        <w:t>21.6%</w:t>
      </w:r>
      <w:r w:rsidRPr="003E0008">
        <w:rPr>
          <w:rFonts w:ascii="Arial" w:hAnsi="Arial"/>
          <w:sz w:val="21"/>
          <w:szCs w:val="28"/>
        </w:rPr>
        <w:t>，同比减少</w:t>
      </w:r>
      <w:r w:rsidRPr="003E0008">
        <w:rPr>
          <w:rFonts w:ascii="Arial" w:hAnsi="Arial"/>
          <w:sz w:val="21"/>
          <w:szCs w:val="28"/>
        </w:rPr>
        <w:t>6.6</w:t>
      </w:r>
      <w:r w:rsidRPr="003E0008">
        <w:rPr>
          <w:rFonts w:ascii="Arial" w:hAnsi="Arial"/>
          <w:sz w:val="21"/>
          <w:szCs w:val="28"/>
        </w:rPr>
        <w:t>个百分点。成交总价段在</w:t>
      </w:r>
      <w:r w:rsidRPr="003E0008">
        <w:rPr>
          <w:rFonts w:ascii="Arial" w:hAnsi="Arial"/>
          <w:sz w:val="21"/>
          <w:szCs w:val="28"/>
        </w:rPr>
        <w:t>500-1200</w:t>
      </w:r>
      <w:r w:rsidRPr="003E0008">
        <w:rPr>
          <w:rFonts w:ascii="Arial" w:hAnsi="Arial"/>
          <w:sz w:val="21"/>
          <w:szCs w:val="28"/>
        </w:rPr>
        <w:t>万</w:t>
      </w:r>
      <w:bookmarkStart w:id="30" w:name="OLE_LINK10"/>
      <w:r w:rsidRPr="003E0008">
        <w:rPr>
          <w:rFonts w:ascii="Arial" w:hAnsi="Arial" w:hint="eastAsia"/>
          <w:sz w:val="21"/>
          <w:szCs w:val="28"/>
        </w:rPr>
        <w:t>元</w:t>
      </w:r>
      <w:bookmarkEnd w:id="30"/>
      <w:r w:rsidRPr="003E0008">
        <w:rPr>
          <w:rFonts w:ascii="Arial" w:hAnsi="Arial"/>
          <w:sz w:val="21"/>
          <w:szCs w:val="28"/>
        </w:rPr>
        <w:t>之间的中高价位段产品成交占比提升较多，较去年同期增加</w:t>
      </w:r>
      <w:r w:rsidRPr="003E0008">
        <w:rPr>
          <w:rFonts w:ascii="Arial" w:hAnsi="Arial"/>
          <w:sz w:val="21"/>
          <w:szCs w:val="28"/>
        </w:rPr>
        <w:lastRenderedPageBreak/>
        <w:t>4.3</w:t>
      </w:r>
      <w:r w:rsidRPr="003E0008">
        <w:rPr>
          <w:rFonts w:ascii="Arial" w:hAnsi="Arial"/>
          <w:sz w:val="21"/>
          <w:szCs w:val="28"/>
        </w:rPr>
        <w:t>个百分点，其中</w:t>
      </w:r>
      <w:r w:rsidRPr="003E0008">
        <w:rPr>
          <w:rFonts w:ascii="Arial" w:hAnsi="Arial"/>
          <w:sz w:val="21"/>
          <w:szCs w:val="28"/>
        </w:rPr>
        <w:t>500-800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之间产品市场占比最高，较去年同期增加</w:t>
      </w:r>
      <w:r w:rsidRPr="003E0008">
        <w:rPr>
          <w:rFonts w:ascii="Arial" w:hAnsi="Arial"/>
          <w:sz w:val="21"/>
          <w:szCs w:val="28"/>
        </w:rPr>
        <w:t>5.0</w:t>
      </w:r>
      <w:r w:rsidRPr="003E0008">
        <w:rPr>
          <w:rFonts w:ascii="Arial" w:hAnsi="Arial"/>
          <w:sz w:val="21"/>
          <w:szCs w:val="28"/>
        </w:rPr>
        <w:t>个百分点；中低总价段产品成交占比下滑幅度较大，占比较去年同</w:t>
      </w:r>
      <w:r w:rsidRPr="003E0008">
        <w:rPr>
          <w:rFonts w:ascii="Arial" w:hAnsi="Arial"/>
          <w:sz w:val="21"/>
          <w:szCs w:val="28"/>
        </w:rPr>
        <w:t xml:space="preserve"> </w:t>
      </w:r>
      <w:r w:rsidRPr="003E0008">
        <w:rPr>
          <w:rFonts w:ascii="Arial" w:hAnsi="Arial"/>
          <w:sz w:val="21"/>
          <w:szCs w:val="28"/>
        </w:rPr>
        <w:t>期减少</w:t>
      </w:r>
      <w:r w:rsidRPr="003E0008">
        <w:rPr>
          <w:rFonts w:ascii="Arial" w:hAnsi="Arial"/>
          <w:sz w:val="21"/>
          <w:szCs w:val="28"/>
        </w:rPr>
        <w:t>7.6</w:t>
      </w:r>
      <w:r w:rsidRPr="003E0008">
        <w:rPr>
          <w:rFonts w:ascii="Arial" w:hAnsi="Arial"/>
          <w:sz w:val="21"/>
          <w:szCs w:val="28"/>
        </w:rPr>
        <w:t>个百分点，其中</w:t>
      </w:r>
      <w:r w:rsidRPr="003E0008">
        <w:rPr>
          <w:rFonts w:ascii="Arial" w:hAnsi="Arial"/>
          <w:sz w:val="21"/>
          <w:szCs w:val="28"/>
        </w:rPr>
        <w:t>300-500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之间产品成交占比下滑明显，较去年同期减少</w:t>
      </w:r>
      <w:r w:rsidRPr="003E0008">
        <w:rPr>
          <w:rFonts w:ascii="Arial" w:hAnsi="Arial"/>
          <w:sz w:val="21"/>
          <w:szCs w:val="28"/>
        </w:rPr>
        <w:t>4.2</w:t>
      </w:r>
      <w:r w:rsidRPr="003E0008">
        <w:rPr>
          <w:rFonts w:ascii="Arial" w:hAnsi="Arial"/>
          <w:sz w:val="21"/>
          <w:szCs w:val="28"/>
        </w:rPr>
        <w:t>个百分点；</w:t>
      </w:r>
      <w:r w:rsidRPr="003E0008">
        <w:rPr>
          <w:rFonts w:ascii="Arial" w:hAnsi="Arial"/>
          <w:sz w:val="21"/>
          <w:szCs w:val="28"/>
        </w:rPr>
        <w:t>300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以下产品成交占比下滑</w:t>
      </w:r>
      <w:r w:rsidRPr="003E0008">
        <w:rPr>
          <w:rFonts w:ascii="Arial" w:hAnsi="Arial"/>
          <w:sz w:val="21"/>
          <w:szCs w:val="28"/>
        </w:rPr>
        <w:t>3.4</w:t>
      </w:r>
      <w:r w:rsidRPr="003E0008">
        <w:rPr>
          <w:rFonts w:ascii="Arial" w:hAnsi="Arial"/>
          <w:sz w:val="21"/>
          <w:szCs w:val="28"/>
        </w:rPr>
        <w:t>个百分点。</w:t>
      </w:r>
    </w:p>
    <w:p w14:paraId="015E2754" w14:textId="77777777" w:rsidR="00941FE0" w:rsidRPr="00522A3F" w:rsidRDefault="00941FE0" w:rsidP="00941FE0">
      <w:pPr>
        <w:overflowPunct w:val="0"/>
        <w:spacing w:line="480" w:lineRule="auto"/>
        <w:ind w:firstLineChars="200" w:firstLine="420"/>
        <w:jc w:val="both"/>
        <w:textAlignment w:val="auto"/>
        <w:rPr>
          <w:rFonts w:ascii="Arial" w:hAnsi="Arial"/>
          <w:sz w:val="21"/>
          <w:szCs w:val="28"/>
        </w:rPr>
      </w:pPr>
      <w:r w:rsidRPr="003E0008">
        <w:rPr>
          <w:rFonts w:ascii="Arial" w:hAnsi="Arial" w:hint="eastAsia"/>
          <w:sz w:val="21"/>
          <w:szCs w:val="28"/>
        </w:rPr>
        <w:t>2025</w:t>
      </w:r>
      <w:r w:rsidRPr="003E0008">
        <w:rPr>
          <w:rFonts w:ascii="Arial" w:hAnsi="Arial" w:hint="eastAsia"/>
          <w:sz w:val="21"/>
          <w:szCs w:val="28"/>
        </w:rPr>
        <w:t>年</w:t>
      </w:r>
      <w:r w:rsidRPr="003E0008">
        <w:rPr>
          <w:rFonts w:ascii="Arial" w:hAnsi="Arial"/>
          <w:sz w:val="21"/>
          <w:szCs w:val="28"/>
        </w:rPr>
        <w:t>三季度，华润臻云、建发</w:t>
      </w:r>
      <w:r w:rsidRPr="003E0008">
        <w:rPr>
          <w:rFonts w:ascii="Arial" w:hAnsi="Arial"/>
          <w:sz w:val="21"/>
          <w:szCs w:val="28"/>
        </w:rPr>
        <w:t>·</w:t>
      </w:r>
      <w:r w:rsidRPr="003E0008">
        <w:rPr>
          <w:rFonts w:ascii="Arial" w:hAnsi="Arial"/>
          <w:sz w:val="21"/>
          <w:szCs w:val="28"/>
        </w:rPr>
        <w:t>海晏、中海萬吉玖序、融创壹号院、金茂满曜、颐海澐颂等高端改善项目热销，均位居全市项目销售金额榜</w:t>
      </w:r>
      <w:r w:rsidRPr="003E0008">
        <w:rPr>
          <w:rFonts w:ascii="Arial" w:hAnsi="Arial"/>
          <w:sz w:val="21"/>
          <w:szCs w:val="28"/>
        </w:rPr>
        <w:t>TOP10</w:t>
      </w:r>
      <w:r w:rsidRPr="003E0008">
        <w:rPr>
          <w:rFonts w:ascii="Arial" w:hAnsi="Arial"/>
          <w:sz w:val="21"/>
          <w:szCs w:val="28"/>
        </w:rPr>
        <w:t>前列，带动中高面积段和高总价产品成交占比出现明显的提升。主要原因一方面是热销项目主力户型位于</w:t>
      </w:r>
      <w:r w:rsidRPr="003E0008">
        <w:rPr>
          <w:rFonts w:ascii="Arial" w:hAnsi="Arial"/>
          <w:sz w:val="21"/>
          <w:szCs w:val="28"/>
        </w:rPr>
        <w:t>120-180</w:t>
      </w:r>
      <w:r w:rsidRPr="003E0008">
        <w:rPr>
          <w:rFonts w:ascii="Arial" w:hAnsi="Arial" w:hint="eastAsia"/>
          <w:sz w:val="21"/>
          <w:szCs w:val="28"/>
        </w:rPr>
        <w:t>平方米</w:t>
      </w:r>
      <w:r w:rsidRPr="003E0008">
        <w:rPr>
          <w:rFonts w:ascii="Arial" w:hAnsi="Arial"/>
          <w:sz w:val="21"/>
          <w:szCs w:val="28"/>
        </w:rPr>
        <w:t>之间；另一方面，入市项目区位优势较为明显，周边产业等配套资源丰富，市场需求支撑度较高，项目成交均价多数均超</w:t>
      </w:r>
      <w:r w:rsidRPr="003E0008">
        <w:rPr>
          <w:rFonts w:ascii="Arial" w:hAnsi="Arial"/>
          <w:sz w:val="21"/>
          <w:szCs w:val="28"/>
        </w:rPr>
        <w:t>10</w:t>
      </w:r>
      <w:r w:rsidRPr="003E0008">
        <w:rPr>
          <w:rFonts w:ascii="Arial" w:hAnsi="Arial"/>
          <w:sz w:val="21"/>
          <w:szCs w:val="28"/>
        </w:rPr>
        <w:t>万元</w:t>
      </w:r>
      <w:r w:rsidRPr="003E0008">
        <w:rPr>
          <w:rFonts w:ascii="Arial" w:hAnsi="Arial"/>
          <w:sz w:val="21"/>
          <w:szCs w:val="28"/>
        </w:rPr>
        <w:t>/</w:t>
      </w:r>
      <w:r w:rsidRPr="003E0008">
        <w:rPr>
          <w:rFonts w:ascii="Arial" w:hAnsi="Arial" w:hint="eastAsia"/>
          <w:sz w:val="21"/>
          <w:szCs w:val="28"/>
        </w:rPr>
        <w:t>平方米</w:t>
      </w:r>
      <w:r w:rsidRPr="00522A3F">
        <w:rPr>
          <w:rFonts w:ascii="Arial" w:hAnsi="Arial"/>
          <w:sz w:val="21"/>
          <w:szCs w:val="28"/>
        </w:rPr>
        <w:t>。</w:t>
      </w:r>
    </w:p>
    <w:p w14:paraId="14176C3A" w14:textId="77777777" w:rsidR="00941FE0" w:rsidRPr="00EC06B5" w:rsidRDefault="00941FE0" w:rsidP="00941FE0">
      <w:pPr>
        <w:overflowPunct w:val="0"/>
        <w:spacing w:line="480" w:lineRule="auto"/>
        <w:jc w:val="center"/>
        <w:textAlignment w:val="auto"/>
      </w:pPr>
      <w:r w:rsidRPr="00F85E95">
        <w:rPr>
          <w:noProof/>
        </w:rPr>
        <w:drawing>
          <wp:inline distT="0" distB="0" distL="0" distR="0" wp14:anchorId="705420AF" wp14:editId="6676CFF5">
            <wp:extent cx="5902325" cy="170434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02325" cy="1704340"/>
                    </a:xfrm>
                    <a:prstGeom prst="rect">
                      <a:avLst/>
                    </a:prstGeom>
                    <a:noFill/>
                    <a:ln>
                      <a:noFill/>
                    </a:ln>
                  </pic:spPr>
                </pic:pic>
              </a:graphicData>
            </a:graphic>
          </wp:inline>
        </w:drawing>
      </w:r>
    </w:p>
    <w:p w14:paraId="619FB513" w14:textId="77777777" w:rsidR="00941FE0" w:rsidRPr="00EC06B5" w:rsidRDefault="00941FE0" w:rsidP="00941FE0">
      <w:pPr>
        <w:overflowPunct w:val="0"/>
        <w:spacing w:line="480" w:lineRule="auto"/>
        <w:ind w:firstLineChars="200" w:firstLine="420"/>
        <w:textAlignment w:val="auto"/>
        <w:rPr>
          <w:rFonts w:ascii="Arial" w:hAnsi="Arial"/>
          <w:sz w:val="21"/>
        </w:rPr>
      </w:pPr>
      <w:r w:rsidRPr="00EC06B5">
        <w:rPr>
          <w:rFonts w:ascii="Arial" w:hAnsi="Arial" w:hint="eastAsia"/>
          <w:sz w:val="21"/>
        </w:rPr>
        <w:t>3</w:t>
      </w:r>
      <w:r w:rsidRPr="00EC06B5">
        <w:rPr>
          <w:rFonts w:ascii="Arial" w:hAnsi="Arial" w:hint="eastAsia"/>
          <w:sz w:val="21"/>
        </w:rPr>
        <w:t>）区域成交</w:t>
      </w:r>
    </w:p>
    <w:p w14:paraId="46F29499" w14:textId="77777777" w:rsidR="00941FE0" w:rsidRPr="00CA28FE" w:rsidRDefault="00941FE0" w:rsidP="00941FE0">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从区域成交规模来看，近郊六区仍为市场成交主力区域，成交规模占比超五成。</w:t>
      </w:r>
      <w:r w:rsidRPr="00CA28FE">
        <w:rPr>
          <w:rFonts w:ascii="Arial" w:hAnsi="Arial"/>
          <w:sz w:val="21"/>
          <w:szCs w:val="28"/>
        </w:rPr>
        <w:t>2025</w:t>
      </w:r>
      <w:r w:rsidRPr="00CA28FE">
        <w:rPr>
          <w:rFonts w:ascii="Arial" w:hAnsi="Arial"/>
          <w:sz w:val="21"/>
          <w:szCs w:val="28"/>
        </w:rPr>
        <w:t>年三季度近郊六区成交</w:t>
      </w:r>
      <w:r w:rsidRPr="00CA28FE">
        <w:rPr>
          <w:rFonts w:ascii="Arial" w:hAnsi="Arial"/>
          <w:sz w:val="21"/>
          <w:szCs w:val="28"/>
        </w:rPr>
        <w:t>56.17</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，占比达</w:t>
      </w:r>
      <w:r w:rsidRPr="00CA28FE">
        <w:rPr>
          <w:rFonts w:ascii="Arial" w:hAnsi="Arial"/>
          <w:sz w:val="21"/>
          <w:szCs w:val="28"/>
        </w:rPr>
        <w:t>53.1%</w:t>
      </w:r>
      <w:r w:rsidRPr="00CA28FE">
        <w:rPr>
          <w:rFonts w:ascii="Arial" w:hAnsi="Arial"/>
          <w:sz w:val="21"/>
          <w:szCs w:val="28"/>
        </w:rPr>
        <w:t>；其中，通州、大兴累计成交占全市的比重均超</w:t>
      </w:r>
      <w:r w:rsidRPr="00CA28FE">
        <w:rPr>
          <w:rFonts w:ascii="Arial" w:hAnsi="Arial"/>
          <w:sz w:val="21"/>
          <w:szCs w:val="28"/>
        </w:rPr>
        <w:t>10%</w:t>
      </w:r>
      <w:r w:rsidRPr="00CA28FE">
        <w:rPr>
          <w:rFonts w:ascii="Arial" w:hAnsi="Arial"/>
          <w:sz w:val="21"/>
          <w:szCs w:val="28"/>
        </w:rPr>
        <w:t>。中心城区累计成交</w:t>
      </w:r>
      <w:r w:rsidRPr="00CA28FE">
        <w:rPr>
          <w:rFonts w:ascii="Arial" w:hAnsi="Arial"/>
          <w:sz w:val="21"/>
          <w:szCs w:val="28"/>
        </w:rPr>
        <w:t>42.36</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，成交占比为</w:t>
      </w:r>
      <w:r w:rsidRPr="00CA28FE">
        <w:rPr>
          <w:rFonts w:ascii="Arial" w:hAnsi="Arial"/>
          <w:sz w:val="21"/>
          <w:szCs w:val="28"/>
        </w:rPr>
        <w:t>40.1%</w:t>
      </w:r>
      <w:r w:rsidRPr="00CA28FE">
        <w:rPr>
          <w:rFonts w:ascii="Arial" w:hAnsi="Arial"/>
          <w:sz w:val="21"/>
          <w:szCs w:val="28"/>
        </w:rPr>
        <w:t>，朝阳、丰台成交规模居前列，成交规模占全市的比重均超</w:t>
      </w:r>
      <w:r w:rsidRPr="00CA28FE">
        <w:rPr>
          <w:rFonts w:ascii="Arial" w:hAnsi="Arial"/>
          <w:sz w:val="21"/>
          <w:szCs w:val="28"/>
        </w:rPr>
        <w:t>10%</w:t>
      </w:r>
      <w:r w:rsidRPr="00CA28FE">
        <w:rPr>
          <w:rFonts w:ascii="Arial" w:hAnsi="Arial"/>
          <w:sz w:val="21"/>
          <w:szCs w:val="28"/>
        </w:rPr>
        <w:t>。</w:t>
      </w:r>
    </w:p>
    <w:p w14:paraId="633B88F2" w14:textId="77777777" w:rsidR="00941FE0" w:rsidRPr="000567E5" w:rsidRDefault="00941FE0" w:rsidP="00941FE0">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从区域成交变化来看，中心城区、远郊区域成交规模增加，近郊区域同比下滑。其中，中心城区同比增加</w:t>
      </w:r>
      <w:r w:rsidRPr="00CA28FE">
        <w:rPr>
          <w:rFonts w:ascii="Arial" w:hAnsi="Arial"/>
          <w:sz w:val="21"/>
          <w:szCs w:val="28"/>
        </w:rPr>
        <w:t>26%</w:t>
      </w:r>
      <w:r w:rsidRPr="00CA28FE">
        <w:rPr>
          <w:rFonts w:ascii="Arial" w:hAnsi="Arial"/>
          <w:sz w:val="21"/>
          <w:szCs w:val="28"/>
        </w:rPr>
        <w:t>，海淀同比增幅超八成，石景山成交同比增加</w:t>
      </w:r>
      <w:r w:rsidRPr="00CA28FE">
        <w:rPr>
          <w:rFonts w:ascii="Arial" w:hAnsi="Arial"/>
          <w:sz w:val="21"/>
          <w:szCs w:val="28"/>
        </w:rPr>
        <w:t>42%</w:t>
      </w:r>
      <w:r w:rsidRPr="00CA28FE">
        <w:rPr>
          <w:rFonts w:ascii="Arial" w:hAnsi="Arial"/>
          <w:sz w:val="21"/>
          <w:szCs w:val="28"/>
        </w:rPr>
        <w:t>，丰台和朝阳成交同比增幅在</w:t>
      </w:r>
      <w:r w:rsidRPr="00CA28FE">
        <w:rPr>
          <w:rFonts w:ascii="Arial" w:hAnsi="Arial"/>
          <w:sz w:val="21"/>
          <w:szCs w:val="28"/>
        </w:rPr>
        <w:t>20%</w:t>
      </w:r>
      <w:r w:rsidRPr="00CA28FE">
        <w:rPr>
          <w:rFonts w:ascii="Arial" w:hAnsi="Arial"/>
          <w:sz w:val="21"/>
          <w:szCs w:val="28"/>
        </w:rPr>
        <w:t>左右，东城区和西城区成交规模同比明显下滑，但基数较小；近郊区域成交同比减少</w:t>
      </w:r>
      <w:r w:rsidRPr="00CA28FE">
        <w:rPr>
          <w:rFonts w:ascii="Arial" w:hAnsi="Arial"/>
          <w:sz w:val="21"/>
          <w:szCs w:val="28"/>
        </w:rPr>
        <w:t>15%</w:t>
      </w:r>
      <w:r w:rsidRPr="00CA28FE">
        <w:rPr>
          <w:rFonts w:ascii="Arial" w:hAnsi="Arial"/>
          <w:sz w:val="21"/>
          <w:szCs w:val="28"/>
        </w:rPr>
        <w:t>，房山和顺义同比领跌，跌幅分别为</w:t>
      </w:r>
      <w:r w:rsidRPr="00CA28FE">
        <w:rPr>
          <w:rFonts w:ascii="Arial" w:hAnsi="Arial"/>
          <w:sz w:val="21"/>
          <w:szCs w:val="28"/>
        </w:rPr>
        <w:t>59%</w:t>
      </w:r>
      <w:r w:rsidRPr="00CA28FE">
        <w:rPr>
          <w:rFonts w:ascii="Arial" w:hAnsi="Arial"/>
          <w:sz w:val="21"/>
          <w:szCs w:val="28"/>
        </w:rPr>
        <w:t>和</w:t>
      </w:r>
      <w:r w:rsidRPr="00CA28FE">
        <w:rPr>
          <w:rFonts w:ascii="Arial" w:hAnsi="Arial"/>
          <w:sz w:val="21"/>
          <w:szCs w:val="28"/>
        </w:rPr>
        <w:t>38%</w:t>
      </w:r>
      <w:r w:rsidRPr="00CA28FE">
        <w:rPr>
          <w:rFonts w:ascii="Arial" w:hAnsi="Arial"/>
          <w:sz w:val="21"/>
          <w:szCs w:val="28"/>
        </w:rPr>
        <w:t>，</w:t>
      </w:r>
      <w:r w:rsidRPr="00CA28FE">
        <w:rPr>
          <w:rFonts w:ascii="Arial" w:hAnsi="Arial"/>
          <w:sz w:val="21"/>
          <w:szCs w:val="28"/>
        </w:rPr>
        <w:t xml:space="preserve"> </w:t>
      </w:r>
      <w:r w:rsidRPr="00CA28FE">
        <w:rPr>
          <w:rFonts w:ascii="Arial" w:hAnsi="Arial"/>
          <w:sz w:val="21"/>
          <w:szCs w:val="28"/>
        </w:rPr>
        <w:t>昌平和大兴成交同比跌幅分别为</w:t>
      </w:r>
      <w:r w:rsidRPr="00CA28FE">
        <w:rPr>
          <w:rFonts w:ascii="Arial" w:hAnsi="Arial"/>
          <w:sz w:val="21"/>
          <w:szCs w:val="28"/>
        </w:rPr>
        <w:t>17%</w:t>
      </w:r>
      <w:r w:rsidRPr="00CA28FE">
        <w:rPr>
          <w:rFonts w:ascii="Arial" w:hAnsi="Arial"/>
          <w:sz w:val="21"/>
          <w:szCs w:val="28"/>
        </w:rPr>
        <w:t>和</w:t>
      </w:r>
      <w:r w:rsidRPr="00CA28FE">
        <w:rPr>
          <w:rFonts w:ascii="Arial" w:hAnsi="Arial"/>
          <w:sz w:val="21"/>
          <w:szCs w:val="28"/>
        </w:rPr>
        <w:t>21%</w:t>
      </w:r>
      <w:r w:rsidRPr="00CA28FE">
        <w:rPr>
          <w:rFonts w:ascii="Arial" w:hAnsi="Arial"/>
          <w:sz w:val="21"/>
          <w:szCs w:val="28"/>
        </w:rPr>
        <w:t>，通州和门头沟成交同比增加；远郊区域成交规模同比增加</w:t>
      </w:r>
      <w:r w:rsidRPr="00CA28FE">
        <w:rPr>
          <w:rFonts w:ascii="Arial" w:hAnsi="Arial"/>
          <w:sz w:val="21"/>
          <w:szCs w:val="28"/>
        </w:rPr>
        <w:t>27%</w:t>
      </w:r>
      <w:r w:rsidRPr="00CA28FE">
        <w:rPr>
          <w:rFonts w:ascii="Arial" w:hAnsi="Arial"/>
          <w:sz w:val="21"/>
          <w:szCs w:val="28"/>
        </w:rPr>
        <w:t>，密云和怀柔增幅明显，平谷和延庆成交同比下跌</w:t>
      </w:r>
      <w:r w:rsidRPr="000567E5">
        <w:rPr>
          <w:rFonts w:ascii="Arial" w:hAnsi="Arial"/>
          <w:sz w:val="21"/>
          <w:szCs w:val="28"/>
        </w:rPr>
        <w:t>。</w:t>
      </w:r>
    </w:p>
    <w:p w14:paraId="7E01A42C" w14:textId="77777777" w:rsidR="00941FE0" w:rsidRPr="00EC06B5" w:rsidRDefault="00941FE0" w:rsidP="00941FE0">
      <w:pPr>
        <w:tabs>
          <w:tab w:val="left" w:pos="0"/>
        </w:tabs>
        <w:overflowPunct w:val="0"/>
        <w:spacing w:line="480" w:lineRule="auto"/>
        <w:jc w:val="center"/>
        <w:textAlignment w:val="auto"/>
        <w:rPr>
          <w:noProof/>
        </w:rPr>
      </w:pPr>
      <w:r w:rsidRPr="00F85E95">
        <w:rPr>
          <w:noProof/>
        </w:rPr>
        <w:lastRenderedPageBreak/>
        <w:drawing>
          <wp:inline distT="0" distB="0" distL="0" distR="0" wp14:anchorId="7714E9E7" wp14:editId="785E4571">
            <wp:extent cx="5908040" cy="1941830"/>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08040" cy="1941830"/>
                    </a:xfrm>
                    <a:prstGeom prst="rect">
                      <a:avLst/>
                    </a:prstGeom>
                    <a:noFill/>
                    <a:ln>
                      <a:noFill/>
                    </a:ln>
                  </pic:spPr>
                </pic:pic>
              </a:graphicData>
            </a:graphic>
          </wp:inline>
        </w:drawing>
      </w:r>
    </w:p>
    <w:p w14:paraId="20041A48" w14:textId="77777777" w:rsidR="00941FE0" w:rsidRPr="00CA28FE" w:rsidRDefault="00941FE0" w:rsidP="00941FE0">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从成交价格来看，</w:t>
      </w:r>
      <w:r w:rsidRPr="00CA28FE">
        <w:rPr>
          <w:rFonts w:ascii="Arial" w:hAnsi="Arial" w:hint="eastAsia"/>
          <w:sz w:val="21"/>
          <w:szCs w:val="28"/>
        </w:rPr>
        <w:t>2025</w:t>
      </w:r>
      <w:r w:rsidRPr="00CA28FE">
        <w:rPr>
          <w:rFonts w:ascii="Arial" w:hAnsi="Arial" w:hint="eastAsia"/>
          <w:sz w:val="21"/>
          <w:szCs w:val="28"/>
        </w:rPr>
        <w:t>年三季度中心城区商品住宅（不含保障房）成交均价最高，整体均价超</w:t>
      </w:r>
      <w:r w:rsidRPr="00CA28FE">
        <w:rPr>
          <w:rFonts w:ascii="Arial" w:hAnsi="Arial" w:hint="eastAsia"/>
          <w:sz w:val="21"/>
          <w:szCs w:val="28"/>
        </w:rPr>
        <w:t>10</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平方米，其中东、西城成交均价均超</w:t>
      </w:r>
      <w:r w:rsidRPr="00CA28FE">
        <w:rPr>
          <w:rFonts w:ascii="Arial" w:hAnsi="Arial" w:hint="eastAsia"/>
          <w:sz w:val="21"/>
          <w:szCs w:val="28"/>
        </w:rPr>
        <w:t>12</w:t>
      </w:r>
      <w:r w:rsidRPr="00CA28FE">
        <w:rPr>
          <w:rFonts w:ascii="Arial" w:hAnsi="Arial" w:hint="eastAsia"/>
          <w:sz w:val="21"/>
          <w:szCs w:val="28"/>
        </w:rPr>
        <w:t>万元</w:t>
      </w:r>
      <w:r w:rsidRPr="00CA28FE">
        <w:rPr>
          <w:rFonts w:ascii="Arial" w:hAnsi="Arial" w:hint="eastAsia"/>
          <w:sz w:val="21"/>
          <w:szCs w:val="28"/>
        </w:rPr>
        <w:t>/</w:t>
      </w:r>
      <w:r w:rsidRPr="00CA28FE">
        <w:rPr>
          <w:rFonts w:ascii="Arial" w:hAnsi="Arial" w:hint="eastAsia"/>
          <w:sz w:val="21"/>
          <w:szCs w:val="28"/>
        </w:rPr>
        <w:t>平方米，远郊区整体成交均价最低，整体均价不足</w:t>
      </w:r>
      <w:r w:rsidRPr="00CA28FE">
        <w:rPr>
          <w:rFonts w:ascii="Arial" w:hAnsi="Arial" w:hint="eastAsia"/>
          <w:sz w:val="21"/>
          <w:szCs w:val="28"/>
        </w:rPr>
        <w:t>3</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平方米，其中密云区成交均价最低，上半年成交均价仅</w:t>
      </w:r>
      <w:r w:rsidRPr="00CA28FE">
        <w:rPr>
          <w:rFonts w:ascii="Arial" w:hAnsi="Arial" w:hint="eastAsia"/>
          <w:sz w:val="21"/>
          <w:szCs w:val="28"/>
        </w:rPr>
        <w:t>18794</w:t>
      </w:r>
      <w:r w:rsidRPr="00CA28FE">
        <w:rPr>
          <w:rFonts w:ascii="Arial" w:hAnsi="Arial" w:hint="eastAsia"/>
          <w:sz w:val="21"/>
          <w:szCs w:val="28"/>
        </w:rPr>
        <w:t>元</w:t>
      </w:r>
      <w:r w:rsidRPr="00CA28FE">
        <w:rPr>
          <w:rFonts w:ascii="Arial" w:hAnsi="Arial" w:hint="eastAsia"/>
          <w:sz w:val="21"/>
          <w:szCs w:val="28"/>
        </w:rPr>
        <w:t>/</w:t>
      </w:r>
      <w:r w:rsidRPr="00CA28FE">
        <w:rPr>
          <w:rFonts w:ascii="Arial" w:hAnsi="Arial" w:hint="eastAsia"/>
          <w:sz w:val="21"/>
          <w:szCs w:val="28"/>
        </w:rPr>
        <w:t>平方米</w:t>
      </w:r>
      <w:r w:rsidRPr="00CA28FE">
        <w:rPr>
          <w:rFonts w:ascii="Arial" w:hAnsi="Arial"/>
          <w:sz w:val="21"/>
          <w:szCs w:val="28"/>
        </w:rPr>
        <w:t>。</w:t>
      </w:r>
    </w:p>
    <w:p w14:paraId="5870FE04" w14:textId="77777777" w:rsidR="00941FE0" w:rsidRPr="000567E5" w:rsidRDefault="00941FE0" w:rsidP="00941FE0">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从价格变化来看，</w:t>
      </w:r>
      <w:r w:rsidRPr="00CA28FE">
        <w:rPr>
          <w:rFonts w:ascii="Arial" w:hAnsi="Arial"/>
          <w:sz w:val="21"/>
          <w:szCs w:val="28"/>
        </w:rPr>
        <w:t>2025</w:t>
      </w:r>
      <w:r w:rsidRPr="00CA28FE">
        <w:rPr>
          <w:rFonts w:ascii="Arial" w:hAnsi="Arial"/>
          <w:sz w:val="21"/>
          <w:szCs w:val="28"/>
        </w:rPr>
        <w:t>年三季度中心城区结构性上涨，近郊区、远郊区房价均有所下跌。其中，中心城区商品住宅成交均价同比上涨</w:t>
      </w:r>
      <w:r w:rsidRPr="00CA28FE">
        <w:rPr>
          <w:rFonts w:ascii="Arial" w:hAnsi="Arial"/>
          <w:sz w:val="21"/>
          <w:szCs w:val="28"/>
        </w:rPr>
        <w:t>7%</w:t>
      </w:r>
      <w:r w:rsidRPr="00CA28FE">
        <w:rPr>
          <w:rFonts w:ascii="Arial" w:hAnsi="Arial"/>
          <w:sz w:val="21"/>
          <w:szCs w:val="28"/>
        </w:rPr>
        <w:t>，海淀区和东城区领涨，同比涨幅分别为</w:t>
      </w:r>
      <w:r w:rsidRPr="00CA28FE">
        <w:rPr>
          <w:rFonts w:ascii="Arial" w:hAnsi="Arial"/>
          <w:sz w:val="21"/>
          <w:szCs w:val="28"/>
        </w:rPr>
        <w:t>26%</w:t>
      </w:r>
      <w:r w:rsidRPr="00CA28FE">
        <w:rPr>
          <w:rFonts w:ascii="Arial" w:hAnsi="Arial"/>
          <w:sz w:val="21"/>
          <w:szCs w:val="28"/>
        </w:rPr>
        <w:t>和</w:t>
      </w:r>
      <w:r w:rsidRPr="00CA28FE">
        <w:rPr>
          <w:rFonts w:ascii="Arial" w:hAnsi="Arial"/>
          <w:sz w:val="21"/>
          <w:szCs w:val="28"/>
        </w:rPr>
        <w:t>20%</w:t>
      </w:r>
      <w:r w:rsidRPr="00CA28FE">
        <w:rPr>
          <w:rFonts w:ascii="Arial" w:hAnsi="Arial"/>
          <w:sz w:val="21"/>
          <w:szCs w:val="28"/>
        </w:rPr>
        <w:t>；近郊区域成交均价同比下跌</w:t>
      </w:r>
      <w:r w:rsidRPr="00CA28FE">
        <w:rPr>
          <w:rFonts w:ascii="Arial" w:hAnsi="Arial"/>
          <w:sz w:val="21"/>
          <w:szCs w:val="28"/>
        </w:rPr>
        <w:t>6%</w:t>
      </w:r>
      <w:r w:rsidRPr="00CA28FE">
        <w:rPr>
          <w:rFonts w:ascii="Arial" w:hAnsi="Arial"/>
          <w:sz w:val="21"/>
          <w:szCs w:val="28"/>
        </w:rPr>
        <w:t>，门头沟和大兴房价下跌明显，同比跌幅均超</w:t>
      </w:r>
      <w:r w:rsidRPr="00CA28FE">
        <w:rPr>
          <w:rFonts w:ascii="Arial" w:hAnsi="Arial"/>
          <w:sz w:val="21"/>
          <w:szCs w:val="28"/>
        </w:rPr>
        <w:t>10%</w:t>
      </w:r>
      <w:r w:rsidRPr="00CA28FE">
        <w:rPr>
          <w:rFonts w:ascii="Arial" w:hAnsi="Arial"/>
          <w:sz w:val="21"/>
          <w:szCs w:val="28"/>
        </w:rPr>
        <w:t>；远郊区域成交均价同比下跌</w:t>
      </w:r>
      <w:r w:rsidRPr="00CA28FE">
        <w:rPr>
          <w:rFonts w:ascii="Arial" w:hAnsi="Arial"/>
          <w:sz w:val="21"/>
          <w:szCs w:val="28"/>
        </w:rPr>
        <w:t>11%</w:t>
      </w:r>
      <w:r w:rsidRPr="00CA28FE">
        <w:rPr>
          <w:rFonts w:ascii="Arial" w:hAnsi="Arial"/>
          <w:sz w:val="21"/>
          <w:szCs w:val="28"/>
        </w:rPr>
        <w:t>，密云和平谷跌幅超</w:t>
      </w:r>
      <w:r w:rsidRPr="00CA28FE">
        <w:rPr>
          <w:rFonts w:ascii="Arial" w:hAnsi="Arial"/>
          <w:sz w:val="21"/>
          <w:szCs w:val="28"/>
        </w:rPr>
        <w:t>20%</w:t>
      </w:r>
      <w:r w:rsidRPr="000567E5">
        <w:rPr>
          <w:rFonts w:ascii="Arial" w:hAnsi="Arial"/>
          <w:sz w:val="21"/>
          <w:szCs w:val="28"/>
        </w:rPr>
        <w:t>。</w:t>
      </w:r>
    </w:p>
    <w:p w14:paraId="01CDD2B2" w14:textId="77777777" w:rsidR="00941FE0" w:rsidRPr="00EC06B5" w:rsidRDefault="00941FE0" w:rsidP="00941FE0">
      <w:pPr>
        <w:widowControl/>
        <w:spacing w:line="360" w:lineRule="auto"/>
        <w:jc w:val="center"/>
        <w:rPr>
          <w:rFonts w:ascii="Arial" w:eastAsia="仿宋_GB2312" w:hAnsi="Arial" w:cs="Arial"/>
          <w:bCs/>
          <w:color w:val="000000"/>
          <w:sz w:val="28"/>
          <w:szCs w:val="28"/>
        </w:rPr>
      </w:pPr>
      <w:r w:rsidRPr="00F85E95">
        <w:rPr>
          <w:noProof/>
        </w:rPr>
        <w:drawing>
          <wp:inline distT="0" distB="0" distL="0" distR="0" wp14:anchorId="539AEA13" wp14:editId="7912B5A3">
            <wp:extent cx="5902325" cy="1983105"/>
            <wp:effectExtent l="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2325" cy="1983105"/>
                    </a:xfrm>
                    <a:prstGeom prst="rect">
                      <a:avLst/>
                    </a:prstGeom>
                    <a:noFill/>
                    <a:ln>
                      <a:noFill/>
                    </a:ln>
                  </pic:spPr>
                </pic:pic>
              </a:graphicData>
            </a:graphic>
          </wp:inline>
        </w:drawing>
      </w:r>
    </w:p>
    <w:p w14:paraId="5018B813" w14:textId="77777777" w:rsidR="00941FE0" w:rsidRPr="00EC06B5" w:rsidRDefault="00941FE0" w:rsidP="00941FE0">
      <w:pPr>
        <w:widowControl/>
        <w:overflowPunct w:val="0"/>
        <w:spacing w:line="480" w:lineRule="auto"/>
        <w:ind w:firstLineChars="200" w:firstLine="420"/>
        <w:jc w:val="both"/>
        <w:textAlignment w:val="auto"/>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5F5AA0B2" w14:textId="77777777" w:rsidR="00941FE0" w:rsidRPr="00EC06B5" w:rsidRDefault="00941FE0" w:rsidP="00941FE0">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32D3BDCF" w14:textId="77777777" w:rsidR="00941FE0" w:rsidRPr="00541D8C" w:rsidRDefault="00941FE0" w:rsidP="00941FE0">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t>2025</w:t>
      </w:r>
      <w:r w:rsidRPr="00541D8C">
        <w:rPr>
          <w:rFonts w:ascii="Arial" w:hAnsi="Arial" w:hint="eastAsia"/>
          <w:sz w:val="21"/>
          <w:szCs w:val="28"/>
        </w:rPr>
        <w:t>年三季度，北京</w:t>
      </w:r>
      <w:bookmarkStart w:id="31" w:name="OLE_LINK11"/>
      <w:r w:rsidRPr="00541D8C">
        <w:rPr>
          <w:rFonts w:ascii="Arial" w:hAnsi="Arial" w:hint="eastAsia"/>
          <w:sz w:val="21"/>
          <w:szCs w:val="28"/>
        </w:rPr>
        <w:t>存量</w:t>
      </w:r>
      <w:bookmarkEnd w:id="31"/>
      <w:r w:rsidRPr="00541D8C">
        <w:rPr>
          <w:rFonts w:ascii="Arial" w:hAnsi="Arial" w:hint="eastAsia"/>
          <w:sz w:val="21"/>
          <w:szCs w:val="28"/>
        </w:rPr>
        <w:t>房市场活跃度有所下滑，累计成交</w:t>
      </w:r>
      <w:r w:rsidRPr="00541D8C">
        <w:rPr>
          <w:rFonts w:ascii="Arial" w:hAnsi="Arial" w:hint="eastAsia"/>
          <w:sz w:val="21"/>
          <w:szCs w:val="28"/>
        </w:rPr>
        <w:t>5.16</w:t>
      </w:r>
      <w:r w:rsidRPr="00541D8C">
        <w:rPr>
          <w:rFonts w:ascii="Arial" w:hAnsi="Arial" w:hint="eastAsia"/>
          <w:sz w:val="21"/>
          <w:szCs w:val="28"/>
        </w:rPr>
        <w:t>万套，环比下降</w:t>
      </w:r>
      <w:r w:rsidRPr="00541D8C">
        <w:rPr>
          <w:rFonts w:ascii="Arial" w:hAnsi="Arial" w:hint="eastAsia"/>
          <w:sz w:val="21"/>
          <w:szCs w:val="28"/>
        </w:rPr>
        <w:t>6.7%</w:t>
      </w:r>
      <w:r w:rsidRPr="00541D8C">
        <w:rPr>
          <w:rFonts w:ascii="Arial" w:hAnsi="Arial" w:hint="eastAsia"/>
          <w:sz w:val="21"/>
          <w:szCs w:val="28"/>
        </w:rPr>
        <w:t>，同比下降</w:t>
      </w:r>
      <w:r w:rsidRPr="00541D8C">
        <w:rPr>
          <w:rFonts w:ascii="Arial" w:hAnsi="Arial" w:hint="eastAsia"/>
          <w:sz w:val="21"/>
          <w:szCs w:val="28"/>
        </w:rPr>
        <w:t>2.9%</w:t>
      </w:r>
      <w:r w:rsidRPr="00541D8C">
        <w:rPr>
          <w:rFonts w:ascii="Arial" w:hAnsi="Arial" w:hint="eastAsia"/>
          <w:sz w:val="21"/>
          <w:szCs w:val="28"/>
        </w:rPr>
        <w:t>。从月度趋势来看，北京存量房市场热度先降后升，</w:t>
      </w:r>
      <w:r w:rsidRPr="00541D8C">
        <w:rPr>
          <w:rFonts w:ascii="Arial" w:hAnsi="Arial" w:hint="eastAsia"/>
          <w:sz w:val="21"/>
          <w:szCs w:val="28"/>
        </w:rPr>
        <w:t>7/8</w:t>
      </w:r>
      <w:r w:rsidRPr="00541D8C">
        <w:rPr>
          <w:rFonts w:ascii="Arial" w:hAnsi="Arial" w:hint="eastAsia"/>
          <w:sz w:val="21"/>
          <w:szCs w:val="28"/>
        </w:rPr>
        <w:t>月北京存量商品住宅成交规模降至</w:t>
      </w:r>
      <w:r w:rsidRPr="00541D8C">
        <w:rPr>
          <w:rFonts w:ascii="Arial" w:hAnsi="Arial" w:hint="eastAsia"/>
          <w:sz w:val="21"/>
          <w:szCs w:val="28"/>
        </w:rPr>
        <w:t>1.3</w:t>
      </w:r>
      <w:r w:rsidRPr="00541D8C">
        <w:rPr>
          <w:rFonts w:ascii="Arial" w:hAnsi="Arial" w:hint="eastAsia"/>
          <w:sz w:val="21"/>
          <w:szCs w:val="28"/>
        </w:rPr>
        <w:t>万套上下；</w:t>
      </w:r>
      <w:r w:rsidRPr="00541D8C">
        <w:rPr>
          <w:rFonts w:ascii="Arial" w:hAnsi="Arial" w:hint="eastAsia"/>
          <w:sz w:val="21"/>
          <w:szCs w:val="28"/>
        </w:rPr>
        <w:t>8</w:t>
      </w:r>
      <w:r w:rsidRPr="00541D8C">
        <w:rPr>
          <w:rFonts w:ascii="Arial" w:hAnsi="Arial" w:hint="eastAsia"/>
          <w:sz w:val="21"/>
          <w:szCs w:val="28"/>
        </w:rPr>
        <w:t>月下旬，受楼市新政效果刺激，成交量逐步上涨，</w:t>
      </w:r>
      <w:r w:rsidRPr="00541D8C">
        <w:rPr>
          <w:rFonts w:ascii="Arial" w:hAnsi="Arial" w:hint="eastAsia"/>
          <w:sz w:val="21"/>
          <w:szCs w:val="28"/>
        </w:rPr>
        <w:t>9</w:t>
      </w:r>
      <w:r w:rsidRPr="00541D8C">
        <w:rPr>
          <w:rFonts w:ascii="Arial" w:hAnsi="Arial" w:hint="eastAsia"/>
          <w:sz w:val="21"/>
          <w:szCs w:val="28"/>
        </w:rPr>
        <w:t>月累计成交</w:t>
      </w:r>
      <w:r w:rsidRPr="00541D8C">
        <w:rPr>
          <w:rFonts w:ascii="Arial" w:hAnsi="Arial" w:hint="eastAsia"/>
          <w:sz w:val="21"/>
          <w:szCs w:val="28"/>
        </w:rPr>
        <w:t>15843</w:t>
      </w:r>
      <w:r w:rsidRPr="00541D8C">
        <w:rPr>
          <w:rFonts w:ascii="Arial" w:hAnsi="Arial" w:hint="eastAsia"/>
          <w:sz w:val="21"/>
          <w:szCs w:val="28"/>
        </w:rPr>
        <w:t>套，创近半年月度新高。</w:t>
      </w:r>
    </w:p>
    <w:p w14:paraId="00256C52" w14:textId="77777777" w:rsidR="00941FE0" w:rsidRPr="0065799C" w:rsidRDefault="00941FE0" w:rsidP="00941FE0">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lastRenderedPageBreak/>
        <w:t>2025</w:t>
      </w:r>
      <w:r w:rsidRPr="00541D8C">
        <w:rPr>
          <w:rFonts w:ascii="Arial" w:hAnsi="Arial" w:hint="eastAsia"/>
          <w:sz w:val="21"/>
          <w:szCs w:val="28"/>
        </w:rPr>
        <w:t>年</w:t>
      </w:r>
      <w:r w:rsidRPr="00541D8C">
        <w:rPr>
          <w:rFonts w:ascii="Arial" w:hAnsi="Arial"/>
          <w:sz w:val="21"/>
          <w:szCs w:val="28"/>
        </w:rPr>
        <w:t>三季年，北京</w:t>
      </w:r>
      <w:r w:rsidRPr="00541D8C">
        <w:rPr>
          <w:rFonts w:ascii="Arial" w:hAnsi="Arial" w:hint="eastAsia"/>
          <w:sz w:val="21"/>
          <w:szCs w:val="28"/>
        </w:rPr>
        <w:t>存量</w:t>
      </w:r>
      <w:r w:rsidRPr="00541D8C">
        <w:rPr>
          <w:rFonts w:ascii="Arial" w:hAnsi="Arial"/>
          <w:sz w:val="21"/>
          <w:szCs w:val="28"/>
        </w:rPr>
        <w:t>房市场延续</w:t>
      </w:r>
      <w:r w:rsidRPr="00541D8C">
        <w:rPr>
          <w:rFonts w:ascii="Arial" w:hAnsi="Arial"/>
          <w:sz w:val="21"/>
          <w:szCs w:val="28"/>
        </w:rPr>
        <w:t>“</w:t>
      </w:r>
      <w:r w:rsidRPr="00541D8C">
        <w:rPr>
          <w:rFonts w:ascii="Arial" w:hAnsi="Arial"/>
          <w:sz w:val="21"/>
          <w:szCs w:val="28"/>
        </w:rPr>
        <w:t>以价换量</w:t>
      </w:r>
      <w:r w:rsidRPr="00541D8C">
        <w:rPr>
          <w:rFonts w:ascii="Arial" w:hAnsi="Arial"/>
          <w:sz w:val="21"/>
          <w:szCs w:val="28"/>
        </w:rPr>
        <w:t>”</w:t>
      </w:r>
      <w:r w:rsidRPr="00541D8C">
        <w:rPr>
          <w:rFonts w:ascii="Arial" w:hAnsi="Arial"/>
          <w:sz w:val="21"/>
          <w:szCs w:val="28"/>
        </w:rPr>
        <w:t>主旋律。从统计局数据来看，二季度以来，受</w:t>
      </w:r>
      <w:r w:rsidRPr="00541D8C">
        <w:rPr>
          <w:rFonts w:ascii="Arial" w:hAnsi="Arial" w:hint="eastAsia"/>
          <w:sz w:val="21"/>
          <w:szCs w:val="28"/>
        </w:rPr>
        <w:t>存量</w:t>
      </w:r>
      <w:r w:rsidRPr="00541D8C">
        <w:rPr>
          <w:rFonts w:ascii="Arial" w:hAnsi="Arial"/>
          <w:sz w:val="21"/>
          <w:szCs w:val="28"/>
        </w:rPr>
        <w:t>房挂牌增加，学区需求下滑等因素影响，北京</w:t>
      </w:r>
      <w:r w:rsidRPr="00541D8C">
        <w:rPr>
          <w:rFonts w:ascii="Arial" w:hAnsi="Arial" w:hint="eastAsia"/>
          <w:sz w:val="21"/>
          <w:szCs w:val="28"/>
        </w:rPr>
        <w:t>存量</w:t>
      </w:r>
      <w:r w:rsidRPr="00541D8C">
        <w:rPr>
          <w:rFonts w:ascii="Arial" w:hAnsi="Arial"/>
          <w:sz w:val="21"/>
          <w:szCs w:val="28"/>
        </w:rPr>
        <w:t>房价格指数环比持续下跌，三季度房价跌幅呈扩大趋势，</w:t>
      </w:r>
      <w:r w:rsidRPr="00541D8C">
        <w:rPr>
          <w:rFonts w:ascii="Arial" w:hAnsi="Arial"/>
          <w:sz w:val="21"/>
          <w:szCs w:val="28"/>
        </w:rPr>
        <w:t>7</w:t>
      </w:r>
      <w:r w:rsidRPr="00541D8C">
        <w:rPr>
          <w:rFonts w:ascii="Arial" w:hAnsi="Arial"/>
          <w:sz w:val="21"/>
          <w:szCs w:val="28"/>
        </w:rPr>
        <w:t>月跌幅</w:t>
      </w:r>
      <w:r w:rsidRPr="00541D8C">
        <w:rPr>
          <w:rFonts w:ascii="Arial" w:hAnsi="Arial"/>
          <w:sz w:val="21"/>
          <w:szCs w:val="28"/>
        </w:rPr>
        <w:t>1.1%</w:t>
      </w:r>
      <w:r w:rsidRPr="00541D8C">
        <w:rPr>
          <w:rFonts w:ascii="Arial" w:hAnsi="Arial"/>
          <w:sz w:val="21"/>
          <w:szCs w:val="28"/>
        </w:rPr>
        <w:t>，</w:t>
      </w:r>
      <w:r w:rsidRPr="00541D8C">
        <w:rPr>
          <w:rFonts w:ascii="Arial" w:hAnsi="Arial"/>
          <w:sz w:val="21"/>
          <w:szCs w:val="28"/>
        </w:rPr>
        <w:t>8</w:t>
      </w:r>
      <w:r w:rsidRPr="00541D8C">
        <w:rPr>
          <w:rFonts w:ascii="Arial" w:hAnsi="Arial"/>
          <w:sz w:val="21"/>
          <w:szCs w:val="28"/>
        </w:rPr>
        <w:t>月跌幅再次扩大至</w:t>
      </w:r>
      <w:r w:rsidRPr="00541D8C">
        <w:rPr>
          <w:rFonts w:ascii="Arial" w:hAnsi="Arial"/>
          <w:sz w:val="21"/>
          <w:szCs w:val="28"/>
        </w:rPr>
        <w:t>1.2%</w:t>
      </w:r>
      <w:r w:rsidRPr="00541D8C">
        <w:rPr>
          <w:rFonts w:ascii="Arial" w:hAnsi="Arial"/>
          <w:sz w:val="21"/>
          <w:szCs w:val="28"/>
        </w:rPr>
        <w:t>，</w:t>
      </w:r>
      <w:r w:rsidRPr="00541D8C">
        <w:rPr>
          <w:rFonts w:ascii="Arial" w:hAnsi="Arial"/>
          <w:sz w:val="21"/>
          <w:szCs w:val="28"/>
        </w:rPr>
        <w:t>9</w:t>
      </w:r>
      <w:r w:rsidRPr="00541D8C">
        <w:rPr>
          <w:rFonts w:ascii="Arial" w:hAnsi="Arial"/>
          <w:sz w:val="21"/>
          <w:szCs w:val="28"/>
        </w:rPr>
        <w:t>月跌幅缩小至</w:t>
      </w:r>
      <w:r w:rsidRPr="00541D8C">
        <w:rPr>
          <w:rFonts w:ascii="Arial" w:hAnsi="Arial"/>
          <w:sz w:val="21"/>
          <w:szCs w:val="28"/>
        </w:rPr>
        <w:t>0.9%</w:t>
      </w:r>
      <w:r w:rsidRPr="0065799C">
        <w:rPr>
          <w:rFonts w:ascii="Arial" w:hAnsi="Arial"/>
          <w:sz w:val="21"/>
          <w:szCs w:val="28"/>
        </w:rPr>
        <w:t>。</w:t>
      </w:r>
    </w:p>
    <w:p w14:paraId="36B92928" w14:textId="77777777" w:rsidR="00941FE0" w:rsidRPr="00EC06B5" w:rsidRDefault="00941FE0" w:rsidP="00941FE0">
      <w:pPr>
        <w:tabs>
          <w:tab w:val="left" w:pos="0"/>
        </w:tabs>
        <w:overflowPunct w:val="0"/>
        <w:spacing w:line="480" w:lineRule="auto"/>
        <w:jc w:val="center"/>
        <w:textAlignment w:val="auto"/>
        <w:rPr>
          <w:rFonts w:ascii="Arial" w:hAnsi="Arial"/>
          <w:sz w:val="21"/>
        </w:rPr>
      </w:pPr>
      <w:r w:rsidRPr="00F85E95">
        <w:rPr>
          <w:noProof/>
        </w:rPr>
        <w:drawing>
          <wp:inline distT="0" distB="0" distL="0" distR="0" wp14:anchorId="5DCF2D24" wp14:editId="7003B2E4">
            <wp:extent cx="5902325" cy="1632585"/>
            <wp:effectExtent l="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02325" cy="1632585"/>
                    </a:xfrm>
                    <a:prstGeom prst="rect">
                      <a:avLst/>
                    </a:prstGeom>
                    <a:noFill/>
                    <a:ln>
                      <a:noFill/>
                    </a:ln>
                  </pic:spPr>
                </pic:pic>
              </a:graphicData>
            </a:graphic>
          </wp:inline>
        </w:drawing>
      </w:r>
    </w:p>
    <w:p w14:paraId="786CB32E" w14:textId="77777777" w:rsidR="00941FE0" w:rsidRPr="00EC06B5" w:rsidRDefault="00941FE0" w:rsidP="00941FE0">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7D22D728" w14:textId="77777777" w:rsidR="00941FE0" w:rsidRPr="00541D8C" w:rsidRDefault="00941FE0" w:rsidP="00941FE0">
      <w:pPr>
        <w:overflowPunct w:val="0"/>
        <w:spacing w:line="480" w:lineRule="auto"/>
        <w:ind w:firstLine="420"/>
        <w:jc w:val="both"/>
        <w:textAlignment w:val="auto"/>
        <w:rPr>
          <w:rFonts w:ascii="Arial" w:hAnsi="Arial"/>
          <w:color w:val="000000"/>
          <w:sz w:val="21"/>
        </w:rPr>
      </w:pPr>
      <w:bookmarkStart w:id="32" w:name="OLE_LINK8"/>
      <w:bookmarkStart w:id="33" w:name="OLE_LINK9"/>
      <w:r w:rsidRPr="00541D8C">
        <w:rPr>
          <w:rFonts w:ascii="Arial" w:hAnsi="Arial"/>
          <w:color w:val="000000"/>
          <w:sz w:val="21"/>
        </w:rPr>
        <w:t>分区域来看，</w:t>
      </w:r>
      <w:r w:rsidRPr="00541D8C">
        <w:rPr>
          <w:rFonts w:ascii="Arial" w:hAnsi="Arial" w:hint="eastAsia"/>
          <w:color w:val="000000"/>
          <w:sz w:val="21"/>
        </w:rPr>
        <w:t>2025</w:t>
      </w:r>
      <w:r w:rsidRPr="00541D8C">
        <w:rPr>
          <w:rFonts w:ascii="Arial" w:hAnsi="Arial" w:hint="eastAsia"/>
          <w:color w:val="000000"/>
          <w:sz w:val="21"/>
        </w:rPr>
        <w:t>年三季度朝阳存量房成交规模较大，成交规模达</w:t>
      </w:r>
      <w:r w:rsidRPr="00541D8C">
        <w:rPr>
          <w:rFonts w:ascii="Arial" w:hAnsi="Arial" w:hint="eastAsia"/>
          <w:color w:val="000000"/>
          <w:sz w:val="21"/>
        </w:rPr>
        <w:t>87.22</w:t>
      </w:r>
      <w:r w:rsidRPr="00541D8C">
        <w:rPr>
          <w:rFonts w:ascii="Arial" w:hAnsi="Arial" w:hint="eastAsia"/>
          <w:color w:val="000000"/>
          <w:sz w:val="21"/>
        </w:rPr>
        <w:t>万平方米，居各区第一位；海淀、丰台、昌平成交面积均超过</w:t>
      </w:r>
      <w:r w:rsidRPr="00541D8C">
        <w:rPr>
          <w:rFonts w:ascii="Arial" w:hAnsi="Arial" w:hint="eastAsia"/>
          <w:color w:val="000000"/>
          <w:sz w:val="21"/>
        </w:rPr>
        <w:t>30</w:t>
      </w:r>
      <w:r w:rsidRPr="00541D8C">
        <w:rPr>
          <w:rFonts w:ascii="Arial" w:hAnsi="Arial" w:hint="eastAsia"/>
          <w:color w:val="000000"/>
          <w:sz w:val="21"/>
        </w:rPr>
        <w:t>万平方米，成交规模居第二梯队；另外，远郊各区以及近郊的门头沟存量房市场活跃度相对较低，成交规模均不足</w:t>
      </w:r>
      <w:r w:rsidRPr="00541D8C">
        <w:rPr>
          <w:rFonts w:ascii="Arial" w:hAnsi="Arial" w:hint="eastAsia"/>
          <w:color w:val="000000"/>
          <w:sz w:val="21"/>
        </w:rPr>
        <w:t>10</w:t>
      </w:r>
      <w:r w:rsidRPr="00541D8C">
        <w:rPr>
          <w:rFonts w:ascii="Arial" w:hAnsi="Arial" w:hint="eastAsia"/>
          <w:color w:val="000000"/>
          <w:sz w:val="21"/>
        </w:rPr>
        <w:t>万平方米。</w:t>
      </w:r>
    </w:p>
    <w:p w14:paraId="3CA505A7" w14:textId="77777777" w:rsidR="00941FE0" w:rsidRPr="00995459" w:rsidRDefault="00941FE0" w:rsidP="00941FE0">
      <w:pPr>
        <w:overflowPunct w:val="0"/>
        <w:spacing w:line="480" w:lineRule="auto"/>
        <w:ind w:firstLine="420"/>
        <w:jc w:val="both"/>
        <w:textAlignment w:val="auto"/>
        <w:rPr>
          <w:rFonts w:ascii="Arial" w:hAnsi="Arial"/>
          <w:color w:val="000000"/>
          <w:sz w:val="21"/>
        </w:rPr>
      </w:pPr>
      <w:r w:rsidRPr="00541D8C">
        <w:rPr>
          <w:rFonts w:ascii="Arial" w:hAnsi="Arial" w:hint="eastAsia"/>
          <w:color w:val="000000"/>
          <w:sz w:val="21"/>
        </w:rPr>
        <w:t>从同比变化来看，三季度，除门头沟、平谷、大兴、通州外，其他区域存量房成交规模均同比下跌，中心城区整体成交规模同比下跌</w:t>
      </w:r>
      <w:r w:rsidRPr="00541D8C">
        <w:rPr>
          <w:rFonts w:ascii="Arial" w:hAnsi="Arial" w:hint="eastAsia"/>
          <w:color w:val="000000"/>
          <w:sz w:val="21"/>
        </w:rPr>
        <w:t>8%</w:t>
      </w:r>
      <w:r w:rsidRPr="00541D8C">
        <w:rPr>
          <w:rFonts w:ascii="Arial" w:hAnsi="Arial" w:hint="eastAsia"/>
          <w:color w:val="000000"/>
          <w:sz w:val="21"/>
        </w:rPr>
        <w:t>，其中石景山区各同比下跌</w:t>
      </w:r>
      <w:r w:rsidRPr="00541D8C">
        <w:rPr>
          <w:rFonts w:ascii="Arial" w:hAnsi="Arial" w:hint="eastAsia"/>
          <w:color w:val="000000"/>
          <w:sz w:val="21"/>
        </w:rPr>
        <w:t>14%</w:t>
      </w:r>
      <w:r w:rsidRPr="00541D8C">
        <w:rPr>
          <w:rFonts w:ascii="Arial" w:hAnsi="Arial" w:hint="eastAsia"/>
          <w:color w:val="000000"/>
          <w:sz w:val="21"/>
        </w:rPr>
        <w:t>。成交价格方面，上半年西城区成交价格最高，达</w:t>
      </w:r>
      <w:r w:rsidRPr="00541D8C">
        <w:rPr>
          <w:rFonts w:ascii="Arial" w:hAnsi="Arial" w:hint="eastAsia"/>
          <w:color w:val="000000"/>
          <w:sz w:val="21"/>
        </w:rPr>
        <w:t>93558</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平方米；其次为东城区，为</w:t>
      </w:r>
      <w:r w:rsidRPr="00541D8C">
        <w:rPr>
          <w:rFonts w:ascii="Arial" w:hAnsi="Arial" w:hint="eastAsia"/>
          <w:color w:val="000000"/>
          <w:sz w:val="21"/>
        </w:rPr>
        <w:t>78189</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w:t>
      </w:r>
      <w:r w:rsidRPr="00995459">
        <w:rPr>
          <w:rFonts w:ascii="Arial" w:hAnsi="Arial"/>
          <w:color w:val="000000"/>
          <w:sz w:val="21"/>
        </w:rPr>
        <w:t>。</w:t>
      </w:r>
    </w:p>
    <w:p w14:paraId="21D6B5B5" w14:textId="77777777" w:rsidR="00941FE0" w:rsidRPr="00EC06B5" w:rsidRDefault="00941FE0" w:rsidP="00941FE0">
      <w:pPr>
        <w:widowControl/>
        <w:spacing w:line="360" w:lineRule="auto"/>
        <w:jc w:val="center"/>
        <w:rPr>
          <w:rFonts w:ascii="Arial" w:eastAsia="仿宋_GB2312" w:hAnsi="Arial" w:cs="Arial"/>
          <w:bCs/>
          <w:color w:val="000000"/>
          <w:sz w:val="28"/>
          <w:szCs w:val="28"/>
        </w:rPr>
      </w:pPr>
      <w:r w:rsidRPr="00F85E95">
        <w:rPr>
          <w:noProof/>
        </w:rPr>
        <w:drawing>
          <wp:inline distT="0" distB="0" distL="0" distR="0" wp14:anchorId="58F2B57C" wp14:editId="72293C2C">
            <wp:extent cx="5908040" cy="2084070"/>
            <wp:effectExtent l="0" t="0" r="0"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8040" cy="2084070"/>
                    </a:xfrm>
                    <a:prstGeom prst="rect">
                      <a:avLst/>
                    </a:prstGeom>
                    <a:noFill/>
                    <a:ln>
                      <a:noFill/>
                    </a:ln>
                  </pic:spPr>
                </pic:pic>
              </a:graphicData>
            </a:graphic>
          </wp:inline>
        </w:drawing>
      </w:r>
    </w:p>
    <w:p w14:paraId="450592A8"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A64633">
        <w:rPr>
          <w:rFonts w:ascii="Arial" w:hAnsi="Arial"/>
          <w:color w:val="000000"/>
          <w:sz w:val="21"/>
        </w:rPr>
        <w:t>整体来看，北京市</w:t>
      </w:r>
      <w:r w:rsidRPr="00A64633">
        <w:rPr>
          <w:rFonts w:ascii="Arial" w:hAnsi="Arial" w:hint="eastAsia"/>
          <w:color w:val="000000"/>
          <w:sz w:val="21"/>
        </w:rPr>
        <w:t>存量</w:t>
      </w:r>
      <w:r w:rsidRPr="00A64633">
        <w:rPr>
          <w:rFonts w:ascii="Arial" w:hAnsi="Arial"/>
          <w:color w:val="000000"/>
          <w:sz w:val="21"/>
        </w:rPr>
        <w:t>房对新房市场的分流效应逐步增强。</w:t>
      </w:r>
      <w:r w:rsidRPr="00A64633">
        <w:rPr>
          <w:rFonts w:ascii="Arial" w:hAnsi="Arial"/>
          <w:color w:val="000000"/>
          <w:sz w:val="21"/>
        </w:rPr>
        <w:t>2021</w:t>
      </w:r>
      <w:r w:rsidRPr="00A64633">
        <w:rPr>
          <w:rFonts w:ascii="Arial" w:hAnsi="Arial"/>
          <w:color w:val="000000"/>
          <w:sz w:val="21"/>
        </w:rPr>
        <w:t>年以来，北京市</w:t>
      </w:r>
      <w:r w:rsidRPr="00A64633">
        <w:rPr>
          <w:rFonts w:ascii="Arial" w:hAnsi="Arial" w:hint="eastAsia"/>
          <w:color w:val="000000"/>
          <w:sz w:val="21"/>
        </w:rPr>
        <w:t>存量</w:t>
      </w:r>
      <w:r w:rsidRPr="00A64633">
        <w:rPr>
          <w:rFonts w:ascii="Arial" w:hAnsi="Arial"/>
          <w:color w:val="000000"/>
          <w:sz w:val="21"/>
        </w:rPr>
        <w:t>房成交占比波动增加。</w:t>
      </w:r>
      <w:r w:rsidRPr="00A64633">
        <w:rPr>
          <w:rFonts w:ascii="Arial" w:hAnsi="Arial"/>
          <w:color w:val="000000"/>
          <w:sz w:val="21"/>
        </w:rPr>
        <w:t>2025</w:t>
      </w:r>
      <w:r w:rsidRPr="00A64633">
        <w:rPr>
          <w:rFonts w:ascii="Arial" w:hAnsi="Arial"/>
          <w:color w:val="000000"/>
          <w:sz w:val="21"/>
        </w:rPr>
        <w:t>年三季度，北京新房市场虽有海淀、朝阳、通州</w:t>
      </w:r>
      <w:r w:rsidRPr="00A64633">
        <w:rPr>
          <w:rFonts w:ascii="Arial" w:hAnsi="Arial"/>
          <w:color w:val="000000"/>
          <w:sz w:val="21"/>
        </w:rPr>
        <w:t xml:space="preserve"> </w:t>
      </w:r>
      <w:r w:rsidRPr="00A64633">
        <w:rPr>
          <w:rFonts w:ascii="Arial" w:hAnsi="Arial"/>
          <w:color w:val="000000"/>
          <w:sz w:val="21"/>
        </w:rPr>
        <w:t>等项目的局部高热现象，但整体市场持续承压，累计成交套数不足</w:t>
      </w:r>
      <w:r w:rsidRPr="00A64633">
        <w:rPr>
          <w:rFonts w:ascii="Arial" w:hAnsi="Arial"/>
          <w:color w:val="000000"/>
          <w:sz w:val="21"/>
        </w:rPr>
        <w:t>1</w:t>
      </w:r>
      <w:r w:rsidRPr="00A64633">
        <w:rPr>
          <w:rFonts w:ascii="Arial" w:hAnsi="Arial"/>
          <w:color w:val="000000"/>
          <w:sz w:val="21"/>
        </w:rPr>
        <w:t>万套，为近年季度低位；</w:t>
      </w:r>
      <w:r w:rsidRPr="00A64633">
        <w:rPr>
          <w:rFonts w:ascii="Arial" w:hAnsi="Arial" w:hint="eastAsia"/>
          <w:color w:val="000000"/>
          <w:sz w:val="21"/>
        </w:rPr>
        <w:t>存量</w:t>
      </w:r>
      <w:r w:rsidRPr="00A64633">
        <w:rPr>
          <w:rFonts w:ascii="Arial" w:hAnsi="Arial"/>
          <w:color w:val="000000"/>
          <w:sz w:val="21"/>
        </w:rPr>
        <w:t>房市场热度虽有所下降，但成交套数依然保持较高水平。</w:t>
      </w:r>
      <w:r w:rsidRPr="00A64633">
        <w:rPr>
          <w:rFonts w:ascii="Arial" w:hAnsi="Arial"/>
          <w:color w:val="000000"/>
          <w:sz w:val="21"/>
        </w:rPr>
        <w:t xml:space="preserve">2025 </w:t>
      </w:r>
      <w:r w:rsidRPr="00A64633">
        <w:rPr>
          <w:rFonts w:ascii="Arial" w:hAnsi="Arial"/>
          <w:color w:val="000000"/>
          <w:sz w:val="21"/>
        </w:rPr>
        <w:t>年三季度北京</w:t>
      </w:r>
      <w:r w:rsidRPr="00A64633">
        <w:rPr>
          <w:rFonts w:ascii="Arial" w:hAnsi="Arial" w:hint="eastAsia"/>
          <w:color w:val="000000"/>
          <w:sz w:val="21"/>
        </w:rPr>
        <w:t>存量</w:t>
      </w:r>
      <w:r w:rsidRPr="00A64633">
        <w:rPr>
          <w:rFonts w:ascii="Arial" w:hAnsi="Arial"/>
          <w:color w:val="000000"/>
          <w:sz w:val="21"/>
        </w:rPr>
        <w:t>商品住宅累计成交套数占比升至</w:t>
      </w:r>
      <w:r w:rsidRPr="00A64633">
        <w:rPr>
          <w:rFonts w:ascii="Arial" w:hAnsi="Arial"/>
          <w:color w:val="000000"/>
          <w:sz w:val="21"/>
        </w:rPr>
        <w:t>81%</w:t>
      </w:r>
      <w:r w:rsidRPr="00A64633">
        <w:rPr>
          <w:rFonts w:ascii="Arial" w:hAnsi="Arial"/>
          <w:color w:val="000000"/>
          <w:sz w:val="21"/>
        </w:rPr>
        <w:t>，较上年同期提</w:t>
      </w:r>
      <w:r w:rsidRPr="00A64633">
        <w:rPr>
          <w:rFonts w:ascii="Arial" w:hAnsi="Arial"/>
          <w:color w:val="000000"/>
          <w:sz w:val="21"/>
        </w:rPr>
        <w:lastRenderedPageBreak/>
        <w:t>高</w:t>
      </w:r>
      <w:r w:rsidRPr="00A64633">
        <w:rPr>
          <w:rFonts w:ascii="Arial" w:hAnsi="Arial"/>
          <w:color w:val="000000"/>
          <w:sz w:val="21"/>
        </w:rPr>
        <w:t>4</w:t>
      </w:r>
      <w:r w:rsidRPr="00A64633">
        <w:rPr>
          <w:rFonts w:ascii="Arial" w:hAnsi="Arial"/>
          <w:color w:val="000000"/>
          <w:sz w:val="21"/>
        </w:rPr>
        <w:t>个百分点</w:t>
      </w:r>
      <w:r w:rsidRPr="00EC06B5">
        <w:rPr>
          <w:rFonts w:ascii="Arial" w:hAnsi="Arial"/>
          <w:color w:val="000000"/>
          <w:sz w:val="21"/>
        </w:rPr>
        <w:t>。</w:t>
      </w:r>
    </w:p>
    <w:p w14:paraId="01D80FD3" w14:textId="77777777" w:rsidR="00941FE0" w:rsidRPr="00EC06B5" w:rsidRDefault="00941FE0" w:rsidP="00941FE0">
      <w:pPr>
        <w:overflowPunct w:val="0"/>
        <w:spacing w:line="480" w:lineRule="auto"/>
        <w:jc w:val="both"/>
        <w:textAlignment w:val="auto"/>
        <w:rPr>
          <w:rFonts w:ascii="Arial" w:hAnsi="Arial"/>
          <w:color w:val="000000"/>
          <w:sz w:val="21"/>
        </w:rPr>
      </w:pPr>
      <w:r w:rsidRPr="00F85E95">
        <w:rPr>
          <w:noProof/>
        </w:rPr>
        <w:drawing>
          <wp:inline distT="0" distB="0" distL="0" distR="0" wp14:anchorId="32F653EE" wp14:editId="2EFE9353">
            <wp:extent cx="5908040" cy="1722120"/>
            <wp:effectExtent l="0" t="0" r="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08040" cy="1722120"/>
                    </a:xfrm>
                    <a:prstGeom prst="rect">
                      <a:avLst/>
                    </a:prstGeom>
                    <a:noFill/>
                    <a:ln>
                      <a:noFill/>
                    </a:ln>
                  </pic:spPr>
                </pic:pic>
              </a:graphicData>
            </a:graphic>
          </wp:inline>
        </w:drawing>
      </w:r>
    </w:p>
    <w:bookmarkEnd w:id="32"/>
    <w:bookmarkEnd w:id="33"/>
    <w:p w14:paraId="58E3CE7E" w14:textId="77777777" w:rsidR="00941FE0" w:rsidRPr="00EC06B5" w:rsidRDefault="00941FE0" w:rsidP="00941FE0">
      <w:pPr>
        <w:overflowPunct w:val="0"/>
        <w:spacing w:line="480" w:lineRule="auto"/>
        <w:ind w:firstLineChars="200" w:firstLine="420"/>
        <w:jc w:val="both"/>
        <w:textAlignment w:val="auto"/>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3675A47F"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5A347C1E"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2A8A7EE4" w14:textId="77777777" w:rsidR="00941FE0" w:rsidRPr="00EC06B5" w:rsidRDefault="00941FE0" w:rsidP="00941FE0">
      <w:pPr>
        <w:overflowPunct w:val="0"/>
        <w:spacing w:line="240" w:lineRule="auto"/>
        <w:jc w:val="center"/>
        <w:rPr>
          <w:rFonts w:ascii="Arial" w:eastAsia="方正黑体简体" w:hAnsi="Arial"/>
          <w:bCs/>
          <w:color w:val="000000"/>
          <w:szCs w:val="24"/>
        </w:rPr>
      </w:pPr>
      <w:r w:rsidRPr="00EC06B5">
        <w:rPr>
          <w:rFonts w:ascii="Arial" w:eastAsia="方正黑体简体" w:hAnsi="Arial"/>
          <w:bCs/>
          <w:color w:val="000000"/>
          <w:szCs w:val="24"/>
        </w:rPr>
        <w:t>20</w:t>
      </w:r>
      <w:r w:rsidRPr="00EC06B5">
        <w:rPr>
          <w:rFonts w:ascii="Arial" w:eastAsia="方正黑体简体" w:hAnsi="Arial" w:hint="eastAsia"/>
          <w:bCs/>
          <w:color w:val="000000"/>
          <w:szCs w:val="24"/>
        </w:rPr>
        <w:t>20</w:t>
      </w:r>
      <w:r w:rsidRPr="00EC06B5">
        <w:rPr>
          <w:rFonts w:ascii="Arial" w:eastAsia="方正黑体简体" w:hAnsi="Arial"/>
          <w:bCs/>
          <w:color w:val="000000"/>
          <w:szCs w:val="24"/>
        </w:rPr>
        <w:t>-202</w:t>
      </w:r>
      <w:r w:rsidRPr="00EC06B5">
        <w:rPr>
          <w:rFonts w:ascii="Arial" w:eastAsia="方正黑体简体" w:hAnsi="Arial" w:hint="eastAsia"/>
          <w:bCs/>
          <w:color w:val="000000"/>
          <w:szCs w:val="24"/>
        </w:rPr>
        <w:t>4</w:t>
      </w:r>
      <w:r w:rsidRPr="00EC06B5">
        <w:rPr>
          <w:rFonts w:ascii="Arial" w:eastAsia="方正黑体简体" w:hAnsi="Arial" w:hint="eastAsia"/>
          <w:bCs/>
          <w:color w:val="000000"/>
          <w:szCs w:val="24"/>
        </w:rPr>
        <w:t>年常住人口增量及增长速度</w:t>
      </w:r>
    </w:p>
    <w:p w14:paraId="1E32AB33" w14:textId="77777777" w:rsidR="00941FE0" w:rsidRPr="00EC06B5" w:rsidRDefault="00941FE0" w:rsidP="00941FE0">
      <w:pPr>
        <w:widowControl/>
        <w:spacing w:line="480" w:lineRule="auto"/>
        <w:jc w:val="center"/>
        <w:textAlignment w:val="auto"/>
        <w:rPr>
          <w:rFonts w:ascii="Arial" w:hAnsi="Arial"/>
          <w:color w:val="000000"/>
          <w:sz w:val="21"/>
          <w:szCs w:val="21"/>
        </w:rPr>
      </w:pPr>
      <w:r w:rsidRPr="00F27A04">
        <w:rPr>
          <w:rFonts w:ascii="Arial" w:eastAsia="仿宋" w:hAnsi="Arial" w:cs="Arial"/>
          <w:noProof/>
          <w:sz w:val="28"/>
          <w:szCs w:val="28"/>
        </w:rPr>
        <w:drawing>
          <wp:inline distT="0" distB="0" distL="0" distR="0" wp14:anchorId="7766A407" wp14:editId="37AF8852">
            <wp:extent cx="5903595" cy="2169160"/>
            <wp:effectExtent l="0" t="0" r="0" b="0"/>
            <wp:docPr id="31"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8DE8A1D"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根据北京市统计局地区生产总值统一核算结果，</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年前三季度，北京市实现地区生产总值</w:t>
      </w:r>
      <w:r w:rsidRPr="00454720">
        <w:rPr>
          <w:rFonts w:ascii="Arial" w:hAnsi="Arial" w:hint="eastAsia"/>
          <w:color w:val="000000"/>
          <w:sz w:val="21"/>
          <w:szCs w:val="21"/>
        </w:rPr>
        <w:t>38415.9</w:t>
      </w:r>
      <w:r w:rsidRPr="00454720">
        <w:rPr>
          <w:rFonts w:ascii="Arial" w:hAnsi="Arial" w:hint="eastAsia"/>
          <w:color w:val="000000"/>
          <w:sz w:val="21"/>
          <w:szCs w:val="21"/>
        </w:rPr>
        <w:t>亿元，按不变价格计算，同比增长</w:t>
      </w:r>
      <w:r w:rsidRPr="00454720">
        <w:rPr>
          <w:rFonts w:ascii="Arial" w:hAnsi="Arial" w:hint="eastAsia"/>
          <w:color w:val="000000"/>
          <w:sz w:val="21"/>
          <w:szCs w:val="21"/>
        </w:rPr>
        <w:t>5.6%</w:t>
      </w:r>
      <w:r w:rsidRPr="00454720">
        <w:rPr>
          <w:rFonts w:ascii="Arial" w:hAnsi="Arial" w:hint="eastAsia"/>
          <w:color w:val="000000"/>
          <w:sz w:val="21"/>
          <w:szCs w:val="21"/>
        </w:rPr>
        <w:t>。分产业看，第一产业实现增加值</w:t>
      </w:r>
      <w:r w:rsidRPr="00454720">
        <w:rPr>
          <w:rFonts w:ascii="Arial" w:hAnsi="Arial" w:hint="eastAsia"/>
          <w:color w:val="000000"/>
          <w:sz w:val="21"/>
          <w:szCs w:val="21"/>
        </w:rPr>
        <w:t>77.9</w:t>
      </w:r>
      <w:r w:rsidRPr="00454720">
        <w:rPr>
          <w:rFonts w:ascii="Arial" w:hAnsi="Arial" w:hint="eastAsia"/>
          <w:color w:val="000000"/>
          <w:sz w:val="21"/>
          <w:szCs w:val="21"/>
        </w:rPr>
        <w:t>亿元，下降</w:t>
      </w:r>
      <w:r w:rsidRPr="00454720">
        <w:rPr>
          <w:rFonts w:ascii="Arial" w:hAnsi="Arial" w:hint="eastAsia"/>
          <w:color w:val="000000"/>
          <w:sz w:val="21"/>
          <w:szCs w:val="21"/>
        </w:rPr>
        <w:lastRenderedPageBreak/>
        <w:t>1.1%</w:t>
      </w:r>
      <w:r w:rsidRPr="00454720">
        <w:rPr>
          <w:rFonts w:ascii="Arial" w:hAnsi="Arial" w:hint="eastAsia"/>
          <w:color w:val="000000"/>
          <w:sz w:val="21"/>
          <w:szCs w:val="21"/>
        </w:rPr>
        <w:t>；第二产业实现增加值</w:t>
      </w:r>
      <w:r w:rsidRPr="00454720">
        <w:rPr>
          <w:rFonts w:ascii="Arial" w:hAnsi="Arial" w:hint="eastAsia"/>
          <w:color w:val="000000"/>
          <w:sz w:val="21"/>
          <w:szCs w:val="21"/>
        </w:rPr>
        <w:t>5055.9</w:t>
      </w:r>
      <w:r w:rsidRPr="00454720">
        <w:rPr>
          <w:rFonts w:ascii="Arial" w:hAnsi="Arial" w:hint="eastAsia"/>
          <w:color w:val="000000"/>
          <w:sz w:val="21"/>
          <w:szCs w:val="21"/>
        </w:rPr>
        <w:t>亿元，增长</w:t>
      </w:r>
      <w:r w:rsidRPr="00454720">
        <w:rPr>
          <w:rFonts w:ascii="Arial" w:hAnsi="Arial" w:hint="eastAsia"/>
          <w:color w:val="000000"/>
          <w:sz w:val="21"/>
          <w:szCs w:val="21"/>
        </w:rPr>
        <w:t>4.0%</w:t>
      </w:r>
      <w:r w:rsidRPr="00454720">
        <w:rPr>
          <w:rFonts w:ascii="Arial" w:hAnsi="Arial" w:hint="eastAsia"/>
          <w:color w:val="000000"/>
          <w:sz w:val="21"/>
          <w:szCs w:val="21"/>
        </w:rPr>
        <w:t>；第三产业实现增加值</w:t>
      </w:r>
      <w:r w:rsidRPr="00454720">
        <w:rPr>
          <w:rFonts w:ascii="Arial" w:hAnsi="Arial" w:hint="eastAsia"/>
          <w:color w:val="000000"/>
          <w:sz w:val="21"/>
          <w:szCs w:val="21"/>
        </w:rPr>
        <w:t>33282.0</w:t>
      </w:r>
      <w:r w:rsidRPr="00454720">
        <w:rPr>
          <w:rFonts w:ascii="Arial" w:hAnsi="Arial" w:hint="eastAsia"/>
          <w:color w:val="000000"/>
          <w:sz w:val="21"/>
          <w:szCs w:val="21"/>
        </w:rPr>
        <w:t>亿元，增长</w:t>
      </w:r>
      <w:r w:rsidRPr="00454720">
        <w:rPr>
          <w:rFonts w:ascii="Arial" w:hAnsi="Arial" w:hint="eastAsia"/>
          <w:color w:val="000000"/>
          <w:sz w:val="21"/>
          <w:szCs w:val="21"/>
        </w:rPr>
        <w:t>5.8%</w:t>
      </w:r>
      <w:r w:rsidRPr="00EC06B5">
        <w:rPr>
          <w:rFonts w:ascii="Arial" w:hAnsi="Arial" w:hint="eastAsia"/>
          <w:color w:val="000000"/>
          <w:sz w:val="21"/>
          <w:szCs w:val="21"/>
        </w:rPr>
        <w:t>。</w:t>
      </w:r>
    </w:p>
    <w:p w14:paraId="2C65320F" w14:textId="77777777" w:rsidR="00941FE0" w:rsidRPr="00D033F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年前三季度，北京市固定资产投资（不含农户）同比增长</w:t>
      </w:r>
      <w:r w:rsidRPr="00454720">
        <w:rPr>
          <w:rFonts w:ascii="Arial" w:hAnsi="Arial" w:hint="eastAsia"/>
          <w:color w:val="000000"/>
          <w:sz w:val="21"/>
          <w:szCs w:val="21"/>
        </w:rPr>
        <w:t>9.0%</w:t>
      </w:r>
      <w:r w:rsidRPr="00454720">
        <w:rPr>
          <w:rFonts w:ascii="Arial" w:hAnsi="Arial" w:hint="eastAsia"/>
          <w:color w:val="000000"/>
          <w:sz w:val="21"/>
          <w:szCs w:val="21"/>
        </w:rPr>
        <w:t>。其中，反映企业扩大生产能力的设备购置投资增长</w:t>
      </w:r>
      <w:r w:rsidRPr="00454720">
        <w:rPr>
          <w:rFonts w:ascii="Arial" w:hAnsi="Arial" w:hint="eastAsia"/>
          <w:color w:val="000000"/>
          <w:sz w:val="21"/>
          <w:szCs w:val="21"/>
        </w:rPr>
        <w:t>83.1%</w:t>
      </w:r>
      <w:r w:rsidRPr="00454720">
        <w:rPr>
          <w:rFonts w:ascii="Arial" w:hAnsi="Arial" w:hint="eastAsia"/>
          <w:color w:val="000000"/>
          <w:sz w:val="21"/>
          <w:szCs w:val="21"/>
        </w:rPr>
        <w:t>，占全市固定资产投资的比重进一步提升至</w:t>
      </w:r>
      <w:r w:rsidRPr="00454720">
        <w:rPr>
          <w:rFonts w:ascii="Arial" w:hAnsi="Arial" w:hint="eastAsia"/>
          <w:color w:val="000000"/>
          <w:sz w:val="21"/>
          <w:szCs w:val="21"/>
        </w:rPr>
        <w:t>29.3%</w:t>
      </w:r>
      <w:r w:rsidRPr="00454720">
        <w:rPr>
          <w:rFonts w:ascii="Arial" w:hAnsi="Arial" w:hint="eastAsia"/>
          <w:color w:val="000000"/>
          <w:sz w:val="21"/>
          <w:szCs w:val="21"/>
        </w:rPr>
        <w:t>。分领域看，基础设施投资增长</w:t>
      </w:r>
      <w:r w:rsidRPr="00454720">
        <w:rPr>
          <w:rFonts w:ascii="Arial" w:hAnsi="Arial" w:hint="eastAsia"/>
          <w:color w:val="000000"/>
          <w:sz w:val="21"/>
          <w:szCs w:val="21"/>
        </w:rPr>
        <w:t>2.3%</w:t>
      </w:r>
      <w:r w:rsidRPr="00454720">
        <w:rPr>
          <w:rFonts w:ascii="Arial" w:hAnsi="Arial" w:hint="eastAsia"/>
          <w:color w:val="000000"/>
          <w:sz w:val="21"/>
          <w:szCs w:val="21"/>
        </w:rPr>
        <w:t>，制造业投资增长</w:t>
      </w:r>
      <w:r w:rsidRPr="00454720">
        <w:rPr>
          <w:rFonts w:ascii="Arial" w:hAnsi="Arial" w:hint="eastAsia"/>
          <w:color w:val="000000"/>
          <w:sz w:val="21"/>
          <w:szCs w:val="21"/>
        </w:rPr>
        <w:t>5.4%</w:t>
      </w:r>
      <w:r w:rsidRPr="00454720">
        <w:rPr>
          <w:rFonts w:ascii="Arial" w:hAnsi="Arial" w:hint="eastAsia"/>
          <w:color w:val="000000"/>
          <w:sz w:val="21"/>
          <w:szCs w:val="21"/>
        </w:rPr>
        <w:t>，房地产开发投资下降</w:t>
      </w:r>
      <w:r w:rsidRPr="00454720">
        <w:rPr>
          <w:rFonts w:ascii="Arial" w:hAnsi="Arial" w:hint="eastAsia"/>
          <w:color w:val="000000"/>
          <w:sz w:val="21"/>
          <w:szCs w:val="21"/>
        </w:rPr>
        <w:t>13.7%</w:t>
      </w:r>
      <w:r w:rsidRPr="00454720">
        <w:rPr>
          <w:rFonts w:ascii="Arial" w:hAnsi="Arial" w:hint="eastAsia"/>
          <w:color w:val="000000"/>
          <w:sz w:val="21"/>
          <w:szCs w:val="21"/>
        </w:rPr>
        <w:t>。分产业看，第一产业投资增长</w:t>
      </w:r>
      <w:r w:rsidRPr="00454720">
        <w:rPr>
          <w:rFonts w:ascii="Arial" w:hAnsi="Arial" w:hint="eastAsia"/>
          <w:color w:val="000000"/>
          <w:sz w:val="21"/>
          <w:szCs w:val="21"/>
        </w:rPr>
        <w:t>23.8%</w:t>
      </w:r>
      <w:r w:rsidRPr="00454720">
        <w:rPr>
          <w:rFonts w:ascii="Arial" w:hAnsi="Arial" w:hint="eastAsia"/>
          <w:color w:val="000000"/>
          <w:sz w:val="21"/>
          <w:szCs w:val="21"/>
        </w:rPr>
        <w:t>，第二产业投资增长</w:t>
      </w:r>
      <w:r w:rsidRPr="00454720">
        <w:rPr>
          <w:rFonts w:ascii="Arial" w:hAnsi="Arial" w:hint="eastAsia"/>
          <w:color w:val="000000"/>
          <w:sz w:val="21"/>
          <w:szCs w:val="21"/>
        </w:rPr>
        <w:t>10.4%</w:t>
      </w:r>
      <w:r w:rsidRPr="00454720">
        <w:rPr>
          <w:rFonts w:ascii="Arial" w:hAnsi="Arial" w:hint="eastAsia"/>
          <w:color w:val="000000"/>
          <w:sz w:val="21"/>
          <w:szCs w:val="21"/>
        </w:rPr>
        <w:t>，第三产业投资增长</w:t>
      </w:r>
      <w:r w:rsidRPr="00454720">
        <w:rPr>
          <w:rFonts w:ascii="Arial" w:hAnsi="Arial" w:hint="eastAsia"/>
          <w:color w:val="000000"/>
          <w:sz w:val="21"/>
          <w:szCs w:val="21"/>
        </w:rPr>
        <w:t>8.8%</w:t>
      </w:r>
      <w:r w:rsidRPr="00454720">
        <w:rPr>
          <w:rFonts w:ascii="Arial" w:hAnsi="Arial" w:hint="eastAsia"/>
          <w:color w:val="000000"/>
          <w:sz w:val="21"/>
          <w:szCs w:val="21"/>
        </w:rPr>
        <w:t>。在信息传输、软件和信息技术服务业带动下，高技术产业投资保持活跃，增长</w:t>
      </w:r>
      <w:r w:rsidRPr="00454720">
        <w:rPr>
          <w:rFonts w:ascii="Arial" w:hAnsi="Arial" w:hint="eastAsia"/>
          <w:color w:val="000000"/>
          <w:sz w:val="21"/>
          <w:szCs w:val="21"/>
        </w:rPr>
        <w:t>51.7%</w:t>
      </w:r>
      <w:r w:rsidRPr="00D033F5">
        <w:rPr>
          <w:rFonts w:ascii="Arial" w:hAnsi="Arial" w:hint="eastAsia"/>
          <w:color w:val="000000"/>
          <w:sz w:val="21"/>
          <w:szCs w:val="21"/>
        </w:rPr>
        <w:t>。</w:t>
      </w:r>
    </w:p>
    <w:p w14:paraId="413E33C7"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年前三季度，北京市房屋施工面积</w:t>
      </w:r>
      <w:r w:rsidRPr="00454720">
        <w:rPr>
          <w:rFonts w:ascii="Arial" w:hAnsi="Arial" w:hint="eastAsia"/>
          <w:color w:val="000000"/>
          <w:sz w:val="21"/>
          <w:szCs w:val="21"/>
        </w:rPr>
        <w:t>10150.0</w:t>
      </w:r>
      <w:r w:rsidRPr="00454720">
        <w:rPr>
          <w:rFonts w:ascii="Arial" w:hAnsi="Arial" w:hint="eastAsia"/>
          <w:color w:val="000000"/>
          <w:sz w:val="21"/>
          <w:szCs w:val="21"/>
        </w:rPr>
        <w:t>万平方米，同比下降</w:t>
      </w:r>
      <w:r w:rsidRPr="00454720">
        <w:rPr>
          <w:rFonts w:ascii="Arial" w:hAnsi="Arial" w:hint="eastAsia"/>
          <w:color w:val="000000"/>
          <w:sz w:val="21"/>
          <w:szCs w:val="21"/>
        </w:rPr>
        <w:t>7.8%</w:t>
      </w:r>
      <w:r w:rsidRPr="00454720">
        <w:rPr>
          <w:rFonts w:ascii="Arial" w:hAnsi="Arial" w:hint="eastAsia"/>
          <w:color w:val="000000"/>
          <w:sz w:val="21"/>
          <w:szCs w:val="21"/>
        </w:rPr>
        <w:t>，其中住宅施工面积</w:t>
      </w:r>
      <w:r w:rsidRPr="00454720">
        <w:rPr>
          <w:rFonts w:ascii="Arial" w:hAnsi="Arial" w:hint="eastAsia"/>
          <w:color w:val="000000"/>
          <w:sz w:val="21"/>
          <w:szCs w:val="21"/>
        </w:rPr>
        <w:t>5050.5</w:t>
      </w:r>
      <w:r w:rsidRPr="00454720">
        <w:rPr>
          <w:rFonts w:ascii="Arial" w:hAnsi="Arial" w:hint="eastAsia"/>
          <w:color w:val="000000"/>
          <w:sz w:val="21"/>
          <w:szCs w:val="21"/>
        </w:rPr>
        <w:t>万平方米，下降</w:t>
      </w:r>
      <w:r w:rsidRPr="00454720">
        <w:rPr>
          <w:rFonts w:ascii="Arial" w:hAnsi="Arial" w:hint="eastAsia"/>
          <w:color w:val="000000"/>
          <w:sz w:val="21"/>
          <w:szCs w:val="21"/>
        </w:rPr>
        <w:t>8.5%</w:t>
      </w:r>
      <w:r w:rsidRPr="00454720">
        <w:rPr>
          <w:rFonts w:ascii="Arial" w:hAnsi="Arial" w:hint="eastAsia"/>
          <w:color w:val="000000"/>
          <w:sz w:val="21"/>
          <w:szCs w:val="21"/>
        </w:rPr>
        <w:t>。全市新建商品房销售面积</w:t>
      </w:r>
      <w:r w:rsidRPr="00454720">
        <w:rPr>
          <w:rFonts w:ascii="Arial" w:hAnsi="Arial" w:hint="eastAsia"/>
          <w:color w:val="000000"/>
          <w:sz w:val="21"/>
          <w:szCs w:val="21"/>
        </w:rPr>
        <w:t>739.6</w:t>
      </w:r>
      <w:r w:rsidRPr="00454720">
        <w:rPr>
          <w:rFonts w:ascii="Arial" w:hAnsi="Arial" w:hint="eastAsia"/>
          <w:color w:val="000000"/>
          <w:sz w:val="21"/>
          <w:szCs w:val="21"/>
        </w:rPr>
        <w:t>万平方米，同比下降</w:t>
      </w:r>
      <w:r w:rsidRPr="00454720">
        <w:rPr>
          <w:rFonts w:ascii="Arial" w:hAnsi="Arial" w:hint="eastAsia"/>
          <w:color w:val="000000"/>
          <w:sz w:val="21"/>
          <w:szCs w:val="21"/>
        </w:rPr>
        <w:t>3.5%</w:t>
      </w:r>
      <w:r w:rsidRPr="00454720">
        <w:rPr>
          <w:rFonts w:ascii="Arial" w:hAnsi="Arial" w:hint="eastAsia"/>
          <w:color w:val="000000"/>
          <w:sz w:val="21"/>
          <w:szCs w:val="21"/>
        </w:rPr>
        <w:t>，其中住宅销售面积</w:t>
      </w:r>
      <w:r w:rsidRPr="00454720">
        <w:rPr>
          <w:rFonts w:ascii="Arial" w:hAnsi="Arial" w:hint="eastAsia"/>
          <w:color w:val="000000"/>
          <w:sz w:val="21"/>
          <w:szCs w:val="21"/>
        </w:rPr>
        <w:t>491.7</w:t>
      </w:r>
      <w:r w:rsidRPr="00454720">
        <w:rPr>
          <w:rFonts w:ascii="Arial" w:hAnsi="Arial" w:hint="eastAsia"/>
          <w:color w:val="000000"/>
          <w:sz w:val="21"/>
          <w:szCs w:val="21"/>
        </w:rPr>
        <w:t>万平方米，下降</w:t>
      </w:r>
      <w:r w:rsidRPr="00454720">
        <w:rPr>
          <w:rFonts w:ascii="Arial" w:hAnsi="Arial" w:hint="eastAsia"/>
          <w:color w:val="000000"/>
          <w:sz w:val="21"/>
          <w:szCs w:val="21"/>
        </w:rPr>
        <w:t>8.2%</w:t>
      </w:r>
      <w:r w:rsidRPr="00454720">
        <w:rPr>
          <w:rFonts w:ascii="Arial" w:hAnsi="Arial" w:hint="eastAsia"/>
          <w:color w:val="000000"/>
          <w:sz w:val="21"/>
          <w:szCs w:val="21"/>
        </w:rPr>
        <w:t>，住宅中的纯商品住宅销售面积增长</w:t>
      </w:r>
      <w:r w:rsidRPr="00454720">
        <w:rPr>
          <w:rFonts w:ascii="Arial" w:hAnsi="Arial" w:hint="eastAsia"/>
          <w:color w:val="000000"/>
          <w:sz w:val="21"/>
          <w:szCs w:val="21"/>
        </w:rPr>
        <w:t>20.1%</w:t>
      </w:r>
      <w:r w:rsidRPr="00EC06B5">
        <w:rPr>
          <w:rFonts w:ascii="Arial" w:hAnsi="Arial" w:hint="eastAsia"/>
          <w:color w:val="000000"/>
          <w:sz w:val="21"/>
          <w:szCs w:val="21"/>
        </w:rPr>
        <w:t>。</w:t>
      </w:r>
    </w:p>
    <w:p w14:paraId="0A553A54" w14:textId="77777777" w:rsidR="00941FE0" w:rsidRPr="00454720"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年前三季度，北京市房地产开发投资同比下降</w:t>
      </w:r>
      <w:r w:rsidRPr="00454720">
        <w:rPr>
          <w:rFonts w:ascii="Arial" w:hAnsi="Arial" w:hint="eastAsia"/>
          <w:color w:val="000000"/>
          <w:sz w:val="21"/>
          <w:szCs w:val="21"/>
        </w:rPr>
        <w:t>13.7%</w:t>
      </w:r>
      <w:r w:rsidRPr="00454720">
        <w:rPr>
          <w:rFonts w:ascii="Arial" w:hAnsi="Arial" w:hint="eastAsia"/>
          <w:color w:val="000000"/>
          <w:sz w:val="21"/>
          <w:szCs w:val="21"/>
        </w:rPr>
        <w:t>，房屋新开工面积</w:t>
      </w:r>
      <w:r w:rsidRPr="00454720">
        <w:rPr>
          <w:rFonts w:ascii="Arial" w:hAnsi="Arial" w:hint="eastAsia"/>
          <w:color w:val="000000"/>
          <w:sz w:val="21"/>
          <w:szCs w:val="21"/>
        </w:rPr>
        <w:t>912</w:t>
      </w:r>
      <w:r w:rsidRPr="00454720">
        <w:rPr>
          <w:rFonts w:ascii="Arial" w:hAnsi="Arial" w:hint="eastAsia"/>
          <w:color w:val="000000"/>
          <w:sz w:val="21"/>
          <w:szCs w:val="21"/>
        </w:rPr>
        <w:t>万平方米，同比下降</w:t>
      </w:r>
      <w:r w:rsidRPr="00454720">
        <w:rPr>
          <w:rFonts w:ascii="Arial" w:hAnsi="Arial" w:hint="eastAsia"/>
          <w:color w:val="000000"/>
          <w:sz w:val="21"/>
          <w:szCs w:val="21"/>
        </w:rPr>
        <w:t>7.4%</w:t>
      </w:r>
      <w:r w:rsidRPr="00454720">
        <w:rPr>
          <w:rFonts w:ascii="Arial" w:hAnsi="Arial" w:hint="eastAsia"/>
          <w:color w:val="000000"/>
          <w:sz w:val="21"/>
          <w:szCs w:val="21"/>
        </w:rPr>
        <w:t>。其中，住宅新开工面积</w:t>
      </w:r>
      <w:r w:rsidRPr="00454720">
        <w:rPr>
          <w:rFonts w:ascii="Arial" w:hAnsi="Arial" w:hint="eastAsia"/>
          <w:color w:val="000000"/>
          <w:sz w:val="21"/>
          <w:szCs w:val="21"/>
        </w:rPr>
        <w:t>576.6</w:t>
      </w:r>
      <w:r w:rsidRPr="00454720">
        <w:rPr>
          <w:rFonts w:ascii="Arial" w:hAnsi="Arial" w:hint="eastAsia"/>
          <w:color w:val="000000"/>
          <w:sz w:val="21"/>
          <w:szCs w:val="21"/>
        </w:rPr>
        <w:t>万平方米，下降</w:t>
      </w:r>
      <w:r w:rsidRPr="00454720">
        <w:rPr>
          <w:rFonts w:ascii="Arial" w:hAnsi="Arial" w:hint="eastAsia"/>
          <w:color w:val="000000"/>
          <w:sz w:val="21"/>
          <w:szCs w:val="21"/>
        </w:rPr>
        <w:t>6%</w:t>
      </w:r>
      <w:r w:rsidRPr="00454720">
        <w:rPr>
          <w:rFonts w:ascii="Arial" w:hAnsi="Arial" w:hint="eastAsia"/>
          <w:color w:val="000000"/>
          <w:sz w:val="21"/>
          <w:szCs w:val="21"/>
        </w:rPr>
        <w:t>；办公楼</w:t>
      </w:r>
      <w:r w:rsidRPr="00454720">
        <w:rPr>
          <w:rFonts w:ascii="Arial" w:hAnsi="Arial" w:hint="eastAsia"/>
          <w:color w:val="000000"/>
          <w:sz w:val="21"/>
          <w:szCs w:val="21"/>
        </w:rPr>
        <w:t>26.7</w:t>
      </w:r>
      <w:r w:rsidRPr="00454720">
        <w:rPr>
          <w:rFonts w:ascii="Arial" w:hAnsi="Arial" w:hint="eastAsia"/>
          <w:color w:val="000000"/>
          <w:sz w:val="21"/>
          <w:szCs w:val="21"/>
        </w:rPr>
        <w:t>万平方米，增长</w:t>
      </w:r>
      <w:r w:rsidRPr="00454720">
        <w:rPr>
          <w:rFonts w:ascii="Arial" w:hAnsi="Arial" w:hint="eastAsia"/>
          <w:color w:val="000000"/>
          <w:sz w:val="21"/>
          <w:szCs w:val="21"/>
        </w:rPr>
        <w:t>39%</w:t>
      </w:r>
      <w:r w:rsidRPr="00454720">
        <w:rPr>
          <w:rFonts w:ascii="Arial" w:hAnsi="Arial" w:hint="eastAsia"/>
          <w:color w:val="000000"/>
          <w:sz w:val="21"/>
          <w:szCs w:val="21"/>
        </w:rPr>
        <w:t>；商业营业用房</w:t>
      </w:r>
      <w:r w:rsidRPr="00454720">
        <w:rPr>
          <w:rFonts w:ascii="Arial" w:hAnsi="Arial" w:hint="eastAsia"/>
          <w:color w:val="000000"/>
          <w:sz w:val="21"/>
          <w:szCs w:val="21"/>
        </w:rPr>
        <w:t>45.7</w:t>
      </w:r>
      <w:r w:rsidRPr="00454720">
        <w:rPr>
          <w:rFonts w:ascii="Arial" w:hAnsi="Arial" w:hint="eastAsia"/>
          <w:color w:val="000000"/>
          <w:sz w:val="21"/>
          <w:szCs w:val="21"/>
        </w:rPr>
        <w:t>万平方米，增长</w:t>
      </w:r>
      <w:r w:rsidRPr="00454720">
        <w:rPr>
          <w:rFonts w:ascii="Arial" w:hAnsi="Arial" w:hint="eastAsia"/>
          <w:color w:val="000000"/>
          <w:sz w:val="21"/>
          <w:szCs w:val="21"/>
        </w:rPr>
        <w:t>0.3%</w:t>
      </w:r>
      <w:r w:rsidRPr="00454720">
        <w:rPr>
          <w:rFonts w:ascii="Arial" w:hAnsi="Arial" w:hint="eastAsia"/>
          <w:color w:val="000000"/>
          <w:sz w:val="21"/>
          <w:szCs w:val="21"/>
        </w:rPr>
        <w:t>。</w:t>
      </w:r>
    </w:p>
    <w:p w14:paraId="02AB649D"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北京市房屋竣工面积</w:t>
      </w:r>
      <w:r w:rsidRPr="00454720">
        <w:rPr>
          <w:rFonts w:ascii="Arial" w:hAnsi="Arial" w:hint="eastAsia"/>
          <w:color w:val="000000"/>
          <w:sz w:val="21"/>
          <w:szCs w:val="21"/>
        </w:rPr>
        <w:t>787.8</w:t>
      </w:r>
      <w:r w:rsidRPr="00454720">
        <w:rPr>
          <w:rFonts w:ascii="Arial" w:hAnsi="Arial" w:hint="eastAsia"/>
          <w:color w:val="000000"/>
          <w:sz w:val="21"/>
          <w:szCs w:val="21"/>
        </w:rPr>
        <w:t>万平方米，同比增长</w:t>
      </w:r>
      <w:r w:rsidRPr="00454720">
        <w:rPr>
          <w:rFonts w:ascii="Arial" w:hAnsi="Arial" w:hint="eastAsia"/>
          <w:color w:val="000000"/>
          <w:sz w:val="21"/>
          <w:szCs w:val="21"/>
        </w:rPr>
        <w:t>6.1%</w:t>
      </w:r>
      <w:r w:rsidRPr="00454720">
        <w:rPr>
          <w:rFonts w:ascii="Arial" w:hAnsi="Arial" w:hint="eastAsia"/>
          <w:color w:val="000000"/>
          <w:sz w:val="21"/>
          <w:szCs w:val="21"/>
        </w:rPr>
        <w:t>。其中，住宅竣工面积</w:t>
      </w:r>
      <w:r w:rsidRPr="00454720">
        <w:rPr>
          <w:rFonts w:ascii="Arial" w:hAnsi="Arial" w:hint="eastAsia"/>
          <w:color w:val="000000"/>
          <w:sz w:val="21"/>
          <w:szCs w:val="21"/>
        </w:rPr>
        <w:t>403.3</w:t>
      </w:r>
      <w:r w:rsidRPr="00454720">
        <w:rPr>
          <w:rFonts w:ascii="Arial" w:hAnsi="Arial" w:hint="eastAsia"/>
          <w:color w:val="000000"/>
          <w:sz w:val="21"/>
          <w:szCs w:val="21"/>
        </w:rPr>
        <w:t>万平方米，下降</w:t>
      </w:r>
      <w:r w:rsidRPr="00454720">
        <w:rPr>
          <w:rFonts w:ascii="Arial" w:hAnsi="Arial" w:hint="eastAsia"/>
          <w:color w:val="000000"/>
          <w:sz w:val="21"/>
          <w:szCs w:val="21"/>
        </w:rPr>
        <w:t>1.5%</w:t>
      </w:r>
      <w:r w:rsidRPr="00454720">
        <w:rPr>
          <w:rFonts w:ascii="Arial" w:hAnsi="Arial" w:hint="eastAsia"/>
          <w:color w:val="000000"/>
          <w:sz w:val="21"/>
          <w:szCs w:val="21"/>
        </w:rPr>
        <w:t>；办公楼</w:t>
      </w:r>
      <w:r w:rsidRPr="00454720">
        <w:rPr>
          <w:rFonts w:ascii="Arial" w:hAnsi="Arial" w:hint="eastAsia"/>
          <w:color w:val="000000"/>
          <w:sz w:val="21"/>
          <w:szCs w:val="21"/>
        </w:rPr>
        <w:t>23.2</w:t>
      </w:r>
      <w:r w:rsidRPr="00454720">
        <w:rPr>
          <w:rFonts w:ascii="Arial" w:hAnsi="Arial" w:hint="eastAsia"/>
          <w:color w:val="000000"/>
          <w:sz w:val="21"/>
          <w:szCs w:val="21"/>
        </w:rPr>
        <w:t>万平方米，下降</w:t>
      </w:r>
      <w:r w:rsidRPr="00454720">
        <w:rPr>
          <w:rFonts w:ascii="Arial" w:hAnsi="Arial" w:hint="eastAsia"/>
          <w:color w:val="000000"/>
          <w:sz w:val="21"/>
          <w:szCs w:val="21"/>
        </w:rPr>
        <w:t>33%</w:t>
      </w:r>
      <w:r w:rsidRPr="00454720">
        <w:rPr>
          <w:rFonts w:ascii="Arial" w:hAnsi="Arial" w:hint="eastAsia"/>
          <w:color w:val="000000"/>
          <w:sz w:val="21"/>
          <w:szCs w:val="21"/>
        </w:rPr>
        <w:t>；商业营业用房</w:t>
      </w:r>
      <w:r w:rsidRPr="00454720">
        <w:rPr>
          <w:rFonts w:ascii="Arial" w:hAnsi="Arial" w:hint="eastAsia"/>
          <w:color w:val="000000"/>
          <w:sz w:val="21"/>
          <w:szCs w:val="21"/>
        </w:rPr>
        <w:t>78.7</w:t>
      </w:r>
      <w:r w:rsidRPr="00454720">
        <w:rPr>
          <w:rFonts w:ascii="Arial" w:hAnsi="Arial" w:hint="eastAsia"/>
          <w:color w:val="000000"/>
          <w:sz w:val="21"/>
          <w:szCs w:val="21"/>
        </w:rPr>
        <w:t>万平方米，增长</w:t>
      </w:r>
      <w:r w:rsidRPr="00454720">
        <w:rPr>
          <w:rFonts w:ascii="Arial" w:hAnsi="Arial" w:hint="eastAsia"/>
          <w:color w:val="000000"/>
          <w:sz w:val="21"/>
          <w:szCs w:val="21"/>
        </w:rPr>
        <w:t>1.2</w:t>
      </w:r>
      <w:r w:rsidRPr="00454720">
        <w:rPr>
          <w:rFonts w:ascii="Arial" w:hAnsi="Arial" w:hint="eastAsia"/>
          <w:color w:val="000000"/>
          <w:sz w:val="21"/>
          <w:szCs w:val="21"/>
        </w:rPr>
        <w:t>倍</w:t>
      </w:r>
      <w:r w:rsidRPr="00EC06B5">
        <w:rPr>
          <w:rFonts w:ascii="Arial" w:hAnsi="Arial" w:hint="eastAsia"/>
          <w:color w:val="000000"/>
          <w:sz w:val="21"/>
          <w:szCs w:val="21"/>
        </w:rPr>
        <w:t>。</w:t>
      </w:r>
    </w:p>
    <w:p w14:paraId="043F8214"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总的来看，</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r w:rsidRPr="00EC06B5">
        <w:rPr>
          <w:rFonts w:ascii="Arial" w:hAnsi="Arial" w:hint="eastAsia"/>
          <w:color w:val="000000"/>
          <w:sz w:val="21"/>
          <w:szCs w:val="21"/>
        </w:rPr>
        <w:t>。</w:t>
      </w:r>
    </w:p>
    <w:p w14:paraId="136DDEBC" w14:textId="77777777" w:rsidR="00941FE0" w:rsidRPr="00EC06B5" w:rsidRDefault="00941FE0" w:rsidP="00941FE0">
      <w:pPr>
        <w:widowControl/>
        <w:overflowPunct w:val="0"/>
        <w:spacing w:line="480" w:lineRule="auto"/>
        <w:ind w:firstLineChars="200" w:firstLine="420"/>
        <w:jc w:val="both"/>
        <w:textAlignment w:val="auto"/>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790695DF" w14:textId="77777777" w:rsidR="00941FE0" w:rsidRPr="00EC06B5" w:rsidRDefault="00941FE0" w:rsidP="00941FE0">
      <w:pPr>
        <w:widowControl/>
        <w:overflowPunct w:val="0"/>
        <w:spacing w:line="480" w:lineRule="auto"/>
        <w:ind w:firstLineChars="200" w:firstLine="420"/>
        <w:jc w:val="both"/>
        <w:textAlignment w:val="auto"/>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0CB076D3"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北京商品住宅用地共推出</w:t>
      </w:r>
      <w:r w:rsidRPr="00110642">
        <w:rPr>
          <w:rFonts w:ascii="Arial" w:hAnsi="Arial" w:hint="eastAsia"/>
          <w:color w:val="000000"/>
          <w:sz w:val="21"/>
          <w:szCs w:val="21"/>
        </w:rPr>
        <w:t>8</w:t>
      </w:r>
      <w:r w:rsidRPr="00110642">
        <w:rPr>
          <w:rFonts w:ascii="Arial" w:hAnsi="Arial"/>
          <w:color w:val="000000"/>
          <w:sz w:val="21"/>
          <w:szCs w:val="21"/>
        </w:rPr>
        <w:t>宗，累计供应规划建面</w:t>
      </w:r>
      <w:r w:rsidRPr="00110642">
        <w:rPr>
          <w:rFonts w:ascii="Arial" w:hAnsi="Arial" w:hint="eastAsia"/>
          <w:color w:val="000000"/>
          <w:sz w:val="21"/>
          <w:szCs w:val="21"/>
        </w:rPr>
        <w:t>44.96</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w:t>
      </w:r>
      <w:r w:rsidRPr="00110642">
        <w:rPr>
          <w:rFonts w:ascii="Arial" w:hAnsi="Arial" w:hint="eastAsia"/>
          <w:color w:val="000000"/>
          <w:sz w:val="21"/>
          <w:szCs w:val="21"/>
        </w:rPr>
        <w:t>下降</w:t>
      </w:r>
      <w:r w:rsidRPr="00110642">
        <w:rPr>
          <w:rFonts w:ascii="Arial" w:hAnsi="Arial" w:hint="eastAsia"/>
          <w:color w:val="000000"/>
          <w:sz w:val="21"/>
          <w:szCs w:val="21"/>
        </w:rPr>
        <w:t>57.1</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w:t>
      </w:r>
      <w:r w:rsidRPr="00110642">
        <w:rPr>
          <w:rFonts w:ascii="Arial" w:hAnsi="Arial" w:hint="eastAsia"/>
          <w:color w:val="000000"/>
          <w:sz w:val="21"/>
          <w:szCs w:val="21"/>
        </w:rPr>
        <w:t>共</w:t>
      </w:r>
      <w:r w:rsidRPr="00110642">
        <w:rPr>
          <w:rFonts w:ascii="Arial" w:hAnsi="Arial"/>
          <w:color w:val="000000"/>
          <w:sz w:val="21"/>
          <w:szCs w:val="21"/>
        </w:rPr>
        <w:t>成交</w:t>
      </w:r>
      <w:r w:rsidRPr="00110642">
        <w:rPr>
          <w:rFonts w:ascii="Arial" w:hAnsi="Arial" w:hint="eastAsia"/>
          <w:color w:val="000000"/>
          <w:sz w:val="21"/>
          <w:szCs w:val="21"/>
        </w:rPr>
        <w:t>7</w:t>
      </w:r>
      <w:r w:rsidRPr="00110642">
        <w:rPr>
          <w:rFonts w:ascii="Arial" w:hAnsi="Arial"/>
          <w:color w:val="000000"/>
          <w:sz w:val="21"/>
          <w:szCs w:val="21"/>
        </w:rPr>
        <w:t>宗，成交规划建面</w:t>
      </w:r>
      <w:r w:rsidRPr="00110642">
        <w:rPr>
          <w:rFonts w:ascii="Arial" w:hAnsi="Arial" w:hint="eastAsia"/>
          <w:color w:val="000000"/>
          <w:sz w:val="21"/>
          <w:szCs w:val="21"/>
        </w:rPr>
        <w:t>32.01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，同比下降</w:t>
      </w:r>
      <w:r w:rsidRPr="00110642">
        <w:rPr>
          <w:rFonts w:ascii="Arial" w:hAnsi="Arial" w:hint="eastAsia"/>
          <w:color w:val="000000"/>
          <w:sz w:val="21"/>
          <w:szCs w:val="21"/>
        </w:rPr>
        <w:t>70.8</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hint="eastAsia"/>
          <w:color w:val="000000"/>
          <w:sz w:val="21"/>
          <w:szCs w:val="21"/>
        </w:rPr>
        <w:t>土地成交价款合计</w:t>
      </w:r>
      <w:r w:rsidRPr="00110642">
        <w:rPr>
          <w:rFonts w:ascii="Arial" w:hAnsi="Arial" w:hint="eastAsia"/>
          <w:color w:val="000000"/>
          <w:sz w:val="21"/>
          <w:szCs w:val="21"/>
        </w:rPr>
        <w:t>115.77</w:t>
      </w:r>
      <w:r w:rsidRPr="00110642">
        <w:rPr>
          <w:rFonts w:ascii="Arial" w:hAnsi="Arial" w:hint="eastAsia"/>
          <w:color w:val="000000"/>
          <w:sz w:val="21"/>
          <w:szCs w:val="21"/>
        </w:rPr>
        <w:t>亿元，同比下降</w:t>
      </w:r>
      <w:r w:rsidRPr="00110642">
        <w:rPr>
          <w:rFonts w:ascii="Arial" w:hAnsi="Arial" w:hint="eastAsia"/>
          <w:color w:val="000000"/>
          <w:sz w:val="21"/>
          <w:szCs w:val="21"/>
        </w:rPr>
        <w:t>58.7%</w:t>
      </w:r>
      <w:r w:rsidRPr="00110642">
        <w:rPr>
          <w:rFonts w:ascii="Arial" w:hAnsi="Arial" w:hint="eastAsia"/>
          <w:color w:val="000000"/>
          <w:sz w:val="21"/>
          <w:szCs w:val="21"/>
        </w:rPr>
        <w:t>。与上半年相比，三季度土地市场明显转冷，住宅用地供求规模显著下降，除太阳宫地块外，均底价成交</w:t>
      </w:r>
      <w:r w:rsidRPr="00EC06B5">
        <w:rPr>
          <w:rFonts w:ascii="Arial" w:hAnsi="Arial" w:hint="eastAsia"/>
          <w:color w:val="000000"/>
          <w:sz w:val="21"/>
          <w:szCs w:val="21"/>
        </w:rPr>
        <w:t>。</w:t>
      </w:r>
    </w:p>
    <w:p w14:paraId="68CB409C" w14:textId="77777777" w:rsidR="00941FE0" w:rsidRPr="00EC06B5" w:rsidRDefault="00941FE0" w:rsidP="00941FE0">
      <w:pPr>
        <w:overflowPunct w:val="0"/>
        <w:spacing w:line="360" w:lineRule="auto"/>
        <w:jc w:val="center"/>
        <w:rPr>
          <w:rFonts w:ascii="Arial" w:eastAsia="仿宋_GB2312" w:hAnsi="Arial"/>
          <w:b/>
          <w:bCs/>
          <w:color w:val="000000"/>
          <w:szCs w:val="24"/>
        </w:rPr>
      </w:pPr>
      <w:r w:rsidRPr="00E666A9">
        <w:rPr>
          <w:noProof/>
        </w:rPr>
        <w:lastRenderedPageBreak/>
        <w:drawing>
          <wp:inline distT="0" distB="0" distL="0" distR="0" wp14:anchorId="640D7B4B" wp14:editId="743FCD5A">
            <wp:extent cx="4530725" cy="2440305"/>
            <wp:effectExtent l="0" t="0" r="0" b="0"/>
            <wp:docPr id="62775430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30725" cy="2440305"/>
                    </a:xfrm>
                    <a:prstGeom prst="rect">
                      <a:avLst/>
                    </a:prstGeom>
                    <a:noFill/>
                    <a:ln>
                      <a:noFill/>
                    </a:ln>
                  </pic:spPr>
                </pic:pic>
              </a:graphicData>
            </a:graphic>
          </wp:inline>
        </w:drawing>
      </w:r>
    </w:p>
    <w:p w14:paraId="587A9735" w14:textId="77777777" w:rsidR="00941FE0" w:rsidRPr="00EC06B5" w:rsidRDefault="00941FE0" w:rsidP="00941FE0">
      <w:pPr>
        <w:widowControl/>
        <w:overflowPunct w:val="0"/>
        <w:spacing w:line="480" w:lineRule="auto"/>
        <w:ind w:firstLineChars="200" w:firstLine="420"/>
        <w:jc w:val="both"/>
        <w:textAlignment w:val="auto"/>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7207B3BA"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，北京市商品住宅用地中心城区朝阳、丰台累计成交</w:t>
      </w:r>
      <w:r w:rsidRPr="00110642">
        <w:rPr>
          <w:rFonts w:ascii="Arial" w:hAnsi="Arial" w:hint="eastAsia"/>
          <w:color w:val="000000"/>
          <w:sz w:val="21"/>
          <w:szCs w:val="21"/>
        </w:rPr>
        <w:t>3</w:t>
      </w:r>
      <w:r w:rsidRPr="00110642">
        <w:rPr>
          <w:rFonts w:ascii="Arial" w:hAnsi="Arial"/>
          <w:color w:val="000000"/>
          <w:sz w:val="21"/>
          <w:szCs w:val="21"/>
        </w:rPr>
        <w:t>宗宅地，累计成交规划建面</w:t>
      </w:r>
      <w:r w:rsidRPr="00110642">
        <w:rPr>
          <w:rFonts w:ascii="Arial" w:hAnsi="Arial" w:hint="eastAsia"/>
          <w:color w:val="000000"/>
          <w:sz w:val="21"/>
          <w:szCs w:val="21"/>
        </w:rPr>
        <w:t>11.61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w:t>
      </w:r>
      <w:r w:rsidRPr="00110642">
        <w:rPr>
          <w:rFonts w:ascii="Arial" w:hAnsi="Arial" w:hint="eastAsia"/>
          <w:color w:val="000000"/>
          <w:sz w:val="21"/>
          <w:szCs w:val="21"/>
        </w:rPr>
        <w:t>36</w:t>
      </w:r>
      <w:r w:rsidRPr="00110642">
        <w:rPr>
          <w:rFonts w:ascii="Arial" w:hAnsi="Arial"/>
          <w:color w:val="000000"/>
          <w:sz w:val="21"/>
          <w:szCs w:val="21"/>
        </w:rPr>
        <w:t>%</w:t>
      </w:r>
      <w:r w:rsidRPr="00110642">
        <w:rPr>
          <w:rFonts w:ascii="Arial" w:hAnsi="Arial"/>
          <w:color w:val="000000"/>
          <w:sz w:val="21"/>
          <w:szCs w:val="21"/>
        </w:rPr>
        <w:t>，较上年同期增长</w:t>
      </w:r>
      <w:r w:rsidRPr="00110642">
        <w:rPr>
          <w:rFonts w:ascii="Arial" w:hAnsi="Arial" w:hint="eastAsia"/>
          <w:color w:val="000000"/>
          <w:sz w:val="21"/>
          <w:szCs w:val="21"/>
        </w:rPr>
        <w:t>21</w:t>
      </w:r>
      <w:r w:rsidRPr="00110642">
        <w:rPr>
          <w:rFonts w:ascii="Arial" w:hAnsi="Arial"/>
          <w:color w:val="000000"/>
          <w:sz w:val="21"/>
          <w:szCs w:val="21"/>
        </w:rPr>
        <w:t>个百分点。近郊区主要集中在</w:t>
      </w:r>
      <w:r w:rsidRPr="00110642">
        <w:rPr>
          <w:rFonts w:ascii="Arial" w:hAnsi="Arial" w:hint="eastAsia"/>
          <w:color w:val="000000"/>
          <w:sz w:val="21"/>
          <w:szCs w:val="21"/>
        </w:rPr>
        <w:t>昌平、门头沟和</w:t>
      </w:r>
      <w:r w:rsidRPr="00110642">
        <w:rPr>
          <w:rFonts w:ascii="Arial" w:hAnsi="Arial"/>
          <w:color w:val="000000"/>
          <w:sz w:val="21"/>
          <w:szCs w:val="21"/>
        </w:rPr>
        <w:t>顺义，累计成交</w:t>
      </w:r>
      <w:r w:rsidRPr="00110642">
        <w:rPr>
          <w:rFonts w:ascii="Arial" w:hAnsi="Arial" w:hint="eastAsia"/>
          <w:color w:val="000000"/>
          <w:sz w:val="21"/>
          <w:szCs w:val="21"/>
        </w:rPr>
        <w:t>16.78</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，占比为</w:t>
      </w:r>
      <w:r w:rsidRPr="00110642">
        <w:rPr>
          <w:rFonts w:ascii="Arial" w:hAnsi="Arial" w:hint="eastAsia"/>
          <w:color w:val="000000"/>
          <w:sz w:val="21"/>
          <w:szCs w:val="21"/>
        </w:rPr>
        <w:t>52</w:t>
      </w:r>
      <w:r w:rsidRPr="00110642">
        <w:rPr>
          <w:rFonts w:ascii="Arial" w:hAnsi="Arial"/>
          <w:color w:val="000000"/>
          <w:sz w:val="21"/>
          <w:szCs w:val="21"/>
        </w:rPr>
        <w:t>%</w:t>
      </w:r>
      <w:r w:rsidRPr="00110642">
        <w:rPr>
          <w:rFonts w:ascii="Arial" w:hAnsi="Arial"/>
          <w:color w:val="000000"/>
          <w:sz w:val="21"/>
          <w:szCs w:val="21"/>
        </w:rPr>
        <w:t>，较去年同期下降</w:t>
      </w:r>
      <w:r w:rsidRPr="00110642">
        <w:rPr>
          <w:rFonts w:ascii="Arial" w:hAnsi="Arial" w:hint="eastAsia"/>
          <w:color w:val="000000"/>
          <w:sz w:val="21"/>
          <w:szCs w:val="21"/>
        </w:rPr>
        <w:t>33</w:t>
      </w:r>
      <w:r w:rsidRPr="00110642">
        <w:rPr>
          <w:rFonts w:ascii="Arial" w:hAnsi="Arial"/>
          <w:color w:val="000000"/>
          <w:sz w:val="21"/>
          <w:szCs w:val="21"/>
        </w:rPr>
        <w:t>个百分点；</w:t>
      </w:r>
      <w:r w:rsidRPr="00110642">
        <w:rPr>
          <w:rFonts w:ascii="Arial" w:hAnsi="Arial" w:hint="eastAsia"/>
          <w:color w:val="000000"/>
          <w:sz w:val="21"/>
          <w:szCs w:val="21"/>
        </w:rPr>
        <w:t>延庆</w:t>
      </w:r>
      <w:r w:rsidRPr="00110642">
        <w:rPr>
          <w:rFonts w:ascii="Arial" w:hAnsi="Arial"/>
          <w:color w:val="000000"/>
          <w:sz w:val="21"/>
          <w:szCs w:val="21"/>
        </w:rPr>
        <w:t>区成交</w:t>
      </w:r>
      <w:r w:rsidRPr="00110642">
        <w:rPr>
          <w:rFonts w:ascii="Arial" w:hAnsi="Arial" w:hint="eastAsia"/>
          <w:color w:val="000000"/>
          <w:sz w:val="21"/>
          <w:szCs w:val="21"/>
        </w:rPr>
        <w:t>1</w:t>
      </w:r>
      <w:r w:rsidRPr="00110642">
        <w:rPr>
          <w:rFonts w:ascii="Arial" w:hAnsi="Arial" w:hint="eastAsia"/>
          <w:color w:val="000000"/>
          <w:sz w:val="21"/>
          <w:szCs w:val="21"/>
        </w:rPr>
        <w:t>宗宅地，占比</w:t>
      </w:r>
      <w:r w:rsidRPr="00110642">
        <w:rPr>
          <w:rFonts w:ascii="Arial" w:hAnsi="Arial" w:hint="eastAsia"/>
          <w:color w:val="000000"/>
          <w:sz w:val="21"/>
          <w:szCs w:val="21"/>
        </w:rPr>
        <w:t>11%</w:t>
      </w:r>
      <w:r w:rsidRPr="00EC06B5">
        <w:rPr>
          <w:rFonts w:ascii="Arial" w:hAnsi="Arial" w:hint="eastAsia"/>
          <w:color w:val="000000"/>
          <w:sz w:val="21"/>
          <w:szCs w:val="21"/>
        </w:rPr>
        <w:t>。</w:t>
      </w:r>
    </w:p>
    <w:p w14:paraId="2C86E0DB" w14:textId="77777777" w:rsidR="00941FE0" w:rsidRPr="00EC06B5" w:rsidRDefault="00941FE0" w:rsidP="00941FE0">
      <w:pPr>
        <w:overflowPunct w:val="0"/>
        <w:spacing w:line="360" w:lineRule="auto"/>
        <w:jc w:val="center"/>
        <w:textAlignment w:val="auto"/>
        <w:rPr>
          <w:rFonts w:ascii="Arial" w:eastAsia="仿宋_GB2312" w:hAnsi="Arial"/>
          <w:bCs/>
          <w:color w:val="000000"/>
          <w:sz w:val="28"/>
          <w:szCs w:val="28"/>
        </w:rPr>
      </w:pPr>
      <w:r w:rsidRPr="00E666A9">
        <w:rPr>
          <w:noProof/>
        </w:rPr>
        <w:drawing>
          <wp:inline distT="0" distB="0" distL="0" distR="0" wp14:anchorId="4EB5DF1E" wp14:editId="323D719E">
            <wp:extent cx="5908040" cy="2945130"/>
            <wp:effectExtent l="0" t="0" r="0" b="0"/>
            <wp:docPr id="62775430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8040" cy="2945130"/>
                    </a:xfrm>
                    <a:prstGeom prst="rect">
                      <a:avLst/>
                    </a:prstGeom>
                    <a:noFill/>
                    <a:ln>
                      <a:noFill/>
                    </a:ln>
                  </pic:spPr>
                </pic:pic>
              </a:graphicData>
            </a:graphic>
          </wp:inline>
        </w:drawing>
      </w:r>
    </w:p>
    <w:p w14:paraId="4D6CF5D1" w14:textId="77777777" w:rsidR="00941FE0" w:rsidRPr="00DF712D" w:rsidRDefault="00941FE0" w:rsidP="00941FE0">
      <w:pPr>
        <w:widowControl/>
        <w:overflowPunct w:val="0"/>
        <w:spacing w:line="480" w:lineRule="auto"/>
        <w:ind w:firstLineChars="200" w:firstLine="420"/>
        <w:jc w:val="both"/>
        <w:textAlignment w:val="auto"/>
        <w:rPr>
          <w:rFonts w:ascii="Arial" w:hAnsi="Arial"/>
          <w:sz w:val="21"/>
          <w:szCs w:val="28"/>
        </w:rPr>
      </w:pPr>
      <w:r w:rsidRPr="00110642">
        <w:rPr>
          <w:rFonts w:ascii="Arial" w:hAnsi="Arial" w:hint="eastAsia"/>
          <w:color w:val="000000"/>
          <w:sz w:val="21"/>
          <w:szCs w:val="21"/>
        </w:rPr>
        <w:t>从不同区域来看，中心城区成交规模同比下降</w:t>
      </w:r>
      <w:r w:rsidRPr="00110642">
        <w:rPr>
          <w:rFonts w:ascii="Arial" w:hAnsi="Arial" w:hint="eastAsia"/>
          <w:color w:val="000000"/>
          <w:sz w:val="21"/>
          <w:szCs w:val="21"/>
        </w:rPr>
        <w:t>31%</w:t>
      </w:r>
      <w:r w:rsidRPr="00110642">
        <w:rPr>
          <w:rFonts w:ascii="Arial" w:hAnsi="Arial" w:hint="eastAsia"/>
          <w:color w:val="000000"/>
          <w:sz w:val="21"/>
          <w:szCs w:val="21"/>
        </w:rPr>
        <w:t>，其中东城、海淀无成交；近郊区成交规模同比下降</w:t>
      </w:r>
      <w:r w:rsidRPr="00110642">
        <w:rPr>
          <w:rFonts w:ascii="Arial" w:hAnsi="Arial" w:hint="eastAsia"/>
          <w:color w:val="000000"/>
          <w:sz w:val="21"/>
          <w:szCs w:val="21"/>
        </w:rPr>
        <w:t>82%</w:t>
      </w:r>
      <w:r w:rsidRPr="00110642">
        <w:rPr>
          <w:rFonts w:ascii="Arial" w:hAnsi="Arial" w:hint="eastAsia"/>
          <w:color w:val="000000"/>
          <w:sz w:val="21"/>
          <w:szCs w:val="21"/>
        </w:rPr>
        <w:t>，其中大兴、房山、通州均无住宅用地成交，顺义同比下降</w:t>
      </w:r>
      <w:r w:rsidRPr="00110642">
        <w:rPr>
          <w:rFonts w:ascii="Arial" w:hAnsi="Arial" w:hint="eastAsia"/>
          <w:color w:val="000000"/>
          <w:sz w:val="21"/>
          <w:szCs w:val="21"/>
        </w:rPr>
        <w:t>80%</w:t>
      </w:r>
      <w:r w:rsidRPr="00110642">
        <w:rPr>
          <w:rFonts w:ascii="Arial" w:hAnsi="Arial" w:hint="eastAsia"/>
          <w:color w:val="000000"/>
          <w:sz w:val="21"/>
          <w:szCs w:val="21"/>
        </w:rPr>
        <w:t>，门头沟和昌平同比分别下降</w:t>
      </w:r>
      <w:r w:rsidRPr="00110642">
        <w:rPr>
          <w:rFonts w:ascii="Arial" w:hAnsi="Arial" w:hint="eastAsia"/>
          <w:color w:val="000000"/>
          <w:sz w:val="21"/>
          <w:szCs w:val="21"/>
        </w:rPr>
        <w:t>52%</w:t>
      </w:r>
      <w:r w:rsidRPr="00110642">
        <w:rPr>
          <w:rFonts w:ascii="Arial" w:hAnsi="Arial" w:hint="eastAsia"/>
          <w:color w:val="000000"/>
          <w:sz w:val="21"/>
          <w:szCs w:val="21"/>
        </w:rPr>
        <w:t>和</w:t>
      </w:r>
      <w:r w:rsidRPr="00110642">
        <w:rPr>
          <w:rFonts w:ascii="Arial" w:hAnsi="Arial" w:hint="eastAsia"/>
          <w:color w:val="000000"/>
          <w:sz w:val="21"/>
          <w:szCs w:val="21"/>
        </w:rPr>
        <w:t>42%</w:t>
      </w:r>
      <w:r w:rsidRPr="00DF712D">
        <w:rPr>
          <w:rFonts w:ascii="Arial" w:hAnsi="Arial" w:hint="eastAsia"/>
          <w:sz w:val="21"/>
          <w:szCs w:val="28"/>
        </w:rPr>
        <w:t>。</w:t>
      </w:r>
    </w:p>
    <w:p w14:paraId="681F3EF8" w14:textId="77777777" w:rsidR="00941FE0" w:rsidRPr="00EC06B5" w:rsidRDefault="00941FE0" w:rsidP="00941FE0">
      <w:pPr>
        <w:widowControl/>
        <w:overflowPunct w:val="0"/>
        <w:spacing w:line="480" w:lineRule="auto"/>
        <w:jc w:val="center"/>
        <w:textAlignment w:val="auto"/>
        <w:rPr>
          <w:noProof/>
        </w:rPr>
      </w:pPr>
      <w:r w:rsidRPr="00E666A9">
        <w:rPr>
          <w:noProof/>
        </w:rPr>
        <w:lastRenderedPageBreak/>
        <w:drawing>
          <wp:inline distT="0" distB="0" distL="0" distR="0" wp14:anchorId="7A3C8D91" wp14:editId="000FE559">
            <wp:extent cx="4269105" cy="3681095"/>
            <wp:effectExtent l="0" t="0" r="0" b="0"/>
            <wp:docPr id="62775430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69105" cy="3681095"/>
                    </a:xfrm>
                    <a:prstGeom prst="rect">
                      <a:avLst/>
                    </a:prstGeom>
                    <a:noFill/>
                    <a:ln>
                      <a:noFill/>
                    </a:ln>
                  </pic:spPr>
                </pic:pic>
              </a:graphicData>
            </a:graphic>
          </wp:inline>
        </w:drawing>
      </w:r>
    </w:p>
    <w:p w14:paraId="11BFAD74" w14:textId="77777777" w:rsidR="00941FE0" w:rsidRPr="00EC06B5" w:rsidRDefault="00941FE0" w:rsidP="00941FE0">
      <w:pPr>
        <w:overflowPunct w:val="0"/>
        <w:spacing w:line="480" w:lineRule="auto"/>
        <w:ind w:firstLineChars="200" w:firstLine="420"/>
        <w:jc w:val="both"/>
        <w:textAlignment w:val="auto"/>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016DEA33" w14:textId="77777777" w:rsidR="00941FE0" w:rsidRPr="00364904" w:rsidRDefault="00941FE0" w:rsidP="00941FE0">
      <w:pPr>
        <w:widowControl/>
        <w:overflowPunct w:val="0"/>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，在</w:t>
      </w:r>
      <w:r w:rsidRPr="00364904">
        <w:rPr>
          <w:rFonts w:ascii="Arial" w:hAnsi="Arial" w:hint="eastAsia"/>
          <w:color w:val="000000"/>
          <w:sz w:val="21"/>
          <w:szCs w:val="21"/>
        </w:rPr>
        <w:t>朝阳太阳宫、呼家楼以及丰台岳各庄</w:t>
      </w:r>
      <w:r w:rsidRPr="00364904">
        <w:rPr>
          <w:rFonts w:ascii="Arial" w:hAnsi="Arial"/>
          <w:color w:val="000000"/>
          <w:sz w:val="21"/>
          <w:szCs w:val="21"/>
        </w:rPr>
        <w:t>地块带动下，北京宅地整体成交楼面均价</w:t>
      </w:r>
      <w:r w:rsidRPr="00364904">
        <w:rPr>
          <w:rFonts w:ascii="Arial" w:hAnsi="Arial" w:hint="eastAsia"/>
          <w:color w:val="000000"/>
          <w:sz w:val="21"/>
          <w:szCs w:val="21"/>
        </w:rPr>
        <w:t>36161</w:t>
      </w:r>
      <w:r w:rsidRPr="00364904">
        <w:rPr>
          <w:rFonts w:ascii="Arial" w:hAnsi="Arial"/>
          <w:color w:val="000000"/>
          <w:sz w:val="21"/>
          <w:szCs w:val="21"/>
        </w:rPr>
        <w:t>元</w:t>
      </w:r>
      <w:r w:rsidRPr="00364904">
        <w:rPr>
          <w:rFonts w:ascii="Arial" w:hAnsi="Arial"/>
          <w:color w:val="000000"/>
          <w:sz w:val="21"/>
          <w:szCs w:val="21"/>
        </w:rPr>
        <w:t>/</w:t>
      </w:r>
      <w:r w:rsidRPr="00364904">
        <w:rPr>
          <w:rFonts w:ascii="Arial" w:hAnsi="Arial" w:hint="eastAsia"/>
          <w:color w:val="000000"/>
          <w:sz w:val="21"/>
          <w:szCs w:val="21"/>
        </w:rPr>
        <w:t>平方米</w:t>
      </w:r>
      <w:r w:rsidRPr="00364904">
        <w:rPr>
          <w:rFonts w:ascii="Arial" w:hAnsi="Arial"/>
          <w:color w:val="000000"/>
          <w:sz w:val="21"/>
          <w:szCs w:val="21"/>
        </w:rPr>
        <w:t>，同比增长</w:t>
      </w:r>
      <w:r w:rsidRPr="00364904">
        <w:rPr>
          <w:rFonts w:ascii="Arial" w:hAnsi="Arial" w:hint="eastAsia"/>
          <w:color w:val="000000"/>
          <w:sz w:val="21"/>
          <w:szCs w:val="21"/>
        </w:rPr>
        <w:t>41.4</w:t>
      </w:r>
      <w:r w:rsidRPr="00364904">
        <w:rPr>
          <w:rFonts w:ascii="Arial" w:hAnsi="Arial"/>
          <w:color w:val="000000"/>
          <w:sz w:val="21"/>
          <w:szCs w:val="21"/>
        </w:rPr>
        <w:t>%</w:t>
      </w:r>
      <w:r w:rsidRPr="00364904">
        <w:rPr>
          <w:rFonts w:ascii="Arial" w:hAnsi="Arial"/>
          <w:color w:val="000000"/>
          <w:sz w:val="21"/>
          <w:szCs w:val="21"/>
        </w:rPr>
        <w:t>。溢价率方面，受</w:t>
      </w:r>
      <w:r w:rsidRPr="00364904">
        <w:rPr>
          <w:rFonts w:ascii="Arial" w:hAnsi="Arial" w:hint="eastAsia"/>
          <w:color w:val="000000"/>
          <w:sz w:val="21"/>
          <w:szCs w:val="21"/>
        </w:rPr>
        <w:t>朝阳太阳宫</w:t>
      </w:r>
      <w:r w:rsidRPr="00364904">
        <w:rPr>
          <w:rFonts w:ascii="Arial" w:hAnsi="Arial"/>
          <w:color w:val="000000"/>
          <w:sz w:val="21"/>
          <w:szCs w:val="21"/>
        </w:rPr>
        <w:t>高溢价地块的带动下，</w:t>
      </w:r>
      <w:r w:rsidRPr="00364904">
        <w:rPr>
          <w:rFonts w:ascii="Arial" w:hAnsi="Arial" w:hint="eastAsia"/>
          <w:color w:val="000000"/>
          <w:sz w:val="21"/>
          <w:szCs w:val="21"/>
        </w:rPr>
        <w:t>三季度</w:t>
      </w:r>
      <w:r w:rsidRPr="00364904">
        <w:rPr>
          <w:rFonts w:ascii="Arial" w:hAnsi="Arial"/>
          <w:color w:val="000000"/>
          <w:sz w:val="21"/>
          <w:szCs w:val="21"/>
        </w:rPr>
        <w:t>北京宅地成交溢价率</w:t>
      </w:r>
      <w:r w:rsidRPr="00364904">
        <w:rPr>
          <w:rFonts w:ascii="Arial" w:hAnsi="Arial" w:hint="eastAsia"/>
          <w:color w:val="000000"/>
          <w:sz w:val="21"/>
          <w:szCs w:val="21"/>
        </w:rPr>
        <w:t>11.7</w:t>
      </w:r>
      <w:r w:rsidRPr="00364904">
        <w:rPr>
          <w:rFonts w:ascii="Arial" w:hAnsi="Arial"/>
          <w:color w:val="000000"/>
          <w:sz w:val="21"/>
          <w:szCs w:val="21"/>
        </w:rPr>
        <w:t>%</w:t>
      </w:r>
      <w:r w:rsidRPr="00364904">
        <w:rPr>
          <w:rFonts w:ascii="Arial" w:hAnsi="Arial"/>
          <w:color w:val="000000"/>
          <w:sz w:val="21"/>
          <w:szCs w:val="21"/>
        </w:rPr>
        <w:t>，同比提升</w:t>
      </w:r>
      <w:r w:rsidRPr="00364904">
        <w:rPr>
          <w:rFonts w:ascii="Arial" w:hAnsi="Arial" w:hint="eastAsia"/>
          <w:color w:val="000000"/>
          <w:sz w:val="21"/>
          <w:szCs w:val="21"/>
        </w:rPr>
        <w:t>10.4</w:t>
      </w:r>
      <w:r w:rsidRPr="00364904">
        <w:rPr>
          <w:rFonts w:ascii="Arial" w:hAnsi="Arial"/>
          <w:color w:val="000000"/>
          <w:sz w:val="21"/>
          <w:szCs w:val="21"/>
        </w:rPr>
        <w:t>个百分点。整体来看</w:t>
      </w:r>
      <w:r w:rsidRPr="00364904">
        <w:rPr>
          <w:rFonts w:ascii="Arial" w:hAnsi="Arial" w:hint="eastAsia"/>
          <w:color w:val="000000"/>
          <w:sz w:val="21"/>
          <w:szCs w:val="21"/>
        </w:rPr>
        <w:t>，三季度北京宅地市场热度较低，仅太阳宫地块热度较高，经过超</w:t>
      </w:r>
      <w:r w:rsidRPr="00364904">
        <w:rPr>
          <w:rFonts w:ascii="Arial" w:hAnsi="Arial" w:hint="eastAsia"/>
          <w:color w:val="000000"/>
          <w:sz w:val="21"/>
          <w:szCs w:val="21"/>
        </w:rPr>
        <w:t>330</w:t>
      </w:r>
      <w:r w:rsidRPr="00364904">
        <w:rPr>
          <w:rFonts w:ascii="Arial" w:hAnsi="Arial" w:hint="eastAsia"/>
          <w:color w:val="000000"/>
          <w:sz w:val="21"/>
          <w:szCs w:val="21"/>
        </w:rPr>
        <w:t>轮现场举牌竞价成交，溢价率</w:t>
      </w:r>
      <w:r w:rsidRPr="00364904">
        <w:rPr>
          <w:rFonts w:ascii="Arial" w:hAnsi="Arial" w:hint="eastAsia"/>
          <w:color w:val="000000"/>
          <w:sz w:val="21"/>
          <w:szCs w:val="21"/>
        </w:rPr>
        <w:t>39.18%</w:t>
      </w:r>
      <w:r w:rsidRPr="00364904">
        <w:rPr>
          <w:rFonts w:ascii="Arial" w:hAnsi="Arial"/>
          <w:color w:val="000000"/>
          <w:sz w:val="21"/>
          <w:szCs w:val="21"/>
        </w:rPr>
        <w:t>，</w:t>
      </w:r>
      <w:r w:rsidRPr="00364904">
        <w:rPr>
          <w:rFonts w:ascii="Arial" w:hAnsi="Arial" w:hint="eastAsia"/>
          <w:color w:val="000000"/>
          <w:sz w:val="21"/>
          <w:szCs w:val="21"/>
        </w:rPr>
        <w:t>而其余</w:t>
      </w:r>
      <w:r w:rsidRPr="00364904">
        <w:rPr>
          <w:rFonts w:ascii="Arial" w:hAnsi="Arial" w:hint="eastAsia"/>
          <w:color w:val="000000"/>
          <w:sz w:val="21"/>
          <w:szCs w:val="21"/>
        </w:rPr>
        <w:t>6</w:t>
      </w:r>
      <w:r w:rsidRPr="00364904">
        <w:rPr>
          <w:rFonts w:ascii="Arial" w:hAnsi="Arial"/>
          <w:color w:val="000000"/>
          <w:sz w:val="21"/>
          <w:szCs w:val="21"/>
        </w:rPr>
        <w:t>宗地块</w:t>
      </w:r>
      <w:r w:rsidRPr="00364904">
        <w:rPr>
          <w:rFonts w:ascii="Arial" w:hAnsi="Arial" w:hint="eastAsia"/>
          <w:color w:val="000000"/>
          <w:sz w:val="21"/>
          <w:szCs w:val="21"/>
        </w:rPr>
        <w:t>均</w:t>
      </w:r>
      <w:r w:rsidRPr="00364904">
        <w:rPr>
          <w:rFonts w:ascii="Arial" w:hAnsi="Arial"/>
          <w:color w:val="000000"/>
          <w:sz w:val="21"/>
          <w:szCs w:val="21"/>
        </w:rPr>
        <w:t>以底价成交。</w:t>
      </w:r>
    </w:p>
    <w:p w14:paraId="70BE5CB3" w14:textId="77777777" w:rsidR="00941FE0" w:rsidRPr="00EC06B5" w:rsidRDefault="00941FE0" w:rsidP="00941FE0">
      <w:pPr>
        <w:spacing w:line="480" w:lineRule="auto"/>
        <w:jc w:val="center"/>
        <w:rPr>
          <w:rFonts w:ascii="Arial" w:hAnsi="Arial" w:cs="Arial"/>
          <w:sz w:val="21"/>
          <w:szCs w:val="21"/>
        </w:rPr>
      </w:pPr>
      <w:r w:rsidRPr="00E666A9">
        <w:rPr>
          <w:noProof/>
        </w:rPr>
        <w:lastRenderedPageBreak/>
        <w:drawing>
          <wp:inline distT="0" distB="0" distL="0" distR="0" wp14:anchorId="7CDE2992" wp14:editId="71EDC69D">
            <wp:extent cx="5908040" cy="3313430"/>
            <wp:effectExtent l="0" t="0" r="0" b="0"/>
            <wp:docPr id="62775430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8040" cy="3313430"/>
                    </a:xfrm>
                    <a:prstGeom prst="rect">
                      <a:avLst/>
                    </a:prstGeom>
                    <a:noFill/>
                    <a:ln>
                      <a:noFill/>
                    </a:ln>
                  </pic:spPr>
                </pic:pic>
              </a:graphicData>
            </a:graphic>
          </wp:inline>
        </w:drawing>
      </w:r>
    </w:p>
    <w:p w14:paraId="51F72561" w14:textId="77777777" w:rsidR="00941FE0" w:rsidRPr="00EC06B5" w:rsidRDefault="00941FE0" w:rsidP="00941FE0">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1161E444" w14:textId="77777777" w:rsidR="00941FE0" w:rsidRPr="00EC06B5" w:rsidRDefault="00941FE0" w:rsidP="00941FE0">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737EB900" w14:textId="77777777" w:rsidR="00941FE0" w:rsidRPr="003B0D72" w:rsidRDefault="00941FE0" w:rsidP="00941FE0">
      <w:pPr>
        <w:widowControl/>
        <w:overflowPunct w:val="0"/>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北京商品住宅（不含保障</w:t>
      </w:r>
      <w:r w:rsidRPr="00364904">
        <w:rPr>
          <w:rFonts w:ascii="Arial" w:hAnsi="Arial" w:hint="eastAsia"/>
          <w:color w:val="000000"/>
          <w:sz w:val="21"/>
          <w:szCs w:val="21"/>
        </w:rPr>
        <w:t>性住</w:t>
      </w:r>
      <w:r w:rsidRPr="00364904">
        <w:rPr>
          <w:rFonts w:ascii="Arial" w:hAnsi="Arial"/>
          <w:color w:val="000000"/>
          <w:sz w:val="21"/>
          <w:szCs w:val="21"/>
        </w:rPr>
        <w:t>房）累计供应</w:t>
      </w:r>
      <w:r w:rsidRPr="00364904">
        <w:rPr>
          <w:rFonts w:ascii="Arial" w:hAnsi="Arial" w:hint="eastAsia"/>
          <w:color w:val="000000"/>
          <w:sz w:val="21"/>
          <w:szCs w:val="21"/>
        </w:rPr>
        <w:t>100</w:t>
      </w:r>
      <w:r w:rsidRPr="00364904">
        <w:rPr>
          <w:rFonts w:ascii="Arial" w:hAnsi="Arial"/>
          <w:color w:val="000000"/>
          <w:sz w:val="21"/>
          <w:szCs w:val="21"/>
        </w:rPr>
        <w:t>万</w:t>
      </w:r>
      <w:r w:rsidRPr="00364904">
        <w:rPr>
          <w:rFonts w:ascii="Arial" w:hAnsi="Arial" w:hint="eastAsia"/>
          <w:color w:val="000000"/>
          <w:sz w:val="21"/>
          <w:szCs w:val="21"/>
        </w:rPr>
        <w:t>平方米</w:t>
      </w:r>
      <w:r w:rsidRPr="00364904">
        <w:rPr>
          <w:rFonts w:ascii="Arial" w:hAnsi="Arial"/>
          <w:color w:val="000000"/>
          <w:sz w:val="21"/>
          <w:szCs w:val="21"/>
        </w:rPr>
        <w:t>，</w:t>
      </w:r>
      <w:r w:rsidRPr="00364904">
        <w:rPr>
          <w:rFonts w:ascii="Arial" w:hAnsi="Arial" w:hint="eastAsia"/>
          <w:color w:val="000000"/>
          <w:sz w:val="21"/>
          <w:szCs w:val="21"/>
        </w:rPr>
        <w:t>月均供应量居近几年同期低位</w:t>
      </w:r>
      <w:r w:rsidRPr="00364904">
        <w:rPr>
          <w:rFonts w:ascii="Arial" w:hAnsi="Arial"/>
          <w:color w:val="000000"/>
          <w:sz w:val="21"/>
          <w:szCs w:val="21"/>
        </w:rPr>
        <w:t>。</w:t>
      </w:r>
      <w:r w:rsidRPr="00364904">
        <w:rPr>
          <w:rFonts w:ascii="Arial" w:hAnsi="Arial" w:hint="eastAsia"/>
          <w:color w:val="000000"/>
          <w:sz w:val="21"/>
          <w:szCs w:val="21"/>
        </w:rPr>
        <w:t>整体来看，伴随着存量库存的去化，房企入市积极性有所增强，但整体供应量较去年同期仍略有不足。具体来看，</w:t>
      </w:r>
      <w:r w:rsidRPr="00364904">
        <w:rPr>
          <w:rFonts w:ascii="Arial" w:hAnsi="Arial" w:hint="eastAsia"/>
          <w:color w:val="000000"/>
          <w:sz w:val="21"/>
          <w:szCs w:val="21"/>
        </w:rPr>
        <w:t>7</w:t>
      </w:r>
      <w:r w:rsidRPr="00364904">
        <w:rPr>
          <w:rFonts w:ascii="Arial" w:hAnsi="Arial" w:hint="eastAsia"/>
          <w:color w:val="000000"/>
          <w:sz w:val="21"/>
          <w:szCs w:val="21"/>
        </w:rPr>
        <w:t>月，受季节性因素的影响，房企入市积极性明显下滑，新增供应规模月</w:t>
      </w:r>
      <w:r w:rsidRPr="00364904">
        <w:rPr>
          <w:rFonts w:ascii="Arial" w:hAnsi="Arial" w:hint="eastAsia"/>
          <w:color w:val="000000"/>
          <w:sz w:val="21"/>
          <w:szCs w:val="21"/>
        </w:rPr>
        <w:t>18.93</w:t>
      </w:r>
      <w:r w:rsidRPr="00364904">
        <w:rPr>
          <w:rFonts w:ascii="Arial" w:hAnsi="Arial" w:hint="eastAsia"/>
          <w:color w:val="000000"/>
          <w:sz w:val="21"/>
          <w:szCs w:val="21"/>
        </w:rPr>
        <w:t>万平方米，环比减少</w:t>
      </w:r>
      <w:r w:rsidRPr="00364904">
        <w:rPr>
          <w:rFonts w:ascii="Arial" w:hAnsi="Arial" w:hint="eastAsia"/>
          <w:color w:val="000000"/>
          <w:sz w:val="21"/>
          <w:szCs w:val="21"/>
        </w:rPr>
        <w:t>51%</w:t>
      </w:r>
      <w:r w:rsidRPr="00364904">
        <w:rPr>
          <w:rFonts w:ascii="Arial" w:hAnsi="Arial" w:hint="eastAsia"/>
          <w:color w:val="000000"/>
          <w:sz w:val="21"/>
          <w:szCs w:val="21"/>
        </w:rPr>
        <w:t>；</w:t>
      </w:r>
      <w:r w:rsidRPr="00364904">
        <w:rPr>
          <w:rFonts w:ascii="Arial" w:hAnsi="Arial" w:hint="eastAsia"/>
          <w:color w:val="000000"/>
          <w:sz w:val="21"/>
          <w:szCs w:val="21"/>
        </w:rPr>
        <w:t>8</w:t>
      </w:r>
      <w:r w:rsidRPr="00364904">
        <w:rPr>
          <w:rFonts w:ascii="Arial" w:hAnsi="Arial" w:hint="eastAsia"/>
          <w:color w:val="000000"/>
          <w:sz w:val="21"/>
          <w:szCs w:val="21"/>
        </w:rPr>
        <w:t>月新增供应规模约</w:t>
      </w:r>
      <w:r w:rsidRPr="00364904">
        <w:rPr>
          <w:rFonts w:ascii="Arial" w:hAnsi="Arial" w:hint="eastAsia"/>
          <w:color w:val="000000"/>
          <w:sz w:val="21"/>
          <w:szCs w:val="21"/>
        </w:rPr>
        <w:t>18.52</w:t>
      </w:r>
      <w:r w:rsidRPr="00364904">
        <w:rPr>
          <w:rFonts w:ascii="Arial" w:hAnsi="Arial" w:hint="eastAsia"/>
          <w:color w:val="000000"/>
          <w:sz w:val="21"/>
          <w:szCs w:val="21"/>
        </w:rPr>
        <w:t>万平方米，环比减少</w:t>
      </w:r>
      <w:r w:rsidRPr="00364904">
        <w:rPr>
          <w:rFonts w:ascii="Arial" w:hAnsi="Arial" w:hint="eastAsia"/>
          <w:color w:val="000000"/>
          <w:sz w:val="21"/>
          <w:szCs w:val="21"/>
        </w:rPr>
        <w:t>2%</w:t>
      </w:r>
      <w:r w:rsidRPr="00364904">
        <w:rPr>
          <w:rFonts w:ascii="Arial" w:hAnsi="Arial" w:hint="eastAsia"/>
          <w:color w:val="000000"/>
          <w:sz w:val="21"/>
          <w:szCs w:val="21"/>
        </w:rPr>
        <w:t>；</w:t>
      </w:r>
      <w:r w:rsidRPr="00364904">
        <w:rPr>
          <w:rFonts w:ascii="Arial" w:hAnsi="Arial" w:hint="eastAsia"/>
          <w:color w:val="000000"/>
          <w:sz w:val="21"/>
          <w:szCs w:val="21"/>
        </w:rPr>
        <w:t>9</w:t>
      </w:r>
      <w:r w:rsidRPr="00364904">
        <w:rPr>
          <w:rFonts w:ascii="Arial" w:hAnsi="Arial" w:hint="eastAsia"/>
          <w:color w:val="000000"/>
          <w:sz w:val="21"/>
          <w:szCs w:val="21"/>
        </w:rPr>
        <w:t>月，随着“金九银十”行业传统旺季的来临，房企供应节奏有所加快，在中建·运河玖院、首钢璟悦长安、中海瑞文里、建发金茂观宸等项目积极入市带动下，新房供应量环比涨幅达</w:t>
      </w:r>
      <w:r w:rsidRPr="00364904">
        <w:rPr>
          <w:rFonts w:ascii="Arial" w:hAnsi="Arial" w:hint="eastAsia"/>
          <w:color w:val="000000"/>
          <w:sz w:val="21"/>
          <w:szCs w:val="21"/>
        </w:rPr>
        <w:t>239%</w:t>
      </w:r>
      <w:r w:rsidRPr="00364904">
        <w:rPr>
          <w:rFonts w:ascii="Arial" w:hAnsi="Arial" w:hint="eastAsia"/>
          <w:color w:val="000000"/>
          <w:sz w:val="21"/>
          <w:szCs w:val="21"/>
        </w:rPr>
        <w:t>，累计来看，三季度北京商品住宅市场累计供应规模约为</w:t>
      </w:r>
      <w:r w:rsidRPr="00364904">
        <w:rPr>
          <w:rFonts w:ascii="Arial" w:hAnsi="Arial" w:hint="eastAsia"/>
          <w:color w:val="000000"/>
          <w:sz w:val="21"/>
          <w:szCs w:val="21"/>
        </w:rPr>
        <w:t>100.28</w:t>
      </w:r>
      <w:r w:rsidRPr="00364904">
        <w:rPr>
          <w:rFonts w:ascii="Arial" w:hAnsi="Arial" w:hint="eastAsia"/>
          <w:color w:val="000000"/>
          <w:sz w:val="21"/>
          <w:szCs w:val="21"/>
        </w:rPr>
        <w:t>万平方米，同比减少约</w:t>
      </w:r>
      <w:r w:rsidRPr="00364904">
        <w:rPr>
          <w:rFonts w:ascii="Arial" w:hAnsi="Arial" w:hint="eastAsia"/>
          <w:color w:val="000000"/>
          <w:sz w:val="21"/>
          <w:szCs w:val="21"/>
        </w:rPr>
        <w:t>38%</w:t>
      </w:r>
      <w:r w:rsidRPr="00364904">
        <w:rPr>
          <w:rFonts w:ascii="Arial" w:hAnsi="Arial" w:hint="eastAsia"/>
          <w:color w:val="000000"/>
          <w:sz w:val="21"/>
          <w:szCs w:val="21"/>
        </w:rPr>
        <w:t>，环比减少</w:t>
      </w:r>
      <w:r w:rsidRPr="00364904">
        <w:rPr>
          <w:rFonts w:ascii="Arial" w:hAnsi="Arial" w:hint="eastAsia"/>
          <w:color w:val="000000"/>
          <w:sz w:val="21"/>
          <w:szCs w:val="21"/>
        </w:rPr>
        <w:t>9%</w:t>
      </w:r>
      <w:r w:rsidRPr="003B0D72">
        <w:rPr>
          <w:rFonts w:ascii="Arial" w:hAnsi="Arial"/>
          <w:color w:val="000000"/>
          <w:sz w:val="21"/>
          <w:szCs w:val="21"/>
        </w:rPr>
        <w:t>。</w:t>
      </w:r>
    </w:p>
    <w:p w14:paraId="5F8C2CF5" w14:textId="77777777" w:rsidR="00941FE0" w:rsidRPr="00EC06B5" w:rsidRDefault="00941FE0" w:rsidP="00941FE0">
      <w:pPr>
        <w:overflowPunct w:val="0"/>
        <w:spacing w:line="480" w:lineRule="auto"/>
        <w:jc w:val="both"/>
        <w:textAlignment w:val="auto"/>
        <w:rPr>
          <w:rFonts w:ascii="Arial" w:hAnsi="Arial"/>
          <w:sz w:val="21"/>
          <w:szCs w:val="28"/>
        </w:rPr>
      </w:pPr>
      <w:r w:rsidRPr="00E666A9">
        <w:rPr>
          <w:noProof/>
        </w:rPr>
        <w:lastRenderedPageBreak/>
        <w:drawing>
          <wp:inline distT="0" distB="0" distL="0" distR="0" wp14:anchorId="49E97756" wp14:editId="1C93F34A">
            <wp:extent cx="5801360" cy="3390265"/>
            <wp:effectExtent l="0" t="0" r="0" b="0"/>
            <wp:docPr id="62775430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01360" cy="3390265"/>
                    </a:xfrm>
                    <a:prstGeom prst="rect">
                      <a:avLst/>
                    </a:prstGeom>
                    <a:noFill/>
                    <a:ln>
                      <a:noFill/>
                    </a:ln>
                  </pic:spPr>
                </pic:pic>
              </a:graphicData>
            </a:graphic>
          </wp:inline>
        </w:drawing>
      </w:r>
    </w:p>
    <w:p w14:paraId="1FA5ABDE" w14:textId="77777777" w:rsidR="00941FE0" w:rsidRPr="00364904" w:rsidRDefault="00941FE0" w:rsidP="00941FE0">
      <w:pPr>
        <w:spacing w:line="360" w:lineRule="auto"/>
        <w:ind w:firstLineChars="200" w:firstLine="420"/>
        <w:jc w:val="both"/>
        <w:outlineLvl w:val="0"/>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年三季度北京商品住宅（不含保障房）库存规模同比增加，但仍居近年同期低位。截至</w:t>
      </w:r>
      <w:r w:rsidRPr="00364904">
        <w:rPr>
          <w:rFonts w:ascii="Arial" w:hAnsi="Arial" w:hint="eastAsia"/>
          <w:color w:val="000000"/>
          <w:sz w:val="21"/>
          <w:szCs w:val="21"/>
        </w:rPr>
        <w:t>9</w:t>
      </w:r>
      <w:r w:rsidRPr="00364904">
        <w:rPr>
          <w:rFonts w:ascii="Arial" w:hAnsi="Arial"/>
          <w:color w:val="000000"/>
          <w:sz w:val="21"/>
          <w:szCs w:val="21"/>
        </w:rPr>
        <w:t>月底，北京商品住宅（不含保障房）库存量约为</w:t>
      </w:r>
      <w:r w:rsidRPr="00364904">
        <w:rPr>
          <w:rFonts w:ascii="Arial" w:hAnsi="Arial"/>
          <w:color w:val="000000"/>
          <w:sz w:val="21"/>
          <w:szCs w:val="21"/>
        </w:rPr>
        <w:t>988.72</w:t>
      </w:r>
      <w:r w:rsidRPr="00364904">
        <w:rPr>
          <w:rFonts w:ascii="Arial" w:hAnsi="Arial"/>
          <w:color w:val="000000"/>
          <w:sz w:val="21"/>
          <w:szCs w:val="21"/>
        </w:rPr>
        <w:t>万平方米，较去年同期增加</w:t>
      </w:r>
      <w:r w:rsidRPr="00364904">
        <w:rPr>
          <w:rFonts w:ascii="Arial" w:hAnsi="Arial"/>
          <w:color w:val="000000"/>
          <w:sz w:val="21"/>
          <w:szCs w:val="21"/>
        </w:rPr>
        <w:t>2%</w:t>
      </w:r>
      <w:r w:rsidRPr="00364904">
        <w:rPr>
          <w:rFonts w:ascii="Arial" w:hAnsi="Arial"/>
          <w:color w:val="000000"/>
          <w:sz w:val="21"/>
          <w:szCs w:val="21"/>
        </w:rPr>
        <w:t>；月度来看，近期北京商品住宅市场库存规模整体呈现出小幅回升的趋势，本月市场供求规模基本均衡，库存规模维持平稳。去年</w:t>
      </w:r>
      <w:r w:rsidRPr="00364904">
        <w:rPr>
          <w:rFonts w:ascii="Arial" w:hAnsi="Arial"/>
          <w:color w:val="000000"/>
          <w:sz w:val="21"/>
          <w:szCs w:val="21"/>
        </w:rPr>
        <w:t>930</w:t>
      </w:r>
      <w:r w:rsidRPr="00364904">
        <w:rPr>
          <w:rFonts w:ascii="Arial" w:hAnsi="Arial"/>
          <w:color w:val="000000"/>
          <w:sz w:val="21"/>
          <w:szCs w:val="21"/>
        </w:rPr>
        <w:t>新政后，市场平均</w:t>
      </w:r>
      <w:r w:rsidRPr="00364904">
        <w:rPr>
          <w:rFonts w:ascii="Arial" w:hAnsi="Arial" w:hint="eastAsia"/>
          <w:color w:val="000000"/>
          <w:sz w:val="21"/>
          <w:szCs w:val="21"/>
        </w:rPr>
        <w:t>去化速度明显加快，叠加库存规模的逐步回落，出清周期呈现出明显的下滑趋势；进入</w:t>
      </w:r>
      <w:r w:rsidRPr="00364904">
        <w:rPr>
          <w:rFonts w:ascii="Arial" w:hAnsi="Arial" w:hint="eastAsia"/>
          <w:color w:val="000000"/>
          <w:sz w:val="21"/>
          <w:szCs w:val="21"/>
        </w:rPr>
        <w:t>2025</w:t>
      </w:r>
      <w:r w:rsidRPr="00364904">
        <w:rPr>
          <w:rFonts w:ascii="Arial" w:hAnsi="Arial" w:hint="eastAsia"/>
          <w:color w:val="000000"/>
          <w:sz w:val="21"/>
          <w:szCs w:val="21"/>
        </w:rPr>
        <w:t>年，伴随着需求的逐步释放，市场去化速度放缓，出清周期再次波动回升，截</w:t>
      </w:r>
      <w:r w:rsidRPr="00364904">
        <w:rPr>
          <w:rFonts w:ascii="Arial" w:hAnsi="Arial"/>
          <w:color w:val="000000"/>
          <w:sz w:val="21"/>
          <w:szCs w:val="21"/>
        </w:rPr>
        <w:t>止到</w:t>
      </w:r>
      <w:r w:rsidRPr="00364904">
        <w:rPr>
          <w:rFonts w:ascii="Arial" w:hAnsi="Arial"/>
          <w:color w:val="000000"/>
          <w:sz w:val="21"/>
          <w:szCs w:val="21"/>
        </w:rPr>
        <w:t>9</w:t>
      </w:r>
      <w:r w:rsidRPr="00364904">
        <w:rPr>
          <w:rFonts w:ascii="Arial" w:hAnsi="Arial"/>
          <w:color w:val="000000"/>
          <w:sz w:val="21"/>
          <w:szCs w:val="21"/>
        </w:rPr>
        <w:t>月去化周期回升至</w:t>
      </w:r>
      <w:r w:rsidRPr="00364904">
        <w:rPr>
          <w:rFonts w:ascii="Arial" w:hAnsi="Arial"/>
          <w:color w:val="000000"/>
          <w:sz w:val="21"/>
          <w:szCs w:val="21"/>
        </w:rPr>
        <w:t>23.0</w:t>
      </w:r>
      <w:r w:rsidRPr="00364904">
        <w:rPr>
          <w:rFonts w:ascii="Arial" w:hAnsi="Arial"/>
          <w:color w:val="000000"/>
          <w:sz w:val="21"/>
          <w:szCs w:val="21"/>
        </w:rPr>
        <w:t>个月。</w:t>
      </w:r>
    </w:p>
    <w:p w14:paraId="31BF169A" w14:textId="77777777" w:rsidR="00941FE0" w:rsidRPr="00EC06B5" w:rsidRDefault="00941FE0" w:rsidP="00941FE0">
      <w:pPr>
        <w:overflowPunct w:val="0"/>
        <w:spacing w:line="480" w:lineRule="auto"/>
        <w:jc w:val="center"/>
        <w:textAlignment w:val="auto"/>
        <w:rPr>
          <w:rFonts w:ascii="Arial" w:hAnsi="Arial"/>
          <w:sz w:val="21"/>
        </w:rPr>
      </w:pPr>
      <w:r w:rsidRPr="00E666A9">
        <w:rPr>
          <w:noProof/>
        </w:rPr>
        <w:drawing>
          <wp:inline distT="0" distB="0" distL="0" distR="0" wp14:anchorId="72E91793" wp14:editId="733A5D5B">
            <wp:extent cx="5902325" cy="1840865"/>
            <wp:effectExtent l="0" t="0" r="0" b="0"/>
            <wp:docPr id="62775430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02325" cy="1840865"/>
                    </a:xfrm>
                    <a:prstGeom prst="rect">
                      <a:avLst/>
                    </a:prstGeom>
                    <a:noFill/>
                    <a:ln>
                      <a:noFill/>
                    </a:ln>
                  </pic:spPr>
                </pic:pic>
              </a:graphicData>
            </a:graphic>
          </wp:inline>
        </w:drawing>
      </w:r>
    </w:p>
    <w:p w14:paraId="0AD2D935" w14:textId="77777777" w:rsidR="00941FE0" w:rsidRPr="00EC06B5" w:rsidRDefault="00941FE0" w:rsidP="00941FE0">
      <w:pPr>
        <w:overflowPunct w:val="0"/>
        <w:spacing w:line="480" w:lineRule="auto"/>
        <w:ind w:firstLineChars="200" w:firstLine="420"/>
        <w:jc w:val="both"/>
        <w:textAlignment w:val="auto"/>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55E36FC3" w14:textId="77777777" w:rsidR="00941FE0" w:rsidRPr="00EC06B5" w:rsidRDefault="00941FE0" w:rsidP="00941FE0">
      <w:pPr>
        <w:tabs>
          <w:tab w:val="left" w:pos="426"/>
        </w:tabs>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）成交量</w:t>
      </w:r>
    </w:p>
    <w:p w14:paraId="11437DCF" w14:textId="77777777" w:rsidR="00941FE0" w:rsidRPr="00EC06B5" w:rsidRDefault="00941FE0" w:rsidP="00941FE0">
      <w:pPr>
        <w:spacing w:line="360" w:lineRule="auto"/>
        <w:ind w:firstLineChars="200" w:firstLine="420"/>
        <w:jc w:val="both"/>
        <w:outlineLvl w:val="0"/>
        <w:rPr>
          <w:rFonts w:ascii="Arial" w:hAnsi="Arial"/>
          <w:sz w:val="21"/>
          <w:szCs w:val="28"/>
        </w:rPr>
      </w:pPr>
      <w:r w:rsidRPr="00DF3576">
        <w:rPr>
          <w:rFonts w:ascii="Arial" w:hAnsi="Arial"/>
          <w:color w:val="000000"/>
          <w:sz w:val="21"/>
          <w:szCs w:val="21"/>
        </w:rPr>
        <w:t>2025</w:t>
      </w:r>
      <w:r w:rsidRPr="00DF3576">
        <w:rPr>
          <w:rFonts w:ascii="Arial" w:hAnsi="Arial"/>
          <w:color w:val="000000"/>
          <w:sz w:val="21"/>
          <w:szCs w:val="21"/>
        </w:rPr>
        <w:t>年三季度北京市场活跃度下滑，成交规模同环比均有所减少。</w:t>
      </w:r>
      <w:r w:rsidRPr="00DF3576">
        <w:rPr>
          <w:rFonts w:ascii="Arial" w:hAnsi="Arial"/>
          <w:color w:val="000000"/>
          <w:sz w:val="21"/>
          <w:szCs w:val="21"/>
        </w:rPr>
        <w:t>2025</w:t>
      </w:r>
      <w:r w:rsidRPr="00DF3576">
        <w:rPr>
          <w:rFonts w:ascii="Arial" w:hAnsi="Arial"/>
          <w:color w:val="000000"/>
          <w:sz w:val="21"/>
          <w:szCs w:val="21"/>
        </w:rPr>
        <w:t>年</w:t>
      </w:r>
      <w:r w:rsidRPr="00DF3576">
        <w:rPr>
          <w:rFonts w:ascii="Arial" w:hAnsi="Arial"/>
          <w:color w:val="000000"/>
          <w:sz w:val="21"/>
          <w:szCs w:val="21"/>
        </w:rPr>
        <w:t>1-9</w:t>
      </w:r>
      <w:r w:rsidRPr="00DF3576">
        <w:rPr>
          <w:rFonts w:ascii="Arial" w:hAnsi="Arial"/>
          <w:color w:val="000000"/>
          <w:sz w:val="21"/>
          <w:szCs w:val="21"/>
        </w:rPr>
        <w:t>月北京新房市场累计成交规模为</w:t>
      </w:r>
      <w:r w:rsidRPr="00DF3576">
        <w:rPr>
          <w:rFonts w:ascii="Arial" w:hAnsi="Arial"/>
          <w:color w:val="000000"/>
          <w:sz w:val="21"/>
          <w:szCs w:val="21"/>
        </w:rPr>
        <w:t>338.49</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，同比增加</w:t>
      </w:r>
      <w:r w:rsidRPr="00DF3576">
        <w:rPr>
          <w:rFonts w:ascii="Arial" w:hAnsi="Arial"/>
          <w:color w:val="000000"/>
          <w:sz w:val="21"/>
          <w:szCs w:val="21"/>
        </w:rPr>
        <w:t>12%</w:t>
      </w:r>
      <w:r w:rsidRPr="00DF3576">
        <w:rPr>
          <w:rFonts w:ascii="Arial" w:hAnsi="Arial"/>
          <w:color w:val="000000"/>
          <w:sz w:val="21"/>
          <w:szCs w:val="21"/>
        </w:rPr>
        <w:t>。其中，三季度来看，北京新房市场活跃度同环比均有所回落，市场活跃度有所下滑，商品住宅累计成交规模约为</w:t>
      </w:r>
      <w:r w:rsidRPr="00DF3576">
        <w:rPr>
          <w:rFonts w:ascii="Arial" w:hAnsi="Arial"/>
          <w:color w:val="000000"/>
          <w:sz w:val="21"/>
          <w:szCs w:val="21"/>
        </w:rPr>
        <w:t>105.73</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，同比减少</w:t>
      </w:r>
      <w:r w:rsidRPr="00DF3576">
        <w:rPr>
          <w:rFonts w:ascii="Arial" w:hAnsi="Arial"/>
          <w:color w:val="000000"/>
          <w:sz w:val="21"/>
          <w:szCs w:val="21"/>
        </w:rPr>
        <w:t>0.1%</w:t>
      </w:r>
      <w:r w:rsidRPr="00DF3576">
        <w:rPr>
          <w:rFonts w:ascii="Arial" w:hAnsi="Arial"/>
          <w:color w:val="000000"/>
          <w:sz w:val="21"/>
          <w:szCs w:val="21"/>
        </w:rPr>
        <w:t>，环比减少</w:t>
      </w:r>
      <w:r w:rsidRPr="00DF3576">
        <w:rPr>
          <w:rFonts w:ascii="Arial" w:hAnsi="Arial"/>
          <w:color w:val="000000"/>
          <w:sz w:val="21"/>
          <w:szCs w:val="21"/>
        </w:rPr>
        <w:t>17%</w:t>
      </w:r>
      <w:r w:rsidRPr="00DF3576">
        <w:rPr>
          <w:rFonts w:ascii="Arial" w:hAnsi="Arial"/>
          <w:color w:val="000000"/>
          <w:sz w:val="21"/>
          <w:szCs w:val="21"/>
        </w:rPr>
        <w:t>。分月度来看，</w:t>
      </w:r>
      <w:r w:rsidRPr="00DF3576">
        <w:rPr>
          <w:rFonts w:ascii="Arial" w:hAnsi="Arial"/>
          <w:color w:val="000000"/>
          <w:sz w:val="21"/>
          <w:szCs w:val="21"/>
        </w:rPr>
        <w:t>7</w:t>
      </w:r>
      <w:r w:rsidRPr="00DF3576">
        <w:rPr>
          <w:rFonts w:ascii="Arial" w:hAnsi="Arial"/>
          <w:color w:val="000000"/>
          <w:sz w:val="21"/>
          <w:szCs w:val="21"/>
        </w:rPr>
        <w:t>月，受季节性因素的影响，成交规模环比明显下滑。</w:t>
      </w:r>
      <w:r w:rsidRPr="00DF3576">
        <w:rPr>
          <w:rFonts w:ascii="Arial" w:hAnsi="Arial"/>
          <w:color w:val="000000"/>
          <w:sz w:val="21"/>
          <w:szCs w:val="21"/>
        </w:rPr>
        <w:t>8</w:t>
      </w:r>
      <w:r w:rsidRPr="00DF3576">
        <w:rPr>
          <w:rFonts w:ascii="Arial" w:hAnsi="Arial"/>
          <w:color w:val="000000"/>
          <w:sz w:val="21"/>
          <w:szCs w:val="21"/>
        </w:rPr>
        <w:t>月</w:t>
      </w:r>
      <w:r w:rsidRPr="00DF3576">
        <w:rPr>
          <w:rFonts w:ascii="Arial" w:hAnsi="Arial"/>
          <w:color w:val="000000"/>
          <w:sz w:val="21"/>
          <w:szCs w:val="21"/>
        </w:rPr>
        <w:t>8</w:t>
      </w:r>
      <w:r w:rsidRPr="00DF3576">
        <w:rPr>
          <w:rFonts w:ascii="Arial" w:hAnsi="Arial"/>
          <w:color w:val="000000"/>
          <w:sz w:val="21"/>
          <w:szCs w:val="21"/>
        </w:rPr>
        <w:t>日，北京</w:t>
      </w:r>
      <w:r w:rsidRPr="00DF3576">
        <w:rPr>
          <w:rFonts w:ascii="Arial" w:hAnsi="Arial"/>
          <w:color w:val="000000"/>
          <w:sz w:val="21"/>
          <w:szCs w:val="21"/>
        </w:rPr>
        <w:lastRenderedPageBreak/>
        <w:t>五环外解除限购同时优化公积金贷款政策，为楼市铺上了防滑垫，当月新房成交量环比略有增长，但鉴于政策力</w:t>
      </w:r>
      <w:r w:rsidRPr="00DF3576">
        <w:rPr>
          <w:rFonts w:ascii="Arial" w:hAnsi="Arial"/>
          <w:color w:val="000000"/>
          <w:sz w:val="21"/>
          <w:szCs w:val="21"/>
        </w:rPr>
        <w:t xml:space="preserve"> </w:t>
      </w:r>
      <w:r w:rsidRPr="00DF3576">
        <w:rPr>
          <w:rFonts w:ascii="Arial" w:hAnsi="Arial"/>
          <w:color w:val="000000"/>
          <w:sz w:val="21"/>
          <w:szCs w:val="21"/>
        </w:rPr>
        <w:t>度较为温和，且</w:t>
      </w:r>
      <w:r w:rsidRPr="00DF3576">
        <w:rPr>
          <w:rFonts w:ascii="Arial" w:hAnsi="Arial"/>
          <w:color w:val="000000"/>
          <w:sz w:val="21"/>
          <w:szCs w:val="21"/>
        </w:rPr>
        <w:t>2024</w:t>
      </w:r>
      <w:r w:rsidRPr="00DF3576">
        <w:rPr>
          <w:rFonts w:ascii="Arial" w:hAnsi="Arial"/>
          <w:color w:val="000000"/>
          <w:sz w:val="21"/>
          <w:szCs w:val="21"/>
        </w:rPr>
        <w:t>年多轮政策优化后需求已有释放，本次新政的边际效果较为有限。</w:t>
      </w:r>
      <w:r w:rsidRPr="00DF3576">
        <w:rPr>
          <w:rFonts w:ascii="Arial" w:hAnsi="Arial"/>
          <w:color w:val="000000"/>
          <w:sz w:val="21"/>
          <w:szCs w:val="21"/>
        </w:rPr>
        <w:t>9</w:t>
      </w:r>
      <w:r w:rsidRPr="00DF3576">
        <w:rPr>
          <w:rFonts w:ascii="Arial" w:hAnsi="Arial"/>
          <w:color w:val="000000"/>
          <w:sz w:val="21"/>
          <w:szCs w:val="21"/>
        </w:rPr>
        <w:t>月，随着</w:t>
      </w:r>
      <w:r w:rsidRPr="00DF3576">
        <w:rPr>
          <w:rFonts w:ascii="Arial" w:hAnsi="Arial"/>
          <w:color w:val="000000"/>
          <w:sz w:val="21"/>
          <w:szCs w:val="21"/>
        </w:rPr>
        <w:t>“</w:t>
      </w:r>
      <w:r w:rsidRPr="00DF3576">
        <w:rPr>
          <w:rFonts w:ascii="Arial" w:hAnsi="Arial"/>
          <w:color w:val="000000"/>
          <w:sz w:val="21"/>
          <w:szCs w:val="21"/>
        </w:rPr>
        <w:t>金九银十</w:t>
      </w:r>
      <w:r w:rsidRPr="00DF3576">
        <w:rPr>
          <w:rFonts w:ascii="Arial" w:hAnsi="Arial"/>
          <w:color w:val="000000"/>
          <w:sz w:val="21"/>
          <w:szCs w:val="21"/>
        </w:rPr>
        <w:t>”</w:t>
      </w:r>
      <w:r w:rsidRPr="00DF3576">
        <w:rPr>
          <w:rFonts w:ascii="Arial" w:hAnsi="Arial"/>
          <w:color w:val="000000"/>
          <w:sz w:val="21"/>
          <w:szCs w:val="21"/>
        </w:rPr>
        <w:t>行业旺季的到来，房企入市意愿增强，供应量环比大增，带动成交规模环比上行</w:t>
      </w:r>
      <w:r w:rsidRPr="00EC06B5">
        <w:rPr>
          <w:rFonts w:ascii="Arial" w:hAnsi="Arial" w:hint="eastAsia"/>
          <w:sz w:val="21"/>
          <w:szCs w:val="28"/>
        </w:rPr>
        <w:t>。</w:t>
      </w:r>
    </w:p>
    <w:p w14:paraId="653E2C3D" w14:textId="77777777" w:rsidR="00941FE0" w:rsidRPr="00EC06B5" w:rsidRDefault="00941FE0" w:rsidP="00941FE0">
      <w:pPr>
        <w:overflowPunct w:val="0"/>
        <w:spacing w:line="480" w:lineRule="auto"/>
        <w:jc w:val="both"/>
        <w:textAlignment w:val="auto"/>
        <w:rPr>
          <w:rFonts w:ascii="Arial" w:hAnsi="Arial"/>
          <w:sz w:val="21"/>
        </w:rPr>
      </w:pPr>
      <w:r w:rsidRPr="00E666A9">
        <w:rPr>
          <w:noProof/>
        </w:rPr>
        <w:drawing>
          <wp:inline distT="0" distB="0" distL="0" distR="0" wp14:anchorId="211C6F1C" wp14:editId="5ADF532C">
            <wp:extent cx="5902325" cy="1668780"/>
            <wp:effectExtent l="0" t="0" r="0" b="0"/>
            <wp:docPr id="6277543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02325" cy="1668780"/>
                    </a:xfrm>
                    <a:prstGeom prst="rect">
                      <a:avLst/>
                    </a:prstGeom>
                    <a:noFill/>
                    <a:ln>
                      <a:noFill/>
                    </a:ln>
                  </pic:spPr>
                </pic:pic>
              </a:graphicData>
            </a:graphic>
          </wp:inline>
        </w:drawing>
      </w:r>
    </w:p>
    <w:p w14:paraId="1D340949" w14:textId="77777777" w:rsidR="00941FE0" w:rsidRPr="00EC06B5" w:rsidRDefault="00941FE0" w:rsidP="00941FE0">
      <w:pPr>
        <w:overflowPunct w:val="0"/>
        <w:spacing w:line="480" w:lineRule="auto"/>
        <w:ind w:firstLineChars="200" w:firstLine="420"/>
        <w:textAlignment w:val="auto"/>
        <w:rPr>
          <w:rFonts w:ascii="Arial" w:hAnsi="Arial"/>
          <w:sz w:val="21"/>
        </w:rPr>
      </w:pPr>
      <w:r w:rsidRPr="00EC06B5">
        <w:rPr>
          <w:rFonts w:ascii="Arial" w:hAnsi="Arial" w:hint="eastAsia"/>
          <w:sz w:val="21"/>
        </w:rPr>
        <w:t>2</w:t>
      </w:r>
      <w:r w:rsidRPr="00EC06B5">
        <w:rPr>
          <w:rFonts w:ascii="Arial" w:hAnsi="Arial" w:hint="eastAsia"/>
          <w:sz w:val="21"/>
        </w:rPr>
        <w:t>）成交价格</w:t>
      </w:r>
    </w:p>
    <w:p w14:paraId="70550949" w14:textId="77777777" w:rsidR="00941FE0" w:rsidRPr="00EC06B5" w:rsidRDefault="00941FE0" w:rsidP="00941FE0">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09523893" w14:textId="77777777" w:rsidR="00941FE0" w:rsidRPr="00EC06B5" w:rsidRDefault="00941FE0" w:rsidP="00941FE0">
      <w:pPr>
        <w:spacing w:line="360" w:lineRule="auto"/>
        <w:ind w:firstLineChars="200" w:firstLine="420"/>
        <w:jc w:val="both"/>
        <w:outlineLvl w:val="0"/>
        <w:rPr>
          <w:rFonts w:ascii="Arial" w:hAnsi="Arial"/>
          <w:sz w:val="21"/>
          <w:szCs w:val="28"/>
        </w:rPr>
      </w:pPr>
      <w:r w:rsidRPr="003E0008">
        <w:rPr>
          <w:rFonts w:ascii="Arial" w:hAnsi="Arial"/>
          <w:color w:val="000000"/>
          <w:sz w:val="21"/>
          <w:szCs w:val="21"/>
        </w:rPr>
        <w:t>受结构性因素的影响，三季度北京商品住宅成交均价创同期新高，累计涨幅底部回升。在房地产市场持续深度调整背景下，房企拿地策略转向理性谨慎，为激活市场活力，主城核心区域密集推出多宗配套成熟、开发潜力突出的优质地块。这些地块的入市直接带动中高端改善型产品供应量显著提升，叠加核心区资源稀缺性及改善需求崛起，推动北京楼市成交均价呈现结构性上涨趋势。</w:t>
      </w:r>
      <w:r w:rsidRPr="003E0008">
        <w:rPr>
          <w:rFonts w:ascii="Arial" w:hAnsi="Arial"/>
          <w:color w:val="000000"/>
          <w:sz w:val="21"/>
          <w:szCs w:val="21"/>
        </w:rPr>
        <w:t>2025</w:t>
      </w:r>
      <w:r w:rsidRPr="003E0008">
        <w:rPr>
          <w:rFonts w:ascii="Arial" w:hAnsi="Arial"/>
          <w:color w:val="000000"/>
          <w:sz w:val="21"/>
          <w:szCs w:val="21"/>
        </w:rPr>
        <w:t>年三季度，中建</w:t>
      </w:r>
      <w:r w:rsidRPr="003E0008">
        <w:rPr>
          <w:rFonts w:ascii="Arial" w:hAnsi="Arial"/>
          <w:color w:val="000000"/>
          <w:sz w:val="21"/>
          <w:szCs w:val="21"/>
        </w:rPr>
        <w:t>·</w:t>
      </w:r>
      <w:r w:rsidRPr="003E0008">
        <w:rPr>
          <w:rFonts w:ascii="Arial" w:hAnsi="Arial"/>
          <w:color w:val="000000"/>
          <w:sz w:val="21"/>
          <w:szCs w:val="21"/>
        </w:rPr>
        <w:t>运河玖院、华润臻云、建发</w:t>
      </w:r>
      <w:r w:rsidRPr="003E0008">
        <w:rPr>
          <w:rFonts w:ascii="Arial" w:hAnsi="Arial"/>
          <w:color w:val="000000"/>
          <w:sz w:val="21"/>
          <w:szCs w:val="21"/>
        </w:rPr>
        <w:t>·</w:t>
      </w:r>
      <w:r w:rsidRPr="003E0008">
        <w:rPr>
          <w:rFonts w:ascii="Arial" w:hAnsi="Arial"/>
          <w:color w:val="000000"/>
          <w:sz w:val="21"/>
          <w:szCs w:val="21"/>
        </w:rPr>
        <w:t>海晏、中海萬吉玖序、融创壹号院等项目热销，带动新房成交均价结构性上涨，商品住宅价格指数为</w:t>
      </w:r>
      <w:r w:rsidRPr="003E0008">
        <w:rPr>
          <w:rFonts w:ascii="Arial" w:hAnsi="Arial"/>
          <w:color w:val="000000"/>
          <w:sz w:val="21"/>
          <w:szCs w:val="21"/>
        </w:rPr>
        <w:t>46511</w:t>
      </w:r>
      <w:r w:rsidRPr="003E0008">
        <w:rPr>
          <w:rFonts w:ascii="Arial" w:hAnsi="Arial"/>
          <w:color w:val="000000"/>
          <w:sz w:val="21"/>
          <w:szCs w:val="21"/>
        </w:rPr>
        <w:t>元</w:t>
      </w:r>
      <w:r w:rsidRPr="003E0008">
        <w:rPr>
          <w:rFonts w:ascii="Arial" w:hAnsi="Arial"/>
          <w:color w:val="000000"/>
          <w:sz w:val="21"/>
          <w:szCs w:val="21"/>
        </w:rPr>
        <w:t>/</w:t>
      </w:r>
      <w:r w:rsidRPr="003E0008">
        <w:rPr>
          <w:rFonts w:ascii="Arial" w:hAnsi="Arial"/>
          <w:color w:val="000000"/>
          <w:sz w:val="21"/>
          <w:szCs w:val="21"/>
        </w:rPr>
        <w:t>平方米，同比上涨</w:t>
      </w:r>
      <w:r w:rsidRPr="003E0008">
        <w:rPr>
          <w:rFonts w:ascii="Arial" w:hAnsi="Arial"/>
          <w:color w:val="000000"/>
          <w:sz w:val="21"/>
          <w:szCs w:val="21"/>
        </w:rPr>
        <w:t>2.4%</w:t>
      </w:r>
      <w:r w:rsidRPr="003E0008">
        <w:rPr>
          <w:rFonts w:ascii="Arial" w:hAnsi="Arial"/>
          <w:color w:val="000000"/>
          <w:sz w:val="21"/>
          <w:szCs w:val="21"/>
        </w:rPr>
        <w:t>，同比涨幅居历史同期高位；累计来看，三季度商品住房价格累计上涨</w:t>
      </w:r>
      <w:r w:rsidRPr="003E0008">
        <w:rPr>
          <w:rFonts w:ascii="Arial" w:hAnsi="Arial"/>
          <w:color w:val="000000"/>
          <w:sz w:val="21"/>
          <w:szCs w:val="21"/>
        </w:rPr>
        <w:t>0.14%</w:t>
      </w:r>
      <w:r w:rsidRPr="003E0008">
        <w:rPr>
          <w:rFonts w:ascii="Arial" w:hAnsi="Arial"/>
          <w:color w:val="000000"/>
          <w:sz w:val="21"/>
          <w:szCs w:val="21"/>
        </w:rPr>
        <w:t>，较去年同期有所改善</w:t>
      </w:r>
      <w:r w:rsidRPr="00EC06B5">
        <w:rPr>
          <w:rFonts w:ascii="Arial" w:hAnsi="Arial"/>
          <w:sz w:val="21"/>
          <w:szCs w:val="28"/>
        </w:rPr>
        <w:t>。</w:t>
      </w:r>
    </w:p>
    <w:p w14:paraId="3251070A" w14:textId="77777777" w:rsidR="00941FE0" w:rsidRPr="00EC06B5" w:rsidRDefault="00941FE0" w:rsidP="00941FE0">
      <w:pPr>
        <w:tabs>
          <w:tab w:val="left" w:pos="426"/>
        </w:tabs>
        <w:overflowPunct w:val="0"/>
        <w:spacing w:line="480" w:lineRule="auto"/>
        <w:jc w:val="center"/>
        <w:textAlignment w:val="auto"/>
        <w:rPr>
          <w:rFonts w:ascii="Arial" w:hAnsi="Arial"/>
          <w:sz w:val="21"/>
          <w:szCs w:val="28"/>
        </w:rPr>
      </w:pPr>
      <w:r w:rsidRPr="00E666A9">
        <w:rPr>
          <w:noProof/>
        </w:rPr>
        <w:drawing>
          <wp:inline distT="0" distB="0" distL="0" distR="0" wp14:anchorId="44869C32" wp14:editId="7B230280">
            <wp:extent cx="5902325" cy="1834515"/>
            <wp:effectExtent l="0" t="0" r="0" b="0"/>
            <wp:docPr id="6277543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2325" cy="1834515"/>
                    </a:xfrm>
                    <a:prstGeom prst="rect">
                      <a:avLst/>
                    </a:prstGeom>
                    <a:noFill/>
                    <a:ln>
                      <a:noFill/>
                    </a:ln>
                  </pic:spPr>
                </pic:pic>
              </a:graphicData>
            </a:graphic>
          </wp:inline>
        </w:drawing>
      </w:r>
    </w:p>
    <w:p w14:paraId="6987E7D7" w14:textId="77777777" w:rsidR="00941FE0" w:rsidRPr="00EC06B5" w:rsidRDefault="00941FE0" w:rsidP="00941FE0">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1DD621D0" w14:textId="77777777" w:rsidR="00941FE0" w:rsidRPr="003E0008" w:rsidRDefault="00941FE0" w:rsidP="00941FE0">
      <w:pPr>
        <w:overflowPunct w:val="0"/>
        <w:spacing w:line="480" w:lineRule="auto"/>
        <w:ind w:firstLineChars="200" w:firstLine="420"/>
        <w:jc w:val="both"/>
        <w:textAlignment w:val="auto"/>
        <w:rPr>
          <w:rFonts w:ascii="Arial" w:hAnsi="Arial"/>
          <w:sz w:val="21"/>
          <w:szCs w:val="28"/>
        </w:rPr>
      </w:pPr>
      <w:r w:rsidRPr="003E0008">
        <w:rPr>
          <w:rFonts w:ascii="Arial" w:hAnsi="Arial"/>
          <w:sz w:val="21"/>
          <w:szCs w:val="28"/>
        </w:rPr>
        <w:t>2025</w:t>
      </w:r>
      <w:r w:rsidRPr="003E0008">
        <w:rPr>
          <w:rFonts w:ascii="Arial" w:hAnsi="Arial"/>
          <w:sz w:val="21"/>
          <w:szCs w:val="28"/>
        </w:rPr>
        <w:t>年三季度，</w:t>
      </w:r>
      <w:r w:rsidRPr="003E0008">
        <w:rPr>
          <w:rFonts w:ascii="Arial" w:hAnsi="Arial"/>
          <w:sz w:val="21"/>
          <w:szCs w:val="28"/>
        </w:rPr>
        <w:t>90-200</w:t>
      </w:r>
      <w:r w:rsidRPr="003E0008">
        <w:rPr>
          <w:rFonts w:ascii="Arial" w:hAnsi="Arial" w:hint="eastAsia"/>
          <w:sz w:val="21"/>
          <w:szCs w:val="28"/>
        </w:rPr>
        <w:t>平方米</w:t>
      </w:r>
      <w:r w:rsidRPr="003E0008">
        <w:rPr>
          <w:rFonts w:ascii="Arial" w:hAnsi="Arial"/>
          <w:sz w:val="21"/>
          <w:szCs w:val="28"/>
        </w:rPr>
        <w:t>面积段的刚改和改善型产品成交占比提升明显，成交套数占比达</w:t>
      </w:r>
      <w:r w:rsidRPr="003E0008">
        <w:rPr>
          <w:rFonts w:ascii="Arial" w:hAnsi="Arial"/>
          <w:sz w:val="21"/>
          <w:szCs w:val="28"/>
        </w:rPr>
        <w:t xml:space="preserve"> 71.1%</w:t>
      </w:r>
      <w:r w:rsidRPr="003E0008">
        <w:rPr>
          <w:rFonts w:ascii="Arial" w:hAnsi="Arial"/>
          <w:sz w:val="21"/>
          <w:szCs w:val="28"/>
        </w:rPr>
        <w:t>，占比提升</w:t>
      </w:r>
      <w:r w:rsidRPr="003E0008">
        <w:rPr>
          <w:rFonts w:ascii="Arial" w:hAnsi="Arial"/>
          <w:sz w:val="21"/>
          <w:szCs w:val="28"/>
        </w:rPr>
        <w:t>5.6</w:t>
      </w:r>
      <w:r w:rsidRPr="003E0008">
        <w:rPr>
          <w:rFonts w:ascii="Arial" w:hAnsi="Arial"/>
          <w:sz w:val="21"/>
          <w:szCs w:val="28"/>
        </w:rPr>
        <w:t>个百分点，中低面积段产品成交占比下滑明显，占比为</w:t>
      </w:r>
      <w:r w:rsidRPr="003E0008">
        <w:rPr>
          <w:rFonts w:ascii="Arial" w:hAnsi="Arial"/>
          <w:sz w:val="21"/>
          <w:szCs w:val="28"/>
        </w:rPr>
        <w:t>21.6%</w:t>
      </w:r>
      <w:r w:rsidRPr="003E0008">
        <w:rPr>
          <w:rFonts w:ascii="Arial" w:hAnsi="Arial"/>
          <w:sz w:val="21"/>
          <w:szCs w:val="28"/>
        </w:rPr>
        <w:t>，同比减少</w:t>
      </w:r>
      <w:r w:rsidRPr="003E0008">
        <w:rPr>
          <w:rFonts w:ascii="Arial" w:hAnsi="Arial"/>
          <w:sz w:val="21"/>
          <w:szCs w:val="28"/>
        </w:rPr>
        <w:t>6.6</w:t>
      </w:r>
      <w:r w:rsidRPr="003E0008">
        <w:rPr>
          <w:rFonts w:ascii="Arial" w:hAnsi="Arial"/>
          <w:sz w:val="21"/>
          <w:szCs w:val="28"/>
        </w:rPr>
        <w:t>个百分点。成交总价段在</w:t>
      </w:r>
      <w:r w:rsidRPr="003E0008">
        <w:rPr>
          <w:rFonts w:ascii="Arial" w:hAnsi="Arial"/>
          <w:sz w:val="21"/>
          <w:szCs w:val="28"/>
        </w:rPr>
        <w:t>500-1200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之间的中高价位段产品成交占比提升较多，较去年同期增加</w:t>
      </w:r>
      <w:r w:rsidRPr="003E0008">
        <w:rPr>
          <w:rFonts w:ascii="Arial" w:hAnsi="Arial"/>
          <w:sz w:val="21"/>
          <w:szCs w:val="28"/>
        </w:rPr>
        <w:lastRenderedPageBreak/>
        <w:t>4.3</w:t>
      </w:r>
      <w:r w:rsidRPr="003E0008">
        <w:rPr>
          <w:rFonts w:ascii="Arial" w:hAnsi="Arial"/>
          <w:sz w:val="21"/>
          <w:szCs w:val="28"/>
        </w:rPr>
        <w:t>个百分点，其中</w:t>
      </w:r>
      <w:r w:rsidRPr="003E0008">
        <w:rPr>
          <w:rFonts w:ascii="Arial" w:hAnsi="Arial"/>
          <w:sz w:val="21"/>
          <w:szCs w:val="28"/>
        </w:rPr>
        <w:t>500-800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之间产品市场占比最高，较去年同期增加</w:t>
      </w:r>
      <w:r w:rsidRPr="003E0008">
        <w:rPr>
          <w:rFonts w:ascii="Arial" w:hAnsi="Arial"/>
          <w:sz w:val="21"/>
          <w:szCs w:val="28"/>
        </w:rPr>
        <w:t>5.0</w:t>
      </w:r>
      <w:r w:rsidRPr="003E0008">
        <w:rPr>
          <w:rFonts w:ascii="Arial" w:hAnsi="Arial"/>
          <w:sz w:val="21"/>
          <w:szCs w:val="28"/>
        </w:rPr>
        <w:t>个百分点；中低总价段产品成交占比下滑幅度较大，占比较去年同</w:t>
      </w:r>
      <w:r w:rsidRPr="003E0008">
        <w:rPr>
          <w:rFonts w:ascii="Arial" w:hAnsi="Arial"/>
          <w:sz w:val="21"/>
          <w:szCs w:val="28"/>
        </w:rPr>
        <w:t xml:space="preserve"> </w:t>
      </w:r>
      <w:r w:rsidRPr="003E0008">
        <w:rPr>
          <w:rFonts w:ascii="Arial" w:hAnsi="Arial"/>
          <w:sz w:val="21"/>
          <w:szCs w:val="28"/>
        </w:rPr>
        <w:t>期减少</w:t>
      </w:r>
      <w:r w:rsidRPr="003E0008">
        <w:rPr>
          <w:rFonts w:ascii="Arial" w:hAnsi="Arial"/>
          <w:sz w:val="21"/>
          <w:szCs w:val="28"/>
        </w:rPr>
        <w:t>7.6</w:t>
      </w:r>
      <w:r w:rsidRPr="003E0008">
        <w:rPr>
          <w:rFonts w:ascii="Arial" w:hAnsi="Arial"/>
          <w:sz w:val="21"/>
          <w:szCs w:val="28"/>
        </w:rPr>
        <w:t>个百分点，其中</w:t>
      </w:r>
      <w:r w:rsidRPr="003E0008">
        <w:rPr>
          <w:rFonts w:ascii="Arial" w:hAnsi="Arial"/>
          <w:sz w:val="21"/>
          <w:szCs w:val="28"/>
        </w:rPr>
        <w:t>300-500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之间产品成交占比下滑明显，较去年同期减少</w:t>
      </w:r>
      <w:r w:rsidRPr="003E0008">
        <w:rPr>
          <w:rFonts w:ascii="Arial" w:hAnsi="Arial"/>
          <w:sz w:val="21"/>
          <w:szCs w:val="28"/>
        </w:rPr>
        <w:t>4.2</w:t>
      </w:r>
      <w:r w:rsidRPr="003E0008">
        <w:rPr>
          <w:rFonts w:ascii="Arial" w:hAnsi="Arial"/>
          <w:sz w:val="21"/>
          <w:szCs w:val="28"/>
        </w:rPr>
        <w:t>个百分点；</w:t>
      </w:r>
      <w:r w:rsidRPr="003E0008">
        <w:rPr>
          <w:rFonts w:ascii="Arial" w:hAnsi="Arial"/>
          <w:sz w:val="21"/>
          <w:szCs w:val="28"/>
        </w:rPr>
        <w:t>300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以下产品成交占比下滑</w:t>
      </w:r>
      <w:r w:rsidRPr="003E0008">
        <w:rPr>
          <w:rFonts w:ascii="Arial" w:hAnsi="Arial"/>
          <w:sz w:val="21"/>
          <w:szCs w:val="28"/>
        </w:rPr>
        <w:t>3.4</w:t>
      </w:r>
      <w:r w:rsidRPr="003E0008">
        <w:rPr>
          <w:rFonts w:ascii="Arial" w:hAnsi="Arial"/>
          <w:sz w:val="21"/>
          <w:szCs w:val="28"/>
        </w:rPr>
        <w:t>个百分点。</w:t>
      </w:r>
    </w:p>
    <w:p w14:paraId="3ADBE1F5" w14:textId="77777777" w:rsidR="00941FE0" w:rsidRPr="00522A3F" w:rsidRDefault="00941FE0" w:rsidP="00941FE0">
      <w:pPr>
        <w:overflowPunct w:val="0"/>
        <w:spacing w:line="480" w:lineRule="auto"/>
        <w:ind w:firstLineChars="200" w:firstLine="420"/>
        <w:jc w:val="both"/>
        <w:textAlignment w:val="auto"/>
        <w:rPr>
          <w:rFonts w:ascii="Arial" w:hAnsi="Arial"/>
          <w:sz w:val="21"/>
          <w:szCs w:val="28"/>
        </w:rPr>
      </w:pPr>
      <w:r w:rsidRPr="003E0008">
        <w:rPr>
          <w:rFonts w:ascii="Arial" w:hAnsi="Arial" w:hint="eastAsia"/>
          <w:sz w:val="21"/>
          <w:szCs w:val="28"/>
        </w:rPr>
        <w:t>2025</w:t>
      </w:r>
      <w:r w:rsidRPr="003E0008">
        <w:rPr>
          <w:rFonts w:ascii="Arial" w:hAnsi="Arial" w:hint="eastAsia"/>
          <w:sz w:val="21"/>
          <w:szCs w:val="28"/>
        </w:rPr>
        <w:t>年</w:t>
      </w:r>
      <w:r w:rsidRPr="003E0008">
        <w:rPr>
          <w:rFonts w:ascii="Arial" w:hAnsi="Arial"/>
          <w:sz w:val="21"/>
          <w:szCs w:val="28"/>
        </w:rPr>
        <w:t>三季度，华润臻云、建发</w:t>
      </w:r>
      <w:r w:rsidRPr="003E0008">
        <w:rPr>
          <w:rFonts w:ascii="Arial" w:hAnsi="Arial"/>
          <w:sz w:val="21"/>
          <w:szCs w:val="28"/>
        </w:rPr>
        <w:t>·</w:t>
      </w:r>
      <w:r w:rsidRPr="003E0008">
        <w:rPr>
          <w:rFonts w:ascii="Arial" w:hAnsi="Arial"/>
          <w:sz w:val="21"/>
          <w:szCs w:val="28"/>
        </w:rPr>
        <w:t>海晏、中海萬吉玖序、融创壹号院、金茂满曜、颐海澐颂等高端改善项目热销，均位居全市项目销售金额榜</w:t>
      </w:r>
      <w:r w:rsidRPr="003E0008">
        <w:rPr>
          <w:rFonts w:ascii="Arial" w:hAnsi="Arial"/>
          <w:sz w:val="21"/>
          <w:szCs w:val="28"/>
        </w:rPr>
        <w:t>TOP10</w:t>
      </w:r>
      <w:r w:rsidRPr="003E0008">
        <w:rPr>
          <w:rFonts w:ascii="Arial" w:hAnsi="Arial"/>
          <w:sz w:val="21"/>
          <w:szCs w:val="28"/>
        </w:rPr>
        <w:t>前列，带动中高面积段和高总价产品成交占比出现明显的提升。主要原因一方面是热销项目主力户型位于</w:t>
      </w:r>
      <w:r w:rsidRPr="003E0008">
        <w:rPr>
          <w:rFonts w:ascii="Arial" w:hAnsi="Arial"/>
          <w:sz w:val="21"/>
          <w:szCs w:val="28"/>
        </w:rPr>
        <w:t>120-180</w:t>
      </w:r>
      <w:r w:rsidRPr="003E0008">
        <w:rPr>
          <w:rFonts w:ascii="Arial" w:hAnsi="Arial" w:hint="eastAsia"/>
          <w:sz w:val="21"/>
          <w:szCs w:val="28"/>
        </w:rPr>
        <w:t>平方米</w:t>
      </w:r>
      <w:r w:rsidRPr="003E0008">
        <w:rPr>
          <w:rFonts w:ascii="Arial" w:hAnsi="Arial"/>
          <w:sz w:val="21"/>
          <w:szCs w:val="28"/>
        </w:rPr>
        <w:t>之间；另一方面，入市项目区位优势较为明显，周边产业等配套资源丰富，市场需求支撑度较高，项目成交均价多数均超</w:t>
      </w:r>
      <w:r w:rsidRPr="003E0008">
        <w:rPr>
          <w:rFonts w:ascii="Arial" w:hAnsi="Arial"/>
          <w:sz w:val="21"/>
          <w:szCs w:val="28"/>
        </w:rPr>
        <w:t>10</w:t>
      </w:r>
      <w:r w:rsidRPr="003E0008">
        <w:rPr>
          <w:rFonts w:ascii="Arial" w:hAnsi="Arial"/>
          <w:sz w:val="21"/>
          <w:szCs w:val="28"/>
        </w:rPr>
        <w:t>万元</w:t>
      </w:r>
      <w:r w:rsidRPr="003E0008">
        <w:rPr>
          <w:rFonts w:ascii="Arial" w:hAnsi="Arial"/>
          <w:sz w:val="21"/>
          <w:szCs w:val="28"/>
        </w:rPr>
        <w:t>/</w:t>
      </w:r>
      <w:r w:rsidRPr="003E0008">
        <w:rPr>
          <w:rFonts w:ascii="Arial" w:hAnsi="Arial" w:hint="eastAsia"/>
          <w:sz w:val="21"/>
          <w:szCs w:val="28"/>
        </w:rPr>
        <w:t>平方米</w:t>
      </w:r>
      <w:r w:rsidRPr="00522A3F">
        <w:rPr>
          <w:rFonts w:ascii="Arial" w:hAnsi="Arial"/>
          <w:sz w:val="21"/>
          <w:szCs w:val="28"/>
        </w:rPr>
        <w:t>。</w:t>
      </w:r>
    </w:p>
    <w:p w14:paraId="20785317" w14:textId="77777777" w:rsidR="00941FE0" w:rsidRPr="00EC06B5" w:rsidRDefault="00941FE0" w:rsidP="00941FE0">
      <w:pPr>
        <w:overflowPunct w:val="0"/>
        <w:spacing w:line="480" w:lineRule="auto"/>
        <w:jc w:val="center"/>
        <w:textAlignment w:val="auto"/>
      </w:pPr>
      <w:r w:rsidRPr="00E666A9">
        <w:rPr>
          <w:noProof/>
        </w:rPr>
        <w:drawing>
          <wp:inline distT="0" distB="0" distL="0" distR="0" wp14:anchorId="0923EEA0" wp14:editId="428628FF">
            <wp:extent cx="5902325" cy="1704340"/>
            <wp:effectExtent l="0" t="0" r="0" b="0"/>
            <wp:docPr id="6277543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02325" cy="1704340"/>
                    </a:xfrm>
                    <a:prstGeom prst="rect">
                      <a:avLst/>
                    </a:prstGeom>
                    <a:noFill/>
                    <a:ln>
                      <a:noFill/>
                    </a:ln>
                  </pic:spPr>
                </pic:pic>
              </a:graphicData>
            </a:graphic>
          </wp:inline>
        </w:drawing>
      </w:r>
    </w:p>
    <w:p w14:paraId="43186017" w14:textId="77777777" w:rsidR="00941FE0" w:rsidRPr="00EC06B5" w:rsidRDefault="00941FE0" w:rsidP="00941FE0">
      <w:pPr>
        <w:overflowPunct w:val="0"/>
        <w:spacing w:line="480" w:lineRule="auto"/>
        <w:ind w:firstLineChars="200" w:firstLine="420"/>
        <w:textAlignment w:val="auto"/>
        <w:rPr>
          <w:rFonts w:ascii="Arial" w:hAnsi="Arial"/>
          <w:sz w:val="21"/>
        </w:rPr>
      </w:pPr>
      <w:r w:rsidRPr="00EC06B5">
        <w:rPr>
          <w:rFonts w:ascii="Arial" w:hAnsi="Arial" w:hint="eastAsia"/>
          <w:sz w:val="21"/>
        </w:rPr>
        <w:t>3</w:t>
      </w:r>
      <w:r w:rsidRPr="00EC06B5">
        <w:rPr>
          <w:rFonts w:ascii="Arial" w:hAnsi="Arial" w:hint="eastAsia"/>
          <w:sz w:val="21"/>
        </w:rPr>
        <w:t>）区域成交</w:t>
      </w:r>
    </w:p>
    <w:p w14:paraId="192B17D1" w14:textId="77777777" w:rsidR="00941FE0" w:rsidRPr="00CA28FE" w:rsidRDefault="00941FE0" w:rsidP="00941FE0">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从区域成交规模来看，近郊六区仍为市场成交主力区域，成交规模占比超五成。</w:t>
      </w:r>
      <w:r w:rsidRPr="00CA28FE">
        <w:rPr>
          <w:rFonts w:ascii="Arial" w:hAnsi="Arial"/>
          <w:sz w:val="21"/>
          <w:szCs w:val="28"/>
        </w:rPr>
        <w:t>2025</w:t>
      </w:r>
      <w:r w:rsidRPr="00CA28FE">
        <w:rPr>
          <w:rFonts w:ascii="Arial" w:hAnsi="Arial"/>
          <w:sz w:val="21"/>
          <w:szCs w:val="28"/>
        </w:rPr>
        <w:t>年三季度近郊六区成交</w:t>
      </w:r>
      <w:r w:rsidRPr="00CA28FE">
        <w:rPr>
          <w:rFonts w:ascii="Arial" w:hAnsi="Arial"/>
          <w:sz w:val="21"/>
          <w:szCs w:val="28"/>
        </w:rPr>
        <w:t>56.17</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，占比达</w:t>
      </w:r>
      <w:r w:rsidRPr="00CA28FE">
        <w:rPr>
          <w:rFonts w:ascii="Arial" w:hAnsi="Arial"/>
          <w:sz w:val="21"/>
          <w:szCs w:val="28"/>
        </w:rPr>
        <w:t>53.1%</w:t>
      </w:r>
      <w:r w:rsidRPr="00CA28FE">
        <w:rPr>
          <w:rFonts w:ascii="Arial" w:hAnsi="Arial"/>
          <w:sz w:val="21"/>
          <w:szCs w:val="28"/>
        </w:rPr>
        <w:t>；其中，通州、大兴累计成交占全市的比重均超</w:t>
      </w:r>
      <w:r w:rsidRPr="00CA28FE">
        <w:rPr>
          <w:rFonts w:ascii="Arial" w:hAnsi="Arial"/>
          <w:sz w:val="21"/>
          <w:szCs w:val="28"/>
        </w:rPr>
        <w:t>10%</w:t>
      </w:r>
      <w:r w:rsidRPr="00CA28FE">
        <w:rPr>
          <w:rFonts w:ascii="Arial" w:hAnsi="Arial"/>
          <w:sz w:val="21"/>
          <w:szCs w:val="28"/>
        </w:rPr>
        <w:t>。中心城区累计成交</w:t>
      </w:r>
      <w:r w:rsidRPr="00CA28FE">
        <w:rPr>
          <w:rFonts w:ascii="Arial" w:hAnsi="Arial"/>
          <w:sz w:val="21"/>
          <w:szCs w:val="28"/>
        </w:rPr>
        <w:t>42.36</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，成交占比为</w:t>
      </w:r>
      <w:r w:rsidRPr="00CA28FE">
        <w:rPr>
          <w:rFonts w:ascii="Arial" w:hAnsi="Arial"/>
          <w:sz w:val="21"/>
          <w:szCs w:val="28"/>
        </w:rPr>
        <w:t>40.1%</w:t>
      </w:r>
      <w:r w:rsidRPr="00CA28FE">
        <w:rPr>
          <w:rFonts w:ascii="Arial" w:hAnsi="Arial"/>
          <w:sz w:val="21"/>
          <w:szCs w:val="28"/>
        </w:rPr>
        <w:t>，朝阳、丰台成交规模居前列，成交规模占全市的比重均超</w:t>
      </w:r>
      <w:r w:rsidRPr="00CA28FE">
        <w:rPr>
          <w:rFonts w:ascii="Arial" w:hAnsi="Arial"/>
          <w:sz w:val="21"/>
          <w:szCs w:val="28"/>
        </w:rPr>
        <w:t>10%</w:t>
      </w:r>
      <w:r w:rsidRPr="00CA28FE">
        <w:rPr>
          <w:rFonts w:ascii="Arial" w:hAnsi="Arial"/>
          <w:sz w:val="21"/>
          <w:szCs w:val="28"/>
        </w:rPr>
        <w:t>。</w:t>
      </w:r>
    </w:p>
    <w:p w14:paraId="253D6F04" w14:textId="77777777" w:rsidR="00941FE0" w:rsidRPr="000567E5" w:rsidRDefault="00941FE0" w:rsidP="00941FE0">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从区域成交变化来看，中心城区、远郊区域成交规模增加，近郊区域同比下滑。其中，中心城区同比增加</w:t>
      </w:r>
      <w:r w:rsidRPr="00CA28FE">
        <w:rPr>
          <w:rFonts w:ascii="Arial" w:hAnsi="Arial"/>
          <w:sz w:val="21"/>
          <w:szCs w:val="28"/>
        </w:rPr>
        <w:t>26%</w:t>
      </w:r>
      <w:r w:rsidRPr="00CA28FE">
        <w:rPr>
          <w:rFonts w:ascii="Arial" w:hAnsi="Arial"/>
          <w:sz w:val="21"/>
          <w:szCs w:val="28"/>
        </w:rPr>
        <w:t>，海淀同比增幅超八成，石景山成交同比增加</w:t>
      </w:r>
      <w:r w:rsidRPr="00CA28FE">
        <w:rPr>
          <w:rFonts w:ascii="Arial" w:hAnsi="Arial"/>
          <w:sz w:val="21"/>
          <w:szCs w:val="28"/>
        </w:rPr>
        <w:t>42%</w:t>
      </w:r>
      <w:r w:rsidRPr="00CA28FE">
        <w:rPr>
          <w:rFonts w:ascii="Arial" w:hAnsi="Arial"/>
          <w:sz w:val="21"/>
          <w:szCs w:val="28"/>
        </w:rPr>
        <w:t>，丰台和朝阳成交同比增幅在</w:t>
      </w:r>
      <w:r w:rsidRPr="00CA28FE">
        <w:rPr>
          <w:rFonts w:ascii="Arial" w:hAnsi="Arial"/>
          <w:sz w:val="21"/>
          <w:szCs w:val="28"/>
        </w:rPr>
        <w:t>20%</w:t>
      </w:r>
      <w:r w:rsidRPr="00CA28FE">
        <w:rPr>
          <w:rFonts w:ascii="Arial" w:hAnsi="Arial"/>
          <w:sz w:val="21"/>
          <w:szCs w:val="28"/>
        </w:rPr>
        <w:t>左右，东城区和西城区成交规模同比明显下滑，但基数较小；近郊区域成交同比减少</w:t>
      </w:r>
      <w:r w:rsidRPr="00CA28FE">
        <w:rPr>
          <w:rFonts w:ascii="Arial" w:hAnsi="Arial"/>
          <w:sz w:val="21"/>
          <w:szCs w:val="28"/>
        </w:rPr>
        <w:t>15%</w:t>
      </w:r>
      <w:r w:rsidRPr="00CA28FE">
        <w:rPr>
          <w:rFonts w:ascii="Arial" w:hAnsi="Arial"/>
          <w:sz w:val="21"/>
          <w:szCs w:val="28"/>
        </w:rPr>
        <w:t>，房山和顺义同比领跌，跌幅分别为</w:t>
      </w:r>
      <w:r w:rsidRPr="00CA28FE">
        <w:rPr>
          <w:rFonts w:ascii="Arial" w:hAnsi="Arial"/>
          <w:sz w:val="21"/>
          <w:szCs w:val="28"/>
        </w:rPr>
        <w:t>59%</w:t>
      </w:r>
      <w:r w:rsidRPr="00CA28FE">
        <w:rPr>
          <w:rFonts w:ascii="Arial" w:hAnsi="Arial"/>
          <w:sz w:val="21"/>
          <w:szCs w:val="28"/>
        </w:rPr>
        <w:t>和</w:t>
      </w:r>
      <w:r w:rsidRPr="00CA28FE">
        <w:rPr>
          <w:rFonts w:ascii="Arial" w:hAnsi="Arial"/>
          <w:sz w:val="21"/>
          <w:szCs w:val="28"/>
        </w:rPr>
        <w:t>38%</w:t>
      </w:r>
      <w:r w:rsidRPr="00CA28FE">
        <w:rPr>
          <w:rFonts w:ascii="Arial" w:hAnsi="Arial"/>
          <w:sz w:val="21"/>
          <w:szCs w:val="28"/>
        </w:rPr>
        <w:t>，</w:t>
      </w:r>
      <w:r w:rsidRPr="00CA28FE">
        <w:rPr>
          <w:rFonts w:ascii="Arial" w:hAnsi="Arial"/>
          <w:sz w:val="21"/>
          <w:szCs w:val="28"/>
        </w:rPr>
        <w:t xml:space="preserve"> </w:t>
      </w:r>
      <w:r w:rsidRPr="00CA28FE">
        <w:rPr>
          <w:rFonts w:ascii="Arial" w:hAnsi="Arial"/>
          <w:sz w:val="21"/>
          <w:szCs w:val="28"/>
        </w:rPr>
        <w:t>昌平和大兴成交同比跌幅分别为</w:t>
      </w:r>
      <w:r w:rsidRPr="00CA28FE">
        <w:rPr>
          <w:rFonts w:ascii="Arial" w:hAnsi="Arial"/>
          <w:sz w:val="21"/>
          <w:szCs w:val="28"/>
        </w:rPr>
        <w:t>17%</w:t>
      </w:r>
      <w:r w:rsidRPr="00CA28FE">
        <w:rPr>
          <w:rFonts w:ascii="Arial" w:hAnsi="Arial"/>
          <w:sz w:val="21"/>
          <w:szCs w:val="28"/>
        </w:rPr>
        <w:t>和</w:t>
      </w:r>
      <w:r w:rsidRPr="00CA28FE">
        <w:rPr>
          <w:rFonts w:ascii="Arial" w:hAnsi="Arial"/>
          <w:sz w:val="21"/>
          <w:szCs w:val="28"/>
        </w:rPr>
        <w:t>21%</w:t>
      </w:r>
      <w:r w:rsidRPr="00CA28FE">
        <w:rPr>
          <w:rFonts w:ascii="Arial" w:hAnsi="Arial"/>
          <w:sz w:val="21"/>
          <w:szCs w:val="28"/>
        </w:rPr>
        <w:t>，通州和门头沟成交同比增加；远郊区域成交规模同比增加</w:t>
      </w:r>
      <w:r w:rsidRPr="00CA28FE">
        <w:rPr>
          <w:rFonts w:ascii="Arial" w:hAnsi="Arial"/>
          <w:sz w:val="21"/>
          <w:szCs w:val="28"/>
        </w:rPr>
        <w:t>27%</w:t>
      </w:r>
      <w:r w:rsidRPr="00CA28FE">
        <w:rPr>
          <w:rFonts w:ascii="Arial" w:hAnsi="Arial"/>
          <w:sz w:val="21"/>
          <w:szCs w:val="28"/>
        </w:rPr>
        <w:t>，密云和怀柔增幅明显，平谷和延庆成交同比下跌</w:t>
      </w:r>
      <w:r w:rsidRPr="000567E5">
        <w:rPr>
          <w:rFonts w:ascii="Arial" w:hAnsi="Arial"/>
          <w:sz w:val="21"/>
          <w:szCs w:val="28"/>
        </w:rPr>
        <w:t>。</w:t>
      </w:r>
    </w:p>
    <w:p w14:paraId="40D8A7DF" w14:textId="77777777" w:rsidR="00941FE0" w:rsidRPr="00EC06B5" w:rsidRDefault="00941FE0" w:rsidP="00941FE0">
      <w:pPr>
        <w:tabs>
          <w:tab w:val="left" w:pos="0"/>
        </w:tabs>
        <w:overflowPunct w:val="0"/>
        <w:spacing w:line="480" w:lineRule="auto"/>
        <w:jc w:val="center"/>
        <w:textAlignment w:val="auto"/>
        <w:rPr>
          <w:noProof/>
        </w:rPr>
      </w:pPr>
      <w:r w:rsidRPr="00E666A9">
        <w:rPr>
          <w:noProof/>
        </w:rPr>
        <w:lastRenderedPageBreak/>
        <w:drawing>
          <wp:inline distT="0" distB="0" distL="0" distR="0" wp14:anchorId="2FDF934F" wp14:editId="2F22FAEB">
            <wp:extent cx="5908040" cy="1941830"/>
            <wp:effectExtent l="0" t="0" r="0" b="0"/>
            <wp:docPr id="6277543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08040" cy="1941830"/>
                    </a:xfrm>
                    <a:prstGeom prst="rect">
                      <a:avLst/>
                    </a:prstGeom>
                    <a:noFill/>
                    <a:ln>
                      <a:noFill/>
                    </a:ln>
                  </pic:spPr>
                </pic:pic>
              </a:graphicData>
            </a:graphic>
          </wp:inline>
        </w:drawing>
      </w:r>
    </w:p>
    <w:p w14:paraId="52ACF16C" w14:textId="77777777" w:rsidR="00941FE0" w:rsidRPr="00CA28FE" w:rsidRDefault="00941FE0" w:rsidP="00941FE0">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从成交价格来看，</w:t>
      </w:r>
      <w:r w:rsidRPr="00CA28FE">
        <w:rPr>
          <w:rFonts w:ascii="Arial" w:hAnsi="Arial" w:hint="eastAsia"/>
          <w:sz w:val="21"/>
          <w:szCs w:val="28"/>
        </w:rPr>
        <w:t>2025</w:t>
      </w:r>
      <w:r w:rsidRPr="00CA28FE">
        <w:rPr>
          <w:rFonts w:ascii="Arial" w:hAnsi="Arial" w:hint="eastAsia"/>
          <w:sz w:val="21"/>
          <w:szCs w:val="28"/>
        </w:rPr>
        <w:t>年三季度中心城区商品住宅（不含保障房）成交均价最高，整体均价超</w:t>
      </w:r>
      <w:r w:rsidRPr="00CA28FE">
        <w:rPr>
          <w:rFonts w:ascii="Arial" w:hAnsi="Arial" w:hint="eastAsia"/>
          <w:sz w:val="21"/>
          <w:szCs w:val="28"/>
        </w:rPr>
        <w:t>10</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平方米，其中东、西城成交均价均超</w:t>
      </w:r>
      <w:r w:rsidRPr="00CA28FE">
        <w:rPr>
          <w:rFonts w:ascii="Arial" w:hAnsi="Arial" w:hint="eastAsia"/>
          <w:sz w:val="21"/>
          <w:szCs w:val="28"/>
        </w:rPr>
        <w:t>12</w:t>
      </w:r>
      <w:r w:rsidRPr="00CA28FE">
        <w:rPr>
          <w:rFonts w:ascii="Arial" w:hAnsi="Arial" w:hint="eastAsia"/>
          <w:sz w:val="21"/>
          <w:szCs w:val="28"/>
        </w:rPr>
        <w:t>万元</w:t>
      </w:r>
      <w:r w:rsidRPr="00CA28FE">
        <w:rPr>
          <w:rFonts w:ascii="Arial" w:hAnsi="Arial" w:hint="eastAsia"/>
          <w:sz w:val="21"/>
          <w:szCs w:val="28"/>
        </w:rPr>
        <w:t>/</w:t>
      </w:r>
      <w:r w:rsidRPr="00CA28FE">
        <w:rPr>
          <w:rFonts w:ascii="Arial" w:hAnsi="Arial" w:hint="eastAsia"/>
          <w:sz w:val="21"/>
          <w:szCs w:val="28"/>
        </w:rPr>
        <w:t>平方米，远郊区整体成交均价最低，整体均价不足</w:t>
      </w:r>
      <w:r w:rsidRPr="00CA28FE">
        <w:rPr>
          <w:rFonts w:ascii="Arial" w:hAnsi="Arial" w:hint="eastAsia"/>
          <w:sz w:val="21"/>
          <w:szCs w:val="28"/>
        </w:rPr>
        <w:t>3</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平方米，其中密云区成交均价最低，上半年成交均价仅</w:t>
      </w:r>
      <w:r w:rsidRPr="00CA28FE">
        <w:rPr>
          <w:rFonts w:ascii="Arial" w:hAnsi="Arial" w:hint="eastAsia"/>
          <w:sz w:val="21"/>
          <w:szCs w:val="28"/>
        </w:rPr>
        <w:t>18794</w:t>
      </w:r>
      <w:r w:rsidRPr="00CA28FE">
        <w:rPr>
          <w:rFonts w:ascii="Arial" w:hAnsi="Arial" w:hint="eastAsia"/>
          <w:sz w:val="21"/>
          <w:szCs w:val="28"/>
        </w:rPr>
        <w:t>元</w:t>
      </w:r>
      <w:r w:rsidRPr="00CA28FE">
        <w:rPr>
          <w:rFonts w:ascii="Arial" w:hAnsi="Arial" w:hint="eastAsia"/>
          <w:sz w:val="21"/>
          <w:szCs w:val="28"/>
        </w:rPr>
        <w:t>/</w:t>
      </w:r>
      <w:r w:rsidRPr="00CA28FE">
        <w:rPr>
          <w:rFonts w:ascii="Arial" w:hAnsi="Arial" w:hint="eastAsia"/>
          <w:sz w:val="21"/>
          <w:szCs w:val="28"/>
        </w:rPr>
        <w:t>平方米</w:t>
      </w:r>
      <w:r w:rsidRPr="00CA28FE">
        <w:rPr>
          <w:rFonts w:ascii="Arial" w:hAnsi="Arial"/>
          <w:sz w:val="21"/>
          <w:szCs w:val="28"/>
        </w:rPr>
        <w:t>。</w:t>
      </w:r>
    </w:p>
    <w:p w14:paraId="4FB6AD27" w14:textId="77777777" w:rsidR="00941FE0" w:rsidRPr="000567E5" w:rsidRDefault="00941FE0" w:rsidP="00941FE0">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从价格变化来看，</w:t>
      </w:r>
      <w:r w:rsidRPr="00CA28FE">
        <w:rPr>
          <w:rFonts w:ascii="Arial" w:hAnsi="Arial"/>
          <w:sz w:val="21"/>
          <w:szCs w:val="28"/>
        </w:rPr>
        <w:t>2025</w:t>
      </w:r>
      <w:r w:rsidRPr="00CA28FE">
        <w:rPr>
          <w:rFonts w:ascii="Arial" w:hAnsi="Arial"/>
          <w:sz w:val="21"/>
          <w:szCs w:val="28"/>
        </w:rPr>
        <w:t>年三季度中心城区结构性上涨，近郊区、远郊区房价均有所下跌。其中，中心城区商品住宅成交均价同比上涨</w:t>
      </w:r>
      <w:r w:rsidRPr="00CA28FE">
        <w:rPr>
          <w:rFonts w:ascii="Arial" w:hAnsi="Arial"/>
          <w:sz w:val="21"/>
          <w:szCs w:val="28"/>
        </w:rPr>
        <w:t>7%</w:t>
      </w:r>
      <w:r w:rsidRPr="00CA28FE">
        <w:rPr>
          <w:rFonts w:ascii="Arial" w:hAnsi="Arial"/>
          <w:sz w:val="21"/>
          <w:szCs w:val="28"/>
        </w:rPr>
        <w:t>，海淀区和东城区领涨，同比涨幅分别为</w:t>
      </w:r>
      <w:r w:rsidRPr="00CA28FE">
        <w:rPr>
          <w:rFonts w:ascii="Arial" w:hAnsi="Arial"/>
          <w:sz w:val="21"/>
          <w:szCs w:val="28"/>
        </w:rPr>
        <w:t>26%</w:t>
      </w:r>
      <w:r w:rsidRPr="00CA28FE">
        <w:rPr>
          <w:rFonts w:ascii="Arial" w:hAnsi="Arial"/>
          <w:sz w:val="21"/>
          <w:szCs w:val="28"/>
        </w:rPr>
        <w:t>和</w:t>
      </w:r>
      <w:r w:rsidRPr="00CA28FE">
        <w:rPr>
          <w:rFonts w:ascii="Arial" w:hAnsi="Arial"/>
          <w:sz w:val="21"/>
          <w:szCs w:val="28"/>
        </w:rPr>
        <w:t>20%</w:t>
      </w:r>
      <w:r w:rsidRPr="00CA28FE">
        <w:rPr>
          <w:rFonts w:ascii="Arial" w:hAnsi="Arial"/>
          <w:sz w:val="21"/>
          <w:szCs w:val="28"/>
        </w:rPr>
        <w:t>；近郊区域成交均价同比下跌</w:t>
      </w:r>
      <w:r w:rsidRPr="00CA28FE">
        <w:rPr>
          <w:rFonts w:ascii="Arial" w:hAnsi="Arial"/>
          <w:sz w:val="21"/>
          <w:szCs w:val="28"/>
        </w:rPr>
        <w:t>6%</w:t>
      </w:r>
      <w:r w:rsidRPr="00CA28FE">
        <w:rPr>
          <w:rFonts w:ascii="Arial" w:hAnsi="Arial"/>
          <w:sz w:val="21"/>
          <w:szCs w:val="28"/>
        </w:rPr>
        <w:t>，门头沟和大兴房价下跌明显，同比跌幅均超</w:t>
      </w:r>
      <w:r w:rsidRPr="00CA28FE">
        <w:rPr>
          <w:rFonts w:ascii="Arial" w:hAnsi="Arial"/>
          <w:sz w:val="21"/>
          <w:szCs w:val="28"/>
        </w:rPr>
        <w:t>10%</w:t>
      </w:r>
      <w:r w:rsidRPr="00CA28FE">
        <w:rPr>
          <w:rFonts w:ascii="Arial" w:hAnsi="Arial"/>
          <w:sz w:val="21"/>
          <w:szCs w:val="28"/>
        </w:rPr>
        <w:t>；远郊区域成交均价同比下跌</w:t>
      </w:r>
      <w:r w:rsidRPr="00CA28FE">
        <w:rPr>
          <w:rFonts w:ascii="Arial" w:hAnsi="Arial"/>
          <w:sz w:val="21"/>
          <w:szCs w:val="28"/>
        </w:rPr>
        <w:t>11%</w:t>
      </w:r>
      <w:r w:rsidRPr="00CA28FE">
        <w:rPr>
          <w:rFonts w:ascii="Arial" w:hAnsi="Arial"/>
          <w:sz w:val="21"/>
          <w:szCs w:val="28"/>
        </w:rPr>
        <w:t>，密云和平谷跌幅超</w:t>
      </w:r>
      <w:r w:rsidRPr="00CA28FE">
        <w:rPr>
          <w:rFonts w:ascii="Arial" w:hAnsi="Arial"/>
          <w:sz w:val="21"/>
          <w:szCs w:val="28"/>
        </w:rPr>
        <w:t>20%</w:t>
      </w:r>
      <w:r w:rsidRPr="000567E5">
        <w:rPr>
          <w:rFonts w:ascii="Arial" w:hAnsi="Arial"/>
          <w:sz w:val="21"/>
          <w:szCs w:val="28"/>
        </w:rPr>
        <w:t>。</w:t>
      </w:r>
    </w:p>
    <w:p w14:paraId="2E1D80BE" w14:textId="77777777" w:rsidR="00941FE0" w:rsidRPr="00EC06B5" w:rsidRDefault="00941FE0" w:rsidP="00941FE0">
      <w:pPr>
        <w:widowControl/>
        <w:spacing w:line="360" w:lineRule="auto"/>
        <w:jc w:val="center"/>
        <w:rPr>
          <w:rFonts w:ascii="Arial" w:eastAsia="仿宋_GB2312" w:hAnsi="Arial" w:cs="Arial"/>
          <w:bCs/>
          <w:color w:val="000000"/>
          <w:sz w:val="28"/>
          <w:szCs w:val="28"/>
        </w:rPr>
      </w:pPr>
      <w:r w:rsidRPr="00E666A9">
        <w:rPr>
          <w:noProof/>
        </w:rPr>
        <w:drawing>
          <wp:inline distT="0" distB="0" distL="0" distR="0" wp14:anchorId="6C00CC34" wp14:editId="75A6E7FD">
            <wp:extent cx="5902325" cy="1988820"/>
            <wp:effectExtent l="0" t="0" r="0" b="0"/>
            <wp:docPr id="6277543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2325" cy="1988820"/>
                    </a:xfrm>
                    <a:prstGeom prst="rect">
                      <a:avLst/>
                    </a:prstGeom>
                    <a:noFill/>
                    <a:ln>
                      <a:noFill/>
                    </a:ln>
                  </pic:spPr>
                </pic:pic>
              </a:graphicData>
            </a:graphic>
          </wp:inline>
        </w:drawing>
      </w:r>
    </w:p>
    <w:p w14:paraId="3CE0CF1E" w14:textId="77777777" w:rsidR="00941FE0" w:rsidRPr="00EC06B5" w:rsidRDefault="00941FE0" w:rsidP="00941FE0">
      <w:pPr>
        <w:widowControl/>
        <w:overflowPunct w:val="0"/>
        <w:spacing w:line="480" w:lineRule="auto"/>
        <w:ind w:firstLineChars="200" w:firstLine="420"/>
        <w:jc w:val="both"/>
        <w:textAlignment w:val="auto"/>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1776806D" w14:textId="77777777" w:rsidR="00941FE0" w:rsidRPr="00EC06B5" w:rsidRDefault="00941FE0" w:rsidP="00941FE0">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382996DC" w14:textId="77777777" w:rsidR="00941FE0" w:rsidRPr="00541D8C" w:rsidRDefault="00941FE0" w:rsidP="00941FE0">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t>2025</w:t>
      </w:r>
      <w:r w:rsidRPr="00541D8C">
        <w:rPr>
          <w:rFonts w:ascii="Arial" w:hAnsi="Arial" w:hint="eastAsia"/>
          <w:sz w:val="21"/>
          <w:szCs w:val="28"/>
        </w:rPr>
        <w:t>年三季度，北京存量房市场活跃度有所下滑，累计成交</w:t>
      </w:r>
      <w:r w:rsidRPr="00541D8C">
        <w:rPr>
          <w:rFonts w:ascii="Arial" w:hAnsi="Arial" w:hint="eastAsia"/>
          <w:sz w:val="21"/>
          <w:szCs w:val="28"/>
        </w:rPr>
        <w:t>5.16</w:t>
      </w:r>
      <w:r w:rsidRPr="00541D8C">
        <w:rPr>
          <w:rFonts w:ascii="Arial" w:hAnsi="Arial" w:hint="eastAsia"/>
          <w:sz w:val="21"/>
          <w:szCs w:val="28"/>
        </w:rPr>
        <w:t>万套，环比下降</w:t>
      </w:r>
      <w:r w:rsidRPr="00541D8C">
        <w:rPr>
          <w:rFonts w:ascii="Arial" w:hAnsi="Arial" w:hint="eastAsia"/>
          <w:sz w:val="21"/>
          <w:szCs w:val="28"/>
        </w:rPr>
        <w:t>6.7%</w:t>
      </w:r>
      <w:r w:rsidRPr="00541D8C">
        <w:rPr>
          <w:rFonts w:ascii="Arial" w:hAnsi="Arial" w:hint="eastAsia"/>
          <w:sz w:val="21"/>
          <w:szCs w:val="28"/>
        </w:rPr>
        <w:t>，同比下降</w:t>
      </w:r>
      <w:r w:rsidRPr="00541D8C">
        <w:rPr>
          <w:rFonts w:ascii="Arial" w:hAnsi="Arial" w:hint="eastAsia"/>
          <w:sz w:val="21"/>
          <w:szCs w:val="28"/>
        </w:rPr>
        <w:t>2.9%</w:t>
      </w:r>
      <w:r w:rsidRPr="00541D8C">
        <w:rPr>
          <w:rFonts w:ascii="Arial" w:hAnsi="Arial" w:hint="eastAsia"/>
          <w:sz w:val="21"/>
          <w:szCs w:val="28"/>
        </w:rPr>
        <w:t>。从月度趋势来看，北京存量房市场热度先降后升，</w:t>
      </w:r>
      <w:r w:rsidRPr="00541D8C">
        <w:rPr>
          <w:rFonts w:ascii="Arial" w:hAnsi="Arial" w:hint="eastAsia"/>
          <w:sz w:val="21"/>
          <w:szCs w:val="28"/>
        </w:rPr>
        <w:t>7/8</w:t>
      </w:r>
      <w:r w:rsidRPr="00541D8C">
        <w:rPr>
          <w:rFonts w:ascii="Arial" w:hAnsi="Arial" w:hint="eastAsia"/>
          <w:sz w:val="21"/>
          <w:szCs w:val="28"/>
        </w:rPr>
        <w:t>月北京存量商品住宅成交规模降至</w:t>
      </w:r>
      <w:r w:rsidRPr="00541D8C">
        <w:rPr>
          <w:rFonts w:ascii="Arial" w:hAnsi="Arial" w:hint="eastAsia"/>
          <w:sz w:val="21"/>
          <w:szCs w:val="28"/>
        </w:rPr>
        <w:t>1.3</w:t>
      </w:r>
      <w:r w:rsidRPr="00541D8C">
        <w:rPr>
          <w:rFonts w:ascii="Arial" w:hAnsi="Arial" w:hint="eastAsia"/>
          <w:sz w:val="21"/>
          <w:szCs w:val="28"/>
        </w:rPr>
        <w:t>万套上下；</w:t>
      </w:r>
      <w:r w:rsidRPr="00541D8C">
        <w:rPr>
          <w:rFonts w:ascii="Arial" w:hAnsi="Arial" w:hint="eastAsia"/>
          <w:sz w:val="21"/>
          <w:szCs w:val="28"/>
        </w:rPr>
        <w:t>8</w:t>
      </w:r>
      <w:r w:rsidRPr="00541D8C">
        <w:rPr>
          <w:rFonts w:ascii="Arial" w:hAnsi="Arial" w:hint="eastAsia"/>
          <w:sz w:val="21"/>
          <w:szCs w:val="28"/>
        </w:rPr>
        <w:t>月下旬，受楼市新政效果刺激，成交量逐步上涨，</w:t>
      </w:r>
      <w:r w:rsidRPr="00541D8C">
        <w:rPr>
          <w:rFonts w:ascii="Arial" w:hAnsi="Arial" w:hint="eastAsia"/>
          <w:sz w:val="21"/>
          <w:szCs w:val="28"/>
        </w:rPr>
        <w:t>9</w:t>
      </w:r>
      <w:r w:rsidRPr="00541D8C">
        <w:rPr>
          <w:rFonts w:ascii="Arial" w:hAnsi="Arial" w:hint="eastAsia"/>
          <w:sz w:val="21"/>
          <w:szCs w:val="28"/>
        </w:rPr>
        <w:t>月累计成交</w:t>
      </w:r>
      <w:r w:rsidRPr="00541D8C">
        <w:rPr>
          <w:rFonts w:ascii="Arial" w:hAnsi="Arial" w:hint="eastAsia"/>
          <w:sz w:val="21"/>
          <w:szCs w:val="28"/>
        </w:rPr>
        <w:t>15843</w:t>
      </w:r>
      <w:r w:rsidRPr="00541D8C">
        <w:rPr>
          <w:rFonts w:ascii="Arial" w:hAnsi="Arial" w:hint="eastAsia"/>
          <w:sz w:val="21"/>
          <w:szCs w:val="28"/>
        </w:rPr>
        <w:t>套，创近半年月度新高。</w:t>
      </w:r>
    </w:p>
    <w:p w14:paraId="2E8D57C8" w14:textId="77777777" w:rsidR="00941FE0" w:rsidRPr="0065799C" w:rsidRDefault="00941FE0" w:rsidP="00941FE0">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lastRenderedPageBreak/>
        <w:t>2025</w:t>
      </w:r>
      <w:r w:rsidRPr="00541D8C">
        <w:rPr>
          <w:rFonts w:ascii="Arial" w:hAnsi="Arial" w:hint="eastAsia"/>
          <w:sz w:val="21"/>
          <w:szCs w:val="28"/>
        </w:rPr>
        <w:t>年</w:t>
      </w:r>
      <w:r w:rsidRPr="00541D8C">
        <w:rPr>
          <w:rFonts w:ascii="Arial" w:hAnsi="Arial"/>
          <w:sz w:val="21"/>
          <w:szCs w:val="28"/>
        </w:rPr>
        <w:t>三季年，北京</w:t>
      </w:r>
      <w:r w:rsidRPr="00541D8C">
        <w:rPr>
          <w:rFonts w:ascii="Arial" w:hAnsi="Arial" w:hint="eastAsia"/>
          <w:sz w:val="21"/>
          <w:szCs w:val="28"/>
        </w:rPr>
        <w:t>存量</w:t>
      </w:r>
      <w:r w:rsidRPr="00541D8C">
        <w:rPr>
          <w:rFonts w:ascii="Arial" w:hAnsi="Arial"/>
          <w:sz w:val="21"/>
          <w:szCs w:val="28"/>
        </w:rPr>
        <w:t>房市场延续</w:t>
      </w:r>
      <w:r w:rsidRPr="00541D8C">
        <w:rPr>
          <w:rFonts w:ascii="Arial" w:hAnsi="Arial"/>
          <w:sz w:val="21"/>
          <w:szCs w:val="28"/>
        </w:rPr>
        <w:t>“</w:t>
      </w:r>
      <w:r w:rsidRPr="00541D8C">
        <w:rPr>
          <w:rFonts w:ascii="Arial" w:hAnsi="Arial"/>
          <w:sz w:val="21"/>
          <w:szCs w:val="28"/>
        </w:rPr>
        <w:t>以价换量</w:t>
      </w:r>
      <w:r w:rsidRPr="00541D8C">
        <w:rPr>
          <w:rFonts w:ascii="Arial" w:hAnsi="Arial"/>
          <w:sz w:val="21"/>
          <w:szCs w:val="28"/>
        </w:rPr>
        <w:t>”</w:t>
      </w:r>
      <w:r w:rsidRPr="00541D8C">
        <w:rPr>
          <w:rFonts w:ascii="Arial" w:hAnsi="Arial"/>
          <w:sz w:val="21"/>
          <w:szCs w:val="28"/>
        </w:rPr>
        <w:t>主旋律。从统计局数据来看，二季度以来，受</w:t>
      </w:r>
      <w:r w:rsidRPr="00541D8C">
        <w:rPr>
          <w:rFonts w:ascii="Arial" w:hAnsi="Arial" w:hint="eastAsia"/>
          <w:sz w:val="21"/>
          <w:szCs w:val="28"/>
        </w:rPr>
        <w:t>存量</w:t>
      </w:r>
      <w:r w:rsidRPr="00541D8C">
        <w:rPr>
          <w:rFonts w:ascii="Arial" w:hAnsi="Arial"/>
          <w:sz w:val="21"/>
          <w:szCs w:val="28"/>
        </w:rPr>
        <w:t>房挂牌增加，学区需求下滑等因素影响，北京</w:t>
      </w:r>
      <w:r w:rsidRPr="00541D8C">
        <w:rPr>
          <w:rFonts w:ascii="Arial" w:hAnsi="Arial" w:hint="eastAsia"/>
          <w:sz w:val="21"/>
          <w:szCs w:val="28"/>
        </w:rPr>
        <w:t>存量</w:t>
      </w:r>
      <w:r w:rsidRPr="00541D8C">
        <w:rPr>
          <w:rFonts w:ascii="Arial" w:hAnsi="Arial"/>
          <w:sz w:val="21"/>
          <w:szCs w:val="28"/>
        </w:rPr>
        <w:t>房价格指数环比持续下跌，三季度房价跌幅呈扩大趋势，</w:t>
      </w:r>
      <w:r w:rsidRPr="00541D8C">
        <w:rPr>
          <w:rFonts w:ascii="Arial" w:hAnsi="Arial"/>
          <w:sz w:val="21"/>
          <w:szCs w:val="28"/>
        </w:rPr>
        <w:t>7</w:t>
      </w:r>
      <w:r w:rsidRPr="00541D8C">
        <w:rPr>
          <w:rFonts w:ascii="Arial" w:hAnsi="Arial"/>
          <w:sz w:val="21"/>
          <w:szCs w:val="28"/>
        </w:rPr>
        <w:t>月跌幅</w:t>
      </w:r>
      <w:r w:rsidRPr="00541D8C">
        <w:rPr>
          <w:rFonts w:ascii="Arial" w:hAnsi="Arial"/>
          <w:sz w:val="21"/>
          <w:szCs w:val="28"/>
        </w:rPr>
        <w:t>1.1%</w:t>
      </w:r>
      <w:r w:rsidRPr="00541D8C">
        <w:rPr>
          <w:rFonts w:ascii="Arial" w:hAnsi="Arial"/>
          <w:sz w:val="21"/>
          <w:szCs w:val="28"/>
        </w:rPr>
        <w:t>，</w:t>
      </w:r>
      <w:r w:rsidRPr="00541D8C">
        <w:rPr>
          <w:rFonts w:ascii="Arial" w:hAnsi="Arial"/>
          <w:sz w:val="21"/>
          <w:szCs w:val="28"/>
        </w:rPr>
        <w:t>8</w:t>
      </w:r>
      <w:r w:rsidRPr="00541D8C">
        <w:rPr>
          <w:rFonts w:ascii="Arial" w:hAnsi="Arial"/>
          <w:sz w:val="21"/>
          <w:szCs w:val="28"/>
        </w:rPr>
        <w:t>月跌幅再次扩大至</w:t>
      </w:r>
      <w:r w:rsidRPr="00541D8C">
        <w:rPr>
          <w:rFonts w:ascii="Arial" w:hAnsi="Arial"/>
          <w:sz w:val="21"/>
          <w:szCs w:val="28"/>
        </w:rPr>
        <w:t>1.2%</w:t>
      </w:r>
      <w:r w:rsidRPr="00541D8C">
        <w:rPr>
          <w:rFonts w:ascii="Arial" w:hAnsi="Arial"/>
          <w:sz w:val="21"/>
          <w:szCs w:val="28"/>
        </w:rPr>
        <w:t>，</w:t>
      </w:r>
      <w:r w:rsidRPr="00541D8C">
        <w:rPr>
          <w:rFonts w:ascii="Arial" w:hAnsi="Arial"/>
          <w:sz w:val="21"/>
          <w:szCs w:val="28"/>
        </w:rPr>
        <w:t>9</w:t>
      </w:r>
      <w:r w:rsidRPr="00541D8C">
        <w:rPr>
          <w:rFonts w:ascii="Arial" w:hAnsi="Arial"/>
          <w:sz w:val="21"/>
          <w:szCs w:val="28"/>
        </w:rPr>
        <w:t>月跌幅缩小至</w:t>
      </w:r>
      <w:r w:rsidRPr="00541D8C">
        <w:rPr>
          <w:rFonts w:ascii="Arial" w:hAnsi="Arial"/>
          <w:sz w:val="21"/>
          <w:szCs w:val="28"/>
        </w:rPr>
        <w:t>0.9%</w:t>
      </w:r>
      <w:r w:rsidRPr="0065799C">
        <w:rPr>
          <w:rFonts w:ascii="Arial" w:hAnsi="Arial"/>
          <w:sz w:val="21"/>
          <w:szCs w:val="28"/>
        </w:rPr>
        <w:t>。</w:t>
      </w:r>
    </w:p>
    <w:p w14:paraId="7F6D4FAC" w14:textId="77777777" w:rsidR="00941FE0" w:rsidRPr="00EC06B5" w:rsidRDefault="00941FE0" w:rsidP="00941FE0">
      <w:pPr>
        <w:tabs>
          <w:tab w:val="left" w:pos="0"/>
        </w:tabs>
        <w:overflowPunct w:val="0"/>
        <w:spacing w:line="480" w:lineRule="auto"/>
        <w:jc w:val="center"/>
        <w:textAlignment w:val="auto"/>
        <w:rPr>
          <w:rFonts w:ascii="Arial" w:hAnsi="Arial"/>
          <w:sz w:val="21"/>
        </w:rPr>
      </w:pPr>
      <w:r w:rsidRPr="00E666A9">
        <w:rPr>
          <w:noProof/>
        </w:rPr>
        <w:drawing>
          <wp:inline distT="0" distB="0" distL="0" distR="0" wp14:anchorId="1F1ED3EA" wp14:editId="7CB48D59">
            <wp:extent cx="5902325" cy="1638935"/>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02325" cy="1638935"/>
                    </a:xfrm>
                    <a:prstGeom prst="rect">
                      <a:avLst/>
                    </a:prstGeom>
                    <a:noFill/>
                    <a:ln>
                      <a:noFill/>
                    </a:ln>
                  </pic:spPr>
                </pic:pic>
              </a:graphicData>
            </a:graphic>
          </wp:inline>
        </w:drawing>
      </w:r>
    </w:p>
    <w:p w14:paraId="1F966648" w14:textId="77777777" w:rsidR="00941FE0" w:rsidRPr="00EC06B5" w:rsidRDefault="00941FE0" w:rsidP="00941FE0">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67DEA81A" w14:textId="77777777" w:rsidR="00941FE0" w:rsidRPr="00541D8C" w:rsidRDefault="00941FE0" w:rsidP="00941FE0">
      <w:pPr>
        <w:overflowPunct w:val="0"/>
        <w:spacing w:line="480" w:lineRule="auto"/>
        <w:ind w:firstLine="420"/>
        <w:jc w:val="both"/>
        <w:textAlignment w:val="auto"/>
        <w:rPr>
          <w:rFonts w:ascii="Arial" w:hAnsi="Arial"/>
          <w:color w:val="000000"/>
          <w:sz w:val="21"/>
        </w:rPr>
      </w:pPr>
      <w:r w:rsidRPr="00541D8C">
        <w:rPr>
          <w:rFonts w:ascii="Arial" w:hAnsi="Arial"/>
          <w:color w:val="000000"/>
          <w:sz w:val="21"/>
        </w:rPr>
        <w:t>分区域来看，</w:t>
      </w:r>
      <w:r w:rsidRPr="00541D8C">
        <w:rPr>
          <w:rFonts w:ascii="Arial" w:hAnsi="Arial" w:hint="eastAsia"/>
          <w:color w:val="000000"/>
          <w:sz w:val="21"/>
        </w:rPr>
        <w:t>2025</w:t>
      </w:r>
      <w:r w:rsidRPr="00541D8C">
        <w:rPr>
          <w:rFonts w:ascii="Arial" w:hAnsi="Arial" w:hint="eastAsia"/>
          <w:color w:val="000000"/>
          <w:sz w:val="21"/>
        </w:rPr>
        <w:t>年三季度朝阳存量房成交规模较大，成交规模达</w:t>
      </w:r>
      <w:r w:rsidRPr="00541D8C">
        <w:rPr>
          <w:rFonts w:ascii="Arial" w:hAnsi="Arial" w:hint="eastAsia"/>
          <w:color w:val="000000"/>
          <w:sz w:val="21"/>
        </w:rPr>
        <w:t>87.22</w:t>
      </w:r>
      <w:r w:rsidRPr="00541D8C">
        <w:rPr>
          <w:rFonts w:ascii="Arial" w:hAnsi="Arial" w:hint="eastAsia"/>
          <w:color w:val="000000"/>
          <w:sz w:val="21"/>
        </w:rPr>
        <w:t>万平方米，居各区第一位；海淀、丰台、昌平成交面积均超过</w:t>
      </w:r>
      <w:r w:rsidRPr="00541D8C">
        <w:rPr>
          <w:rFonts w:ascii="Arial" w:hAnsi="Arial" w:hint="eastAsia"/>
          <w:color w:val="000000"/>
          <w:sz w:val="21"/>
        </w:rPr>
        <w:t>30</w:t>
      </w:r>
      <w:r w:rsidRPr="00541D8C">
        <w:rPr>
          <w:rFonts w:ascii="Arial" w:hAnsi="Arial" w:hint="eastAsia"/>
          <w:color w:val="000000"/>
          <w:sz w:val="21"/>
        </w:rPr>
        <w:t>万平方米，成交规模居第二梯队；另外，远郊各区以及近郊的门头沟存量房市场活跃度相对较低，成交规模均不足</w:t>
      </w:r>
      <w:r w:rsidRPr="00541D8C">
        <w:rPr>
          <w:rFonts w:ascii="Arial" w:hAnsi="Arial" w:hint="eastAsia"/>
          <w:color w:val="000000"/>
          <w:sz w:val="21"/>
        </w:rPr>
        <w:t>10</w:t>
      </w:r>
      <w:r w:rsidRPr="00541D8C">
        <w:rPr>
          <w:rFonts w:ascii="Arial" w:hAnsi="Arial" w:hint="eastAsia"/>
          <w:color w:val="000000"/>
          <w:sz w:val="21"/>
        </w:rPr>
        <w:t>万平方米。</w:t>
      </w:r>
    </w:p>
    <w:p w14:paraId="63E3E661" w14:textId="77777777" w:rsidR="00941FE0" w:rsidRPr="00995459" w:rsidRDefault="00941FE0" w:rsidP="00941FE0">
      <w:pPr>
        <w:overflowPunct w:val="0"/>
        <w:spacing w:line="480" w:lineRule="auto"/>
        <w:ind w:firstLine="420"/>
        <w:jc w:val="both"/>
        <w:textAlignment w:val="auto"/>
        <w:rPr>
          <w:rFonts w:ascii="Arial" w:hAnsi="Arial"/>
          <w:color w:val="000000"/>
          <w:sz w:val="21"/>
        </w:rPr>
      </w:pPr>
      <w:r w:rsidRPr="00541D8C">
        <w:rPr>
          <w:rFonts w:ascii="Arial" w:hAnsi="Arial" w:hint="eastAsia"/>
          <w:color w:val="000000"/>
          <w:sz w:val="21"/>
        </w:rPr>
        <w:t>从同比变化来看，三季度，除门头沟、平谷、大兴、通州外，其他区域存量房成交规模均同比下跌，中心城区整体成交规模同比下跌</w:t>
      </w:r>
      <w:r w:rsidRPr="00541D8C">
        <w:rPr>
          <w:rFonts w:ascii="Arial" w:hAnsi="Arial" w:hint="eastAsia"/>
          <w:color w:val="000000"/>
          <w:sz w:val="21"/>
        </w:rPr>
        <w:t>8%</w:t>
      </w:r>
      <w:r w:rsidRPr="00541D8C">
        <w:rPr>
          <w:rFonts w:ascii="Arial" w:hAnsi="Arial" w:hint="eastAsia"/>
          <w:color w:val="000000"/>
          <w:sz w:val="21"/>
        </w:rPr>
        <w:t>，其中石景山区各同比下跌</w:t>
      </w:r>
      <w:r w:rsidRPr="00541D8C">
        <w:rPr>
          <w:rFonts w:ascii="Arial" w:hAnsi="Arial" w:hint="eastAsia"/>
          <w:color w:val="000000"/>
          <w:sz w:val="21"/>
        </w:rPr>
        <w:t>14%</w:t>
      </w:r>
      <w:r w:rsidRPr="00541D8C">
        <w:rPr>
          <w:rFonts w:ascii="Arial" w:hAnsi="Arial" w:hint="eastAsia"/>
          <w:color w:val="000000"/>
          <w:sz w:val="21"/>
        </w:rPr>
        <w:t>。成交价格方面，上半年西城区成交价格最高，达</w:t>
      </w:r>
      <w:r w:rsidRPr="00541D8C">
        <w:rPr>
          <w:rFonts w:ascii="Arial" w:hAnsi="Arial" w:hint="eastAsia"/>
          <w:color w:val="000000"/>
          <w:sz w:val="21"/>
        </w:rPr>
        <w:t>93558</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平方米；其次为东城区，为</w:t>
      </w:r>
      <w:r w:rsidRPr="00541D8C">
        <w:rPr>
          <w:rFonts w:ascii="Arial" w:hAnsi="Arial" w:hint="eastAsia"/>
          <w:color w:val="000000"/>
          <w:sz w:val="21"/>
        </w:rPr>
        <w:t>78189</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w:t>
      </w:r>
      <w:r w:rsidRPr="00995459">
        <w:rPr>
          <w:rFonts w:ascii="Arial" w:hAnsi="Arial"/>
          <w:color w:val="000000"/>
          <w:sz w:val="21"/>
        </w:rPr>
        <w:t>。</w:t>
      </w:r>
    </w:p>
    <w:p w14:paraId="3909F786" w14:textId="77777777" w:rsidR="00941FE0" w:rsidRPr="00EC06B5" w:rsidRDefault="00941FE0" w:rsidP="00941FE0">
      <w:pPr>
        <w:widowControl/>
        <w:spacing w:line="360" w:lineRule="auto"/>
        <w:jc w:val="center"/>
        <w:rPr>
          <w:rFonts w:ascii="Arial" w:eastAsia="仿宋_GB2312" w:hAnsi="Arial" w:cs="Arial"/>
          <w:bCs/>
          <w:color w:val="000000"/>
          <w:sz w:val="28"/>
          <w:szCs w:val="28"/>
        </w:rPr>
      </w:pPr>
      <w:r w:rsidRPr="00E666A9">
        <w:rPr>
          <w:noProof/>
        </w:rPr>
        <w:drawing>
          <wp:inline distT="0" distB="0" distL="0" distR="0" wp14:anchorId="359F8B44" wp14:editId="44AE73F6">
            <wp:extent cx="5908040" cy="2078355"/>
            <wp:effectExtent l="0" t="0" r="0" b="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8040" cy="2078355"/>
                    </a:xfrm>
                    <a:prstGeom prst="rect">
                      <a:avLst/>
                    </a:prstGeom>
                    <a:noFill/>
                    <a:ln>
                      <a:noFill/>
                    </a:ln>
                  </pic:spPr>
                </pic:pic>
              </a:graphicData>
            </a:graphic>
          </wp:inline>
        </w:drawing>
      </w:r>
    </w:p>
    <w:p w14:paraId="4E6992D1"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A64633">
        <w:rPr>
          <w:rFonts w:ascii="Arial" w:hAnsi="Arial"/>
          <w:color w:val="000000"/>
          <w:sz w:val="21"/>
        </w:rPr>
        <w:t>整体来看，北京市</w:t>
      </w:r>
      <w:r w:rsidRPr="00A64633">
        <w:rPr>
          <w:rFonts w:ascii="Arial" w:hAnsi="Arial" w:hint="eastAsia"/>
          <w:color w:val="000000"/>
          <w:sz w:val="21"/>
        </w:rPr>
        <w:t>存量</w:t>
      </w:r>
      <w:r w:rsidRPr="00A64633">
        <w:rPr>
          <w:rFonts w:ascii="Arial" w:hAnsi="Arial"/>
          <w:color w:val="000000"/>
          <w:sz w:val="21"/>
        </w:rPr>
        <w:t>房对新房市场的分流效应逐步增强。</w:t>
      </w:r>
      <w:r w:rsidRPr="00A64633">
        <w:rPr>
          <w:rFonts w:ascii="Arial" w:hAnsi="Arial"/>
          <w:color w:val="000000"/>
          <w:sz w:val="21"/>
        </w:rPr>
        <w:t>2021</w:t>
      </w:r>
      <w:r w:rsidRPr="00A64633">
        <w:rPr>
          <w:rFonts w:ascii="Arial" w:hAnsi="Arial"/>
          <w:color w:val="000000"/>
          <w:sz w:val="21"/>
        </w:rPr>
        <w:t>年以来，北京市</w:t>
      </w:r>
      <w:r w:rsidRPr="00A64633">
        <w:rPr>
          <w:rFonts w:ascii="Arial" w:hAnsi="Arial" w:hint="eastAsia"/>
          <w:color w:val="000000"/>
          <w:sz w:val="21"/>
        </w:rPr>
        <w:t>存量</w:t>
      </w:r>
      <w:r w:rsidRPr="00A64633">
        <w:rPr>
          <w:rFonts w:ascii="Arial" w:hAnsi="Arial"/>
          <w:color w:val="000000"/>
          <w:sz w:val="21"/>
        </w:rPr>
        <w:t>房成交占比波动增加。</w:t>
      </w:r>
      <w:r w:rsidRPr="00A64633">
        <w:rPr>
          <w:rFonts w:ascii="Arial" w:hAnsi="Arial"/>
          <w:color w:val="000000"/>
          <w:sz w:val="21"/>
        </w:rPr>
        <w:t>2025</w:t>
      </w:r>
      <w:r w:rsidRPr="00A64633">
        <w:rPr>
          <w:rFonts w:ascii="Arial" w:hAnsi="Arial"/>
          <w:color w:val="000000"/>
          <w:sz w:val="21"/>
        </w:rPr>
        <w:t>年三季度，北京新房市场虽有海淀、朝阳、通州</w:t>
      </w:r>
      <w:r w:rsidRPr="00A64633">
        <w:rPr>
          <w:rFonts w:ascii="Arial" w:hAnsi="Arial"/>
          <w:color w:val="000000"/>
          <w:sz w:val="21"/>
        </w:rPr>
        <w:t xml:space="preserve"> </w:t>
      </w:r>
      <w:r w:rsidRPr="00A64633">
        <w:rPr>
          <w:rFonts w:ascii="Arial" w:hAnsi="Arial"/>
          <w:color w:val="000000"/>
          <w:sz w:val="21"/>
        </w:rPr>
        <w:t>等项目的局部高热现象，但整体市场持续承压，累计成交套数不足</w:t>
      </w:r>
      <w:r w:rsidRPr="00A64633">
        <w:rPr>
          <w:rFonts w:ascii="Arial" w:hAnsi="Arial"/>
          <w:color w:val="000000"/>
          <w:sz w:val="21"/>
        </w:rPr>
        <w:t>1</w:t>
      </w:r>
      <w:r w:rsidRPr="00A64633">
        <w:rPr>
          <w:rFonts w:ascii="Arial" w:hAnsi="Arial"/>
          <w:color w:val="000000"/>
          <w:sz w:val="21"/>
        </w:rPr>
        <w:t>万套，为近年季度低位；</w:t>
      </w:r>
      <w:r w:rsidRPr="00A64633">
        <w:rPr>
          <w:rFonts w:ascii="Arial" w:hAnsi="Arial" w:hint="eastAsia"/>
          <w:color w:val="000000"/>
          <w:sz w:val="21"/>
        </w:rPr>
        <w:t>存量</w:t>
      </w:r>
      <w:r w:rsidRPr="00A64633">
        <w:rPr>
          <w:rFonts w:ascii="Arial" w:hAnsi="Arial"/>
          <w:color w:val="000000"/>
          <w:sz w:val="21"/>
        </w:rPr>
        <w:t>房市场热度虽有所下降，但成交套数依然保持较高水平。</w:t>
      </w:r>
      <w:r w:rsidRPr="00A64633">
        <w:rPr>
          <w:rFonts w:ascii="Arial" w:hAnsi="Arial"/>
          <w:color w:val="000000"/>
          <w:sz w:val="21"/>
        </w:rPr>
        <w:t xml:space="preserve">2025 </w:t>
      </w:r>
      <w:r w:rsidRPr="00A64633">
        <w:rPr>
          <w:rFonts w:ascii="Arial" w:hAnsi="Arial"/>
          <w:color w:val="000000"/>
          <w:sz w:val="21"/>
        </w:rPr>
        <w:t>年三季度北京</w:t>
      </w:r>
      <w:r w:rsidRPr="00A64633">
        <w:rPr>
          <w:rFonts w:ascii="Arial" w:hAnsi="Arial" w:hint="eastAsia"/>
          <w:color w:val="000000"/>
          <w:sz w:val="21"/>
        </w:rPr>
        <w:t>存量</w:t>
      </w:r>
      <w:r w:rsidRPr="00A64633">
        <w:rPr>
          <w:rFonts w:ascii="Arial" w:hAnsi="Arial"/>
          <w:color w:val="000000"/>
          <w:sz w:val="21"/>
        </w:rPr>
        <w:t>商品住宅累计成交套数占比升至</w:t>
      </w:r>
      <w:r w:rsidRPr="00A64633">
        <w:rPr>
          <w:rFonts w:ascii="Arial" w:hAnsi="Arial"/>
          <w:color w:val="000000"/>
          <w:sz w:val="21"/>
        </w:rPr>
        <w:t>81%</w:t>
      </w:r>
      <w:r w:rsidRPr="00A64633">
        <w:rPr>
          <w:rFonts w:ascii="Arial" w:hAnsi="Arial"/>
          <w:color w:val="000000"/>
          <w:sz w:val="21"/>
        </w:rPr>
        <w:t>，较上年同期提</w:t>
      </w:r>
      <w:r w:rsidRPr="00A64633">
        <w:rPr>
          <w:rFonts w:ascii="Arial" w:hAnsi="Arial"/>
          <w:color w:val="000000"/>
          <w:sz w:val="21"/>
        </w:rPr>
        <w:lastRenderedPageBreak/>
        <w:t>高</w:t>
      </w:r>
      <w:r w:rsidRPr="00A64633">
        <w:rPr>
          <w:rFonts w:ascii="Arial" w:hAnsi="Arial"/>
          <w:color w:val="000000"/>
          <w:sz w:val="21"/>
        </w:rPr>
        <w:t>4</w:t>
      </w:r>
      <w:r w:rsidRPr="00A64633">
        <w:rPr>
          <w:rFonts w:ascii="Arial" w:hAnsi="Arial"/>
          <w:color w:val="000000"/>
          <w:sz w:val="21"/>
        </w:rPr>
        <w:t>个百分点</w:t>
      </w:r>
      <w:r w:rsidRPr="00EC06B5">
        <w:rPr>
          <w:rFonts w:ascii="Arial" w:hAnsi="Arial"/>
          <w:color w:val="000000"/>
          <w:sz w:val="21"/>
        </w:rPr>
        <w:t>。</w:t>
      </w:r>
    </w:p>
    <w:p w14:paraId="43322C2D" w14:textId="77777777" w:rsidR="00941FE0" w:rsidRPr="00EC06B5" w:rsidRDefault="00941FE0" w:rsidP="00941FE0">
      <w:pPr>
        <w:overflowPunct w:val="0"/>
        <w:spacing w:line="480" w:lineRule="auto"/>
        <w:jc w:val="both"/>
        <w:textAlignment w:val="auto"/>
        <w:rPr>
          <w:rFonts w:ascii="Arial" w:hAnsi="Arial"/>
          <w:color w:val="000000"/>
          <w:sz w:val="21"/>
        </w:rPr>
      </w:pPr>
      <w:r w:rsidRPr="00E666A9">
        <w:rPr>
          <w:noProof/>
        </w:rPr>
        <w:drawing>
          <wp:inline distT="0" distB="0" distL="0" distR="0" wp14:anchorId="73A39069" wp14:editId="64E8097F">
            <wp:extent cx="5908040" cy="1722120"/>
            <wp:effectExtent l="0" t="0" r="0"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08040" cy="1722120"/>
                    </a:xfrm>
                    <a:prstGeom prst="rect">
                      <a:avLst/>
                    </a:prstGeom>
                    <a:noFill/>
                    <a:ln>
                      <a:noFill/>
                    </a:ln>
                  </pic:spPr>
                </pic:pic>
              </a:graphicData>
            </a:graphic>
          </wp:inline>
        </w:drawing>
      </w:r>
    </w:p>
    <w:p w14:paraId="76D5826D" w14:textId="77777777" w:rsidR="00941FE0" w:rsidRDefault="00941FE0" w:rsidP="00941FE0">
      <w:pPr>
        <w:spacing w:line="480" w:lineRule="auto"/>
        <w:ind w:firstLineChars="200" w:firstLine="420"/>
        <w:jc w:val="both"/>
        <w:textAlignment w:val="auto"/>
        <w:rPr>
          <w:rFonts w:ascii="Arial" w:hAnsi="Arial"/>
          <w:sz w:val="21"/>
          <w:szCs w:val="28"/>
        </w:rPr>
      </w:pPr>
      <w:r>
        <w:rPr>
          <w:rFonts w:ascii="Arial" w:hAnsi="Arial" w:hint="eastAsia"/>
          <w:sz w:val="21"/>
          <w:szCs w:val="28"/>
        </w:rPr>
        <w:t>3</w:t>
      </w:r>
      <w:r>
        <w:rPr>
          <w:rFonts w:ascii="Arial" w:hAnsi="Arial" w:hint="eastAsia"/>
          <w:sz w:val="21"/>
          <w:szCs w:val="28"/>
        </w:rPr>
        <w:t>）</w:t>
      </w:r>
      <w:r w:rsidRPr="00763761">
        <w:rPr>
          <w:rFonts w:ascii="Arial" w:hAnsi="Arial" w:hint="eastAsia"/>
          <w:sz w:val="21"/>
          <w:szCs w:val="28"/>
        </w:rPr>
        <w:t>住宅租赁市场</w:t>
      </w:r>
    </w:p>
    <w:p w14:paraId="77F985C2" w14:textId="77777777" w:rsidR="00941FE0" w:rsidRDefault="00941FE0" w:rsidP="00941FE0">
      <w:pPr>
        <w:spacing w:line="480" w:lineRule="auto"/>
        <w:ind w:firstLineChars="200" w:firstLine="420"/>
        <w:jc w:val="both"/>
        <w:textAlignment w:val="auto"/>
        <w:rPr>
          <w:rFonts w:ascii="Arial" w:hAnsi="Arial"/>
          <w:sz w:val="21"/>
          <w:szCs w:val="28"/>
        </w:rPr>
      </w:pPr>
      <w:r w:rsidRPr="0076285F">
        <w:rPr>
          <w:rFonts w:ascii="Arial" w:hAnsi="Arial" w:hint="eastAsia"/>
          <w:sz w:val="21"/>
          <w:szCs w:val="28"/>
        </w:rPr>
        <w:t>202</w:t>
      </w:r>
      <w:r>
        <w:rPr>
          <w:rFonts w:ascii="Arial" w:hAnsi="Arial"/>
          <w:sz w:val="21"/>
          <w:szCs w:val="28"/>
        </w:rPr>
        <w:t>5</w:t>
      </w:r>
      <w:r w:rsidRPr="0076285F">
        <w:rPr>
          <w:rFonts w:ascii="Arial" w:hAnsi="Arial" w:hint="eastAsia"/>
          <w:sz w:val="21"/>
          <w:szCs w:val="28"/>
        </w:rPr>
        <w:t>年</w:t>
      </w:r>
      <w:r>
        <w:rPr>
          <w:rFonts w:ascii="Arial" w:hAnsi="Arial" w:hint="eastAsia"/>
          <w:sz w:val="21"/>
          <w:szCs w:val="28"/>
        </w:rPr>
        <w:t>上半年</w:t>
      </w:r>
      <w:r w:rsidRPr="0076285F">
        <w:rPr>
          <w:rFonts w:ascii="Arial" w:hAnsi="Arial" w:hint="eastAsia"/>
          <w:sz w:val="21"/>
          <w:szCs w:val="28"/>
        </w:rPr>
        <w:t>，</w:t>
      </w:r>
      <w:r w:rsidRPr="00763761">
        <w:rPr>
          <w:rFonts w:ascii="Arial" w:hAnsi="Arial" w:hint="eastAsia"/>
          <w:sz w:val="21"/>
          <w:szCs w:val="28"/>
        </w:rPr>
        <w:t>北京市住宅租赁市场整体表现较好，交易量创</w:t>
      </w:r>
      <w:r w:rsidRPr="00763761">
        <w:rPr>
          <w:rFonts w:ascii="Arial" w:hAnsi="Arial" w:hint="eastAsia"/>
          <w:sz w:val="21"/>
          <w:szCs w:val="28"/>
        </w:rPr>
        <w:t xml:space="preserve"> 2019 </w:t>
      </w:r>
      <w:r w:rsidRPr="00763761">
        <w:rPr>
          <w:rFonts w:ascii="Arial" w:hAnsi="Arial" w:hint="eastAsia"/>
          <w:sz w:val="21"/>
          <w:szCs w:val="28"/>
        </w:rPr>
        <w:t>年以来同期次高，租金整体呈平稳微降态势，市场结构和需求也发生了一些变化。以下是具体分析：</w:t>
      </w:r>
    </w:p>
    <w:p w14:paraId="3A8D4E8D" w14:textId="77777777" w:rsidR="00941FE0" w:rsidRDefault="00941FE0" w:rsidP="00941FE0">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交易量方面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年上半年，我爱我家北京区域住房租赁交易量不及</w:t>
      </w:r>
      <w:r w:rsidRPr="00763761">
        <w:rPr>
          <w:rFonts w:ascii="Arial" w:hAnsi="Arial" w:hint="eastAsia"/>
          <w:sz w:val="21"/>
          <w:szCs w:val="28"/>
        </w:rPr>
        <w:t xml:space="preserve"> 2024 </w:t>
      </w:r>
      <w:r w:rsidRPr="00763761">
        <w:rPr>
          <w:rFonts w:ascii="Arial" w:hAnsi="Arial" w:hint="eastAsia"/>
          <w:sz w:val="21"/>
          <w:szCs w:val="28"/>
        </w:rPr>
        <w:t>年上半年，但好于</w:t>
      </w:r>
      <w:r w:rsidRPr="00763761">
        <w:rPr>
          <w:rFonts w:ascii="Arial" w:hAnsi="Arial" w:hint="eastAsia"/>
          <w:sz w:val="21"/>
          <w:szCs w:val="28"/>
        </w:rPr>
        <w:t xml:space="preserve"> 2019-2023 </w:t>
      </w:r>
      <w:r w:rsidRPr="00763761">
        <w:rPr>
          <w:rFonts w:ascii="Arial" w:hAnsi="Arial" w:hint="eastAsia"/>
          <w:sz w:val="21"/>
          <w:szCs w:val="28"/>
        </w:rPr>
        <w:t>年各年度同期水平，创历史同期次高。从月度来看，</w:t>
      </w:r>
      <w:r w:rsidRPr="00763761">
        <w:rPr>
          <w:rFonts w:ascii="Arial" w:hAnsi="Arial" w:hint="eastAsia"/>
          <w:sz w:val="21"/>
          <w:szCs w:val="28"/>
        </w:rPr>
        <w:t xml:space="preserve">1 </w:t>
      </w:r>
      <w:r w:rsidRPr="00763761">
        <w:rPr>
          <w:rFonts w:ascii="Arial" w:hAnsi="Arial" w:hint="eastAsia"/>
          <w:sz w:val="21"/>
          <w:szCs w:val="28"/>
        </w:rPr>
        <w:t>月受春节假期影响，日均交易量较低；</w:t>
      </w:r>
      <w:r w:rsidRPr="00763761">
        <w:rPr>
          <w:rFonts w:ascii="Arial" w:hAnsi="Arial" w:hint="eastAsia"/>
          <w:sz w:val="21"/>
          <w:szCs w:val="28"/>
        </w:rPr>
        <w:t xml:space="preserve">2 </w:t>
      </w:r>
      <w:r w:rsidRPr="00763761">
        <w:rPr>
          <w:rFonts w:ascii="Arial" w:hAnsi="Arial" w:hint="eastAsia"/>
          <w:sz w:val="21"/>
          <w:szCs w:val="28"/>
        </w:rPr>
        <w:t>月春节假期后市场快速回升；</w:t>
      </w:r>
      <w:r w:rsidRPr="00763761">
        <w:rPr>
          <w:rFonts w:ascii="Arial" w:hAnsi="Arial" w:hint="eastAsia"/>
          <w:sz w:val="21"/>
          <w:szCs w:val="28"/>
        </w:rPr>
        <w:t xml:space="preserve">3 </w:t>
      </w:r>
      <w:r w:rsidRPr="00763761">
        <w:rPr>
          <w:rFonts w:ascii="Arial" w:hAnsi="Arial" w:hint="eastAsia"/>
          <w:sz w:val="21"/>
          <w:szCs w:val="28"/>
        </w:rPr>
        <w:t>月迎来租赁</w:t>
      </w:r>
      <w:r w:rsidRPr="00763761">
        <w:rPr>
          <w:rFonts w:ascii="Arial" w:hAnsi="Arial" w:hint="eastAsia"/>
          <w:sz w:val="21"/>
          <w:szCs w:val="28"/>
        </w:rPr>
        <w:t xml:space="preserve"> </w:t>
      </w:r>
      <w:r w:rsidRPr="00763761">
        <w:rPr>
          <w:rFonts w:ascii="Arial" w:hAnsi="Arial" w:hint="eastAsia"/>
          <w:sz w:val="21"/>
          <w:szCs w:val="28"/>
        </w:rPr>
        <w:t>“小阳春”，环比增幅较高，交易量达到上半年次高水平；</w:t>
      </w:r>
      <w:r w:rsidRPr="00763761">
        <w:rPr>
          <w:rFonts w:ascii="Arial" w:hAnsi="Arial" w:hint="eastAsia"/>
          <w:sz w:val="21"/>
          <w:szCs w:val="28"/>
        </w:rPr>
        <w:t xml:space="preserve">4 </w:t>
      </w:r>
      <w:r w:rsidRPr="00763761">
        <w:rPr>
          <w:rFonts w:ascii="Arial" w:hAnsi="Arial" w:hint="eastAsia"/>
          <w:sz w:val="21"/>
          <w:szCs w:val="28"/>
        </w:rPr>
        <w:t>月市场常规性回落；</w:t>
      </w:r>
      <w:r w:rsidRPr="00763761">
        <w:rPr>
          <w:rFonts w:ascii="Arial" w:hAnsi="Arial" w:hint="eastAsia"/>
          <w:sz w:val="21"/>
          <w:szCs w:val="28"/>
        </w:rPr>
        <w:t xml:space="preserve">5-6 </w:t>
      </w:r>
      <w:r w:rsidRPr="00763761">
        <w:rPr>
          <w:rFonts w:ascii="Arial" w:hAnsi="Arial" w:hint="eastAsia"/>
          <w:sz w:val="21"/>
          <w:szCs w:val="28"/>
        </w:rPr>
        <w:t>月市场持续回升，</w:t>
      </w:r>
      <w:r w:rsidRPr="00763761">
        <w:rPr>
          <w:rFonts w:ascii="Arial" w:hAnsi="Arial" w:hint="eastAsia"/>
          <w:sz w:val="21"/>
          <w:szCs w:val="28"/>
        </w:rPr>
        <w:t xml:space="preserve">6 </w:t>
      </w:r>
      <w:r w:rsidRPr="00763761">
        <w:rPr>
          <w:rFonts w:ascii="Arial" w:hAnsi="Arial" w:hint="eastAsia"/>
          <w:sz w:val="21"/>
          <w:szCs w:val="28"/>
        </w:rPr>
        <w:t>月交易量达到上半年月度高峰。</w:t>
      </w:r>
    </w:p>
    <w:p w14:paraId="5A0B406D" w14:textId="77777777" w:rsidR="00941FE0" w:rsidRDefault="00941FE0" w:rsidP="00941FE0">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租金方面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年上半年整租平均租金同环比均跌，</w:t>
      </w:r>
      <w:r w:rsidRPr="00763761">
        <w:rPr>
          <w:rFonts w:ascii="Arial" w:hAnsi="Arial" w:hint="eastAsia"/>
          <w:sz w:val="21"/>
          <w:szCs w:val="28"/>
        </w:rPr>
        <w:t xml:space="preserve">1-6 </w:t>
      </w:r>
      <w:r w:rsidRPr="00763761">
        <w:rPr>
          <w:rFonts w:ascii="Arial" w:hAnsi="Arial" w:hint="eastAsia"/>
          <w:sz w:val="21"/>
          <w:szCs w:val="28"/>
        </w:rPr>
        <w:t>月月度租金环比涨跌幅保持在</w:t>
      </w:r>
      <w:r w:rsidRPr="00763761">
        <w:rPr>
          <w:rFonts w:ascii="Arial" w:hAnsi="Arial" w:hint="eastAsia"/>
          <w:sz w:val="21"/>
          <w:szCs w:val="28"/>
        </w:rPr>
        <w:t xml:space="preserve"> 3% </w:t>
      </w:r>
      <w:r w:rsidRPr="00763761">
        <w:rPr>
          <w:rFonts w:ascii="Arial" w:hAnsi="Arial" w:hint="eastAsia"/>
          <w:sz w:val="21"/>
          <w:szCs w:val="28"/>
        </w:rPr>
        <w:t>以内，环比波动平稳。</w:t>
      </w:r>
      <w:r w:rsidRPr="00763761">
        <w:rPr>
          <w:rFonts w:ascii="Arial" w:hAnsi="Arial" w:hint="eastAsia"/>
          <w:sz w:val="21"/>
          <w:szCs w:val="28"/>
        </w:rPr>
        <w:t>5</w:t>
      </w:r>
      <w:r w:rsidRPr="00763761">
        <w:rPr>
          <w:rFonts w:ascii="Arial" w:hAnsi="Arial" w:hint="eastAsia"/>
          <w:sz w:val="21"/>
          <w:szCs w:val="28"/>
        </w:rPr>
        <w:t>月份每平方米平均租金环比微涨</w:t>
      </w:r>
      <w:r w:rsidRPr="00763761">
        <w:rPr>
          <w:rFonts w:ascii="Arial" w:hAnsi="Arial" w:hint="eastAsia"/>
          <w:sz w:val="21"/>
          <w:szCs w:val="28"/>
        </w:rPr>
        <w:t>0.5%</w:t>
      </w:r>
      <w:r w:rsidRPr="00763761">
        <w:rPr>
          <w:rFonts w:ascii="Arial" w:hAnsi="Arial" w:hint="eastAsia"/>
          <w:sz w:val="21"/>
          <w:szCs w:val="28"/>
        </w:rPr>
        <w:t>，每套平均租金微涨</w:t>
      </w:r>
      <w:r w:rsidRPr="00763761">
        <w:rPr>
          <w:rFonts w:ascii="Arial" w:hAnsi="Arial" w:hint="eastAsia"/>
          <w:sz w:val="21"/>
          <w:szCs w:val="28"/>
        </w:rPr>
        <w:t xml:space="preserve"> 0.1%</w:t>
      </w:r>
      <w:r w:rsidRPr="00763761">
        <w:rPr>
          <w:rFonts w:ascii="Arial" w:hAnsi="Arial" w:hint="eastAsia"/>
          <w:sz w:val="21"/>
          <w:szCs w:val="28"/>
        </w:rPr>
        <w:t>，租金水平仍低于去年同期，但同比跌幅较上月持续明显收窄。</w:t>
      </w:r>
    </w:p>
    <w:p w14:paraId="7CB38131" w14:textId="77777777" w:rsidR="00941FE0" w:rsidRDefault="00941FE0" w:rsidP="00941FE0">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供需关系方面</w:t>
      </w:r>
      <w:r>
        <w:rPr>
          <w:rFonts w:ascii="Arial" w:hAnsi="Arial" w:hint="eastAsia"/>
          <w:sz w:val="21"/>
          <w:szCs w:val="28"/>
        </w:rPr>
        <w:t>，</w:t>
      </w:r>
      <w:r w:rsidRPr="00763761">
        <w:rPr>
          <w:rFonts w:ascii="Arial" w:hAnsi="Arial" w:hint="eastAsia"/>
          <w:sz w:val="21"/>
          <w:szCs w:val="28"/>
        </w:rPr>
        <w:t>供应端持续增加，大量二手房因交易受阻</w:t>
      </w:r>
      <w:r w:rsidRPr="00763761">
        <w:rPr>
          <w:rFonts w:ascii="Arial" w:hAnsi="Arial" w:hint="eastAsia"/>
          <w:sz w:val="21"/>
          <w:szCs w:val="28"/>
        </w:rPr>
        <w:t xml:space="preserve"> </w:t>
      </w:r>
      <w:r w:rsidRPr="00763761">
        <w:rPr>
          <w:rFonts w:ascii="Arial" w:hAnsi="Arial" w:hint="eastAsia"/>
          <w:sz w:val="21"/>
          <w:szCs w:val="28"/>
        </w:rPr>
        <w:t>“由售转租”，同时</w:t>
      </w:r>
      <w:r w:rsidRPr="00763761">
        <w:rPr>
          <w:rFonts w:ascii="Arial" w:hAnsi="Arial" w:hint="eastAsia"/>
          <w:sz w:val="21"/>
          <w:szCs w:val="28"/>
        </w:rPr>
        <w:t xml:space="preserve"> </w:t>
      </w:r>
      <w:r w:rsidRPr="00763761">
        <w:rPr>
          <w:rFonts w:ascii="Arial" w:hAnsi="Arial" w:hint="eastAsia"/>
          <w:sz w:val="21"/>
          <w:szCs w:val="28"/>
        </w:rPr>
        <w:t>“商改租”、企业自建住房以及保障性租赁住房等不断入市，增加了租赁供应。需求端则因外来人口增速放缓、部分年轻租客离开北京等因素，出现系统性萎缩，整体呈现供大于求的态势，但供不应求的紧张关系略有缓解。</w:t>
      </w:r>
    </w:p>
    <w:p w14:paraId="0D702EB6" w14:textId="77777777" w:rsidR="00941FE0" w:rsidRDefault="00941FE0" w:rsidP="00941FE0">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 xml:space="preserve">2025 </w:t>
      </w:r>
      <w:r w:rsidRPr="00763761">
        <w:rPr>
          <w:rFonts w:ascii="Arial" w:hAnsi="Arial" w:hint="eastAsia"/>
          <w:sz w:val="21"/>
          <w:szCs w:val="28"/>
        </w:rPr>
        <w:t>年上半年</w:t>
      </w:r>
      <w:r>
        <w:rPr>
          <w:rFonts w:ascii="Arial" w:hAnsi="Arial" w:hint="eastAsia"/>
          <w:sz w:val="21"/>
          <w:szCs w:val="28"/>
        </w:rPr>
        <w:t>，</w:t>
      </w:r>
      <w:r w:rsidRPr="0076285F">
        <w:rPr>
          <w:rFonts w:ascii="Arial" w:hAnsi="Arial" w:hint="eastAsia"/>
          <w:sz w:val="21"/>
          <w:szCs w:val="28"/>
        </w:rPr>
        <w:t>北京市个人</w:t>
      </w:r>
      <w:r w:rsidRPr="00763761">
        <w:rPr>
          <w:rFonts w:ascii="Arial" w:hAnsi="Arial" w:hint="eastAsia"/>
          <w:sz w:val="21"/>
          <w:szCs w:val="28"/>
        </w:rPr>
        <w:t>平均租金</w:t>
      </w:r>
      <w:r w:rsidRPr="00763761">
        <w:rPr>
          <w:rFonts w:ascii="Arial" w:hAnsi="Arial" w:hint="eastAsia"/>
          <w:sz w:val="21"/>
          <w:szCs w:val="28"/>
        </w:rPr>
        <w:t>84.7</w:t>
      </w:r>
      <w:r w:rsidRPr="00763761">
        <w:rPr>
          <w:rFonts w:ascii="Arial" w:hAnsi="Arial" w:hint="eastAsia"/>
          <w:sz w:val="21"/>
          <w:szCs w:val="28"/>
        </w:rPr>
        <w:t>元</w:t>
      </w:r>
      <w:r w:rsidRPr="00763761">
        <w:rPr>
          <w:rFonts w:ascii="Arial" w:hAnsi="Arial" w:hint="eastAsia"/>
          <w:sz w:val="21"/>
          <w:szCs w:val="28"/>
        </w:rPr>
        <w:t>/</w:t>
      </w:r>
      <w:r w:rsidRPr="00763761">
        <w:rPr>
          <w:rFonts w:ascii="Arial" w:hAnsi="Arial" w:hint="eastAsia"/>
          <w:sz w:val="21"/>
          <w:szCs w:val="28"/>
        </w:rPr>
        <w:t>㎡·月（同比下降</w:t>
      </w:r>
      <w:r w:rsidRPr="00763761">
        <w:rPr>
          <w:rFonts w:ascii="Arial" w:hAnsi="Arial" w:hint="eastAsia"/>
          <w:sz w:val="21"/>
          <w:szCs w:val="28"/>
        </w:rPr>
        <w:t>5.4%</w:t>
      </w:r>
      <w:r w:rsidRPr="00763761">
        <w:rPr>
          <w:rFonts w:ascii="Arial" w:hAnsi="Arial" w:hint="eastAsia"/>
          <w:sz w:val="21"/>
          <w:szCs w:val="28"/>
        </w:rPr>
        <w:t>），套均租金同比下降</w:t>
      </w:r>
      <w:r w:rsidRPr="00763761">
        <w:rPr>
          <w:rFonts w:ascii="Arial" w:hAnsi="Arial" w:hint="eastAsia"/>
          <w:sz w:val="21"/>
          <w:szCs w:val="28"/>
        </w:rPr>
        <w:t>6.5%</w:t>
      </w:r>
      <w:r w:rsidRPr="00763761">
        <w:rPr>
          <w:rFonts w:ascii="Arial" w:hAnsi="Arial" w:hint="eastAsia"/>
          <w:sz w:val="21"/>
          <w:szCs w:val="28"/>
        </w:rPr>
        <w:t>，就业市场疲软及保障房分流持续压制需求。</w:t>
      </w:r>
    </w:p>
    <w:p w14:paraId="23BCC3FA" w14:textId="77777777" w:rsidR="00941FE0" w:rsidRPr="0076285F" w:rsidRDefault="00941FE0" w:rsidP="00941FE0">
      <w:pPr>
        <w:spacing w:line="240" w:lineRule="auto"/>
        <w:ind w:left="480" w:hangingChars="200" w:hanging="480"/>
        <w:jc w:val="both"/>
        <w:textAlignment w:val="auto"/>
        <w:rPr>
          <w:rFonts w:ascii="Arial" w:hAnsi="Arial"/>
          <w:sz w:val="18"/>
          <w:szCs w:val="28"/>
          <w:highlight w:val="yellow"/>
        </w:rPr>
      </w:pPr>
      <w:r w:rsidRPr="00E666A9">
        <w:rPr>
          <w:noProof/>
        </w:rPr>
        <w:lastRenderedPageBreak/>
        <w:drawing>
          <wp:inline distT="0" distB="0" distL="0" distR="0" wp14:anchorId="34C148FF" wp14:editId="761A1BC6">
            <wp:extent cx="5902325" cy="1781175"/>
            <wp:effectExtent l="0" t="0" r="0" b="0"/>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02325" cy="1781175"/>
                    </a:xfrm>
                    <a:prstGeom prst="rect">
                      <a:avLst/>
                    </a:prstGeom>
                    <a:noFill/>
                    <a:ln>
                      <a:noFill/>
                    </a:ln>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BB708B7" w14:textId="77777777" w:rsidR="00941FE0" w:rsidRPr="00AB04D0" w:rsidRDefault="00941FE0" w:rsidP="00941FE0">
      <w:pPr>
        <w:spacing w:line="480" w:lineRule="auto"/>
        <w:jc w:val="both"/>
        <w:textAlignment w:val="auto"/>
        <w:rPr>
          <w:rFonts w:ascii="Arial" w:hAnsi="Arial"/>
          <w:sz w:val="21"/>
          <w:szCs w:val="28"/>
        </w:rPr>
      </w:pPr>
    </w:p>
    <w:p w14:paraId="57D6257A" w14:textId="77777777" w:rsidR="00941FE0" w:rsidRPr="00AB04D0" w:rsidRDefault="00941FE0" w:rsidP="00941FE0">
      <w:pPr>
        <w:spacing w:line="240" w:lineRule="auto"/>
        <w:jc w:val="both"/>
        <w:textAlignment w:val="auto"/>
        <w:rPr>
          <w:rFonts w:ascii="Arial" w:hAnsi="Arial"/>
          <w:sz w:val="21"/>
          <w:szCs w:val="28"/>
        </w:rPr>
      </w:pPr>
      <w:r w:rsidRPr="00E666A9">
        <w:rPr>
          <w:noProof/>
        </w:rPr>
        <w:drawing>
          <wp:inline distT="0" distB="0" distL="0" distR="0" wp14:anchorId="62A88386" wp14:editId="75CA8A9C">
            <wp:extent cx="5908040" cy="2232660"/>
            <wp:effectExtent l="0" t="0" r="0" b="0"/>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08040" cy="2232660"/>
                    </a:xfrm>
                    <a:prstGeom prst="rect">
                      <a:avLst/>
                    </a:prstGeom>
                    <a:noFill/>
                    <a:ln>
                      <a:noFill/>
                    </a:ln>
                  </pic:spPr>
                </pic:pic>
              </a:graphicData>
            </a:graphic>
          </wp:inline>
        </w:drawing>
      </w:r>
    </w:p>
    <w:p w14:paraId="4D68A0B9" w14:textId="77777777" w:rsidR="00941FE0" w:rsidRPr="0076285F" w:rsidRDefault="00941FE0" w:rsidP="00941FE0">
      <w:pPr>
        <w:spacing w:line="240" w:lineRule="auto"/>
        <w:ind w:firstLineChars="300" w:firstLine="540"/>
        <w:jc w:val="both"/>
        <w:textAlignment w:val="auto"/>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41EAA629" w14:textId="77777777" w:rsidR="00941FE0" w:rsidRDefault="00941FE0" w:rsidP="00941FE0">
      <w:pPr>
        <w:widowControl/>
        <w:shd w:val="clear" w:color="auto" w:fill="FFFFFF"/>
        <w:spacing w:before="100" w:beforeAutospacing="1" w:after="100" w:afterAutospacing="1" w:line="450" w:lineRule="atLeast"/>
        <w:ind w:firstLineChars="300" w:firstLine="630"/>
        <w:textAlignment w:val="auto"/>
        <w:rPr>
          <w:rFonts w:ascii="Arial" w:hAnsi="Arial"/>
          <w:color w:val="000000"/>
          <w:sz w:val="21"/>
          <w:szCs w:val="21"/>
        </w:rPr>
      </w:pPr>
      <w:r w:rsidRPr="00AB04D0">
        <w:rPr>
          <w:rFonts w:ascii="Arial" w:hAnsi="Arial"/>
          <w:color w:val="000000"/>
          <w:sz w:val="21"/>
          <w:szCs w:val="21"/>
        </w:rPr>
        <w:t>从市场供需来看，北京个人房源挂牌量在年初和年中上涨显著，年度单月平均挂牌</w:t>
      </w:r>
      <w:r w:rsidRPr="00AB04D0">
        <w:rPr>
          <w:rFonts w:ascii="Arial" w:hAnsi="Arial"/>
          <w:color w:val="000000"/>
          <w:sz w:val="21"/>
          <w:szCs w:val="21"/>
        </w:rPr>
        <w:t>4.8</w:t>
      </w:r>
      <w:r w:rsidRPr="00AB04D0">
        <w:rPr>
          <w:rFonts w:ascii="Arial" w:hAnsi="Arial"/>
          <w:color w:val="000000"/>
          <w:sz w:val="21"/>
          <w:szCs w:val="21"/>
        </w:rPr>
        <w:t>万余间；受毕业季影响，成交量在</w:t>
      </w:r>
      <w:r w:rsidRPr="00AB04D0">
        <w:rPr>
          <w:rFonts w:ascii="Arial" w:hAnsi="Arial"/>
          <w:color w:val="000000"/>
          <w:sz w:val="21"/>
          <w:szCs w:val="21"/>
        </w:rPr>
        <w:t>7</w:t>
      </w:r>
      <w:r>
        <w:rPr>
          <w:rFonts w:ascii="Arial" w:hAnsi="Arial"/>
          <w:color w:val="000000"/>
          <w:sz w:val="21"/>
          <w:szCs w:val="21"/>
        </w:rPr>
        <w:t>月达到最高点，年初和年未明显收缩。</w:t>
      </w:r>
    </w:p>
    <w:p w14:paraId="61F53B46" w14:textId="77777777" w:rsidR="00941FE0" w:rsidRPr="0076285F" w:rsidRDefault="00941FE0" w:rsidP="00941FE0">
      <w:pPr>
        <w:spacing w:line="240" w:lineRule="auto"/>
        <w:ind w:left="480" w:hangingChars="200" w:hanging="480"/>
        <w:jc w:val="both"/>
        <w:textAlignment w:val="auto"/>
        <w:rPr>
          <w:rFonts w:ascii="Arial" w:hAnsi="Arial"/>
          <w:sz w:val="18"/>
          <w:szCs w:val="28"/>
          <w:highlight w:val="yellow"/>
        </w:rPr>
      </w:pPr>
      <w:r w:rsidRPr="00E666A9">
        <w:rPr>
          <w:noProof/>
        </w:rPr>
        <w:drawing>
          <wp:inline distT="0" distB="0" distL="0" distR="0" wp14:anchorId="76348831" wp14:editId="5859B403">
            <wp:extent cx="5824855" cy="2018665"/>
            <wp:effectExtent l="0" t="0" r="0" b="0"/>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24855" cy="2018665"/>
                    </a:xfrm>
                    <a:prstGeom prst="rect">
                      <a:avLst/>
                    </a:prstGeom>
                    <a:noFill/>
                    <a:ln>
                      <a:noFill/>
                    </a:ln>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7EFD81B" w14:textId="77777777" w:rsidR="00941FE0" w:rsidRPr="00AB04D0" w:rsidRDefault="00941FE0" w:rsidP="00941FE0">
      <w:pPr>
        <w:spacing w:beforeLines="100" w:before="240" w:line="480" w:lineRule="auto"/>
        <w:ind w:firstLineChars="200" w:firstLine="420"/>
        <w:jc w:val="both"/>
        <w:textAlignment w:val="auto"/>
        <w:rPr>
          <w:rFonts w:ascii="Arial" w:hAnsi="Arial"/>
          <w:sz w:val="21"/>
          <w:szCs w:val="28"/>
        </w:rPr>
      </w:pPr>
      <w:r w:rsidRPr="00AB04D0">
        <w:rPr>
          <w:rFonts w:ascii="Arial" w:hAnsi="Arial" w:hint="eastAsia"/>
          <w:sz w:val="21"/>
          <w:szCs w:val="28"/>
        </w:rPr>
        <w:t>从集中式公寓平均租金看，全年整体平稳小幅波动，年初和年未有所回落</w:t>
      </w:r>
      <w:r>
        <w:rPr>
          <w:rFonts w:ascii="Arial" w:hAnsi="Arial" w:hint="eastAsia"/>
          <w:sz w:val="21"/>
          <w:szCs w:val="28"/>
        </w:rPr>
        <w:t>；</w:t>
      </w:r>
      <w:r w:rsidRPr="00AB04D0">
        <w:rPr>
          <w:rFonts w:ascii="Arial" w:hAnsi="Arial" w:hint="eastAsia"/>
          <w:sz w:val="21"/>
          <w:szCs w:val="28"/>
        </w:rPr>
        <w:t>全市出租率水平在</w:t>
      </w:r>
      <w:r w:rsidRPr="00AB04D0">
        <w:rPr>
          <w:rFonts w:ascii="Arial" w:hAnsi="Arial" w:hint="eastAsia"/>
          <w:sz w:val="21"/>
          <w:szCs w:val="28"/>
        </w:rPr>
        <w:t>7</w:t>
      </w:r>
      <w:r w:rsidRPr="00AB04D0">
        <w:rPr>
          <w:rFonts w:ascii="Arial" w:hAnsi="Arial" w:hint="eastAsia"/>
          <w:sz w:val="21"/>
          <w:szCs w:val="28"/>
        </w:rPr>
        <w:t>月达到高点，之后回落显著年尾有所上扬，全年同比回升</w:t>
      </w:r>
      <w:r w:rsidRPr="00AB04D0">
        <w:rPr>
          <w:rFonts w:ascii="Arial" w:hAnsi="Arial" w:hint="eastAsia"/>
          <w:sz w:val="21"/>
          <w:szCs w:val="28"/>
        </w:rPr>
        <w:t>0.5</w:t>
      </w:r>
      <w:r w:rsidRPr="00AB04D0">
        <w:rPr>
          <w:rFonts w:ascii="Arial" w:hAnsi="Arial" w:hint="eastAsia"/>
          <w:sz w:val="21"/>
          <w:szCs w:val="28"/>
        </w:rPr>
        <w:t>个百分点。租金最高的区域为西城区，平均租金居</w:t>
      </w:r>
      <w:r w:rsidRPr="00AB04D0">
        <w:rPr>
          <w:rFonts w:ascii="Arial" w:hAnsi="Arial" w:hint="eastAsia"/>
          <w:sz w:val="21"/>
          <w:szCs w:val="28"/>
        </w:rPr>
        <w:t>337.8</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月，平谷区最低为</w:t>
      </w:r>
      <w:r w:rsidRPr="00AB04D0">
        <w:rPr>
          <w:rFonts w:ascii="Arial" w:hAnsi="Arial" w:hint="eastAsia"/>
          <w:sz w:val="21"/>
          <w:szCs w:val="28"/>
        </w:rPr>
        <w:t>27.9</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sidRPr="00AB04D0">
        <w:rPr>
          <w:rFonts w:ascii="Arial" w:hAnsi="Arial" w:hint="eastAsia"/>
          <w:sz w:val="21"/>
          <w:szCs w:val="28"/>
        </w:rPr>
        <w:t>2024</w:t>
      </w:r>
      <w:r w:rsidRPr="00AB04D0">
        <w:rPr>
          <w:rFonts w:ascii="Arial" w:hAnsi="Arial" w:hint="eastAsia"/>
          <w:sz w:val="21"/>
          <w:szCs w:val="28"/>
        </w:rPr>
        <w:t>年北京是集中式公寓在营业项目数达</w:t>
      </w:r>
      <w:r w:rsidRPr="00AB04D0">
        <w:rPr>
          <w:rFonts w:ascii="Arial" w:hAnsi="Arial" w:hint="eastAsia"/>
          <w:sz w:val="21"/>
          <w:szCs w:val="28"/>
        </w:rPr>
        <w:lastRenderedPageBreak/>
        <w:t>379</w:t>
      </w:r>
      <w:r w:rsidRPr="00AB04D0">
        <w:rPr>
          <w:rFonts w:ascii="Arial" w:hAnsi="Arial" w:hint="eastAsia"/>
          <w:sz w:val="21"/>
          <w:szCs w:val="28"/>
        </w:rPr>
        <w:t>个，总房源数</w:t>
      </w:r>
      <w:r w:rsidRPr="00AB04D0">
        <w:rPr>
          <w:rFonts w:ascii="Arial" w:hAnsi="Arial" w:hint="eastAsia"/>
          <w:sz w:val="21"/>
          <w:szCs w:val="28"/>
        </w:rPr>
        <w:t>11.6</w:t>
      </w:r>
      <w:r w:rsidRPr="00AB04D0">
        <w:rPr>
          <w:rFonts w:ascii="Arial" w:hAnsi="Arial" w:hint="eastAsia"/>
          <w:sz w:val="21"/>
          <w:szCs w:val="28"/>
        </w:rPr>
        <w:t>万余间，相比去年末提升</w:t>
      </w:r>
      <w:r w:rsidRPr="00AB04D0">
        <w:rPr>
          <w:rFonts w:ascii="Arial" w:hAnsi="Arial" w:hint="eastAsia"/>
          <w:sz w:val="21"/>
          <w:szCs w:val="28"/>
        </w:rPr>
        <w:t>7.2%</w:t>
      </w:r>
      <w:r w:rsidRPr="00AB04D0">
        <w:rPr>
          <w:rFonts w:ascii="Arial" w:hAnsi="Arial" w:hint="eastAsia"/>
          <w:sz w:val="21"/>
          <w:szCs w:val="28"/>
        </w:rPr>
        <w:t>；其中超过</w:t>
      </w:r>
      <w:r w:rsidRPr="00AB04D0">
        <w:rPr>
          <w:rFonts w:ascii="Arial" w:hAnsi="Arial" w:hint="eastAsia"/>
          <w:sz w:val="21"/>
          <w:szCs w:val="28"/>
        </w:rPr>
        <w:t>36.1%</w:t>
      </w:r>
      <w:r w:rsidRPr="00AB04D0">
        <w:rPr>
          <w:rFonts w:ascii="Arial" w:hAnsi="Arial" w:hint="eastAsia"/>
          <w:sz w:val="21"/>
          <w:szCs w:val="28"/>
        </w:rPr>
        <w:t>的市集中式公寓房源位于朝阳区，门店数和总房源数均居首位，其次是丰台区，房源量占比全市的</w:t>
      </w:r>
      <w:r w:rsidRPr="00AB04D0">
        <w:rPr>
          <w:rFonts w:ascii="Arial" w:hAnsi="Arial" w:hint="eastAsia"/>
          <w:sz w:val="21"/>
          <w:szCs w:val="28"/>
        </w:rPr>
        <w:t>16.5%</w:t>
      </w:r>
      <w:r w:rsidRPr="00AB04D0">
        <w:rPr>
          <w:rFonts w:ascii="Arial" w:hAnsi="Arial" w:hint="eastAsia"/>
          <w:sz w:val="21"/>
          <w:szCs w:val="28"/>
        </w:rPr>
        <w:t>。</w:t>
      </w:r>
    </w:p>
    <w:p w14:paraId="674237F5" w14:textId="77777777" w:rsidR="00941FE0" w:rsidRDefault="00941FE0" w:rsidP="00941FE0">
      <w:pPr>
        <w:spacing w:line="480" w:lineRule="auto"/>
        <w:ind w:firstLineChars="200" w:firstLine="420"/>
        <w:jc w:val="both"/>
        <w:textAlignment w:val="auto"/>
        <w:rPr>
          <w:rFonts w:ascii="Arial" w:hAnsi="Arial"/>
          <w:sz w:val="21"/>
          <w:szCs w:val="28"/>
        </w:rPr>
      </w:pPr>
      <w:r>
        <w:rPr>
          <w:rFonts w:ascii="Arial" w:hAnsi="Arial" w:hint="eastAsia"/>
          <w:sz w:val="21"/>
          <w:szCs w:val="28"/>
        </w:rPr>
        <w:t>2</w:t>
      </w:r>
      <w:r>
        <w:rPr>
          <w:rFonts w:ascii="Arial" w:hAnsi="Arial"/>
          <w:sz w:val="21"/>
          <w:szCs w:val="28"/>
        </w:rPr>
        <w:t>024</w:t>
      </w:r>
      <w:r>
        <w:rPr>
          <w:rFonts w:ascii="Arial" w:hAnsi="Arial"/>
          <w:sz w:val="21"/>
          <w:szCs w:val="28"/>
        </w:rPr>
        <w:t>年全年，</w:t>
      </w:r>
      <w:r w:rsidRPr="00AB04D0">
        <w:rPr>
          <w:rFonts w:ascii="Arial" w:hAnsi="Arial" w:hint="eastAsia"/>
          <w:sz w:val="21"/>
          <w:szCs w:val="28"/>
        </w:rPr>
        <w:t>北京全市在运营公租房项目共</w:t>
      </w:r>
      <w:r w:rsidRPr="00AB04D0">
        <w:rPr>
          <w:rFonts w:ascii="Arial" w:hAnsi="Arial" w:hint="eastAsia"/>
          <w:sz w:val="21"/>
          <w:szCs w:val="28"/>
        </w:rPr>
        <w:t>190</w:t>
      </w:r>
      <w:r w:rsidRPr="00AB04D0">
        <w:rPr>
          <w:rFonts w:ascii="Arial" w:hAnsi="Arial" w:hint="eastAsia"/>
          <w:sz w:val="21"/>
          <w:szCs w:val="28"/>
        </w:rPr>
        <w:t>个，总体量</w:t>
      </w:r>
      <w:r w:rsidRPr="00AB04D0">
        <w:rPr>
          <w:rFonts w:ascii="Arial" w:hAnsi="Arial" w:hint="eastAsia"/>
          <w:sz w:val="21"/>
          <w:szCs w:val="28"/>
        </w:rPr>
        <w:t>10</w:t>
      </w:r>
      <w:r w:rsidRPr="00AB04D0">
        <w:rPr>
          <w:rFonts w:ascii="Arial" w:hAnsi="Arial" w:hint="eastAsia"/>
          <w:sz w:val="21"/>
          <w:szCs w:val="28"/>
        </w:rPr>
        <w:t>万余间。大兴区在运营项目最多，达</w:t>
      </w:r>
      <w:r w:rsidRPr="00AB04D0">
        <w:rPr>
          <w:rFonts w:ascii="Arial" w:hAnsi="Arial" w:hint="eastAsia"/>
          <w:sz w:val="21"/>
          <w:szCs w:val="28"/>
        </w:rPr>
        <w:t>33</w:t>
      </w:r>
      <w:r w:rsidRPr="00AB04D0">
        <w:rPr>
          <w:rFonts w:ascii="Arial" w:hAnsi="Arial" w:hint="eastAsia"/>
          <w:sz w:val="21"/>
          <w:szCs w:val="28"/>
        </w:rPr>
        <w:t>个；朝阳区公租房房源量位于首位，共</w:t>
      </w:r>
      <w:r w:rsidRPr="00AB04D0">
        <w:rPr>
          <w:rFonts w:ascii="Arial" w:hAnsi="Arial" w:hint="eastAsia"/>
          <w:sz w:val="21"/>
          <w:szCs w:val="28"/>
        </w:rPr>
        <w:t>19446</w:t>
      </w:r>
      <w:r w:rsidRPr="00AB04D0">
        <w:rPr>
          <w:rFonts w:ascii="Arial" w:hAnsi="Arial" w:hint="eastAsia"/>
          <w:sz w:val="21"/>
          <w:szCs w:val="28"/>
        </w:rPr>
        <w:t>间。公租房项目受政府管控，租金价格较为平稳，全市西城区平均租金最高，为</w:t>
      </w:r>
      <w:r w:rsidRPr="00AB04D0">
        <w:rPr>
          <w:rFonts w:ascii="Arial" w:hAnsi="Arial" w:hint="eastAsia"/>
          <w:sz w:val="21"/>
          <w:szCs w:val="28"/>
        </w:rPr>
        <w:t>51.0</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Pr>
          <w:rFonts w:ascii="Arial" w:hAnsi="Arial" w:hint="eastAsia"/>
          <w:sz w:val="21"/>
          <w:szCs w:val="28"/>
        </w:rPr>
        <w:t>；</w:t>
      </w:r>
      <w:r w:rsidRPr="00AB04D0">
        <w:rPr>
          <w:rFonts w:ascii="Arial" w:hAnsi="Arial" w:hint="eastAsia"/>
          <w:sz w:val="21"/>
          <w:szCs w:val="28"/>
        </w:rPr>
        <w:t>朝阳区次之，为</w:t>
      </w:r>
      <w:r w:rsidRPr="00AB04D0">
        <w:rPr>
          <w:rFonts w:ascii="Arial" w:hAnsi="Arial" w:hint="eastAsia"/>
          <w:sz w:val="21"/>
          <w:szCs w:val="28"/>
        </w:rPr>
        <w:t>41.2</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Pr>
          <w:rFonts w:ascii="Arial" w:hAnsi="Arial" w:hint="eastAsia"/>
          <w:sz w:val="21"/>
          <w:szCs w:val="28"/>
        </w:rPr>
        <w:t>；</w:t>
      </w:r>
      <w:r w:rsidRPr="00237C7E">
        <w:rPr>
          <w:rFonts w:ascii="Arial" w:hAnsi="Arial" w:hint="eastAsia"/>
          <w:sz w:val="21"/>
          <w:szCs w:val="28"/>
        </w:rPr>
        <w:t>密云租金价格</w:t>
      </w:r>
      <w:r>
        <w:rPr>
          <w:rFonts w:ascii="Arial" w:hAnsi="Arial" w:hint="eastAsia"/>
          <w:sz w:val="21"/>
          <w:szCs w:val="28"/>
        </w:rPr>
        <w:t>较</w:t>
      </w:r>
      <w:r w:rsidRPr="00237C7E">
        <w:rPr>
          <w:rFonts w:ascii="Arial" w:hAnsi="Arial" w:hint="eastAsia"/>
          <w:sz w:val="21"/>
          <w:szCs w:val="28"/>
        </w:rPr>
        <w:t>低</w:t>
      </w:r>
      <w:r w:rsidRPr="00AB04D0">
        <w:rPr>
          <w:rFonts w:ascii="Arial" w:hAnsi="Arial" w:hint="eastAsia"/>
          <w:sz w:val="21"/>
          <w:szCs w:val="28"/>
        </w:rPr>
        <w:t>。</w:t>
      </w:r>
    </w:p>
    <w:p w14:paraId="72699C06" w14:textId="77777777" w:rsidR="00941FE0" w:rsidRDefault="00941FE0" w:rsidP="00941FE0">
      <w:pPr>
        <w:spacing w:line="480" w:lineRule="auto"/>
        <w:ind w:firstLineChars="200" w:firstLine="420"/>
        <w:jc w:val="both"/>
        <w:textAlignment w:val="auto"/>
        <w:rPr>
          <w:rFonts w:ascii="Arial" w:hAnsi="Arial"/>
          <w:sz w:val="21"/>
          <w:szCs w:val="28"/>
        </w:rPr>
      </w:pPr>
      <w:r w:rsidRPr="001C6258">
        <w:rPr>
          <w:rFonts w:ascii="Arial" w:hAnsi="Arial" w:hint="eastAsia"/>
          <w:sz w:val="21"/>
          <w:szCs w:val="28"/>
        </w:rPr>
        <w:t>2025</w:t>
      </w:r>
      <w:r w:rsidRPr="001C6258">
        <w:rPr>
          <w:rFonts w:ascii="Arial" w:hAnsi="Arial" w:hint="eastAsia"/>
          <w:sz w:val="21"/>
          <w:szCs w:val="28"/>
        </w:rPr>
        <w:t>年</w:t>
      </w:r>
      <w:r w:rsidRPr="001C6258">
        <w:rPr>
          <w:rFonts w:ascii="Arial" w:hAnsi="Arial" w:hint="eastAsia"/>
          <w:sz w:val="21"/>
          <w:szCs w:val="28"/>
        </w:rPr>
        <w:t>3</w:t>
      </w:r>
      <w:r w:rsidRPr="001C6258">
        <w:rPr>
          <w:rFonts w:ascii="Arial" w:hAnsi="Arial" w:hint="eastAsia"/>
          <w:sz w:val="21"/>
          <w:szCs w:val="28"/>
        </w:rPr>
        <w:t>月，北京住宅租赁交易量环比明显回升，受去年基数较高的影响，同比小幅回落，但整体表现优于</w:t>
      </w:r>
      <w:r w:rsidRPr="001C6258">
        <w:rPr>
          <w:rFonts w:ascii="Arial" w:hAnsi="Arial" w:hint="eastAsia"/>
          <w:sz w:val="21"/>
          <w:szCs w:val="28"/>
        </w:rPr>
        <w:t>2019-2023</w:t>
      </w:r>
      <w:r w:rsidRPr="001C6258">
        <w:rPr>
          <w:rFonts w:ascii="Arial" w:hAnsi="Arial" w:hint="eastAsia"/>
          <w:sz w:val="21"/>
          <w:szCs w:val="28"/>
        </w:rPr>
        <w:t>年同期水平。北京长租公寓整租交易中，每平方米平均租金环比微跌</w:t>
      </w:r>
      <w:r w:rsidRPr="001C6258">
        <w:rPr>
          <w:rFonts w:ascii="Arial" w:hAnsi="Arial" w:hint="eastAsia"/>
          <w:sz w:val="21"/>
          <w:szCs w:val="28"/>
        </w:rPr>
        <w:t>0.4%</w:t>
      </w:r>
      <w:r w:rsidRPr="001C6258">
        <w:rPr>
          <w:rFonts w:ascii="Arial" w:hAnsi="Arial" w:hint="eastAsia"/>
          <w:sz w:val="21"/>
          <w:szCs w:val="28"/>
        </w:rPr>
        <w:t>，每套平均租金环比微涨</w:t>
      </w:r>
      <w:r w:rsidRPr="001C6258">
        <w:rPr>
          <w:rFonts w:ascii="Arial" w:hAnsi="Arial" w:hint="eastAsia"/>
          <w:sz w:val="21"/>
          <w:szCs w:val="28"/>
        </w:rPr>
        <w:t>0.6%</w:t>
      </w:r>
      <w:r w:rsidRPr="001C6258">
        <w:rPr>
          <w:rFonts w:ascii="Arial" w:hAnsi="Arial" w:hint="eastAsia"/>
          <w:sz w:val="21"/>
          <w:szCs w:val="28"/>
        </w:rPr>
        <w:t>，平均租金基本与上月相差不大，但同比仍低于去年同期。</w:t>
      </w:r>
    </w:p>
    <w:p w14:paraId="58939334" w14:textId="77777777" w:rsidR="00941FE0" w:rsidRDefault="00941FE0" w:rsidP="00941FE0">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w:t>
      </w:r>
      <w:r w:rsidRPr="001C6258">
        <w:rPr>
          <w:rFonts w:ascii="Arial" w:hAnsi="Arial" w:hint="eastAsia"/>
          <w:sz w:val="21"/>
          <w:szCs w:val="28"/>
        </w:rPr>
        <w:t>5</w:t>
      </w:r>
      <w:r>
        <w:rPr>
          <w:rFonts w:ascii="Arial" w:hAnsi="Arial" w:hint="eastAsia"/>
          <w:sz w:val="21"/>
          <w:szCs w:val="28"/>
        </w:rPr>
        <w:t>月，</w:t>
      </w:r>
      <w:r w:rsidRPr="001C6258">
        <w:rPr>
          <w:rFonts w:ascii="Arial" w:hAnsi="Arial" w:hint="eastAsia"/>
          <w:sz w:val="21"/>
          <w:szCs w:val="28"/>
        </w:rPr>
        <w:t>市场交易活跃度提升，租赁需求结构也在发生变化，大户型和中等租金段的需求增长尤为明显。北京住房租赁整租交易中，两居室交易占比最高，达到</w:t>
      </w:r>
      <w:r w:rsidRPr="001C6258">
        <w:rPr>
          <w:rFonts w:ascii="Arial" w:hAnsi="Arial" w:hint="eastAsia"/>
          <w:sz w:val="21"/>
          <w:szCs w:val="28"/>
        </w:rPr>
        <w:t>52.2%</w:t>
      </w:r>
      <w:r w:rsidRPr="001C6258">
        <w:rPr>
          <w:rFonts w:ascii="Arial" w:hAnsi="Arial" w:hint="eastAsia"/>
          <w:sz w:val="21"/>
          <w:szCs w:val="28"/>
        </w:rPr>
        <w:t>，较上月下滑</w:t>
      </w:r>
      <w:r w:rsidRPr="001C6258">
        <w:rPr>
          <w:rFonts w:ascii="Arial" w:hAnsi="Arial" w:hint="eastAsia"/>
          <w:sz w:val="21"/>
          <w:szCs w:val="28"/>
        </w:rPr>
        <w:t>0.7</w:t>
      </w:r>
      <w:r w:rsidRPr="001C6258">
        <w:rPr>
          <w:rFonts w:ascii="Arial" w:hAnsi="Arial" w:hint="eastAsia"/>
          <w:sz w:val="21"/>
          <w:szCs w:val="28"/>
        </w:rPr>
        <w:t>个百分点；其次是一居室，交易占比</w:t>
      </w:r>
      <w:r w:rsidRPr="001C6258">
        <w:rPr>
          <w:rFonts w:ascii="Arial" w:hAnsi="Arial" w:hint="eastAsia"/>
          <w:sz w:val="21"/>
          <w:szCs w:val="28"/>
        </w:rPr>
        <w:t>38.8%</w:t>
      </w:r>
      <w:r w:rsidRPr="001C6258">
        <w:rPr>
          <w:rFonts w:ascii="Arial" w:hAnsi="Arial" w:hint="eastAsia"/>
          <w:sz w:val="21"/>
          <w:szCs w:val="28"/>
        </w:rPr>
        <w:t>，较上月上升</w:t>
      </w:r>
      <w:r w:rsidRPr="001C6258">
        <w:rPr>
          <w:rFonts w:ascii="Arial" w:hAnsi="Arial" w:hint="eastAsia"/>
          <w:sz w:val="21"/>
          <w:szCs w:val="28"/>
        </w:rPr>
        <w:t>0.7</w:t>
      </w:r>
      <w:r w:rsidRPr="001C6258">
        <w:rPr>
          <w:rFonts w:ascii="Arial" w:hAnsi="Arial" w:hint="eastAsia"/>
          <w:sz w:val="21"/>
          <w:szCs w:val="28"/>
        </w:rPr>
        <w:t>个百分点；一居室与两居室累计占比达到</w:t>
      </w:r>
      <w:r w:rsidRPr="001C6258">
        <w:rPr>
          <w:rFonts w:ascii="Arial" w:hAnsi="Arial" w:hint="eastAsia"/>
          <w:sz w:val="21"/>
          <w:szCs w:val="28"/>
        </w:rPr>
        <w:t>91.0%</w:t>
      </w:r>
      <w:r w:rsidRPr="001C6258">
        <w:rPr>
          <w:rFonts w:ascii="Arial" w:hAnsi="Arial" w:hint="eastAsia"/>
          <w:sz w:val="21"/>
          <w:szCs w:val="28"/>
        </w:rPr>
        <w:t>；三居室与四居室及以上交易占比基本与上月持平。北京住房租赁市场长租公寓整租交易中，每平方米平均租金环比微涨</w:t>
      </w:r>
      <w:r w:rsidRPr="001C6258">
        <w:rPr>
          <w:rFonts w:ascii="Arial" w:hAnsi="Arial" w:hint="eastAsia"/>
          <w:sz w:val="21"/>
          <w:szCs w:val="28"/>
        </w:rPr>
        <w:t>0.5%</w:t>
      </w:r>
      <w:r w:rsidRPr="001C6258">
        <w:rPr>
          <w:rFonts w:ascii="Arial" w:hAnsi="Arial" w:hint="eastAsia"/>
          <w:sz w:val="21"/>
          <w:szCs w:val="28"/>
        </w:rPr>
        <w:t>，每套平均租金微涨</w:t>
      </w:r>
      <w:r w:rsidRPr="001C6258">
        <w:rPr>
          <w:rFonts w:ascii="Arial" w:hAnsi="Arial" w:hint="eastAsia"/>
          <w:sz w:val="21"/>
          <w:szCs w:val="28"/>
        </w:rPr>
        <w:t>0.1%</w:t>
      </w:r>
      <w:r w:rsidRPr="001C6258">
        <w:rPr>
          <w:rFonts w:ascii="Arial" w:hAnsi="Arial" w:hint="eastAsia"/>
          <w:sz w:val="21"/>
          <w:szCs w:val="28"/>
        </w:rPr>
        <w:t>。套均租金基本与上月持平，但租金水平仍低于去年同期，且同比跌幅较上月持续明显收窄。</w:t>
      </w:r>
    </w:p>
    <w:p w14:paraId="30832A00" w14:textId="77777777" w:rsidR="00941FE0" w:rsidRPr="00EC06B5" w:rsidRDefault="00941FE0" w:rsidP="00941FE0">
      <w:pPr>
        <w:overflowPunct w:val="0"/>
        <w:spacing w:line="480" w:lineRule="auto"/>
        <w:ind w:firstLineChars="200" w:firstLine="420"/>
        <w:jc w:val="both"/>
        <w:textAlignment w:val="auto"/>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32EF225C" w14:textId="77777777" w:rsidR="00941FE0" w:rsidRPr="00EC06B5" w:rsidRDefault="00941FE0" w:rsidP="00941FE0">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全国：</w:t>
      </w:r>
    </w:p>
    <w:p w14:paraId="1B05ED87"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26</w:t>
      </w:r>
      <w:r w:rsidRPr="00EC06B5">
        <w:rPr>
          <w:rFonts w:ascii="Arial" w:hAnsi="Arial"/>
          <w:color w:val="000000"/>
          <w:sz w:val="21"/>
        </w:rPr>
        <w:t>日，中共中央政治局召开会议，分析研究当前经济形势，部署下一步经济工作。会议对房地产政策进行了重点部署，首次提出要</w:t>
      </w:r>
      <w:r w:rsidRPr="00EC06B5">
        <w:rPr>
          <w:rFonts w:ascii="Arial" w:hAnsi="Arial"/>
          <w:color w:val="000000"/>
          <w:sz w:val="21"/>
        </w:rPr>
        <w:t>“</w:t>
      </w:r>
      <w:r w:rsidRPr="00EC06B5">
        <w:rPr>
          <w:rFonts w:ascii="Arial" w:hAnsi="Arial"/>
          <w:color w:val="000000"/>
          <w:sz w:val="21"/>
        </w:rPr>
        <w:t>促进房地产市场止跌回稳</w:t>
      </w:r>
      <w:r w:rsidRPr="00EC06B5">
        <w:rPr>
          <w:rFonts w:ascii="Arial" w:hAnsi="Arial"/>
          <w:color w:val="000000"/>
          <w:sz w:val="21"/>
        </w:rPr>
        <w:t>”</w:t>
      </w:r>
      <w:r w:rsidRPr="00EC06B5">
        <w:rPr>
          <w:rFonts w:ascii="Arial" w:hAnsi="Arial"/>
          <w:color w:val="000000"/>
          <w:sz w:val="21"/>
        </w:rPr>
        <w:t>，强调稳定房地产市场对宏观经济的重要性。具体措施包括：</w:t>
      </w:r>
      <w:r w:rsidRPr="00EC06B5">
        <w:rPr>
          <w:rFonts w:ascii="Arial" w:hAnsi="Arial" w:hint="eastAsia"/>
          <w:color w:val="000000"/>
          <w:sz w:val="21"/>
        </w:rPr>
        <w:t>一、</w:t>
      </w:r>
      <w:r w:rsidRPr="00EC06B5">
        <w:rPr>
          <w:rFonts w:ascii="Arial" w:hAnsi="Arial"/>
          <w:color w:val="000000"/>
          <w:sz w:val="21"/>
        </w:rPr>
        <w:t>商品房建设：严控增量、优化存量、提高质量，意味着未来土地和住房供应将结合城市实际需求，不能盲目扩大。</w:t>
      </w:r>
      <w:r w:rsidRPr="00EC06B5">
        <w:rPr>
          <w:rFonts w:ascii="Arial" w:hAnsi="Arial" w:hint="eastAsia"/>
          <w:color w:val="000000"/>
          <w:sz w:val="21"/>
        </w:rPr>
        <w:t>二、</w:t>
      </w:r>
      <w:r w:rsidRPr="00EC06B5">
        <w:rPr>
          <w:rFonts w:ascii="Arial" w:hAnsi="Arial"/>
          <w:color w:val="000000"/>
          <w:sz w:val="21"/>
        </w:rPr>
        <w:t>住房限购政策：调整住房限购政策，降低存量房贷利率，以提振市场信心。</w:t>
      </w:r>
      <w:r w:rsidRPr="00EC06B5">
        <w:rPr>
          <w:rFonts w:ascii="Arial" w:hAnsi="Arial" w:hint="eastAsia"/>
          <w:color w:val="000000"/>
          <w:sz w:val="21"/>
        </w:rPr>
        <w:t>三、</w:t>
      </w:r>
      <w:r w:rsidRPr="00EC06B5">
        <w:rPr>
          <w:rFonts w:ascii="Arial" w:hAnsi="Arial"/>
          <w:color w:val="000000"/>
          <w:sz w:val="21"/>
        </w:rPr>
        <w:t>项目贷款：加大</w:t>
      </w:r>
      <w:r w:rsidRPr="00EC06B5">
        <w:rPr>
          <w:rFonts w:ascii="Arial" w:hAnsi="Arial"/>
          <w:color w:val="000000"/>
          <w:sz w:val="21"/>
        </w:rPr>
        <w:t>“</w:t>
      </w:r>
      <w:r w:rsidRPr="00EC06B5">
        <w:rPr>
          <w:rFonts w:ascii="Arial" w:hAnsi="Arial"/>
          <w:color w:val="000000"/>
          <w:sz w:val="21"/>
        </w:rPr>
        <w:t>白名单</w:t>
      </w:r>
      <w:r w:rsidRPr="00EC06B5">
        <w:rPr>
          <w:rFonts w:ascii="Arial" w:hAnsi="Arial"/>
          <w:color w:val="000000"/>
          <w:sz w:val="21"/>
        </w:rPr>
        <w:t>”</w:t>
      </w:r>
      <w:r w:rsidRPr="00EC06B5">
        <w:rPr>
          <w:rFonts w:ascii="Arial" w:hAnsi="Arial"/>
          <w:color w:val="000000"/>
          <w:sz w:val="21"/>
        </w:rPr>
        <w:t>项目贷款投放力度，支持盘活存量闲置土地。</w:t>
      </w:r>
      <w:r w:rsidRPr="00EC06B5">
        <w:rPr>
          <w:rFonts w:ascii="Arial" w:hAnsi="Arial" w:hint="eastAsia"/>
          <w:color w:val="000000"/>
          <w:sz w:val="21"/>
        </w:rPr>
        <w:t>四、</w:t>
      </w:r>
      <w:r w:rsidRPr="00EC06B5">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EC06B5">
        <w:rPr>
          <w:rFonts w:ascii="Arial" w:hAnsi="Arial" w:hint="eastAsia"/>
          <w:color w:val="000000"/>
          <w:sz w:val="21"/>
        </w:rPr>
        <w:t>。</w:t>
      </w:r>
    </w:p>
    <w:p w14:paraId="4D76202B"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11</w:t>
      </w:r>
      <w:r w:rsidRPr="00EC06B5">
        <w:rPr>
          <w:rFonts w:ascii="Arial" w:hAnsi="Arial"/>
          <w:color w:val="000000"/>
          <w:sz w:val="21"/>
        </w:rPr>
        <w:t>日至</w:t>
      </w:r>
      <w:r w:rsidRPr="00EC06B5">
        <w:rPr>
          <w:rFonts w:ascii="Arial" w:hAnsi="Arial"/>
          <w:color w:val="000000"/>
          <w:sz w:val="21"/>
        </w:rPr>
        <w:t>12</w:t>
      </w:r>
      <w:r w:rsidRPr="00EC06B5">
        <w:rPr>
          <w:rFonts w:ascii="Arial" w:hAnsi="Arial"/>
          <w:color w:val="000000"/>
          <w:sz w:val="21"/>
        </w:rPr>
        <w:t>日，</w:t>
      </w:r>
      <w:r w:rsidRPr="00EC06B5">
        <w:rPr>
          <w:rFonts w:ascii="Arial" w:hAnsi="Arial"/>
          <w:color w:val="000000"/>
          <w:sz w:val="21"/>
        </w:rPr>
        <w:t>202</w:t>
      </w:r>
      <w:r w:rsidRPr="00EC06B5">
        <w:rPr>
          <w:rFonts w:ascii="Arial" w:hAnsi="Arial" w:hint="eastAsia"/>
          <w:color w:val="000000"/>
          <w:sz w:val="21"/>
        </w:rPr>
        <w:t>4</w:t>
      </w:r>
      <w:r w:rsidRPr="00EC06B5">
        <w:rPr>
          <w:rFonts w:ascii="Arial" w:hAnsi="Arial"/>
          <w:color w:val="000000"/>
          <w:sz w:val="21"/>
        </w:rPr>
        <w:t>年中央经济工作会议举行</w:t>
      </w:r>
      <w:r w:rsidRPr="00EC06B5">
        <w:rPr>
          <w:rFonts w:ascii="Arial" w:hAnsi="Arial" w:hint="eastAsia"/>
          <w:color w:val="000000"/>
          <w:sz w:val="21"/>
        </w:rPr>
        <w:t>。会议总结</w:t>
      </w:r>
      <w:r w:rsidRPr="00EC06B5">
        <w:rPr>
          <w:rFonts w:ascii="Arial" w:hAnsi="Arial" w:hint="eastAsia"/>
          <w:color w:val="000000"/>
          <w:sz w:val="21"/>
        </w:rPr>
        <w:t>2024</w:t>
      </w:r>
      <w:r w:rsidRPr="00EC06B5">
        <w:rPr>
          <w:rFonts w:ascii="Arial" w:hAnsi="Arial" w:hint="eastAsia"/>
          <w:color w:val="000000"/>
          <w:sz w:val="21"/>
        </w:rPr>
        <w:t>年经济工作，分</w:t>
      </w:r>
      <w:r w:rsidRPr="00EC06B5">
        <w:rPr>
          <w:rFonts w:ascii="Arial" w:hAnsi="Arial" w:hint="eastAsia"/>
          <w:color w:val="000000"/>
          <w:sz w:val="21"/>
        </w:rPr>
        <w:lastRenderedPageBreak/>
        <w:t>析当前经济形势，部署</w:t>
      </w:r>
      <w:r w:rsidRPr="00EC06B5">
        <w:rPr>
          <w:rFonts w:ascii="Arial" w:hAnsi="Arial" w:hint="eastAsia"/>
          <w:color w:val="000000"/>
          <w:sz w:val="21"/>
        </w:rPr>
        <w:t>2025</w:t>
      </w:r>
      <w:r w:rsidRPr="00EC06B5">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EC06B5">
        <w:rPr>
          <w:rFonts w:ascii="Arial" w:hAnsi="Arial" w:hint="eastAsia"/>
          <w:color w:val="000000"/>
          <w:sz w:val="21"/>
        </w:rPr>
        <w:t xml:space="preserve"> </w:t>
      </w:r>
      <w:r w:rsidRPr="00EC06B5">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47BD0071"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24</w:t>
      </w:r>
      <w:r w:rsidRPr="00EC06B5">
        <w:rPr>
          <w:rFonts w:ascii="Arial" w:hAnsi="Arial"/>
          <w:color w:val="000000"/>
          <w:sz w:val="21"/>
        </w:rPr>
        <w:t>日至</w:t>
      </w:r>
      <w:r w:rsidRPr="00EC06B5">
        <w:rPr>
          <w:rFonts w:ascii="Arial" w:hAnsi="Arial"/>
          <w:color w:val="000000"/>
          <w:sz w:val="21"/>
        </w:rPr>
        <w:t>25</w:t>
      </w:r>
      <w:r w:rsidRPr="00EC06B5">
        <w:rPr>
          <w:rFonts w:ascii="Arial" w:hAnsi="Arial"/>
          <w:color w:val="000000"/>
          <w:sz w:val="21"/>
        </w:rPr>
        <w:t>日，全国住房城乡建设工作会议在北京召开</w:t>
      </w:r>
      <w:r w:rsidRPr="00EC06B5">
        <w:rPr>
          <w:rFonts w:ascii="Arial" w:hAnsi="Arial" w:hint="eastAsia"/>
          <w:color w:val="000000"/>
          <w:sz w:val="21"/>
        </w:rPr>
        <w:t>。</w:t>
      </w:r>
      <w:r w:rsidRPr="00EC06B5">
        <w:rPr>
          <w:rFonts w:ascii="Arial" w:hAnsi="Arial"/>
          <w:color w:val="000000"/>
          <w:sz w:val="21"/>
        </w:rPr>
        <w:t>会议系统总结</w:t>
      </w:r>
      <w:r w:rsidRPr="00EC06B5">
        <w:rPr>
          <w:rFonts w:ascii="Arial" w:hAnsi="Arial"/>
          <w:color w:val="000000"/>
          <w:sz w:val="21"/>
        </w:rPr>
        <w:t>2024</w:t>
      </w:r>
      <w:r w:rsidRPr="00EC06B5">
        <w:rPr>
          <w:rFonts w:ascii="Arial" w:hAnsi="Arial"/>
          <w:color w:val="000000"/>
          <w:sz w:val="21"/>
        </w:rPr>
        <w:t>年工作，部署进一步全面深化住房城乡建设领域改革，明确</w:t>
      </w:r>
      <w:r w:rsidRPr="00EC06B5">
        <w:rPr>
          <w:rFonts w:ascii="Arial" w:hAnsi="Arial"/>
          <w:color w:val="000000"/>
          <w:sz w:val="21"/>
        </w:rPr>
        <w:t>2025</w:t>
      </w:r>
      <w:r w:rsidRPr="00EC06B5">
        <w:rPr>
          <w:rFonts w:ascii="Arial" w:hAnsi="Arial"/>
          <w:color w:val="000000"/>
          <w:sz w:val="21"/>
        </w:rPr>
        <w:t>年重点任务，奋力推进住房城乡建设事业高质量发展。会议强调，</w:t>
      </w:r>
      <w:r w:rsidRPr="00EC06B5">
        <w:rPr>
          <w:rFonts w:ascii="Arial" w:hAnsi="Arial"/>
          <w:color w:val="000000"/>
          <w:sz w:val="21"/>
        </w:rPr>
        <w:t>2</w:t>
      </w:r>
      <w:r w:rsidRPr="00EC06B5">
        <w:rPr>
          <w:rFonts w:ascii="Arial" w:hAnsi="Arial" w:hint="eastAsia"/>
          <w:color w:val="000000"/>
          <w:sz w:val="21"/>
        </w:rPr>
        <w:t>025</w:t>
      </w:r>
      <w:r w:rsidRPr="00EC06B5">
        <w:rPr>
          <w:rFonts w:ascii="Arial" w:hAnsi="Arial"/>
          <w:color w:val="000000"/>
          <w:sz w:val="21"/>
        </w:rPr>
        <w:t>年的工作要重点抓好</w:t>
      </w:r>
      <w:r w:rsidRPr="00EC06B5">
        <w:rPr>
          <w:rFonts w:ascii="Arial" w:hAnsi="Arial" w:hint="eastAsia"/>
          <w:color w:val="000000"/>
          <w:sz w:val="21"/>
        </w:rPr>
        <w:t>5</w:t>
      </w:r>
      <w:r w:rsidRPr="00EC06B5">
        <w:rPr>
          <w:rFonts w:ascii="Arial" w:hAnsi="Arial"/>
          <w:color w:val="000000"/>
          <w:sz w:val="21"/>
        </w:rPr>
        <w:t>大板块</w:t>
      </w:r>
      <w:r w:rsidRPr="00EC06B5">
        <w:rPr>
          <w:rFonts w:ascii="Arial" w:hAnsi="Arial" w:hint="eastAsia"/>
          <w:color w:val="000000"/>
          <w:sz w:val="21"/>
        </w:rPr>
        <w:t>22</w:t>
      </w:r>
      <w:r w:rsidRPr="00EC06B5">
        <w:rPr>
          <w:rFonts w:ascii="Arial" w:hAnsi="Arial"/>
          <w:color w:val="000000"/>
          <w:sz w:val="21"/>
        </w:rPr>
        <w:t>个方面工作。一、</w:t>
      </w:r>
      <w:r w:rsidRPr="00EC06B5">
        <w:rPr>
          <w:rFonts w:ascii="Arial" w:hAnsi="Arial" w:hint="eastAsia"/>
          <w:color w:val="000000"/>
          <w:sz w:val="21"/>
        </w:rPr>
        <w:t>从</w:t>
      </w:r>
      <w:r w:rsidRPr="00EC06B5">
        <w:rPr>
          <w:rFonts w:ascii="Arial" w:hAnsi="Arial"/>
          <w:color w:val="000000"/>
          <w:sz w:val="21"/>
        </w:rPr>
        <w:t>着力释放需求</w:t>
      </w:r>
      <w:r w:rsidRPr="00EC06B5">
        <w:rPr>
          <w:rFonts w:ascii="Arial" w:hAnsi="Arial" w:hint="eastAsia"/>
          <w:color w:val="000000"/>
          <w:sz w:val="21"/>
        </w:rPr>
        <w:t>和着力</w:t>
      </w:r>
      <w:r w:rsidRPr="00EC06B5">
        <w:rPr>
          <w:rFonts w:ascii="Arial" w:hAnsi="Arial"/>
          <w:color w:val="000000"/>
          <w:sz w:val="21"/>
        </w:rPr>
        <w:t>改善供给</w:t>
      </w:r>
      <w:r w:rsidRPr="00EC06B5">
        <w:rPr>
          <w:rFonts w:ascii="Arial" w:hAnsi="Arial" w:hint="eastAsia"/>
          <w:color w:val="000000"/>
          <w:sz w:val="21"/>
        </w:rPr>
        <w:t>两方面，</w:t>
      </w:r>
      <w:r w:rsidRPr="00EC06B5">
        <w:rPr>
          <w:rFonts w:ascii="Arial" w:hAnsi="Arial"/>
          <w:color w:val="000000"/>
          <w:sz w:val="21"/>
        </w:rPr>
        <w:t>持续用力推动房地产市场止跌回稳</w:t>
      </w:r>
      <w:r w:rsidRPr="00EC06B5">
        <w:rPr>
          <w:rFonts w:ascii="Arial" w:hAnsi="Arial" w:hint="eastAsia"/>
          <w:color w:val="000000"/>
          <w:sz w:val="21"/>
        </w:rPr>
        <w:t>。二、从</w:t>
      </w:r>
      <w:r w:rsidRPr="00EC06B5">
        <w:rPr>
          <w:rFonts w:ascii="Arial" w:hAnsi="Arial"/>
          <w:color w:val="000000"/>
          <w:sz w:val="21"/>
        </w:rPr>
        <w:t>着力优化和完善住房供应体系</w:t>
      </w:r>
      <w:r w:rsidRPr="00EC06B5">
        <w:rPr>
          <w:rFonts w:ascii="Arial" w:hAnsi="Arial" w:hint="eastAsia"/>
          <w:color w:val="000000"/>
          <w:sz w:val="21"/>
        </w:rPr>
        <w:t>、</w:t>
      </w:r>
      <w:r w:rsidRPr="00EC06B5">
        <w:rPr>
          <w:rFonts w:ascii="Arial" w:hAnsi="Arial"/>
          <w:color w:val="000000"/>
          <w:sz w:val="21"/>
        </w:rPr>
        <w:t>推动建立要素联动新机制</w:t>
      </w:r>
      <w:r w:rsidRPr="00EC06B5">
        <w:rPr>
          <w:rFonts w:ascii="Arial" w:hAnsi="Arial" w:hint="eastAsia"/>
          <w:color w:val="000000"/>
          <w:sz w:val="21"/>
        </w:rPr>
        <w:t>、</w:t>
      </w:r>
      <w:r w:rsidRPr="00EC06B5">
        <w:rPr>
          <w:rFonts w:ascii="Arial" w:hAnsi="Arial"/>
          <w:color w:val="000000"/>
          <w:sz w:val="21"/>
        </w:rPr>
        <w:t>大力推进商品住房销售制度改革</w:t>
      </w:r>
      <w:r w:rsidRPr="00EC06B5">
        <w:rPr>
          <w:rFonts w:ascii="Arial" w:hAnsi="Arial" w:hint="eastAsia"/>
          <w:color w:val="000000"/>
          <w:sz w:val="21"/>
        </w:rPr>
        <w:t>、</w:t>
      </w:r>
      <w:r w:rsidRPr="00EC06B5">
        <w:rPr>
          <w:rFonts w:ascii="Arial" w:hAnsi="Arial"/>
          <w:color w:val="000000"/>
          <w:sz w:val="21"/>
        </w:rPr>
        <w:t>加快建立房屋全生命周期安全管理制度</w:t>
      </w:r>
      <w:r w:rsidRPr="00EC06B5">
        <w:rPr>
          <w:rFonts w:ascii="Arial" w:hAnsi="Arial" w:hint="eastAsia"/>
          <w:color w:val="000000"/>
          <w:sz w:val="21"/>
        </w:rPr>
        <w:t>和</w:t>
      </w:r>
      <w:r w:rsidRPr="00EC06B5">
        <w:rPr>
          <w:rFonts w:ascii="Arial" w:hAnsi="Arial"/>
          <w:color w:val="000000"/>
          <w:sz w:val="21"/>
        </w:rPr>
        <w:t>完善房地产全过程监管</w:t>
      </w:r>
      <w:r w:rsidRPr="00EC06B5">
        <w:rPr>
          <w:rFonts w:ascii="Arial" w:hAnsi="Arial" w:hint="eastAsia"/>
          <w:color w:val="000000"/>
          <w:sz w:val="21"/>
        </w:rPr>
        <w:t>五个方面，</w:t>
      </w:r>
      <w:r w:rsidRPr="00EC06B5">
        <w:rPr>
          <w:rFonts w:ascii="Arial" w:hAnsi="Arial"/>
          <w:color w:val="000000"/>
          <w:sz w:val="21"/>
        </w:rPr>
        <w:t>推动构建房地产发展新模式</w:t>
      </w:r>
      <w:r w:rsidRPr="00EC06B5">
        <w:rPr>
          <w:rFonts w:ascii="Arial" w:hAnsi="Arial" w:hint="eastAsia"/>
          <w:color w:val="000000"/>
          <w:sz w:val="21"/>
        </w:rPr>
        <w:t>。三、从</w:t>
      </w:r>
      <w:r w:rsidRPr="00EC06B5">
        <w:rPr>
          <w:rFonts w:ascii="Arial" w:hAnsi="Arial"/>
          <w:color w:val="000000"/>
          <w:sz w:val="21"/>
        </w:rPr>
        <w:t>建立城市体检和城市更新一体化推进机制</w:t>
      </w:r>
      <w:r w:rsidRPr="00EC06B5">
        <w:rPr>
          <w:rFonts w:ascii="Arial" w:hAnsi="Arial" w:hint="eastAsia"/>
          <w:color w:val="000000"/>
          <w:sz w:val="21"/>
        </w:rPr>
        <w:t>、</w:t>
      </w:r>
      <w:r w:rsidRPr="00EC06B5">
        <w:rPr>
          <w:rFonts w:ascii="Arial" w:hAnsi="Arial"/>
          <w:color w:val="000000"/>
          <w:sz w:val="21"/>
        </w:rPr>
        <w:t>建立可持续的城市更新模式和政策法规</w:t>
      </w:r>
      <w:r w:rsidRPr="00EC06B5">
        <w:rPr>
          <w:rFonts w:ascii="Arial" w:hAnsi="Arial" w:hint="eastAsia"/>
          <w:color w:val="000000"/>
          <w:sz w:val="21"/>
        </w:rPr>
        <w:t>、</w:t>
      </w:r>
      <w:r w:rsidRPr="00EC06B5">
        <w:rPr>
          <w:rFonts w:ascii="Arial" w:hAnsi="Arial"/>
          <w:color w:val="000000"/>
          <w:sz w:val="21"/>
        </w:rPr>
        <w:t>谋划实施一批城市更新改造项目</w:t>
      </w:r>
      <w:r w:rsidRPr="00EC06B5">
        <w:rPr>
          <w:rFonts w:ascii="Arial" w:hAnsi="Arial" w:hint="eastAsia"/>
          <w:color w:val="000000"/>
          <w:sz w:val="21"/>
        </w:rPr>
        <w:t>、</w:t>
      </w:r>
      <w:r w:rsidRPr="00EC06B5">
        <w:rPr>
          <w:rFonts w:ascii="Arial" w:hAnsi="Arial"/>
          <w:color w:val="000000"/>
          <w:sz w:val="21"/>
        </w:rPr>
        <w:t>构建城市管理新模式</w:t>
      </w:r>
      <w:r w:rsidRPr="00EC06B5">
        <w:rPr>
          <w:rFonts w:ascii="Arial" w:hAnsi="Arial" w:hint="eastAsia"/>
          <w:color w:val="000000"/>
          <w:sz w:val="21"/>
        </w:rPr>
        <w:t>和</w:t>
      </w:r>
      <w:r w:rsidRPr="00EC06B5">
        <w:rPr>
          <w:rFonts w:ascii="Arial" w:hAnsi="Arial"/>
          <w:color w:val="000000"/>
          <w:sz w:val="21"/>
        </w:rPr>
        <w:t>以</w:t>
      </w:r>
      <w:r w:rsidRPr="00EC06B5">
        <w:rPr>
          <w:rFonts w:ascii="Arial" w:hAnsi="Arial"/>
          <w:color w:val="000000"/>
          <w:sz w:val="21"/>
        </w:rPr>
        <w:t>“</w:t>
      </w:r>
      <w:r w:rsidRPr="00EC06B5">
        <w:rPr>
          <w:rFonts w:ascii="Arial" w:hAnsi="Arial"/>
          <w:color w:val="000000"/>
          <w:sz w:val="21"/>
        </w:rPr>
        <w:t>新城建</w:t>
      </w:r>
      <w:r w:rsidRPr="00EC06B5">
        <w:rPr>
          <w:rFonts w:ascii="Arial" w:hAnsi="Arial"/>
          <w:color w:val="000000"/>
          <w:sz w:val="21"/>
        </w:rPr>
        <w:t>”</w:t>
      </w:r>
      <w:r w:rsidRPr="00EC06B5">
        <w:rPr>
          <w:rFonts w:ascii="Arial" w:hAnsi="Arial"/>
          <w:color w:val="000000"/>
          <w:sz w:val="21"/>
        </w:rPr>
        <w:t>为引擎打造高水平</w:t>
      </w:r>
      <w:r w:rsidRPr="00EC06B5">
        <w:rPr>
          <w:rFonts w:ascii="Arial" w:hAnsi="Arial"/>
          <w:color w:val="000000"/>
          <w:sz w:val="21"/>
        </w:rPr>
        <w:t>“</w:t>
      </w:r>
      <w:r w:rsidRPr="00EC06B5">
        <w:rPr>
          <w:rFonts w:ascii="Arial" w:hAnsi="Arial"/>
          <w:color w:val="000000"/>
          <w:sz w:val="21"/>
        </w:rPr>
        <w:t>数字住建</w:t>
      </w:r>
      <w:r w:rsidRPr="00EC06B5">
        <w:rPr>
          <w:rFonts w:ascii="Arial" w:hAnsi="Arial"/>
          <w:color w:val="000000"/>
          <w:sz w:val="21"/>
        </w:rPr>
        <w:t>”</w:t>
      </w:r>
      <w:r w:rsidRPr="00EC06B5">
        <w:rPr>
          <w:rFonts w:ascii="Arial" w:hAnsi="Arial" w:hint="eastAsia"/>
          <w:color w:val="000000"/>
          <w:sz w:val="21"/>
        </w:rPr>
        <w:t>五个方面，</w:t>
      </w:r>
      <w:r w:rsidRPr="00EC06B5">
        <w:rPr>
          <w:rFonts w:ascii="Arial" w:hAnsi="Arial"/>
          <w:color w:val="000000"/>
          <w:sz w:val="21"/>
        </w:rPr>
        <w:t>大力实施城市更新</w:t>
      </w:r>
      <w:r w:rsidRPr="00EC06B5">
        <w:rPr>
          <w:rFonts w:ascii="Arial" w:hAnsi="Arial" w:hint="eastAsia"/>
          <w:color w:val="000000"/>
          <w:sz w:val="21"/>
        </w:rPr>
        <w:t>。四、从</w:t>
      </w:r>
      <w:r w:rsidRPr="00EC06B5">
        <w:rPr>
          <w:rFonts w:ascii="Arial" w:hAnsi="Arial"/>
          <w:color w:val="000000"/>
          <w:sz w:val="21"/>
        </w:rPr>
        <w:t>全面深化建筑业改革</w:t>
      </w:r>
      <w:r w:rsidRPr="00EC06B5">
        <w:rPr>
          <w:rFonts w:ascii="Arial" w:hAnsi="Arial" w:hint="eastAsia"/>
          <w:color w:val="000000"/>
          <w:sz w:val="21"/>
        </w:rPr>
        <w:t>、</w:t>
      </w:r>
      <w:r w:rsidRPr="00EC06B5">
        <w:rPr>
          <w:rFonts w:ascii="Arial" w:hAnsi="Arial"/>
          <w:color w:val="000000"/>
          <w:sz w:val="21"/>
        </w:rPr>
        <w:t>以更高质量的制度供给激发活力</w:t>
      </w:r>
      <w:r w:rsidRPr="00EC06B5">
        <w:rPr>
          <w:rFonts w:ascii="Arial" w:hAnsi="Arial" w:hint="eastAsia"/>
          <w:color w:val="000000"/>
          <w:sz w:val="21"/>
        </w:rPr>
        <w:t>、</w:t>
      </w:r>
      <w:r w:rsidRPr="00EC06B5">
        <w:rPr>
          <w:rFonts w:ascii="Arial" w:hAnsi="Arial"/>
          <w:color w:val="000000"/>
          <w:sz w:val="21"/>
        </w:rPr>
        <w:t>整体提升工程建设标准</w:t>
      </w:r>
      <w:r w:rsidRPr="00EC06B5">
        <w:rPr>
          <w:rFonts w:ascii="Arial" w:hAnsi="Arial" w:hint="eastAsia"/>
          <w:color w:val="000000"/>
          <w:sz w:val="21"/>
        </w:rPr>
        <w:t>、</w:t>
      </w:r>
      <w:r w:rsidRPr="00EC06B5">
        <w:rPr>
          <w:rFonts w:ascii="Arial" w:hAnsi="Arial"/>
          <w:color w:val="000000"/>
          <w:sz w:val="21"/>
        </w:rPr>
        <w:t>支持打造形成现代化建筑产业链</w:t>
      </w:r>
      <w:r w:rsidRPr="00EC06B5">
        <w:rPr>
          <w:rFonts w:ascii="Arial" w:hAnsi="Arial" w:hint="eastAsia"/>
          <w:color w:val="000000"/>
          <w:sz w:val="21"/>
        </w:rPr>
        <w:t>和</w:t>
      </w:r>
      <w:r w:rsidRPr="00EC06B5">
        <w:rPr>
          <w:rFonts w:ascii="Arial" w:hAnsi="Arial"/>
          <w:color w:val="000000"/>
          <w:sz w:val="21"/>
        </w:rPr>
        <w:t>把绿色建筑培育发展成新的经济增长点</w:t>
      </w:r>
      <w:r w:rsidRPr="00EC06B5">
        <w:rPr>
          <w:rFonts w:ascii="Arial" w:hAnsi="Arial" w:hint="eastAsia"/>
          <w:color w:val="000000"/>
          <w:sz w:val="21"/>
        </w:rPr>
        <w:t>五个方面，</w:t>
      </w:r>
      <w:r w:rsidRPr="00EC06B5">
        <w:rPr>
          <w:rFonts w:ascii="Arial" w:hAnsi="Arial"/>
          <w:color w:val="000000"/>
          <w:sz w:val="21"/>
        </w:rPr>
        <w:t>打造</w:t>
      </w:r>
      <w:r w:rsidRPr="00EC06B5">
        <w:rPr>
          <w:rFonts w:ascii="Arial" w:hAnsi="Arial"/>
          <w:color w:val="000000"/>
          <w:sz w:val="21"/>
        </w:rPr>
        <w:t>“</w:t>
      </w:r>
      <w:r w:rsidRPr="00EC06B5">
        <w:rPr>
          <w:rFonts w:ascii="Arial" w:hAnsi="Arial"/>
          <w:color w:val="000000"/>
          <w:sz w:val="21"/>
        </w:rPr>
        <w:t>中国建造</w:t>
      </w:r>
      <w:r w:rsidRPr="00EC06B5">
        <w:rPr>
          <w:rFonts w:ascii="Arial" w:hAnsi="Arial"/>
          <w:color w:val="000000"/>
          <w:sz w:val="21"/>
        </w:rPr>
        <w:t>”</w:t>
      </w:r>
      <w:r w:rsidRPr="00EC06B5">
        <w:rPr>
          <w:rFonts w:ascii="Arial" w:hAnsi="Arial"/>
          <w:color w:val="000000"/>
          <w:sz w:val="21"/>
        </w:rPr>
        <w:t>升级版</w:t>
      </w:r>
      <w:r w:rsidRPr="00EC06B5">
        <w:rPr>
          <w:rFonts w:ascii="Arial" w:hAnsi="Arial" w:hint="eastAsia"/>
          <w:color w:val="000000"/>
          <w:sz w:val="21"/>
        </w:rPr>
        <w:t>。五、从</w:t>
      </w:r>
      <w:r w:rsidRPr="00EC06B5">
        <w:rPr>
          <w:rFonts w:ascii="Arial" w:hAnsi="Arial"/>
          <w:color w:val="000000"/>
          <w:sz w:val="21"/>
        </w:rPr>
        <w:t>提高住宅建设标准</w:t>
      </w:r>
      <w:r w:rsidRPr="00EC06B5">
        <w:rPr>
          <w:rFonts w:ascii="Arial" w:hAnsi="Arial" w:hint="eastAsia"/>
          <w:color w:val="000000"/>
          <w:sz w:val="21"/>
        </w:rPr>
        <w:t>、</w:t>
      </w:r>
      <w:r w:rsidRPr="00EC06B5">
        <w:rPr>
          <w:rFonts w:ascii="Arial" w:hAnsi="Arial"/>
          <w:color w:val="000000"/>
          <w:sz w:val="21"/>
        </w:rPr>
        <w:t>构建支持住房品质提升的制度体系</w:t>
      </w:r>
      <w:r w:rsidRPr="00EC06B5">
        <w:rPr>
          <w:rFonts w:ascii="Arial" w:hAnsi="Arial" w:hint="eastAsia"/>
          <w:color w:val="000000"/>
          <w:sz w:val="21"/>
        </w:rPr>
        <w:t>、</w:t>
      </w:r>
      <w:r w:rsidRPr="00EC06B5">
        <w:rPr>
          <w:rFonts w:ascii="Arial" w:hAnsi="Arial"/>
          <w:color w:val="000000"/>
          <w:sz w:val="21"/>
        </w:rPr>
        <w:t>支持房企打造好房子样板</w:t>
      </w:r>
      <w:r w:rsidRPr="00EC06B5">
        <w:rPr>
          <w:rFonts w:ascii="Arial" w:hAnsi="Arial" w:hint="eastAsia"/>
          <w:color w:val="000000"/>
          <w:sz w:val="21"/>
        </w:rPr>
        <w:t>、</w:t>
      </w:r>
      <w:r w:rsidRPr="00EC06B5">
        <w:rPr>
          <w:rFonts w:ascii="Arial" w:hAnsi="Arial"/>
          <w:color w:val="000000"/>
          <w:sz w:val="21"/>
        </w:rPr>
        <w:t>推进老旧住宅更新改造</w:t>
      </w:r>
      <w:r w:rsidRPr="00EC06B5">
        <w:rPr>
          <w:rFonts w:ascii="Arial" w:hAnsi="Arial" w:hint="eastAsia"/>
          <w:color w:val="000000"/>
          <w:sz w:val="21"/>
        </w:rPr>
        <w:t>和</w:t>
      </w:r>
      <w:r w:rsidRPr="00EC06B5">
        <w:rPr>
          <w:rFonts w:ascii="Arial" w:hAnsi="Arial"/>
          <w:color w:val="000000"/>
          <w:sz w:val="21"/>
        </w:rPr>
        <w:t>大力实施物业服务质量提升行动</w:t>
      </w:r>
      <w:r w:rsidRPr="00EC06B5">
        <w:rPr>
          <w:rFonts w:ascii="Arial" w:hAnsi="Arial" w:hint="eastAsia"/>
          <w:color w:val="000000"/>
          <w:sz w:val="21"/>
        </w:rPr>
        <w:t>五个方面，</w:t>
      </w:r>
      <w:r w:rsidRPr="00EC06B5">
        <w:rPr>
          <w:rFonts w:ascii="Arial" w:hAnsi="Arial"/>
          <w:color w:val="000000"/>
          <w:sz w:val="21"/>
        </w:rPr>
        <w:t>建设安全、舒适、绿色、智慧的好房子</w:t>
      </w:r>
      <w:r w:rsidRPr="00EC06B5">
        <w:rPr>
          <w:rFonts w:ascii="Arial" w:hAnsi="Arial" w:hint="eastAsia"/>
          <w:color w:val="000000"/>
          <w:sz w:val="21"/>
        </w:rPr>
        <w:t>。</w:t>
      </w:r>
    </w:p>
    <w:p w14:paraId="38C6BB54" w14:textId="77777777" w:rsidR="00941FE0"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3B0D5BE9" w14:textId="77777777" w:rsidR="00941FE0" w:rsidRPr="00A826D1" w:rsidRDefault="00941FE0" w:rsidP="00941FE0">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3</w:t>
      </w:r>
      <w:r w:rsidRPr="00A826D1">
        <w:rPr>
          <w:rFonts w:ascii="Arial" w:hAnsi="Arial" w:hint="eastAsia"/>
          <w:color w:val="000000"/>
          <w:sz w:val="21"/>
        </w:rPr>
        <w:t>日，</w:t>
      </w:r>
      <w:r w:rsidRPr="00A826D1">
        <w:rPr>
          <w:rFonts w:ascii="Arial" w:hAnsi="Arial"/>
          <w:color w:val="000000"/>
          <w:sz w:val="21"/>
        </w:rPr>
        <w:t>财政部办公厅</w:t>
      </w:r>
      <w:r w:rsidRPr="00A826D1">
        <w:rPr>
          <w:rFonts w:ascii="Arial" w:hAnsi="Arial" w:hint="eastAsia"/>
          <w:color w:val="000000"/>
          <w:sz w:val="21"/>
        </w:rPr>
        <w:t>、</w:t>
      </w:r>
      <w:r w:rsidRPr="00A826D1">
        <w:rPr>
          <w:rFonts w:ascii="Arial" w:hAnsi="Arial"/>
          <w:color w:val="000000"/>
          <w:sz w:val="21"/>
        </w:rPr>
        <w:t>住房城乡建设部办公厅</w:t>
      </w:r>
      <w:r w:rsidRPr="00A826D1">
        <w:rPr>
          <w:rFonts w:ascii="Arial" w:hAnsi="Arial" w:hint="eastAsia"/>
          <w:color w:val="000000"/>
          <w:sz w:val="21"/>
        </w:rPr>
        <w:t>联合发布</w:t>
      </w:r>
      <w:r w:rsidRPr="00A826D1">
        <w:rPr>
          <w:rFonts w:ascii="Arial" w:hAnsi="Arial"/>
          <w:color w:val="000000"/>
          <w:sz w:val="21"/>
        </w:rPr>
        <w:t>《关于开展</w:t>
      </w:r>
      <w:r w:rsidRPr="00A826D1">
        <w:rPr>
          <w:rFonts w:ascii="Arial" w:hAnsi="Arial"/>
          <w:color w:val="000000"/>
          <w:sz w:val="21"/>
        </w:rPr>
        <w:t>2025</w:t>
      </w:r>
      <w:r w:rsidRPr="00A826D1">
        <w:rPr>
          <w:rFonts w:ascii="Arial" w:hAnsi="Arial"/>
          <w:color w:val="000000"/>
          <w:sz w:val="21"/>
        </w:rPr>
        <w:t>年度中央财政支持实施城市更新行动的通知》</w:t>
      </w:r>
      <w:r w:rsidRPr="00A826D1">
        <w:rPr>
          <w:rFonts w:ascii="Arial" w:hAnsi="Arial" w:hint="eastAsia"/>
          <w:color w:val="000000"/>
          <w:sz w:val="21"/>
        </w:rPr>
        <w:t>。《通知》提出</w:t>
      </w:r>
      <w:r w:rsidRPr="00A826D1">
        <w:rPr>
          <w:rFonts w:ascii="Arial" w:hAnsi="Arial"/>
          <w:color w:val="000000"/>
          <w:sz w:val="21"/>
        </w:rPr>
        <w:t>通过竞争性选拔，确定部分基础条件好、积极性</w:t>
      </w:r>
      <w:r w:rsidRPr="00A826D1">
        <w:rPr>
          <w:rFonts w:ascii="Arial" w:hAnsi="Arial"/>
          <w:color w:val="000000"/>
          <w:sz w:val="21"/>
        </w:rPr>
        <w:lastRenderedPageBreak/>
        <w:t>高、特色突出的城市，在城市层面探索整合各类资源，探索建立资金、用地、金融等各类要素保障机制，形成工作合力。中央财政对入围城市给予定额补助，支持城市更新的样板项目建设和机制建设</w:t>
      </w:r>
      <w:r w:rsidRPr="00A826D1">
        <w:rPr>
          <w:rFonts w:ascii="Arial" w:hAnsi="Arial"/>
          <w:color w:val="000000"/>
          <w:sz w:val="21"/>
        </w:rPr>
        <w:t>2</w:t>
      </w:r>
      <w:r w:rsidRPr="00A826D1">
        <w:rPr>
          <w:rFonts w:ascii="Arial" w:hAnsi="Arial"/>
          <w:color w:val="000000"/>
          <w:sz w:val="21"/>
        </w:rPr>
        <w:t>个方向</w:t>
      </w:r>
      <w:r w:rsidRPr="00A826D1">
        <w:rPr>
          <w:rFonts w:ascii="Arial" w:hAnsi="Arial" w:hint="eastAsia"/>
          <w:color w:val="000000"/>
          <w:sz w:val="21"/>
        </w:rPr>
        <w:t>。</w:t>
      </w:r>
    </w:p>
    <w:p w14:paraId="0A8BBDAF" w14:textId="77777777" w:rsidR="00941FE0" w:rsidRPr="00A826D1" w:rsidRDefault="00941FE0" w:rsidP="00941FE0">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25</w:t>
      </w:r>
      <w:r w:rsidRPr="00A826D1">
        <w:rPr>
          <w:rFonts w:ascii="Arial" w:hAnsi="Arial" w:hint="eastAsia"/>
          <w:color w:val="000000"/>
          <w:sz w:val="21"/>
        </w:rPr>
        <w:t>日</w:t>
      </w:r>
      <w:r w:rsidRPr="00A826D1">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w:t>
      </w:r>
      <w:r w:rsidRPr="00A826D1">
        <w:rPr>
          <w:rFonts w:ascii="Arial" w:hAnsi="Arial"/>
          <w:color w:val="000000"/>
          <w:sz w:val="21"/>
        </w:rPr>
        <w:t xml:space="preserve"> </w:t>
      </w:r>
      <w:r w:rsidRPr="00A826D1">
        <w:rPr>
          <w:rFonts w:ascii="Arial" w:hAnsi="Arial"/>
          <w:color w:val="000000"/>
          <w:sz w:val="21"/>
        </w:rPr>
        <w:t>模式，加大高品质住房供给，优化存量商品房收购政策，持续巩固房地产市场稳定态势。</w:t>
      </w:r>
    </w:p>
    <w:p w14:paraId="2DF8935B" w14:textId="77777777" w:rsidR="00941FE0" w:rsidRPr="00A826D1" w:rsidRDefault="00941FE0" w:rsidP="00941FE0">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5</w:t>
      </w:r>
      <w:r w:rsidRPr="00A826D1">
        <w:rPr>
          <w:rFonts w:ascii="Arial" w:hAnsi="Arial" w:hint="eastAsia"/>
          <w:color w:val="000000"/>
          <w:sz w:val="21"/>
        </w:rPr>
        <w:t>月</w:t>
      </w:r>
      <w:r w:rsidRPr="00A826D1">
        <w:rPr>
          <w:rFonts w:ascii="Arial" w:hAnsi="Arial" w:hint="eastAsia"/>
          <w:color w:val="000000"/>
          <w:sz w:val="21"/>
        </w:rPr>
        <w:t>15</w:t>
      </w:r>
      <w:r w:rsidRPr="00A826D1">
        <w:rPr>
          <w:rFonts w:ascii="Arial" w:hAnsi="Arial" w:hint="eastAsia"/>
          <w:color w:val="000000"/>
          <w:sz w:val="21"/>
        </w:rPr>
        <w:t>日，中共中央办公厅与国务院办公厅公开发布《关于持续推进城市更新行动的意见》。《意见》</w:t>
      </w:r>
      <w:r w:rsidRPr="00A826D1">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3439C70D" w14:textId="77777777" w:rsidR="00941FE0" w:rsidRDefault="00941FE0" w:rsidP="00941FE0">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6</w:t>
      </w:r>
      <w:r w:rsidRPr="00A826D1">
        <w:rPr>
          <w:rFonts w:ascii="Arial" w:hAnsi="Arial" w:hint="eastAsia"/>
          <w:color w:val="000000"/>
          <w:sz w:val="21"/>
        </w:rPr>
        <w:t>月</w:t>
      </w:r>
      <w:r w:rsidRPr="00A826D1">
        <w:rPr>
          <w:rFonts w:ascii="Arial" w:hAnsi="Arial" w:hint="eastAsia"/>
          <w:color w:val="000000"/>
          <w:sz w:val="21"/>
        </w:rPr>
        <w:t>13</w:t>
      </w:r>
      <w:r w:rsidRPr="00A826D1">
        <w:rPr>
          <w:rFonts w:ascii="Arial" w:hAnsi="Arial" w:hint="eastAsia"/>
          <w:color w:val="000000"/>
          <w:sz w:val="21"/>
        </w:rPr>
        <w:t>日</w:t>
      </w:r>
      <w:r w:rsidRPr="00A826D1">
        <w:rPr>
          <w:rFonts w:ascii="Arial" w:hAnsi="Arial"/>
          <w:color w:val="000000"/>
          <w:sz w:val="21"/>
        </w:rPr>
        <w:t>国务院常务会议召开，其中重点部署了房地产相关政策，核心目标是</w:t>
      </w:r>
      <w:r w:rsidRPr="00A826D1">
        <w:rPr>
          <w:rFonts w:ascii="Arial" w:hAnsi="Arial" w:hint="eastAsia"/>
          <w:color w:val="000000"/>
          <w:sz w:val="21"/>
        </w:rPr>
        <w:t>“</w:t>
      </w:r>
      <w:r w:rsidRPr="00A826D1">
        <w:rPr>
          <w:rFonts w:ascii="Arial" w:hAnsi="Arial"/>
          <w:color w:val="000000"/>
          <w:sz w:val="21"/>
        </w:rPr>
        <w:t>更大力度推动房地产市场止跌回稳</w:t>
      </w:r>
      <w:r w:rsidRPr="00A826D1">
        <w:rPr>
          <w:rFonts w:ascii="Arial" w:hAnsi="Arial" w:hint="eastAsia"/>
          <w:color w:val="000000"/>
          <w:sz w:val="21"/>
        </w:rPr>
        <w:t>”</w:t>
      </w:r>
      <w:r w:rsidRPr="00A826D1">
        <w:rPr>
          <w:rFonts w:ascii="Arial" w:hAnsi="Arial"/>
          <w:color w:val="000000"/>
          <w:sz w:val="21"/>
        </w:rPr>
        <w:t>，并围绕构建房地产发展新模式、推进</w:t>
      </w:r>
      <w:r w:rsidRPr="00A826D1">
        <w:rPr>
          <w:rFonts w:ascii="Arial" w:hAnsi="Arial" w:hint="eastAsia"/>
          <w:color w:val="000000"/>
          <w:sz w:val="21"/>
        </w:rPr>
        <w:t>“好房子”</w:t>
      </w:r>
      <w:r w:rsidRPr="00A826D1">
        <w:rPr>
          <w:rFonts w:ascii="Arial" w:hAnsi="Arial"/>
          <w:color w:val="000000"/>
          <w:sz w:val="21"/>
        </w:rPr>
        <w:t>建设、盘活存量资源等方面提出具体措施。</w:t>
      </w:r>
    </w:p>
    <w:p w14:paraId="27961205" w14:textId="77777777" w:rsidR="00941FE0" w:rsidRPr="00151F40" w:rsidRDefault="00941FE0" w:rsidP="00941FE0">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w:t>
      </w:r>
      <w:r w:rsidRPr="00151F40">
        <w:rPr>
          <w:rFonts w:ascii="Arial" w:hAnsi="Arial"/>
          <w:color w:val="000000"/>
          <w:sz w:val="21"/>
        </w:rPr>
        <w:t>4</w:t>
      </w:r>
      <w:r w:rsidRPr="00151F40">
        <w:rPr>
          <w:rFonts w:ascii="Arial" w:hAnsi="Arial"/>
          <w:color w:val="000000"/>
          <w:sz w:val="21"/>
        </w:rPr>
        <w:t>日至</w:t>
      </w:r>
      <w:r w:rsidRPr="00151F40">
        <w:rPr>
          <w:rFonts w:ascii="Arial" w:hAnsi="Arial" w:hint="eastAsia"/>
          <w:color w:val="000000"/>
          <w:sz w:val="21"/>
        </w:rPr>
        <w:t>1</w:t>
      </w:r>
      <w:r w:rsidRPr="00151F40">
        <w:rPr>
          <w:rFonts w:ascii="Arial" w:hAnsi="Arial"/>
          <w:color w:val="000000"/>
          <w:sz w:val="21"/>
        </w:rPr>
        <w:t>5</w:t>
      </w:r>
      <w:r w:rsidRPr="00151F40">
        <w:rPr>
          <w:rFonts w:ascii="Arial" w:hAnsi="Arial"/>
          <w:color w:val="000000"/>
          <w:sz w:val="21"/>
        </w:rPr>
        <w:t>日</w:t>
      </w:r>
      <w:bookmarkStart w:id="34" w:name="OLE_LINK7"/>
      <w:r w:rsidRPr="00151F40">
        <w:rPr>
          <w:rFonts w:ascii="Arial" w:hAnsi="Arial"/>
          <w:color w:val="000000"/>
          <w:sz w:val="21"/>
        </w:rPr>
        <w:t>中央城市工作会议</w:t>
      </w:r>
      <w:bookmarkEnd w:id="34"/>
      <w:r w:rsidRPr="00151F40">
        <w:rPr>
          <w:rFonts w:ascii="Arial" w:hAnsi="Arial"/>
          <w:color w:val="000000"/>
          <w:sz w:val="21"/>
        </w:rPr>
        <w:t>在北京举行，部署城市工作</w:t>
      </w:r>
      <w:r w:rsidRPr="00151F40">
        <w:rPr>
          <w:rFonts w:ascii="Arial" w:hAnsi="Arial"/>
          <w:color w:val="000000"/>
          <w:sz w:val="21"/>
        </w:rPr>
        <w:t>7</w:t>
      </w:r>
      <w:r w:rsidRPr="00151F40">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sidRPr="00151F40">
        <w:rPr>
          <w:rFonts w:ascii="Arial" w:hAnsi="Arial" w:hint="eastAsia"/>
          <w:color w:val="000000"/>
          <w:sz w:val="21"/>
        </w:rPr>
        <w:t>。</w:t>
      </w:r>
    </w:p>
    <w:p w14:paraId="433E0A8E" w14:textId="77777777" w:rsidR="00941FE0" w:rsidRPr="00151F40" w:rsidRDefault="00941FE0" w:rsidP="00941FE0">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16</w:t>
      </w:r>
      <w:r w:rsidRPr="00151F40">
        <w:rPr>
          <w:rFonts w:ascii="Arial" w:hAnsi="Arial" w:hint="eastAsia"/>
          <w:color w:val="000000"/>
          <w:sz w:val="21"/>
        </w:rPr>
        <w:t>日，国务院公布《住房租赁条例》</w:t>
      </w:r>
      <w:r w:rsidRPr="00151F40">
        <w:rPr>
          <w:rFonts w:ascii="Arial" w:hAnsi="Arial"/>
          <w:color w:val="000000"/>
          <w:sz w:val="21"/>
        </w:rPr>
        <w:t>。该条例旨在规范住房租赁活动，维护住房租赁活动当事人合法权益，稳定住房租赁关系，促进住房租赁市场高质量发展，推动加快建立租购并举的住房制度</w:t>
      </w:r>
      <w:r w:rsidRPr="00151F40">
        <w:rPr>
          <w:rFonts w:ascii="Arial" w:hAnsi="Arial" w:hint="eastAsia"/>
          <w:color w:val="000000"/>
          <w:sz w:val="21"/>
        </w:rPr>
        <w:t>，《条例》</w:t>
      </w:r>
      <w:r w:rsidRPr="00151F40">
        <w:rPr>
          <w:rFonts w:ascii="Arial" w:hAnsi="Arial"/>
          <w:color w:val="000000"/>
          <w:sz w:val="21"/>
        </w:rPr>
        <w:t>自</w:t>
      </w:r>
      <w:r w:rsidRPr="00151F40">
        <w:rPr>
          <w:rFonts w:ascii="Arial" w:hAnsi="Arial"/>
          <w:color w:val="000000"/>
          <w:sz w:val="21"/>
        </w:rPr>
        <w:t>2025</w:t>
      </w:r>
      <w:r w:rsidRPr="00151F40">
        <w:rPr>
          <w:rFonts w:ascii="Arial" w:hAnsi="Arial"/>
          <w:color w:val="000000"/>
          <w:sz w:val="21"/>
        </w:rPr>
        <w:t>年</w:t>
      </w:r>
      <w:r w:rsidRPr="00151F40">
        <w:rPr>
          <w:rFonts w:ascii="Arial" w:hAnsi="Arial"/>
          <w:color w:val="000000"/>
          <w:sz w:val="21"/>
        </w:rPr>
        <w:t>9</w:t>
      </w:r>
      <w:r w:rsidRPr="00151F40">
        <w:rPr>
          <w:rFonts w:ascii="Arial" w:hAnsi="Arial"/>
          <w:color w:val="000000"/>
          <w:sz w:val="21"/>
        </w:rPr>
        <w:t>月</w:t>
      </w:r>
      <w:r w:rsidRPr="00151F40">
        <w:rPr>
          <w:rFonts w:ascii="Arial" w:hAnsi="Arial"/>
          <w:color w:val="000000"/>
          <w:sz w:val="21"/>
        </w:rPr>
        <w:t>15</w:t>
      </w:r>
      <w:r w:rsidRPr="00151F40">
        <w:rPr>
          <w:rFonts w:ascii="Arial" w:hAnsi="Arial"/>
          <w:color w:val="000000"/>
          <w:sz w:val="21"/>
        </w:rPr>
        <w:t>日施行。</w:t>
      </w:r>
    </w:p>
    <w:p w14:paraId="3E27C107" w14:textId="77777777" w:rsidR="00941FE0" w:rsidRPr="00EC06B5" w:rsidRDefault="00941FE0" w:rsidP="00941FE0">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lastRenderedPageBreak/>
        <w:t>北京：</w:t>
      </w:r>
    </w:p>
    <w:p w14:paraId="16250269"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30</w:t>
      </w:r>
      <w:r w:rsidRPr="00EC06B5">
        <w:rPr>
          <w:rFonts w:ascii="Arial" w:hAnsi="Arial"/>
          <w:color w:val="000000"/>
          <w:sz w:val="21"/>
        </w:rPr>
        <w:t>日，北京市多部门联合发布《关于进一步优化调整本市房地产相关政策的通知》，自</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EC06B5">
        <w:rPr>
          <w:rFonts w:ascii="Arial" w:hAnsi="Arial"/>
          <w:color w:val="000000"/>
          <w:sz w:val="21"/>
        </w:rPr>
        <w:t>“</w:t>
      </w:r>
      <w:r w:rsidRPr="00EC06B5">
        <w:rPr>
          <w:rFonts w:ascii="Arial" w:hAnsi="Arial"/>
          <w:color w:val="000000"/>
          <w:sz w:val="21"/>
        </w:rPr>
        <w:t>止跌回稳</w:t>
      </w:r>
      <w:r w:rsidRPr="00EC06B5">
        <w:rPr>
          <w:rFonts w:ascii="Arial" w:hAnsi="Arial"/>
          <w:color w:val="000000"/>
          <w:sz w:val="21"/>
        </w:rPr>
        <w:t>”</w:t>
      </w:r>
      <w:r w:rsidRPr="00EC06B5">
        <w:rPr>
          <w:rFonts w:ascii="Arial" w:hAnsi="Arial"/>
          <w:color w:val="000000"/>
          <w:sz w:val="21"/>
        </w:rPr>
        <w:t>的工作导向，将对四季度楼市政策的消化和市场提振产生积极影响，并预示着更多鼓励性政策的出台</w:t>
      </w:r>
      <w:r w:rsidRPr="00EC06B5">
        <w:rPr>
          <w:rFonts w:ascii="Arial" w:hAnsi="Arial" w:hint="eastAsia"/>
          <w:color w:val="000000"/>
          <w:sz w:val="21"/>
        </w:rPr>
        <w:t>。</w:t>
      </w:r>
    </w:p>
    <w:p w14:paraId="24DA39F5"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11</w:t>
      </w:r>
      <w:r w:rsidRPr="00EC06B5">
        <w:rPr>
          <w:rFonts w:ascii="Arial" w:hAnsi="Arial"/>
          <w:color w:val="000000"/>
          <w:sz w:val="21"/>
        </w:rPr>
        <w:t>月</w:t>
      </w:r>
      <w:r w:rsidRPr="00EC06B5">
        <w:rPr>
          <w:rFonts w:ascii="Arial" w:hAnsi="Arial"/>
          <w:color w:val="000000"/>
          <w:sz w:val="21"/>
        </w:rPr>
        <w:t>18</w:t>
      </w:r>
      <w:r w:rsidRPr="00EC06B5">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EC06B5">
        <w:rPr>
          <w:rFonts w:ascii="Arial" w:hAnsi="Arial"/>
          <w:color w:val="000000"/>
          <w:sz w:val="21"/>
        </w:rPr>
        <w:t>2</w:t>
      </w:r>
      <w:r w:rsidRPr="00EC06B5">
        <w:rPr>
          <w:rFonts w:ascii="Arial" w:hAnsi="Arial"/>
          <w:color w:val="000000"/>
          <w:sz w:val="21"/>
        </w:rPr>
        <w:t>年及以上的住房将免征增值税，而持有不足</w:t>
      </w:r>
      <w:r w:rsidRPr="00EC06B5">
        <w:rPr>
          <w:rFonts w:ascii="Arial" w:hAnsi="Arial"/>
          <w:color w:val="000000"/>
          <w:sz w:val="21"/>
        </w:rPr>
        <w:t>2</w:t>
      </w:r>
      <w:r w:rsidRPr="00EC06B5">
        <w:rPr>
          <w:rFonts w:ascii="Arial" w:hAnsi="Arial"/>
          <w:color w:val="000000"/>
          <w:sz w:val="21"/>
        </w:rPr>
        <w:t>年的住房则需按</w:t>
      </w:r>
      <w:r w:rsidRPr="00EC06B5">
        <w:rPr>
          <w:rFonts w:ascii="Arial" w:hAnsi="Arial"/>
          <w:color w:val="000000"/>
          <w:sz w:val="21"/>
        </w:rPr>
        <w:t>5%</w:t>
      </w:r>
      <w:r w:rsidRPr="00EC06B5">
        <w:rPr>
          <w:rFonts w:ascii="Arial" w:hAnsi="Arial"/>
          <w:color w:val="000000"/>
          <w:sz w:val="21"/>
        </w:rPr>
        <w:t>的税率缴纳增值税。在契税方面，北京市与全国统一，对个人购买家庭唯一住房，面积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税率征收契税，超过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1.5%</w:t>
      </w:r>
      <w:r w:rsidRPr="00EC06B5">
        <w:rPr>
          <w:rFonts w:ascii="Arial" w:hAnsi="Arial"/>
          <w:color w:val="000000"/>
          <w:sz w:val="21"/>
        </w:rPr>
        <w:t>征收；对于家庭第二套住房，面积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征收，超过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2%</w:t>
      </w:r>
      <w:r w:rsidRPr="00EC06B5">
        <w:rPr>
          <w:rFonts w:ascii="Arial" w:hAnsi="Arial"/>
          <w:color w:val="000000"/>
          <w:sz w:val="21"/>
        </w:rPr>
        <w:t>征收</w:t>
      </w:r>
      <w:r w:rsidRPr="00EC06B5">
        <w:rPr>
          <w:rFonts w:ascii="Arial" w:hAnsi="Arial" w:hint="eastAsia"/>
          <w:color w:val="000000"/>
          <w:sz w:val="21"/>
        </w:rPr>
        <w:t>。</w:t>
      </w:r>
    </w:p>
    <w:p w14:paraId="62EE2E3D"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11</w:t>
      </w:r>
      <w:r w:rsidRPr="00EC06B5">
        <w:rPr>
          <w:rFonts w:ascii="Arial" w:hAnsi="Arial" w:hint="eastAsia"/>
          <w:color w:val="000000"/>
          <w:sz w:val="21"/>
        </w:rPr>
        <w:t>月</w:t>
      </w:r>
      <w:r w:rsidRPr="00EC06B5">
        <w:rPr>
          <w:rFonts w:ascii="Arial" w:hAnsi="Arial" w:hint="eastAsia"/>
          <w:color w:val="000000"/>
          <w:sz w:val="21"/>
        </w:rPr>
        <w:t>29</w:t>
      </w:r>
      <w:r w:rsidRPr="00EC06B5">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C06B5">
        <w:rPr>
          <w:rFonts w:ascii="Arial" w:hAnsi="Arial" w:hint="eastAsia"/>
          <w:color w:val="000000"/>
          <w:sz w:val="21"/>
        </w:rPr>
        <w:t>,</w:t>
      </w:r>
      <w:r w:rsidRPr="00EC06B5">
        <w:rPr>
          <w:rFonts w:ascii="Arial" w:hAnsi="Arial" w:hint="eastAsia"/>
          <w:color w:val="000000"/>
          <w:sz w:val="21"/>
        </w:rPr>
        <w:t>充分激发多元主体的更新意愿，推动城市更新项目落地实施。</w:t>
      </w:r>
    </w:p>
    <w:p w14:paraId="6670C9E0" w14:textId="77777777" w:rsidR="00941FE0"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平方米以上住宅设置挑空空间；合理利用底层架空空间作为公共活动区域；设置开敞式风雨连廊以方便居民活动；增配邻里共享公共空间，提供便民服务；允许跨城市支路空间利用以优化布局；建筑高度可局部</w:t>
      </w:r>
      <w:r w:rsidRPr="00EC06B5">
        <w:rPr>
          <w:rFonts w:ascii="Arial" w:hAnsi="Arial"/>
          <w:color w:val="000000"/>
          <w:sz w:val="21"/>
        </w:rPr>
        <w:lastRenderedPageBreak/>
        <w:t>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14:paraId="0FFD8FE9" w14:textId="77777777" w:rsidR="00941FE0" w:rsidRDefault="00941FE0" w:rsidP="00941FE0">
      <w:pPr>
        <w:overflowPunct w:val="0"/>
        <w:spacing w:line="480" w:lineRule="auto"/>
        <w:ind w:firstLine="420"/>
        <w:jc w:val="both"/>
        <w:textAlignment w:val="auto"/>
        <w:rPr>
          <w:rFonts w:ascii="Arial" w:hAnsi="Arial"/>
          <w:color w:val="000000"/>
          <w:sz w:val="21"/>
        </w:rPr>
      </w:pPr>
      <w:r w:rsidRPr="00F46482">
        <w:rPr>
          <w:rFonts w:ascii="Arial" w:hAnsi="Arial" w:hint="eastAsia"/>
          <w:color w:val="000000"/>
          <w:sz w:val="21"/>
        </w:rPr>
        <w:t>2025</w:t>
      </w:r>
      <w:r w:rsidRPr="00F46482">
        <w:rPr>
          <w:rFonts w:ascii="Arial" w:hAnsi="Arial" w:hint="eastAsia"/>
          <w:color w:val="000000"/>
          <w:sz w:val="21"/>
        </w:rPr>
        <w:t>年</w:t>
      </w:r>
      <w:r w:rsidRPr="00F46482">
        <w:rPr>
          <w:rFonts w:ascii="Arial" w:hAnsi="Arial"/>
          <w:color w:val="000000"/>
          <w:sz w:val="21"/>
        </w:rPr>
        <w:t>5</w:t>
      </w:r>
      <w:r w:rsidRPr="00F46482">
        <w:rPr>
          <w:rFonts w:ascii="Arial" w:hAnsi="Arial"/>
          <w:color w:val="000000"/>
          <w:sz w:val="21"/>
        </w:rPr>
        <w:t>月</w:t>
      </w:r>
      <w:r w:rsidRPr="00F46482">
        <w:rPr>
          <w:rFonts w:ascii="Arial" w:hAnsi="Arial"/>
          <w:color w:val="000000"/>
          <w:sz w:val="21"/>
        </w:rPr>
        <w:t>9</w:t>
      </w:r>
      <w:r w:rsidRPr="00F46482">
        <w:rPr>
          <w:rFonts w:ascii="Arial" w:hAnsi="Arial"/>
          <w:color w:val="000000"/>
          <w:sz w:val="21"/>
        </w:rPr>
        <w:t>日，北京市住房和城乡建设委员会</w:t>
      </w:r>
      <w:r w:rsidRPr="00F46482">
        <w:rPr>
          <w:rFonts w:ascii="Arial" w:hAnsi="Arial" w:hint="eastAsia"/>
          <w:color w:val="000000"/>
          <w:sz w:val="21"/>
        </w:rPr>
        <w:t>发布</w:t>
      </w:r>
      <w:r w:rsidRPr="00F46482">
        <w:rPr>
          <w:rFonts w:ascii="Arial" w:hAnsi="Arial"/>
          <w:color w:val="000000"/>
          <w:sz w:val="21"/>
        </w:rPr>
        <w:t>《关于印发</w:t>
      </w:r>
      <w:r w:rsidRPr="00F46482">
        <w:rPr>
          <w:rFonts w:ascii="Arial" w:hAnsi="Arial" w:hint="eastAsia"/>
          <w:color w:val="000000"/>
          <w:sz w:val="21"/>
        </w:rPr>
        <w:t>〈</w:t>
      </w:r>
      <w:r w:rsidRPr="00F46482">
        <w:rPr>
          <w:rFonts w:ascii="Arial" w:hAnsi="Arial"/>
          <w:color w:val="000000"/>
          <w:sz w:val="21"/>
        </w:rPr>
        <w:t>2025</w:t>
      </w:r>
      <w:r w:rsidRPr="00F46482">
        <w:rPr>
          <w:rFonts w:ascii="Arial" w:hAnsi="Arial"/>
          <w:color w:val="000000"/>
          <w:sz w:val="21"/>
        </w:rPr>
        <w:t>年北京市住房发展年度计划</w:t>
      </w:r>
      <w:r w:rsidRPr="00F46482">
        <w:rPr>
          <w:rFonts w:ascii="Arial" w:hAnsi="Arial" w:hint="eastAsia"/>
          <w:color w:val="000000"/>
          <w:sz w:val="21"/>
        </w:rPr>
        <w:t>〉</w:t>
      </w:r>
      <w:r w:rsidRPr="00F46482">
        <w:rPr>
          <w:rFonts w:ascii="Arial" w:hAnsi="Arial"/>
          <w:color w:val="000000"/>
          <w:sz w:val="21"/>
        </w:rPr>
        <w:t>的通知》</w:t>
      </w:r>
      <w:r w:rsidRPr="00F46482">
        <w:rPr>
          <w:rFonts w:ascii="Arial" w:hAnsi="Arial" w:hint="eastAsia"/>
          <w:color w:val="000000"/>
          <w:sz w:val="21"/>
        </w:rPr>
        <w:t>。《通知》</w:t>
      </w:r>
      <w:r w:rsidRPr="00F46482">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0D86A8F3" w14:textId="77777777" w:rsidR="00941FE0" w:rsidRPr="00CF50D6" w:rsidRDefault="00941FE0" w:rsidP="00941FE0">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7</w:t>
      </w:r>
      <w:r w:rsidRPr="00CF50D6">
        <w:rPr>
          <w:rFonts w:ascii="Arial" w:hAnsi="Arial" w:hint="eastAsia"/>
          <w:color w:val="000000"/>
          <w:sz w:val="21"/>
        </w:rPr>
        <w:t>月</w:t>
      </w:r>
      <w:r w:rsidRPr="00CF50D6">
        <w:rPr>
          <w:rFonts w:ascii="Arial" w:hAnsi="Arial" w:hint="eastAsia"/>
          <w:color w:val="000000"/>
          <w:sz w:val="21"/>
        </w:rPr>
        <w:t>10</w:t>
      </w:r>
      <w:r w:rsidRPr="00CF50D6">
        <w:rPr>
          <w:rFonts w:ascii="Arial" w:hAnsi="Arial" w:hint="eastAsia"/>
          <w:color w:val="000000"/>
          <w:sz w:val="21"/>
        </w:rPr>
        <w:t>日，北京市人民政府发布</w:t>
      </w:r>
      <w:r w:rsidRPr="00CF50D6">
        <w:rPr>
          <w:rFonts w:ascii="Arial" w:hAnsi="Arial"/>
          <w:color w:val="000000"/>
          <w:sz w:val="21"/>
        </w:rPr>
        <w:t>《关于印发</w:t>
      </w:r>
      <w:r w:rsidRPr="00CF50D6">
        <w:rPr>
          <w:rFonts w:ascii="Arial" w:hAnsi="Arial" w:hint="eastAsia"/>
          <w:color w:val="000000"/>
          <w:sz w:val="21"/>
        </w:rPr>
        <w:t>〈北京市深化改革提振消费专项行动方案〉</w:t>
      </w:r>
      <w:r w:rsidRPr="00CF50D6">
        <w:rPr>
          <w:rFonts w:ascii="Arial" w:hAnsi="Arial"/>
          <w:color w:val="000000"/>
          <w:sz w:val="21"/>
        </w:rPr>
        <w:t>的通知》，提出共计</w:t>
      </w:r>
      <w:r w:rsidRPr="00CF50D6">
        <w:rPr>
          <w:rFonts w:ascii="Arial" w:hAnsi="Arial"/>
          <w:color w:val="000000"/>
          <w:sz w:val="21"/>
        </w:rPr>
        <w:t>24</w:t>
      </w:r>
      <w:r w:rsidRPr="00CF50D6">
        <w:rPr>
          <w:rFonts w:ascii="Arial" w:hAnsi="Arial"/>
          <w:color w:val="000000"/>
          <w:sz w:val="21"/>
        </w:rPr>
        <w:t>项具体方案。其中，</w:t>
      </w:r>
      <w:r w:rsidRPr="00CF50D6">
        <w:rPr>
          <w:rFonts w:ascii="Arial" w:hAnsi="Arial" w:hint="eastAsia"/>
          <w:color w:val="000000"/>
          <w:sz w:val="21"/>
        </w:rPr>
        <w:t>第</w:t>
      </w:r>
      <w:r w:rsidRPr="00CF50D6">
        <w:rPr>
          <w:rFonts w:ascii="Arial" w:hAnsi="Arial" w:hint="eastAsia"/>
          <w:color w:val="000000"/>
          <w:sz w:val="21"/>
        </w:rPr>
        <w:t>14</w:t>
      </w:r>
      <w:r w:rsidRPr="00CF50D6">
        <w:rPr>
          <w:rFonts w:ascii="Arial" w:hAnsi="Arial" w:hint="eastAsia"/>
          <w:color w:val="000000"/>
          <w:sz w:val="21"/>
        </w:rPr>
        <w:t>项“</w:t>
      </w:r>
      <w:r w:rsidRPr="00CF50D6">
        <w:rPr>
          <w:rFonts w:ascii="Arial" w:hAnsi="Arial"/>
          <w:color w:val="000000"/>
          <w:sz w:val="21"/>
        </w:rPr>
        <w:t>优化住房消费新供给</w:t>
      </w:r>
      <w:r w:rsidRPr="00CF50D6">
        <w:rPr>
          <w:rFonts w:ascii="Arial" w:hAnsi="Arial" w:hint="eastAsia"/>
          <w:color w:val="000000"/>
          <w:sz w:val="21"/>
        </w:rPr>
        <w:t>”</w:t>
      </w:r>
      <w:r w:rsidRPr="00CF50D6">
        <w:rPr>
          <w:rFonts w:ascii="Arial" w:hAnsi="Arial"/>
          <w:color w:val="000000"/>
          <w:sz w:val="21"/>
        </w:rPr>
        <w:t>：优先向轨道交通站点和就业密集地区</w:t>
      </w:r>
      <w:r w:rsidRPr="00CF50D6">
        <w:rPr>
          <w:rFonts w:ascii="Arial" w:hAnsi="Arial"/>
          <w:color w:val="000000"/>
          <w:sz w:val="21"/>
        </w:rPr>
        <w:t xml:space="preserve"> </w:t>
      </w:r>
      <w:r w:rsidRPr="00CF50D6">
        <w:rPr>
          <w:rFonts w:ascii="Arial" w:hAnsi="Arial"/>
          <w:color w:val="000000"/>
          <w:sz w:val="21"/>
        </w:rPr>
        <w:t>供应住宅用地，完善</w:t>
      </w:r>
      <w:r w:rsidRPr="00CF50D6">
        <w:rPr>
          <w:rFonts w:ascii="Arial" w:hAnsi="Arial" w:hint="eastAsia"/>
          <w:color w:val="000000"/>
          <w:sz w:val="21"/>
        </w:rPr>
        <w:t>“</w:t>
      </w:r>
      <w:r w:rsidRPr="00CF50D6">
        <w:rPr>
          <w:rFonts w:ascii="Arial" w:hAnsi="Arial"/>
          <w:color w:val="000000"/>
          <w:sz w:val="21"/>
        </w:rPr>
        <w:t>保障</w:t>
      </w:r>
      <w:r w:rsidRPr="00CF50D6">
        <w:rPr>
          <w:rFonts w:ascii="Arial" w:hAnsi="Arial"/>
          <w:color w:val="000000"/>
          <w:sz w:val="21"/>
        </w:rPr>
        <w:t>+</w:t>
      </w:r>
      <w:r w:rsidRPr="00CF50D6">
        <w:rPr>
          <w:rFonts w:ascii="Arial" w:hAnsi="Arial"/>
          <w:color w:val="000000"/>
          <w:sz w:val="21"/>
        </w:rPr>
        <w:t>市场</w:t>
      </w:r>
      <w:r w:rsidRPr="00CF50D6">
        <w:rPr>
          <w:rFonts w:ascii="Arial" w:hAnsi="Arial" w:hint="eastAsia"/>
          <w:color w:val="000000"/>
          <w:sz w:val="21"/>
        </w:rPr>
        <w:t>”</w:t>
      </w:r>
      <w:r w:rsidRPr="00CF50D6">
        <w:rPr>
          <w:rFonts w:ascii="Arial" w:hAnsi="Arial"/>
          <w:color w:val="000000"/>
          <w:sz w:val="21"/>
        </w:rPr>
        <w:t>住房供应体系。进一步发挥住房公积金促进作用，支持缴存人在提取公积</w:t>
      </w:r>
      <w:r w:rsidRPr="00CF50D6">
        <w:rPr>
          <w:rFonts w:ascii="Arial" w:hAnsi="Arial"/>
          <w:color w:val="000000"/>
          <w:sz w:val="21"/>
        </w:rPr>
        <w:t xml:space="preserve"> </w:t>
      </w:r>
      <w:r w:rsidRPr="00CF50D6">
        <w:rPr>
          <w:rFonts w:ascii="Arial" w:hAnsi="Arial"/>
          <w:color w:val="000000"/>
          <w:sz w:val="21"/>
        </w:rPr>
        <w:t>金支付购房首付款的同时申请住房公积金个人住房贷款。研究制定住房公积金个人住房贷款</w:t>
      </w:r>
      <w:r w:rsidRPr="00CF50D6">
        <w:rPr>
          <w:rFonts w:ascii="Arial" w:hAnsi="Arial" w:hint="eastAsia"/>
          <w:color w:val="000000"/>
          <w:sz w:val="21"/>
        </w:rPr>
        <w:t>“</w:t>
      </w:r>
      <w:r w:rsidRPr="00CF50D6">
        <w:rPr>
          <w:rFonts w:ascii="Arial" w:hAnsi="Arial"/>
          <w:color w:val="000000"/>
          <w:sz w:val="21"/>
        </w:rPr>
        <w:t>带押过户</w:t>
      </w:r>
      <w:r w:rsidRPr="00CF50D6">
        <w:rPr>
          <w:rFonts w:ascii="Arial" w:hAnsi="Arial" w:hint="eastAsia"/>
          <w:color w:val="000000"/>
          <w:sz w:val="21"/>
        </w:rPr>
        <w:t>”</w:t>
      </w:r>
      <w:r w:rsidRPr="00CF50D6">
        <w:rPr>
          <w:rFonts w:ascii="Arial" w:hAnsi="Arial"/>
          <w:color w:val="000000"/>
          <w:sz w:val="21"/>
        </w:rPr>
        <w:t>政策，并开展相关业务。</w:t>
      </w:r>
    </w:p>
    <w:p w14:paraId="020C3AD0" w14:textId="77777777" w:rsidR="00941FE0" w:rsidRPr="00F46482" w:rsidRDefault="00941FE0" w:rsidP="00941FE0">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8</w:t>
      </w:r>
      <w:r w:rsidRPr="00CF50D6">
        <w:rPr>
          <w:rFonts w:ascii="Arial" w:hAnsi="Arial" w:hint="eastAsia"/>
          <w:color w:val="000000"/>
          <w:sz w:val="21"/>
        </w:rPr>
        <w:t>日，</w:t>
      </w:r>
      <w:r w:rsidRPr="00CF50D6">
        <w:rPr>
          <w:rFonts w:ascii="Arial" w:hAnsi="Arial"/>
          <w:color w:val="000000"/>
          <w:sz w:val="21"/>
        </w:rPr>
        <w:t>北京市住房和城乡建设委员会、</w:t>
      </w:r>
      <w:r w:rsidRPr="00CF50D6">
        <w:rPr>
          <w:rFonts w:ascii="Arial" w:hAnsi="Arial" w:hint="eastAsia"/>
          <w:color w:val="000000"/>
          <w:sz w:val="21"/>
        </w:rPr>
        <w:t>北京住房公积金管理中心</w:t>
      </w:r>
      <w:r w:rsidRPr="00CF50D6">
        <w:rPr>
          <w:rFonts w:ascii="Arial" w:hAnsi="Arial"/>
          <w:color w:val="000000"/>
          <w:sz w:val="21"/>
        </w:rPr>
        <w:t>联合发布</w:t>
      </w:r>
      <w:r w:rsidRPr="00CF50D6">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9</w:t>
      </w:r>
      <w:r w:rsidRPr="00CF50D6">
        <w:rPr>
          <w:rFonts w:ascii="Arial" w:hAnsi="Arial" w:hint="eastAsia"/>
          <w:color w:val="000000"/>
          <w:sz w:val="21"/>
        </w:rPr>
        <w:t>日起正式施行。</w:t>
      </w:r>
    </w:p>
    <w:p w14:paraId="2A38EA72"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77BACC41" w14:textId="77777777" w:rsidR="00941FE0" w:rsidRDefault="00941FE0" w:rsidP="00941FE0">
      <w:pPr>
        <w:overflowPunct w:val="0"/>
        <w:spacing w:line="480" w:lineRule="auto"/>
        <w:ind w:firstLine="420"/>
        <w:jc w:val="both"/>
        <w:textAlignment w:val="auto"/>
        <w:rPr>
          <w:rFonts w:ascii="Arial" w:hAnsi="Arial"/>
          <w:color w:val="000000"/>
          <w:sz w:val="21"/>
        </w:rPr>
      </w:pPr>
      <w:r w:rsidRPr="00CF50D6">
        <w:rPr>
          <w:rFonts w:ascii="Arial" w:hAnsi="Arial"/>
          <w:color w:val="000000"/>
          <w:sz w:val="21"/>
        </w:rPr>
        <w:t>预计未来北京住宅市场将呈现</w:t>
      </w:r>
      <w:r w:rsidRPr="00CF50D6">
        <w:rPr>
          <w:rFonts w:ascii="Arial" w:hAnsi="Arial" w:hint="eastAsia"/>
          <w:color w:val="000000"/>
          <w:sz w:val="21"/>
        </w:rPr>
        <w:t>“</w:t>
      </w:r>
      <w:r w:rsidRPr="00CF50D6">
        <w:rPr>
          <w:rFonts w:ascii="Arial" w:hAnsi="Arial"/>
          <w:color w:val="000000"/>
          <w:sz w:val="21"/>
        </w:rPr>
        <w:t>政策持续优化、市场温和修复、结构分化加剧</w:t>
      </w:r>
      <w:r w:rsidRPr="00CF50D6">
        <w:rPr>
          <w:rFonts w:ascii="Arial" w:hAnsi="Arial" w:hint="eastAsia"/>
          <w:color w:val="000000"/>
          <w:sz w:val="21"/>
        </w:rPr>
        <w:t>”</w:t>
      </w:r>
      <w:r w:rsidRPr="00CF50D6">
        <w:rPr>
          <w:rFonts w:ascii="Arial" w:hAnsi="Arial"/>
          <w:color w:val="000000"/>
          <w:sz w:val="21"/>
        </w:rPr>
        <w:t>的总体趋势。政策层面，北京已实施五环外取消限购、优化公积金贷款等举措，未来限购政策仍有进一步放松空间，公积金支持力度有望继续加大（如推进</w:t>
      </w:r>
      <w:r w:rsidRPr="00CF50D6">
        <w:rPr>
          <w:rFonts w:ascii="Arial" w:hAnsi="Arial"/>
          <w:color w:val="000000"/>
          <w:sz w:val="21"/>
        </w:rPr>
        <w:t>“</w:t>
      </w:r>
      <w:r w:rsidRPr="00CF50D6">
        <w:rPr>
          <w:rFonts w:ascii="Arial" w:hAnsi="Arial"/>
          <w:color w:val="000000"/>
          <w:sz w:val="21"/>
        </w:rPr>
        <w:t>带押过户</w:t>
      </w:r>
      <w:r w:rsidRPr="00CF50D6">
        <w:rPr>
          <w:rFonts w:ascii="Arial" w:hAnsi="Arial"/>
          <w:color w:val="000000"/>
          <w:sz w:val="21"/>
        </w:rPr>
        <w:t>”</w:t>
      </w:r>
      <w:r w:rsidRPr="00CF50D6">
        <w:rPr>
          <w:rFonts w:ascii="Arial" w:hAnsi="Arial"/>
          <w:color w:val="000000"/>
          <w:sz w:val="21"/>
        </w:rPr>
        <w:t>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sidRPr="00CF50D6">
        <w:rPr>
          <w:rFonts w:ascii="Arial" w:hAnsi="Arial" w:hint="eastAsia"/>
          <w:color w:val="000000"/>
          <w:sz w:val="21"/>
        </w:rPr>
        <w:t>“</w:t>
      </w:r>
      <w:r w:rsidRPr="00CF50D6">
        <w:rPr>
          <w:rFonts w:ascii="Arial" w:hAnsi="Arial"/>
          <w:color w:val="000000"/>
          <w:sz w:val="21"/>
        </w:rPr>
        <w:t>好房子</w:t>
      </w:r>
      <w:r w:rsidRPr="00CF50D6">
        <w:rPr>
          <w:rFonts w:ascii="Arial" w:hAnsi="Arial" w:hint="eastAsia"/>
          <w:color w:val="000000"/>
          <w:sz w:val="21"/>
        </w:rPr>
        <w:t>”</w:t>
      </w:r>
      <w:r w:rsidRPr="00CF50D6">
        <w:rPr>
          <w:rFonts w:ascii="Arial" w:hAnsi="Arial"/>
          <w:color w:val="000000"/>
          <w:sz w:val="21"/>
        </w:rPr>
        <w:t>倾斜，中高面积段、中高总价产品占比提升，推动产品结构持续优化。整体来看，北京住宅市场正逐步进入</w:t>
      </w:r>
      <w:r w:rsidRPr="00CF50D6">
        <w:rPr>
          <w:rFonts w:ascii="Arial" w:hAnsi="Arial" w:hint="eastAsia"/>
          <w:color w:val="000000"/>
          <w:sz w:val="21"/>
        </w:rPr>
        <w:t>“</w:t>
      </w:r>
      <w:r w:rsidRPr="00CF50D6">
        <w:rPr>
          <w:rFonts w:ascii="Arial" w:hAnsi="Arial"/>
          <w:color w:val="000000"/>
          <w:sz w:val="21"/>
        </w:rPr>
        <w:t>量稳价稳、质升区异</w:t>
      </w:r>
      <w:r w:rsidRPr="00CF50D6">
        <w:rPr>
          <w:rFonts w:ascii="Arial" w:hAnsi="Arial" w:hint="eastAsia"/>
          <w:color w:val="000000"/>
          <w:sz w:val="21"/>
        </w:rPr>
        <w:t>”</w:t>
      </w:r>
      <w:r w:rsidRPr="00CF50D6">
        <w:rPr>
          <w:rFonts w:ascii="Arial" w:hAnsi="Arial"/>
          <w:color w:val="000000"/>
          <w:sz w:val="21"/>
        </w:rPr>
        <w:t>的新阶段</w:t>
      </w:r>
      <w:r w:rsidRPr="00EC06B5">
        <w:rPr>
          <w:rFonts w:ascii="Arial" w:hAnsi="Arial" w:hint="eastAsia"/>
          <w:color w:val="000000"/>
          <w:sz w:val="21"/>
        </w:rPr>
        <w:t>。</w:t>
      </w:r>
    </w:p>
    <w:p w14:paraId="35B3173D" w14:textId="543AC62F" w:rsidR="00AF6F34" w:rsidRDefault="00AF6F34" w:rsidP="00941FE0">
      <w:pPr>
        <w:spacing w:line="360" w:lineRule="auto"/>
      </w:pPr>
      <w:r>
        <w:rPr>
          <w:rFonts w:ascii="Arial" w:hAnsi="Arial" w:cs="Arial"/>
          <w:b/>
          <w:color w:val="000000"/>
          <w:kern w:val="2"/>
          <w:sz w:val="21"/>
          <w:szCs w:val="21"/>
        </w:rPr>
        <w:t>（二）估价对象所在区域相应用途房地产市场状况</w:t>
      </w:r>
    </w:p>
    <w:p w14:paraId="328F3FC0" w14:textId="77777777" w:rsidR="00AF6F34" w:rsidRDefault="00AF6F34">
      <w:pPr>
        <w:widowControl/>
        <w:overflowPunct w:val="0"/>
        <w:spacing w:line="480" w:lineRule="auto"/>
        <w:ind w:firstLine="420"/>
        <w:jc w:val="both"/>
        <w:textAlignment w:val="auto"/>
        <w:rPr>
          <w:rFonts w:ascii="Arial" w:hAnsi="Arial" w:cs="Arial"/>
          <w:bCs/>
          <w:sz w:val="21"/>
        </w:rPr>
      </w:pPr>
      <w:r>
        <w:rPr>
          <w:rFonts w:ascii="Arial" w:hAnsi="Arial" w:cs="Arial" w:hint="eastAsia"/>
          <w:sz w:val="21"/>
          <w:szCs w:val="28"/>
        </w:rPr>
        <w:t>1.</w:t>
      </w:r>
      <w:r>
        <w:rPr>
          <w:rFonts w:ascii="Arial" w:hAnsi="Arial" w:cs="Arial" w:hint="eastAsia"/>
          <w:sz w:val="21"/>
          <w:szCs w:val="28"/>
        </w:rPr>
        <w:t>区域</w:t>
      </w:r>
      <w:r w:rsidRPr="00941FE0">
        <w:rPr>
          <w:rFonts w:ascii="Arial" w:hAnsi="Arial" w:cs="Arial" w:hint="eastAsia"/>
          <w:bCs/>
          <w:sz w:val="21"/>
        </w:rPr>
        <w:t>概况</w:t>
      </w:r>
    </w:p>
    <w:p w14:paraId="3C8D7241" w14:textId="77777777" w:rsidR="00AF6F34" w:rsidRPr="00990456" w:rsidRDefault="00AF6F34">
      <w:pPr>
        <w:widowControl/>
        <w:overflowPunct w:val="0"/>
        <w:spacing w:line="480" w:lineRule="auto"/>
        <w:ind w:firstLine="420"/>
        <w:jc w:val="both"/>
        <w:textAlignment w:val="auto"/>
      </w:pPr>
      <w:r>
        <w:rPr>
          <w:rFonts w:ascii="Arial" w:hAnsi="Arial" w:cs="Arial"/>
          <w:bCs/>
          <w:sz w:val="21"/>
        </w:rPr>
        <w:lastRenderedPageBreak/>
        <w:t>估价对象位于北京市大兴区，隶</w:t>
      </w:r>
      <w:r w:rsidRPr="00990456">
        <w:rPr>
          <w:rFonts w:ascii="Arial" w:hAnsi="Arial" w:cs="Arial"/>
          <w:bCs/>
          <w:sz w:val="21"/>
        </w:rPr>
        <w:t>属</w:t>
      </w:r>
      <w:hyperlink r:id="rId62" w:anchor="_blank" w:history="1">
        <w:r w:rsidRPr="00990456">
          <w:rPr>
            <w:rStyle w:val="ac"/>
            <w:rFonts w:ascii="Arial" w:hAnsi="Arial" w:cs="Arial"/>
            <w:bCs/>
            <w:color w:val="auto"/>
            <w:sz w:val="21"/>
            <w:u w:val="none"/>
          </w:rPr>
          <w:t>北京市</w:t>
        </w:r>
      </w:hyperlink>
      <w:r w:rsidRPr="00990456">
        <w:rPr>
          <w:rFonts w:ascii="Arial" w:hAnsi="Arial" w:cs="Arial"/>
          <w:bCs/>
          <w:sz w:val="21"/>
        </w:rPr>
        <w:t>，位于北京市南郊，介于北纬</w:t>
      </w:r>
      <w:r w:rsidRPr="00990456">
        <w:rPr>
          <w:rFonts w:ascii="Arial" w:hAnsi="Arial" w:cs="Arial"/>
          <w:bCs/>
          <w:sz w:val="21"/>
        </w:rPr>
        <w:t xml:space="preserve">39°26'—39°50' </w:t>
      </w:r>
      <w:r w:rsidRPr="00990456">
        <w:rPr>
          <w:rFonts w:ascii="Arial" w:hAnsi="Arial" w:cs="Arial"/>
          <w:bCs/>
          <w:sz w:val="21"/>
        </w:rPr>
        <w:t>，东经</w:t>
      </w:r>
      <w:r w:rsidRPr="00990456">
        <w:rPr>
          <w:rFonts w:ascii="Arial" w:hAnsi="Arial" w:cs="Arial"/>
          <w:bCs/>
          <w:sz w:val="21"/>
        </w:rPr>
        <w:t>116°13'—116°43'</w:t>
      </w:r>
      <w:r w:rsidRPr="00990456">
        <w:rPr>
          <w:rFonts w:ascii="Arial" w:hAnsi="Arial" w:cs="Arial"/>
          <w:bCs/>
          <w:sz w:val="21"/>
        </w:rPr>
        <w:t>之间，地处</w:t>
      </w:r>
      <w:hyperlink r:id="rId63" w:anchor="_blank" w:history="1">
        <w:r w:rsidRPr="00990456">
          <w:rPr>
            <w:rStyle w:val="ac"/>
            <w:rFonts w:ascii="Arial" w:hAnsi="Arial" w:cs="Arial"/>
            <w:bCs/>
            <w:color w:val="auto"/>
            <w:sz w:val="21"/>
            <w:u w:val="none"/>
          </w:rPr>
          <w:t>华北平原</w:t>
        </w:r>
      </w:hyperlink>
      <w:r w:rsidRPr="00990456">
        <w:rPr>
          <w:rFonts w:ascii="Arial" w:hAnsi="Arial" w:cs="Arial"/>
          <w:bCs/>
          <w:sz w:val="21"/>
        </w:rPr>
        <w:t>东北部，总面积</w:t>
      </w:r>
      <w:r w:rsidRPr="00990456">
        <w:rPr>
          <w:rFonts w:ascii="Arial" w:hAnsi="Arial" w:cs="Arial"/>
          <w:bCs/>
          <w:sz w:val="21"/>
        </w:rPr>
        <w:t>1036.33</w:t>
      </w:r>
      <w:r w:rsidRPr="00990456">
        <w:rPr>
          <w:rFonts w:ascii="Arial" w:hAnsi="Arial" w:cs="Arial"/>
          <w:bCs/>
          <w:sz w:val="21"/>
        </w:rPr>
        <w:t>平方千米。大兴区气候属暖温带半湿润大陆性季风气候，春、夏、秋、冬四季分明。</w:t>
      </w:r>
      <w:r w:rsidRPr="00990456">
        <w:rPr>
          <w:rFonts w:ascii="Arial" w:hAnsi="Arial" w:cs="Arial"/>
          <w:bCs/>
          <w:sz w:val="21"/>
        </w:rPr>
        <w:t> </w:t>
      </w:r>
      <w:r w:rsidRPr="00990456">
        <w:rPr>
          <w:rFonts w:ascii="Arial" w:hAnsi="Arial" w:cs="Arial"/>
          <w:bCs/>
          <w:sz w:val="21"/>
        </w:rPr>
        <w:t>截至</w:t>
      </w:r>
      <w:r w:rsidRPr="00990456">
        <w:rPr>
          <w:rFonts w:ascii="Arial" w:hAnsi="Arial" w:cs="Arial"/>
          <w:bCs/>
          <w:sz w:val="21"/>
        </w:rPr>
        <w:t>2021</w:t>
      </w:r>
      <w:r w:rsidRPr="00990456">
        <w:rPr>
          <w:rFonts w:ascii="Arial" w:hAnsi="Arial" w:cs="Arial"/>
          <w:bCs/>
          <w:sz w:val="21"/>
        </w:rPr>
        <w:t>年</w:t>
      </w:r>
      <w:r w:rsidRPr="00990456">
        <w:rPr>
          <w:rFonts w:ascii="Arial" w:hAnsi="Arial" w:cs="Arial"/>
          <w:bCs/>
          <w:sz w:val="21"/>
        </w:rPr>
        <w:t>10</w:t>
      </w:r>
      <w:r w:rsidRPr="00990456">
        <w:rPr>
          <w:rFonts w:ascii="Arial" w:hAnsi="Arial" w:cs="Arial"/>
          <w:bCs/>
          <w:sz w:val="21"/>
        </w:rPr>
        <w:t>月，大兴区辖</w:t>
      </w:r>
      <w:r w:rsidRPr="00990456">
        <w:rPr>
          <w:rFonts w:ascii="Arial" w:hAnsi="Arial" w:cs="Arial"/>
          <w:bCs/>
          <w:sz w:val="21"/>
        </w:rPr>
        <w:t>8</w:t>
      </w:r>
      <w:r w:rsidRPr="00990456">
        <w:rPr>
          <w:rFonts w:ascii="Arial" w:hAnsi="Arial" w:cs="Arial"/>
          <w:bCs/>
          <w:sz w:val="21"/>
        </w:rPr>
        <w:t>个街道、</w:t>
      </w:r>
      <w:r w:rsidRPr="00990456">
        <w:rPr>
          <w:rFonts w:ascii="Arial" w:hAnsi="Arial" w:cs="Arial"/>
          <w:bCs/>
          <w:sz w:val="21"/>
        </w:rPr>
        <w:t>5</w:t>
      </w:r>
      <w:r w:rsidRPr="00990456">
        <w:rPr>
          <w:rFonts w:ascii="Arial" w:hAnsi="Arial" w:cs="Arial"/>
          <w:bCs/>
          <w:sz w:val="21"/>
        </w:rPr>
        <w:t>个地区、</w:t>
      </w:r>
      <w:r w:rsidRPr="00990456">
        <w:rPr>
          <w:rFonts w:ascii="Arial" w:hAnsi="Arial" w:cs="Arial"/>
          <w:bCs/>
          <w:sz w:val="21"/>
        </w:rPr>
        <w:t>9</w:t>
      </w:r>
      <w:r w:rsidRPr="00990456">
        <w:rPr>
          <w:rFonts w:ascii="Arial" w:hAnsi="Arial" w:cs="Arial"/>
          <w:bCs/>
          <w:sz w:val="21"/>
        </w:rPr>
        <w:t>个镇，另辖</w:t>
      </w:r>
      <w:r w:rsidRPr="00990456">
        <w:rPr>
          <w:rFonts w:ascii="Arial" w:hAnsi="Arial" w:cs="Arial"/>
          <w:bCs/>
          <w:sz w:val="21"/>
        </w:rPr>
        <w:t>3</w:t>
      </w:r>
      <w:r w:rsidRPr="00990456">
        <w:rPr>
          <w:rFonts w:ascii="Arial" w:hAnsi="Arial" w:cs="Arial"/>
          <w:bCs/>
          <w:sz w:val="21"/>
        </w:rPr>
        <w:t>个乡级单位，</w:t>
      </w:r>
      <w:r w:rsidRPr="00990456">
        <w:rPr>
          <w:rFonts w:ascii="Arial" w:hAnsi="Arial" w:cs="Arial"/>
          <w:bCs/>
          <w:sz w:val="21"/>
        </w:rPr>
        <w:t> </w:t>
      </w:r>
      <w:r w:rsidRPr="00990456">
        <w:rPr>
          <w:rFonts w:ascii="Arial" w:hAnsi="Arial" w:cs="Arial"/>
          <w:bCs/>
          <w:sz w:val="21"/>
        </w:rPr>
        <w:t>区政府驻</w:t>
      </w:r>
      <w:hyperlink r:id="rId64" w:anchor="_blank" w:history="1">
        <w:r w:rsidRPr="00990456">
          <w:rPr>
            <w:rStyle w:val="ac"/>
            <w:rFonts w:ascii="Arial" w:hAnsi="Arial" w:cs="Arial"/>
            <w:bCs/>
            <w:color w:val="auto"/>
            <w:sz w:val="21"/>
            <w:u w:val="none"/>
          </w:rPr>
          <w:t>兴丰街道</w:t>
        </w:r>
      </w:hyperlink>
      <w:r w:rsidRPr="00990456">
        <w:rPr>
          <w:rFonts w:ascii="Arial" w:hAnsi="Arial" w:cs="Arial" w:hint="eastAsia"/>
          <w:bCs/>
          <w:sz w:val="21"/>
        </w:rPr>
        <w:t>。</w:t>
      </w:r>
      <w:r w:rsidR="00990456" w:rsidRPr="00990456">
        <w:rPr>
          <w:rFonts w:ascii="Arial" w:hAnsi="Arial" w:cs="Arial" w:hint="eastAsia"/>
          <w:bCs/>
          <w:sz w:val="21"/>
        </w:rPr>
        <w:t>经济技术开发区是中国最早在沿海开放城市设立的以发展知识密集型和技术密集型工业为主的特定区域，后来在全国范围内设立，实行经济特区的某些较为特殊的优惠政策和措施。从发展模式看，增加区域经济总量是其直接目标，以外来投资拉动为主，产业以制造加工业为主。</w:t>
      </w:r>
    </w:p>
    <w:p w14:paraId="196508B9" w14:textId="77777777" w:rsidR="00AF6F34" w:rsidRDefault="00AF6F34">
      <w:pPr>
        <w:spacing w:line="480" w:lineRule="auto"/>
        <w:ind w:firstLine="420"/>
        <w:jc w:val="both"/>
      </w:pPr>
      <w:r>
        <w:rPr>
          <w:rFonts w:ascii="Arial" w:hAnsi="Arial" w:cs="Arial" w:hint="eastAsia"/>
          <w:sz w:val="21"/>
          <w:szCs w:val="28"/>
        </w:rPr>
        <w:t>2.</w:t>
      </w:r>
      <w:r>
        <w:rPr>
          <w:rFonts w:ascii="Arial" w:hAnsi="Arial" w:cs="Arial" w:hint="eastAsia"/>
          <w:sz w:val="21"/>
          <w:szCs w:val="28"/>
        </w:rPr>
        <w:t>区域住宅用房房地产市场状况</w:t>
      </w:r>
    </w:p>
    <w:p w14:paraId="540C6444" w14:textId="77777777" w:rsidR="00AF6F34" w:rsidRDefault="00AF6F34">
      <w:pPr>
        <w:widowControl/>
        <w:overflowPunct w:val="0"/>
        <w:spacing w:line="480" w:lineRule="auto"/>
        <w:ind w:firstLine="420"/>
        <w:jc w:val="both"/>
        <w:textAlignment w:val="auto"/>
      </w:pPr>
      <w:r>
        <w:rPr>
          <w:rFonts w:ascii="Arial" w:hAnsi="Arial" w:cs="Arial" w:hint="eastAsia"/>
          <w:sz w:val="21"/>
          <w:szCs w:val="28"/>
        </w:rPr>
        <w:t>估价对象位于</w:t>
      </w:r>
      <w:r>
        <w:rPr>
          <w:rFonts w:ascii="Arial" w:hAnsi="Arial" w:cs="Arial" w:hint="eastAsia"/>
          <w:bCs/>
          <w:sz w:val="21"/>
        </w:rPr>
        <w:t>北京经济技术开发区南海家园一、二、三、四、五、六、七里</w:t>
      </w:r>
      <w:r>
        <w:rPr>
          <w:rFonts w:ascii="Arial" w:hAnsi="Arial" w:cs="Arial" w:hint="eastAsia"/>
          <w:sz w:val="21"/>
          <w:szCs w:val="28"/>
        </w:rPr>
        <w:t>，</w:t>
      </w:r>
      <w:r>
        <w:rPr>
          <w:rFonts w:ascii="Arial" w:hAnsi="Arial" w:cs="Arial" w:hint="eastAsia"/>
          <w:kern w:val="2"/>
          <w:sz w:val="21"/>
          <w:szCs w:val="21"/>
        </w:rPr>
        <w:t>估价对象</w:t>
      </w:r>
      <w:r w:rsidR="00830400">
        <w:rPr>
          <w:rFonts w:ascii="Arial" w:hAnsi="Arial" w:cs="Arial" w:hint="eastAsia"/>
          <w:kern w:val="2"/>
          <w:sz w:val="21"/>
          <w:szCs w:val="21"/>
        </w:rPr>
        <w:t>周边有鹿海园、泰河园、和悦华锦、兴海园、观海苑、中芯花园、悦廷、博客雅苑</w:t>
      </w:r>
      <w:r>
        <w:rPr>
          <w:rFonts w:ascii="Arial" w:hAnsi="Arial" w:cs="Arial" w:hint="eastAsia"/>
          <w:kern w:val="2"/>
          <w:sz w:val="21"/>
          <w:szCs w:val="21"/>
        </w:rPr>
        <w:t>等居住小区，居住小区规模较大，入住率较高，综合评价居住区成熟度较好</w:t>
      </w:r>
      <w:r>
        <w:rPr>
          <w:rFonts w:ascii="Arial" w:hAnsi="Arial" w:cs="Arial" w:hint="eastAsia"/>
          <w:sz w:val="21"/>
          <w:szCs w:val="28"/>
        </w:rPr>
        <w:t>。据调查，估价对象周边普通商品住宅租金约为</w:t>
      </w:r>
      <w:r>
        <w:rPr>
          <w:rFonts w:ascii="Arial" w:hAnsi="Arial" w:cs="Arial"/>
          <w:sz w:val="21"/>
          <w:szCs w:val="28"/>
        </w:rPr>
        <w:t>45-60</w:t>
      </w:r>
      <w:r>
        <w:rPr>
          <w:rFonts w:ascii="Arial" w:hAnsi="Arial" w:cs="Arial" w:hint="eastAsia"/>
          <w:sz w:val="21"/>
          <w:szCs w:val="28"/>
        </w:rPr>
        <w:t>元</w:t>
      </w:r>
      <w:r>
        <w:rPr>
          <w:rFonts w:ascii="Arial" w:hAnsi="Arial" w:cs="Arial" w:hint="eastAsia"/>
          <w:sz w:val="21"/>
          <w:szCs w:val="28"/>
        </w:rPr>
        <w:t>/</w:t>
      </w:r>
      <w:r>
        <w:rPr>
          <w:rFonts w:ascii="Arial" w:hAnsi="Arial" w:cs="Arial" w:hint="eastAsia"/>
          <w:sz w:val="21"/>
          <w:szCs w:val="28"/>
        </w:rPr>
        <w:t>建筑面积平方米·</w:t>
      </w:r>
      <w:r w:rsidR="00990456">
        <w:rPr>
          <w:rFonts w:ascii="Arial" w:hAnsi="Arial" w:cs="Arial" w:hint="eastAsia"/>
          <w:sz w:val="21"/>
          <w:szCs w:val="28"/>
        </w:rPr>
        <w:t>月</w:t>
      </w:r>
      <w:r>
        <w:rPr>
          <w:rFonts w:ascii="Arial" w:hAnsi="Arial" w:cs="Arial" w:hint="eastAsia"/>
          <w:sz w:val="21"/>
          <w:szCs w:val="28"/>
        </w:rPr>
        <w:t>。</w:t>
      </w:r>
    </w:p>
    <w:p w14:paraId="7A6F7458" w14:textId="77777777" w:rsidR="00AF6F34" w:rsidRDefault="00AF6F34">
      <w:pPr>
        <w:widowControl/>
        <w:overflowPunct w:val="0"/>
        <w:spacing w:line="480" w:lineRule="auto"/>
        <w:ind w:firstLine="420"/>
        <w:jc w:val="both"/>
        <w:textAlignment w:val="auto"/>
        <w:rPr>
          <w:rFonts w:ascii="Arial" w:hAnsi="Arial" w:cs="Arial"/>
          <w:sz w:val="21"/>
          <w:szCs w:val="28"/>
        </w:rPr>
      </w:pPr>
    </w:p>
    <w:p w14:paraId="20CF4689" w14:textId="77777777" w:rsidR="00AF6F34" w:rsidRDefault="00AF6F34">
      <w:pPr>
        <w:pStyle w:val="2"/>
        <w:numPr>
          <w:ilvl w:val="0"/>
          <w:numId w:val="0"/>
        </w:numPr>
        <w:spacing w:line="480" w:lineRule="auto"/>
        <w:ind w:left="358" w:hanging="358"/>
        <w:jc w:val="both"/>
      </w:pPr>
      <w:bookmarkStart w:id="35" w:name="_Toc161661024"/>
      <w:r>
        <w:rPr>
          <w:rFonts w:eastAsia="宋体"/>
          <w:kern w:val="2"/>
          <w:sz w:val="21"/>
          <w:szCs w:val="21"/>
        </w:rPr>
        <w:t>三、最高最佳利用分析</w:t>
      </w:r>
      <w:bookmarkEnd w:id="35"/>
    </w:p>
    <w:p w14:paraId="4AD1C545" w14:textId="77777777" w:rsidR="00AF6F34" w:rsidRDefault="00AF6F34">
      <w:pPr>
        <w:pStyle w:val="LO-Normal"/>
        <w:autoSpaceDE w:val="0"/>
        <w:spacing w:line="480" w:lineRule="auto"/>
        <w:ind w:right="140" w:firstLine="420"/>
        <w:jc w:val="both"/>
        <w:textAlignment w:val="bottom"/>
      </w:pPr>
      <w:r>
        <w:rPr>
          <w:rFonts w:ascii="Arial" w:hAnsi="Arial" w:cs="Arial"/>
          <w:sz w:val="21"/>
          <w:szCs w:val="21"/>
        </w:rPr>
        <w:t>所谓最高最佳使用是指房地产估价要以房地产的最高最佳使用为前提。最高最佳使用是估价对象的一种最可能的使用</w:t>
      </w:r>
      <w:r>
        <w:rPr>
          <w:rFonts w:ascii="Arial" w:hAnsi="Arial" w:cs="Arial" w:hint="eastAsia"/>
          <w:sz w:val="21"/>
          <w:szCs w:val="21"/>
        </w:rPr>
        <w:t>,</w:t>
      </w:r>
      <w:r>
        <w:rPr>
          <w:rFonts w:ascii="Arial" w:hAnsi="Arial" w:cs="Arial"/>
          <w:sz w:val="21"/>
          <w:szCs w:val="21"/>
        </w:rPr>
        <w:t>这种最可能的使用是法律上允许、技术上可能、经济上可行，经过充分合理的论证，并能给估价对象带来最高价值的使用。它主要体现在以下几个方面</w:t>
      </w:r>
      <w:r>
        <w:rPr>
          <w:rFonts w:ascii="Arial" w:hAnsi="Arial" w:cs="Arial" w:hint="eastAsia"/>
          <w:sz w:val="21"/>
          <w:szCs w:val="21"/>
        </w:rPr>
        <w:t>:</w:t>
      </w:r>
    </w:p>
    <w:p w14:paraId="6C89B730" w14:textId="77777777" w:rsidR="00AF6F34" w:rsidRDefault="00AF6F34">
      <w:pPr>
        <w:pStyle w:val="LO-Normal"/>
        <w:autoSpaceDE w:val="0"/>
        <w:spacing w:line="480" w:lineRule="auto"/>
        <w:ind w:right="140"/>
        <w:jc w:val="both"/>
        <w:textAlignment w:val="bottom"/>
      </w:pPr>
      <w:r>
        <w:rPr>
          <w:rFonts w:ascii="Arial" w:hAnsi="Arial" w:cs="Arial"/>
          <w:b/>
          <w:sz w:val="21"/>
          <w:szCs w:val="21"/>
        </w:rPr>
        <w:t>（一）法律上允许</w:t>
      </w:r>
      <w:r>
        <w:rPr>
          <w:rFonts w:ascii="Arial" w:hAnsi="Arial" w:cs="Arial" w:hint="eastAsia"/>
          <w:b/>
          <w:sz w:val="21"/>
          <w:szCs w:val="21"/>
        </w:rPr>
        <w:t>（</w:t>
      </w:r>
      <w:r>
        <w:rPr>
          <w:rFonts w:ascii="Arial" w:hAnsi="Arial" w:cs="Arial"/>
          <w:b/>
          <w:sz w:val="21"/>
          <w:szCs w:val="21"/>
        </w:rPr>
        <w:t>规划及相关政策法规许可</w:t>
      </w:r>
      <w:r>
        <w:rPr>
          <w:rFonts w:ascii="Arial" w:hAnsi="Arial" w:cs="Arial" w:hint="eastAsia"/>
          <w:b/>
          <w:sz w:val="21"/>
          <w:szCs w:val="21"/>
        </w:rPr>
        <w:t>）</w:t>
      </w:r>
    </w:p>
    <w:p w14:paraId="7A45A572" w14:textId="77777777" w:rsidR="00AF6F34" w:rsidRDefault="00AF6F34">
      <w:pPr>
        <w:pStyle w:val="LO-Normal"/>
        <w:autoSpaceDE w:val="0"/>
        <w:spacing w:line="480" w:lineRule="auto"/>
        <w:ind w:right="140" w:firstLine="420"/>
        <w:jc w:val="both"/>
        <w:textAlignment w:val="bottom"/>
      </w:pPr>
      <w:r>
        <w:rPr>
          <w:rFonts w:ascii="Arial" w:hAnsi="Arial" w:cs="Arial"/>
          <w:sz w:val="21"/>
          <w:szCs w:val="21"/>
        </w:rPr>
        <w:t>法律上允许即不受现时使用状况的限制，而依照法律规章、规划发展方向，按照其可能的最优用途进行估价。</w:t>
      </w:r>
    </w:p>
    <w:p w14:paraId="5CE8EDBD" w14:textId="77777777" w:rsidR="00AF6F34" w:rsidRDefault="00AF6F34">
      <w:pPr>
        <w:pStyle w:val="LO-Normal"/>
        <w:autoSpaceDE w:val="0"/>
        <w:spacing w:line="480" w:lineRule="auto"/>
        <w:ind w:right="140" w:firstLine="420"/>
        <w:jc w:val="both"/>
        <w:textAlignment w:val="bottom"/>
      </w:pPr>
      <w:r>
        <w:rPr>
          <w:rFonts w:ascii="Arial" w:hAnsi="Arial" w:cs="Arial" w:hint="eastAsia"/>
          <w:sz w:val="21"/>
          <w:szCs w:val="21"/>
        </w:rPr>
        <w:t>估价对象土地规划用途为住宅，房屋规划用途为住宅，实际拟用作租赁住房，法律上允许。</w:t>
      </w:r>
    </w:p>
    <w:p w14:paraId="6EF55814" w14:textId="77777777" w:rsidR="00AF6F34" w:rsidRDefault="00AF6F34">
      <w:pPr>
        <w:pStyle w:val="LO-Normal"/>
        <w:autoSpaceDE w:val="0"/>
        <w:spacing w:line="480" w:lineRule="auto"/>
        <w:ind w:right="142"/>
        <w:jc w:val="both"/>
        <w:textAlignment w:val="bottom"/>
      </w:pPr>
      <w:r>
        <w:rPr>
          <w:rFonts w:ascii="Arial" w:hAnsi="Arial" w:cs="Arial"/>
          <w:b/>
          <w:sz w:val="21"/>
          <w:szCs w:val="21"/>
        </w:rPr>
        <w:t>（二）技术上可能</w:t>
      </w:r>
    </w:p>
    <w:p w14:paraId="5540F119" w14:textId="77777777" w:rsidR="00AF6F34" w:rsidRDefault="00AF6F34">
      <w:pPr>
        <w:pStyle w:val="LO-Normal"/>
        <w:autoSpaceDE w:val="0"/>
        <w:spacing w:line="480" w:lineRule="auto"/>
        <w:ind w:right="142" w:firstLine="420"/>
        <w:jc w:val="both"/>
        <w:textAlignment w:val="bottom"/>
      </w:pPr>
      <w:r>
        <w:rPr>
          <w:rFonts w:ascii="Arial" w:hAnsi="Arial" w:cs="Arial" w:hint="eastAsia"/>
          <w:sz w:val="21"/>
          <w:szCs w:val="21"/>
        </w:rPr>
        <w:t>技术上可能</w:t>
      </w:r>
      <w:r>
        <w:rPr>
          <w:rFonts w:ascii="Arial" w:hAnsi="Arial" w:cs="Arial"/>
          <w:sz w:val="21"/>
          <w:szCs w:val="21"/>
        </w:rPr>
        <w:t>即不能把技术上无法做到的使用当作最高最佳使用，要按照房屋建筑工程方面的技术要求进行估价。</w:t>
      </w:r>
    </w:p>
    <w:p w14:paraId="376E3369" w14:textId="77777777" w:rsidR="00AF6F34" w:rsidRDefault="00AF6F34">
      <w:pPr>
        <w:pStyle w:val="LO-Normal"/>
        <w:autoSpaceDE w:val="0"/>
        <w:spacing w:line="480" w:lineRule="auto"/>
        <w:ind w:right="142" w:firstLine="420"/>
        <w:jc w:val="both"/>
        <w:textAlignment w:val="bottom"/>
      </w:pPr>
      <w:r>
        <w:rPr>
          <w:rFonts w:ascii="Arial" w:hAnsi="Arial" w:cs="Arial" w:hint="eastAsia"/>
          <w:sz w:val="21"/>
          <w:szCs w:val="21"/>
        </w:rPr>
        <w:t>估价对象为</w:t>
      </w:r>
      <w:r>
        <w:rPr>
          <w:rFonts w:ascii="Arial" w:hAnsi="Arial" w:cs="Arial" w:hint="eastAsia"/>
          <w:kern w:val="2"/>
          <w:sz w:val="21"/>
          <w:szCs w:val="21"/>
        </w:rPr>
        <w:t>钢混</w:t>
      </w:r>
      <w:r>
        <w:rPr>
          <w:rFonts w:ascii="Arial" w:hAnsi="Arial" w:cs="Arial" w:hint="eastAsia"/>
          <w:sz w:val="21"/>
          <w:szCs w:val="21"/>
        </w:rPr>
        <w:t>结构的高层建筑物。</w:t>
      </w:r>
      <w:r>
        <w:rPr>
          <w:rFonts w:ascii="Arial" w:hAnsi="Arial" w:cs="Arial"/>
          <w:sz w:val="21"/>
          <w:szCs w:val="21"/>
        </w:rPr>
        <w:t>估价对象建筑结构、功能、造型、立面效果、建筑材料和</w:t>
      </w:r>
      <w:r>
        <w:rPr>
          <w:rFonts w:ascii="Arial" w:hAnsi="Arial" w:cs="Arial"/>
          <w:sz w:val="21"/>
          <w:szCs w:val="21"/>
        </w:rPr>
        <w:lastRenderedPageBreak/>
        <w:t>设备选用、施工技术等方面，</w:t>
      </w:r>
      <w:r>
        <w:rPr>
          <w:rFonts w:ascii="Arial" w:hAnsi="Arial" w:cs="Arial" w:hint="eastAsia"/>
          <w:sz w:val="21"/>
          <w:szCs w:val="21"/>
        </w:rPr>
        <w:t>在目前的施工</w:t>
      </w:r>
      <w:r>
        <w:rPr>
          <w:rFonts w:ascii="Arial" w:hAnsi="Arial" w:cs="Arial"/>
          <w:sz w:val="21"/>
          <w:szCs w:val="21"/>
        </w:rPr>
        <w:t>技术上均能满足要求。</w:t>
      </w:r>
    </w:p>
    <w:p w14:paraId="19B70921" w14:textId="77777777" w:rsidR="00AF6F34" w:rsidRDefault="00AF6F34">
      <w:pPr>
        <w:pStyle w:val="LO-Normal"/>
        <w:autoSpaceDE w:val="0"/>
        <w:spacing w:line="480" w:lineRule="auto"/>
        <w:ind w:right="142"/>
        <w:jc w:val="both"/>
        <w:textAlignment w:val="bottom"/>
      </w:pPr>
      <w:r>
        <w:rPr>
          <w:rFonts w:ascii="Arial" w:hAnsi="Arial" w:cs="Arial"/>
          <w:b/>
          <w:sz w:val="21"/>
          <w:szCs w:val="21"/>
        </w:rPr>
        <w:t>（三）经济上可行</w:t>
      </w:r>
    </w:p>
    <w:p w14:paraId="1DE6037E" w14:textId="77777777" w:rsidR="00AF6F34" w:rsidRDefault="00AF6F34">
      <w:pPr>
        <w:pStyle w:val="LO-Normal"/>
        <w:autoSpaceDE w:val="0"/>
        <w:spacing w:line="480" w:lineRule="auto"/>
        <w:ind w:right="142" w:firstLine="420"/>
        <w:jc w:val="both"/>
        <w:textAlignment w:val="bottom"/>
      </w:pPr>
      <w:r>
        <w:rPr>
          <w:rFonts w:ascii="Arial" w:hAnsi="Arial" w:cs="Arial" w:hint="eastAsia"/>
          <w:sz w:val="21"/>
          <w:szCs w:val="21"/>
        </w:rPr>
        <w:t>经济上可行</w:t>
      </w:r>
      <w:r>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1C20BDB6" w14:textId="77777777" w:rsidR="00AF6F34" w:rsidRDefault="00AF6F34">
      <w:pPr>
        <w:pStyle w:val="LO-Normal"/>
        <w:autoSpaceDE w:val="0"/>
        <w:spacing w:line="480" w:lineRule="auto"/>
        <w:ind w:right="140"/>
        <w:jc w:val="both"/>
        <w:textAlignment w:val="bottom"/>
      </w:pPr>
      <w:r>
        <w:rPr>
          <w:rFonts w:ascii="Arial" w:hAnsi="Arial" w:cs="Arial"/>
          <w:b/>
          <w:sz w:val="21"/>
          <w:szCs w:val="21"/>
        </w:rPr>
        <w:t>（四）价值最大化</w:t>
      </w:r>
    </w:p>
    <w:p w14:paraId="2F1AA6CA" w14:textId="77777777" w:rsidR="00AF6F34" w:rsidRDefault="00AF6F34">
      <w:pPr>
        <w:pStyle w:val="LO-Normal"/>
        <w:autoSpaceDE w:val="0"/>
        <w:spacing w:line="480" w:lineRule="auto"/>
        <w:ind w:right="140" w:firstLine="420"/>
        <w:jc w:val="both"/>
        <w:textAlignment w:val="bottom"/>
      </w:pPr>
      <w:r>
        <w:rPr>
          <w:rFonts w:ascii="Arial" w:hAnsi="Arial" w:cs="Arial" w:hint="eastAsia"/>
          <w:sz w:val="21"/>
          <w:szCs w:val="21"/>
        </w:rPr>
        <w:t>价值最大化</w:t>
      </w:r>
      <w:r>
        <w:rPr>
          <w:rFonts w:ascii="Arial" w:hAnsi="Arial" w:cs="Arial"/>
          <w:sz w:val="21"/>
          <w:szCs w:val="21"/>
        </w:rPr>
        <w:t>即在所有具有经济可行性的使用方式中，能使估价对象价值达到最大的使用方式，才是最高最佳的使用方式。估价对象</w:t>
      </w:r>
      <w:r>
        <w:rPr>
          <w:rFonts w:ascii="Arial" w:hAnsi="Arial" w:cs="Arial" w:hint="eastAsia"/>
          <w:sz w:val="21"/>
          <w:szCs w:val="21"/>
        </w:rPr>
        <w:t>土地规划用途为住宅，房屋规划用途为住宅，实际拟用作租赁住房，</w:t>
      </w:r>
      <w:r>
        <w:rPr>
          <w:rFonts w:ascii="Arial" w:hAnsi="Arial" w:cs="Arial" w:hint="eastAsia"/>
          <w:sz w:val="21"/>
          <w:szCs w:val="21"/>
        </w:rPr>
        <w:t>,</w:t>
      </w:r>
      <w:r>
        <w:rPr>
          <w:rFonts w:ascii="Arial" w:hAnsi="Arial" w:cs="Arial"/>
          <w:sz w:val="21"/>
          <w:szCs w:val="21"/>
        </w:rPr>
        <w:t>其使用方式以满足法律上许可、技术上可能、经济上可行为前提条件，经过论证可使估价对象价值得到最大化。</w:t>
      </w:r>
    </w:p>
    <w:p w14:paraId="2C7D6BA6" w14:textId="77777777" w:rsidR="00AF6F34" w:rsidRDefault="00AF6F34">
      <w:pPr>
        <w:pStyle w:val="LO-Normal"/>
        <w:autoSpaceDE w:val="0"/>
        <w:spacing w:line="480" w:lineRule="auto"/>
        <w:ind w:right="140"/>
        <w:jc w:val="both"/>
        <w:textAlignment w:val="bottom"/>
      </w:pPr>
      <w:r>
        <w:rPr>
          <w:rFonts w:ascii="Arial" w:hAnsi="Arial" w:cs="Arial"/>
          <w:b/>
          <w:sz w:val="21"/>
          <w:szCs w:val="21"/>
        </w:rPr>
        <w:t>（五）使用前提说明与分析</w:t>
      </w:r>
    </w:p>
    <w:p w14:paraId="62979818" w14:textId="77777777" w:rsidR="00AF6F34" w:rsidRDefault="00AF6F34">
      <w:pPr>
        <w:pStyle w:val="LO-Normal"/>
        <w:autoSpaceDE w:val="0"/>
        <w:spacing w:line="480" w:lineRule="auto"/>
        <w:ind w:right="140" w:firstLine="420"/>
        <w:jc w:val="both"/>
        <w:textAlignment w:val="bottom"/>
      </w:pPr>
      <w:r>
        <w:rPr>
          <w:rFonts w:ascii="Arial" w:hAnsi="Arial" w:cs="Arial"/>
          <w:sz w:val="21"/>
          <w:szCs w:val="21"/>
        </w:rPr>
        <w:t>估价对象</w:t>
      </w:r>
      <w:r>
        <w:rPr>
          <w:rFonts w:ascii="Arial" w:hAnsi="Arial" w:cs="Arial" w:hint="eastAsia"/>
          <w:sz w:val="21"/>
          <w:szCs w:val="21"/>
        </w:rPr>
        <w:t>设定</w:t>
      </w:r>
      <w:r>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6CB2B3EC" w14:textId="77777777" w:rsidR="00AF6F34" w:rsidRDefault="00AF6F34">
      <w:pPr>
        <w:spacing w:line="480" w:lineRule="auto"/>
        <w:ind w:firstLine="420"/>
        <w:jc w:val="both"/>
      </w:pPr>
      <w:r>
        <w:rPr>
          <w:rFonts w:ascii="Arial" w:hAnsi="Arial" w:cs="Arial"/>
          <w:sz w:val="21"/>
          <w:szCs w:val="21"/>
        </w:rPr>
        <w:t>综上所述，我们认为估价对象用途</w:t>
      </w:r>
      <w:r>
        <w:rPr>
          <w:rFonts w:ascii="Arial" w:hAnsi="Arial" w:cs="Arial" w:hint="eastAsia"/>
          <w:sz w:val="21"/>
          <w:szCs w:val="21"/>
        </w:rPr>
        <w:t>为住宅</w:t>
      </w:r>
      <w:r>
        <w:rPr>
          <w:rFonts w:ascii="Arial" w:hAnsi="Arial" w:cs="Arial"/>
          <w:sz w:val="21"/>
          <w:szCs w:val="21"/>
        </w:rPr>
        <w:t>为其最高最佳使用途径。</w:t>
      </w:r>
    </w:p>
    <w:p w14:paraId="1EAD5175" w14:textId="77777777" w:rsidR="00AF6F34" w:rsidRDefault="00AF6F34">
      <w:pPr>
        <w:spacing w:line="480" w:lineRule="auto"/>
        <w:ind w:firstLine="420"/>
        <w:jc w:val="both"/>
        <w:rPr>
          <w:rFonts w:ascii="Arial" w:hAnsi="Arial" w:cs="Arial"/>
          <w:sz w:val="21"/>
          <w:szCs w:val="21"/>
        </w:rPr>
      </w:pPr>
    </w:p>
    <w:p w14:paraId="7A1ABE8E" w14:textId="77777777" w:rsidR="00AF6F34" w:rsidRDefault="00AF6F34" w:rsidP="00AE1AF4">
      <w:pPr>
        <w:pStyle w:val="2"/>
        <w:numPr>
          <w:ilvl w:val="0"/>
          <w:numId w:val="2"/>
        </w:numPr>
        <w:tabs>
          <w:tab w:val="clear" w:pos="568"/>
          <w:tab w:val="num" w:pos="284"/>
          <w:tab w:val="num" w:pos="567"/>
        </w:tabs>
        <w:spacing w:line="480" w:lineRule="auto"/>
        <w:ind w:left="0" w:firstLine="0"/>
        <w:jc w:val="both"/>
      </w:pPr>
      <w:bookmarkStart w:id="36" w:name="_Toc161661025"/>
      <w:r>
        <w:rPr>
          <w:rFonts w:eastAsia="宋体"/>
          <w:kern w:val="2"/>
          <w:sz w:val="21"/>
          <w:szCs w:val="21"/>
        </w:rPr>
        <w:t>估价方法适用性分析</w:t>
      </w:r>
      <w:bookmarkEnd w:id="36"/>
    </w:p>
    <w:p w14:paraId="6F0D519B" w14:textId="77777777" w:rsidR="00AF6F34" w:rsidRDefault="00AF6F34">
      <w:pPr>
        <w:overflowPunct w:val="0"/>
        <w:spacing w:line="480" w:lineRule="auto"/>
        <w:ind w:firstLine="420"/>
        <w:jc w:val="both"/>
        <w:textAlignment w:val="auto"/>
      </w:pPr>
      <w:r>
        <w:rPr>
          <w:rFonts w:ascii="Arial" w:hAnsi="Arial" w:cs="Arial"/>
          <w:sz w:val="21"/>
          <w:szCs w:val="21"/>
        </w:rPr>
        <w:t>由于本次评估是</w:t>
      </w:r>
      <w:r>
        <w:rPr>
          <w:rFonts w:ascii="Arial" w:hAnsi="Arial" w:cs="Arial" w:hint="eastAsia"/>
          <w:sz w:val="21"/>
          <w:szCs w:val="21"/>
        </w:rPr>
        <w:t>为估价委托人</w:t>
      </w:r>
      <w:r w:rsidR="00BC3CD9">
        <w:rPr>
          <w:rFonts w:ascii="Arial" w:hAnsi="Arial" w:cs="Arial" w:hint="eastAsia"/>
          <w:sz w:val="21"/>
          <w:szCs w:val="21"/>
        </w:rPr>
        <w:t>确定估价对象</w:t>
      </w:r>
      <w:r w:rsidR="00EF400F">
        <w:rPr>
          <w:rFonts w:ascii="Arial" w:hAnsi="Arial" w:cs="Arial" w:hint="eastAsia"/>
          <w:sz w:val="21"/>
          <w:szCs w:val="21"/>
        </w:rPr>
        <w:t>市场租赁住房</w:t>
      </w:r>
      <w:r w:rsidR="00BC3CD9">
        <w:rPr>
          <w:rFonts w:ascii="Arial" w:hAnsi="Arial" w:cs="Arial" w:hint="eastAsia"/>
          <w:sz w:val="21"/>
          <w:szCs w:val="21"/>
        </w:rPr>
        <w:t>租金水平</w:t>
      </w:r>
      <w:r>
        <w:rPr>
          <w:rFonts w:ascii="Arial" w:hAnsi="Arial" w:cs="Arial" w:hint="eastAsia"/>
          <w:sz w:val="21"/>
          <w:szCs w:val="21"/>
        </w:rPr>
        <w:t>提供参考依据</w:t>
      </w:r>
      <w:r>
        <w:rPr>
          <w:rFonts w:ascii="Arial" w:hAnsi="Arial" w:cs="Arial"/>
          <w:sz w:val="21"/>
          <w:szCs w:val="21"/>
        </w:rPr>
        <w:t>，因此我们在认真分</w:t>
      </w:r>
      <w:r>
        <w:rPr>
          <w:rFonts w:ascii="Arial" w:hAnsi="Arial" w:cs="Arial"/>
          <w:color w:val="000000"/>
          <w:sz w:val="21"/>
          <w:szCs w:val="21"/>
        </w:rPr>
        <w:t>析研究估价对象的相</w:t>
      </w:r>
      <w:r>
        <w:rPr>
          <w:rFonts w:ascii="Arial" w:hAnsi="Arial" w:cs="Arial"/>
          <w:sz w:val="21"/>
          <w:szCs w:val="21"/>
        </w:rPr>
        <w:t>关资料，并通过对邻近地区同类物业调查的基础上，根据《房地产估价规范》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的估价程序，选用</w:t>
      </w:r>
      <w:r>
        <w:rPr>
          <w:rFonts w:ascii="Arial" w:hAnsi="Arial" w:cs="Arial" w:hint="eastAsia"/>
          <w:sz w:val="21"/>
          <w:szCs w:val="21"/>
        </w:rPr>
        <w:t>比较法</w:t>
      </w:r>
      <w:r>
        <w:rPr>
          <w:rFonts w:ascii="Arial" w:hAnsi="Arial" w:cs="Arial"/>
          <w:sz w:val="21"/>
          <w:szCs w:val="21"/>
        </w:rPr>
        <w:t>为主方法进行估价</w:t>
      </w:r>
      <w:r>
        <w:rPr>
          <w:rFonts w:ascii="Arial" w:hAnsi="Arial" w:cs="Arial" w:hint="eastAsia"/>
          <w:sz w:val="21"/>
          <w:szCs w:val="21"/>
        </w:rPr>
        <w:t>，进而确定估价对象市场平均租金价格水平</w:t>
      </w:r>
      <w:r>
        <w:rPr>
          <w:rFonts w:ascii="Arial" w:hAnsi="Arial" w:cs="Arial"/>
          <w:sz w:val="21"/>
          <w:szCs w:val="21"/>
        </w:rPr>
        <w:t>。</w:t>
      </w:r>
    </w:p>
    <w:p w14:paraId="6D00A99B" w14:textId="77777777" w:rsidR="00AF6F34" w:rsidRDefault="00AF6F34">
      <w:pPr>
        <w:pStyle w:val="LO-Normal"/>
        <w:autoSpaceDE w:val="0"/>
        <w:spacing w:line="480" w:lineRule="auto"/>
        <w:ind w:right="140"/>
        <w:jc w:val="both"/>
        <w:textAlignment w:val="bottom"/>
      </w:pPr>
      <w:r>
        <w:rPr>
          <w:rFonts w:ascii="Arial" w:hAnsi="Arial" w:cs="Arial"/>
          <w:b/>
          <w:sz w:val="21"/>
          <w:szCs w:val="21"/>
        </w:rPr>
        <w:t>（一）</w:t>
      </w:r>
      <w:r>
        <w:rPr>
          <w:rFonts w:ascii="Arial" w:hAnsi="Arial" w:cs="Arial" w:hint="eastAsia"/>
          <w:b/>
          <w:sz w:val="21"/>
          <w:szCs w:val="21"/>
        </w:rPr>
        <w:t>估价思路</w:t>
      </w:r>
      <w:r>
        <w:rPr>
          <w:rFonts w:ascii="Arial" w:eastAsia="Arial" w:hAnsi="Arial" w:cs="Arial"/>
          <w:b/>
          <w:sz w:val="21"/>
          <w:szCs w:val="21"/>
        </w:rPr>
        <w:t xml:space="preserve"> </w:t>
      </w:r>
    </w:p>
    <w:p w14:paraId="4D779AB7" w14:textId="77777777" w:rsidR="00AF6F34" w:rsidRDefault="00AF6F34">
      <w:pPr>
        <w:pStyle w:val="LO-Normal"/>
        <w:overflowPunct w:val="0"/>
        <w:autoSpaceDE w:val="0"/>
        <w:spacing w:line="480" w:lineRule="auto"/>
        <w:ind w:right="140" w:firstLine="420"/>
        <w:jc w:val="both"/>
        <w:textAlignment w:val="auto"/>
      </w:pPr>
      <w:r>
        <w:rPr>
          <w:rFonts w:ascii="Arial" w:hAnsi="Arial" w:cs="Arial"/>
          <w:color w:val="000000"/>
          <w:sz w:val="21"/>
          <w:szCs w:val="21"/>
        </w:rPr>
        <w:t>本次选用比较法对估价对象的市场租金水平进行测算，具体测算思路如下：</w:t>
      </w:r>
    </w:p>
    <w:p w14:paraId="00773E9E" w14:textId="77777777" w:rsidR="007C5209" w:rsidRDefault="007C5209" w:rsidP="007C5209">
      <w:pPr>
        <w:pStyle w:val="LO-Normal"/>
        <w:overflowPunct w:val="0"/>
        <w:autoSpaceDE w:val="0"/>
        <w:spacing w:line="480" w:lineRule="auto"/>
        <w:ind w:right="140" w:firstLine="420"/>
        <w:jc w:val="both"/>
        <w:textAlignment w:val="auto"/>
      </w:pPr>
      <w:r>
        <w:rPr>
          <w:rFonts w:ascii="Arial" w:hAnsi="Arial" w:cs="Arial"/>
          <w:color w:val="000000"/>
          <w:sz w:val="21"/>
          <w:szCs w:val="21"/>
        </w:rPr>
        <w:t>1.</w:t>
      </w:r>
      <w:r>
        <w:rPr>
          <w:rFonts w:ascii="Arial" w:hAnsi="Arial" w:cs="Arial"/>
          <w:color w:val="000000"/>
          <w:sz w:val="21"/>
          <w:szCs w:val="21"/>
        </w:rPr>
        <w:t>首先</w:t>
      </w:r>
      <w:r>
        <w:rPr>
          <w:rFonts w:ascii="Arial" w:hAnsi="Arial" w:cs="Arial" w:hint="eastAsia"/>
          <w:color w:val="000000"/>
          <w:sz w:val="21"/>
          <w:szCs w:val="21"/>
        </w:rPr>
        <w:t>确认</w:t>
      </w:r>
      <w:r>
        <w:rPr>
          <w:rFonts w:ascii="Arial" w:hAnsi="Arial" w:cs="Arial"/>
          <w:color w:val="000000"/>
          <w:sz w:val="21"/>
          <w:szCs w:val="21"/>
        </w:rPr>
        <w:t>估价对象</w:t>
      </w:r>
      <w:r w:rsidR="00431E21">
        <w:rPr>
          <w:rFonts w:ascii="Arial" w:hAnsi="Arial" w:cs="Arial" w:hint="eastAsia"/>
          <w:color w:val="000000"/>
          <w:sz w:val="21"/>
          <w:szCs w:val="21"/>
        </w:rPr>
        <w:t>一居室</w:t>
      </w:r>
      <w:r w:rsidR="00431E21">
        <w:rPr>
          <w:rFonts w:ascii="Arial" w:hAnsi="Arial" w:cs="Arial"/>
          <w:color w:val="000000"/>
          <w:sz w:val="21"/>
          <w:szCs w:val="21"/>
        </w:rPr>
        <w:t>设定条件</w:t>
      </w:r>
      <w:r>
        <w:rPr>
          <w:rFonts w:ascii="Arial" w:hAnsi="Arial" w:cs="Arial" w:hint="eastAsia"/>
          <w:color w:val="000000"/>
          <w:sz w:val="21"/>
          <w:szCs w:val="21"/>
        </w:rPr>
        <w:t>。</w:t>
      </w:r>
    </w:p>
    <w:p w14:paraId="79A9E898" w14:textId="36C67650" w:rsidR="007C5209" w:rsidRPr="007B135A" w:rsidRDefault="007C5209" w:rsidP="007C5209">
      <w:pPr>
        <w:pStyle w:val="LO-Normal"/>
        <w:overflowPunct w:val="0"/>
        <w:autoSpaceDE w:val="0"/>
        <w:spacing w:line="480" w:lineRule="auto"/>
        <w:ind w:right="140" w:firstLine="420"/>
        <w:jc w:val="both"/>
        <w:textAlignment w:val="auto"/>
        <w:rPr>
          <w:rFonts w:ascii="Arial" w:hAnsi="Arial" w:cs="Arial"/>
          <w:sz w:val="21"/>
          <w:szCs w:val="21"/>
        </w:rPr>
      </w:pPr>
      <w:r w:rsidRPr="00EF400F">
        <w:rPr>
          <w:rFonts w:ascii="Arial" w:hAnsi="Arial" w:cs="Arial" w:hint="eastAsia"/>
          <w:bCs/>
          <w:color w:val="000000"/>
          <w:sz w:val="21"/>
          <w:szCs w:val="21"/>
        </w:rPr>
        <w:lastRenderedPageBreak/>
        <w:t>参照</w:t>
      </w:r>
      <w:r>
        <w:rPr>
          <w:rFonts w:ascii="Arial" w:hAnsi="Arial" w:cs="Arial" w:hint="eastAsia"/>
          <w:bCs/>
          <w:color w:val="000000"/>
          <w:sz w:val="21"/>
          <w:szCs w:val="21"/>
        </w:rPr>
        <w:t>估价对象</w:t>
      </w:r>
      <w:r w:rsidRPr="00EF400F">
        <w:rPr>
          <w:rFonts w:ascii="Arial" w:hAnsi="Arial" w:cs="Arial" w:hint="eastAsia"/>
          <w:bCs/>
          <w:color w:val="000000"/>
          <w:sz w:val="21"/>
          <w:szCs w:val="21"/>
        </w:rPr>
        <w:t>项目的建筑类型、结构、户型、装饰装修、设施设备、家具家电、楼层、朝向等指标进行分类，分别设定的具有代表性的房屋。</w:t>
      </w:r>
      <w:r>
        <w:rPr>
          <w:rFonts w:ascii="Arial" w:hAnsi="Arial" w:cs="Arial"/>
          <w:bCs/>
          <w:color w:val="000000"/>
          <w:sz w:val="21"/>
          <w:szCs w:val="21"/>
        </w:rPr>
        <w:t>估价对象</w:t>
      </w:r>
      <w:r>
        <w:rPr>
          <w:rFonts w:ascii="Arial" w:hAnsi="Arial" w:cs="Arial" w:hint="eastAsia"/>
          <w:sz w:val="21"/>
          <w:szCs w:val="21"/>
        </w:rPr>
        <w:t>有三种户型，分别为一居室、二居室、三居室。其中，一居室共</w:t>
      </w:r>
      <w:r>
        <w:rPr>
          <w:rFonts w:ascii="Arial" w:hAnsi="Arial" w:cs="Arial" w:hint="eastAsia"/>
          <w:sz w:val="21"/>
          <w:szCs w:val="21"/>
        </w:rPr>
        <w:t>494</w:t>
      </w:r>
      <w:r>
        <w:rPr>
          <w:rFonts w:ascii="Arial" w:hAnsi="Arial" w:cs="Arial" w:hint="eastAsia"/>
          <w:sz w:val="21"/>
          <w:szCs w:val="21"/>
        </w:rPr>
        <w:t>套，约占估价对象总套数的</w:t>
      </w:r>
      <w:r w:rsidR="002F6ADB">
        <w:rPr>
          <w:rFonts w:ascii="Arial" w:hAnsi="Arial" w:cs="Arial" w:hint="eastAsia"/>
          <w:sz w:val="21"/>
          <w:szCs w:val="21"/>
        </w:rPr>
        <w:t>51.5%</w:t>
      </w:r>
      <w:r>
        <w:rPr>
          <w:rFonts w:ascii="Arial" w:hAnsi="Arial" w:cs="Arial" w:hint="eastAsia"/>
          <w:sz w:val="21"/>
          <w:szCs w:val="21"/>
        </w:rPr>
        <w:t>，面积集中在</w:t>
      </w:r>
      <w:r>
        <w:rPr>
          <w:rFonts w:ascii="Arial" w:hAnsi="Arial" w:cs="Arial" w:hint="eastAsia"/>
          <w:sz w:val="21"/>
          <w:szCs w:val="21"/>
        </w:rPr>
        <w:t>62.36-69.96</w:t>
      </w:r>
      <w:r>
        <w:rPr>
          <w:rFonts w:ascii="Arial" w:hAnsi="Arial" w:cs="Arial" w:hint="eastAsia"/>
          <w:sz w:val="21"/>
          <w:szCs w:val="21"/>
        </w:rPr>
        <w:t>平方米（仅有一间</w:t>
      </w:r>
      <w:r>
        <w:rPr>
          <w:rFonts w:ascii="Arial" w:hAnsi="Arial" w:cs="Arial" w:hint="eastAsia"/>
          <w:sz w:val="21"/>
          <w:szCs w:val="21"/>
        </w:rPr>
        <w:t>49.81</w:t>
      </w:r>
      <w:r>
        <w:rPr>
          <w:rFonts w:ascii="Arial" w:hAnsi="Arial" w:cs="Arial" w:hint="eastAsia"/>
          <w:sz w:val="21"/>
          <w:szCs w:val="21"/>
        </w:rPr>
        <w:t>平方米）；</w:t>
      </w:r>
      <w:r w:rsidR="002F6ADB">
        <w:rPr>
          <w:rFonts w:ascii="Arial" w:hAnsi="Arial" w:cs="Arial" w:hint="eastAsia"/>
          <w:sz w:val="21"/>
          <w:szCs w:val="21"/>
        </w:rPr>
        <w:t>二居室共</w:t>
      </w:r>
      <w:r w:rsidR="002F6ADB">
        <w:rPr>
          <w:rFonts w:ascii="Arial" w:hAnsi="Arial" w:cs="Arial" w:hint="eastAsia"/>
          <w:sz w:val="21"/>
          <w:szCs w:val="21"/>
        </w:rPr>
        <w:t>443</w:t>
      </w:r>
      <w:r w:rsidR="002F6ADB">
        <w:rPr>
          <w:rFonts w:ascii="Arial" w:hAnsi="Arial" w:cs="Arial" w:hint="eastAsia"/>
          <w:sz w:val="21"/>
          <w:szCs w:val="21"/>
        </w:rPr>
        <w:t>套</w:t>
      </w:r>
      <w:r>
        <w:rPr>
          <w:rFonts w:ascii="Arial" w:hAnsi="Arial" w:cs="Arial" w:hint="eastAsia"/>
          <w:sz w:val="21"/>
          <w:szCs w:val="21"/>
        </w:rPr>
        <w:t>，约占估价对象总套数的</w:t>
      </w:r>
      <w:r w:rsidR="002F6ADB">
        <w:rPr>
          <w:rFonts w:ascii="Arial" w:hAnsi="Arial" w:cs="Arial" w:hint="eastAsia"/>
          <w:sz w:val="21"/>
          <w:szCs w:val="21"/>
        </w:rPr>
        <w:t>46.2%</w:t>
      </w:r>
      <w:r>
        <w:rPr>
          <w:rFonts w:ascii="Arial" w:hAnsi="Arial" w:cs="Arial" w:hint="eastAsia"/>
          <w:sz w:val="21"/>
          <w:szCs w:val="21"/>
        </w:rPr>
        <w:t>，面积集中在</w:t>
      </w:r>
      <w:r>
        <w:rPr>
          <w:rFonts w:ascii="Arial" w:hAnsi="Arial" w:cs="Arial" w:hint="eastAsia"/>
          <w:sz w:val="21"/>
          <w:szCs w:val="21"/>
        </w:rPr>
        <w:t>87.22-91.05</w:t>
      </w:r>
      <w:r>
        <w:rPr>
          <w:rFonts w:ascii="Arial" w:hAnsi="Arial" w:cs="Arial" w:hint="eastAsia"/>
          <w:sz w:val="21"/>
          <w:szCs w:val="21"/>
        </w:rPr>
        <w:t>平方米；三居室共</w:t>
      </w:r>
      <w:r>
        <w:rPr>
          <w:rFonts w:ascii="Arial" w:hAnsi="Arial" w:cs="Arial" w:hint="eastAsia"/>
          <w:sz w:val="21"/>
          <w:szCs w:val="21"/>
        </w:rPr>
        <w:t>22</w:t>
      </w:r>
      <w:r>
        <w:rPr>
          <w:rFonts w:ascii="Arial" w:hAnsi="Arial" w:cs="Arial" w:hint="eastAsia"/>
          <w:sz w:val="21"/>
          <w:szCs w:val="21"/>
        </w:rPr>
        <w:t>套，约占估价对象总套数的</w:t>
      </w:r>
      <w:r>
        <w:rPr>
          <w:rFonts w:ascii="Arial" w:hAnsi="Arial" w:cs="Arial" w:hint="eastAsia"/>
          <w:sz w:val="21"/>
          <w:szCs w:val="21"/>
        </w:rPr>
        <w:t>2.3%</w:t>
      </w:r>
      <w:r>
        <w:rPr>
          <w:rFonts w:ascii="Arial" w:hAnsi="Arial" w:cs="Arial" w:hint="eastAsia"/>
          <w:sz w:val="21"/>
          <w:szCs w:val="21"/>
        </w:rPr>
        <w:t>，面积集中在</w:t>
      </w:r>
      <w:r>
        <w:rPr>
          <w:rFonts w:ascii="Arial" w:hAnsi="Arial" w:cs="Arial" w:hint="eastAsia"/>
          <w:sz w:val="21"/>
          <w:szCs w:val="21"/>
        </w:rPr>
        <w:t>97.97-109.46</w:t>
      </w:r>
      <w:r>
        <w:rPr>
          <w:rFonts w:ascii="Arial" w:hAnsi="Arial" w:cs="Arial" w:hint="eastAsia"/>
          <w:sz w:val="21"/>
          <w:szCs w:val="21"/>
        </w:rPr>
        <w:t>平方米。依据众数原则，选取户型为一居室，面积为</w:t>
      </w:r>
      <w:r>
        <w:rPr>
          <w:rFonts w:ascii="Arial" w:hAnsi="Arial" w:cs="Arial" w:hint="eastAsia"/>
          <w:sz w:val="21"/>
          <w:szCs w:val="21"/>
        </w:rPr>
        <w:t>60-70</w:t>
      </w:r>
      <w:r>
        <w:rPr>
          <w:rFonts w:ascii="Arial" w:hAnsi="Arial" w:cs="Arial" w:hint="eastAsia"/>
          <w:sz w:val="21"/>
          <w:szCs w:val="21"/>
        </w:rPr>
        <w:t>平方米，朝向为南，</w:t>
      </w:r>
      <w:r w:rsidR="00464E89">
        <w:rPr>
          <w:rFonts w:ascii="Arial" w:hAnsi="Arial" w:cs="Arial" w:hint="eastAsia"/>
          <w:sz w:val="21"/>
          <w:szCs w:val="21"/>
        </w:rPr>
        <w:t>装修情况设定为全装修</w:t>
      </w:r>
      <w:r>
        <w:rPr>
          <w:rFonts w:ascii="Arial" w:hAnsi="Arial" w:cs="Arial" w:hint="eastAsia"/>
          <w:sz w:val="21"/>
          <w:szCs w:val="21"/>
        </w:rPr>
        <w:t>。</w:t>
      </w:r>
    </w:p>
    <w:p w14:paraId="064D0E14" w14:textId="77777777" w:rsidR="007C5209" w:rsidRDefault="007C5209" w:rsidP="007C5209">
      <w:pPr>
        <w:pStyle w:val="LO-Normal"/>
        <w:overflowPunct w:val="0"/>
        <w:autoSpaceDE w:val="0"/>
        <w:spacing w:line="480" w:lineRule="auto"/>
        <w:ind w:right="140" w:firstLine="420"/>
        <w:jc w:val="both"/>
        <w:textAlignment w:val="auto"/>
      </w:pPr>
      <w:r>
        <w:rPr>
          <w:rFonts w:ascii="Arial" w:hAnsi="Arial" w:cs="Arial"/>
          <w:color w:val="000000"/>
          <w:sz w:val="21"/>
          <w:szCs w:val="21"/>
        </w:rPr>
        <w:t>2.</w:t>
      </w:r>
      <w:r>
        <w:rPr>
          <w:rFonts w:ascii="Arial" w:hAnsi="Arial" w:cs="Arial"/>
          <w:color w:val="000000"/>
          <w:sz w:val="21"/>
          <w:szCs w:val="21"/>
        </w:rPr>
        <w:t>在估价对象周边区域选取适当数量住宅小区，结合估价机构监测数据、估价机构市场调查</w:t>
      </w:r>
      <w:r>
        <w:rPr>
          <w:rFonts w:ascii="Arial" w:hAnsi="Arial" w:cs="Arial" w:hint="eastAsia"/>
          <w:color w:val="000000"/>
          <w:sz w:val="21"/>
          <w:szCs w:val="21"/>
        </w:rPr>
        <w:t>两</w:t>
      </w:r>
      <w:r>
        <w:rPr>
          <w:rFonts w:ascii="Arial" w:hAnsi="Arial" w:cs="Arial"/>
          <w:color w:val="000000"/>
          <w:sz w:val="21"/>
          <w:szCs w:val="21"/>
        </w:rPr>
        <w:t>个方面的批量数据，选取可比小区。</w:t>
      </w:r>
    </w:p>
    <w:p w14:paraId="5521C1D9" w14:textId="77777777" w:rsidR="007C5209" w:rsidRDefault="007C5209" w:rsidP="007C5209">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将所选可比小区与评估对象</w:t>
      </w:r>
      <w:r>
        <w:rPr>
          <w:rFonts w:ascii="Arial" w:hAnsi="Arial" w:cs="Arial" w:hint="eastAsia"/>
          <w:color w:val="000000"/>
          <w:sz w:val="21"/>
          <w:szCs w:val="21"/>
        </w:rPr>
        <w:t>一居室</w:t>
      </w:r>
      <w:r>
        <w:rPr>
          <w:rFonts w:ascii="Arial" w:hAnsi="Arial" w:cs="Arial"/>
          <w:color w:val="000000"/>
          <w:sz w:val="21"/>
          <w:szCs w:val="21"/>
        </w:rPr>
        <w:t>进行比较，进行区位状况调整和实物状况调整，计算各可比实例比准租金，得到估价对象</w:t>
      </w:r>
      <w:r w:rsidR="00431E21">
        <w:rPr>
          <w:rFonts w:ascii="Arial" w:hAnsi="Arial" w:cs="Arial" w:hint="eastAsia"/>
          <w:color w:val="000000"/>
          <w:sz w:val="21"/>
          <w:szCs w:val="21"/>
        </w:rPr>
        <w:t>一居室</w:t>
      </w:r>
      <w:r>
        <w:rPr>
          <w:rFonts w:ascii="Arial" w:hAnsi="Arial" w:cs="Arial"/>
          <w:color w:val="000000"/>
          <w:sz w:val="21"/>
          <w:szCs w:val="21"/>
        </w:rPr>
        <w:t>租金水平。</w:t>
      </w:r>
    </w:p>
    <w:p w14:paraId="0B167E99" w14:textId="77777777" w:rsidR="007C5209" w:rsidRDefault="007C5209" w:rsidP="007C5209">
      <w:pPr>
        <w:pStyle w:val="LO-Normal"/>
        <w:overflowPunct w:val="0"/>
        <w:autoSpaceDE w:val="0"/>
        <w:spacing w:line="480" w:lineRule="auto"/>
        <w:ind w:right="140" w:firstLine="420"/>
        <w:jc w:val="both"/>
        <w:textAlignment w:val="auto"/>
        <w:rPr>
          <w:rFonts w:ascii="Arial" w:hAnsi="Arial" w:cs="Arial"/>
          <w:color w:val="000000"/>
          <w:sz w:val="21"/>
          <w:szCs w:val="21"/>
        </w:rPr>
      </w:pPr>
      <w:r w:rsidRPr="00CD440E">
        <w:rPr>
          <w:rFonts w:ascii="Arial" w:hAnsi="Arial" w:cs="Arial" w:hint="eastAsia"/>
          <w:color w:val="000000"/>
          <w:sz w:val="21"/>
          <w:szCs w:val="21"/>
        </w:rPr>
        <w:t>4.</w:t>
      </w:r>
      <w:r w:rsidRPr="00EF400F">
        <w:rPr>
          <w:rFonts w:ascii="Arial" w:hAnsi="Arial" w:cs="Arial" w:hint="eastAsia"/>
          <w:color w:val="000000"/>
          <w:sz w:val="21"/>
          <w:szCs w:val="21"/>
        </w:rPr>
        <w:t>以</w:t>
      </w:r>
      <w:r>
        <w:rPr>
          <w:rFonts w:ascii="Arial" w:hAnsi="Arial" w:cs="Arial" w:hint="eastAsia"/>
          <w:color w:val="000000"/>
          <w:sz w:val="21"/>
          <w:szCs w:val="21"/>
        </w:rPr>
        <w:t>一居室</w:t>
      </w:r>
      <w:r w:rsidRPr="00EF400F">
        <w:rPr>
          <w:rFonts w:ascii="Arial" w:hAnsi="Arial" w:cs="Arial" w:hint="eastAsia"/>
          <w:color w:val="000000"/>
          <w:sz w:val="21"/>
          <w:szCs w:val="21"/>
        </w:rPr>
        <w:t>评估结果为基准，通过差异调整求取其他不同户型的市场租金。</w:t>
      </w:r>
    </w:p>
    <w:p w14:paraId="7903621C" w14:textId="77777777" w:rsidR="007C5209" w:rsidRPr="00CD440E" w:rsidRDefault="007C5209" w:rsidP="007C5209">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hint="eastAsia"/>
          <w:color w:val="000000"/>
          <w:sz w:val="21"/>
          <w:szCs w:val="21"/>
        </w:rPr>
        <w:t>5</w:t>
      </w:r>
      <w:r>
        <w:rPr>
          <w:rFonts w:ascii="Arial" w:hAnsi="Arial" w:cs="Arial"/>
          <w:color w:val="000000"/>
          <w:sz w:val="21"/>
          <w:szCs w:val="21"/>
        </w:rPr>
        <w:t>.</w:t>
      </w:r>
      <w:r w:rsidRPr="00A578FA">
        <w:rPr>
          <w:rFonts w:ascii="Arial" w:hAnsi="Arial" w:cs="Arial" w:hint="eastAsia"/>
          <w:color w:val="000000"/>
          <w:sz w:val="21"/>
          <w:szCs w:val="21"/>
        </w:rPr>
        <w:t>采用</w:t>
      </w:r>
      <w:r w:rsidR="00B07EA8">
        <w:rPr>
          <w:rFonts w:ascii="Arial" w:hAnsi="Arial" w:cs="Arial" w:hint="eastAsia"/>
          <w:color w:val="000000"/>
          <w:sz w:val="21"/>
          <w:szCs w:val="21"/>
        </w:rPr>
        <w:t>不同户型</w:t>
      </w:r>
      <w:r w:rsidRPr="00A578FA">
        <w:rPr>
          <w:rFonts w:ascii="Arial" w:hAnsi="Arial" w:cs="Arial" w:hint="eastAsia"/>
          <w:color w:val="000000"/>
          <w:sz w:val="21"/>
          <w:szCs w:val="21"/>
        </w:rPr>
        <w:t>建筑面积加权得出项目总价，最后折算出单价</w:t>
      </w:r>
      <w:r>
        <w:rPr>
          <w:rFonts w:ascii="Arial" w:hAnsi="Arial" w:cs="Arial" w:hint="eastAsia"/>
          <w:color w:val="000000"/>
          <w:sz w:val="21"/>
          <w:szCs w:val="21"/>
        </w:rPr>
        <w:t>。</w:t>
      </w:r>
    </w:p>
    <w:p w14:paraId="11D7C4A9" w14:textId="77777777" w:rsidR="00AF6F34" w:rsidRDefault="00AF6F34">
      <w:pPr>
        <w:pStyle w:val="LO-Normal"/>
        <w:overflowPunct w:val="0"/>
        <w:autoSpaceDE w:val="0"/>
        <w:spacing w:line="480" w:lineRule="auto"/>
        <w:ind w:right="140"/>
        <w:jc w:val="both"/>
        <w:textAlignment w:val="auto"/>
      </w:pPr>
      <w:r>
        <w:rPr>
          <w:rFonts w:ascii="Arial" w:hAnsi="Arial" w:cs="Arial" w:hint="eastAsia"/>
          <w:b/>
          <w:sz w:val="21"/>
          <w:szCs w:val="21"/>
        </w:rPr>
        <w:t>（二）</w:t>
      </w:r>
      <w:r>
        <w:rPr>
          <w:rFonts w:ascii="Arial" w:hAnsi="Arial" w:cs="Arial" w:hint="eastAsia"/>
          <w:b/>
          <w:color w:val="000000"/>
          <w:sz w:val="21"/>
          <w:szCs w:val="21"/>
        </w:rPr>
        <w:t>估价方法</w:t>
      </w:r>
      <w:r>
        <w:rPr>
          <w:rFonts w:ascii="Arial" w:eastAsia="Arial" w:hAnsi="Arial" w:cs="Arial"/>
          <w:b/>
          <w:color w:val="000000"/>
          <w:sz w:val="21"/>
          <w:szCs w:val="21"/>
        </w:rPr>
        <w:t xml:space="preserve"> </w:t>
      </w:r>
    </w:p>
    <w:p w14:paraId="1DA03DDF" w14:textId="77777777" w:rsidR="00AF6F34" w:rsidRDefault="00AF6F34">
      <w:pPr>
        <w:pStyle w:val="LO-Normal"/>
        <w:overflowPunct w:val="0"/>
        <w:autoSpaceDE w:val="0"/>
        <w:spacing w:line="480" w:lineRule="auto"/>
        <w:ind w:right="140" w:firstLine="420"/>
        <w:jc w:val="both"/>
        <w:textAlignment w:val="auto"/>
      </w:pPr>
      <w:r>
        <w:rPr>
          <w:rFonts w:ascii="Arial" w:hAnsi="Arial" w:cs="Arial"/>
          <w:color w:val="000000"/>
          <w:sz w:val="21"/>
          <w:szCs w:val="21"/>
        </w:rPr>
        <w:t>比较法，是在求取估价对象房地产市场租金水平时，根据替代原则，将估价对象与在较近时期内已发生交易的类似房地产交易实例进行对期日、区域及实物状况的差别，修正得出估价对象房地产市场租金水平的方法。本次估价采用比较法照比较，并依据后者已知的价格，参照该房地产的交易情况、思路评估租金价格水平。同时</w:t>
      </w:r>
      <w:r>
        <w:rPr>
          <w:rFonts w:ascii="Arial" w:hAnsi="Arial" w:cs="Arial" w:hint="eastAsia"/>
          <w:color w:val="000000"/>
          <w:sz w:val="21"/>
          <w:szCs w:val="21"/>
        </w:rPr>
        <w:t>，</w:t>
      </w:r>
      <w:r>
        <w:rPr>
          <w:rFonts w:ascii="Arial" w:hAnsi="Arial" w:cs="Arial"/>
          <w:color w:val="000000"/>
          <w:sz w:val="21"/>
          <w:szCs w:val="21"/>
        </w:rPr>
        <w:t>通过区域因素修正得出估价对象相邻或相似区域住宅租赁价格水平</w:t>
      </w:r>
      <w:r>
        <w:rPr>
          <w:rFonts w:ascii="Arial" w:hAnsi="Arial" w:cs="Arial" w:hint="eastAsia"/>
          <w:color w:val="000000"/>
          <w:sz w:val="21"/>
          <w:szCs w:val="21"/>
        </w:rPr>
        <w:t>。</w:t>
      </w:r>
    </w:p>
    <w:p w14:paraId="27724983" w14:textId="77777777" w:rsidR="00AF6F34" w:rsidRDefault="00AF6F34">
      <w:pPr>
        <w:pStyle w:val="LO-Normal"/>
        <w:overflowPunct w:val="0"/>
        <w:autoSpaceDE w:val="0"/>
        <w:spacing w:line="480" w:lineRule="auto"/>
        <w:ind w:right="140" w:firstLine="420"/>
        <w:jc w:val="both"/>
        <w:textAlignment w:val="auto"/>
      </w:pPr>
      <w:r>
        <w:rPr>
          <w:rFonts w:ascii="Arial" w:hAnsi="Arial" w:cs="Arial" w:hint="eastAsia"/>
          <w:color w:val="000000"/>
          <w:sz w:val="21"/>
          <w:szCs w:val="21"/>
        </w:rPr>
        <w:t>1.</w:t>
      </w:r>
      <w:r>
        <w:rPr>
          <w:rFonts w:ascii="Arial" w:hAnsi="Arial" w:cs="Arial"/>
          <w:color w:val="000000"/>
          <w:sz w:val="21"/>
          <w:szCs w:val="21"/>
        </w:rPr>
        <w:t>采用</w:t>
      </w:r>
      <w:r>
        <w:rPr>
          <w:rFonts w:ascii="Arial" w:hAnsi="Arial" w:cs="Arial" w:hint="eastAsia"/>
          <w:color w:val="000000"/>
          <w:sz w:val="21"/>
          <w:szCs w:val="21"/>
        </w:rPr>
        <w:t>比较法</w:t>
      </w:r>
      <w:r>
        <w:rPr>
          <w:rFonts w:ascii="Arial" w:hAnsi="Arial" w:cs="Arial"/>
          <w:color w:val="000000"/>
          <w:sz w:val="21"/>
          <w:szCs w:val="21"/>
        </w:rPr>
        <w:t>的理由</w:t>
      </w:r>
      <w:r>
        <w:rPr>
          <w:rFonts w:ascii="Arial" w:hAnsi="Arial" w:cs="Arial" w:hint="eastAsia"/>
          <w:color w:val="000000"/>
          <w:sz w:val="21"/>
          <w:szCs w:val="21"/>
        </w:rPr>
        <w:t>：</w:t>
      </w:r>
    </w:p>
    <w:p w14:paraId="667AF497" w14:textId="77777777" w:rsidR="00AF6F34" w:rsidRDefault="00AF6F34">
      <w:pPr>
        <w:pStyle w:val="LO-Normal"/>
        <w:overflowPunct w:val="0"/>
        <w:autoSpaceDE w:val="0"/>
        <w:spacing w:line="480" w:lineRule="auto"/>
        <w:ind w:right="140" w:firstLine="420"/>
        <w:jc w:val="both"/>
        <w:textAlignment w:val="auto"/>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ascii="Arial" w:hAnsi="Arial" w:cs="Arial" w:hint="eastAsia"/>
          <w:sz w:val="21"/>
          <w:szCs w:val="21"/>
        </w:rPr>
        <w:t>。</w:t>
      </w:r>
      <w:r>
        <w:rPr>
          <w:rFonts w:ascii="Arial" w:eastAsia="Arial" w:hAnsi="Arial" w:cs="Arial"/>
          <w:color w:val="000000"/>
          <w:sz w:val="21"/>
          <w:szCs w:val="21"/>
        </w:rPr>
        <w:t xml:space="preserve"> </w:t>
      </w:r>
    </w:p>
    <w:p w14:paraId="16062212" w14:textId="77777777" w:rsidR="00AF6F34" w:rsidRDefault="00AF6F34">
      <w:pPr>
        <w:pStyle w:val="LO-Normal"/>
        <w:overflowPunct w:val="0"/>
        <w:autoSpaceDE w:val="0"/>
        <w:spacing w:line="480" w:lineRule="auto"/>
        <w:ind w:right="140" w:firstLine="420"/>
        <w:jc w:val="both"/>
        <w:textAlignment w:val="auto"/>
      </w:pPr>
      <w:r>
        <w:rPr>
          <w:rFonts w:ascii="Arial" w:hAnsi="Arial" w:cs="Arial" w:hint="eastAsia"/>
          <w:color w:val="000000"/>
          <w:sz w:val="21"/>
          <w:szCs w:val="21"/>
        </w:rPr>
        <w:t>2.</w:t>
      </w:r>
      <w:r>
        <w:rPr>
          <w:rFonts w:ascii="Arial" w:hAnsi="Arial" w:cs="Arial"/>
          <w:color w:val="000000"/>
          <w:sz w:val="21"/>
          <w:szCs w:val="21"/>
        </w:rPr>
        <w:t>不采用成本法、假设开发法、收益法的理由</w:t>
      </w:r>
      <w:r>
        <w:rPr>
          <w:rFonts w:ascii="Arial" w:hAnsi="Arial" w:cs="Arial" w:hint="eastAsia"/>
          <w:color w:val="000000"/>
          <w:sz w:val="21"/>
          <w:szCs w:val="21"/>
        </w:rPr>
        <w:t>：</w:t>
      </w:r>
    </w:p>
    <w:p w14:paraId="0455BE85" w14:textId="77777777" w:rsidR="00AF6F34" w:rsidRDefault="00AF6F34">
      <w:pPr>
        <w:pStyle w:val="LO-Normal"/>
        <w:overflowPunct w:val="0"/>
        <w:autoSpaceDE w:val="0"/>
        <w:spacing w:line="480" w:lineRule="auto"/>
        <w:ind w:right="140" w:firstLine="420"/>
        <w:jc w:val="both"/>
        <w:textAlignment w:val="auto"/>
      </w:pPr>
      <w:r>
        <w:rPr>
          <w:rFonts w:cs="Arial" w:hint="eastAsia"/>
          <w:color w:val="000000"/>
          <w:sz w:val="21"/>
          <w:szCs w:val="21"/>
        </w:rPr>
        <w:t>（1）</w:t>
      </w:r>
      <w:r>
        <w:rPr>
          <w:rFonts w:ascii="Arial" w:hAnsi="Arial" w:cs="Arial" w:hint="eastAsia"/>
          <w:color w:val="000000"/>
          <w:sz w:val="21"/>
          <w:szCs w:val="21"/>
        </w:rPr>
        <w:t>成本法和假设开发法可评估房地产市场价值，但不适于租赁价格的评估。</w:t>
      </w:r>
    </w:p>
    <w:p w14:paraId="687AADB6" w14:textId="77777777" w:rsidR="00AF6F34" w:rsidRDefault="00AF6F34">
      <w:pPr>
        <w:pStyle w:val="LO-Normal"/>
        <w:autoSpaceDE w:val="0"/>
        <w:spacing w:line="480" w:lineRule="auto"/>
        <w:ind w:right="140" w:firstLine="420"/>
        <w:jc w:val="both"/>
        <w:textAlignment w:val="bottom"/>
      </w:pPr>
      <w:r>
        <w:rPr>
          <w:rFonts w:cs="Arial" w:hint="eastAsia"/>
          <w:color w:val="000000"/>
          <w:sz w:val="21"/>
          <w:szCs w:val="21"/>
        </w:rPr>
        <w:t>（2）</w:t>
      </w:r>
      <w:r>
        <w:rPr>
          <w:rFonts w:ascii="Arial" w:hAnsi="Arial" w:cs="Arial"/>
          <w:sz w:val="21"/>
          <w:szCs w:val="21"/>
        </w:rPr>
        <w:t>收益法适用于有现实收益或潜在收益的土地或房地产估价。估价对象用途为住宅，能对外</w:t>
      </w:r>
      <w:r>
        <w:rPr>
          <w:rFonts w:ascii="Arial" w:hAnsi="Arial" w:cs="Arial"/>
          <w:sz w:val="21"/>
          <w:szCs w:val="21"/>
        </w:rPr>
        <w:lastRenderedPageBreak/>
        <w:t>出租，为收益性物业，估价对象虽具有潜在租金收益，租金水平也相对稳定，而由于受到国人传统的购房理念以及固定资产投资、保值需求等的影响，目前估价对象所在区域同类商品房住宅业态租售比差距较大，</w:t>
      </w:r>
      <w:r>
        <w:rPr>
          <w:rFonts w:ascii="Arial" w:eastAsia="Arial" w:hAnsi="Arial" w:cs="Arial"/>
          <w:sz w:val="21"/>
          <w:szCs w:val="21"/>
        </w:rPr>
        <w:t xml:space="preserve"> </w:t>
      </w:r>
      <w:r>
        <w:rPr>
          <w:rFonts w:ascii="Arial" w:hAnsi="Arial" w:cs="Arial"/>
          <w:sz w:val="21"/>
          <w:szCs w:val="21"/>
        </w:rPr>
        <w:t>采用房屋交易价格测算出的房屋租金不能反映正常的市场租金水平，故未采用收益法</w:t>
      </w:r>
      <w:r>
        <w:rPr>
          <w:rFonts w:ascii="Arial" w:hAnsi="Arial" w:cs="Arial" w:hint="eastAsia"/>
          <w:color w:val="000000"/>
          <w:sz w:val="21"/>
          <w:szCs w:val="21"/>
        </w:rPr>
        <w:t>。</w:t>
      </w:r>
    </w:p>
    <w:p w14:paraId="4566FE34" w14:textId="77777777" w:rsidR="00AF6F34" w:rsidRDefault="00AF6F34">
      <w:pPr>
        <w:pStyle w:val="LO-Normal"/>
        <w:overflowPunct w:val="0"/>
        <w:autoSpaceDE w:val="0"/>
        <w:spacing w:line="480" w:lineRule="auto"/>
        <w:ind w:right="140"/>
        <w:jc w:val="both"/>
        <w:textAlignment w:val="auto"/>
      </w:pPr>
      <w:r>
        <w:rPr>
          <w:rFonts w:ascii="Arial" w:hAnsi="Arial" w:cs="Arial" w:hint="eastAsia"/>
          <w:b/>
          <w:sz w:val="21"/>
          <w:szCs w:val="21"/>
        </w:rPr>
        <w:t>（三）估价方法公式</w:t>
      </w:r>
      <w:r>
        <w:rPr>
          <w:rFonts w:ascii="Arial" w:eastAsia="Arial" w:hAnsi="Arial" w:cs="Arial"/>
          <w:b/>
          <w:color w:val="000000"/>
          <w:sz w:val="21"/>
          <w:szCs w:val="21"/>
        </w:rPr>
        <w:t xml:space="preserve"> </w:t>
      </w:r>
    </w:p>
    <w:p w14:paraId="1B32D7A0" w14:textId="77777777" w:rsidR="00AF6F34" w:rsidRDefault="00AF6F34">
      <w:pPr>
        <w:pStyle w:val="LO-Normal"/>
        <w:autoSpaceDE w:val="0"/>
        <w:spacing w:line="480" w:lineRule="auto"/>
        <w:ind w:right="140" w:firstLine="420"/>
        <w:jc w:val="both"/>
        <w:textAlignment w:val="bottom"/>
      </w:pPr>
      <w:r>
        <w:rPr>
          <w:rFonts w:ascii="Arial" w:hAnsi="Arial" w:cs="Arial" w:hint="eastAsia"/>
          <w:color w:val="000000"/>
          <w:sz w:val="21"/>
          <w:szCs w:val="21"/>
        </w:rPr>
        <w:t>比较法计算公式为：</w:t>
      </w:r>
    </w:p>
    <w:p w14:paraId="0886DA96" w14:textId="77777777" w:rsidR="00AF6F34" w:rsidRDefault="00AF6F34">
      <w:pPr>
        <w:pStyle w:val="LO-Normal"/>
        <w:overflowPunct w:val="0"/>
        <w:autoSpaceDE w:val="0"/>
        <w:spacing w:line="480" w:lineRule="auto"/>
        <w:ind w:right="140" w:firstLine="420"/>
        <w:jc w:val="both"/>
        <w:textAlignment w:val="auto"/>
      </w:pPr>
      <w:r>
        <w:rPr>
          <w:rFonts w:ascii="Arial" w:hAnsi="Arial" w:cs="Arial"/>
          <w:color w:val="000000"/>
          <w:sz w:val="21"/>
          <w:szCs w:val="21"/>
        </w:rPr>
        <w:t>待估房地产租赁价格＝可比实例房地产租赁价格</w:t>
      </w:r>
      <w:r>
        <w:rPr>
          <w:rFonts w:ascii="Arial" w:hAnsi="Arial" w:cs="Arial"/>
          <w:color w:val="000000"/>
          <w:sz w:val="21"/>
          <w:szCs w:val="21"/>
        </w:rPr>
        <w:t>×</w:t>
      </w:r>
      <w:r>
        <w:rPr>
          <w:rFonts w:ascii="Arial" w:hAnsi="Arial" w:cs="Arial"/>
          <w:color w:val="000000"/>
          <w:sz w:val="21"/>
          <w:szCs w:val="21"/>
        </w:rPr>
        <w:t>（待估房地产交易情况指数</w:t>
      </w:r>
      <w:r>
        <w:rPr>
          <w:rFonts w:ascii="Arial" w:hAnsi="Arial" w:cs="Arial"/>
          <w:color w:val="000000"/>
          <w:sz w:val="21"/>
          <w:szCs w:val="21"/>
        </w:rPr>
        <w:t>/</w:t>
      </w:r>
      <w:r>
        <w:rPr>
          <w:rFonts w:ascii="Arial" w:hAnsi="Arial" w:cs="Arial"/>
          <w:color w:val="000000"/>
          <w:sz w:val="21"/>
          <w:szCs w:val="21"/>
        </w:rPr>
        <w:t>可比实例交易情况指数）</w:t>
      </w:r>
      <w:r>
        <w:rPr>
          <w:rFonts w:ascii="Arial" w:hAnsi="Arial" w:cs="Arial"/>
          <w:color w:val="000000"/>
          <w:sz w:val="21"/>
          <w:szCs w:val="21"/>
        </w:rPr>
        <w:t>×</w:t>
      </w:r>
      <w:r>
        <w:rPr>
          <w:rFonts w:ascii="Arial" w:hAnsi="Arial" w:cs="Arial"/>
          <w:color w:val="000000"/>
          <w:sz w:val="21"/>
          <w:szCs w:val="21"/>
        </w:rPr>
        <w:t>（待估房地产交易日期房地产价租赁格指数</w:t>
      </w:r>
      <w:r>
        <w:rPr>
          <w:rFonts w:ascii="Arial" w:hAnsi="Arial" w:cs="Arial"/>
          <w:color w:val="000000"/>
          <w:sz w:val="21"/>
          <w:szCs w:val="21"/>
        </w:rPr>
        <w:t>/</w:t>
      </w:r>
      <w:r>
        <w:rPr>
          <w:rFonts w:ascii="Arial" w:hAnsi="Arial" w:cs="Arial"/>
          <w:color w:val="000000"/>
          <w:sz w:val="21"/>
          <w:szCs w:val="21"/>
        </w:rPr>
        <w:t>可比实例交易日期房地产租赁价格指数）</w:t>
      </w:r>
      <w:r>
        <w:rPr>
          <w:rFonts w:ascii="Arial" w:hAnsi="Arial" w:cs="Arial"/>
          <w:color w:val="000000"/>
          <w:sz w:val="21"/>
          <w:szCs w:val="21"/>
        </w:rPr>
        <w:t>×…×</w:t>
      </w:r>
      <w:r>
        <w:rPr>
          <w:rFonts w:ascii="Arial" w:hAnsi="Arial" w:cs="Arial"/>
          <w:color w:val="000000"/>
          <w:sz w:val="21"/>
          <w:szCs w:val="21"/>
        </w:rPr>
        <w:t>（待估房地产区域状况条件指数</w:t>
      </w:r>
      <w:r>
        <w:rPr>
          <w:rFonts w:ascii="Arial" w:hAnsi="Arial" w:cs="Arial"/>
          <w:color w:val="000000"/>
          <w:sz w:val="21"/>
          <w:szCs w:val="21"/>
        </w:rPr>
        <w:t>/</w:t>
      </w:r>
      <w:r>
        <w:rPr>
          <w:rFonts w:ascii="Arial" w:hAnsi="Arial" w:cs="Arial"/>
          <w:color w:val="000000"/>
          <w:sz w:val="21"/>
          <w:szCs w:val="21"/>
        </w:rPr>
        <w:t>可比实例房地产区域状况条件指数）</w:t>
      </w:r>
      <w:r>
        <w:rPr>
          <w:rFonts w:ascii="Arial" w:hAnsi="Arial" w:cs="Arial"/>
          <w:color w:val="000000"/>
          <w:sz w:val="21"/>
          <w:szCs w:val="21"/>
        </w:rPr>
        <w:t>×</w:t>
      </w:r>
      <w:r>
        <w:rPr>
          <w:rFonts w:ascii="Arial" w:hAnsi="Arial" w:cs="Arial"/>
          <w:color w:val="000000"/>
          <w:sz w:val="21"/>
          <w:szCs w:val="21"/>
        </w:rPr>
        <w:t>（待估房地产实物状况条件指数</w:t>
      </w:r>
      <w:r>
        <w:rPr>
          <w:rFonts w:ascii="Arial" w:hAnsi="Arial" w:cs="Arial"/>
          <w:color w:val="000000"/>
          <w:sz w:val="21"/>
          <w:szCs w:val="21"/>
        </w:rPr>
        <w:t>/</w:t>
      </w:r>
      <w:r>
        <w:rPr>
          <w:rFonts w:ascii="Arial" w:hAnsi="Arial" w:cs="Arial"/>
          <w:color w:val="000000"/>
          <w:sz w:val="21"/>
          <w:szCs w:val="21"/>
        </w:rPr>
        <w:t>可比实例房地产实物状况条件指数）</w:t>
      </w:r>
      <w:r>
        <w:rPr>
          <w:rFonts w:ascii="Arial" w:hAnsi="Arial" w:cs="Arial"/>
          <w:color w:val="000000"/>
          <w:sz w:val="21"/>
          <w:szCs w:val="21"/>
        </w:rPr>
        <w:t>×</w:t>
      </w:r>
      <w:r>
        <w:rPr>
          <w:rFonts w:ascii="Arial" w:hAnsi="Arial" w:cs="Arial"/>
          <w:color w:val="000000"/>
          <w:sz w:val="21"/>
          <w:szCs w:val="21"/>
        </w:rPr>
        <w:t>（待估房地产宜居状况条件指数</w:t>
      </w:r>
      <w:r>
        <w:rPr>
          <w:rFonts w:ascii="Arial" w:hAnsi="Arial" w:cs="Arial"/>
          <w:color w:val="000000"/>
          <w:sz w:val="21"/>
          <w:szCs w:val="21"/>
        </w:rPr>
        <w:t>/</w:t>
      </w:r>
      <w:r>
        <w:rPr>
          <w:rFonts w:ascii="Arial" w:hAnsi="Arial" w:cs="Arial"/>
          <w:color w:val="000000"/>
          <w:sz w:val="21"/>
          <w:szCs w:val="21"/>
        </w:rPr>
        <w:t>可比实例房地产宜居状况条件指数</w:t>
      </w:r>
      <w:r>
        <w:rPr>
          <w:rFonts w:ascii="Arial" w:hAnsi="Arial" w:cs="Arial" w:hint="eastAsia"/>
          <w:color w:val="000000"/>
          <w:sz w:val="21"/>
          <w:szCs w:val="21"/>
        </w:rPr>
        <w:t>）</w:t>
      </w:r>
    </w:p>
    <w:p w14:paraId="387C6E94" w14:textId="77777777" w:rsidR="00AF6F34" w:rsidRDefault="00AF6F34">
      <w:pPr>
        <w:pStyle w:val="LO-Normal"/>
        <w:overflowPunct w:val="0"/>
        <w:autoSpaceDE w:val="0"/>
        <w:spacing w:line="480" w:lineRule="auto"/>
        <w:ind w:right="140" w:firstLine="420"/>
        <w:jc w:val="both"/>
        <w:textAlignment w:val="auto"/>
      </w:pPr>
      <w:r>
        <w:rPr>
          <w:rFonts w:ascii="Arial" w:hAnsi="Arial" w:cs="Arial" w:hint="eastAsia"/>
          <w:color w:val="000000"/>
          <w:sz w:val="21"/>
          <w:szCs w:val="21"/>
        </w:rPr>
        <w:t>具体步骤如下：</w:t>
      </w:r>
    </w:p>
    <w:p w14:paraId="18AB058D" w14:textId="77777777" w:rsidR="00AF6F34" w:rsidRDefault="00AF6F34">
      <w:pPr>
        <w:pStyle w:val="LO-Normal"/>
        <w:numPr>
          <w:ilvl w:val="0"/>
          <w:numId w:val="6"/>
        </w:numPr>
        <w:overflowPunct w:val="0"/>
        <w:autoSpaceDE w:val="0"/>
        <w:spacing w:line="480" w:lineRule="auto"/>
        <w:ind w:right="140"/>
        <w:jc w:val="both"/>
        <w:textAlignment w:val="auto"/>
      </w:pPr>
      <w:r>
        <w:rPr>
          <w:rFonts w:ascii="Arial" w:hAnsi="Arial" w:cs="Arial" w:hint="eastAsia"/>
          <w:color w:val="000000"/>
          <w:sz w:val="21"/>
          <w:szCs w:val="21"/>
        </w:rPr>
        <w:t>选择可比案例</w:t>
      </w:r>
    </w:p>
    <w:p w14:paraId="7400A745" w14:textId="77777777" w:rsidR="00AF6F34" w:rsidRDefault="00AF6F34">
      <w:pPr>
        <w:overflowPunct w:val="0"/>
        <w:spacing w:line="480" w:lineRule="auto"/>
        <w:ind w:left="780"/>
      </w:pPr>
      <w:r>
        <w:rPr>
          <w:rFonts w:ascii="Arial" w:hAnsi="Arial" w:cs="Arial" w:hint="eastAsia"/>
          <w:sz w:val="21"/>
          <w:szCs w:val="21"/>
        </w:rPr>
        <w:t>（</w:t>
      </w:r>
      <w:r>
        <w:rPr>
          <w:rFonts w:ascii="Arial" w:hAnsi="Arial" w:cs="Arial"/>
          <w:sz w:val="21"/>
          <w:szCs w:val="21"/>
        </w:rPr>
        <w:t>1</w:t>
      </w:r>
      <w:r>
        <w:rPr>
          <w:rFonts w:ascii="Arial" w:hAnsi="Arial" w:cs="Arial" w:hint="eastAsia"/>
          <w:sz w:val="21"/>
          <w:szCs w:val="21"/>
        </w:rPr>
        <w:t>）选择可比案例</w:t>
      </w:r>
    </w:p>
    <w:p w14:paraId="581DF2FB" w14:textId="77777777" w:rsidR="00AF6F34" w:rsidRDefault="00AF6F34">
      <w:pPr>
        <w:overflowPunct w:val="0"/>
        <w:spacing w:line="480" w:lineRule="auto"/>
        <w:ind w:left="780"/>
      </w:pPr>
      <w:r>
        <w:rPr>
          <w:rFonts w:ascii="Arial" w:hAnsi="Arial" w:cs="Arial" w:hint="eastAsia"/>
          <w:sz w:val="21"/>
          <w:szCs w:val="21"/>
        </w:rPr>
        <w:t>选择比较案例时，应符合以下要求（与待估房地产比较）</w:t>
      </w:r>
    </w:p>
    <w:p w14:paraId="0FFF7D33" w14:textId="77777777" w:rsidR="00AF6F34" w:rsidRDefault="00AF6F34">
      <w:pPr>
        <w:overflowPunct w:val="0"/>
        <w:spacing w:line="480" w:lineRule="auto"/>
        <w:ind w:left="780"/>
      </w:pPr>
      <w:r>
        <w:rPr>
          <w:rFonts w:ascii="Arial" w:hAnsi="Arial" w:cs="Arial"/>
          <w:sz w:val="21"/>
          <w:szCs w:val="21"/>
        </w:rPr>
        <w:t>1</w:t>
      </w:r>
      <w:r>
        <w:rPr>
          <w:rFonts w:ascii="Arial" w:hAnsi="Arial" w:cs="Arial" w:hint="eastAsia"/>
          <w:sz w:val="21"/>
          <w:szCs w:val="21"/>
        </w:rPr>
        <w:t>）用途相同</w:t>
      </w:r>
    </w:p>
    <w:p w14:paraId="5772C439" w14:textId="77777777" w:rsidR="00AF6F34" w:rsidRDefault="00AF6F34">
      <w:pPr>
        <w:overflowPunct w:val="0"/>
        <w:spacing w:line="480" w:lineRule="auto"/>
        <w:ind w:left="780"/>
      </w:pPr>
      <w:r>
        <w:rPr>
          <w:rFonts w:ascii="Arial" w:hAnsi="Arial" w:cs="Arial"/>
          <w:sz w:val="21"/>
          <w:szCs w:val="21"/>
        </w:rPr>
        <w:t>2</w:t>
      </w:r>
      <w:r>
        <w:rPr>
          <w:rFonts w:ascii="Arial" w:hAnsi="Arial" w:cs="Arial" w:hint="eastAsia"/>
          <w:sz w:val="21"/>
          <w:szCs w:val="21"/>
        </w:rPr>
        <w:t>）属于正常交易</w:t>
      </w:r>
    </w:p>
    <w:p w14:paraId="68DEAF79" w14:textId="77777777" w:rsidR="00AF6F34" w:rsidRDefault="00AF6F34">
      <w:pPr>
        <w:overflowPunct w:val="0"/>
        <w:spacing w:line="480" w:lineRule="auto"/>
        <w:ind w:left="780"/>
      </w:pPr>
      <w:r>
        <w:rPr>
          <w:rFonts w:ascii="Arial" w:hAnsi="Arial" w:cs="Arial"/>
          <w:sz w:val="21"/>
          <w:szCs w:val="21"/>
        </w:rPr>
        <w:t>3</w:t>
      </w:r>
      <w:r>
        <w:rPr>
          <w:rFonts w:ascii="Arial" w:hAnsi="Arial" w:cs="Arial" w:hint="eastAsia"/>
          <w:sz w:val="21"/>
          <w:szCs w:val="21"/>
        </w:rPr>
        <w:t>）房地产状况各因素相近</w:t>
      </w:r>
    </w:p>
    <w:p w14:paraId="41FE9CF5" w14:textId="77777777" w:rsidR="00AF6F34" w:rsidRDefault="00AF6F34">
      <w:pPr>
        <w:overflowPunct w:val="0"/>
        <w:spacing w:line="480" w:lineRule="auto"/>
        <w:ind w:left="780"/>
      </w:pPr>
      <w:r>
        <w:rPr>
          <w:rFonts w:ascii="Arial" w:hAnsi="Arial" w:cs="Arial"/>
          <w:sz w:val="21"/>
          <w:szCs w:val="21"/>
        </w:rPr>
        <w:t>4</w:t>
      </w:r>
      <w:r>
        <w:rPr>
          <w:rFonts w:ascii="Arial" w:hAnsi="Arial" w:cs="Arial" w:hint="eastAsia"/>
          <w:sz w:val="21"/>
          <w:szCs w:val="21"/>
        </w:rPr>
        <w:t>）价值时点接近</w:t>
      </w:r>
    </w:p>
    <w:p w14:paraId="5FD84156" w14:textId="77777777" w:rsidR="00AF6F34" w:rsidRDefault="00AF6F34">
      <w:pPr>
        <w:overflowPunct w:val="0"/>
        <w:spacing w:line="480" w:lineRule="auto"/>
        <w:ind w:left="780"/>
      </w:pPr>
      <w:r>
        <w:rPr>
          <w:rFonts w:ascii="Arial" w:hAnsi="Arial" w:cs="Arial"/>
          <w:sz w:val="21"/>
          <w:szCs w:val="21"/>
        </w:rPr>
        <w:t>5</w:t>
      </w:r>
      <w:r>
        <w:rPr>
          <w:rFonts w:ascii="Arial" w:hAnsi="Arial" w:cs="Arial" w:hint="eastAsia"/>
          <w:sz w:val="21"/>
          <w:szCs w:val="21"/>
        </w:rPr>
        <w:t>）统一价格基础</w:t>
      </w:r>
    </w:p>
    <w:p w14:paraId="064F7463" w14:textId="77777777" w:rsidR="00AF6F34" w:rsidRDefault="00AF6F34">
      <w:pPr>
        <w:overflowPunct w:val="0"/>
        <w:spacing w:line="480" w:lineRule="auto"/>
        <w:ind w:left="780"/>
      </w:pPr>
      <w:r>
        <w:rPr>
          <w:rFonts w:ascii="Arial" w:hAnsi="Arial" w:cs="Arial" w:hint="eastAsia"/>
          <w:sz w:val="21"/>
          <w:szCs w:val="21"/>
        </w:rPr>
        <w:t>（</w:t>
      </w:r>
      <w:r>
        <w:rPr>
          <w:rFonts w:ascii="Arial" w:hAnsi="Arial" w:cs="Arial"/>
          <w:sz w:val="21"/>
          <w:szCs w:val="21"/>
        </w:rPr>
        <w:t>2</w:t>
      </w:r>
      <w:r>
        <w:rPr>
          <w:rFonts w:ascii="Arial" w:hAnsi="Arial" w:cs="Arial" w:hint="eastAsia"/>
          <w:sz w:val="21"/>
          <w:szCs w:val="21"/>
        </w:rPr>
        <w:t>）进行交易情况、市场状况、房地产状况（区位、实物）等因素修正和调整</w:t>
      </w:r>
    </w:p>
    <w:p w14:paraId="31309BE9" w14:textId="77777777" w:rsidR="00AF6F34" w:rsidRDefault="00AF6F34">
      <w:pPr>
        <w:overflowPunct w:val="0"/>
        <w:spacing w:line="480" w:lineRule="auto"/>
        <w:ind w:left="780"/>
      </w:pPr>
      <w:r>
        <w:rPr>
          <w:rFonts w:ascii="Arial" w:hAnsi="Arial" w:cs="Arial" w:hint="eastAsia"/>
          <w:sz w:val="21"/>
          <w:szCs w:val="21"/>
        </w:rPr>
        <w:t>（</w:t>
      </w:r>
      <w:r>
        <w:rPr>
          <w:rFonts w:ascii="Arial" w:hAnsi="Arial" w:cs="Arial"/>
          <w:sz w:val="21"/>
          <w:szCs w:val="21"/>
        </w:rPr>
        <w:t>3</w:t>
      </w:r>
      <w:r>
        <w:rPr>
          <w:rFonts w:ascii="Arial" w:hAnsi="Arial" w:cs="Arial" w:hint="eastAsia"/>
          <w:sz w:val="21"/>
          <w:szCs w:val="21"/>
        </w:rPr>
        <w:t>）求取估价对象比较价值</w:t>
      </w:r>
    </w:p>
    <w:p w14:paraId="30D9F7FC" w14:textId="77777777" w:rsidR="00AF6F34" w:rsidRDefault="00AF6F34">
      <w:pPr>
        <w:pStyle w:val="LO-Normal"/>
        <w:numPr>
          <w:ilvl w:val="0"/>
          <w:numId w:val="6"/>
        </w:numPr>
        <w:overflowPunct w:val="0"/>
        <w:autoSpaceDE w:val="0"/>
        <w:spacing w:line="480" w:lineRule="auto"/>
        <w:ind w:right="140"/>
        <w:jc w:val="both"/>
        <w:textAlignment w:val="auto"/>
      </w:pPr>
      <w:r>
        <w:rPr>
          <w:rFonts w:ascii="Arial" w:hAnsi="Arial" w:cs="Arial" w:hint="eastAsia"/>
          <w:color w:val="000000"/>
          <w:sz w:val="21"/>
          <w:szCs w:val="21"/>
        </w:rPr>
        <w:t>进行交易情况、交易日期、房地产状况等因素修正</w:t>
      </w:r>
    </w:p>
    <w:p w14:paraId="350B5D2F" w14:textId="77777777" w:rsidR="00AF6F34" w:rsidRDefault="00AF6F34">
      <w:pPr>
        <w:pStyle w:val="LO-Normal"/>
        <w:numPr>
          <w:ilvl w:val="0"/>
          <w:numId w:val="6"/>
        </w:numPr>
        <w:overflowPunct w:val="0"/>
        <w:autoSpaceDE w:val="0"/>
        <w:spacing w:line="480" w:lineRule="auto"/>
        <w:ind w:right="140"/>
        <w:jc w:val="both"/>
        <w:textAlignment w:val="auto"/>
      </w:pPr>
      <w:r>
        <w:rPr>
          <w:rFonts w:ascii="Arial" w:hAnsi="Arial" w:cs="Arial" w:hint="eastAsia"/>
          <w:color w:val="000000"/>
          <w:sz w:val="21"/>
          <w:szCs w:val="21"/>
        </w:rPr>
        <w:t>求取估价对象比准价格</w:t>
      </w:r>
    </w:p>
    <w:p w14:paraId="1002975D" w14:textId="77777777" w:rsidR="00AF6F34" w:rsidRDefault="00AF6F34">
      <w:pPr>
        <w:spacing w:line="480" w:lineRule="auto"/>
        <w:ind w:firstLine="422"/>
        <w:jc w:val="both"/>
        <w:rPr>
          <w:rFonts w:ascii="Arial" w:hAnsi="Arial" w:cs="Arial"/>
          <w:b/>
          <w:color w:val="000000"/>
          <w:kern w:val="2"/>
          <w:sz w:val="21"/>
          <w:szCs w:val="21"/>
        </w:rPr>
      </w:pPr>
    </w:p>
    <w:p w14:paraId="4E75829B" w14:textId="77777777" w:rsidR="00AF6F34" w:rsidRDefault="00AF6F34">
      <w:pPr>
        <w:pStyle w:val="2"/>
        <w:numPr>
          <w:ilvl w:val="0"/>
          <w:numId w:val="0"/>
        </w:numPr>
        <w:spacing w:line="480" w:lineRule="auto"/>
        <w:ind w:left="358" w:hanging="358"/>
        <w:jc w:val="both"/>
      </w:pPr>
      <w:bookmarkStart w:id="37" w:name="_Toc161661026"/>
      <w:r>
        <w:rPr>
          <w:rFonts w:eastAsia="宋体"/>
          <w:kern w:val="2"/>
          <w:sz w:val="21"/>
          <w:szCs w:val="21"/>
        </w:rPr>
        <w:lastRenderedPageBreak/>
        <w:t>五、估价测算过程</w:t>
      </w:r>
      <w:bookmarkEnd w:id="37"/>
      <w:r>
        <w:rPr>
          <w:rFonts w:eastAsia="Arial" w:hint="eastAsia"/>
          <w:kern w:val="2"/>
          <w:sz w:val="21"/>
          <w:szCs w:val="21"/>
        </w:rPr>
        <w:t xml:space="preserve">  </w:t>
      </w:r>
    </w:p>
    <w:p w14:paraId="0D205A84" w14:textId="77777777" w:rsidR="00AF6F34" w:rsidRDefault="00AF6F34">
      <w:pPr>
        <w:pStyle w:val="LO-Normal"/>
        <w:autoSpaceDE w:val="0"/>
        <w:spacing w:line="480" w:lineRule="auto"/>
        <w:ind w:right="140" w:firstLine="422"/>
        <w:jc w:val="both"/>
        <w:textAlignment w:val="bottom"/>
      </w:pPr>
      <w:r>
        <w:rPr>
          <w:rFonts w:ascii="Arial" w:hAnsi="Arial" w:cs="Arial" w:hint="eastAsia"/>
          <w:b/>
          <w:sz w:val="21"/>
          <w:szCs w:val="21"/>
        </w:rPr>
        <w:t>（一）</w:t>
      </w:r>
      <w:r w:rsidR="00431E21">
        <w:rPr>
          <w:rFonts w:ascii="Arial" w:hAnsi="Arial" w:cs="Arial" w:hint="eastAsia"/>
          <w:b/>
          <w:sz w:val="21"/>
          <w:szCs w:val="21"/>
        </w:rPr>
        <w:t>户型</w:t>
      </w:r>
      <w:r>
        <w:rPr>
          <w:rFonts w:ascii="Arial" w:hAnsi="Arial" w:cs="Arial" w:hint="eastAsia"/>
          <w:b/>
          <w:sz w:val="21"/>
          <w:szCs w:val="21"/>
        </w:rPr>
        <w:t>选取</w:t>
      </w:r>
    </w:p>
    <w:p w14:paraId="2D3D2424" w14:textId="33A1F6D3" w:rsidR="00AF6F34" w:rsidRDefault="00AF6F34">
      <w:pPr>
        <w:pStyle w:val="LO-Normal"/>
        <w:overflowPunct w:val="0"/>
        <w:autoSpaceDE w:val="0"/>
        <w:spacing w:line="480" w:lineRule="auto"/>
        <w:ind w:right="140" w:firstLine="420"/>
        <w:jc w:val="both"/>
        <w:textAlignment w:val="auto"/>
      </w:pPr>
      <w:r>
        <w:rPr>
          <w:rFonts w:ascii="Arial" w:hAnsi="Arial" w:cs="Arial"/>
          <w:bCs/>
          <w:color w:val="000000"/>
          <w:sz w:val="21"/>
          <w:szCs w:val="21"/>
        </w:rPr>
        <w:t>估价对象</w:t>
      </w:r>
      <w:r>
        <w:rPr>
          <w:rFonts w:ascii="Arial" w:hAnsi="Arial" w:cs="Arial" w:hint="eastAsia"/>
          <w:sz w:val="21"/>
          <w:szCs w:val="21"/>
        </w:rPr>
        <w:t>有三种户型，分别为一居室、二居室、三居室。其中，</w:t>
      </w:r>
      <w:r w:rsidR="00CD440E">
        <w:rPr>
          <w:rFonts w:ascii="Arial" w:hAnsi="Arial" w:cs="Arial" w:hint="eastAsia"/>
          <w:sz w:val="21"/>
          <w:szCs w:val="21"/>
        </w:rPr>
        <w:t>一居室共</w:t>
      </w:r>
      <w:r w:rsidR="00CD440E">
        <w:rPr>
          <w:rFonts w:ascii="Arial" w:hAnsi="Arial" w:cs="Arial" w:hint="eastAsia"/>
          <w:sz w:val="21"/>
          <w:szCs w:val="21"/>
        </w:rPr>
        <w:t>494</w:t>
      </w:r>
      <w:r w:rsidR="00CD440E">
        <w:rPr>
          <w:rFonts w:ascii="Arial" w:hAnsi="Arial" w:cs="Arial" w:hint="eastAsia"/>
          <w:sz w:val="21"/>
          <w:szCs w:val="21"/>
        </w:rPr>
        <w:t>套，</w:t>
      </w:r>
      <w:r w:rsidR="008322C0">
        <w:rPr>
          <w:rFonts w:ascii="Arial" w:hAnsi="Arial" w:cs="Arial" w:hint="eastAsia"/>
          <w:sz w:val="21"/>
          <w:szCs w:val="21"/>
        </w:rPr>
        <w:t>约占估价对象总套数的</w:t>
      </w:r>
      <w:r w:rsidR="002F6ADB">
        <w:rPr>
          <w:rFonts w:ascii="Arial" w:hAnsi="Arial" w:cs="Arial" w:hint="eastAsia"/>
          <w:sz w:val="21"/>
          <w:szCs w:val="21"/>
        </w:rPr>
        <w:t>51.5%</w:t>
      </w:r>
      <w:r w:rsidR="00CD440E">
        <w:rPr>
          <w:rFonts w:ascii="Arial" w:hAnsi="Arial" w:cs="Arial" w:hint="eastAsia"/>
          <w:sz w:val="21"/>
          <w:szCs w:val="21"/>
        </w:rPr>
        <w:t>，</w:t>
      </w:r>
      <w:r w:rsidR="00990456">
        <w:rPr>
          <w:rFonts w:ascii="Arial" w:hAnsi="Arial" w:cs="Arial" w:hint="eastAsia"/>
          <w:sz w:val="21"/>
          <w:szCs w:val="21"/>
        </w:rPr>
        <w:t>面积集中在</w:t>
      </w:r>
      <w:r w:rsidR="00990456">
        <w:rPr>
          <w:rFonts w:ascii="Arial" w:hAnsi="Arial" w:cs="Arial" w:hint="eastAsia"/>
          <w:sz w:val="21"/>
          <w:szCs w:val="21"/>
        </w:rPr>
        <w:t>62.36-69.96</w:t>
      </w:r>
      <w:r w:rsidR="00990456">
        <w:rPr>
          <w:rFonts w:ascii="Arial" w:hAnsi="Arial" w:cs="Arial" w:hint="eastAsia"/>
          <w:sz w:val="21"/>
          <w:szCs w:val="21"/>
        </w:rPr>
        <w:t>平方米（仅有一间</w:t>
      </w:r>
      <w:r w:rsidR="00990456">
        <w:rPr>
          <w:rFonts w:ascii="Arial" w:hAnsi="Arial" w:cs="Arial" w:hint="eastAsia"/>
          <w:sz w:val="21"/>
          <w:szCs w:val="21"/>
        </w:rPr>
        <w:t>49.81</w:t>
      </w:r>
      <w:r w:rsidR="00990456">
        <w:rPr>
          <w:rFonts w:ascii="Arial" w:hAnsi="Arial" w:cs="Arial" w:hint="eastAsia"/>
          <w:sz w:val="21"/>
          <w:szCs w:val="21"/>
        </w:rPr>
        <w:t>平方米）</w:t>
      </w:r>
      <w:r>
        <w:rPr>
          <w:rFonts w:ascii="Arial" w:hAnsi="Arial" w:cs="Arial" w:hint="eastAsia"/>
          <w:sz w:val="21"/>
          <w:szCs w:val="21"/>
        </w:rPr>
        <w:t>；</w:t>
      </w:r>
      <w:r w:rsidR="002F6ADB">
        <w:rPr>
          <w:rFonts w:ascii="Arial" w:hAnsi="Arial" w:cs="Arial" w:hint="eastAsia"/>
          <w:sz w:val="21"/>
          <w:szCs w:val="21"/>
        </w:rPr>
        <w:t>二居室共</w:t>
      </w:r>
      <w:r w:rsidR="002F6ADB">
        <w:rPr>
          <w:rFonts w:ascii="Arial" w:hAnsi="Arial" w:cs="Arial" w:hint="eastAsia"/>
          <w:sz w:val="21"/>
          <w:szCs w:val="21"/>
        </w:rPr>
        <w:t>443</w:t>
      </w:r>
      <w:r w:rsidR="002F6ADB">
        <w:rPr>
          <w:rFonts w:ascii="Arial" w:hAnsi="Arial" w:cs="Arial" w:hint="eastAsia"/>
          <w:sz w:val="21"/>
          <w:szCs w:val="21"/>
        </w:rPr>
        <w:t>套</w:t>
      </w:r>
      <w:r w:rsidR="00CD440E">
        <w:rPr>
          <w:rFonts w:ascii="Arial" w:hAnsi="Arial" w:cs="Arial" w:hint="eastAsia"/>
          <w:sz w:val="21"/>
          <w:szCs w:val="21"/>
        </w:rPr>
        <w:t>，</w:t>
      </w:r>
      <w:r w:rsidR="008322C0">
        <w:rPr>
          <w:rFonts w:ascii="Arial" w:hAnsi="Arial" w:cs="Arial" w:hint="eastAsia"/>
          <w:sz w:val="21"/>
          <w:szCs w:val="21"/>
        </w:rPr>
        <w:t>约占估价对象总套数的</w:t>
      </w:r>
      <w:r w:rsidR="002F6ADB">
        <w:rPr>
          <w:rFonts w:ascii="Arial" w:hAnsi="Arial" w:cs="Arial" w:hint="eastAsia"/>
          <w:sz w:val="21"/>
          <w:szCs w:val="21"/>
        </w:rPr>
        <w:t>46.2%</w:t>
      </w:r>
      <w:r w:rsidR="00CD440E">
        <w:rPr>
          <w:rFonts w:ascii="Arial" w:hAnsi="Arial" w:cs="Arial" w:hint="eastAsia"/>
          <w:sz w:val="21"/>
          <w:szCs w:val="21"/>
        </w:rPr>
        <w:t>，</w:t>
      </w:r>
      <w:r w:rsidR="00CB5D09">
        <w:rPr>
          <w:rFonts w:ascii="Arial" w:hAnsi="Arial" w:cs="Arial" w:hint="eastAsia"/>
          <w:sz w:val="21"/>
          <w:szCs w:val="21"/>
        </w:rPr>
        <w:t>面积集中在</w:t>
      </w:r>
      <w:r>
        <w:rPr>
          <w:rFonts w:ascii="Arial" w:hAnsi="Arial" w:cs="Arial" w:hint="eastAsia"/>
          <w:sz w:val="21"/>
          <w:szCs w:val="21"/>
        </w:rPr>
        <w:t>87.22-91.05</w:t>
      </w:r>
      <w:r>
        <w:rPr>
          <w:rFonts w:ascii="Arial" w:hAnsi="Arial" w:cs="Arial" w:hint="eastAsia"/>
          <w:sz w:val="21"/>
          <w:szCs w:val="21"/>
        </w:rPr>
        <w:t>平方米；</w:t>
      </w:r>
      <w:r w:rsidR="00CD440E">
        <w:rPr>
          <w:rFonts w:ascii="Arial" w:hAnsi="Arial" w:cs="Arial" w:hint="eastAsia"/>
          <w:sz w:val="21"/>
          <w:szCs w:val="21"/>
        </w:rPr>
        <w:t>三居室共</w:t>
      </w:r>
      <w:r w:rsidR="00CD440E">
        <w:rPr>
          <w:rFonts w:ascii="Arial" w:hAnsi="Arial" w:cs="Arial" w:hint="eastAsia"/>
          <w:sz w:val="21"/>
          <w:szCs w:val="21"/>
        </w:rPr>
        <w:t>22</w:t>
      </w:r>
      <w:r w:rsidR="00CD440E">
        <w:rPr>
          <w:rFonts w:ascii="Arial" w:hAnsi="Arial" w:cs="Arial" w:hint="eastAsia"/>
          <w:sz w:val="21"/>
          <w:szCs w:val="21"/>
        </w:rPr>
        <w:t>套，</w:t>
      </w:r>
      <w:r w:rsidR="008322C0">
        <w:rPr>
          <w:rFonts w:ascii="Arial" w:hAnsi="Arial" w:cs="Arial" w:hint="eastAsia"/>
          <w:sz w:val="21"/>
          <w:szCs w:val="21"/>
        </w:rPr>
        <w:t>约占估价对象总套数的</w:t>
      </w:r>
      <w:r w:rsidR="00CD440E">
        <w:rPr>
          <w:rFonts w:ascii="Arial" w:hAnsi="Arial" w:cs="Arial" w:hint="eastAsia"/>
          <w:sz w:val="21"/>
          <w:szCs w:val="21"/>
        </w:rPr>
        <w:t>2.3%</w:t>
      </w:r>
      <w:r w:rsidR="00CD440E">
        <w:rPr>
          <w:rFonts w:ascii="Arial" w:hAnsi="Arial" w:cs="Arial" w:hint="eastAsia"/>
          <w:sz w:val="21"/>
          <w:szCs w:val="21"/>
        </w:rPr>
        <w:t>，</w:t>
      </w:r>
      <w:r w:rsidR="00CB5D09">
        <w:rPr>
          <w:rFonts w:ascii="Arial" w:hAnsi="Arial" w:cs="Arial" w:hint="eastAsia"/>
          <w:sz w:val="21"/>
          <w:szCs w:val="21"/>
        </w:rPr>
        <w:t>面积集中在</w:t>
      </w:r>
      <w:r>
        <w:rPr>
          <w:rFonts w:ascii="Arial" w:hAnsi="Arial" w:cs="Arial" w:hint="eastAsia"/>
          <w:sz w:val="21"/>
          <w:szCs w:val="21"/>
        </w:rPr>
        <w:t>97.97-109.46</w:t>
      </w:r>
      <w:r>
        <w:rPr>
          <w:rFonts w:ascii="Arial" w:hAnsi="Arial" w:cs="Arial" w:hint="eastAsia"/>
          <w:sz w:val="21"/>
          <w:szCs w:val="21"/>
        </w:rPr>
        <w:t>平方米。依据众数原则，选取户型为一居室，面积为</w:t>
      </w:r>
      <w:r>
        <w:rPr>
          <w:rFonts w:ascii="Arial" w:hAnsi="Arial" w:cs="Arial" w:hint="eastAsia"/>
          <w:sz w:val="21"/>
          <w:szCs w:val="21"/>
        </w:rPr>
        <w:t>60-70</w:t>
      </w:r>
      <w:r>
        <w:rPr>
          <w:rFonts w:ascii="Arial" w:hAnsi="Arial" w:cs="Arial" w:hint="eastAsia"/>
          <w:sz w:val="21"/>
          <w:szCs w:val="21"/>
        </w:rPr>
        <w:t>平方米，朝向为南，</w:t>
      </w:r>
      <w:r w:rsidR="00464E89">
        <w:rPr>
          <w:rFonts w:ascii="Arial" w:hAnsi="Arial" w:cs="Arial" w:hint="eastAsia"/>
          <w:sz w:val="21"/>
          <w:szCs w:val="21"/>
        </w:rPr>
        <w:t>装修情况设定为全装修</w:t>
      </w:r>
      <w:r>
        <w:rPr>
          <w:rFonts w:ascii="Arial" w:hAnsi="Arial" w:cs="Arial" w:hint="eastAsia"/>
          <w:sz w:val="21"/>
          <w:szCs w:val="21"/>
        </w:rPr>
        <w:t>。</w:t>
      </w:r>
    </w:p>
    <w:p w14:paraId="1DA036AC" w14:textId="77777777" w:rsidR="00AF6F34" w:rsidRDefault="00AF6F34">
      <w:pPr>
        <w:pStyle w:val="LO-Normal"/>
        <w:autoSpaceDE w:val="0"/>
        <w:spacing w:line="480" w:lineRule="auto"/>
        <w:ind w:right="140" w:firstLine="422"/>
        <w:jc w:val="both"/>
        <w:textAlignment w:val="bottom"/>
      </w:pPr>
      <w:r>
        <w:rPr>
          <w:rFonts w:ascii="Arial" w:hAnsi="Arial" w:cs="Arial"/>
          <w:b/>
          <w:sz w:val="21"/>
          <w:szCs w:val="21"/>
        </w:rPr>
        <w:t>（</w:t>
      </w:r>
      <w:r>
        <w:rPr>
          <w:rFonts w:ascii="Arial" w:hAnsi="Arial" w:cs="Arial" w:hint="eastAsia"/>
          <w:b/>
          <w:sz w:val="21"/>
          <w:szCs w:val="21"/>
        </w:rPr>
        <w:t>二</w:t>
      </w:r>
      <w:r>
        <w:rPr>
          <w:rFonts w:ascii="Arial" w:hAnsi="Arial" w:cs="Arial"/>
          <w:b/>
          <w:sz w:val="21"/>
          <w:szCs w:val="21"/>
        </w:rPr>
        <w:t>）</w:t>
      </w:r>
      <w:r>
        <w:rPr>
          <w:rFonts w:ascii="Arial" w:hAnsi="Arial" w:cs="Arial" w:hint="eastAsia"/>
          <w:b/>
          <w:kern w:val="2"/>
          <w:sz w:val="21"/>
          <w:szCs w:val="21"/>
        </w:rPr>
        <w:t>可比案例选取</w:t>
      </w:r>
    </w:p>
    <w:p w14:paraId="265E23CD" w14:textId="77777777" w:rsidR="00AF6F34" w:rsidRDefault="00AF6F34">
      <w:pPr>
        <w:pStyle w:val="LO-Normal"/>
        <w:autoSpaceDE w:val="0"/>
        <w:spacing w:line="480" w:lineRule="auto"/>
        <w:ind w:firstLine="420"/>
        <w:jc w:val="both"/>
        <w:textAlignment w:val="bottom"/>
      </w:pPr>
      <w:r>
        <w:rPr>
          <w:rFonts w:ascii="Arial" w:hAnsi="Arial" w:cs="Arial"/>
          <w:color w:val="000000"/>
          <w:sz w:val="21"/>
          <w:szCs w:val="21"/>
        </w:rPr>
        <w:t xml:space="preserve">1. </w:t>
      </w:r>
      <w:r>
        <w:rPr>
          <w:rFonts w:ascii="Arial" w:hAnsi="Arial" w:cs="Arial" w:hint="eastAsia"/>
          <w:color w:val="000000"/>
          <w:sz w:val="21"/>
          <w:szCs w:val="21"/>
        </w:rPr>
        <w:t>估价机构样本小区数据选取</w:t>
      </w:r>
      <w:r>
        <w:rPr>
          <w:rFonts w:ascii="Arial" w:eastAsia="Arial" w:hAnsi="Arial" w:cs="Arial"/>
          <w:color w:val="000000"/>
          <w:sz w:val="21"/>
          <w:szCs w:val="21"/>
        </w:rPr>
        <w:t xml:space="preserve"> </w:t>
      </w:r>
    </w:p>
    <w:p w14:paraId="0490359C" w14:textId="77777777" w:rsidR="00AF6F34" w:rsidRDefault="00AF6F34">
      <w:pPr>
        <w:pStyle w:val="LO-Normal"/>
        <w:autoSpaceDE w:val="0"/>
        <w:spacing w:line="480" w:lineRule="auto"/>
        <w:ind w:firstLine="420"/>
        <w:jc w:val="both"/>
        <w:textAlignment w:val="bottom"/>
      </w:pPr>
      <w:r>
        <w:rPr>
          <w:rFonts w:cs="Arial" w:hint="eastAsia"/>
          <w:color w:val="000000"/>
          <w:sz w:val="21"/>
          <w:szCs w:val="21"/>
        </w:rPr>
        <w:t>（1）</w:t>
      </w:r>
      <w:r w:rsidR="00D1407E" w:rsidRPr="00CF1CF7">
        <w:rPr>
          <w:rFonts w:ascii="Arial" w:hAnsi="Arial" w:cs="Arial"/>
          <w:sz w:val="21"/>
          <w:szCs w:val="21"/>
        </w:rPr>
        <w:t>搜集交易实例</w:t>
      </w:r>
    </w:p>
    <w:p w14:paraId="2B6555C0" w14:textId="77777777" w:rsidR="008956FD" w:rsidRDefault="008956FD" w:rsidP="008956FD">
      <w:pPr>
        <w:pStyle w:val="12"/>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运用比较法估价需要调查大量的交易实例，才能通过比较从中选择合适的比较实例，客观评估估价对象的价格。本次估价，评估专业人员通过现场调查、调档机构内部积累数据，搜集了近一年以来与估价对象处于同一供需圈、使用功能相似、户型相似的</w:t>
      </w:r>
      <w:r>
        <w:rPr>
          <w:rFonts w:ascii="Arial" w:hAnsi="Arial" w:cs="Arial" w:hint="eastAsia"/>
          <w:sz w:val="21"/>
          <w:szCs w:val="21"/>
        </w:rPr>
        <w:t>五</w:t>
      </w:r>
      <w:r w:rsidRPr="00CF1CF7">
        <w:rPr>
          <w:rFonts w:ascii="Arial" w:hAnsi="Arial" w:cs="Arial"/>
          <w:sz w:val="21"/>
          <w:szCs w:val="21"/>
        </w:rPr>
        <w:t>个小区</w:t>
      </w:r>
      <w:r w:rsidRPr="00CF1CF7">
        <w:rPr>
          <w:rFonts w:ascii="Arial" w:hAnsi="Arial" w:cs="Arial" w:hint="eastAsia"/>
          <w:sz w:val="21"/>
          <w:szCs w:val="21"/>
        </w:rPr>
        <w:t>交易</w:t>
      </w:r>
      <w:r w:rsidRPr="00CF1CF7">
        <w:rPr>
          <w:rFonts w:ascii="Arial" w:hAnsi="Arial" w:cs="Arial"/>
          <w:sz w:val="21"/>
          <w:szCs w:val="21"/>
        </w:rPr>
        <w:t>实例数据，小区明细小详见下表：</w:t>
      </w:r>
    </w:p>
    <w:p w14:paraId="69976371" w14:textId="77777777" w:rsidR="008956FD" w:rsidRPr="00CF1CF7" w:rsidRDefault="008956FD" w:rsidP="008956FD">
      <w:pPr>
        <w:pStyle w:val="12"/>
        <w:autoSpaceDE w:val="0"/>
        <w:autoSpaceDN w:val="0"/>
        <w:spacing w:line="360" w:lineRule="auto"/>
        <w:textAlignment w:val="bottom"/>
        <w:rPr>
          <w:rFonts w:ascii="Arial" w:hAnsi="Arial" w:cs="Arial"/>
          <w:sz w:val="21"/>
          <w:szCs w:val="21"/>
        </w:rPr>
      </w:pPr>
      <w:r w:rsidRPr="00CF1CF7">
        <w:rPr>
          <w:rFonts w:ascii="Arial" w:hAnsi="Arial" w:cs="Arial"/>
          <w:sz w:val="21"/>
          <w:szCs w:val="21"/>
        </w:rPr>
        <w:t>周边可比小区成交案例调查表</w:t>
      </w:r>
    </w:p>
    <w:tbl>
      <w:tblPr>
        <w:tblW w:w="5000" w:type="pct"/>
        <w:jc w:val="center"/>
        <w:tblLook w:val="04A0" w:firstRow="1" w:lastRow="0" w:firstColumn="1" w:lastColumn="0" w:noHBand="0" w:noVBand="1"/>
      </w:tblPr>
      <w:tblGrid>
        <w:gridCol w:w="467"/>
        <w:gridCol w:w="1484"/>
        <w:gridCol w:w="851"/>
        <w:gridCol w:w="2858"/>
        <w:gridCol w:w="1161"/>
        <w:gridCol w:w="1650"/>
        <w:gridCol w:w="1043"/>
      </w:tblGrid>
      <w:tr w:rsidR="008956FD" w:rsidRPr="00CF1CF7" w14:paraId="4B311179" w14:textId="77777777" w:rsidTr="001B2E94">
        <w:trPr>
          <w:trHeight w:val="20"/>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CEC4D5" w14:textId="77777777" w:rsidR="008956FD" w:rsidRPr="00CF1CF7" w:rsidRDefault="008956FD" w:rsidP="001B2E94">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序号</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6A6216F6" w14:textId="77777777" w:rsidR="008956FD" w:rsidRPr="00CF1CF7" w:rsidRDefault="008956FD" w:rsidP="001B2E94">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小区名称</w:t>
            </w:r>
          </w:p>
        </w:tc>
        <w:tc>
          <w:tcPr>
            <w:tcW w:w="447" w:type="pct"/>
            <w:tcBorders>
              <w:top w:val="single" w:sz="4" w:space="0" w:color="auto"/>
              <w:left w:val="nil"/>
              <w:bottom w:val="single" w:sz="4" w:space="0" w:color="auto"/>
              <w:right w:val="single" w:sz="4" w:space="0" w:color="auto"/>
            </w:tcBorders>
            <w:shd w:val="clear" w:color="auto" w:fill="auto"/>
            <w:vAlign w:val="center"/>
            <w:hideMark/>
          </w:tcPr>
          <w:p w14:paraId="5017D7AC" w14:textId="77777777" w:rsidR="008956FD" w:rsidRPr="00CF1CF7" w:rsidRDefault="008956FD" w:rsidP="001B2E94">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项目所在区</w:t>
            </w:r>
          </w:p>
        </w:tc>
        <w:tc>
          <w:tcPr>
            <w:tcW w:w="1502" w:type="pct"/>
            <w:tcBorders>
              <w:top w:val="single" w:sz="4" w:space="0" w:color="auto"/>
              <w:left w:val="nil"/>
              <w:bottom w:val="single" w:sz="4" w:space="0" w:color="auto"/>
              <w:right w:val="single" w:sz="4" w:space="0" w:color="auto"/>
            </w:tcBorders>
            <w:shd w:val="clear" w:color="auto" w:fill="auto"/>
            <w:vAlign w:val="center"/>
            <w:hideMark/>
          </w:tcPr>
          <w:p w14:paraId="3DB9C870" w14:textId="77777777" w:rsidR="008956FD" w:rsidRPr="00CF1CF7" w:rsidRDefault="008956FD" w:rsidP="001B2E94">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项目所在位置</w:t>
            </w:r>
          </w:p>
        </w:tc>
        <w:tc>
          <w:tcPr>
            <w:tcW w:w="610" w:type="pct"/>
            <w:tcBorders>
              <w:top w:val="single" w:sz="4" w:space="0" w:color="auto"/>
              <w:left w:val="nil"/>
              <w:bottom w:val="single" w:sz="4" w:space="0" w:color="auto"/>
              <w:right w:val="single" w:sz="4" w:space="0" w:color="auto"/>
            </w:tcBorders>
            <w:shd w:val="clear" w:color="auto" w:fill="auto"/>
            <w:vAlign w:val="center"/>
            <w:hideMark/>
          </w:tcPr>
          <w:p w14:paraId="1B4B3A32" w14:textId="77777777" w:rsidR="008956FD" w:rsidRPr="00CF1CF7" w:rsidRDefault="008956FD" w:rsidP="001B2E94">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用途</w:t>
            </w:r>
          </w:p>
        </w:tc>
        <w:tc>
          <w:tcPr>
            <w:tcW w:w="867" w:type="pct"/>
            <w:tcBorders>
              <w:top w:val="single" w:sz="4" w:space="0" w:color="auto"/>
              <w:left w:val="nil"/>
              <w:bottom w:val="single" w:sz="4" w:space="0" w:color="auto"/>
              <w:right w:val="single" w:sz="4" w:space="0" w:color="auto"/>
            </w:tcBorders>
            <w:shd w:val="clear" w:color="auto" w:fill="auto"/>
            <w:vAlign w:val="center"/>
            <w:hideMark/>
          </w:tcPr>
          <w:p w14:paraId="30044AE9" w14:textId="77777777" w:rsidR="008956FD" w:rsidRPr="00CF1CF7" w:rsidRDefault="008956FD" w:rsidP="001B2E94">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面积范围</w:t>
            </w:r>
          </w:p>
          <w:p w14:paraId="2FBA8FB5" w14:textId="77777777" w:rsidR="008956FD" w:rsidRPr="00CF1CF7" w:rsidRDefault="008956FD" w:rsidP="001B2E94">
            <w:pPr>
              <w:jc w:val="center"/>
              <w:rPr>
                <w:rFonts w:ascii="华文细黑" w:eastAsia="华文细黑" w:hAnsi="华文细黑" w:cs="Arial"/>
                <w:b/>
                <w:bCs/>
                <w:sz w:val="18"/>
                <w:szCs w:val="18"/>
              </w:rPr>
            </w:pPr>
            <w:r w:rsidRPr="00CF1CF7">
              <w:rPr>
                <w:rFonts w:ascii="华文细黑" w:eastAsia="华文细黑" w:hAnsi="华文细黑" w:cs="Arial" w:hint="eastAsia"/>
                <w:b/>
                <w:bCs/>
                <w:sz w:val="18"/>
                <w:szCs w:val="18"/>
              </w:rPr>
              <w:t>（平方米）</w:t>
            </w:r>
          </w:p>
        </w:tc>
        <w:tc>
          <w:tcPr>
            <w:tcW w:w="548" w:type="pct"/>
            <w:tcBorders>
              <w:top w:val="single" w:sz="4" w:space="0" w:color="auto"/>
              <w:left w:val="nil"/>
              <w:bottom w:val="single" w:sz="4" w:space="0" w:color="auto"/>
              <w:right w:val="single" w:sz="4" w:space="0" w:color="auto"/>
            </w:tcBorders>
            <w:shd w:val="clear" w:color="auto" w:fill="auto"/>
            <w:vAlign w:val="center"/>
            <w:hideMark/>
          </w:tcPr>
          <w:p w14:paraId="2327DC09" w14:textId="77777777" w:rsidR="008956FD" w:rsidRPr="00CF1CF7" w:rsidRDefault="008956FD" w:rsidP="001B2E94">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建成年代</w:t>
            </w:r>
            <w:r w:rsidRPr="00CF1CF7">
              <w:rPr>
                <w:rFonts w:ascii="华文细黑" w:eastAsia="华文细黑" w:hAnsi="华文细黑" w:cs="Arial"/>
                <w:bCs/>
                <w:sz w:val="18"/>
                <w:szCs w:val="18"/>
              </w:rPr>
              <w:t>（年）</w:t>
            </w:r>
          </w:p>
        </w:tc>
      </w:tr>
      <w:tr w:rsidR="008956FD" w:rsidRPr="00CF1CF7" w14:paraId="1A214492" w14:textId="77777777" w:rsidTr="008956FD">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34781E62" w14:textId="77777777" w:rsidR="008956FD" w:rsidRPr="00CF1CF7" w:rsidRDefault="008956FD" w:rsidP="008956FD">
            <w:pPr>
              <w:adjustRightInd w:val="0"/>
              <w:snapToGrid w:val="0"/>
              <w:spacing w:line="240" w:lineRule="auto"/>
              <w:jc w:val="center"/>
              <w:rPr>
                <w:rFonts w:ascii="华文细黑" w:eastAsia="华文细黑" w:hAnsi="华文细黑" w:cs="Arial"/>
                <w:sz w:val="18"/>
                <w:szCs w:val="18"/>
              </w:rPr>
            </w:pPr>
            <w:r w:rsidRPr="00CF1CF7">
              <w:rPr>
                <w:rFonts w:ascii="华文细黑" w:eastAsia="华文细黑" w:hAnsi="华文细黑" w:cs="Arial"/>
                <w:sz w:val="18"/>
                <w:szCs w:val="18"/>
              </w:rPr>
              <w:t>1</w:t>
            </w:r>
          </w:p>
        </w:tc>
        <w:tc>
          <w:tcPr>
            <w:tcW w:w="780" w:type="pct"/>
            <w:tcBorders>
              <w:top w:val="nil"/>
              <w:left w:val="nil"/>
              <w:bottom w:val="single" w:sz="4" w:space="0" w:color="auto"/>
              <w:right w:val="single" w:sz="4" w:space="0" w:color="auto"/>
            </w:tcBorders>
            <w:shd w:val="clear" w:color="auto" w:fill="auto"/>
            <w:vAlign w:val="center"/>
            <w:hideMark/>
          </w:tcPr>
          <w:p w14:paraId="7F325DC1"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Pr>
                <w:rFonts w:ascii="华文细黑" w:eastAsia="华文细黑" w:hAnsi="华文细黑" w:cs="宋体" w:hint="eastAsia"/>
                <w:color w:val="000000"/>
                <w:sz w:val="18"/>
                <w:szCs w:val="18"/>
              </w:rPr>
              <w:t>鹿海园</w:t>
            </w:r>
          </w:p>
        </w:tc>
        <w:tc>
          <w:tcPr>
            <w:tcW w:w="447" w:type="pct"/>
            <w:tcBorders>
              <w:top w:val="nil"/>
              <w:left w:val="nil"/>
              <w:bottom w:val="single" w:sz="4" w:space="0" w:color="auto"/>
              <w:right w:val="single" w:sz="4" w:space="0" w:color="auto"/>
            </w:tcBorders>
            <w:shd w:val="clear" w:color="auto" w:fill="auto"/>
            <w:vAlign w:val="center"/>
            <w:hideMark/>
          </w:tcPr>
          <w:p w14:paraId="4A43B23E"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Pr>
                <w:rFonts w:ascii="华文细黑" w:eastAsia="华文细黑" w:hAnsi="华文细黑" w:hint="eastAsia"/>
                <w:color w:val="000000"/>
                <w:sz w:val="18"/>
                <w:szCs w:val="18"/>
              </w:rPr>
              <w:t>大兴</w:t>
            </w:r>
            <w:r w:rsidRPr="008D55AB">
              <w:rPr>
                <w:rFonts w:ascii="华文细黑" w:eastAsia="华文细黑" w:hAnsi="华文细黑" w:hint="eastAsia"/>
                <w:color w:val="000000"/>
                <w:sz w:val="18"/>
                <w:szCs w:val="18"/>
              </w:rPr>
              <w:t>区</w:t>
            </w:r>
          </w:p>
        </w:tc>
        <w:tc>
          <w:tcPr>
            <w:tcW w:w="1502" w:type="pct"/>
            <w:tcBorders>
              <w:top w:val="nil"/>
              <w:left w:val="nil"/>
              <w:bottom w:val="single" w:sz="4" w:space="0" w:color="auto"/>
              <w:right w:val="single" w:sz="4" w:space="0" w:color="auto"/>
            </w:tcBorders>
            <w:shd w:val="clear" w:color="000000" w:fill="FFFFFF"/>
            <w:vAlign w:val="center"/>
            <w:hideMark/>
          </w:tcPr>
          <w:p w14:paraId="2219DB8D" w14:textId="77777777" w:rsidR="008956FD" w:rsidRPr="00D1407E" w:rsidRDefault="00D1407E" w:rsidP="008956FD">
            <w:pPr>
              <w:adjustRightInd w:val="0"/>
              <w:snapToGrid w:val="0"/>
              <w:spacing w:line="240" w:lineRule="auto"/>
              <w:jc w:val="center"/>
              <w:rPr>
                <w:rFonts w:ascii="华文细黑" w:eastAsia="华文细黑" w:hAnsi="华文细黑"/>
                <w:color w:val="000000"/>
                <w:sz w:val="18"/>
                <w:szCs w:val="18"/>
              </w:rPr>
            </w:pPr>
            <w:r w:rsidRPr="00D1407E">
              <w:rPr>
                <w:rFonts w:ascii="华文细黑" w:eastAsia="华文细黑" w:hAnsi="华文细黑"/>
                <w:color w:val="000000"/>
                <w:sz w:val="18"/>
                <w:szCs w:val="18"/>
              </w:rPr>
              <w:t>北京市大兴区博兴街道泰河</w:t>
            </w:r>
            <w:r w:rsidRPr="00D1407E">
              <w:rPr>
                <w:rFonts w:ascii="华文细黑" w:eastAsia="华文细黑" w:hAnsi="华文细黑" w:hint="eastAsia"/>
                <w:color w:val="000000"/>
                <w:sz w:val="18"/>
                <w:szCs w:val="18"/>
              </w:rPr>
              <w:t>路</w:t>
            </w:r>
            <w:r w:rsidRPr="00D1407E">
              <w:rPr>
                <w:rFonts w:ascii="华文细黑" w:eastAsia="华文细黑" w:hAnsi="华文细黑"/>
                <w:color w:val="000000"/>
                <w:sz w:val="18"/>
                <w:szCs w:val="18"/>
              </w:rPr>
              <w:t>与博兴八路交叉口</w:t>
            </w:r>
          </w:p>
        </w:tc>
        <w:tc>
          <w:tcPr>
            <w:tcW w:w="610" w:type="pct"/>
            <w:tcBorders>
              <w:top w:val="nil"/>
              <w:left w:val="nil"/>
              <w:bottom w:val="single" w:sz="4" w:space="0" w:color="auto"/>
              <w:right w:val="single" w:sz="4" w:space="0" w:color="auto"/>
            </w:tcBorders>
            <w:shd w:val="clear" w:color="auto" w:fill="auto"/>
            <w:vAlign w:val="center"/>
            <w:hideMark/>
          </w:tcPr>
          <w:p w14:paraId="550880B2"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hideMark/>
          </w:tcPr>
          <w:p w14:paraId="423E09A6"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Pr>
                <w:rFonts w:ascii="华文细黑" w:eastAsia="华文细黑" w:hAnsi="华文细黑" w:cs="Arial"/>
                <w:bCs/>
                <w:sz w:val="18"/>
                <w:szCs w:val="18"/>
              </w:rPr>
              <w:t>7</w:t>
            </w:r>
            <w:r w:rsidRPr="008D55AB">
              <w:rPr>
                <w:rFonts w:ascii="华文细黑" w:eastAsia="华文细黑" w:hAnsi="华文细黑" w:cs="Arial"/>
                <w:bCs/>
                <w:sz w:val="18"/>
                <w:szCs w:val="18"/>
              </w:rPr>
              <w:t>0-90</w:t>
            </w:r>
          </w:p>
        </w:tc>
        <w:tc>
          <w:tcPr>
            <w:tcW w:w="548" w:type="pct"/>
            <w:tcBorders>
              <w:top w:val="nil"/>
              <w:left w:val="nil"/>
              <w:bottom w:val="single" w:sz="4" w:space="0" w:color="auto"/>
              <w:right w:val="single" w:sz="4" w:space="0" w:color="auto"/>
            </w:tcBorders>
            <w:shd w:val="clear" w:color="auto" w:fill="auto"/>
            <w:vAlign w:val="center"/>
            <w:hideMark/>
          </w:tcPr>
          <w:p w14:paraId="61050F1A"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w:t>
            </w:r>
            <w:r w:rsidR="00D1407E">
              <w:rPr>
                <w:rFonts w:ascii="华文细黑" w:eastAsia="华文细黑" w:hAnsi="华文细黑" w:cs="Arial" w:hint="eastAsia"/>
                <w:bCs/>
                <w:sz w:val="18"/>
                <w:szCs w:val="18"/>
              </w:rPr>
              <w:t>4</w:t>
            </w:r>
          </w:p>
        </w:tc>
      </w:tr>
      <w:tr w:rsidR="008956FD" w:rsidRPr="00CF1CF7" w14:paraId="6A450301" w14:textId="77777777" w:rsidTr="008956FD">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09504CA4" w14:textId="77777777" w:rsidR="008956FD" w:rsidRPr="00CF1CF7" w:rsidRDefault="008956FD" w:rsidP="008956FD">
            <w:pPr>
              <w:adjustRightInd w:val="0"/>
              <w:snapToGrid w:val="0"/>
              <w:spacing w:line="240" w:lineRule="auto"/>
              <w:jc w:val="center"/>
              <w:rPr>
                <w:rFonts w:ascii="华文细黑" w:eastAsia="华文细黑" w:hAnsi="华文细黑" w:cs="Arial"/>
                <w:sz w:val="18"/>
                <w:szCs w:val="18"/>
              </w:rPr>
            </w:pPr>
            <w:r w:rsidRPr="00CF1CF7">
              <w:rPr>
                <w:rFonts w:ascii="华文细黑" w:eastAsia="华文细黑" w:hAnsi="华文细黑" w:cs="Arial"/>
                <w:sz w:val="18"/>
                <w:szCs w:val="18"/>
              </w:rPr>
              <w:t>2</w:t>
            </w:r>
          </w:p>
        </w:tc>
        <w:tc>
          <w:tcPr>
            <w:tcW w:w="780" w:type="pct"/>
            <w:tcBorders>
              <w:top w:val="nil"/>
              <w:left w:val="nil"/>
              <w:bottom w:val="single" w:sz="4" w:space="0" w:color="auto"/>
              <w:right w:val="single" w:sz="4" w:space="0" w:color="auto"/>
            </w:tcBorders>
            <w:shd w:val="clear" w:color="auto" w:fill="auto"/>
            <w:vAlign w:val="center"/>
            <w:hideMark/>
          </w:tcPr>
          <w:p w14:paraId="6898DA83"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Pr>
                <w:rFonts w:ascii="华文细黑" w:eastAsia="华文细黑" w:hAnsi="华文细黑" w:cs="宋体" w:hint="eastAsia"/>
                <w:color w:val="000000"/>
                <w:sz w:val="18"/>
                <w:szCs w:val="18"/>
              </w:rPr>
              <w:t>泰河园</w:t>
            </w:r>
          </w:p>
        </w:tc>
        <w:tc>
          <w:tcPr>
            <w:tcW w:w="447" w:type="pct"/>
            <w:tcBorders>
              <w:top w:val="nil"/>
              <w:left w:val="nil"/>
              <w:bottom w:val="single" w:sz="4" w:space="0" w:color="auto"/>
              <w:right w:val="single" w:sz="4" w:space="0" w:color="auto"/>
            </w:tcBorders>
            <w:shd w:val="clear" w:color="auto" w:fill="auto"/>
            <w:vAlign w:val="center"/>
            <w:hideMark/>
          </w:tcPr>
          <w:p w14:paraId="4B03B080"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sidRPr="004547F6">
              <w:rPr>
                <w:rFonts w:ascii="华文细黑" w:eastAsia="华文细黑" w:hAnsi="华文细黑" w:hint="eastAsia"/>
                <w:color w:val="000000"/>
                <w:sz w:val="18"/>
                <w:szCs w:val="18"/>
              </w:rPr>
              <w:t>大兴区</w:t>
            </w:r>
          </w:p>
        </w:tc>
        <w:tc>
          <w:tcPr>
            <w:tcW w:w="1502" w:type="pct"/>
            <w:tcBorders>
              <w:top w:val="nil"/>
              <w:left w:val="nil"/>
              <w:bottom w:val="single" w:sz="4" w:space="0" w:color="auto"/>
              <w:right w:val="single" w:sz="4" w:space="0" w:color="auto"/>
            </w:tcBorders>
            <w:shd w:val="clear" w:color="000000" w:fill="FFFFFF"/>
            <w:vAlign w:val="center"/>
            <w:hideMark/>
          </w:tcPr>
          <w:p w14:paraId="67970154" w14:textId="77777777" w:rsidR="008956FD" w:rsidRPr="00D1407E" w:rsidRDefault="00D1407E" w:rsidP="008956FD">
            <w:pPr>
              <w:adjustRightInd w:val="0"/>
              <w:snapToGrid w:val="0"/>
              <w:spacing w:line="240" w:lineRule="auto"/>
              <w:jc w:val="center"/>
              <w:rPr>
                <w:rFonts w:ascii="华文细黑" w:eastAsia="华文细黑" w:hAnsi="华文细黑"/>
                <w:color w:val="000000"/>
                <w:sz w:val="18"/>
                <w:szCs w:val="18"/>
              </w:rPr>
            </w:pPr>
            <w:r w:rsidRPr="00D1407E">
              <w:rPr>
                <w:rFonts w:ascii="华文细黑" w:eastAsia="华文细黑" w:hAnsi="华文细黑"/>
                <w:color w:val="000000"/>
                <w:sz w:val="18"/>
                <w:szCs w:val="18"/>
              </w:rPr>
              <w:t>北京市大兴区亦庄镇凉水河二街泰与博兴八路交叉口</w:t>
            </w:r>
          </w:p>
        </w:tc>
        <w:tc>
          <w:tcPr>
            <w:tcW w:w="610" w:type="pct"/>
            <w:tcBorders>
              <w:top w:val="nil"/>
              <w:left w:val="nil"/>
              <w:bottom w:val="single" w:sz="4" w:space="0" w:color="auto"/>
              <w:right w:val="single" w:sz="4" w:space="0" w:color="auto"/>
            </w:tcBorders>
            <w:shd w:val="clear" w:color="auto" w:fill="auto"/>
            <w:vAlign w:val="center"/>
            <w:hideMark/>
          </w:tcPr>
          <w:p w14:paraId="271AE3C3"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hideMark/>
          </w:tcPr>
          <w:p w14:paraId="4DA06710"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Pr>
                <w:rFonts w:ascii="华文细黑" w:eastAsia="华文细黑" w:hAnsi="华文细黑" w:cs="Arial"/>
                <w:bCs/>
                <w:sz w:val="18"/>
                <w:szCs w:val="18"/>
              </w:rPr>
              <w:t>6</w:t>
            </w:r>
            <w:r w:rsidRPr="008D55AB">
              <w:rPr>
                <w:rFonts w:ascii="华文细黑" w:eastAsia="华文细黑" w:hAnsi="华文细黑" w:cs="Arial"/>
                <w:bCs/>
                <w:sz w:val="18"/>
                <w:szCs w:val="18"/>
              </w:rPr>
              <w:t>0-</w:t>
            </w:r>
            <w:r w:rsidR="00D1407E">
              <w:rPr>
                <w:rFonts w:ascii="华文细黑" w:eastAsia="华文细黑" w:hAnsi="华文细黑" w:cs="Arial" w:hint="eastAsia"/>
                <w:bCs/>
                <w:sz w:val="18"/>
                <w:szCs w:val="18"/>
              </w:rPr>
              <w:t>7</w:t>
            </w:r>
            <w:r w:rsidRPr="008D55AB">
              <w:rPr>
                <w:rFonts w:ascii="华文细黑" w:eastAsia="华文细黑" w:hAnsi="华文细黑" w:cs="Arial"/>
                <w:bCs/>
                <w:sz w:val="18"/>
                <w:szCs w:val="18"/>
              </w:rPr>
              <w:t>0</w:t>
            </w:r>
          </w:p>
        </w:tc>
        <w:tc>
          <w:tcPr>
            <w:tcW w:w="548" w:type="pct"/>
            <w:tcBorders>
              <w:top w:val="nil"/>
              <w:left w:val="nil"/>
              <w:bottom w:val="single" w:sz="4" w:space="0" w:color="auto"/>
              <w:right w:val="single" w:sz="4" w:space="0" w:color="auto"/>
            </w:tcBorders>
            <w:shd w:val="clear" w:color="auto" w:fill="auto"/>
            <w:vAlign w:val="center"/>
            <w:hideMark/>
          </w:tcPr>
          <w:p w14:paraId="1D9EA5A2"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Pr>
                <w:rFonts w:ascii="华文细黑" w:eastAsia="华文细黑" w:hAnsi="华文细黑" w:cs="Arial"/>
                <w:bCs/>
                <w:sz w:val="18"/>
                <w:szCs w:val="18"/>
              </w:rPr>
              <w:t>20</w:t>
            </w:r>
            <w:r w:rsidR="00D1407E">
              <w:rPr>
                <w:rFonts w:ascii="华文细黑" w:eastAsia="华文细黑" w:hAnsi="华文细黑" w:cs="Arial" w:hint="eastAsia"/>
                <w:bCs/>
                <w:sz w:val="18"/>
                <w:szCs w:val="18"/>
              </w:rPr>
              <w:t>11</w:t>
            </w:r>
          </w:p>
        </w:tc>
      </w:tr>
      <w:tr w:rsidR="008956FD" w:rsidRPr="00CF1CF7" w14:paraId="47DB4683" w14:textId="77777777" w:rsidTr="008956FD">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74911E51" w14:textId="77777777" w:rsidR="008956FD" w:rsidRPr="00CF1CF7" w:rsidRDefault="008956FD" w:rsidP="008956FD">
            <w:pPr>
              <w:adjustRightInd w:val="0"/>
              <w:snapToGrid w:val="0"/>
              <w:spacing w:line="240" w:lineRule="auto"/>
              <w:jc w:val="center"/>
              <w:rPr>
                <w:rFonts w:ascii="华文细黑" w:eastAsia="华文细黑" w:hAnsi="华文细黑" w:cs="Arial"/>
                <w:sz w:val="18"/>
                <w:szCs w:val="18"/>
              </w:rPr>
            </w:pPr>
            <w:r w:rsidRPr="00CF1CF7">
              <w:rPr>
                <w:rFonts w:ascii="华文细黑" w:eastAsia="华文细黑" w:hAnsi="华文细黑" w:cs="Arial"/>
                <w:sz w:val="18"/>
                <w:szCs w:val="18"/>
              </w:rPr>
              <w:t>3</w:t>
            </w:r>
          </w:p>
        </w:tc>
        <w:tc>
          <w:tcPr>
            <w:tcW w:w="780" w:type="pct"/>
            <w:tcBorders>
              <w:top w:val="nil"/>
              <w:left w:val="nil"/>
              <w:bottom w:val="single" w:sz="4" w:space="0" w:color="auto"/>
              <w:right w:val="single" w:sz="4" w:space="0" w:color="auto"/>
            </w:tcBorders>
            <w:shd w:val="clear" w:color="auto" w:fill="auto"/>
            <w:vAlign w:val="center"/>
            <w:hideMark/>
          </w:tcPr>
          <w:p w14:paraId="7E450B46" w14:textId="77777777" w:rsidR="008956FD" w:rsidRPr="008D55AB" w:rsidRDefault="00830400" w:rsidP="008956FD">
            <w:pPr>
              <w:adjustRightInd w:val="0"/>
              <w:snapToGrid w:val="0"/>
              <w:spacing w:line="240" w:lineRule="auto"/>
              <w:jc w:val="center"/>
              <w:rPr>
                <w:rFonts w:ascii="华文细黑" w:eastAsia="华文细黑" w:hAnsi="华文细黑" w:cs="Arial"/>
                <w:bCs/>
                <w:sz w:val="18"/>
                <w:szCs w:val="18"/>
              </w:rPr>
            </w:pPr>
            <w:r>
              <w:rPr>
                <w:rFonts w:ascii="华文细黑" w:eastAsia="华文细黑" w:hAnsi="华文细黑" w:cs="宋体" w:hint="eastAsia"/>
                <w:color w:val="000000"/>
                <w:sz w:val="18"/>
                <w:szCs w:val="18"/>
              </w:rPr>
              <w:t>和悦华锦</w:t>
            </w:r>
          </w:p>
        </w:tc>
        <w:tc>
          <w:tcPr>
            <w:tcW w:w="447" w:type="pct"/>
            <w:tcBorders>
              <w:top w:val="nil"/>
              <w:left w:val="nil"/>
              <w:bottom w:val="single" w:sz="4" w:space="0" w:color="auto"/>
              <w:right w:val="single" w:sz="4" w:space="0" w:color="auto"/>
            </w:tcBorders>
            <w:shd w:val="clear" w:color="auto" w:fill="auto"/>
            <w:vAlign w:val="center"/>
            <w:hideMark/>
          </w:tcPr>
          <w:p w14:paraId="39CE7464"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sidRPr="004547F6">
              <w:rPr>
                <w:rFonts w:ascii="华文细黑" w:eastAsia="华文细黑" w:hAnsi="华文细黑" w:hint="eastAsia"/>
                <w:color w:val="000000"/>
                <w:sz w:val="18"/>
                <w:szCs w:val="18"/>
              </w:rPr>
              <w:t>大兴区</w:t>
            </w:r>
          </w:p>
        </w:tc>
        <w:tc>
          <w:tcPr>
            <w:tcW w:w="1502" w:type="pct"/>
            <w:tcBorders>
              <w:top w:val="nil"/>
              <w:left w:val="nil"/>
              <w:bottom w:val="single" w:sz="4" w:space="0" w:color="auto"/>
              <w:right w:val="single" w:sz="4" w:space="0" w:color="auto"/>
            </w:tcBorders>
            <w:shd w:val="clear" w:color="000000" w:fill="FFFFFF"/>
            <w:vAlign w:val="center"/>
            <w:hideMark/>
          </w:tcPr>
          <w:p w14:paraId="4053F2D3" w14:textId="77777777" w:rsidR="008956FD" w:rsidRPr="00D1407E" w:rsidRDefault="00D1407E" w:rsidP="008956FD">
            <w:pPr>
              <w:adjustRightInd w:val="0"/>
              <w:snapToGrid w:val="0"/>
              <w:spacing w:line="240" w:lineRule="auto"/>
              <w:jc w:val="center"/>
              <w:rPr>
                <w:rFonts w:ascii="华文细黑" w:eastAsia="华文细黑" w:hAnsi="华文细黑"/>
                <w:color w:val="000000"/>
                <w:sz w:val="18"/>
                <w:szCs w:val="18"/>
              </w:rPr>
            </w:pPr>
            <w:r w:rsidRPr="00D1407E">
              <w:rPr>
                <w:rFonts w:ascii="华文细黑" w:eastAsia="华文细黑" w:hAnsi="华文细黑"/>
                <w:color w:val="000000"/>
                <w:sz w:val="18"/>
                <w:szCs w:val="18"/>
              </w:rPr>
              <w:t>北京市大兴区</w:t>
            </w:r>
            <w:r w:rsidR="00830400">
              <w:rPr>
                <w:rFonts w:ascii="华文细黑" w:eastAsia="华文细黑" w:hAnsi="华文细黑" w:hint="eastAsia"/>
                <w:color w:val="000000"/>
                <w:sz w:val="18"/>
                <w:szCs w:val="18"/>
              </w:rPr>
              <w:t>兴海二街</w:t>
            </w:r>
            <w:r w:rsidRPr="00D1407E">
              <w:rPr>
                <w:rFonts w:ascii="华文细黑" w:eastAsia="华文细黑" w:hAnsi="华文细黑"/>
                <w:color w:val="000000"/>
                <w:sz w:val="18"/>
                <w:szCs w:val="18"/>
              </w:rPr>
              <w:t>和</w:t>
            </w:r>
            <w:r w:rsidR="00830400">
              <w:rPr>
                <w:rFonts w:ascii="华文细黑" w:eastAsia="华文细黑" w:hAnsi="华文细黑" w:hint="eastAsia"/>
                <w:color w:val="000000"/>
                <w:sz w:val="18"/>
                <w:szCs w:val="18"/>
              </w:rPr>
              <w:t>博兴八路</w:t>
            </w:r>
            <w:r w:rsidRPr="00D1407E">
              <w:rPr>
                <w:rFonts w:ascii="华文细黑" w:eastAsia="华文细黑" w:hAnsi="华文细黑"/>
                <w:color w:val="000000"/>
                <w:sz w:val="18"/>
                <w:szCs w:val="18"/>
              </w:rPr>
              <w:t>交叉口</w:t>
            </w:r>
          </w:p>
        </w:tc>
        <w:tc>
          <w:tcPr>
            <w:tcW w:w="610" w:type="pct"/>
            <w:tcBorders>
              <w:top w:val="nil"/>
              <w:left w:val="nil"/>
              <w:bottom w:val="single" w:sz="4" w:space="0" w:color="auto"/>
              <w:right w:val="single" w:sz="4" w:space="0" w:color="auto"/>
            </w:tcBorders>
            <w:shd w:val="clear" w:color="auto" w:fill="auto"/>
            <w:vAlign w:val="center"/>
            <w:hideMark/>
          </w:tcPr>
          <w:p w14:paraId="6F9761F7"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hideMark/>
          </w:tcPr>
          <w:p w14:paraId="1D962E5A" w14:textId="77777777" w:rsidR="008956FD" w:rsidRPr="008D55AB" w:rsidRDefault="00830400" w:rsidP="008956FD">
            <w:pPr>
              <w:adjustRightInd w:val="0"/>
              <w:snapToGrid w:val="0"/>
              <w:spacing w:line="240" w:lineRule="auto"/>
              <w:jc w:val="center"/>
              <w:rPr>
                <w:rFonts w:ascii="华文细黑" w:eastAsia="华文细黑" w:hAnsi="华文细黑" w:cs="Arial"/>
                <w:bCs/>
                <w:sz w:val="18"/>
                <w:szCs w:val="18"/>
              </w:rPr>
            </w:pPr>
            <w:r>
              <w:rPr>
                <w:rFonts w:ascii="华文细黑" w:eastAsia="华文细黑" w:hAnsi="华文细黑" w:cs="Arial"/>
                <w:bCs/>
                <w:sz w:val="18"/>
                <w:szCs w:val="18"/>
              </w:rPr>
              <w:t>8</w:t>
            </w:r>
            <w:r w:rsidR="008956FD" w:rsidRPr="008D55AB">
              <w:rPr>
                <w:rFonts w:ascii="华文细黑" w:eastAsia="华文细黑" w:hAnsi="华文细黑" w:cs="Arial"/>
                <w:bCs/>
                <w:sz w:val="18"/>
                <w:szCs w:val="18"/>
              </w:rPr>
              <w:t>0-90</w:t>
            </w:r>
          </w:p>
        </w:tc>
        <w:tc>
          <w:tcPr>
            <w:tcW w:w="548" w:type="pct"/>
            <w:tcBorders>
              <w:top w:val="nil"/>
              <w:left w:val="nil"/>
              <w:bottom w:val="single" w:sz="4" w:space="0" w:color="auto"/>
              <w:right w:val="single" w:sz="4" w:space="0" w:color="auto"/>
            </w:tcBorders>
            <w:shd w:val="clear" w:color="auto" w:fill="auto"/>
            <w:vAlign w:val="center"/>
            <w:hideMark/>
          </w:tcPr>
          <w:p w14:paraId="257D02A5" w14:textId="77777777" w:rsidR="008956FD" w:rsidRPr="008D55AB" w:rsidRDefault="008956FD" w:rsidP="00830400">
            <w:pPr>
              <w:adjustRightInd w:val="0"/>
              <w:snapToGrid w:val="0"/>
              <w:spacing w:line="240" w:lineRule="auto"/>
              <w:jc w:val="center"/>
              <w:rPr>
                <w:rFonts w:ascii="华文细黑" w:eastAsia="华文细黑" w:hAnsi="华文细黑" w:cs="Arial"/>
                <w:bCs/>
                <w:sz w:val="18"/>
                <w:szCs w:val="18"/>
              </w:rPr>
            </w:pPr>
            <w:r w:rsidRPr="008D55AB">
              <w:rPr>
                <w:rFonts w:ascii="华文细黑" w:eastAsia="华文细黑" w:hAnsi="华文细黑" w:cs="Arial"/>
                <w:bCs/>
                <w:sz w:val="18"/>
                <w:szCs w:val="18"/>
              </w:rPr>
              <w:t>20</w:t>
            </w:r>
            <w:r w:rsidR="00830400">
              <w:rPr>
                <w:rFonts w:ascii="华文细黑" w:eastAsia="华文细黑" w:hAnsi="华文细黑" w:cs="Arial"/>
                <w:bCs/>
                <w:sz w:val="18"/>
                <w:szCs w:val="18"/>
              </w:rPr>
              <w:t>21</w:t>
            </w:r>
          </w:p>
        </w:tc>
      </w:tr>
      <w:tr w:rsidR="008956FD" w:rsidRPr="00CF1CF7" w14:paraId="2FEC5CD1" w14:textId="77777777" w:rsidTr="008956FD">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422CEFDF" w14:textId="77777777" w:rsidR="008956FD" w:rsidRPr="00CF1CF7" w:rsidRDefault="008956FD" w:rsidP="008956FD">
            <w:pPr>
              <w:adjustRightInd w:val="0"/>
              <w:snapToGrid w:val="0"/>
              <w:spacing w:line="240" w:lineRule="auto"/>
              <w:jc w:val="center"/>
              <w:rPr>
                <w:rFonts w:ascii="华文细黑" w:eastAsia="华文细黑" w:hAnsi="华文细黑" w:cs="Arial"/>
                <w:sz w:val="18"/>
                <w:szCs w:val="18"/>
              </w:rPr>
            </w:pPr>
            <w:r w:rsidRPr="00CF1CF7">
              <w:rPr>
                <w:rFonts w:ascii="华文细黑" w:eastAsia="华文细黑" w:hAnsi="华文细黑" w:cs="Arial"/>
                <w:sz w:val="18"/>
                <w:szCs w:val="18"/>
              </w:rPr>
              <w:t>4</w:t>
            </w:r>
          </w:p>
        </w:tc>
        <w:tc>
          <w:tcPr>
            <w:tcW w:w="780" w:type="pct"/>
            <w:tcBorders>
              <w:top w:val="nil"/>
              <w:left w:val="nil"/>
              <w:bottom w:val="single" w:sz="4" w:space="0" w:color="auto"/>
              <w:right w:val="single" w:sz="4" w:space="0" w:color="auto"/>
            </w:tcBorders>
            <w:shd w:val="clear" w:color="auto" w:fill="auto"/>
            <w:vAlign w:val="center"/>
            <w:hideMark/>
          </w:tcPr>
          <w:p w14:paraId="50FB2783"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Pr>
                <w:rFonts w:ascii="华文细黑" w:eastAsia="华文细黑" w:hAnsi="华文细黑" w:hint="eastAsia"/>
                <w:color w:val="000000"/>
                <w:sz w:val="18"/>
                <w:szCs w:val="18"/>
              </w:rPr>
              <w:t>亦庄金茂悦</w:t>
            </w:r>
          </w:p>
        </w:tc>
        <w:tc>
          <w:tcPr>
            <w:tcW w:w="447" w:type="pct"/>
            <w:tcBorders>
              <w:top w:val="nil"/>
              <w:left w:val="nil"/>
              <w:bottom w:val="single" w:sz="4" w:space="0" w:color="auto"/>
              <w:right w:val="single" w:sz="4" w:space="0" w:color="auto"/>
            </w:tcBorders>
            <w:shd w:val="clear" w:color="auto" w:fill="auto"/>
            <w:vAlign w:val="center"/>
            <w:hideMark/>
          </w:tcPr>
          <w:p w14:paraId="4E279CD6"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sidRPr="004547F6">
              <w:rPr>
                <w:rFonts w:ascii="华文细黑" w:eastAsia="华文细黑" w:hAnsi="华文细黑" w:hint="eastAsia"/>
                <w:color w:val="000000"/>
                <w:sz w:val="18"/>
                <w:szCs w:val="18"/>
              </w:rPr>
              <w:t>大兴区</w:t>
            </w:r>
          </w:p>
        </w:tc>
        <w:tc>
          <w:tcPr>
            <w:tcW w:w="1502" w:type="pct"/>
            <w:tcBorders>
              <w:top w:val="nil"/>
              <w:left w:val="nil"/>
              <w:bottom w:val="single" w:sz="4" w:space="0" w:color="auto"/>
              <w:right w:val="single" w:sz="4" w:space="0" w:color="auto"/>
            </w:tcBorders>
            <w:shd w:val="clear" w:color="000000" w:fill="FFFFFF"/>
            <w:vAlign w:val="center"/>
            <w:hideMark/>
          </w:tcPr>
          <w:p w14:paraId="60B8AC2F" w14:textId="77777777" w:rsidR="008956FD" w:rsidRPr="00D1407E" w:rsidRDefault="00D1407E" w:rsidP="008956FD">
            <w:pPr>
              <w:adjustRightInd w:val="0"/>
              <w:snapToGrid w:val="0"/>
              <w:spacing w:line="240" w:lineRule="auto"/>
              <w:jc w:val="center"/>
              <w:rPr>
                <w:rFonts w:ascii="华文细黑" w:eastAsia="华文细黑" w:hAnsi="华文细黑"/>
                <w:color w:val="000000"/>
                <w:sz w:val="18"/>
                <w:szCs w:val="18"/>
              </w:rPr>
            </w:pPr>
            <w:r w:rsidRPr="00D1407E">
              <w:rPr>
                <w:rFonts w:ascii="华文细黑" w:eastAsia="华文细黑" w:hAnsi="华文细黑"/>
                <w:color w:val="000000"/>
                <w:sz w:val="18"/>
                <w:szCs w:val="18"/>
              </w:rPr>
              <w:t>北京市大兴区三海子东路与千顷堂街交口东南角</w:t>
            </w:r>
          </w:p>
        </w:tc>
        <w:tc>
          <w:tcPr>
            <w:tcW w:w="610" w:type="pct"/>
            <w:tcBorders>
              <w:top w:val="nil"/>
              <w:left w:val="nil"/>
              <w:bottom w:val="single" w:sz="4" w:space="0" w:color="auto"/>
              <w:right w:val="single" w:sz="4" w:space="0" w:color="auto"/>
            </w:tcBorders>
            <w:shd w:val="clear" w:color="auto" w:fill="auto"/>
            <w:vAlign w:val="center"/>
            <w:hideMark/>
          </w:tcPr>
          <w:p w14:paraId="27B27D3D" w14:textId="77777777" w:rsidR="008956FD" w:rsidRPr="008D55AB" w:rsidRDefault="00D1407E" w:rsidP="008956FD">
            <w:pPr>
              <w:adjustRightInd w:val="0"/>
              <w:snapToGrid w:val="0"/>
              <w:spacing w:line="240" w:lineRule="auto"/>
              <w:jc w:val="center"/>
              <w:rPr>
                <w:rFonts w:ascii="华文细黑" w:eastAsia="华文细黑" w:hAnsi="华文细黑" w:cs="Arial"/>
                <w:bCs/>
                <w:sz w:val="18"/>
                <w:szCs w:val="18"/>
              </w:rPr>
            </w:pPr>
            <w:r>
              <w:rPr>
                <w:rFonts w:ascii="华文细黑" w:eastAsia="华文细黑" w:hAnsi="华文细黑" w:cs="Arial" w:hint="eastAsia"/>
                <w:bCs/>
                <w:sz w:val="18"/>
                <w:szCs w:val="18"/>
              </w:rPr>
              <w:t>非</w:t>
            </w:r>
            <w:r w:rsidR="008956FD"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hideMark/>
          </w:tcPr>
          <w:p w14:paraId="057B51CC" w14:textId="77777777" w:rsidR="008956FD" w:rsidRPr="008D55AB" w:rsidRDefault="00D1407E" w:rsidP="008956FD">
            <w:pPr>
              <w:adjustRightInd w:val="0"/>
              <w:snapToGrid w:val="0"/>
              <w:spacing w:line="240" w:lineRule="auto"/>
              <w:jc w:val="center"/>
              <w:rPr>
                <w:rFonts w:ascii="华文细黑" w:eastAsia="华文细黑" w:hAnsi="华文细黑" w:cs="Arial"/>
                <w:bCs/>
                <w:sz w:val="18"/>
                <w:szCs w:val="18"/>
              </w:rPr>
            </w:pPr>
            <w:r>
              <w:rPr>
                <w:rFonts w:ascii="华文细黑" w:eastAsia="华文细黑" w:hAnsi="华文细黑" w:cs="Arial" w:hint="eastAsia"/>
                <w:bCs/>
                <w:sz w:val="18"/>
                <w:szCs w:val="18"/>
              </w:rPr>
              <w:t>130</w:t>
            </w:r>
            <w:r w:rsidR="008956FD" w:rsidRPr="008D55AB">
              <w:rPr>
                <w:rFonts w:ascii="华文细黑" w:eastAsia="华文细黑" w:hAnsi="华文细黑" w:cs="Arial"/>
                <w:bCs/>
                <w:sz w:val="18"/>
                <w:szCs w:val="18"/>
              </w:rPr>
              <w:t>-</w:t>
            </w:r>
            <w:r>
              <w:rPr>
                <w:rFonts w:ascii="华文细黑" w:eastAsia="华文细黑" w:hAnsi="华文细黑" w:cs="Arial" w:hint="eastAsia"/>
                <w:bCs/>
                <w:sz w:val="18"/>
                <w:szCs w:val="18"/>
              </w:rPr>
              <w:t>1</w:t>
            </w:r>
            <w:r w:rsidR="008956FD">
              <w:rPr>
                <w:rFonts w:ascii="华文细黑" w:eastAsia="华文细黑" w:hAnsi="华文细黑" w:cs="Arial"/>
                <w:bCs/>
                <w:sz w:val="18"/>
                <w:szCs w:val="18"/>
              </w:rPr>
              <w:t>60</w:t>
            </w:r>
          </w:p>
        </w:tc>
        <w:tc>
          <w:tcPr>
            <w:tcW w:w="548" w:type="pct"/>
            <w:tcBorders>
              <w:top w:val="nil"/>
              <w:left w:val="nil"/>
              <w:bottom w:val="single" w:sz="4" w:space="0" w:color="auto"/>
              <w:right w:val="single" w:sz="4" w:space="0" w:color="auto"/>
            </w:tcBorders>
            <w:shd w:val="clear" w:color="auto" w:fill="auto"/>
            <w:vAlign w:val="center"/>
            <w:hideMark/>
          </w:tcPr>
          <w:p w14:paraId="66FDC145"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201</w:t>
            </w:r>
            <w:r w:rsidR="00D1407E">
              <w:rPr>
                <w:rFonts w:ascii="华文细黑" w:eastAsia="华文细黑" w:hAnsi="华文细黑" w:cs="Arial" w:hint="eastAsia"/>
                <w:bCs/>
                <w:sz w:val="18"/>
                <w:szCs w:val="18"/>
              </w:rPr>
              <w:t>3</w:t>
            </w:r>
          </w:p>
        </w:tc>
      </w:tr>
      <w:tr w:rsidR="008956FD" w:rsidRPr="00CF1CF7" w14:paraId="7F888EFC" w14:textId="77777777" w:rsidTr="008956FD">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tcPr>
          <w:p w14:paraId="19B19538" w14:textId="77777777" w:rsidR="008956FD" w:rsidRPr="00CF1CF7" w:rsidRDefault="008956FD" w:rsidP="008956FD">
            <w:pPr>
              <w:adjustRightInd w:val="0"/>
              <w:snapToGrid w:val="0"/>
              <w:spacing w:line="240" w:lineRule="auto"/>
              <w:jc w:val="center"/>
              <w:rPr>
                <w:rFonts w:ascii="华文细黑" w:eastAsia="华文细黑" w:hAnsi="华文细黑" w:cs="Arial"/>
                <w:sz w:val="18"/>
                <w:szCs w:val="18"/>
              </w:rPr>
            </w:pPr>
            <w:r w:rsidRPr="00CF1CF7">
              <w:rPr>
                <w:rFonts w:ascii="华文细黑" w:eastAsia="华文细黑" w:hAnsi="华文细黑" w:cs="Arial" w:hint="eastAsia"/>
                <w:sz w:val="18"/>
                <w:szCs w:val="18"/>
              </w:rPr>
              <w:t>5</w:t>
            </w:r>
          </w:p>
        </w:tc>
        <w:tc>
          <w:tcPr>
            <w:tcW w:w="780" w:type="pct"/>
            <w:tcBorders>
              <w:top w:val="nil"/>
              <w:left w:val="nil"/>
              <w:bottom w:val="single" w:sz="4" w:space="0" w:color="auto"/>
              <w:right w:val="single" w:sz="4" w:space="0" w:color="auto"/>
            </w:tcBorders>
            <w:shd w:val="clear" w:color="auto" w:fill="auto"/>
            <w:vAlign w:val="center"/>
          </w:tcPr>
          <w:p w14:paraId="4CB65046" w14:textId="77777777" w:rsidR="008956FD" w:rsidRPr="00D1407E" w:rsidRDefault="00D1407E" w:rsidP="00D1407E">
            <w:pPr>
              <w:adjustRightInd w:val="0"/>
              <w:snapToGrid w:val="0"/>
              <w:spacing w:line="240" w:lineRule="auto"/>
              <w:jc w:val="center"/>
              <w:rPr>
                <w:rFonts w:ascii="华文细黑" w:eastAsia="华文细黑" w:hAnsi="华文细黑" w:cs="宋体"/>
                <w:color w:val="000000"/>
                <w:sz w:val="18"/>
                <w:szCs w:val="18"/>
              </w:rPr>
            </w:pPr>
            <w:r w:rsidRPr="00D1407E">
              <w:rPr>
                <w:rFonts w:ascii="华文细黑" w:eastAsia="华文细黑" w:hAnsi="华文细黑" w:cs="宋体" w:hint="eastAsia"/>
                <w:color w:val="000000"/>
                <w:sz w:val="18"/>
                <w:szCs w:val="18"/>
              </w:rPr>
              <w:t>北京城建海梓府</w:t>
            </w:r>
          </w:p>
        </w:tc>
        <w:tc>
          <w:tcPr>
            <w:tcW w:w="447" w:type="pct"/>
            <w:tcBorders>
              <w:top w:val="nil"/>
              <w:left w:val="nil"/>
              <w:bottom w:val="single" w:sz="4" w:space="0" w:color="auto"/>
              <w:right w:val="single" w:sz="4" w:space="0" w:color="auto"/>
            </w:tcBorders>
            <w:shd w:val="clear" w:color="auto" w:fill="auto"/>
            <w:vAlign w:val="center"/>
          </w:tcPr>
          <w:p w14:paraId="0932597C"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sidRPr="004547F6">
              <w:rPr>
                <w:rFonts w:ascii="华文细黑" w:eastAsia="华文细黑" w:hAnsi="华文细黑" w:hint="eastAsia"/>
                <w:color w:val="000000"/>
                <w:sz w:val="18"/>
                <w:szCs w:val="18"/>
              </w:rPr>
              <w:t>大兴区</w:t>
            </w:r>
          </w:p>
        </w:tc>
        <w:tc>
          <w:tcPr>
            <w:tcW w:w="1502" w:type="pct"/>
            <w:tcBorders>
              <w:top w:val="nil"/>
              <w:left w:val="nil"/>
              <w:bottom w:val="single" w:sz="4" w:space="0" w:color="auto"/>
              <w:right w:val="single" w:sz="4" w:space="0" w:color="auto"/>
            </w:tcBorders>
            <w:shd w:val="clear" w:color="000000" w:fill="FFFFFF"/>
            <w:vAlign w:val="center"/>
          </w:tcPr>
          <w:p w14:paraId="6B9FAB88" w14:textId="77777777" w:rsidR="008956FD" w:rsidRPr="00D1407E" w:rsidRDefault="00D1407E" w:rsidP="008956FD">
            <w:pPr>
              <w:adjustRightInd w:val="0"/>
              <w:snapToGrid w:val="0"/>
              <w:spacing w:line="240" w:lineRule="auto"/>
              <w:jc w:val="center"/>
              <w:rPr>
                <w:rFonts w:ascii="华文细黑" w:eastAsia="华文细黑" w:hAnsi="华文细黑"/>
                <w:color w:val="000000"/>
                <w:sz w:val="18"/>
                <w:szCs w:val="18"/>
              </w:rPr>
            </w:pPr>
            <w:r w:rsidRPr="00D1407E">
              <w:rPr>
                <w:rFonts w:ascii="华文细黑" w:eastAsia="华文细黑" w:hAnsi="华文细黑"/>
                <w:color w:val="000000"/>
                <w:sz w:val="18"/>
                <w:szCs w:val="18"/>
              </w:rPr>
              <w:t>北京市大兴区姜场街与四海路交叉口东南角</w:t>
            </w:r>
          </w:p>
        </w:tc>
        <w:tc>
          <w:tcPr>
            <w:tcW w:w="610" w:type="pct"/>
            <w:tcBorders>
              <w:top w:val="nil"/>
              <w:left w:val="nil"/>
              <w:bottom w:val="single" w:sz="4" w:space="0" w:color="auto"/>
              <w:right w:val="single" w:sz="4" w:space="0" w:color="auto"/>
            </w:tcBorders>
            <w:shd w:val="clear" w:color="auto" w:fill="auto"/>
            <w:vAlign w:val="center"/>
          </w:tcPr>
          <w:p w14:paraId="6784772A"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shd w:val="clear" w:color="auto" w:fill="auto"/>
            <w:vAlign w:val="center"/>
          </w:tcPr>
          <w:p w14:paraId="5FDC82B6"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Pr>
                <w:rFonts w:ascii="华文细黑" w:eastAsia="华文细黑" w:hAnsi="华文细黑" w:cs="Arial"/>
                <w:bCs/>
                <w:sz w:val="18"/>
                <w:szCs w:val="18"/>
              </w:rPr>
              <w:t>9</w:t>
            </w:r>
            <w:r w:rsidRPr="008D55AB">
              <w:rPr>
                <w:rFonts w:ascii="华文细黑" w:eastAsia="华文细黑" w:hAnsi="华文细黑" w:cs="Arial"/>
                <w:bCs/>
                <w:sz w:val="18"/>
                <w:szCs w:val="18"/>
              </w:rPr>
              <w:t>0-1</w:t>
            </w:r>
            <w:r w:rsidR="00D1407E">
              <w:rPr>
                <w:rFonts w:ascii="华文细黑" w:eastAsia="华文细黑" w:hAnsi="华文细黑" w:cs="Arial" w:hint="eastAsia"/>
                <w:bCs/>
                <w:sz w:val="18"/>
                <w:szCs w:val="18"/>
              </w:rPr>
              <w:t>2</w:t>
            </w:r>
            <w:r w:rsidRPr="008D55AB">
              <w:rPr>
                <w:rFonts w:ascii="华文细黑" w:eastAsia="华文细黑" w:hAnsi="华文细黑" w:cs="Arial"/>
                <w:bCs/>
                <w:sz w:val="18"/>
                <w:szCs w:val="18"/>
              </w:rPr>
              <w:t>0</w:t>
            </w:r>
          </w:p>
        </w:tc>
        <w:tc>
          <w:tcPr>
            <w:tcW w:w="548" w:type="pct"/>
            <w:tcBorders>
              <w:top w:val="nil"/>
              <w:left w:val="nil"/>
              <w:bottom w:val="single" w:sz="4" w:space="0" w:color="auto"/>
              <w:right w:val="single" w:sz="4" w:space="0" w:color="auto"/>
            </w:tcBorders>
            <w:shd w:val="clear" w:color="auto" w:fill="auto"/>
            <w:vAlign w:val="center"/>
          </w:tcPr>
          <w:p w14:paraId="298F7502"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2</w:t>
            </w:r>
            <w:r w:rsidRPr="008D55AB">
              <w:rPr>
                <w:rFonts w:ascii="华文细黑" w:eastAsia="华文细黑" w:hAnsi="华文细黑" w:cs="Arial"/>
                <w:bCs/>
                <w:sz w:val="18"/>
                <w:szCs w:val="18"/>
              </w:rPr>
              <w:t>0</w:t>
            </w:r>
            <w:r w:rsidR="00D1407E">
              <w:rPr>
                <w:rFonts w:ascii="华文细黑" w:eastAsia="华文细黑" w:hAnsi="华文细黑" w:cs="Arial" w:hint="eastAsia"/>
                <w:bCs/>
                <w:sz w:val="18"/>
                <w:szCs w:val="18"/>
              </w:rPr>
              <w:t>15</w:t>
            </w:r>
          </w:p>
        </w:tc>
      </w:tr>
    </w:tbl>
    <w:p w14:paraId="34E261C4" w14:textId="77777777" w:rsidR="00D1407E" w:rsidRDefault="00D1407E" w:rsidP="00D1407E">
      <w:pPr>
        <w:pStyle w:val="LO-Normal"/>
        <w:overflowPunct w:val="0"/>
        <w:autoSpaceDE w:val="0"/>
        <w:spacing w:beforeLines="100" w:before="240" w:line="480" w:lineRule="auto"/>
        <w:ind w:right="142" w:firstLine="420"/>
        <w:textAlignment w:val="auto"/>
        <w:rPr>
          <w:rFonts w:ascii="Arial" w:hAnsi="Arial" w:cs="Arial"/>
          <w:color w:val="000000"/>
          <w:sz w:val="21"/>
          <w:szCs w:val="21"/>
        </w:rPr>
      </w:pPr>
      <w:r>
        <w:rPr>
          <w:rFonts w:cs="Arial" w:hint="eastAsia"/>
          <w:color w:val="000000"/>
          <w:sz w:val="21"/>
          <w:szCs w:val="21"/>
        </w:rPr>
        <w:t>（2）</w:t>
      </w:r>
      <w:r>
        <w:rPr>
          <w:rFonts w:ascii="Arial" w:hAnsi="Arial" w:cs="Arial" w:hint="eastAsia"/>
          <w:color w:val="000000"/>
          <w:sz w:val="21"/>
          <w:szCs w:val="21"/>
        </w:rPr>
        <w:t>样本小区选取</w:t>
      </w:r>
    </w:p>
    <w:p w14:paraId="6BCD7EBB" w14:textId="77777777" w:rsidR="00F52851" w:rsidRPr="009608F4" w:rsidRDefault="00AF6F34" w:rsidP="009608F4">
      <w:pPr>
        <w:pStyle w:val="LO-Normal"/>
        <w:overflowPunct w:val="0"/>
        <w:autoSpaceDE w:val="0"/>
        <w:spacing w:line="480" w:lineRule="auto"/>
        <w:ind w:right="142" w:firstLine="420"/>
        <w:textAlignment w:val="auto"/>
        <w:rPr>
          <w:rFonts w:ascii="Arial" w:hAnsi="Arial" w:cs="Arial"/>
          <w:color w:val="000000"/>
          <w:sz w:val="21"/>
          <w:szCs w:val="21"/>
        </w:rPr>
      </w:pPr>
      <w:r>
        <w:rPr>
          <w:rFonts w:ascii="Arial" w:hAnsi="Arial" w:cs="Arial" w:hint="eastAsia"/>
          <w:color w:val="000000"/>
          <w:sz w:val="21"/>
          <w:szCs w:val="21"/>
        </w:rPr>
        <w:t>估价对象周边小区较多，</w:t>
      </w:r>
      <w:r w:rsidR="009608F4">
        <w:rPr>
          <w:rFonts w:ascii="Arial" w:hAnsi="Arial" w:cs="Arial" w:hint="eastAsia"/>
          <w:color w:val="000000"/>
          <w:sz w:val="21"/>
          <w:szCs w:val="21"/>
        </w:rPr>
        <w:t>亦庄金茂悦、北京城建海梓府两项目距估价对象距离较近，但项目定位、建筑品质、户型结构等均与估价对象存在较大差异，故不选取上述两项目作为样本小区。</w:t>
      </w:r>
      <w:r>
        <w:rPr>
          <w:rFonts w:ascii="Arial" w:hAnsi="Arial" w:cs="Arial" w:hint="eastAsia"/>
          <w:color w:val="000000"/>
          <w:sz w:val="21"/>
          <w:szCs w:val="21"/>
        </w:rPr>
        <w:t>本次采用</w:t>
      </w:r>
      <w:r w:rsidR="00990456">
        <w:rPr>
          <w:rFonts w:ascii="Arial" w:hAnsi="Arial" w:cs="Arial" w:hint="eastAsia"/>
          <w:color w:val="000000"/>
          <w:sz w:val="21"/>
          <w:szCs w:val="21"/>
        </w:rPr>
        <w:t>同品质</w:t>
      </w:r>
      <w:r>
        <w:rPr>
          <w:rFonts w:ascii="Arial" w:hAnsi="Arial" w:cs="Arial" w:hint="eastAsia"/>
          <w:color w:val="000000"/>
          <w:sz w:val="21"/>
          <w:szCs w:val="21"/>
        </w:rPr>
        <w:t>优先原则，综合区位、小区规模、户型结构等因素筛选住房小区作为本次估价对象租金</w:t>
      </w:r>
      <w:r>
        <w:rPr>
          <w:rFonts w:ascii="Arial" w:hAnsi="Arial" w:cs="Arial" w:hint="eastAsia"/>
          <w:color w:val="000000"/>
          <w:sz w:val="21"/>
          <w:szCs w:val="21"/>
        </w:rPr>
        <w:lastRenderedPageBreak/>
        <w:t>的可比实例，最终</w:t>
      </w:r>
      <w:r w:rsidR="00830400">
        <w:rPr>
          <w:rFonts w:ascii="Arial" w:hAnsi="Arial" w:cs="Arial"/>
          <w:color w:val="000000"/>
          <w:sz w:val="21"/>
          <w:szCs w:val="21"/>
        </w:rPr>
        <w:t>选取了鹿海园、泰河园、和悦华锦</w:t>
      </w:r>
      <w:r>
        <w:rPr>
          <w:rFonts w:ascii="Arial" w:hAnsi="Arial" w:cs="Arial" w:hint="eastAsia"/>
          <w:color w:val="000000"/>
          <w:sz w:val="21"/>
          <w:szCs w:val="21"/>
        </w:rPr>
        <w:t>3</w:t>
      </w:r>
      <w:r>
        <w:rPr>
          <w:rFonts w:ascii="Arial" w:hAnsi="Arial" w:cs="Arial"/>
          <w:color w:val="000000"/>
          <w:sz w:val="21"/>
          <w:szCs w:val="21"/>
        </w:rPr>
        <w:t>个普通商品房住宅小区为样本小区，具体如下</w:t>
      </w:r>
      <w:r>
        <w:rPr>
          <w:rFonts w:ascii="Arial" w:hAnsi="Arial" w:cs="Arial" w:hint="eastAsia"/>
          <w:color w:val="000000"/>
          <w:sz w:val="21"/>
          <w:szCs w:val="21"/>
        </w:rPr>
        <w:t>：</w:t>
      </w: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693"/>
        <w:gridCol w:w="2268"/>
        <w:gridCol w:w="3463"/>
      </w:tblGrid>
      <w:tr w:rsidR="00AF6F34" w14:paraId="68B1027B" w14:textId="77777777" w:rsidTr="009608F4">
        <w:trPr>
          <w:trHeight w:val="283"/>
        </w:trPr>
        <w:tc>
          <w:tcPr>
            <w:tcW w:w="1101" w:type="dxa"/>
            <w:shd w:val="clear" w:color="auto" w:fill="auto"/>
          </w:tcPr>
          <w:p w14:paraId="4583C6AB" w14:textId="77777777" w:rsidR="00AF6F34" w:rsidRDefault="00AF6F34">
            <w:pPr>
              <w:pStyle w:val="Default"/>
              <w:jc w:val="center"/>
            </w:pPr>
            <w:r>
              <w:rPr>
                <w:rFonts w:ascii="华文细黑" w:eastAsia="华文细黑" w:hAnsi="华文细黑" w:cs="华文细黑" w:hint="eastAsia"/>
                <w:b/>
                <w:sz w:val="18"/>
                <w:szCs w:val="18"/>
              </w:rPr>
              <w:t>序号</w:t>
            </w:r>
          </w:p>
        </w:tc>
        <w:tc>
          <w:tcPr>
            <w:tcW w:w="2693" w:type="dxa"/>
            <w:shd w:val="clear" w:color="auto" w:fill="auto"/>
          </w:tcPr>
          <w:p w14:paraId="6B6955FA" w14:textId="77777777" w:rsidR="00AF6F34" w:rsidRDefault="00AF6F34">
            <w:pPr>
              <w:pStyle w:val="Default"/>
              <w:jc w:val="center"/>
            </w:pPr>
            <w:r>
              <w:rPr>
                <w:rFonts w:ascii="华文细黑" w:eastAsia="华文细黑" w:hAnsi="华文细黑" w:cs="华文细黑" w:hint="eastAsia"/>
                <w:b/>
                <w:sz w:val="18"/>
                <w:szCs w:val="18"/>
              </w:rPr>
              <w:t>小区名称</w:t>
            </w:r>
          </w:p>
        </w:tc>
        <w:tc>
          <w:tcPr>
            <w:tcW w:w="2268" w:type="dxa"/>
            <w:shd w:val="clear" w:color="auto" w:fill="auto"/>
          </w:tcPr>
          <w:p w14:paraId="43143914" w14:textId="77777777" w:rsidR="00AF6F34" w:rsidRDefault="00AF6F34">
            <w:pPr>
              <w:pStyle w:val="Default"/>
              <w:jc w:val="center"/>
            </w:pPr>
            <w:r>
              <w:rPr>
                <w:rFonts w:ascii="华文细黑" w:eastAsia="华文细黑" w:hAnsi="华文细黑" w:cs="华文细黑" w:hint="eastAsia"/>
                <w:b/>
                <w:sz w:val="18"/>
                <w:szCs w:val="18"/>
              </w:rPr>
              <w:t>建成年代（年）</w:t>
            </w:r>
          </w:p>
        </w:tc>
        <w:tc>
          <w:tcPr>
            <w:tcW w:w="3463" w:type="dxa"/>
            <w:shd w:val="clear" w:color="auto" w:fill="auto"/>
          </w:tcPr>
          <w:p w14:paraId="79DE8569" w14:textId="77777777" w:rsidR="00AF6F34" w:rsidRDefault="00AF6F34">
            <w:pPr>
              <w:pStyle w:val="Default"/>
              <w:jc w:val="center"/>
            </w:pPr>
            <w:r>
              <w:rPr>
                <w:rFonts w:ascii="华文细黑" w:eastAsia="华文细黑" w:hAnsi="华文细黑" w:cs="华文细黑" w:hint="eastAsia"/>
                <w:b/>
                <w:sz w:val="18"/>
                <w:szCs w:val="18"/>
              </w:rPr>
              <w:t>与估价对象直线距离</w:t>
            </w:r>
          </w:p>
        </w:tc>
      </w:tr>
      <w:tr w:rsidR="00AF6F34" w14:paraId="05E95594" w14:textId="77777777" w:rsidTr="009608F4">
        <w:trPr>
          <w:trHeight w:val="283"/>
        </w:trPr>
        <w:tc>
          <w:tcPr>
            <w:tcW w:w="1101" w:type="dxa"/>
            <w:shd w:val="clear" w:color="auto" w:fill="auto"/>
          </w:tcPr>
          <w:p w14:paraId="69B913E7" w14:textId="77777777" w:rsidR="00AF6F34" w:rsidRDefault="00AF6F34">
            <w:pPr>
              <w:pStyle w:val="Default"/>
              <w:jc w:val="center"/>
            </w:pPr>
            <w:r>
              <w:rPr>
                <w:rFonts w:ascii="华文细黑" w:eastAsia="华文细黑" w:hAnsi="华文细黑" w:cs="华文细黑" w:hint="eastAsia"/>
                <w:sz w:val="18"/>
                <w:szCs w:val="18"/>
              </w:rPr>
              <w:t>1</w:t>
            </w:r>
          </w:p>
        </w:tc>
        <w:tc>
          <w:tcPr>
            <w:tcW w:w="2693" w:type="dxa"/>
            <w:shd w:val="clear" w:color="auto" w:fill="auto"/>
            <w:vAlign w:val="center"/>
          </w:tcPr>
          <w:p w14:paraId="7C3D8258" w14:textId="77777777" w:rsidR="00AF6F34" w:rsidRDefault="00AF6F34" w:rsidP="00830400">
            <w:pPr>
              <w:widowControl/>
              <w:spacing w:line="240" w:lineRule="auto"/>
              <w:jc w:val="center"/>
              <w:textAlignment w:val="auto"/>
            </w:pPr>
            <w:r>
              <w:rPr>
                <w:rFonts w:ascii="华文细黑" w:eastAsia="华文细黑" w:hAnsi="华文细黑" w:cs="宋体" w:hint="eastAsia"/>
                <w:color w:val="000000"/>
                <w:sz w:val="18"/>
                <w:szCs w:val="18"/>
              </w:rPr>
              <w:t>鹿海园</w:t>
            </w:r>
          </w:p>
        </w:tc>
        <w:tc>
          <w:tcPr>
            <w:tcW w:w="2268" w:type="dxa"/>
            <w:shd w:val="clear" w:color="auto" w:fill="auto"/>
          </w:tcPr>
          <w:p w14:paraId="5EBE6CB8" w14:textId="77777777" w:rsidR="00AF6F34" w:rsidRDefault="00AF6F34">
            <w:pPr>
              <w:pStyle w:val="Default"/>
              <w:jc w:val="center"/>
            </w:pPr>
            <w:r>
              <w:rPr>
                <w:rFonts w:ascii="华文细黑" w:eastAsia="华文细黑" w:hAnsi="华文细黑" w:cs="华文细黑"/>
                <w:sz w:val="18"/>
                <w:szCs w:val="18"/>
              </w:rPr>
              <w:t>2004</w:t>
            </w:r>
          </w:p>
        </w:tc>
        <w:tc>
          <w:tcPr>
            <w:tcW w:w="3463" w:type="dxa"/>
            <w:shd w:val="clear" w:color="auto" w:fill="auto"/>
          </w:tcPr>
          <w:p w14:paraId="4A5DA755" w14:textId="77777777" w:rsidR="00AF6F34" w:rsidRDefault="00AF6F34">
            <w:pPr>
              <w:pStyle w:val="Default"/>
              <w:jc w:val="center"/>
            </w:pPr>
            <w:r>
              <w:rPr>
                <w:rFonts w:ascii="华文细黑" w:eastAsia="华文细黑" w:hAnsi="华文细黑" w:cs="华文细黑" w:hint="eastAsia"/>
                <w:sz w:val="18"/>
                <w:szCs w:val="18"/>
              </w:rPr>
              <w:t>约</w:t>
            </w:r>
            <w:r>
              <w:rPr>
                <w:rFonts w:ascii="华文细黑" w:eastAsia="华文细黑" w:hAnsi="华文细黑" w:cs="华文细黑"/>
                <w:sz w:val="18"/>
                <w:szCs w:val="18"/>
              </w:rPr>
              <w:t>500</w:t>
            </w:r>
            <w:r>
              <w:rPr>
                <w:rFonts w:ascii="华文细黑" w:eastAsia="华文细黑" w:hAnsi="华文细黑" w:cs="华文细黑" w:hint="eastAsia"/>
                <w:sz w:val="18"/>
                <w:szCs w:val="18"/>
              </w:rPr>
              <w:t>米</w:t>
            </w:r>
          </w:p>
        </w:tc>
      </w:tr>
      <w:tr w:rsidR="00AF6F34" w14:paraId="777F0E6C" w14:textId="77777777" w:rsidTr="009608F4">
        <w:trPr>
          <w:trHeight w:val="283"/>
        </w:trPr>
        <w:tc>
          <w:tcPr>
            <w:tcW w:w="1101" w:type="dxa"/>
            <w:shd w:val="clear" w:color="auto" w:fill="auto"/>
          </w:tcPr>
          <w:p w14:paraId="6384BF3E" w14:textId="77777777" w:rsidR="00AF6F34" w:rsidRDefault="00AF6F34">
            <w:pPr>
              <w:pStyle w:val="Default"/>
              <w:jc w:val="center"/>
            </w:pPr>
            <w:r>
              <w:rPr>
                <w:rFonts w:ascii="华文细黑" w:eastAsia="华文细黑" w:hAnsi="华文细黑" w:cs="华文细黑" w:hint="eastAsia"/>
                <w:sz w:val="18"/>
                <w:szCs w:val="18"/>
              </w:rPr>
              <w:t>2</w:t>
            </w:r>
          </w:p>
        </w:tc>
        <w:tc>
          <w:tcPr>
            <w:tcW w:w="2693" w:type="dxa"/>
            <w:shd w:val="clear" w:color="auto" w:fill="auto"/>
            <w:vAlign w:val="center"/>
          </w:tcPr>
          <w:p w14:paraId="76A99B5E" w14:textId="77777777" w:rsidR="00AF6F34" w:rsidRDefault="00AF6F34" w:rsidP="00830400">
            <w:pPr>
              <w:widowControl/>
              <w:spacing w:line="240" w:lineRule="auto"/>
              <w:jc w:val="center"/>
              <w:textAlignment w:val="auto"/>
            </w:pPr>
            <w:r>
              <w:rPr>
                <w:rFonts w:ascii="华文细黑" w:eastAsia="华文细黑" w:hAnsi="华文细黑" w:cs="宋体" w:hint="eastAsia"/>
                <w:color w:val="000000"/>
                <w:sz w:val="18"/>
                <w:szCs w:val="18"/>
              </w:rPr>
              <w:t>泰河园</w:t>
            </w:r>
          </w:p>
        </w:tc>
        <w:tc>
          <w:tcPr>
            <w:tcW w:w="2268" w:type="dxa"/>
            <w:shd w:val="clear" w:color="auto" w:fill="auto"/>
          </w:tcPr>
          <w:p w14:paraId="63BA49ED" w14:textId="77777777" w:rsidR="00AF6F34" w:rsidRDefault="00AF6F34" w:rsidP="00830400">
            <w:pPr>
              <w:pStyle w:val="Default"/>
              <w:jc w:val="center"/>
            </w:pPr>
            <w:r>
              <w:rPr>
                <w:rFonts w:ascii="华文细黑" w:eastAsia="华文细黑" w:hAnsi="华文细黑" w:cs="华文细黑"/>
                <w:sz w:val="18"/>
                <w:szCs w:val="18"/>
              </w:rPr>
              <w:t>20</w:t>
            </w:r>
            <w:r w:rsidR="00830400">
              <w:rPr>
                <w:rFonts w:ascii="华文细黑" w:eastAsia="华文细黑" w:hAnsi="华文细黑" w:cs="华文细黑"/>
                <w:sz w:val="18"/>
                <w:szCs w:val="18"/>
              </w:rPr>
              <w:t>07</w:t>
            </w:r>
          </w:p>
        </w:tc>
        <w:tc>
          <w:tcPr>
            <w:tcW w:w="3463" w:type="dxa"/>
            <w:shd w:val="clear" w:color="auto" w:fill="auto"/>
          </w:tcPr>
          <w:p w14:paraId="7CB2EEC6" w14:textId="77777777" w:rsidR="00AF6F34" w:rsidRDefault="00AF6F34">
            <w:pPr>
              <w:pStyle w:val="Default"/>
              <w:jc w:val="center"/>
            </w:pPr>
            <w:r>
              <w:rPr>
                <w:rFonts w:ascii="华文细黑" w:eastAsia="华文细黑" w:hAnsi="华文细黑" w:cs="华文细黑" w:hint="eastAsia"/>
                <w:sz w:val="18"/>
                <w:szCs w:val="18"/>
              </w:rPr>
              <w:t>约</w:t>
            </w:r>
            <w:r>
              <w:rPr>
                <w:rFonts w:ascii="华文细黑" w:eastAsia="华文细黑" w:hAnsi="华文细黑" w:cs="华文细黑"/>
                <w:sz w:val="18"/>
                <w:szCs w:val="18"/>
              </w:rPr>
              <w:t>500</w:t>
            </w:r>
            <w:r>
              <w:rPr>
                <w:rFonts w:ascii="华文细黑" w:eastAsia="华文细黑" w:hAnsi="华文细黑" w:cs="华文细黑" w:hint="eastAsia"/>
                <w:sz w:val="18"/>
                <w:szCs w:val="18"/>
              </w:rPr>
              <w:t>米</w:t>
            </w:r>
          </w:p>
        </w:tc>
      </w:tr>
      <w:tr w:rsidR="00AF6F34" w14:paraId="52791A4A" w14:textId="77777777" w:rsidTr="009608F4">
        <w:trPr>
          <w:trHeight w:val="283"/>
        </w:trPr>
        <w:tc>
          <w:tcPr>
            <w:tcW w:w="1101" w:type="dxa"/>
            <w:shd w:val="clear" w:color="auto" w:fill="auto"/>
          </w:tcPr>
          <w:p w14:paraId="60594609" w14:textId="77777777" w:rsidR="00AF6F34" w:rsidRDefault="00AF6F34">
            <w:pPr>
              <w:pStyle w:val="Default"/>
              <w:jc w:val="center"/>
            </w:pPr>
            <w:r>
              <w:rPr>
                <w:rFonts w:ascii="华文细黑" w:eastAsia="华文细黑" w:hAnsi="华文细黑" w:cs="华文细黑" w:hint="eastAsia"/>
                <w:sz w:val="18"/>
                <w:szCs w:val="18"/>
              </w:rPr>
              <w:t>3</w:t>
            </w:r>
          </w:p>
        </w:tc>
        <w:tc>
          <w:tcPr>
            <w:tcW w:w="2693" w:type="dxa"/>
            <w:shd w:val="clear" w:color="auto" w:fill="auto"/>
            <w:vAlign w:val="center"/>
          </w:tcPr>
          <w:p w14:paraId="5BE0AA66" w14:textId="77777777" w:rsidR="00AF6F34" w:rsidRDefault="00830400">
            <w:pPr>
              <w:widowControl/>
              <w:spacing w:line="240" w:lineRule="auto"/>
              <w:jc w:val="center"/>
              <w:textAlignment w:val="auto"/>
            </w:pPr>
            <w:r>
              <w:rPr>
                <w:rFonts w:ascii="华文细黑" w:eastAsia="华文细黑" w:hAnsi="华文细黑" w:cs="宋体" w:hint="eastAsia"/>
                <w:color w:val="000000"/>
                <w:sz w:val="18"/>
                <w:szCs w:val="18"/>
              </w:rPr>
              <w:t>和悦华锦</w:t>
            </w:r>
          </w:p>
        </w:tc>
        <w:tc>
          <w:tcPr>
            <w:tcW w:w="2268" w:type="dxa"/>
            <w:shd w:val="clear" w:color="auto" w:fill="auto"/>
          </w:tcPr>
          <w:p w14:paraId="54F5F0CE" w14:textId="77777777" w:rsidR="00AF6F34" w:rsidRDefault="00AF6F34" w:rsidP="00830400">
            <w:pPr>
              <w:pStyle w:val="Default"/>
              <w:jc w:val="center"/>
            </w:pPr>
            <w:r>
              <w:rPr>
                <w:rFonts w:ascii="华文细黑" w:eastAsia="华文细黑" w:hAnsi="华文细黑" w:cs="华文细黑"/>
                <w:sz w:val="18"/>
                <w:szCs w:val="18"/>
              </w:rPr>
              <w:t>20</w:t>
            </w:r>
            <w:r w:rsidR="00830400">
              <w:rPr>
                <w:rFonts w:ascii="华文细黑" w:eastAsia="华文细黑" w:hAnsi="华文细黑" w:cs="华文细黑"/>
                <w:sz w:val="18"/>
                <w:szCs w:val="18"/>
              </w:rPr>
              <w:t>21</w:t>
            </w:r>
          </w:p>
        </w:tc>
        <w:tc>
          <w:tcPr>
            <w:tcW w:w="3463" w:type="dxa"/>
            <w:shd w:val="clear" w:color="auto" w:fill="auto"/>
          </w:tcPr>
          <w:p w14:paraId="7A24024C" w14:textId="77777777" w:rsidR="00AF6F34" w:rsidRDefault="00AF6F34" w:rsidP="00830400">
            <w:pPr>
              <w:pStyle w:val="Default"/>
              <w:jc w:val="center"/>
            </w:pPr>
            <w:r>
              <w:rPr>
                <w:rFonts w:ascii="华文细黑" w:eastAsia="华文细黑" w:hAnsi="华文细黑" w:cs="华文细黑" w:hint="eastAsia"/>
                <w:sz w:val="18"/>
                <w:szCs w:val="18"/>
              </w:rPr>
              <w:t>约</w:t>
            </w:r>
            <w:r w:rsidR="00830400">
              <w:rPr>
                <w:rFonts w:ascii="华文细黑" w:eastAsia="华文细黑" w:hAnsi="华文细黑" w:cs="华文细黑"/>
                <w:sz w:val="18"/>
                <w:szCs w:val="18"/>
              </w:rPr>
              <w:t>15</w:t>
            </w:r>
            <w:r>
              <w:rPr>
                <w:rFonts w:ascii="华文细黑" w:eastAsia="华文细黑" w:hAnsi="华文细黑" w:cs="华文细黑"/>
                <w:sz w:val="18"/>
                <w:szCs w:val="18"/>
              </w:rPr>
              <w:t>00</w:t>
            </w:r>
            <w:r>
              <w:rPr>
                <w:rFonts w:ascii="华文细黑" w:eastAsia="华文细黑" w:hAnsi="华文细黑" w:cs="华文细黑" w:hint="eastAsia"/>
                <w:sz w:val="18"/>
                <w:szCs w:val="18"/>
              </w:rPr>
              <w:t>米</w:t>
            </w:r>
          </w:p>
        </w:tc>
      </w:tr>
    </w:tbl>
    <w:p w14:paraId="0AF26C51" w14:textId="77777777" w:rsidR="00AF6F34" w:rsidRDefault="00AF6F34">
      <w:pPr>
        <w:pStyle w:val="LO-Normal"/>
        <w:overflowPunct w:val="0"/>
        <w:autoSpaceDE w:val="0"/>
        <w:spacing w:before="240" w:line="480" w:lineRule="auto"/>
        <w:ind w:right="142" w:firstLine="420"/>
        <w:jc w:val="both"/>
        <w:textAlignment w:val="auto"/>
      </w:pPr>
      <w:r>
        <w:rPr>
          <w:rFonts w:ascii="Arial" w:hAnsi="Arial" w:cs="Arial" w:hint="eastAsia"/>
          <w:color w:val="000000"/>
          <w:sz w:val="21"/>
          <w:szCs w:val="21"/>
        </w:rPr>
        <w:t>样本小区一：鹿海园</w:t>
      </w:r>
    </w:p>
    <w:p w14:paraId="11321454" w14:textId="77777777" w:rsidR="00AF6F34" w:rsidRDefault="00AF6F34">
      <w:pPr>
        <w:pStyle w:val="LO-Normal"/>
        <w:overflowPunct w:val="0"/>
        <w:autoSpaceDE w:val="0"/>
        <w:spacing w:line="480" w:lineRule="auto"/>
        <w:ind w:right="140" w:firstLine="420"/>
        <w:textAlignment w:val="auto"/>
      </w:pPr>
      <w:r>
        <w:rPr>
          <w:rFonts w:ascii="Arial" w:hAnsi="Arial" w:cs="Arial" w:hint="eastAsia"/>
          <w:color w:val="000000"/>
          <w:sz w:val="21"/>
          <w:szCs w:val="21"/>
        </w:rPr>
        <w:t>鹿海园小区位于大兴区博兴八路与泰河路交叉口东南，建成于</w:t>
      </w:r>
      <w:r>
        <w:rPr>
          <w:rFonts w:ascii="Arial" w:hAnsi="Arial" w:cs="Arial"/>
          <w:color w:val="000000"/>
          <w:sz w:val="21"/>
          <w:szCs w:val="21"/>
        </w:rPr>
        <w:t>2004</w:t>
      </w:r>
      <w:r>
        <w:rPr>
          <w:rFonts w:ascii="Arial" w:hAnsi="Arial" w:cs="Arial" w:hint="eastAsia"/>
          <w:color w:val="000000"/>
          <w:sz w:val="21"/>
          <w:szCs w:val="21"/>
        </w:rPr>
        <w:t>年，项目内建筑密度适中，环境状况较好，物业管理费为</w:t>
      </w:r>
      <w:r>
        <w:rPr>
          <w:rFonts w:ascii="Arial" w:hAnsi="Arial" w:cs="Arial"/>
          <w:color w:val="000000"/>
          <w:sz w:val="21"/>
          <w:szCs w:val="21"/>
        </w:rPr>
        <w:t>0.5</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平方米·月，主力户型为二居室，距离估价对象约</w:t>
      </w:r>
      <w:r>
        <w:rPr>
          <w:rFonts w:ascii="Arial" w:hAnsi="Arial" w:cs="Arial"/>
          <w:color w:val="000000"/>
          <w:sz w:val="21"/>
          <w:szCs w:val="21"/>
        </w:rPr>
        <w:t>500</w:t>
      </w:r>
      <w:r>
        <w:rPr>
          <w:rFonts w:ascii="Arial" w:hAnsi="Arial" w:cs="Arial" w:hint="eastAsia"/>
          <w:color w:val="000000"/>
          <w:sz w:val="21"/>
          <w:szCs w:val="21"/>
        </w:rPr>
        <w:t>米。与估价对象位于同一供需圈，建筑结构、</w:t>
      </w:r>
      <w:r>
        <w:rPr>
          <w:rFonts w:cs="Arial" w:hint="eastAsia"/>
          <w:color w:val="000000"/>
          <w:sz w:val="21"/>
          <w:szCs w:val="21"/>
        </w:rPr>
        <w:t>户型结构</w:t>
      </w:r>
      <w:r>
        <w:rPr>
          <w:rFonts w:ascii="Arial" w:hAnsi="Arial" w:cs="Arial" w:hint="eastAsia"/>
          <w:color w:val="000000"/>
          <w:sz w:val="21"/>
          <w:szCs w:val="21"/>
        </w:rPr>
        <w:t>与估价对象类似。</w:t>
      </w:r>
    </w:p>
    <w:p w14:paraId="49429722" w14:textId="77777777" w:rsidR="00AF6F34" w:rsidRDefault="00AF6F34">
      <w:pPr>
        <w:pStyle w:val="LO-Normal"/>
        <w:overflowPunct w:val="0"/>
        <w:autoSpaceDE w:val="0"/>
        <w:spacing w:line="480" w:lineRule="auto"/>
        <w:ind w:right="140" w:firstLine="420"/>
        <w:jc w:val="both"/>
        <w:textAlignment w:val="auto"/>
      </w:pPr>
      <w:r>
        <w:rPr>
          <w:rFonts w:ascii="Arial" w:hAnsi="Arial" w:cs="Arial" w:hint="eastAsia"/>
          <w:color w:val="000000"/>
          <w:sz w:val="21"/>
          <w:szCs w:val="21"/>
        </w:rPr>
        <w:t>样本小区二：泰河园</w:t>
      </w:r>
    </w:p>
    <w:p w14:paraId="1AACCB2C" w14:textId="77777777" w:rsidR="00AF6F34" w:rsidRDefault="00AF6F34">
      <w:pPr>
        <w:pStyle w:val="LO-Normal"/>
        <w:overflowPunct w:val="0"/>
        <w:autoSpaceDE w:val="0"/>
        <w:spacing w:line="480" w:lineRule="auto"/>
        <w:ind w:right="140" w:firstLine="420"/>
        <w:jc w:val="both"/>
        <w:textAlignment w:val="auto"/>
      </w:pPr>
      <w:r>
        <w:rPr>
          <w:rFonts w:ascii="Arial" w:hAnsi="Arial" w:cs="Arial" w:hint="eastAsia"/>
          <w:color w:val="000000"/>
          <w:sz w:val="21"/>
          <w:szCs w:val="21"/>
        </w:rPr>
        <w:t>泰河园位于大兴区博兴七路与凉水河二街交叉点东南，建成于</w:t>
      </w:r>
      <w:r>
        <w:rPr>
          <w:rFonts w:ascii="Arial" w:hAnsi="Arial" w:cs="Arial"/>
          <w:color w:val="000000"/>
          <w:sz w:val="21"/>
          <w:szCs w:val="21"/>
        </w:rPr>
        <w:t>20</w:t>
      </w:r>
      <w:r w:rsidR="00830400">
        <w:rPr>
          <w:rFonts w:ascii="Arial" w:hAnsi="Arial" w:cs="Arial"/>
          <w:color w:val="000000"/>
          <w:sz w:val="21"/>
          <w:szCs w:val="21"/>
        </w:rPr>
        <w:t>07</w:t>
      </w:r>
      <w:r>
        <w:rPr>
          <w:rFonts w:ascii="Arial" w:hAnsi="Arial" w:cs="Arial" w:hint="eastAsia"/>
          <w:color w:val="000000"/>
          <w:sz w:val="21"/>
          <w:szCs w:val="21"/>
        </w:rPr>
        <w:t>年，项目内建筑密度适中，环境状况较好，物业管理费为</w:t>
      </w:r>
      <w:r>
        <w:rPr>
          <w:rFonts w:ascii="Arial" w:hAnsi="Arial" w:cs="Arial"/>
          <w:color w:val="000000"/>
          <w:sz w:val="21"/>
          <w:szCs w:val="21"/>
        </w:rPr>
        <w:t>0.5</w:t>
      </w:r>
      <w:r>
        <w:rPr>
          <w:rFonts w:ascii="Arial" w:hAnsi="Arial" w:cs="Arial"/>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平方米·月，主力户型为一居室，距离估价对象约</w:t>
      </w:r>
      <w:r>
        <w:rPr>
          <w:rFonts w:ascii="Arial" w:hAnsi="Arial" w:cs="Arial"/>
          <w:color w:val="000000"/>
          <w:sz w:val="21"/>
          <w:szCs w:val="21"/>
        </w:rPr>
        <w:t>500</w:t>
      </w:r>
      <w:r>
        <w:rPr>
          <w:rFonts w:ascii="Arial" w:hAnsi="Arial" w:cs="Arial" w:hint="eastAsia"/>
          <w:color w:val="000000"/>
          <w:sz w:val="21"/>
          <w:szCs w:val="21"/>
        </w:rPr>
        <w:t>米。与估价对象位于同一供需圈，建筑结构、</w:t>
      </w:r>
      <w:r>
        <w:rPr>
          <w:rFonts w:cs="Arial" w:hint="eastAsia"/>
          <w:color w:val="000000"/>
          <w:sz w:val="21"/>
          <w:szCs w:val="21"/>
        </w:rPr>
        <w:t>户型结构</w:t>
      </w:r>
      <w:r>
        <w:rPr>
          <w:rFonts w:ascii="Arial" w:hAnsi="Arial" w:cs="Arial" w:hint="eastAsia"/>
          <w:color w:val="000000"/>
          <w:sz w:val="21"/>
          <w:szCs w:val="21"/>
        </w:rPr>
        <w:t>与估价对象类似。</w:t>
      </w:r>
    </w:p>
    <w:p w14:paraId="71FB05F6" w14:textId="7DAD0C28" w:rsidR="00AF6F34" w:rsidRDefault="00AF6F34">
      <w:pPr>
        <w:pStyle w:val="LO-Normal"/>
        <w:overflowPunct w:val="0"/>
        <w:autoSpaceDE w:val="0"/>
        <w:spacing w:line="480" w:lineRule="auto"/>
        <w:ind w:right="140" w:firstLine="420"/>
        <w:jc w:val="both"/>
        <w:textAlignment w:val="auto"/>
      </w:pPr>
      <w:r>
        <w:rPr>
          <w:rFonts w:ascii="Arial" w:hAnsi="Arial" w:cs="Arial" w:hint="eastAsia"/>
          <w:color w:val="000000"/>
          <w:sz w:val="21"/>
          <w:szCs w:val="21"/>
        </w:rPr>
        <w:t>样本小区三：</w:t>
      </w:r>
      <w:r w:rsidR="006F00C8">
        <w:rPr>
          <w:rFonts w:ascii="Arial" w:hAnsi="Arial" w:cs="Arial" w:hint="eastAsia"/>
          <w:color w:val="000000"/>
          <w:sz w:val="21"/>
          <w:szCs w:val="21"/>
        </w:rPr>
        <w:t>和悦华锦</w:t>
      </w:r>
    </w:p>
    <w:p w14:paraId="4620AA4C" w14:textId="267D8476" w:rsidR="00AF6F34" w:rsidRDefault="006F00C8">
      <w:pPr>
        <w:pStyle w:val="LO-Normal"/>
        <w:overflowPunct w:val="0"/>
        <w:autoSpaceDE w:val="0"/>
        <w:spacing w:line="480" w:lineRule="auto"/>
        <w:ind w:right="140" w:firstLine="420"/>
        <w:jc w:val="both"/>
        <w:textAlignment w:val="auto"/>
      </w:pPr>
      <w:r>
        <w:rPr>
          <w:rFonts w:ascii="Arial" w:hAnsi="Arial" w:cs="Arial" w:hint="eastAsia"/>
          <w:color w:val="000000"/>
          <w:sz w:val="21"/>
          <w:szCs w:val="21"/>
        </w:rPr>
        <w:t>和悦华锦</w:t>
      </w:r>
      <w:r w:rsidR="00AF6F34">
        <w:rPr>
          <w:rFonts w:ascii="Arial" w:hAnsi="Arial" w:cs="Arial" w:hint="eastAsia"/>
          <w:color w:val="000000"/>
          <w:sz w:val="21"/>
          <w:szCs w:val="21"/>
        </w:rPr>
        <w:t>位于大兴区</w:t>
      </w:r>
      <w:r w:rsidR="00830400" w:rsidRPr="00830400">
        <w:rPr>
          <w:rFonts w:ascii="Arial" w:hAnsi="Arial" w:cs="Arial" w:hint="eastAsia"/>
          <w:color w:val="000000"/>
          <w:sz w:val="21"/>
          <w:szCs w:val="21"/>
        </w:rPr>
        <w:t>兴海二街和博兴八路交叉口</w:t>
      </w:r>
      <w:r w:rsidR="00AF6F34">
        <w:rPr>
          <w:rFonts w:ascii="Arial" w:hAnsi="Arial" w:cs="Arial" w:hint="eastAsia"/>
          <w:color w:val="000000"/>
          <w:sz w:val="21"/>
          <w:szCs w:val="21"/>
        </w:rPr>
        <w:t>，建成于</w:t>
      </w:r>
      <w:r w:rsidR="00AF6F34">
        <w:rPr>
          <w:rFonts w:ascii="Arial" w:hAnsi="Arial" w:cs="Arial"/>
          <w:color w:val="000000"/>
          <w:sz w:val="21"/>
          <w:szCs w:val="21"/>
        </w:rPr>
        <w:t>20</w:t>
      </w:r>
      <w:r w:rsidR="00830400">
        <w:rPr>
          <w:rFonts w:ascii="Arial" w:hAnsi="Arial" w:cs="Arial"/>
          <w:color w:val="000000"/>
          <w:sz w:val="21"/>
          <w:szCs w:val="21"/>
        </w:rPr>
        <w:t>21</w:t>
      </w:r>
      <w:r w:rsidR="00AF6F34">
        <w:rPr>
          <w:rFonts w:ascii="Arial" w:hAnsi="Arial" w:cs="Arial" w:hint="eastAsia"/>
          <w:color w:val="000000"/>
          <w:sz w:val="21"/>
          <w:szCs w:val="21"/>
        </w:rPr>
        <w:t>年，项目内建筑密度适中，环境状况较好，物业管理费为</w:t>
      </w:r>
      <w:r w:rsidR="00830400">
        <w:rPr>
          <w:rFonts w:ascii="Arial" w:hAnsi="Arial" w:cs="Arial"/>
          <w:color w:val="000000"/>
          <w:sz w:val="21"/>
          <w:szCs w:val="21"/>
        </w:rPr>
        <w:t>3.98</w:t>
      </w:r>
      <w:r w:rsidR="00AF6F34">
        <w:rPr>
          <w:rFonts w:ascii="Arial" w:hAnsi="Arial" w:cs="Arial" w:hint="eastAsia"/>
          <w:color w:val="000000"/>
          <w:sz w:val="21"/>
          <w:szCs w:val="21"/>
        </w:rPr>
        <w:t>元</w:t>
      </w:r>
      <w:r w:rsidR="00AF6F34">
        <w:rPr>
          <w:rFonts w:ascii="Arial" w:hAnsi="Arial" w:cs="Arial" w:hint="eastAsia"/>
          <w:color w:val="000000"/>
          <w:sz w:val="21"/>
          <w:szCs w:val="21"/>
        </w:rPr>
        <w:t>/</w:t>
      </w:r>
      <w:r w:rsidR="00AF6F34">
        <w:rPr>
          <w:rFonts w:ascii="Arial" w:hAnsi="Arial" w:cs="Arial" w:hint="eastAsia"/>
          <w:color w:val="000000"/>
          <w:sz w:val="21"/>
          <w:szCs w:val="21"/>
        </w:rPr>
        <w:t>平方米·月，主力户型为</w:t>
      </w:r>
      <w:r w:rsidR="00830400">
        <w:rPr>
          <w:rFonts w:ascii="Arial" w:hAnsi="Arial" w:cs="Arial" w:hint="eastAsia"/>
          <w:color w:val="000000"/>
          <w:sz w:val="21"/>
          <w:szCs w:val="21"/>
        </w:rPr>
        <w:t>三</w:t>
      </w:r>
      <w:r w:rsidR="00AF6F34">
        <w:rPr>
          <w:rFonts w:ascii="Arial" w:hAnsi="Arial" w:cs="Arial" w:hint="eastAsia"/>
          <w:color w:val="000000"/>
          <w:sz w:val="21"/>
          <w:szCs w:val="21"/>
        </w:rPr>
        <w:t>居室，距离估价对象约</w:t>
      </w:r>
      <w:r w:rsidR="00830400">
        <w:rPr>
          <w:rFonts w:ascii="Arial" w:hAnsi="Arial" w:cs="Arial"/>
          <w:color w:val="000000"/>
          <w:sz w:val="21"/>
          <w:szCs w:val="21"/>
        </w:rPr>
        <w:t>15</w:t>
      </w:r>
      <w:r w:rsidR="00AF6F34">
        <w:rPr>
          <w:rFonts w:ascii="Arial" w:hAnsi="Arial" w:cs="Arial"/>
          <w:color w:val="000000"/>
          <w:sz w:val="21"/>
          <w:szCs w:val="21"/>
        </w:rPr>
        <w:t>00</w:t>
      </w:r>
      <w:r w:rsidR="00AF6F34">
        <w:rPr>
          <w:rFonts w:ascii="Arial" w:hAnsi="Arial" w:cs="Arial" w:hint="eastAsia"/>
          <w:color w:val="000000"/>
          <w:sz w:val="21"/>
          <w:szCs w:val="21"/>
        </w:rPr>
        <w:t>米。与估价对象位于同一供需圈，建筑结构、</w:t>
      </w:r>
      <w:r w:rsidR="00AF6F34">
        <w:rPr>
          <w:rFonts w:cs="Arial" w:hint="eastAsia"/>
          <w:color w:val="000000"/>
          <w:sz w:val="21"/>
          <w:szCs w:val="21"/>
        </w:rPr>
        <w:t>户型结构</w:t>
      </w:r>
      <w:r w:rsidR="00AF6F34">
        <w:rPr>
          <w:rFonts w:ascii="Arial" w:hAnsi="Arial" w:cs="Arial" w:hint="eastAsia"/>
          <w:color w:val="000000"/>
          <w:sz w:val="21"/>
          <w:szCs w:val="21"/>
        </w:rPr>
        <w:t>与估价对象类似。</w:t>
      </w:r>
    </w:p>
    <w:p w14:paraId="6E32103B" w14:textId="77777777" w:rsidR="00AF6F34" w:rsidRDefault="00AF6F34">
      <w:pPr>
        <w:pStyle w:val="LO-Normal"/>
        <w:autoSpaceDE w:val="0"/>
        <w:spacing w:line="480" w:lineRule="auto"/>
        <w:ind w:firstLine="420"/>
        <w:jc w:val="center"/>
        <w:textAlignment w:val="bottom"/>
      </w:pPr>
      <w:r>
        <w:rPr>
          <w:rFonts w:ascii="Arial" w:hAnsi="Arial" w:cs="Arial" w:hint="eastAsia"/>
          <w:color w:val="000000"/>
          <w:sz w:val="21"/>
          <w:szCs w:val="21"/>
        </w:rPr>
        <w:t>估价对象及样本小区位置示意图</w:t>
      </w:r>
    </w:p>
    <w:p w14:paraId="11A5937C" w14:textId="258DE479" w:rsidR="00AF6F34" w:rsidRDefault="00FC2399" w:rsidP="00F52851">
      <w:pPr>
        <w:pStyle w:val="LO-Normal"/>
        <w:autoSpaceDE w:val="0"/>
        <w:spacing w:line="480" w:lineRule="auto"/>
        <w:jc w:val="center"/>
        <w:textAlignment w:val="bottom"/>
        <w:rPr>
          <w:rFonts w:cs="Arial"/>
          <w:color w:val="000000"/>
          <w:sz w:val="21"/>
          <w:szCs w:val="21"/>
        </w:rPr>
      </w:pPr>
      <w:r w:rsidRPr="006637B5">
        <w:rPr>
          <w:noProof/>
        </w:rPr>
        <w:lastRenderedPageBreak/>
        <w:drawing>
          <wp:inline distT="0" distB="0" distL="0" distR="0" wp14:anchorId="2A5E9A48" wp14:editId="297917AC">
            <wp:extent cx="4337685" cy="4337685"/>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37685" cy="4337685"/>
                    </a:xfrm>
                    <a:prstGeom prst="rect">
                      <a:avLst/>
                    </a:prstGeom>
                    <a:noFill/>
                    <a:ln>
                      <a:noFill/>
                    </a:ln>
                  </pic:spPr>
                </pic:pic>
              </a:graphicData>
            </a:graphic>
          </wp:inline>
        </w:drawing>
      </w:r>
    </w:p>
    <w:p w14:paraId="1817ACD4" w14:textId="77777777" w:rsidR="00AF6F34" w:rsidRDefault="00AF6F34">
      <w:pPr>
        <w:pStyle w:val="LO-Normal"/>
        <w:autoSpaceDE w:val="0"/>
        <w:spacing w:line="480" w:lineRule="auto"/>
        <w:ind w:firstLine="420"/>
        <w:jc w:val="both"/>
        <w:textAlignment w:val="bottom"/>
      </w:pPr>
      <w:r>
        <w:rPr>
          <w:rFonts w:cs="Arial" w:hint="eastAsia"/>
          <w:color w:val="000000"/>
          <w:sz w:val="21"/>
          <w:szCs w:val="21"/>
        </w:rPr>
        <w:t>（</w:t>
      </w:r>
      <w:r w:rsidR="00D1407E">
        <w:rPr>
          <w:rFonts w:cs="Arial" w:hint="eastAsia"/>
          <w:color w:val="000000"/>
          <w:sz w:val="21"/>
          <w:szCs w:val="21"/>
        </w:rPr>
        <w:t>3</w:t>
      </w:r>
      <w:r>
        <w:rPr>
          <w:rFonts w:cs="Arial" w:hint="eastAsia"/>
          <w:color w:val="000000"/>
          <w:sz w:val="21"/>
          <w:szCs w:val="21"/>
        </w:rPr>
        <w:t>）</w:t>
      </w:r>
      <w:r>
        <w:rPr>
          <w:rFonts w:ascii="Arial" w:hAnsi="Arial" w:cs="Arial" w:hint="eastAsia"/>
          <w:color w:val="000000"/>
          <w:sz w:val="21"/>
          <w:szCs w:val="21"/>
        </w:rPr>
        <w:t>样本数据统计分析</w:t>
      </w:r>
    </w:p>
    <w:p w14:paraId="5F4DFE01" w14:textId="77777777" w:rsidR="00AF6F34" w:rsidRDefault="00AF6F34">
      <w:pPr>
        <w:pStyle w:val="LO-Normal"/>
        <w:autoSpaceDE w:val="0"/>
        <w:spacing w:line="480" w:lineRule="auto"/>
        <w:ind w:firstLine="420"/>
        <w:jc w:val="both"/>
        <w:textAlignment w:val="bottom"/>
      </w:pPr>
      <w:r>
        <w:rPr>
          <w:rFonts w:ascii="Arial" w:hAnsi="Arial" w:cs="Arial" w:hint="eastAsia"/>
          <w:color w:val="000000"/>
          <w:sz w:val="21"/>
          <w:szCs w:val="21"/>
        </w:rPr>
        <w:t>本次评估估价对象周边区域住宅小区近一年平均租金水平数据来源为估价机构监测数据、和估价机构市场调查两方面数据，两方面数据情况分别如下：</w:t>
      </w:r>
    </w:p>
    <w:p w14:paraId="4E166705" w14:textId="77777777" w:rsidR="00AF6F34" w:rsidRDefault="00AF6F34">
      <w:pPr>
        <w:pStyle w:val="LO-Normal"/>
        <w:autoSpaceDE w:val="0"/>
        <w:spacing w:line="480" w:lineRule="auto"/>
        <w:ind w:firstLine="420"/>
        <w:jc w:val="both"/>
        <w:textAlignment w:val="bottom"/>
      </w:pPr>
      <w:r>
        <w:rPr>
          <w:rFonts w:ascii="Arial" w:hAnsi="Arial" w:cs="Arial" w:hint="eastAsia"/>
          <w:color w:val="000000"/>
          <w:sz w:val="21"/>
          <w:szCs w:val="21"/>
        </w:rPr>
        <w:t>A.</w:t>
      </w:r>
      <w:r>
        <w:rPr>
          <w:rFonts w:ascii="Arial" w:hAnsi="Arial" w:cs="Arial" w:hint="eastAsia"/>
          <w:color w:val="000000"/>
          <w:sz w:val="21"/>
          <w:szCs w:val="21"/>
        </w:rPr>
        <w:t>估价机构监测数据</w:t>
      </w:r>
      <w:r w:rsidR="005C56F8" w:rsidRPr="00CF1CF7">
        <w:rPr>
          <w:rFonts w:ascii="Arial" w:hAnsi="Arial" w:cs="Arial" w:hint="eastAsia"/>
          <w:sz w:val="21"/>
          <w:szCs w:val="21"/>
        </w:rPr>
        <w:t>（中指数据）</w:t>
      </w:r>
    </w:p>
    <w:p w14:paraId="4C7B11EB" w14:textId="77777777" w:rsidR="00AF6F34" w:rsidRDefault="00AF6F34">
      <w:pPr>
        <w:pStyle w:val="LO-Normal"/>
        <w:autoSpaceDE w:val="0"/>
        <w:spacing w:line="480" w:lineRule="auto"/>
        <w:ind w:firstLine="420"/>
        <w:jc w:val="both"/>
        <w:textAlignment w:val="bottom"/>
        <w:rPr>
          <w:rFonts w:ascii="Arial" w:hAnsi="Arial" w:cs="Arial"/>
          <w:color w:val="000000"/>
          <w:sz w:val="21"/>
          <w:szCs w:val="21"/>
        </w:rPr>
      </w:pPr>
      <w:r>
        <w:rPr>
          <w:rFonts w:ascii="Arial" w:hAnsi="Arial" w:cs="Arial" w:hint="eastAsia"/>
          <w:color w:val="000000"/>
          <w:sz w:val="21"/>
          <w:szCs w:val="21"/>
        </w:rPr>
        <w:t>样本小区一：鹿海园</w:t>
      </w:r>
    </w:p>
    <w:tbl>
      <w:tblPr>
        <w:tblW w:w="5000" w:type="pct"/>
        <w:tblLook w:val="0000" w:firstRow="0" w:lastRow="0" w:firstColumn="0" w:lastColumn="0" w:noHBand="0" w:noVBand="0"/>
      </w:tblPr>
      <w:tblGrid>
        <w:gridCol w:w="3444"/>
        <w:gridCol w:w="1785"/>
        <w:gridCol w:w="4285"/>
      </w:tblGrid>
      <w:tr w:rsidR="00941FE0" w:rsidRPr="00847171" w14:paraId="601C9F8E" w14:textId="77777777" w:rsidTr="00EA2F0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764EE417" w14:textId="77777777" w:rsidR="00941FE0" w:rsidRPr="00847171" w:rsidRDefault="00941FE0"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4B91339A" w14:textId="77777777" w:rsidR="00941FE0" w:rsidRPr="00847171" w:rsidRDefault="00941FE0"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C756E7E" w14:textId="77777777" w:rsidR="00941FE0" w:rsidRPr="00847171" w:rsidRDefault="00941FE0"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CE194E" w:rsidRPr="00847171" w14:paraId="1FECBAF3" w14:textId="77777777" w:rsidTr="00EA2F0D">
        <w:trPr>
          <w:trHeight w:val="20"/>
        </w:trPr>
        <w:tc>
          <w:tcPr>
            <w:tcW w:w="1810" w:type="pct"/>
            <w:tcBorders>
              <w:top w:val="nil"/>
              <w:left w:val="single" w:sz="4" w:space="0" w:color="auto"/>
              <w:bottom w:val="single" w:sz="4" w:space="0" w:color="auto"/>
              <w:right w:val="single" w:sz="4" w:space="0" w:color="auto"/>
            </w:tcBorders>
          </w:tcPr>
          <w:p w14:paraId="4521E4E0" w14:textId="4AF8A92D"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vAlign w:val="center"/>
          </w:tcPr>
          <w:p w14:paraId="40563A7E"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70EDACD" w14:textId="4A6DD34B"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51.06</w:t>
            </w:r>
          </w:p>
        </w:tc>
      </w:tr>
      <w:tr w:rsidR="00CE194E" w:rsidRPr="00847171" w14:paraId="69139AE2" w14:textId="77777777" w:rsidTr="00EA2F0D">
        <w:trPr>
          <w:trHeight w:val="20"/>
        </w:trPr>
        <w:tc>
          <w:tcPr>
            <w:tcW w:w="1810" w:type="pct"/>
            <w:tcBorders>
              <w:top w:val="nil"/>
              <w:left w:val="single" w:sz="4" w:space="0" w:color="auto"/>
              <w:bottom w:val="single" w:sz="4" w:space="0" w:color="auto"/>
              <w:right w:val="single" w:sz="4" w:space="0" w:color="auto"/>
            </w:tcBorders>
          </w:tcPr>
          <w:p w14:paraId="57CCB2E6" w14:textId="61231EDC"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62F80B5A"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0D867D1" w14:textId="783663EB"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51.51</w:t>
            </w:r>
          </w:p>
        </w:tc>
      </w:tr>
      <w:tr w:rsidR="00CE194E" w:rsidRPr="00847171" w14:paraId="52098602" w14:textId="77777777" w:rsidTr="00EA2F0D">
        <w:trPr>
          <w:trHeight w:val="20"/>
        </w:trPr>
        <w:tc>
          <w:tcPr>
            <w:tcW w:w="1810" w:type="pct"/>
            <w:tcBorders>
              <w:top w:val="nil"/>
              <w:left w:val="single" w:sz="4" w:space="0" w:color="auto"/>
              <w:bottom w:val="single" w:sz="4" w:space="0" w:color="auto"/>
              <w:right w:val="single" w:sz="4" w:space="0" w:color="auto"/>
            </w:tcBorders>
          </w:tcPr>
          <w:p w14:paraId="3029C7C3" w14:textId="5ECC4023"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4DE160C0"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A498894" w14:textId="0BC681B4"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64.53</w:t>
            </w:r>
          </w:p>
        </w:tc>
      </w:tr>
      <w:tr w:rsidR="00CE194E" w:rsidRPr="00847171" w14:paraId="6CAB5491" w14:textId="77777777" w:rsidTr="00EA2F0D">
        <w:trPr>
          <w:trHeight w:val="20"/>
        </w:trPr>
        <w:tc>
          <w:tcPr>
            <w:tcW w:w="1810" w:type="pct"/>
            <w:tcBorders>
              <w:top w:val="nil"/>
              <w:left w:val="single" w:sz="4" w:space="0" w:color="auto"/>
              <w:bottom w:val="single" w:sz="4" w:space="0" w:color="auto"/>
              <w:right w:val="single" w:sz="4" w:space="0" w:color="auto"/>
            </w:tcBorders>
          </w:tcPr>
          <w:p w14:paraId="5266D850" w14:textId="198FB503"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4E8549E1"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A702E41" w14:textId="6734FB73"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62.44</w:t>
            </w:r>
          </w:p>
        </w:tc>
      </w:tr>
      <w:tr w:rsidR="00CE194E" w:rsidRPr="00847171" w14:paraId="70CE8C58" w14:textId="77777777" w:rsidTr="00EA2F0D">
        <w:trPr>
          <w:trHeight w:val="20"/>
        </w:trPr>
        <w:tc>
          <w:tcPr>
            <w:tcW w:w="1810" w:type="pct"/>
            <w:tcBorders>
              <w:top w:val="nil"/>
              <w:left w:val="single" w:sz="4" w:space="0" w:color="auto"/>
              <w:bottom w:val="single" w:sz="4" w:space="0" w:color="auto"/>
              <w:right w:val="single" w:sz="4" w:space="0" w:color="auto"/>
            </w:tcBorders>
          </w:tcPr>
          <w:p w14:paraId="03D84088" w14:textId="189BD07F"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1A304CA4"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9F90200" w14:textId="57A50CBB"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65.41</w:t>
            </w:r>
          </w:p>
        </w:tc>
      </w:tr>
      <w:tr w:rsidR="00CE194E" w:rsidRPr="00847171" w14:paraId="2A8F351C" w14:textId="77777777" w:rsidTr="00EA2F0D">
        <w:trPr>
          <w:trHeight w:val="20"/>
        </w:trPr>
        <w:tc>
          <w:tcPr>
            <w:tcW w:w="1810" w:type="pct"/>
            <w:tcBorders>
              <w:top w:val="nil"/>
              <w:left w:val="single" w:sz="4" w:space="0" w:color="auto"/>
              <w:bottom w:val="single" w:sz="4" w:space="0" w:color="auto"/>
              <w:right w:val="single" w:sz="4" w:space="0" w:color="auto"/>
            </w:tcBorders>
          </w:tcPr>
          <w:p w14:paraId="3EEAFDB6" w14:textId="3805A42E"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5813FEC4"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2218244" w14:textId="2CBD3C7E"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71.12</w:t>
            </w:r>
          </w:p>
        </w:tc>
      </w:tr>
      <w:tr w:rsidR="00CE194E" w:rsidRPr="00847171" w14:paraId="0D51E32B" w14:textId="77777777" w:rsidTr="00EA2F0D">
        <w:trPr>
          <w:trHeight w:val="20"/>
        </w:trPr>
        <w:tc>
          <w:tcPr>
            <w:tcW w:w="1810" w:type="pct"/>
            <w:tcBorders>
              <w:top w:val="nil"/>
              <w:left w:val="single" w:sz="4" w:space="0" w:color="auto"/>
              <w:bottom w:val="single" w:sz="4" w:space="0" w:color="auto"/>
              <w:right w:val="single" w:sz="4" w:space="0" w:color="auto"/>
            </w:tcBorders>
          </w:tcPr>
          <w:p w14:paraId="52F534CF" w14:textId="60ADAC48"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23F7C789"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73AEA08B" w14:textId="457B61A3"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69.78</w:t>
            </w:r>
          </w:p>
        </w:tc>
      </w:tr>
      <w:tr w:rsidR="00CE194E" w:rsidRPr="00847171" w14:paraId="25D88DB2" w14:textId="77777777" w:rsidTr="00EA2F0D">
        <w:trPr>
          <w:trHeight w:val="20"/>
        </w:trPr>
        <w:tc>
          <w:tcPr>
            <w:tcW w:w="1810" w:type="pct"/>
            <w:tcBorders>
              <w:top w:val="nil"/>
              <w:left w:val="single" w:sz="4" w:space="0" w:color="auto"/>
              <w:bottom w:val="single" w:sz="4" w:space="0" w:color="auto"/>
              <w:right w:val="single" w:sz="4" w:space="0" w:color="auto"/>
            </w:tcBorders>
          </w:tcPr>
          <w:p w14:paraId="1984A70A" w14:textId="6DC2B839"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1108E9E0"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E00F58B" w14:textId="05324CA8"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71.96</w:t>
            </w:r>
          </w:p>
        </w:tc>
      </w:tr>
      <w:tr w:rsidR="00CE194E" w:rsidRPr="00847171" w14:paraId="3A6D513B" w14:textId="77777777" w:rsidTr="00EA2F0D">
        <w:trPr>
          <w:trHeight w:val="20"/>
        </w:trPr>
        <w:tc>
          <w:tcPr>
            <w:tcW w:w="1810" w:type="pct"/>
            <w:tcBorders>
              <w:top w:val="nil"/>
              <w:left w:val="single" w:sz="4" w:space="0" w:color="auto"/>
              <w:bottom w:val="single" w:sz="4" w:space="0" w:color="auto"/>
              <w:right w:val="single" w:sz="4" w:space="0" w:color="auto"/>
            </w:tcBorders>
          </w:tcPr>
          <w:p w14:paraId="7FC0A1FA" w14:textId="59ACEAC0"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1C12FC7E"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F6D2D3D" w14:textId="01719C44"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69.67</w:t>
            </w:r>
          </w:p>
        </w:tc>
      </w:tr>
      <w:tr w:rsidR="00CE194E" w:rsidRPr="00847171" w14:paraId="33388E49" w14:textId="77777777" w:rsidTr="00EA2F0D">
        <w:trPr>
          <w:trHeight w:val="20"/>
        </w:trPr>
        <w:tc>
          <w:tcPr>
            <w:tcW w:w="1810" w:type="pct"/>
            <w:tcBorders>
              <w:top w:val="nil"/>
              <w:left w:val="single" w:sz="4" w:space="0" w:color="auto"/>
              <w:bottom w:val="single" w:sz="4" w:space="0" w:color="auto"/>
              <w:right w:val="single" w:sz="4" w:space="0" w:color="auto"/>
            </w:tcBorders>
          </w:tcPr>
          <w:p w14:paraId="0ED216A2" w14:textId="50367A72" w:rsidR="00CE194E" w:rsidRPr="00847171" w:rsidRDefault="00CE194E" w:rsidP="00CE194E">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2CBB024B"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D53CEFD" w14:textId="3D5A14DE"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67.73</w:t>
            </w:r>
          </w:p>
        </w:tc>
      </w:tr>
      <w:tr w:rsidR="00CE194E" w:rsidRPr="00847171" w14:paraId="59455CFE" w14:textId="77777777" w:rsidTr="00EA2F0D">
        <w:trPr>
          <w:trHeight w:val="20"/>
        </w:trPr>
        <w:tc>
          <w:tcPr>
            <w:tcW w:w="1810" w:type="pct"/>
            <w:tcBorders>
              <w:top w:val="nil"/>
              <w:left w:val="single" w:sz="4" w:space="0" w:color="auto"/>
              <w:bottom w:val="single" w:sz="4" w:space="0" w:color="auto"/>
              <w:right w:val="single" w:sz="4" w:space="0" w:color="auto"/>
            </w:tcBorders>
          </w:tcPr>
          <w:p w14:paraId="1BB76036" w14:textId="22086C9A"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64F2BB5A"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F0A4D54" w14:textId="6DA991DF"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65.45</w:t>
            </w:r>
          </w:p>
        </w:tc>
      </w:tr>
      <w:tr w:rsidR="00CE194E" w:rsidRPr="00847171" w14:paraId="0A981F2F" w14:textId="77777777" w:rsidTr="00EA2F0D">
        <w:trPr>
          <w:trHeight w:val="20"/>
        </w:trPr>
        <w:tc>
          <w:tcPr>
            <w:tcW w:w="1810" w:type="pct"/>
            <w:tcBorders>
              <w:top w:val="nil"/>
              <w:left w:val="single" w:sz="4" w:space="0" w:color="auto"/>
              <w:bottom w:val="single" w:sz="4" w:space="0" w:color="auto"/>
              <w:right w:val="single" w:sz="4" w:space="0" w:color="auto"/>
            </w:tcBorders>
          </w:tcPr>
          <w:p w14:paraId="550D4F11" w14:textId="779CD92A"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10</w:t>
            </w:r>
          </w:p>
        </w:tc>
        <w:tc>
          <w:tcPr>
            <w:tcW w:w="938" w:type="pct"/>
            <w:tcBorders>
              <w:top w:val="nil"/>
              <w:left w:val="nil"/>
              <w:bottom w:val="single" w:sz="4" w:space="0" w:color="auto"/>
              <w:right w:val="single" w:sz="4" w:space="0" w:color="auto"/>
            </w:tcBorders>
          </w:tcPr>
          <w:p w14:paraId="7A9F345C"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8A8B0EC" w14:textId="5466315F"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53.97</w:t>
            </w:r>
          </w:p>
        </w:tc>
      </w:tr>
      <w:tr w:rsidR="00941FE0" w:rsidRPr="00847171" w14:paraId="7AD6C2C2" w14:textId="77777777" w:rsidTr="00EA2F0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8F11290" w14:textId="77777777" w:rsidR="00941FE0" w:rsidRPr="00847171" w:rsidRDefault="00941FE0" w:rsidP="00EA2F0D">
            <w:pPr>
              <w:widowControl/>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361D28A" w14:textId="643100E7" w:rsidR="00941FE0" w:rsidRPr="00847171" w:rsidRDefault="00CE194E" w:rsidP="00EA2F0D">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63.72</w:t>
            </w:r>
          </w:p>
        </w:tc>
      </w:tr>
    </w:tbl>
    <w:p w14:paraId="167C0B6A" w14:textId="77777777" w:rsidR="00941FE0" w:rsidRDefault="00941FE0">
      <w:pPr>
        <w:pStyle w:val="LO-Normal"/>
        <w:autoSpaceDE w:val="0"/>
        <w:spacing w:line="480" w:lineRule="auto"/>
        <w:ind w:firstLine="420"/>
        <w:jc w:val="both"/>
        <w:textAlignment w:val="bottom"/>
        <w:rPr>
          <w:rFonts w:ascii="Arial" w:hAnsi="Arial" w:cs="Arial"/>
          <w:color w:val="000000"/>
          <w:sz w:val="21"/>
          <w:szCs w:val="21"/>
        </w:rPr>
      </w:pPr>
    </w:p>
    <w:p w14:paraId="2230F8B8" w14:textId="77777777" w:rsidR="00AF6F34" w:rsidRDefault="00AF6F34">
      <w:pPr>
        <w:pStyle w:val="LO-Normal"/>
        <w:autoSpaceDE w:val="0"/>
        <w:spacing w:before="240" w:line="480" w:lineRule="auto"/>
        <w:ind w:firstLine="420"/>
        <w:jc w:val="both"/>
        <w:textAlignment w:val="bottom"/>
      </w:pPr>
      <w:r>
        <w:rPr>
          <w:rFonts w:ascii="Arial" w:hAnsi="Arial" w:cs="Arial" w:hint="eastAsia"/>
          <w:color w:val="000000"/>
          <w:sz w:val="21"/>
          <w:szCs w:val="21"/>
        </w:rPr>
        <w:lastRenderedPageBreak/>
        <w:t>样本小区二：泰河园</w:t>
      </w:r>
    </w:p>
    <w:tbl>
      <w:tblPr>
        <w:tblW w:w="5000" w:type="pct"/>
        <w:tblLook w:val="0000" w:firstRow="0" w:lastRow="0" w:firstColumn="0" w:lastColumn="0" w:noHBand="0" w:noVBand="0"/>
      </w:tblPr>
      <w:tblGrid>
        <w:gridCol w:w="3444"/>
        <w:gridCol w:w="1785"/>
        <w:gridCol w:w="4285"/>
      </w:tblGrid>
      <w:tr w:rsidR="00CE194E" w:rsidRPr="00847171" w14:paraId="78199168" w14:textId="77777777" w:rsidTr="00EA2F0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14599C18"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4CC60D40"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4F7237E"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CE194E" w:rsidRPr="00847171" w14:paraId="56D83A6C" w14:textId="77777777" w:rsidTr="00EA2F0D">
        <w:trPr>
          <w:trHeight w:val="20"/>
        </w:trPr>
        <w:tc>
          <w:tcPr>
            <w:tcW w:w="1810" w:type="pct"/>
            <w:tcBorders>
              <w:top w:val="nil"/>
              <w:left w:val="single" w:sz="4" w:space="0" w:color="auto"/>
              <w:bottom w:val="single" w:sz="4" w:space="0" w:color="auto"/>
              <w:right w:val="single" w:sz="4" w:space="0" w:color="auto"/>
            </w:tcBorders>
          </w:tcPr>
          <w:p w14:paraId="07EC2D8F"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vAlign w:val="center"/>
          </w:tcPr>
          <w:p w14:paraId="0A9C7449"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2F25C3E0" w14:textId="23689387"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47.51</w:t>
            </w:r>
          </w:p>
        </w:tc>
      </w:tr>
      <w:tr w:rsidR="00CE194E" w:rsidRPr="00847171" w14:paraId="628F0039" w14:textId="77777777" w:rsidTr="00EA2F0D">
        <w:trPr>
          <w:trHeight w:val="20"/>
        </w:trPr>
        <w:tc>
          <w:tcPr>
            <w:tcW w:w="1810" w:type="pct"/>
            <w:tcBorders>
              <w:top w:val="nil"/>
              <w:left w:val="single" w:sz="4" w:space="0" w:color="auto"/>
              <w:bottom w:val="single" w:sz="4" w:space="0" w:color="auto"/>
              <w:right w:val="single" w:sz="4" w:space="0" w:color="auto"/>
            </w:tcBorders>
          </w:tcPr>
          <w:p w14:paraId="4046171A"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5BF1206D"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C75E996" w14:textId="09E50BC8"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48.25</w:t>
            </w:r>
          </w:p>
        </w:tc>
      </w:tr>
      <w:tr w:rsidR="00CE194E" w:rsidRPr="00847171" w14:paraId="4C4C760A" w14:textId="77777777" w:rsidTr="00EA2F0D">
        <w:trPr>
          <w:trHeight w:val="20"/>
        </w:trPr>
        <w:tc>
          <w:tcPr>
            <w:tcW w:w="1810" w:type="pct"/>
            <w:tcBorders>
              <w:top w:val="nil"/>
              <w:left w:val="single" w:sz="4" w:space="0" w:color="auto"/>
              <w:bottom w:val="single" w:sz="4" w:space="0" w:color="auto"/>
              <w:right w:val="single" w:sz="4" w:space="0" w:color="auto"/>
            </w:tcBorders>
          </w:tcPr>
          <w:p w14:paraId="230877A8"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16E31F8E"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223E54EB" w14:textId="6436F031"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58.04</w:t>
            </w:r>
          </w:p>
        </w:tc>
      </w:tr>
      <w:tr w:rsidR="00CE194E" w:rsidRPr="00847171" w14:paraId="4744E048" w14:textId="77777777" w:rsidTr="00EA2F0D">
        <w:trPr>
          <w:trHeight w:val="20"/>
        </w:trPr>
        <w:tc>
          <w:tcPr>
            <w:tcW w:w="1810" w:type="pct"/>
            <w:tcBorders>
              <w:top w:val="nil"/>
              <w:left w:val="single" w:sz="4" w:space="0" w:color="auto"/>
              <w:bottom w:val="single" w:sz="4" w:space="0" w:color="auto"/>
              <w:right w:val="single" w:sz="4" w:space="0" w:color="auto"/>
            </w:tcBorders>
          </w:tcPr>
          <w:p w14:paraId="2C594017"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76FC7FC1"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FBE014E" w14:textId="412A4A32"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54.85</w:t>
            </w:r>
          </w:p>
        </w:tc>
      </w:tr>
      <w:tr w:rsidR="00CE194E" w:rsidRPr="00847171" w14:paraId="5AEABF7D" w14:textId="77777777" w:rsidTr="00EA2F0D">
        <w:trPr>
          <w:trHeight w:val="20"/>
        </w:trPr>
        <w:tc>
          <w:tcPr>
            <w:tcW w:w="1810" w:type="pct"/>
            <w:tcBorders>
              <w:top w:val="nil"/>
              <w:left w:val="single" w:sz="4" w:space="0" w:color="auto"/>
              <w:bottom w:val="single" w:sz="4" w:space="0" w:color="auto"/>
              <w:right w:val="single" w:sz="4" w:space="0" w:color="auto"/>
            </w:tcBorders>
          </w:tcPr>
          <w:p w14:paraId="385D06EB"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63DF3A43"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05CB14D4" w14:textId="0F628985"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58.06</w:t>
            </w:r>
          </w:p>
        </w:tc>
      </w:tr>
      <w:tr w:rsidR="00CE194E" w:rsidRPr="00847171" w14:paraId="73B36A31" w14:textId="77777777" w:rsidTr="00EA2F0D">
        <w:trPr>
          <w:trHeight w:val="20"/>
        </w:trPr>
        <w:tc>
          <w:tcPr>
            <w:tcW w:w="1810" w:type="pct"/>
            <w:tcBorders>
              <w:top w:val="nil"/>
              <w:left w:val="single" w:sz="4" w:space="0" w:color="auto"/>
              <w:bottom w:val="single" w:sz="4" w:space="0" w:color="auto"/>
              <w:right w:val="single" w:sz="4" w:space="0" w:color="auto"/>
            </w:tcBorders>
          </w:tcPr>
          <w:p w14:paraId="7AC0FA45"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584E1D6E"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7CBE23F" w14:textId="5BA4666E"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62.44</w:t>
            </w:r>
          </w:p>
        </w:tc>
      </w:tr>
      <w:tr w:rsidR="00CE194E" w:rsidRPr="00847171" w14:paraId="79B43460" w14:textId="77777777" w:rsidTr="00EA2F0D">
        <w:trPr>
          <w:trHeight w:val="20"/>
        </w:trPr>
        <w:tc>
          <w:tcPr>
            <w:tcW w:w="1810" w:type="pct"/>
            <w:tcBorders>
              <w:top w:val="nil"/>
              <w:left w:val="single" w:sz="4" w:space="0" w:color="auto"/>
              <w:bottom w:val="single" w:sz="4" w:space="0" w:color="auto"/>
              <w:right w:val="single" w:sz="4" w:space="0" w:color="auto"/>
            </w:tcBorders>
          </w:tcPr>
          <w:p w14:paraId="44FDDBCD"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59E62701"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D7341E7" w14:textId="3E5A6F8E"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71.06</w:t>
            </w:r>
          </w:p>
        </w:tc>
      </w:tr>
      <w:tr w:rsidR="00CE194E" w:rsidRPr="00847171" w14:paraId="78A90EE3" w14:textId="77777777" w:rsidTr="00EA2F0D">
        <w:trPr>
          <w:trHeight w:val="20"/>
        </w:trPr>
        <w:tc>
          <w:tcPr>
            <w:tcW w:w="1810" w:type="pct"/>
            <w:tcBorders>
              <w:top w:val="nil"/>
              <w:left w:val="single" w:sz="4" w:space="0" w:color="auto"/>
              <w:bottom w:val="single" w:sz="4" w:space="0" w:color="auto"/>
              <w:right w:val="single" w:sz="4" w:space="0" w:color="auto"/>
            </w:tcBorders>
          </w:tcPr>
          <w:p w14:paraId="114A31A7"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665F80FF"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78E4B2B7" w14:textId="138AF22F"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72.96</w:t>
            </w:r>
          </w:p>
        </w:tc>
      </w:tr>
      <w:tr w:rsidR="00CE194E" w:rsidRPr="00847171" w14:paraId="001B7871" w14:textId="77777777" w:rsidTr="00EA2F0D">
        <w:trPr>
          <w:trHeight w:val="20"/>
        </w:trPr>
        <w:tc>
          <w:tcPr>
            <w:tcW w:w="1810" w:type="pct"/>
            <w:tcBorders>
              <w:top w:val="nil"/>
              <w:left w:val="single" w:sz="4" w:space="0" w:color="auto"/>
              <w:bottom w:val="single" w:sz="4" w:space="0" w:color="auto"/>
              <w:right w:val="single" w:sz="4" w:space="0" w:color="auto"/>
            </w:tcBorders>
          </w:tcPr>
          <w:p w14:paraId="08AD16C6"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734F6A97"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8B919B1" w14:textId="5B1E7110"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67.04</w:t>
            </w:r>
          </w:p>
        </w:tc>
      </w:tr>
      <w:tr w:rsidR="00CE194E" w:rsidRPr="00847171" w14:paraId="7F2D587D" w14:textId="77777777" w:rsidTr="00EA2F0D">
        <w:trPr>
          <w:trHeight w:val="20"/>
        </w:trPr>
        <w:tc>
          <w:tcPr>
            <w:tcW w:w="1810" w:type="pct"/>
            <w:tcBorders>
              <w:top w:val="nil"/>
              <w:left w:val="single" w:sz="4" w:space="0" w:color="auto"/>
              <w:bottom w:val="single" w:sz="4" w:space="0" w:color="auto"/>
              <w:right w:val="single" w:sz="4" w:space="0" w:color="auto"/>
            </w:tcBorders>
          </w:tcPr>
          <w:p w14:paraId="38E8320F"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3ED54D55"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8047C9D" w14:textId="0B1A7DC5"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69.93</w:t>
            </w:r>
          </w:p>
        </w:tc>
      </w:tr>
      <w:tr w:rsidR="00CE194E" w:rsidRPr="00847171" w14:paraId="18E050FD" w14:textId="77777777" w:rsidTr="00EA2F0D">
        <w:trPr>
          <w:trHeight w:val="20"/>
        </w:trPr>
        <w:tc>
          <w:tcPr>
            <w:tcW w:w="1810" w:type="pct"/>
            <w:tcBorders>
              <w:top w:val="nil"/>
              <w:left w:val="single" w:sz="4" w:space="0" w:color="auto"/>
              <w:bottom w:val="single" w:sz="4" w:space="0" w:color="auto"/>
              <w:right w:val="single" w:sz="4" w:space="0" w:color="auto"/>
            </w:tcBorders>
          </w:tcPr>
          <w:p w14:paraId="09A8C23A"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2A2FE6A4"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0AAFE491" w14:textId="44F6686E"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70.63</w:t>
            </w:r>
          </w:p>
        </w:tc>
      </w:tr>
      <w:tr w:rsidR="00CE194E" w:rsidRPr="00847171" w14:paraId="4AD17478" w14:textId="77777777" w:rsidTr="00EA2F0D">
        <w:trPr>
          <w:trHeight w:val="20"/>
        </w:trPr>
        <w:tc>
          <w:tcPr>
            <w:tcW w:w="1810" w:type="pct"/>
            <w:tcBorders>
              <w:top w:val="nil"/>
              <w:left w:val="single" w:sz="4" w:space="0" w:color="auto"/>
              <w:bottom w:val="single" w:sz="4" w:space="0" w:color="auto"/>
              <w:right w:val="single" w:sz="4" w:space="0" w:color="auto"/>
            </w:tcBorders>
          </w:tcPr>
          <w:p w14:paraId="708FCA3B"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10</w:t>
            </w:r>
          </w:p>
        </w:tc>
        <w:tc>
          <w:tcPr>
            <w:tcW w:w="938" w:type="pct"/>
            <w:tcBorders>
              <w:top w:val="nil"/>
              <w:left w:val="nil"/>
              <w:bottom w:val="single" w:sz="4" w:space="0" w:color="auto"/>
              <w:right w:val="single" w:sz="4" w:space="0" w:color="auto"/>
            </w:tcBorders>
          </w:tcPr>
          <w:p w14:paraId="574E2ED8"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D680695" w14:textId="7715DA20"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48.64</w:t>
            </w:r>
          </w:p>
        </w:tc>
      </w:tr>
      <w:tr w:rsidR="00CE194E" w:rsidRPr="00847171" w14:paraId="5C8D0D87" w14:textId="77777777" w:rsidTr="00EA2F0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06E00A0" w14:textId="77777777" w:rsidR="00CE194E" w:rsidRPr="00847171" w:rsidRDefault="00CE194E" w:rsidP="00EA2F0D">
            <w:pPr>
              <w:widowControl/>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71ADC94" w14:textId="39157C06" w:rsidR="00CE194E" w:rsidRPr="00847171" w:rsidRDefault="00CE194E" w:rsidP="00EA2F0D">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60.78</w:t>
            </w:r>
          </w:p>
        </w:tc>
      </w:tr>
    </w:tbl>
    <w:p w14:paraId="7F20D96C" w14:textId="77777777" w:rsidR="00AF6F34" w:rsidRDefault="00AF6F34">
      <w:pPr>
        <w:pStyle w:val="LO-Normal"/>
        <w:autoSpaceDE w:val="0"/>
        <w:spacing w:before="240" w:line="480" w:lineRule="auto"/>
        <w:ind w:firstLine="420"/>
        <w:jc w:val="both"/>
        <w:textAlignment w:val="bottom"/>
      </w:pPr>
      <w:r>
        <w:rPr>
          <w:rFonts w:ascii="Arial" w:hAnsi="Arial" w:cs="Arial"/>
          <w:color w:val="000000"/>
          <w:sz w:val="21"/>
          <w:szCs w:val="21"/>
        </w:rPr>
        <w:t>样本小区三：</w:t>
      </w:r>
      <w:r w:rsidR="00830400">
        <w:rPr>
          <w:rFonts w:ascii="Arial" w:hAnsi="Arial" w:cs="Arial" w:hint="eastAsia"/>
          <w:color w:val="000000"/>
          <w:sz w:val="21"/>
          <w:szCs w:val="21"/>
        </w:rPr>
        <w:t>和悦华锦</w:t>
      </w:r>
    </w:p>
    <w:tbl>
      <w:tblPr>
        <w:tblW w:w="5000" w:type="pct"/>
        <w:tblLook w:val="0000" w:firstRow="0" w:lastRow="0" w:firstColumn="0" w:lastColumn="0" w:noHBand="0" w:noVBand="0"/>
      </w:tblPr>
      <w:tblGrid>
        <w:gridCol w:w="3444"/>
        <w:gridCol w:w="1785"/>
        <w:gridCol w:w="4285"/>
      </w:tblGrid>
      <w:tr w:rsidR="00CE194E" w:rsidRPr="00847171" w14:paraId="26F9F31E" w14:textId="77777777" w:rsidTr="00EA2F0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2A4CE64F"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32C3E9D"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336AE5AD"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CE194E" w:rsidRPr="00847171" w14:paraId="3EBC03F4" w14:textId="77777777" w:rsidTr="00EA2F0D">
        <w:trPr>
          <w:trHeight w:val="20"/>
        </w:trPr>
        <w:tc>
          <w:tcPr>
            <w:tcW w:w="1810" w:type="pct"/>
            <w:tcBorders>
              <w:top w:val="nil"/>
              <w:left w:val="single" w:sz="4" w:space="0" w:color="auto"/>
              <w:bottom w:val="single" w:sz="4" w:space="0" w:color="auto"/>
              <w:right w:val="single" w:sz="4" w:space="0" w:color="auto"/>
            </w:tcBorders>
          </w:tcPr>
          <w:p w14:paraId="5DF0947F"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vAlign w:val="center"/>
          </w:tcPr>
          <w:p w14:paraId="717DBABA"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7F7175AA" w14:textId="710A1316"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56.63</w:t>
            </w:r>
          </w:p>
        </w:tc>
      </w:tr>
      <w:tr w:rsidR="00CE194E" w:rsidRPr="00847171" w14:paraId="02367005" w14:textId="77777777" w:rsidTr="00EA2F0D">
        <w:trPr>
          <w:trHeight w:val="20"/>
        </w:trPr>
        <w:tc>
          <w:tcPr>
            <w:tcW w:w="1810" w:type="pct"/>
            <w:tcBorders>
              <w:top w:val="nil"/>
              <w:left w:val="single" w:sz="4" w:space="0" w:color="auto"/>
              <w:bottom w:val="single" w:sz="4" w:space="0" w:color="auto"/>
              <w:right w:val="single" w:sz="4" w:space="0" w:color="auto"/>
            </w:tcBorders>
          </w:tcPr>
          <w:p w14:paraId="4DF07198"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1C42B8C6"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6B754A1" w14:textId="34892CEA"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56.61</w:t>
            </w:r>
          </w:p>
        </w:tc>
      </w:tr>
      <w:tr w:rsidR="00CE194E" w:rsidRPr="00847171" w14:paraId="4199E60A" w14:textId="77777777" w:rsidTr="00EA2F0D">
        <w:trPr>
          <w:trHeight w:val="20"/>
        </w:trPr>
        <w:tc>
          <w:tcPr>
            <w:tcW w:w="1810" w:type="pct"/>
            <w:tcBorders>
              <w:top w:val="nil"/>
              <w:left w:val="single" w:sz="4" w:space="0" w:color="auto"/>
              <w:bottom w:val="single" w:sz="4" w:space="0" w:color="auto"/>
              <w:right w:val="single" w:sz="4" w:space="0" w:color="auto"/>
            </w:tcBorders>
          </w:tcPr>
          <w:p w14:paraId="7D7426E3"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6C04BFB6"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0D3B9398" w14:textId="72587ACD"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56.51</w:t>
            </w:r>
          </w:p>
        </w:tc>
      </w:tr>
      <w:tr w:rsidR="00CE194E" w:rsidRPr="00847171" w14:paraId="5874FA6B" w14:textId="77777777" w:rsidTr="00EA2F0D">
        <w:trPr>
          <w:trHeight w:val="20"/>
        </w:trPr>
        <w:tc>
          <w:tcPr>
            <w:tcW w:w="1810" w:type="pct"/>
            <w:tcBorders>
              <w:top w:val="nil"/>
              <w:left w:val="single" w:sz="4" w:space="0" w:color="auto"/>
              <w:bottom w:val="single" w:sz="4" w:space="0" w:color="auto"/>
              <w:right w:val="single" w:sz="4" w:space="0" w:color="auto"/>
            </w:tcBorders>
          </w:tcPr>
          <w:p w14:paraId="481AF3D6"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4D09294A"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7381DFD6" w14:textId="167DC50C"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56.17</w:t>
            </w:r>
          </w:p>
        </w:tc>
      </w:tr>
      <w:tr w:rsidR="00CE194E" w:rsidRPr="00847171" w14:paraId="137A45D9" w14:textId="77777777" w:rsidTr="00EA2F0D">
        <w:trPr>
          <w:trHeight w:val="20"/>
        </w:trPr>
        <w:tc>
          <w:tcPr>
            <w:tcW w:w="1810" w:type="pct"/>
            <w:tcBorders>
              <w:top w:val="nil"/>
              <w:left w:val="single" w:sz="4" w:space="0" w:color="auto"/>
              <w:bottom w:val="single" w:sz="4" w:space="0" w:color="auto"/>
              <w:right w:val="single" w:sz="4" w:space="0" w:color="auto"/>
            </w:tcBorders>
          </w:tcPr>
          <w:p w14:paraId="1AB7C772"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176B1B76"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03093671" w14:textId="18C8A1E3"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56.19</w:t>
            </w:r>
          </w:p>
        </w:tc>
      </w:tr>
      <w:tr w:rsidR="00CE194E" w:rsidRPr="00847171" w14:paraId="4886058B" w14:textId="77777777" w:rsidTr="00EA2F0D">
        <w:trPr>
          <w:trHeight w:val="20"/>
        </w:trPr>
        <w:tc>
          <w:tcPr>
            <w:tcW w:w="1810" w:type="pct"/>
            <w:tcBorders>
              <w:top w:val="nil"/>
              <w:left w:val="single" w:sz="4" w:space="0" w:color="auto"/>
              <w:bottom w:val="single" w:sz="4" w:space="0" w:color="auto"/>
              <w:right w:val="single" w:sz="4" w:space="0" w:color="auto"/>
            </w:tcBorders>
          </w:tcPr>
          <w:p w14:paraId="54D66389"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3FB5571C"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2ADBACEF" w14:textId="1CD69D50"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56.03</w:t>
            </w:r>
          </w:p>
        </w:tc>
      </w:tr>
      <w:tr w:rsidR="00CE194E" w:rsidRPr="00847171" w14:paraId="77F46C63" w14:textId="77777777" w:rsidTr="00EA2F0D">
        <w:trPr>
          <w:trHeight w:val="20"/>
        </w:trPr>
        <w:tc>
          <w:tcPr>
            <w:tcW w:w="1810" w:type="pct"/>
            <w:tcBorders>
              <w:top w:val="nil"/>
              <w:left w:val="single" w:sz="4" w:space="0" w:color="auto"/>
              <w:bottom w:val="single" w:sz="4" w:space="0" w:color="auto"/>
              <w:right w:val="single" w:sz="4" w:space="0" w:color="auto"/>
            </w:tcBorders>
          </w:tcPr>
          <w:p w14:paraId="588F9297"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16F796AE"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335C534C" w14:textId="58C01C7D"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55.76</w:t>
            </w:r>
          </w:p>
        </w:tc>
      </w:tr>
      <w:tr w:rsidR="00CE194E" w:rsidRPr="00847171" w14:paraId="31C0A292" w14:textId="77777777" w:rsidTr="00EA2F0D">
        <w:trPr>
          <w:trHeight w:val="20"/>
        </w:trPr>
        <w:tc>
          <w:tcPr>
            <w:tcW w:w="1810" w:type="pct"/>
            <w:tcBorders>
              <w:top w:val="nil"/>
              <w:left w:val="single" w:sz="4" w:space="0" w:color="auto"/>
              <w:bottom w:val="single" w:sz="4" w:space="0" w:color="auto"/>
              <w:right w:val="single" w:sz="4" w:space="0" w:color="auto"/>
            </w:tcBorders>
          </w:tcPr>
          <w:p w14:paraId="76EF13BD"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4CD52A94"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28CF3F6B" w14:textId="11C45129"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55.95</w:t>
            </w:r>
          </w:p>
        </w:tc>
      </w:tr>
      <w:tr w:rsidR="00CE194E" w:rsidRPr="00847171" w14:paraId="4B576239" w14:textId="77777777" w:rsidTr="00EA2F0D">
        <w:trPr>
          <w:trHeight w:val="20"/>
        </w:trPr>
        <w:tc>
          <w:tcPr>
            <w:tcW w:w="1810" w:type="pct"/>
            <w:tcBorders>
              <w:top w:val="nil"/>
              <w:left w:val="single" w:sz="4" w:space="0" w:color="auto"/>
              <w:bottom w:val="single" w:sz="4" w:space="0" w:color="auto"/>
              <w:right w:val="single" w:sz="4" w:space="0" w:color="auto"/>
            </w:tcBorders>
          </w:tcPr>
          <w:p w14:paraId="46298571"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41F1280D"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B9A590E" w14:textId="0FDFD495"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55.63</w:t>
            </w:r>
          </w:p>
        </w:tc>
      </w:tr>
      <w:tr w:rsidR="00CE194E" w:rsidRPr="00847171" w14:paraId="032DACC8" w14:textId="77777777" w:rsidTr="00EA2F0D">
        <w:trPr>
          <w:trHeight w:val="20"/>
        </w:trPr>
        <w:tc>
          <w:tcPr>
            <w:tcW w:w="1810" w:type="pct"/>
            <w:tcBorders>
              <w:top w:val="nil"/>
              <w:left w:val="single" w:sz="4" w:space="0" w:color="auto"/>
              <w:bottom w:val="single" w:sz="4" w:space="0" w:color="auto"/>
              <w:right w:val="single" w:sz="4" w:space="0" w:color="auto"/>
            </w:tcBorders>
          </w:tcPr>
          <w:p w14:paraId="72601360"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6AD42E94"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90BC266" w14:textId="0D317F16"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55.83</w:t>
            </w:r>
          </w:p>
        </w:tc>
      </w:tr>
      <w:tr w:rsidR="00CE194E" w:rsidRPr="00847171" w14:paraId="1A75FF2B" w14:textId="77777777" w:rsidTr="00EA2F0D">
        <w:trPr>
          <w:trHeight w:val="20"/>
        </w:trPr>
        <w:tc>
          <w:tcPr>
            <w:tcW w:w="1810" w:type="pct"/>
            <w:tcBorders>
              <w:top w:val="nil"/>
              <w:left w:val="single" w:sz="4" w:space="0" w:color="auto"/>
              <w:bottom w:val="single" w:sz="4" w:space="0" w:color="auto"/>
              <w:right w:val="single" w:sz="4" w:space="0" w:color="auto"/>
            </w:tcBorders>
          </w:tcPr>
          <w:p w14:paraId="0A4A3373"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5BA47E7F"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095B60D" w14:textId="78036047"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56.21</w:t>
            </w:r>
          </w:p>
        </w:tc>
      </w:tr>
      <w:tr w:rsidR="00CE194E" w:rsidRPr="00847171" w14:paraId="64C018CF" w14:textId="77777777" w:rsidTr="00EA2F0D">
        <w:trPr>
          <w:trHeight w:val="20"/>
        </w:trPr>
        <w:tc>
          <w:tcPr>
            <w:tcW w:w="1810" w:type="pct"/>
            <w:tcBorders>
              <w:top w:val="nil"/>
              <w:left w:val="single" w:sz="4" w:space="0" w:color="auto"/>
              <w:bottom w:val="single" w:sz="4" w:space="0" w:color="auto"/>
              <w:right w:val="single" w:sz="4" w:space="0" w:color="auto"/>
            </w:tcBorders>
          </w:tcPr>
          <w:p w14:paraId="3BCAE46C"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10</w:t>
            </w:r>
          </w:p>
        </w:tc>
        <w:tc>
          <w:tcPr>
            <w:tcW w:w="938" w:type="pct"/>
            <w:tcBorders>
              <w:top w:val="nil"/>
              <w:left w:val="nil"/>
              <w:bottom w:val="single" w:sz="4" w:space="0" w:color="auto"/>
              <w:right w:val="single" w:sz="4" w:space="0" w:color="auto"/>
            </w:tcBorders>
          </w:tcPr>
          <w:p w14:paraId="71A9C7DE"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965782D" w14:textId="4E9592F8"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68.46</w:t>
            </w:r>
          </w:p>
        </w:tc>
      </w:tr>
      <w:tr w:rsidR="00CE194E" w:rsidRPr="00847171" w14:paraId="6621ED46" w14:textId="77777777" w:rsidTr="00EA2F0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38849B76" w14:textId="77777777" w:rsidR="00CE194E" w:rsidRPr="00847171" w:rsidRDefault="00CE194E" w:rsidP="00EA2F0D">
            <w:pPr>
              <w:widowControl/>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524CC4AC" w14:textId="09142AF8" w:rsidR="00CE194E" w:rsidRPr="00847171" w:rsidRDefault="00CE194E" w:rsidP="00EA2F0D">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57.17</w:t>
            </w:r>
          </w:p>
        </w:tc>
      </w:tr>
    </w:tbl>
    <w:p w14:paraId="50331C10" w14:textId="77777777" w:rsidR="00AF6F34" w:rsidRDefault="00AF6F34">
      <w:pPr>
        <w:pStyle w:val="LO-Normal"/>
        <w:autoSpaceDE w:val="0"/>
        <w:spacing w:before="240" w:line="480" w:lineRule="auto"/>
        <w:ind w:firstLine="360"/>
        <w:jc w:val="both"/>
        <w:textAlignment w:val="bottom"/>
      </w:pPr>
      <w:r>
        <w:rPr>
          <w:rFonts w:ascii="Arial" w:hAnsi="Arial" w:cs="Arial" w:hint="eastAsia"/>
          <w:color w:val="000000"/>
          <w:sz w:val="18"/>
          <w:szCs w:val="18"/>
        </w:rPr>
        <w:t>注：上述样本小区租金包括地租、房屋折旧、设备折旧、维修费、保险费、物业费、供暖费、管理费、利息、利润、家具、家电租赁费及租赁税费等；不含水电费、天然气费、通信费、有线电视费、上网宽带费等。</w:t>
      </w:r>
    </w:p>
    <w:p w14:paraId="53C87BC3" w14:textId="77777777" w:rsidR="00AF6F34" w:rsidRDefault="00AF6F34">
      <w:pPr>
        <w:pStyle w:val="LO-Normal"/>
        <w:autoSpaceDE w:val="0"/>
        <w:spacing w:line="480" w:lineRule="auto"/>
        <w:ind w:firstLine="420"/>
        <w:jc w:val="both"/>
        <w:textAlignment w:val="bottom"/>
      </w:pPr>
      <w:r>
        <w:rPr>
          <w:rFonts w:ascii="Arial" w:hAnsi="Arial" w:cs="Arial" w:hint="eastAsia"/>
          <w:color w:val="000000"/>
          <w:sz w:val="21"/>
          <w:szCs w:val="21"/>
        </w:rPr>
        <w:t xml:space="preserve">B. </w:t>
      </w:r>
      <w:r>
        <w:rPr>
          <w:rFonts w:ascii="Arial" w:hAnsi="Arial" w:cs="Arial" w:hint="eastAsia"/>
          <w:color w:val="000000"/>
          <w:sz w:val="21"/>
          <w:szCs w:val="21"/>
        </w:rPr>
        <w:t>估价机构市场调查</w:t>
      </w:r>
      <w:r w:rsidR="005C56F8" w:rsidRPr="00CF1CF7">
        <w:rPr>
          <w:rFonts w:ascii="Arial" w:hAnsi="Arial" w:cs="Arial" w:hint="eastAsia"/>
          <w:sz w:val="21"/>
          <w:szCs w:val="21"/>
        </w:rPr>
        <w:t>（市场交易数据）</w:t>
      </w:r>
    </w:p>
    <w:p w14:paraId="4D40BB89" w14:textId="77777777" w:rsidR="00AF6F34" w:rsidRDefault="00AF6F34">
      <w:pPr>
        <w:pStyle w:val="LO-Normal"/>
        <w:autoSpaceDE w:val="0"/>
        <w:spacing w:line="480" w:lineRule="auto"/>
        <w:ind w:firstLine="420"/>
        <w:jc w:val="both"/>
        <w:textAlignment w:val="bottom"/>
        <w:rPr>
          <w:rFonts w:ascii="Arial" w:hAnsi="Arial" w:cs="Arial"/>
          <w:color w:val="000000"/>
          <w:sz w:val="21"/>
          <w:szCs w:val="21"/>
        </w:rPr>
      </w:pPr>
      <w:r>
        <w:rPr>
          <w:rFonts w:ascii="Arial" w:hAnsi="Arial" w:cs="Arial" w:hint="eastAsia"/>
          <w:color w:val="000000"/>
          <w:sz w:val="21"/>
          <w:szCs w:val="21"/>
        </w:rPr>
        <w:t>样本小区一：鹿海园</w:t>
      </w:r>
    </w:p>
    <w:tbl>
      <w:tblPr>
        <w:tblW w:w="5000" w:type="pct"/>
        <w:tblLook w:val="0000" w:firstRow="0" w:lastRow="0" w:firstColumn="0" w:lastColumn="0" w:noHBand="0" w:noVBand="0"/>
      </w:tblPr>
      <w:tblGrid>
        <w:gridCol w:w="3444"/>
        <w:gridCol w:w="1785"/>
        <w:gridCol w:w="4285"/>
      </w:tblGrid>
      <w:tr w:rsidR="00CE194E" w:rsidRPr="00847171" w14:paraId="00EF276E" w14:textId="77777777" w:rsidTr="00EA2F0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473A9300"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2D263141"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2D3C64AE"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CE194E" w:rsidRPr="00847171" w14:paraId="2DD27912" w14:textId="77777777" w:rsidTr="00EA2F0D">
        <w:trPr>
          <w:trHeight w:val="20"/>
        </w:trPr>
        <w:tc>
          <w:tcPr>
            <w:tcW w:w="1810" w:type="pct"/>
            <w:tcBorders>
              <w:top w:val="nil"/>
              <w:left w:val="single" w:sz="4" w:space="0" w:color="auto"/>
              <w:bottom w:val="single" w:sz="4" w:space="0" w:color="auto"/>
              <w:right w:val="single" w:sz="4" w:space="0" w:color="auto"/>
            </w:tcBorders>
          </w:tcPr>
          <w:p w14:paraId="71C84D9F"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2C56C27A" w14:textId="7479F51E"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76F8F20" w14:textId="52277459"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49.3</w:t>
            </w:r>
          </w:p>
        </w:tc>
      </w:tr>
      <w:tr w:rsidR="00CE194E" w:rsidRPr="00847171" w14:paraId="5DBFE8FB" w14:textId="77777777" w:rsidTr="00EA2F0D">
        <w:trPr>
          <w:trHeight w:val="20"/>
        </w:trPr>
        <w:tc>
          <w:tcPr>
            <w:tcW w:w="1810" w:type="pct"/>
            <w:tcBorders>
              <w:top w:val="nil"/>
              <w:left w:val="single" w:sz="4" w:space="0" w:color="auto"/>
              <w:bottom w:val="single" w:sz="4" w:space="0" w:color="auto"/>
              <w:right w:val="single" w:sz="4" w:space="0" w:color="auto"/>
            </w:tcBorders>
          </w:tcPr>
          <w:p w14:paraId="7E7B7516"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6147CD1E" w14:textId="03385A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1A94E91E" w14:textId="42F53C63"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0B4077CA" w14:textId="77777777" w:rsidTr="00EA2F0D">
        <w:trPr>
          <w:trHeight w:val="20"/>
        </w:trPr>
        <w:tc>
          <w:tcPr>
            <w:tcW w:w="1810" w:type="pct"/>
            <w:tcBorders>
              <w:top w:val="nil"/>
              <w:left w:val="single" w:sz="4" w:space="0" w:color="auto"/>
              <w:bottom w:val="single" w:sz="4" w:space="0" w:color="auto"/>
              <w:right w:val="single" w:sz="4" w:space="0" w:color="auto"/>
            </w:tcBorders>
          </w:tcPr>
          <w:p w14:paraId="2659D128"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5EB9BB8E" w14:textId="75E3CA4C"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65D1021" w14:textId="0017F7F5"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48</w:t>
            </w:r>
          </w:p>
        </w:tc>
      </w:tr>
      <w:tr w:rsidR="00CE194E" w:rsidRPr="00847171" w14:paraId="1F112A4B" w14:textId="77777777" w:rsidTr="00EA2F0D">
        <w:trPr>
          <w:trHeight w:val="20"/>
        </w:trPr>
        <w:tc>
          <w:tcPr>
            <w:tcW w:w="1810" w:type="pct"/>
            <w:tcBorders>
              <w:top w:val="nil"/>
              <w:left w:val="single" w:sz="4" w:space="0" w:color="auto"/>
              <w:bottom w:val="single" w:sz="4" w:space="0" w:color="auto"/>
              <w:right w:val="single" w:sz="4" w:space="0" w:color="auto"/>
            </w:tcBorders>
          </w:tcPr>
          <w:p w14:paraId="434043E5"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137974EC" w14:textId="5D992143"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35873536" w14:textId="0507AE87"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174FE000" w14:textId="77777777" w:rsidTr="00EA2F0D">
        <w:trPr>
          <w:trHeight w:val="20"/>
        </w:trPr>
        <w:tc>
          <w:tcPr>
            <w:tcW w:w="1810" w:type="pct"/>
            <w:tcBorders>
              <w:top w:val="nil"/>
              <w:left w:val="single" w:sz="4" w:space="0" w:color="auto"/>
              <w:bottom w:val="single" w:sz="4" w:space="0" w:color="auto"/>
              <w:right w:val="single" w:sz="4" w:space="0" w:color="auto"/>
            </w:tcBorders>
          </w:tcPr>
          <w:p w14:paraId="70903245"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66E575A7" w14:textId="4C0DDB49"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0BDF79CA" w14:textId="53FFB0ED"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54.3</w:t>
            </w:r>
          </w:p>
        </w:tc>
      </w:tr>
      <w:tr w:rsidR="00CE194E" w:rsidRPr="00847171" w14:paraId="508D600B" w14:textId="77777777" w:rsidTr="00EA2F0D">
        <w:trPr>
          <w:trHeight w:val="20"/>
        </w:trPr>
        <w:tc>
          <w:tcPr>
            <w:tcW w:w="1810" w:type="pct"/>
            <w:tcBorders>
              <w:top w:val="nil"/>
              <w:left w:val="single" w:sz="4" w:space="0" w:color="auto"/>
              <w:bottom w:val="single" w:sz="4" w:space="0" w:color="auto"/>
              <w:right w:val="single" w:sz="4" w:space="0" w:color="auto"/>
            </w:tcBorders>
          </w:tcPr>
          <w:p w14:paraId="6E511A84"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387334D6" w14:textId="32D45B44"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36BECB63" w14:textId="70153BA0"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425AEB2F" w14:textId="77777777" w:rsidTr="00EA2F0D">
        <w:trPr>
          <w:trHeight w:val="20"/>
        </w:trPr>
        <w:tc>
          <w:tcPr>
            <w:tcW w:w="1810" w:type="pct"/>
            <w:tcBorders>
              <w:top w:val="nil"/>
              <w:left w:val="single" w:sz="4" w:space="0" w:color="auto"/>
              <w:bottom w:val="single" w:sz="4" w:space="0" w:color="auto"/>
              <w:right w:val="single" w:sz="4" w:space="0" w:color="auto"/>
            </w:tcBorders>
          </w:tcPr>
          <w:p w14:paraId="5AAA5FFC"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55312628" w14:textId="2696B093"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59919DAD" w14:textId="7AE1C8D2"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249C6DE2" w14:textId="77777777" w:rsidTr="00EA2F0D">
        <w:trPr>
          <w:trHeight w:val="20"/>
        </w:trPr>
        <w:tc>
          <w:tcPr>
            <w:tcW w:w="1810" w:type="pct"/>
            <w:tcBorders>
              <w:top w:val="nil"/>
              <w:left w:val="single" w:sz="4" w:space="0" w:color="auto"/>
              <w:bottom w:val="single" w:sz="4" w:space="0" w:color="auto"/>
              <w:right w:val="single" w:sz="4" w:space="0" w:color="auto"/>
            </w:tcBorders>
          </w:tcPr>
          <w:p w14:paraId="34FD5526"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75B85BEF" w14:textId="771F5DDD"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tcPr>
          <w:p w14:paraId="3CABC474" w14:textId="6441A7E1"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53.5</w:t>
            </w:r>
          </w:p>
        </w:tc>
      </w:tr>
      <w:tr w:rsidR="00CE194E" w:rsidRPr="00847171" w14:paraId="40622949" w14:textId="77777777" w:rsidTr="00EA2F0D">
        <w:trPr>
          <w:trHeight w:val="20"/>
        </w:trPr>
        <w:tc>
          <w:tcPr>
            <w:tcW w:w="1810" w:type="pct"/>
            <w:tcBorders>
              <w:top w:val="nil"/>
              <w:left w:val="single" w:sz="4" w:space="0" w:color="auto"/>
              <w:bottom w:val="single" w:sz="4" w:space="0" w:color="auto"/>
              <w:right w:val="single" w:sz="4" w:space="0" w:color="auto"/>
            </w:tcBorders>
          </w:tcPr>
          <w:p w14:paraId="2030457B"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76E63302" w14:textId="2F6D544A"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783FBDD2" w14:textId="1EF41ECA"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54.9</w:t>
            </w:r>
          </w:p>
        </w:tc>
      </w:tr>
      <w:tr w:rsidR="00CE194E" w:rsidRPr="00847171" w14:paraId="1F4F2725" w14:textId="77777777" w:rsidTr="00EA2F0D">
        <w:trPr>
          <w:trHeight w:val="20"/>
        </w:trPr>
        <w:tc>
          <w:tcPr>
            <w:tcW w:w="1810" w:type="pct"/>
            <w:tcBorders>
              <w:top w:val="nil"/>
              <w:left w:val="single" w:sz="4" w:space="0" w:color="auto"/>
              <w:bottom w:val="single" w:sz="4" w:space="0" w:color="auto"/>
              <w:right w:val="single" w:sz="4" w:space="0" w:color="auto"/>
            </w:tcBorders>
          </w:tcPr>
          <w:p w14:paraId="10D6A313"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153AC34E" w14:textId="45938246"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3</w:t>
            </w:r>
          </w:p>
        </w:tc>
        <w:tc>
          <w:tcPr>
            <w:tcW w:w="2252" w:type="pct"/>
            <w:tcBorders>
              <w:top w:val="nil"/>
              <w:left w:val="nil"/>
              <w:bottom w:val="single" w:sz="4" w:space="0" w:color="auto"/>
              <w:right w:val="single" w:sz="4" w:space="0" w:color="auto"/>
            </w:tcBorders>
          </w:tcPr>
          <w:p w14:paraId="0A63520B" w14:textId="6ED6BAC8"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53.1</w:t>
            </w:r>
          </w:p>
        </w:tc>
      </w:tr>
      <w:tr w:rsidR="00CE194E" w:rsidRPr="00847171" w14:paraId="4F9F2C90" w14:textId="77777777" w:rsidTr="00EA2F0D">
        <w:trPr>
          <w:trHeight w:val="20"/>
        </w:trPr>
        <w:tc>
          <w:tcPr>
            <w:tcW w:w="1810" w:type="pct"/>
            <w:tcBorders>
              <w:top w:val="nil"/>
              <w:left w:val="single" w:sz="4" w:space="0" w:color="auto"/>
              <w:bottom w:val="single" w:sz="4" w:space="0" w:color="auto"/>
              <w:right w:val="single" w:sz="4" w:space="0" w:color="auto"/>
            </w:tcBorders>
          </w:tcPr>
          <w:p w14:paraId="3A9D844B"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47E90085" w14:textId="29C9C231"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0C5CEE6" w14:textId="6FF4C050"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46.7</w:t>
            </w:r>
          </w:p>
        </w:tc>
      </w:tr>
      <w:tr w:rsidR="00CE194E" w:rsidRPr="00847171" w14:paraId="0A9727B2" w14:textId="77777777" w:rsidTr="00EA2F0D">
        <w:trPr>
          <w:trHeight w:val="20"/>
        </w:trPr>
        <w:tc>
          <w:tcPr>
            <w:tcW w:w="1810" w:type="pct"/>
            <w:tcBorders>
              <w:top w:val="nil"/>
              <w:left w:val="single" w:sz="4" w:space="0" w:color="auto"/>
              <w:bottom w:val="single" w:sz="4" w:space="0" w:color="auto"/>
              <w:right w:val="single" w:sz="4" w:space="0" w:color="auto"/>
            </w:tcBorders>
          </w:tcPr>
          <w:p w14:paraId="287D7671"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lastRenderedPageBreak/>
              <w:t>2025-</w:t>
            </w:r>
            <w:r>
              <w:rPr>
                <w:rFonts w:ascii="Arial" w:eastAsia="华文细黑" w:hAnsi="Arial" w:cs="Arial"/>
                <w:sz w:val="18"/>
                <w:szCs w:val="18"/>
              </w:rPr>
              <w:t>10</w:t>
            </w:r>
          </w:p>
        </w:tc>
        <w:tc>
          <w:tcPr>
            <w:tcW w:w="938" w:type="pct"/>
            <w:tcBorders>
              <w:top w:val="nil"/>
              <w:left w:val="nil"/>
              <w:bottom w:val="single" w:sz="4" w:space="0" w:color="auto"/>
              <w:right w:val="single" w:sz="4" w:space="0" w:color="auto"/>
            </w:tcBorders>
          </w:tcPr>
          <w:p w14:paraId="703596A1" w14:textId="7D9BB9CD"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2E08690" w14:textId="129F954A"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45.4</w:t>
            </w:r>
          </w:p>
        </w:tc>
      </w:tr>
      <w:tr w:rsidR="00CE194E" w:rsidRPr="00847171" w14:paraId="1D2C7F97" w14:textId="77777777" w:rsidTr="00EA2F0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3DA81EC" w14:textId="77777777" w:rsidR="00CE194E" w:rsidRPr="00847171" w:rsidRDefault="00CE194E" w:rsidP="00EA2F0D">
            <w:pPr>
              <w:widowControl/>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50B725A8" w14:textId="232EE085" w:rsidR="00CE194E" w:rsidRPr="00847171" w:rsidRDefault="00CE194E" w:rsidP="00EA2F0D">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50.65</w:t>
            </w:r>
          </w:p>
        </w:tc>
      </w:tr>
    </w:tbl>
    <w:p w14:paraId="4D63A5B1" w14:textId="77777777" w:rsidR="00AF6F34" w:rsidRDefault="00AF6F34">
      <w:pPr>
        <w:pStyle w:val="LO-Normal"/>
        <w:autoSpaceDE w:val="0"/>
        <w:spacing w:before="240" w:line="480" w:lineRule="auto"/>
        <w:ind w:firstLine="420"/>
        <w:jc w:val="both"/>
        <w:textAlignment w:val="bottom"/>
      </w:pPr>
      <w:r>
        <w:rPr>
          <w:rFonts w:ascii="Arial" w:hAnsi="Arial" w:cs="Arial" w:hint="eastAsia"/>
          <w:color w:val="000000"/>
          <w:sz w:val="21"/>
          <w:szCs w:val="21"/>
        </w:rPr>
        <w:t>样本小区二：泰河园</w:t>
      </w:r>
    </w:p>
    <w:tbl>
      <w:tblPr>
        <w:tblW w:w="5000" w:type="pct"/>
        <w:tblLook w:val="0000" w:firstRow="0" w:lastRow="0" w:firstColumn="0" w:lastColumn="0" w:noHBand="0" w:noVBand="0"/>
      </w:tblPr>
      <w:tblGrid>
        <w:gridCol w:w="3444"/>
        <w:gridCol w:w="1785"/>
        <w:gridCol w:w="4285"/>
      </w:tblGrid>
      <w:tr w:rsidR="00CE194E" w:rsidRPr="00847171" w14:paraId="53F38BC3" w14:textId="77777777" w:rsidTr="00EA2F0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4F278A5D"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3AF3E8B4"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3A330FD7"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CE194E" w:rsidRPr="00847171" w14:paraId="470DC4D9" w14:textId="77777777" w:rsidTr="00EA2F0D">
        <w:trPr>
          <w:trHeight w:val="20"/>
        </w:trPr>
        <w:tc>
          <w:tcPr>
            <w:tcW w:w="1810" w:type="pct"/>
            <w:tcBorders>
              <w:top w:val="nil"/>
              <w:left w:val="single" w:sz="4" w:space="0" w:color="auto"/>
              <w:bottom w:val="single" w:sz="4" w:space="0" w:color="auto"/>
              <w:right w:val="single" w:sz="4" w:space="0" w:color="auto"/>
            </w:tcBorders>
          </w:tcPr>
          <w:p w14:paraId="41459DD1"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26C43CEF" w14:textId="3085A43F"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516266C7" w14:textId="5CB5DFFA"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61854038" w14:textId="77777777" w:rsidTr="00EA2F0D">
        <w:trPr>
          <w:trHeight w:val="20"/>
        </w:trPr>
        <w:tc>
          <w:tcPr>
            <w:tcW w:w="1810" w:type="pct"/>
            <w:tcBorders>
              <w:top w:val="nil"/>
              <w:left w:val="single" w:sz="4" w:space="0" w:color="auto"/>
              <w:bottom w:val="single" w:sz="4" w:space="0" w:color="auto"/>
              <w:right w:val="single" w:sz="4" w:space="0" w:color="auto"/>
            </w:tcBorders>
          </w:tcPr>
          <w:p w14:paraId="76458987"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64B9F1EF" w14:textId="6A7C355C"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4C833B42" w14:textId="44C46BAC"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226FE0E6" w14:textId="77777777" w:rsidTr="00EA2F0D">
        <w:trPr>
          <w:trHeight w:val="20"/>
        </w:trPr>
        <w:tc>
          <w:tcPr>
            <w:tcW w:w="1810" w:type="pct"/>
            <w:tcBorders>
              <w:top w:val="nil"/>
              <w:left w:val="single" w:sz="4" w:space="0" w:color="auto"/>
              <w:bottom w:val="single" w:sz="4" w:space="0" w:color="auto"/>
              <w:right w:val="single" w:sz="4" w:space="0" w:color="auto"/>
            </w:tcBorders>
          </w:tcPr>
          <w:p w14:paraId="4FFD9E1A"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4FA72BA7" w14:textId="08F611E4"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5B428833" w14:textId="51E4EBBE"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2A41C981" w14:textId="77777777" w:rsidTr="00EA2F0D">
        <w:trPr>
          <w:trHeight w:val="20"/>
        </w:trPr>
        <w:tc>
          <w:tcPr>
            <w:tcW w:w="1810" w:type="pct"/>
            <w:tcBorders>
              <w:top w:val="nil"/>
              <w:left w:val="single" w:sz="4" w:space="0" w:color="auto"/>
              <w:bottom w:val="single" w:sz="4" w:space="0" w:color="auto"/>
              <w:right w:val="single" w:sz="4" w:space="0" w:color="auto"/>
            </w:tcBorders>
          </w:tcPr>
          <w:p w14:paraId="39139F43"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40D1A0A9" w14:textId="3E0B634B"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50D4CA2" w14:textId="03B502FC"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60.5</w:t>
            </w:r>
          </w:p>
        </w:tc>
      </w:tr>
      <w:tr w:rsidR="00CE194E" w:rsidRPr="00847171" w14:paraId="06FA6E61" w14:textId="77777777" w:rsidTr="00EA2F0D">
        <w:trPr>
          <w:trHeight w:val="20"/>
        </w:trPr>
        <w:tc>
          <w:tcPr>
            <w:tcW w:w="1810" w:type="pct"/>
            <w:tcBorders>
              <w:top w:val="nil"/>
              <w:left w:val="single" w:sz="4" w:space="0" w:color="auto"/>
              <w:bottom w:val="single" w:sz="4" w:space="0" w:color="auto"/>
              <w:right w:val="single" w:sz="4" w:space="0" w:color="auto"/>
            </w:tcBorders>
          </w:tcPr>
          <w:p w14:paraId="38DC2DDC"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71D81C26" w14:textId="04661C31"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0ABCC5BC" w14:textId="24A5DE4E"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61.7</w:t>
            </w:r>
          </w:p>
        </w:tc>
      </w:tr>
      <w:tr w:rsidR="00CE194E" w:rsidRPr="00847171" w14:paraId="4DCF1E8A" w14:textId="77777777" w:rsidTr="00EA2F0D">
        <w:trPr>
          <w:trHeight w:val="20"/>
        </w:trPr>
        <w:tc>
          <w:tcPr>
            <w:tcW w:w="1810" w:type="pct"/>
            <w:tcBorders>
              <w:top w:val="nil"/>
              <w:left w:val="single" w:sz="4" w:space="0" w:color="auto"/>
              <w:bottom w:val="single" w:sz="4" w:space="0" w:color="auto"/>
              <w:right w:val="single" w:sz="4" w:space="0" w:color="auto"/>
            </w:tcBorders>
          </w:tcPr>
          <w:p w14:paraId="506931BD"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6EA609D5" w14:textId="71A1424A"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72D418FA" w14:textId="066F4EC0"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4738579F" w14:textId="77777777" w:rsidTr="00EA2F0D">
        <w:trPr>
          <w:trHeight w:val="20"/>
        </w:trPr>
        <w:tc>
          <w:tcPr>
            <w:tcW w:w="1810" w:type="pct"/>
            <w:tcBorders>
              <w:top w:val="nil"/>
              <w:left w:val="single" w:sz="4" w:space="0" w:color="auto"/>
              <w:bottom w:val="single" w:sz="4" w:space="0" w:color="auto"/>
              <w:right w:val="single" w:sz="4" w:space="0" w:color="auto"/>
            </w:tcBorders>
          </w:tcPr>
          <w:p w14:paraId="1DD36761"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5231C682" w14:textId="0CDA5876"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A995400" w14:textId="6B80E358"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55</w:t>
            </w:r>
          </w:p>
        </w:tc>
      </w:tr>
      <w:tr w:rsidR="00CE194E" w:rsidRPr="00847171" w14:paraId="1B54989A" w14:textId="77777777" w:rsidTr="00EA2F0D">
        <w:trPr>
          <w:trHeight w:val="20"/>
        </w:trPr>
        <w:tc>
          <w:tcPr>
            <w:tcW w:w="1810" w:type="pct"/>
            <w:tcBorders>
              <w:top w:val="nil"/>
              <w:left w:val="single" w:sz="4" w:space="0" w:color="auto"/>
              <w:bottom w:val="single" w:sz="4" w:space="0" w:color="auto"/>
              <w:right w:val="single" w:sz="4" w:space="0" w:color="auto"/>
            </w:tcBorders>
          </w:tcPr>
          <w:p w14:paraId="57863D83"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53F2A0C2" w14:textId="405B38F1"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1E0E07F9" w14:textId="69F39093"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0A4BAF6C" w14:textId="77777777" w:rsidTr="00EA2F0D">
        <w:trPr>
          <w:trHeight w:val="20"/>
        </w:trPr>
        <w:tc>
          <w:tcPr>
            <w:tcW w:w="1810" w:type="pct"/>
            <w:tcBorders>
              <w:top w:val="nil"/>
              <w:left w:val="single" w:sz="4" w:space="0" w:color="auto"/>
              <w:bottom w:val="single" w:sz="4" w:space="0" w:color="auto"/>
              <w:right w:val="single" w:sz="4" w:space="0" w:color="auto"/>
            </w:tcBorders>
          </w:tcPr>
          <w:p w14:paraId="176F07D1"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198B956D" w14:textId="17B0B24F"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AF0286D" w14:textId="727A15B3"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54.7</w:t>
            </w:r>
          </w:p>
        </w:tc>
      </w:tr>
      <w:tr w:rsidR="00CE194E" w:rsidRPr="00847171" w14:paraId="5FB91CA7" w14:textId="77777777" w:rsidTr="00EA2F0D">
        <w:trPr>
          <w:trHeight w:val="20"/>
        </w:trPr>
        <w:tc>
          <w:tcPr>
            <w:tcW w:w="1810" w:type="pct"/>
            <w:tcBorders>
              <w:top w:val="nil"/>
              <w:left w:val="single" w:sz="4" w:space="0" w:color="auto"/>
              <w:bottom w:val="single" w:sz="4" w:space="0" w:color="auto"/>
              <w:right w:val="single" w:sz="4" w:space="0" w:color="auto"/>
            </w:tcBorders>
          </w:tcPr>
          <w:p w14:paraId="14958333"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46D70183" w14:textId="0CB435CB"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161CB18" w14:textId="6F65A2F9"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50</w:t>
            </w:r>
          </w:p>
        </w:tc>
      </w:tr>
      <w:tr w:rsidR="00CE194E" w:rsidRPr="00847171" w14:paraId="718B957E" w14:textId="77777777" w:rsidTr="00EA2F0D">
        <w:trPr>
          <w:trHeight w:val="20"/>
        </w:trPr>
        <w:tc>
          <w:tcPr>
            <w:tcW w:w="1810" w:type="pct"/>
            <w:tcBorders>
              <w:top w:val="nil"/>
              <w:left w:val="single" w:sz="4" w:space="0" w:color="auto"/>
              <w:bottom w:val="single" w:sz="4" w:space="0" w:color="auto"/>
              <w:right w:val="single" w:sz="4" w:space="0" w:color="auto"/>
            </w:tcBorders>
          </w:tcPr>
          <w:p w14:paraId="5B8D10B4"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4DC6A1A8" w14:textId="4EA58A51"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583482D2" w14:textId="17D04BA4"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50128FA7" w14:textId="77777777" w:rsidTr="00EA2F0D">
        <w:trPr>
          <w:trHeight w:val="20"/>
        </w:trPr>
        <w:tc>
          <w:tcPr>
            <w:tcW w:w="1810" w:type="pct"/>
            <w:tcBorders>
              <w:top w:val="nil"/>
              <w:left w:val="single" w:sz="4" w:space="0" w:color="auto"/>
              <w:bottom w:val="single" w:sz="4" w:space="0" w:color="auto"/>
              <w:right w:val="single" w:sz="4" w:space="0" w:color="auto"/>
            </w:tcBorders>
          </w:tcPr>
          <w:p w14:paraId="12F2EF7F"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10</w:t>
            </w:r>
          </w:p>
        </w:tc>
        <w:tc>
          <w:tcPr>
            <w:tcW w:w="938" w:type="pct"/>
            <w:tcBorders>
              <w:top w:val="nil"/>
              <w:left w:val="nil"/>
              <w:bottom w:val="single" w:sz="4" w:space="0" w:color="auto"/>
              <w:right w:val="single" w:sz="4" w:space="0" w:color="auto"/>
            </w:tcBorders>
          </w:tcPr>
          <w:p w14:paraId="0CDAA432" w14:textId="72915047"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3AD9C976" w14:textId="5D7CD97D"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032E8D7C" w14:textId="77777777" w:rsidTr="00EA2F0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31DE70F" w14:textId="77777777" w:rsidR="00CE194E" w:rsidRPr="00847171" w:rsidRDefault="00CE194E" w:rsidP="00EA2F0D">
            <w:pPr>
              <w:widowControl/>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5D363225" w14:textId="59257A92" w:rsidR="00CE194E" w:rsidRPr="00847171" w:rsidRDefault="00CE194E" w:rsidP="00EA2F0D">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56.38</w:t>
            </w:r>
          </w:p>
        </w:tc>
      </w:tr>
    </w:tbl>
    <w:p w14:paraId="7EF01844" w14:textId="77777777" w:rsidR="00AF6F34" w:rsidRDefault="00AF6F34">
      <w:pPr>
        <w:pStyle w:val="LO-Normal"/>
        <w:autoSpaceDE w:val="0"/>
        <w:spacing w:before="240" w:line="480" w:lineRule="auto"/>
        <w:ind w:firstLine="420"/>
        <w:jc w:val="both"/>
        <w:textAlignment w:val="bottom"/>
      </w:pPr>
      <w:r>
        <w:rPr>
          <w:rFonts w:ascii="Arial" w:hAnsi="Arial" w:cs="Arial"/>
          <w:color w:val="000000"/>
          <w:sz w:val="21"/>
          <w:szCs w:val="21"/>
        </w:rPr>
        <w:t>样本小区三：</w:t>
      </w:r>
      <w:r w:rsidR="00830400">
        <w:rPr>
          <w:rFonts w:ascii="Arial" w:hAnsi="Arial" w:cs="Arial" w:hint="eastAsia"/>
          <w:color w:val="000000"/>
          <w:sz w:val="21"/>
          <w:szCs w:val="21"/>
        </w:rPr>
        <w:t>和悦华锦</w:t>
      </w:r>
    </w:p>
    <w:tbl>
      <w:tblPr>
        <w:tblW w:w="5000" w:type="pct"/>
        <w:tblLook w:val="0000" w:firstRow="0" w:lastRow="0" w:firstColumn="0" w:lastColumn="0" w:noHBand="0" w:noVBand="0"/>
      </w:tblPr>
      <w:tblGrid>
        <w:gridCol w:w="3444"/>
        <w:gridCol w:w="1785"/>
        <w:gridCol w:w="4285"/>
      </w:tblGrid>
      <w:tr w:rsidR="00CE194E" w:rsidRPr="00847171" w14:paraId="265B87EC" w14:textId="77777777" w:rsidTr="00EA2F0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2BF691EF"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2D494708"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F36DA24"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467FB2" w:rsidRPr="00847171" w14:paraId="4FC4F23D" w14:textId="77777777" w:rsidTr="00EA2F0D">
        <w:trPr>
          <w:trHeight w:val="20"/>
        </w:trPr>
        <w:tc>
          <w:tcPr>
            <w:tcW w:w="1810" w:type="pct"/>
            <w:tcBorders>
              <w:top w:val="nil"/>
              <w:left w:val="single" w:sz="4" w:space="0" w:color="auto"/>
              <w:bottom w:val="single" w:sz="4" w:space="0" w:color="auto"/>
              <w:right w:val="single" w:sz="4" w:space="0" w:color="auto"/>
            </w:tcBorders>
          </w:tcPr>
          <w:p w14:paraId="207A317E"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0AC97090" w14:textId="73C5C39A"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CF00A38" w14:textId="35DEA880"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56.2</w:t>
            </w:r>
          </w:p>
        </w:tc>
      </w:tr>
      <w:tr w:rsidR="00467FB2" w:rsidRPr="00847171" w14:paraId="390CFDFF" w14:textId="77777777" w:rsidTr="00EA2F0D">
        <w:trPr>
          <w:trHeight w:val="20"/>
        </w:trPr>
        <w:tc>
          <w:tcPr>
            <w:tcW w:w="1810" w:type="pct"/>
            <w:tcBorders>
              <w:top w:val="nil"/>
              <w:left w:val="single" w:sz="4" w:space="0" w:color="auto"/>
              <w:bottom w:val="single" w:sz="4" w:space="0" w:color="auto"/>
              <w:right w:val="single" w:sz="4" w:space="0" w:color="auto"/>
            </w:tcBorders>
          </w:tcPr>
          <w:p w14:paraId="518DFD94"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4F45F46D" w14:textId="3D6A83E8"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9BED562" w14:textId="246360DC" w:rsidR="00467FB2"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68.5</w:t>
            </w:r>
          </w:p>
        </w:tc>
      </w:tr>
      <w:tr w:rsidR="00467FB2" w:rsidRPr="00847171" w14:paraId="46CEBF42" w14:textId="77777777" w:rsidTr="00EA2F0D">
        <w:trPr>
          <w:trHeight w:val="20"/>
        </w:trPr>
        <w:tc>
          <w:tcPr>
            <w:tcW w:w="1810" w:type="pct"/>
            <w:tcBorders>
              <w:top w:val="nil"/>
              <w:left w:val="single" w:sz="4" w:space="0" w:color="auto"/>
              <w:bottom w:val="single" w:sz="4" w:space="0" w:color="auto"/>
              <w:right w:val="single" w:sz="4" w:space="0" w:color="auto"/>
            </w:tcBorders>
          </w:tcPr>
          <w:p w14:paraId="427900F8"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3727020F" w14:textId="5448DF37"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E86DCBA" w14:textId="6DE8DE28" w:rsidR="00467FB2"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44.3</w:t>
            </w:r>
          </w:p>
        </w:tc>
      </w:tr>
      <w:tr w:rsidR="00467FB2" w:rsidRPr="00847171" w14:paraId="3BF8D6B9" w14:textId="77777777" w:rsidTr="00EA2F0D">
        <w:trPr>
          <w:trHeight w:val="20"/>
        </w:trPr>
        <w:tc>
          <w:tcPr>
            <w:tcW w:w="1810" w:type="pct"/>
            <w:tcBorders>
              <w:top w:val="nil"/>
              <w:left w:val="single" w:sz="4" w:space="0" w:color="auto"/>
              <w:bottom w:val="single" w:sz="4" w:space="0" w:color="auto"/>
              <w:right w:val="single" w:sz="4" w:space="0" w:color="auto"/>
            </w:tcBorders>
          </w:tcPr>
          <w:p w14:paraId="048C3234"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116EA599" w14:textId="1B6E7E42"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5</w:t>
            </w:r>
          </w:p>
        </w:tc>
        <w:tc>
          <w:tcPr>
            <w:tcW w:w="2252" w:type="pct"/>
            <w:tcBorders>
              <w:top w:val="nil"/>
              <w:left w:val="nil"/>
              <w:bottom w:val="single" w:sz="4" w:space="0" w:color="auto"/>
              <w:right w:val="single" w:sz="4" w:space="0" w:color="auto"/>
            </w:tcBorders>
          </w:tcPr>
          <w:p w14:paraId="5CD3949B" w14:textId="6CA09002" w:rsidR="00467FB2"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59.9</w:t>
            </w:r>
          </w:p>
        </w:tc>
      </w:tr>
      <w:tr w:rsidR="00467FB2" w:rsidRPr="00847171" w14:paraId="5F4413C9" w14:textId="77777777" w:rsidTr="00EA2F0D">
        <w:trPr>
          <w:trHeight w:val="20"/>
        </w:trPr>
        <w:tc>
          <w:tcPr>
            <w:tcW w:w="1810" w:type="pct"/>
            <w:tcBorders>
              <w:top w:val="nil"/>
              <w:left w:val="single" w:sz="4" w:space="0" w:color="auto"/>
              <w:bottom w:val="single" w:sz="4" w:space="0" w:color="auto"/>
              <w:right w:val="single" w:sz="4" w:space="0" w:color="auto"/>
            </w:tcBorders>
          </w:tcPr>
          <w:p w14:paraId="54525DEF"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76EA74C9" w14:textId="28F992E3"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B8F307E" w14:textId="48A0433A" w:rsidR="00467FB2"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51.9</w:t>
            </w:r>
          </w:p>
        </w:tc>
      </w:tr>
      <w:tr w:rsidR="00467FB2" w:rsidRPr="00847171" w14:paraId="12DC8D89" w14:textId="77777777" w:rsidTr="00EA2F0D">
        <w:trPr>
          <w:trHeight w:val="20"/>
        </w:trPr>
        <w:tc>
          <w:tcPr>
            <w:tcW w:w="1810" w:type="pct"/>
            <w:tcBorders>
              <w:top w:val="nil"/>
              <w:left w:val="single" w:sz="4" w:space="0" w:color="auto"/>
              <w:bottom w:val="single" w:sz="4" w:space="0" w:color="auto"/>
              <w:right w:val="single" w:sz="4" w:space="0" w:color="auto"/>
            </w:tcBorders>
          </w:tcPr>
          <w:p w14:paraId="51B7E0D5"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16392AEA" w14:textId="786B9D95"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tcPr>
          <w:p w14:paraId="2A301D30" w14:textId="551F5675" w:rsidR="00467FB2"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66.4</w:t>
            </w:r>
          </w:p>
        </w:tc>
      </w:tr>
      <w:tr w:rsidR="00467FB2" w:rsidRPr="00847171" w14:paraId="45E63674" w14:textId="77777777" w:rsidTr="00EA2F0D">
        <w:trPr>
          <w:trHeight w:val="20"/>
        </w:trPr>
        <w:tc>
          <w:tcPr>
            <w:tcW w:w="1810" w:type="pct"/>
            <w:tcBorders>
              <w:top w:val="nil"/>
              <w:left w:val="single" w:sz="4" w:space="0" w:color="auto"/>
              <w:bottom w:val="single" w:sz="4" w:space="0" w:color="auto"/>
              <w:right w:val="single" w:sz="4" w:space="0" w:color="auto"/>
            </w:tcBorders>
          </w:tcPr>
          <w:p w14:paraId="322E851B"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3DB52976" w14:textId="1D9695CD"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A0466BC" w14:textId="015F5210" w:rsidR="00467FB2"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71.3</w:t>
            </w:r>
          </w:p>
        </w:tc>
      </w:tr>
      <w:tr w:rsidR="00467FB2" w:rsidRPr="00847171" w14:paraId="7CE62345" w14:textId="77777777" w:rsidTr="00EA2F0D">
        <w:trPr>
          <w:trHeight w:val="20"/>
        </w:trPr>
        <w:tc>
          <w:tcPr>
            <w:tcW w:w="1810" w:type="pct"/>
            <w:tcBorders>
              <w:top w:val="nil"/>
              <w:left w:val="single" w:sz="4" w:space="0" w:color="auto"/>
              <w:bottom w:val="single" w:sz="4" w:space="0" w:color="auto"/>
              <w:right w:val="single" w:sz="4" w:space="0" w:color="auto"/>
            </w:tcBorders>
          </w:tcPr>
          <w:p w14:paraId="2BC3D928"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136EA548" w14:textId="4BDF9FC2"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tcPr>
          <w:p w14:paraId="16C77527" w14:textId="7E8645C4" w:rsidR="00467FB2"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62.1</w:t>
            </w:r>
          </w:p>
        </w:tc>
      </w:tr>
      <w:tr w:rsidR="00467FB2" w:rsidRPr="00847171" w14:paraId="581915FE" w14:textId="77777777" w:rsidTr="00EA2F0D">
        <w:trPr>
          <w:trHeight w:val="20"/>
        </w:trPr>
        <w:tc>
          <w:tcPr>
            <w:tcW w:w="1810" w:type="pct"/>
            <w:tcBorders>
              <w:top w:val="nil"/>
              <w:left w:val="single" w:sz="4" w:space="0" w:color="auto"/>
              <w:bottom w:val="single" w:sz="4" w:space="0" w:color="auto"/>
              <w:right w:val="single" w:sz="4" w:space="0" w:color="auto"/>
            </w:tcBorders>
          </w:tcPr>
          <w:p w14:paraId="23E4008F"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7CF63667" w14:textId="374893E8"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tcPr>
          <w:p w14:paraId="0C920010" w14:textId="3742EB96"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58.3</w:t>
            </w:r>
          </w:p>
        </w:tc>
      </w:tr>
      <w:tr w:rsidR="00467FB2" w:rsidRPr="00847171" w14:paraId="4099B5E0" w14:textId="77777777" w:rsidTr="00EA2F0D">
        <w:trPr>
          <w:trHeight w:val="20"/>
        </w:trPr>
        <w:tc>
          <w:tcPr>
            <w:tcW w:w="1810" w:type="pct"/>
            <w:tcBorders>
              <w:top w:val="nil"/>
              <w:left w:val="single" w:sz="4" w:space="0" w:color="auto"/>
              <w:bottom w:val="single" w:sz="4" w:space="0" w:color="auto"/>
              <w:right w:val="single" w:sz="4" w:space="0" w:color="auto"/>
            </w:tcBorders>
          </w:tcPr>
          <w:p w14:paraId="556D833E"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6550D6C9" w14:textId="5525D8EA"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94CC11F" w14:textId="0A3DFEFE"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61.7</w:t>
            </w:r>
          </w:p>
        </w:tc>
      </w:tr>
      <w:tr w:rsidR="00467FB2" w:rsidRPr="00847171" w14:paraId="13EC9CDD" w14:textId="77777777" w:rsidTr="00EA2F0D">
        <w:trPr>
          <w:trHeight w:val="20"/>
        </w:trPr>
        <w:tc>
          <w:tcPr>
            <w:tcW w:w="1810" w:type="pct"/>
            <w:tcBorders>
              <w:top w:val="nil"/>
              <w:left w:val="single" w:sz="4" w:space="0" w:color="auto"/>
              <w:bottom w:val="single" w:sz="4" w:space="0" w:color="auto"/>
              <w:right w:val="single" w:sz="4" w:space="0" w:color="auto"/>
            </w:tcBorders>
          </w:tcPr>
          <w:p w14:paraId="63E336A1"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1EB399AE" w14:textId="56DB9B21"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6B1B5DDB" w14:textId="0D228E62"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w:t>
            </w:r>
          </w:p>
        </w:tc>
      </w:tr>
      <w:tr w:rsidR="00467FB2" w:rsidRPr="00847171" w14:paraId="558CBB3F" w14:textId="77777777" w:rsidTr="00EA2F0D">
        <w:trPr>
          <w:trHeight w:val="20"/>
        </w:trPr>
        <w:tc>
          <w:tcPr>
            <w:tcW w:w="1810" w:type="pct"/>
            <w:tcBorders>
              <w:top w:val="nil"/>
              <w:left w:val="single" w:sz="4" w:space="0" w:color="auto"/>
              <w:bottom w:val="single" w:sz="4" w:space="0" w:color="auto"/>
              <w:right w:val="single" w:sz="4" w:space="0" w:color="auto"/>
            </w:tcBorders>
          </w:tcPr>
          <w:p w14:paraId="774A78F6"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10</w:t>
            </w:r>
          </w:p>
        </w:tc>
        <w:tc>
          <w:tcPr>
            <w:tcW w:w="938" w:type="pct"/>
            <w:tcBorders>
              <w:top w:val="nil"/>
              <w:left w:val="nil"/>
              <w:bottom w:val="single" w:sz="4" w:space="0" w:color="auto"/>
              <w:right w:val="single" w:sz="4" w:space="0" w:color="auto"/>
            </w:tcBorders>
          </w:tcPr>
          <w:p w14:paraId="7F0F7BC9" w14:textId="480898D2"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tcPr>
          <w:p w14:paraId="100CC921" w14:textId="5B6C1263"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64.6</w:t>
            </w:r>
          </w:p>
        </w:tc>
      </w:tr>
      <w:tr w:rsidR="00CE194E" w:rsidRPr="00847171" w14:paraId="5DF4B558" w14:textId="77777777" w:rsidTr="00EA2F0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12F84BF0" w14:textId="77777777" w:rsidR="00CE194E" w:rsidRPr="00847171" w:rsidRDefault="00CE194E" w:rsidP="00EA2F0D">
            <w:pPr>
              <w:widowControl/>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5A85E6D1" w14:textId="58AE8552" w:rsidR="00CE194E" w:rsidRPr="00847171" w:rsidRDefault="00467FB2" w:rsidP="00EA2F0D">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60.47</w:t>
            </w:r>
          </w:p>
        </w:tc>
      </w:tr>
    </w:tbl>
    <w:p w14:paraId="779B1BA1" w14:textId="77777777" w:rsidR="00AF6F34" w:rsidRDefault="00AF6F34">
      <w:pPr>
        <w:pStyle w:val="LO-Normal"/>
        <w:autoSpaceDE w:val="0"/>
        <w:spacing w:before="240" w:line="480" w:lineRule="auto"/>
        <w:ind w:firstLine="360"/>
        <w:jc w:val="both"/>
        <w:textAlignment w:val="bottom"/>
      </w:pPr>
      <w:r>
        <w:rPr>
          <w:rFonts w:ascii="Arial" w:hAnsi="Arial" w:cs="Arial" w:hint="eastAsia"/>
          <w:color w:val="000000"/>
          <w:sz w:val="18"/>
          <w:szCs w:val="18"/>
        </w:rPr>
        <w:t>注：上述样本小区租金包括地租、房屋折旧、设备折旧、维修费、保险费、物业费、供暖费、管理费、利息、利润、家具、家电租赁费及租赁税费等；不含水电费、天然气费、通信费、有线电视费、上网宽带费等。</w:t>
      </w:r>
    </w:p>
    <w:p w14:paraId="147FF2D7" w14:textId="77777777" w:rsidR="00AF6F34" w:rsidRDefault="00AF6F34">
      <w:pPr>
        <w:pStyle w:val="LO-Normal"/>
        <w:autoSpaceDE w:val="0"/>
        <w:spacing w:line="480" w:lineRule="auto"/>
        <w:ind w:firstLine="420"/>
        <w:jc w:val="both"/>
        <w:textAlignment w:val="bottom"/>
      </w:pPr>
      <w:r>
        <w:rPr>
          <w:rFonts w:cs="Arial" w:hint="eastAsia"/>
          <w:color w:val="000000"/>
          <w:sz w:val="21"/>
          <w:szCs w:val="21"/>
        </w:rPr>
        <w:t>（</w:t>
      </w:r>
      <w:r w:rsidR="00D1407E">
        <w:rPr>
          <w:rFonts w:cs="Arial" w:hint="eastAsia"/>
          <w:color w:val="000000"/>
          <w:sz w:val="21"/>
          <w:szCs w:val="21"/>
        </w:rPr>
        <w:t>4</w:t>
      </w:r>
      <w:r>
        <w:rPr>
          <w:rFonts w:cs="Arial" w:hint="eastAsia"/>
          <w:color w:val="000000"/>
          <w:sz w:val="21"/>
          <w:szCs w:val="21"/>
        </w:rPr>
        <w:t>）确定可比实例年平均租金水平</w:t>
      </w:r>
    </w:p>
    <w:p w14:paraId="0B93E59F" w14:textId="77777777" w:rsidR="00AF6F34" w:rsidRPr="006D5DDA" w:rsidRDefault="00AF6F34">
      <w:pPr>
        <w:pStyle w:val="LO-Normal"/>
        <w:autoSpaceDE w:val="0"/>
        <w:spacing w:line="480" w:lineRule="auto"/>
        <w:ind w:firstLine="420"/>
        <w:jc w:val="both"/>
        <w:textAlignment w:val="bottom"/>
        <w:rPr>
          <w:rFonts w:cs="Arial"/>
          <w:color w:val="000000"/>
          <w:sz w:val="21"/>
          <w:szCs w:val="21"/>
        </w:rPr>
      </w:pPr>
      <w:r w:rsidRPr="006D5DDA">
        <w:rPr>
          <w:rFonts w:cs="Arial" w:hint="eastAsia"/>
          <w:color w:val="000000"/>
          <w:sz w:val="21"/>
          <w:szCs w:val="21"/>
        </w:rPr>
        <w:t>结合两方面数据,本次估价从评估专业人员掌握的交易实例中选取鹿海园、泰河园、</w:t>
      </w:r>
      <w:r w:rsidR="00830400">
        <w:rPr>
          <w:rFonts w:cs="Arial" w:hint="eastAsia"/>
          <w:color w:val="000000"/>
          <w:sz w:val="21"/>
          <w:szCs w:val="21"/>
        </w:rPr>
        <w:t>和悦华锦</w:t>
      </w:r>
      <w:r w:rsidRPr="006D5DDA">
        <w:rPr>
          <w:rFonts w:cs="Arial" w:hint="eastAsia"/>
          <w:color w:val="000000"/>
          <w:sz w:val="21"/>
          <w:szCs w:val="21"/>
        </w:rPr>
        <w:t>3 个普通住宅小区作为可比实例。</w:t>
      </w:r>
    </w:p>
    <w:p w14:paraId="43DCAB20" w14:textId="77777777" w:rsidR="00AF6F34" w:rsidRPr="006D5DDA" w:rsidRDefault="00AF6F34">
      <w:pPr>
        <w:pStyle w:val="LO-Normal"/>
        <w:autoSpaceDE w:val="0"/>
        <w:spacing w:line="480" w:lineRule="auto"/>
        <w:ind w:firstLine="420"/>
        <w:jc w:val="both"/>
        <w:textAlignment w:val="bottom"/>
        <w:rPr>
          <w:rFonts w:cs="Arial"/>
          <w:color w:val="000000"/>
          <w:sz w:val="21"/>
          <w:szCs w:val="21"/>
        </w:rPr>
      </w:pPr>
      <w:r w:rsidRPr="006D5DDA">
        <w:rPr>
          <w:rFonts w:cs="Arial"/>
          <w:color w:val="000000"/>
          <w:sz w:val="21"/>
          <w:szCs w:val="21"/>
        </w:rPr>
        <w:t>经过统计分析及测算，各小区的数据来源及近一年平均租金水平分别如下：</w:t>
      </w:r>
    </w:p>
    <w:tbl>
      <w:tblPr>
        <w:tblW w:w="5000" w:type="pct"/>
        <w:tblInd w:w="-117" w:type="dxa"/>
        <w:tblLayout w:type="fixed"/>
        <w:tblLook w:val="0000" w:firstRow="0" w:lastRow="0" w:firstColumn="0" w:lastColumn="0" w:noHBand="0" w:noVBand="0"/>
      </w:tblPr>
      <w:tblGrid>
        <w:gridCol w:w="4071"/>
        <w:gridCol w:w="1905"/>
        <w:gridCol w:w="1764"/>
        <w:gridCol w:w="1774"/>
      </w:tblGrid>
      <w:tr w:rsidR="00AF6F34" w14:paraId="008D94DB" w14:textId="77777777">
        <w:trPr>
          <w:trHeight w:val="440"/>
        </w:trPr>
        <w:tc>
          <w:tcPr>
            <w:tcW w:w="3978" w:type="dxa"/>
            <w:tcBorders>
              <w:top w:val="single" w:sz="4" w:space="0" w:color="000000"/>
              <w:left w:val="single" w:sz="4" w:space="0" w:color="000000"/>
              <w:bottom w:val="single" w:sz="4" w:space="0" w:color="000000"/>
            </w:tcBorders>
            <w:shd w:val="clear" w:color="auto" w:fill="auto"/>
            <w:vAlign w:val="center"/>
          </w:tcPr>
          <w:p w14:paraId="039DC478" w14:textId="77777777" w:rsidR="00AF6F34" w:rsidRDefault="00AF6F34">
            <w:pPr>
              <w:widowControl/>
              <w:spacing w:line="240" w:lineRule="auto"/>
              <w:jc w:val="center"/>
              <w:textAlignment w:val="auto"/>
            </w:pPr>
            <w:r>
              <w:rPr>
                <w:rFonts w:ascii="华文细黑" w:eastAsia="华文细黑" w:hAnsi="华文细黑" w:cs="宋体"/>
                <w:color w:val="000000"/>
                <w:sz w:val="18"/>
                <w:szCs w:val="18"/>
              </w:rPr>
              <w:t>数据来源</w:t>
            </w:r>
          </w:p>
        </w:tc>
        <w:tc>
          <w:tcPr>
            <w:tcW w:w="1862" w:type="dxa"/>
            <w:tcBorders>
              <w:top w:val="single" w:sz="4" w:space="0" w:color="000000"/>
              <w:left w:val="single" w:sz="4" w:space="0" w:color="000000"/>
              <w:bottom w:val="single" w:sz="4" w:space="0" w:color="000000"/>
            </w:tcBorders>
            <w:shd w:val="clear" w:color="auto" w:fill="auto"/>
            <w:vAlign w:val="center"/>
          </w:tcPr>
          <w:p w14:paraId="5686DAE7" w14:textId="77777777" w:rsidR="00AF6F34" w:rsidRDefault="00AF6F34">
            <w:pPr>
              <w:widowControl/>
              <w:spacing w:line="240" w:lineRule="auto"/>
              <w:jc w:val="center"/>
              <w:textAlignment w:val="auto"/>
            </w:pPr>
            <w:r>
              <w:rPr>
                <w:rFonts w:ascii="华文细黑" w:eastAsia="华文细黑" w:hAnsi="华文细黑" w:cs="宋体" w:hint="eastAsia"/>
                <w:color w:val="000000"/>
                <w:sz w:val="18"/>
                <w:szCs w:val="18"/>
              </w:rPr>
              <w:t>鹿海园</w:t>
            </w:r>
          </w:p>
        </w:tc>
        <w:tc>
          <w:tcPr>
            <w:tcW w:w="1724" w:type="dxa"/>
            <w:tcBorders>
              <w:top w:val="single" w:sz="4" w:space="0" w:color="000000"/>
              <w:left w:val="single" w:sz="4" w:space="0" w:color="000000"/>
              <w:bottom w:val="single" w:sz="4" w:space="0" w:color="000000"/>
            </w:tcBorders>
            <w:shd w:val="clear" w:color="auto" w:fill="auto"/>
            <w:vAlign w:val="center"/>
          </w:tcPr>
          <w:p w14:paraId="0E88A950" w14:textId="77777777" w:rsidR="00AF6F34" w:rsidRDefault="00AF6F34">
            <w:pPr>
              <w:widowControl/>
              <w:spacing w:line="240" w:lineRule="auto"/>
              <w:jc w:val="center"/>
              <w:textAlignment w:val="auto"/>
            </w:pPr>
            <w:r>
              <w:rPr>
                <w:rFonts w:ascii="华文细黑" w:eastAsia="华文细黑" w:hAnsi="华文细黑" w:cs="宋体" w:hint="eastAsia"/>
                <w:color w:val="000000"/>
                <w:sz w:val="18"/>
                <w:szCs w:val="18"/>
              </w:rPr>
              <w:t>泰河园</w:t>
            </w:r>
          </w:p>
        </w:tc>
        <w:tc>
          <w:tcPr>
            <w:tcW w:w="1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409ED" w14:textId="77777777" w:rsidR="00AF6F34" w:rsidRDefault="00830400">
            <w:pPr>
              <w:widowControl/>
              <w:spacing w:line="240" w:lineRule="auto"/>
              <w:jc w:val="center"/>
              <w:textAlignment w:val="auto"/>
            </w:pPr>
            <w:r>
              <w:rPr>
                <w:rFonts w:ascii="华文细黑" w:eastAsia="华文细黑" w:hAnsi="华文细黑" w:cs="宋体" w:hint="eastAsia"/>
                <w:color w:val="000000"/>
                <w:sz w:val="18"/>
                <w:szCs w:val="18"/>
              </w:rPr>
              <w:t>和悦华锦</w:t>
            </w:r>
          </w:p>
        </w:tc>
      </w:tr>
      <w:tr w:rsidR="00AF6F34" w14:paraId="5040340D" w14:textId="77777777" w:rsidTr="00F52851">
        <w:trPr>
          <w:trHeight w:val="307"/>
        </w:trPr>
        <w:tc>
          <w:tcPr>
            <w:tcW w:w="3978" w:type="dxa"/>
            <w:tcBorders>
              <w:left w:val="single" w:sz="4" w:space="0" w:color="000000"/>
              <w:bottom w:val="single" w:sz="4" w:space="0" w:color="000000"/>
            </w:tcBorders>
            <w:shd w:val="clear" w:color="auto" w:fill="auto"/>
            <w:vAlign w:val="center"/>
          </w:tcPr>
          <w:p w14:paraId="52943B2C" w14:textId="77777777" w:rsidR="00AF6F34" w:rsidRDefault="00AF6F34">
            <w:pPr>
              <w:widowControl/>
              <w:spacing w:line="240" w:lineRule="auto"/>
              <w:jc w:val="center"/>
              <w:textAlignment w:val="auto"/>
            </w:pPr>
            <w:r>
              <w:rPr>
                <w:rFonts w:ascii="华文细黑" w:eastAsia="华文细黑" w:hAnsi="华文细黑" w:cs="宋体"/>
                <w:color w:val="000000"/>
                <w:sz w:val="18"/>
                <w:szCs w:val="18"/>
              </w:rPr>
              <w:t>估价机构样本数据</w:t>
            </w:r>
          </w:p>
        </w:tc>
        <w:tc>
          <w:tcPr>
            <w:tcW w:w="1862" w:type="dxa"/>
            <w:tcBorders>
              <w:left w:val="single" w:sz="4" w:space="0" w:color="000000"/>
              <w:bottom w:val="single" w:sz="4" w:space="0" w:color="000000"/>
            </w:tcBorders>
            <w:shd w:val="clear" w:color="auto" w:fill="auto"/>
            <w:vAlign w:val="center"/>
          </w:tcPr>
          <w:p w14:paraId="1BAEE7DF" w14:textId="66DA2C07" w:rsidR="00AF6F34" w:rsidRDefault="00467FB2">
            <w:pPr>
              <w:widowControl/>
              <w:spacing w:line="240" w:lineRule="auto"/>
              <w:jc w:val="center"/>
              <w:textAlignment w:val="auto"/>
            </w:pPr>
            <w:r>
              <w:rPr>
                <w:rFonts w:ascii="华文细黑" w:eastAsia="华文细黑" w:hAnsi="华文细黑" w:cs="宋体"/>
                <w:color w:val="000000"/>
                <w:sz w:val="18"/>
                <w:szCs w:val="18"/>
              </w:rPr>
              <w:t>63.72</w:t>
            </w:r>
          </w:p>
        </w:tc>
        <w:tc>
          <w:tcPr>
            <w:tcW w:w="1724" w:type="dxa"/>
            <w:tcBorders>
              <w:left w:val="single" w:sz="4" w:space="0" w:color="000000"/>
              <w:bottom w:val="single" w:sz="4" w:space="0" w:color="000000"/>
            </w:tcBorders>
            <w:shd w:val="clear" w:color="auto" w:fill="auto"/>
            <w:vAlign w:val="center"/>
          </w:tcPr>
          <w:p w14:paraId="20020FA2" w14:textId="33951FB2" w:rsidR="00AF6F34" w:rsidRDefault="00467FB2">
            <w:pPr>
              <w:widowControl/>
              <w:spacing w:line="240" w:lineRule="auto"/>
              <w:jc w:val="center"/>
              <w:textAlignment w:val="auto"/>
            </w:pPr>
            <w:r>
              <w:rPr>
                <w:rFonts w:ascii="华文细黑" w:eastAsia="华文细黑" w:hAnsi="华文细黑" w:cs="宋体"/>
                <w:color w:val="000000"/>
                <w:sz w:val="18"/>
                <w:szCs w:val="18"/>
              </w:rPr>
              <w:t>60.78</w:t>
            </w:r>
          </w:p>
        </w:tc>
        <w:tc>
          <w:tcPr>
            <w:tcW w:w="1734" w:type="dxa"/>
            <w:tcBorders>
              <w:left w:val="single" w:sz="4" w:space="0" w:color="000000"/>
              <w:bottom w:val="single" w:sz="4" w:space="0" w:color="000000"/>
              <w:right w:val="single" w:sz="4" w:space="0" w:color="000000"/>
            </w:tcBorders>
            <w:shd w:val="clear" w:color="auto" w:fill="auto"/>
            <w:vAlign w:val="center"/>
          </w:tcPr>
          <w:p w14:paraId="0A1E877B" w14:textId="167AA373" w:rsidR="00AF6F34" w:rsidRDefault="00467FB2">
            <w:pPr>
              <w:widowControl/>
              <w:spacing w:line="240" w:lineRule="auto"/>
              <w:jc w:val="center"/>
              <w:textAlignment w:val="auto"/>
            </w:pPr>
            <w:r>
              <w:rPr>
                <w:rFonts w:ascii="华文细黑" w:eastAsia="华文细黑" w:hAnsi="华文细黑" w:cs="宋体"/>
                <w:color w:val="000000"/>
                <w:sz w:val="18"/>
                <w:szCs w:val="18"/>
              </w:rPr>
              <w:t>57.17</w:t>
            </w:r>
          </w:p>
        </w:tc>
      </w:tr>
      <w:tr w:rsidR="00AF6F34" w14:paraId="698DEB5A" w14:textId="77777777" w:rsidTr="002D0721">
        <w:trPr>
          <w:trHeight w:val="373"/>
        </w:trPr>
        <w:tc>
          <w:tcPr>
            <w:tcW w:w="3978" w:type="dxa"/>
            <w:tcBorders>
              <w:left w:val="single" w:sz="4" w:space="0" w:color="000000"/>
              <w:bottom w:val="single" w:sz="4" w:space="0" w:color="000000"/>
            </w:tcBorders>
            <w:shd w:val="clear" w:color="auto" w:fill="auto"/>
            <w:vAlign w:val="center"/>
          </w:tcPr>
          <w:p w14:paraId="4A19C3AB" w14:textId="77777777" w:rsidR="00AF6F34" w:rsidRDefault="00AF6F34">
            <w:pPr>
              <w:widowControl/>
              <w:spacing w:line="240" w:lineRule="auto"/>
              <w:jc w:val="center"/>
              <w:textAlignment w:val="auto"/>
            </w:pPr>
            <w:r>
              <w:rPr>
                <w:rFonts w:ascii="华文细黑" w:eastAsia="华文细黑" w:hAnsi="华文细黑" w:cs="宋体"/>
                <w:color w:val="000000"/>
                <w:sz w:val="18"/>
                <w:szCs w:val="18"/>
              </w:rPr>
              <w:lastRenderedPageBreak/>
              <w:t>市场调查数据</w:t>
            </w:r>
          </w:p>
        </w:tc>
        <w:tc>
          <w:tcPr>
            <w:tcW w:w="1862" w:type="dxa"/>
            <w:tcBorders>
              <w:left w:val="single" w:sz="4" w:space="0" w:color="000000"/>
              <w:bottom w:val="single" w:sz="4" w:space="0" w:color="000000"/>
            </w:tcBorders>
            <w:shd w:val="clear" w:color="auto" w:fill="auto"/>
            <w:vAlign w:val="center"/>
          </w:tcPr>
          <w:p w14:paraId="59745501" w14:textId="4474876D" w:rsidR="00AF6F34" w:rsidRDefault="00467FB2">
            <w:pPr>
              <w:widowControl/>
              <w:spacing w:line="240" w:lineRule="auto"/>
              <w:jc w:val="center"/>
              <w:textAlignment w:val="auto"/>
            </w:pPr>
            <w:r>
              <w:rPr>
                <w:rFonts w:ascii="华文细黑" w:eastAsia="华文细黑" w:hAnsi="华文细黑" w:cs="宋体"/>
                <w:color w:val="000000"/>
                <w:sz w:val="18"/>
                <w:szCs w:val="18"/>
              </w:rPr>
              <w:t>50.65</w:t>
            </w:r>
          </w:p>
        </w:tc>
        <w:tc>
          <w:tcPr>
            <w:tcW w:w="1724" w:type="dxa"/>
            <w:tcBorders>
              <w:left w:val="single" w:sz="4" w:space="0" w:color="000000"/>
              <w:bottom w:val="single" w:sz="4" w:space="0" w:color="000000"/>
            </w:tcBorders>
            <w:shd w:val="clear" w:color="auto" w:fill="auto"/>
            <w:vAlign w:val="center"/>
          </w:tcPr>
          <w:p w14:paraId="5EEDF80E" w14:textId="6B9C1FC2" w:rsidR="00AF6F34" w:rsidRDefault="00467FB2">
            <w:pPr>
              <w:widowControl/>
              <w:spacing w:line="240" w:lineRule="auto"/>
              <w:jc w:val="center"/>
              <w:textAlignment w:val="auto"/>
            </w:pPr>
            <w:r>
              <w:rPr>
                <w:rFonts w:ascii="华文细黑" w:eastAsia="华文细黑" w:hAnsi="华文细黑" w:cs="宋体"/>
                <w:color w:val="000000"/>
                <w:sz w:val="18"/>
                <w:szCs w:val="18"/>
              </w:rPr>
              <w:t>56.38</w:t>
            </w:r>
          </w:p>
        </w:tc>
        <w:tc>
          <w:tcPr>
            <w:tcW w:w="1734" w:type="dxa"/>
            <w:tcBorders>
              <w:left w:val="single" w:sz="4" w:space="0" w:color="000000"/>
              <w:bottom w:val="single" w:sz="4" w:space="0" w:color="000000"/>
              <w:right w:val="single" w:sz="4" w:space="0" w:color="000000"/>
            </w:tcBorders>
            <w:shd w:val="clear" w:color="auto" w:fill="auto"/>
            <w:vAlign w:val="center"/>
          </w:tcPr>
          <w:p w14:paraId="6A52121E" w14:textId="293724AA" w:rsidR="00AF6F34" w:rsidRDefault="00467FB2">
            <w:pPr>
              <w:widowControl/>
              <w:spacing w:line="240" w:lineRule="auto"/>
              <w:jc w:val="center"/>
              <w:textAlignment w:val="auto"/>
            </w:pPr>
            <w:r>
              <w:rPr>
                <w:rFonts w:ascii="华文细黑" w:eastAsia="华文细黑" w:hAnsi="华文细黑" w:cs="宋体"/>
                <w:color w:val="000000"/>
                <w:sz w:val="18"/>
                <w:szCs w:val="18"/>
              </w:rPr>
              <w:t>60.47</w:t>
            </w:r>
          </w:p>
        </w:tc>
      </w:tr>
      <w:tr w:rsidR="00AF6F34" w14:paraId="679FB85E" w14:textId="77777777" w:rsidTr="00F52851">
        <w:trPr>
          <w:trHeight w:val="335"/>
        </w:trPr>
        <w:tc>
          <w:tcPr>
            <w:tcW w:w="3978" w:type="dxa"/>
            <w:tcBorders>
              <w:left w:val="single" w:sz="4" w:space="0" w:color="000000"/>
              <w:bottom w:val="single" w:sz="4" w:space="0" w:color="000000"/>
            </w:tcBorders>
            <w:shd w:val="clear" w:color="auto" w:fill="auto"/>
            <w:vAlign w:val="center"/>
          </w:tcPr>
          <w:p w14:paraId="048ACF77" w14:textId="77777777" w:rsidR="00AF6F34" w:rsidRDefault="00AF6F34">
            <w:pPr>
              <w:widowControl/>
              <w:spacing w:line="240" w:lineRule="auto"/>
              <w:jc w:val="center"/>
              <w:textAlignment w:val="auto"/>
            </w:pPr>
            <w:r>
              <w:rPr>
                <w:rFonts w:ascii="华文细黑" w:eastAsia="华文细黑" w:hAnsi="华文细黑" w:cs="宋体"/>
                <w:color w:val="000000"/>
                <w:sz w:val="18"/>
                <w:szCs w:val="18"/>
              </w:rPr>
              <w:t>平均价</w:t>
            </w:r>
          </w:p>
        </w:tc>
        <w:tc>
          <w:tcPr>
            <w:tcW w:w="1862" w:type="dxa"/>
            <w:tcBorders>
              <w:left w:val="single" w:sz="4" w:space="0" w:color="000000"/>
              <w:bottom w:val="single" w:sz="4" w:space="0" w:color="000000"/>
            </w:tcBorders>
            <w:shd w:val="clear" w:color="auto" w:fill="auto"/>
            <w:vAlign w:val="center"/>
          </w:tcPr>
          <w:p w14:paraId="5C45ADB1" w14:textId="7F26CC65" w:rsidR="00AF6F34" w:rsidRDefault="00467FB2">
            <w:pPr>
              <w:widowControl/>
              <w:spacing w:line="240" w:lineRule="auto"/>
              <w:jc w:val="center"/>
              <w:textAlignment w:val="auto"/>
            </w:pPr>
            <w:r>
              <w:rPr>
                <w:rFonts w:ascii="华文细黑" w:eastAsia="华文细黑" w:hAnsi="华文细黑" w:cs="宋体"/>
                <w:color w:val="000000"/>
                <w:sz w:val="18"/>
                <w:szCs w:val="18"/>
              </w:rPr>
              <w:t>57.19</w:t>
            </w:r>
          </w:p>
        </w:tc>
        <w:tc>
          <w:tcPr>
            <w:tcW w:w="1724" w:type="dxa"/>
            <w:tcBorders>
              <w:left w:val="single" w:sz="4" w:space="0" w:color="000000"/>
              <w:bottom w:val="single" w:sz="4" w:space="0" w:color="000000"/>
            </w:tcBorders>
            <w:shd w:val="clear" w:color="auto" w:fill="auto"/>
            <w:vAlign w:val="center"/>
          </w:tcPr>
          <w:p w14:paraId="7825589B" w14:textId="21558C18" w:rsidR="00AF6F34" w:rsidRDefault="00467FB2">
            <w:pPr>
              <w:widowControl/>
              <w:spacing w:line="240" w:lineRule="auto"/>
              <w:jc w:val="center"/>
              <w:textAlignment w:val="auto"/>
            </w:pPr>
            <w:r>
              <w:rPr>
                <w:rFonts w:ascii="华文细黑" w:eastAsia="华文细黑" w:hAnsi="华文细黑" w:cs="宋体"/>
                <w:color w:val="000000"/>
                <w:sz w:val="18"/>
                <w:szCs w:val="18"/>
              </w:rPr>
              <w:t>58.58</w:t>
            </w:r>
          </w:p>
        </w:tc>
        <w:tc>
          <w:tcPr>
            <w:tcW w:w="1734" w:type="dxa"/>
            <w:tcBorders>
              <w:left w:val="single" w:sz="4" w:space="0" w:color="000000"/>
              <w:bottom w:val="single" w:sz="4" w:space="0" w:color="000000"/>
              <w:right w:val="single" w:sz="4" w:space="0" w:color="000000"/>
            </w:tcBorders>
            <w:shd w:val="clear" w:color="auto" w:fill="auto"/>
            <w:vAlign w:val="center"/>
          </w:tcPr>
          <w:p w14:paraId="4BC5356F" w14:textId="35CD60EC" w:rsidR="00AF6F34" w:rsidRDefault="00467FB2">
            <w:pPr>
              <w:widowControl/>
              <w:spacing w:line="240" w:lineRule="auto"/>
              <w:jc w:val="center"/>
              <w:textAlignment w:val="auto"/>
            </w:pPr>
            <w:r>
              <w:rPr>
                <w:rFonts w:ascii="华文细黑" w:eastAsia="华文细黑" w:hAnsi="华文细黑" w:cs="宋体"/>
                <w:color w:val="000000"/>
                <w:sz w:val="18"/>
                <w:szCs w:val="18"/>
              </w:rPr>
              <w:t>58.82</w:t>
            </w:r>
          </w:p>
        </w:tc>
      </w:tr>
    </w:tbl>
    <w:p w14:paraId="7570CE34" w14:textId="77777777" w:rsidR="00C6391A" w:rsidRDefault="00AF6F34" w:rsidP="00C6391A">
      <w:pPr>
        <w:spacing w:beforeLines="50" w:before="120" w:line="480" w:lineRule="auto"/>
        <w:ind w:right="369"/>
      </w:pPr>
      <w:r>
        <w:rPr>
          <w:rFonts w:hint="eastAsia"/>
          <w:sz w:val="18"/>
        </w:rPr>
        <w:t>单位：元</w:t>
      </w:r>
      <w:r>
        <w:rPr>
          <w:rFonts w:eastAsia="Times New Roman"/>
          <w:sz w:val="18"/>
        </w:rPr>
        <w:t>/</w:t>
      </w:r>
      <w:r>
        <w:rPr>
          <w:rFonts w:hint="eastAsia"/>
          <w:sz w:val="18"/>
        </w:rPr>
        <w:t>平方米</w:t>
      </w:r>
      <w:r>
        <w:rPr>
          <w:rFonts w:eastAsia="Times New Roman"/>
          <w:sz w:val="18"/>
        </w:rPr>
        <w:t>·</w:t>
      </w:r>
      <w:r>
        <w:rPr>
          <w:rFonts w:hint="eastAsia"/>
          <w:sz w:val="18"/>
        </w:rPr>
        <w:t>月</w:t>
      </w:r>
    </w:p>
    <w:p w14:paraId="03A39BDA" w14:textId="77777777" w:rsidR="00AF6F34" w:rsidRDefault="00AF6F34">
      <w:pPr>
        <w:spacing w:before="22"/>
        <w:ind w:right="370"/>
        <w:jc w:val="center"/>
      </w:pPr>
      <w:r>
        <w:rPr>
          <w:rFonts w:ascii="Arial" w:hAnsi="Arial" w:cs="Arial" w:hint="eastAsia"/>
          <w:color w:val="000000"/>
          <w:sz w:val="21"/>
          <w:szCs w:val="21"/>
        </w:rPr>
        <w:t>可比实例外观照片</w:t>
      </w:r>
    </w:p>
    <w:p w14:paraId="369EB085" w14:textId="77777777" w:rsidR="00AF6F34" w:rsidRDefault="00AF6F34" w:rsidP="002D0721">
      <w:pPr>
        <w:pStyle w:val="ae"/>
        <w:spacing w:before="4"/>
        <w:ind w:firstLineChars="600" w:firstLine="1260"/>
      </w:pPr>
      <w:r>
        <w:rPr>
          <w:rFonts w:ascii="Arial" w:eastAsia="宋体" w:hAnsi="Arial" w:cs="Arial" w:hint="eastAsia"/>
          <w:color w:val="000000"/>
          <w:sz w:val="21"/>
          <w:szCs w:val="21"/>
        </w:rPr>
        <w:t>鹿海园</w:t>
      </w:r>
      <w:r>
        <w:rPr>
          <w:rFonts w:ascii="Arial" w:eastAsia="Arial" w:hAnsi="Arial" w:cs="Arial" w:hint="eastAsia"/>
          <w:color w:val="000000"/>
          <w:sz w:val="21"/>
          <w:szCs w:val="21"/>
        </w:rPr>
        <w:t xml:space="preserve">                  </w:t>
      </w:r>
      <w:r>
        <w:rPr>
          <w:rFonts w:ascii="Arial" w:eastAsia="Arial" w:hAnsi="Arial" w:cs="Arial"/>
          <w:color w:val="000000"/>
          <w:sz w:val="21"/>
          <w:szCs w:val="21"/>
        </w:rPr>
        <w:t xml:space="preserve"> </w:t>
      </w:r>
      <w:r w:rsidR="00F52851" w:rsidRPr="00EF1394">
        <w:rPr>
          <w:rFonts w:ascii="Arial" w:eastAsia="等线" w:hAnsi="Arial" w:cs="Arial" w:hint="eastAsia"/>
          <w:color w:val="000000"/>
          <w:sz w:val="21"/>
          <w:szCs w:val="21"/>
        </w:rPr>
        <w:t xml:space="preserve">  </w:t>
      </w:r>
      <w:r>
        <w:rPr>
          <w:rFonts w:ascii="Arial" w:eastAsia="Arial" w:hAnsi="Arial" w:cs="Arial" w:hint="eastAsia"/>
          <w:color w:val="000000"/>
          <w:sz w:val="21"/>
          <w:szCs w:val="21"/>
        </w:rPr>
        <w:t xml:space="preserve"> </w:t>
      </w:r>
      <w:r>
        <w:rPr>
          <w:rFonts w:ascii="Arial" w:eastAsia="宋体" w:hAnsi="Arial" w:cs="Arial" w:hint="eastAsia"/>
          <w:color w:val="000000"/>
          <w:sz w:val="21"/>
          <w:szCs w:val="21"/>
        </w:rPr>
        <w:t>泰河园</w:t>
      </w:r>
      <w:r>
        <w:rPr>
          <w:rFonts w:ascii="Arial" w:eastAsia="Arial" w:hAnsi="Arial" w:cs="Arial" w:hint="eastAsia"/>
          <w:color w:val="000000"/>
          <w:sz w:val="21"/>
          <w:szCs w:val="21"/>
        </w:rPr>
        <w:t xml:space="preserve">                   </w:t>
      </w:r>
      <w:r w:rsidR="00F52851" w:rsidRPr="00EF1394">
        <w:rPr>
          <w:rFonts w:ascii="Arial" w:eastAsia="等线" w:hAnsi="Arial" w:cs="Arial" w:hint="eastAsia"/>
          <w:color w:val="000000"/>
          <w:sz w:val="21"/>
          <w:szCs w:val="21"/>
        </w:rPr>
        <w:t xml:space="preserve">     </w:t>
      </w:r>
      <w:r>
        <w:rPr>
          <w:rFonts w:ascii="Arial" w:eastAsia="Arial" w:hAnsi="Arial" w:cs="Arial" w:hint="eastAsia"/>
          <w:color w:val="000000"/>
          <w:sz w:val="21"/>
          <w:szCs w:val="21"/>
        </w:rPr>
        <w:t xml:space="preserve"> </w:t>
      </w:r>
      <w:r>
        <w:rPr>
          <w:rFonts w:ascii="Arial" w:eastAsia="Arial" w:hAnsi="Arial" w:cs="Arial"/>
          <w:color w:val="000000"/>
          <w:sz w:val="21"/>
          <w:szCs w:val="21"/>
        </w:rPr>
        <w:t xml:space="preserve"> </w:t>
      </w:r>
      <w:r w:rsidR="00830400">
        <w:rPr>
          <w:rFonts w:ascii="Arial" w:eastAsia="宋体" w:hAnsi="Arial" w:cs="Arial" w:hint="eastAsia"/>
          <w:color w:val="000000"/>
          <w:sz w:val="21"/>
          <w:szCs w:val="21"/>
        </w:rPr>
        <w:t>和悦华锦</w:t>
      </w:r>
    </w:p>
    <w:p w14:paraId="00E6AC3F" w14:textId="5B4F79A1" w:rsidR="00AF6F34" w:rsidRDefault="00FC2399" w:rsidP="008956FD">
      <w:pPr>
        <w:pStyle w:val="ae"/>
        <w:spacing w:before="4"/>
        <w:ind w:left="240"/>
        <w:jc w:val="center"/>
        <w:rPr>
          <w:rFonts w:ascii="Arial" w:eastAsia="宋体" w:hAnsi="Arial" w:cs="Arial"/>
          <w:color w:val="000000"/>
          <w:sz w:val="21"/>
          <w:szCs w:val="21"/>
        </w:rPr>
      </w:pPr>
      <w:r w:rsidRPr="00C805AE">
        <w:rPr>
          <w:noProof/>
        </w:rPr>
        <w:drawing>
          <wp:inline distT="0" distB="0" distL="0" distR="0" wp14:anchorId="0A5175EE" wp14:editId="357EC4C5">
            <wp:extent cx="1304290" cy="1800860"/>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6">
                      <a:extLst>
                        <a:ext uri="{28A0092B-C50C-407E-A947-70E740481C1C}">
                          <a14:useLocalDpi xmlns:a14="http://schemas.microsoft.com/office/drawing/2010/main" val="0"/>
                        </a:ext>
                      </a:extLst>
                    </a:blip>
                    <a:srcRect t="424"/>
                    <a:stretch>
                      <a:fillRect/>
                    </a:stretch>
                  </pic:blipFill>
                  <pic:spPr bwMode="auto">
                    <a:xfrm>
                      <a:off x="0" y="0"/>
                      <a:ext cx="1304290" cy="1800860"/>
                    </a:xfrm>
                    <a:prstGeom prst="rect">
                      <a:avLst/>
                    </a:prstGeom>
                    <a:noFill/>
                    <a:ln>
                      <a:noFill/>
                    </a:ln>
                  </pic:spPr>
                </pic:pic>
              </a:graphicData>
            </a:graphic>
          </wp:inline>
        </w:drawing>
      </w:r>
      <w:r w:rsidR="00AF6F34">
        <w:rPr>
          <w:rFonts w:eastAsia="Times New Roman" w:hint="eastAsia"/>
        </w:rPr>
        <w:t xml:space="preserve"> </w:t>
      </w:r>
      <w:r w:rsidR="00AF6F34">
        <w:rPr>
          <w:rFonts w:eastAsia="Times New Roman"/>
        </w:rPr>
        <w:t xml:space="preserve"> </w:t>
      </w:r>
      <w:r w:rsidR="00F52851" w:rsidRPr="00EF1394">
        <w:rPr>
          <w:rFonts w:eastAsia="等线" w:hint="eastAsia"/>
        </w:rPr>
        <w:t xml:space="preserve">  </w:t>
      </w:r>
      <w:r w:rsidR="00AF6F34">
        <w:rPr>
          <w:rFonts w:eastAsia="Times New Roman" w:hint="eastAsia"/>
        </w:rPr>
        <w:t xml:space="preserve"> </w:t>
      </w:r>
      <w:r w:rsidRPr="00C805AE">
        <w:rPr>
          <w:noProof/>
        </w:rPr>
        <w:drawing>
          <wp:inline distT="0" distB="0" distL="0" distR="0" wp14:anchorId="7225E0A8" wp14:editId="26D32290">
            <wp:extent cx="1308100" cy="180086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7">
                      <a:extLst>
                        <a:ext uri="{28A0092B-C50C-407E-A947-70E740481C1C}">
                          <a14:useLocalDpi xmlns:a14="http://schemas.microsoft.com/office/drawing/2010/main" val="0"/>
                        </a:ext>
                      </a:extLst>
                    </a:blip>
                    <a:srcRect t="964"/>
                    <a:stretch>
                      <a:fillRect/>
                    </a:stretch>
                  </pic:blipFill>
                  <pic:spPr bwMode="auto">
                    <a:xfrm>
                      <a:off x="0" y="0"/>
                      <a:ext cx="1308100" cy="1800860"/>
                    </a:xfrm>
                    <a:prstGeom prst="rect">
                      <a:avLst/>
                    </a:prstGeom>
                    <a:noFill/>
                    <a:ln>
                      <a:noFill/>
                    </a:ln>
                  </pic:spPr>
                </pic:pic>
              </a:graphicData>
            </a:graphic>
          </wp:inline>
        </w:drawing>
      </w:r>
      <w:r w:rsidR="00AF6F34">
        <w:rPr>
          <w:rFonts w:eastAsia="Times New Roman"/>
        </w:rPr>
        <w:t xml:space="preserve">  </w:t>
      </w:r>
      <w:r w:rsidR="00F52851" w:rsidRPr="00EF1394">
        <w:rPr>
          <w:rFonts w:eastAsia="等线" w:hint="eastAsia"/>
        </w:rPr>
        <w:t xml:space="preserve">  </w:t>
      </w:r>
      <w:r w:rsidR="00AF6F34">
        <w:rPr>
          <w:rFonts w:eastAsia="Times New Roman" w:hint="eastAsia"/>
        </w:rPr>
        <w:t xml:space="preserve"> </w:t>
      </w:r>
      <w:r w:rsidRPr="00C805AE">
        <w:rPr>
          <w:noProof/>
        </w:rPr>
        <w:drawing>
          <wp:inline distT="0" distB="0" distL="0" distR="0" wp14:anchorId="32288BE3" wp14:editId="599D0D8F">
            <wp:extent cx="1411605" cy="1797050"/>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11605" cy="1797050"/>
                    </a:xfrm>
                    <a:prstGeom prst="rect">
                      <a:avLst/>
                    </a:prstGeom>
                    <a:noFill/>
                    <a:ln>
                      <a:noFill/>
                    </a:ln>
                  </pic:spPr>
                </pic:pic>
              </a:graphicData>
            </a:graphic>
          </wp:inline>
        </w:drawing>
      </w:r>
    </w:p>
    <w:p w14:paraId="2C6A9CC4" w14:textId="77777777" w:rsidR="00AF6F34" w:rsidRDefault="00AF6F34">
      <w:pPr>
        <w:pStyle w:val="ae"/>
        <w:spacing w:before="4"/>
        <w:rPr>
          <w:rFonts w:ascii="Arial" w:eastAsia="宋体" w:hAnsi="Arial" w:cs="Arial"/>
          <w:color w:val="000000"/>
          <w:sz w:val="21"/>
          <w:szCs w:val="21"/>
        </w:rPr>
      </w:pPr>
    </w:p>
    <w:p w14:paraId="110CE7AB" w14:textId="77777777" w:rsidR="00AF6F34" w:rsidRDefault="00AF6F34">
      <w:pPr>
        <w:pStyle w:val="LO-Normal"/>
        <w:autoSpaceDE w:val="0"/>
        <w:spacing w:line="480" w:lineRule="auto"/>
        <w:ind w:firstLine="420"/>
        <w:jc w:val="both"/>
        <w:textAlignment w:val="bottom"/>
      </w:pPr>
      <w:r>
        <w:rPr>
          <w:rFonts w:ascii="Arial" w:hAnsi="Arial" w:cs="Arial" w:hint="eastAsia"/>
          <w:color w:val="000000"/>
          <w:sz w:val="21"/>
          <w:szCs w:val="21"/>
        </w:rPr>
        <w:t>通过上述三方面数据的对比分析，各种数据来源的平均租金水平相对接近，均有一定的参考价值，本次各可比实例于估价时段内的年平均租金水平选取各小区三种数据平均租金的算术平均值扣除物业费、供暖费，各小区物业费及供暖费如下：</w:t>
      </w:r>
    </w:p>
    <w:p w14:paraId="37204FA5" w14:textId="77777777" w:rsidR="00AF6F34" w:rsidRDefault="00AF6F34">
      <w:pPr>
        <w:pStyle w:val="LO-Normal"/>
        <w:autoSpaceDE w:val="0"/>
        <w:spacing w:line="480" w:lineRule="auto"/>
        <w:ind w:firstLine="420"/>
        <w:jc w:val="both"/>
        <w:textAlignment w:val="bottom"/>
      </w:pPr>
      <w:r>
        <w:rPr>
          <w:rFonts w:ascii="Arial" w:hAnsi="Arial" w:cs="Arial" w:hint="eastAsia"/>
          <w:color w:val="000000"/>
          <w:sz w:val="21"/>
          <w:szCs w:val="21"/>
        </w:rPr>
        <w:t>鹿海园物业费</w:t>
      </w:r>
      <w:r>
        <w:rPr>
          <w:rFonts w:ascii="Arial" w:hAnsi="Arial" w:cs="Arial"/>
          <w:color w:val="000000"/>
          <w:sz w:val="21"/>
          <w:szCs w:val="21"/>
        </w:rPr>
        <w:t>0.5</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平方米•月，供暖费</w:t>
      </w:r>
      <w:r>
        <w:rPr>
          <w:rFonts w:ascii="Arial" w:hAnsi="Arial" w:cs="Arial"/>
          <w:color w:val="000000"/>
          <w:sz w:val="21"/>
          <w:szCs w:val="21"/>
        </w:rPr>
        <w:t>2.5</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p>
    <w:p w14:paraId="6D9C37D4" w14:textId="77777777" w:rsidR="00AF6F34" w:rsidRDefault="00AF6F34">
      <w:pPr>
        <w:pStyle w:val="LO-Normal"/>
        <w:autoSpaceDE w:val="0"/>
        <w:spacing w:line="480" w:lineRule="auto"/>
        <w:ind w:firstLine="420"/>
        <w:jc w:val="both"/>
        <w:textAlignment w:val="bottom"/>
      </w:pPr>
      <w:r>
        <w:rPr>
          <w:rFonts w:ascii="Arial" w:hAnsi="Arial" w:cs="Arial" w:hint="eastAsia"/>
          <w:color w:val="000000"/>
          <w:sz w:val="21"/>
          <w:szCs w:val="21"/>
        </w:rPr>
        <w:t>泰河园物业费</w:t>
      </w:r>
      <w:r>
        <w:rPr>
          <w:rFonts w:ascii="Arial" w:hAnsi="Arial" w:cs="Arial"/>
          <w:color w:val="000000"/>
          <w:sz w:val="21"/>
          <w:szCs w:val="21"/>
        </w:rPr>
        <w:t>0.5</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平方米•月，供暖费</w:t>
      </w:r>
      <w:r>
        <w:rPr>
          <w:rFonts w:ascii="Arial" w:hAnsi="Arial" w:cs="Arial"/>
          <w:color w:val="000000"/>
          <w:sz w:val="21"/>
          <w:szCs w:val="21"/>
        </w:rPr>
        <w:t>2.5</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p>
    <w:p w14:paraId="1D16C218" w14:textId="77777777" w:rsidR="00AF6F34" w:rsidRDefault="00830400">
      <w:pPr>
        <w:pStyle w:val="LO-Normal"/>
        <w:autoSpaceDE w:val="0"/>
        <w:spacing w:line="480" w:lineRule="auto"/>
        <w:ind w:firstLine="420"/>
        <w:jc w:val="both"/>
        <w:textAlignment w:val="bottom"/>
      </w:pPr>
      <w:r>
        <w:rPr>
          <w:rFonts w:ascii="Arial" w:hAnsi="Arial" w:cs="Arial" w:hint="eastAsia"/>
          <w:color w:val="000000"/>
          <w:sz w:val="21"/>
          <w:szCs w:val="21"/>
        </w:rPr>
        <w:t>和悦华锦</w:t>
      </w:r>
      <w:r w:rsidR="00AF6F34">
        <w:rPr>
          <w:rFonts w:ascii="Arial" w:hAnsi="Arial" w:cs="Arial" w:hint="eastAsia"/>
          <w:color w:val="000000"/>
          <w:sz w:val="21"/>
          <w:szCs w:val="21"/>
        </w:rPr>
        <w:t>物业费</w:t>
      </w:r>
      <w:r w:rsidR="00EE7546">
        <w:rPr>
          <w:rFonts w:ascii="Arial" w:hAnsi="Arial" w:cs="Arial"/>
          <w:color w:val="000000"/>
          <w:sz w:val="21"/>
          <w:szCs w:val="21"/>
        </w:rPr>
        <w:t>3.98</w:t>
      </w:r>
      <w:r w:rsidR="00AF6F34">
        <w:rPr>
          <w:rFonts w:ascii="Arial" w:hAnsi="Arial" w:cs="Arial" w:hint="eastAsia"/>
          <w:color w:val="000000"/>
          <w:sz w:val="21"/>
          <w:szCs w:val="21"/>
        </w:rPr>
        <w:t>元</w:t>
      </w:r>
      <w:r w:rsidR="00AF6F34">
        <w:rPr>
          <w:rFonts w:ascii="Arial" w:hAnsi="Arial" w:cs="Arial"/>
          <w:color w:val="000000"/>
          <w:sz w:val="21"/>
          <w:szCs w:val="21"/>
        </w:rPr>
        <w:t>/</w:t>
      </w:r>
      <w:r w:rsidR="00AF6F34">
        <w:rPr>
          <w:rFonts w:ascii="Arial" w:hAnsi="Arial" w:cs="Arial" w:hint="eastAsia"/>
          <w:color w:val="000000"/>
          <w:sz w:val="21"/>
          <w:szCs w:val="21"/>
        </w:rPr>
        <w:t>平方米•月，供暖费</w:t>
      </w:r>
      <w:r w:rsidR="00AF6F34">
        <w:rPr>
          <w:rFonts w:ascii="Arial" w:hAnsi="Arial" w:cs="Arial"/>
          <w:color w:val="000000"/>
          <w:sz w:val="21"/>
          <w:szCs w:val="21"/>
        </w:rPr>
        <w:t>2.5</w:t>
      </w:r>
      <w:r w:rsidR="00AF6F34">
        <w:rPr>
          <w:rFonts w:ascii="Arial" w:hAnsi="Arial" w:cs="Arial" w:hint="eastAsia"/>
          <w:color w:val="000000"/>
          <w:sz w:val="21"/>
          <w:szCs w:val="21"/>
        </w:rPr>
        <w:t>元</w:t>
      </w:r>
      <w:r w:rsidR="00AF6F34">
        <w:rPr>
          <w:rFonts w:ascii="Arial" w:hAnsi="Arial" w:cs="Arial"/>
          <w:color w:val="000000"/>
          <w:sz w:val="21"/>
          <w:szCs w:val="21"/>
        </w:rPr>
        <w:t>/</w:t>
      </w:r>
      <w:r w:rsidR="00AF6F34">
        <w:rPr>
          <w:rFonts w:ascii="Arial" w:hAnsi="Arial" w:cs="Arial" w:hint="eastAsia"/>
          <w:color w:val="000000"/>
          <w:sz w:val="21"/>
          <w:szCs w:val="21"/>
        </w:rPr>
        <w:t>平方米•月；</w:t>
      </w:r>
    </w:p>
    <w:p w14:paraId="0D20D2C9" w14:textId="77777777" w:rsidR="00AF6F34" w:rsidRDefault="00AF6F34">
      <w:pPr>
        <w:pStyle w:val="LO-Normal"/>
        <w:autoSpaceDE w:val="0"/>
        <w:spacing w:line="480" w:lineRule="auto"/>
        <w:ind w:firstLine="420"/>
        <w:jc w:val="both"/>
        <w:textAlignment w:val="bottom"/>
      </w:pPr>
      <w:r>
        <w:rPr>
          <w:rFonts w:ascii="Arial" w:hAnsi="Arial" w:cs="Arial" w:hint="eastAsia"/>
          <w:color w:val="000000"/>
          <w:sz w:val="21"/>
          <w:szCs w:val="21"/>
        </w:rPr>
        <w:t>扣除物业费、供暖费的租金：</w:t>
      </w:r>
    </w:p>
    <w:p w14:paraId="3F43281C" w14:textId="7CCDED52" w:rsidR="00AF6F34" w:rsidRDefault="00AF6F34">
      <w:pPr>
        <w:pStyle w:val="LO-Normal"/>
        <w:autoSpaceDE w:val="0"/>
        <w:spacing w:line="480" w:lineRule="auto"/>
        <w:ind w:firstLine="420"/>
        <w:jc w:val="both"/>
        <w:textAlignment w:val="bottom"/>
      </w:pPr>
      <w:r>
        <w:rPr>
          <w:rFonts w:ascii="Arial" w:hAnsi="Arial" w:cs="Arial" w:hint="eastAsia"/>
          <w:color w:val="000000"/>
          <w:sz w:val="21"/>
          <w:szCs w:val="21"/>
        </w:rPr>
        <w:t>鹿海园平均租金</w:t>
      </w:r>
      <w:r>
        <w:rPr>
          <w:rFonts w:ascii="Arial" w:hAnsi="Arial" w:cs="Arial"/>
          <w:color w:val="000000"/>
          <w:sz w:val="21"/>
          <w:szCs w:val="21"/>
        </w:rPr>
        <w:t>=</w:t>
      </w:r>
      <w:r w:rsidR="00467FB2">
        <w:rPr>
          <w:rFonts w:ascii="Arial" w:hAnsi="Arial" w:cs="Arial"/>
          <w:color w:val="000000"/>
          <w:sz w:val="21"/>
          <w:szCs w:val="21"/>
        </w:rPr>
        <w:t>57.19</w:t>
      </w:r>
      <w:r>
        <w:rPr>
          <w:rFonts w:ascii="Arial" w:hAnsi="Arial" w:cs="Arial"/>
          <w:color w:val="000000"/>
          <w:sz w:val="21"/>
          <w:szCs w:val="21"/>
        </w:rPr>
        <w:t>-0.5-2.5=</w:t>
      </w:r>
      <w:r w:rsidR="00467FB2">
        <w:rPr>
          <w:rFonts w:ascii="Arial" w:hAnsi="Arial" w:cs="Arial"/>
          <w:color w:val="000000"/>
          <w:sz w:val="21"/>
          <w:szCs w:val="21"/>
        </w:rPr>
        <w:t>54.19</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r>
        <w:rPr>
          <w:rFonts w:ascii="Arial" w:eastAsia="Arial" w:hAnsi="Arial" w:cs="Arial"/>
          <w:color w:val="000000"/>
          <w:sz w:val="21"/>
          <w:szCs w:val="21"/>
        </w:rPr>
        <w:t xml:space="preserve"> </w:t>
      </w:r>
      <w:r>
        <w:rPr>
          <w:rFonts w:ascii="Arial" w:hAnsi="Arial" w:cs="Arial" w:hint="eastAsia"/>
          <w:color w:val="000000"/>
          <w:sz w:val="21"/>
          <w:szCs w:val="21"/>
        </w:rPr>
        <w:t>；</w:t>
      </w:r>
    </w:p>
    <w:p w14:paraId="0E6691C4" w14:textId="4314E122" w:rsidR="00AF6F34" w:rsidRDefault="00AF6F34">
      <w:pPr>
        <w:pStyle w:val="LO-Normal"/>
        <w:autoSpaceDE w:val="0"/>
        <w:spacing w:line="480" w:lineRule="auto"/>
        <w:ind w:firstLine="420"/>
        <w:jc w:val="both"/>
        <w:textAlignment w:val="bottom"/>
      </w:pPr>
      <w:r>
        <w:rPr>
          <w:rFonts w:ascii="Arial" w:hAnsi="Arial" w:cs="Arial" w:hint="eastAsia"/>
          <w:color w:val="000000"/>
          <w:sz w:val="21"/>
          <w:szCs w:val="21"/>
        </w:rPr>
        <w:t>泰河园平均租金</w:t>
      </w:r>
      <w:r>
        <w:rPr>
          <w:rFonts w:ascii="Arial" w:hAnsi="Arial" w:cs="Arial"/>
          <w:color w:val="000000"/>
          <w:sz w:val="21"/>
          <w:szCs w:val="21"/>
        </w:rPr>
        <w:t>=</w:t>
      </w:r>
      <w:r w:rsidR="00467FB2">
        <w:rPr>
          <w:rFonts w:ascii="Arial" w:hAnsi="Arial" w:cs="Arial"/>
          <w:color w:val="000000"/>
          <w:sz w:val="21"/>
          <w:szCs w:val="21"/>
        </w:rPr>
        <w:t>58.58</w:t>
      </w:r>
      <w:r>
        <w:rPr>
          <w:rFonts w:ascii="Arial" w:hAnsi="Arial" w:cs="Arial"/>
          <w:color w:val="000000"/>
          <w:sz w:val="21"/>
          <w:szCs w:val="21"/>
        </w:rPr>
        <w:t>-</w:t>
      </w:r>
      <w:r w:rsidR="00FE7D75">
        <w:rPr>
          <w:rFonts w:ascii="Arial" w:hAnsi="Arial" w:cs="Arial"/>
          <w:color w:val="000000"/>
          <w:sz w:val="21"/>
          <w:szCs w:val="21"/>
        </w:rPr>
        <w:t>0.5</w:t>
      </w:r>
      <w:r>
        <w:rPr>
          <w:rFonts w:ascii="Arial" w:hAnsi="Arial" w:cs="Arial"/>
          <w:color w:val="000000"/>
          <w:sz w:val="21"/>
          <w:szCs w:val="21"/>
        </w:rPr>
        <w:t>-2.5=</w:t>
      </w:r>
      <w:r w:rsidR="00467FB2">
        <w:rPr>
          <w:rFonts w:ascii="Arial" w:hAnsi="Arial" w:cs="Arial"/>
          <w:color w:val="000000"/>
          <w:sz w:val="21"/>
          <w:szCs w:val="21"/>
        </w:rPr>
        <w:t>55.58</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r>
        <w:rPr>
          <w:rFonts w:ascii="Arial" w:eastAsia="Arial" w:hAnsi="Arial" w:cs="Arial"/>
          <w:color w:val="000000"/>
          <w:sz w:val="21"/>
          <w:szCs w:val="21"/>
        </w:rPr>
        <w:t xml:space="preserve"> </w:t>
      </w:r>
      <w:r>
        <w:rPr>
          <w:rFonts w:ascii="Arial" w:hAnsi="Arial" w:cs="Arial" w:hint="eastAsia"/>
          <w:color w:val="000000"/>
          <w:sz w:val="21"/>
          <w:szCs w:val="21"/>
        </w:rPr>
        <w:t>；</w:t>
      </w:r>
    </w:p>
    <w:p w14:paraId="0FF2CCA5" w14:textId="350D4A84" w:rsidR="00AF6F34" w:rsidRDefault="00830400">
      <w:pPr>
        <w:pStyle w:val="LO-Normal"/>
        <w:autoSpaceDE w:val="0"/>
        <w:spacing w:line="480" w:lineRule="auto"/>
        <w:ind w:firstLine="420"/>
        <w:jc w:val="both"/>
        <w:textAlignment w:val="bottom"/>
      </w:pPr>
      <w:r>
        <w:rPr>
          <w:rFonts w:ascii="Arial" w:hAnsi="Arial" w:cs="Arial" w:hint="eastAsia"/>
          <w:color w:val="000000"/>
          <w:sz w:val="21"/>
          <w:szCs w:val="21"/>
        </w:rPr>
        <w:t>和悦华锦</w:t>
      </w:r>
      <w:r w:rsidR="00AF6F34">
        <w:rPr>
          <w:rFonts w:ascii="Arial" w:hAnsi="Arial" w:cs="Arial" w:hint="eastAsia"/>
          <w:color w:val="000000"/>
          <w:sz w:val="21"/>
          <w:szCs w:val="21"/>
        </w:rPr>
        <w:t>平均租金</w:t>
      </w:r>
      <w:r w:rsidR="00AF6F34">
        <w:rPr>
          <w:rFonts w:ascii="Arial" w:hAnsi="Arial" w:cs="Arial"/>
          <w:color w:val="000000"/>
          <w:sz w:val="21"/>
          <w:szCs w:val="21"/>
        </w:rPr>
        <w:t>=</w:t>
      </w:r>
      <w:r w:rsidR="00467FB2">
        <w:rPr>
          <w:rFonts w:ascii="Arial" w:hAnsi="Arial" w:cs="Arial"/>
          <w:color w:val="000000"/>
          <w:sz w:val="21"/>
          <w:szCs w:val="21"/>
        </w:rPr>
        <w:t>58.82</w:t>
      </w:r>
      <w:r w:rsidR="00AF6F34">
        <w:rPr>
          <w:rFonts w:ascii="Arial" w:hAnsi="Arial" w:cs="Arial"/>
          <w:color w:val="000000"/>
          <w:sz w:val="21"/>
          <w:szCs w:val="21"/>
        </w:rPr>
        <w:t>-</w:t>
      </w:r>
      <w:r w:rsidR="00FE7D75">
        <w:rPr>
          <w:rFonts w:ascii="Arial" w:hAnsi="Arial" w:cs="Arial"/>
          <w:color w:val="000000"/>
          <w:sz w:val="21"/>
          <w:szCs w:val="21"/>
        </w:rPr>
        <w:t>3.98</w:t>
      </w:r>
      <w:r w:rsidR="00AF6F34">
        <w:rPr>
          <w:rFonts w:ascii="Arial" w:hAnsi="Arial" w:cs="Arial"/>
          <w:color w:val="000000"/>
          <w:sz w:val="21"/>
          <w:szCs w:val="21"/>
        </w:rPr>
        <w:t>-2.5=</w:t>
      </w:r>
      <w:r w:rsidR="00467FB2">
        <w:rPr>
          <w:rFonts w:ascii="Arial" w:hAnsi="Arial" w:cs="Arial"/>
          <w:color w:val="000000"/>
          <w:sz w:val="21"/>
          <w:szCs w:val="21"/>
        </w:rPr>
        <w:t>52.34</w:t>
      </w:r>
      <w:r w:rsidR="00AF6F34">
        <w:rPr>
          <w:rFonts w:ascii="Arial" w:hAnsi="Arial" w:cs="Arial" w:hint="eastAsia"/>
          <w:color w:val="000000"/>
          <w:sz w:val="21"/>
          <w:szCs w:val="21"/>
        </w:rPr>
        <w:t>（元</w:t>
      </w:r>
      <w:r w:rsidR="00AF6F34">
        <w:rPr>
          <w:rFonts w:ascii="Arial" w:hAnsi="Arial" w:cs="Arial"/>
          <w:color w:val="000000"/>
          <w:sz w:val="21"/>
          <w:szCs w:val="21"/>
        </w:rPr>
        <w:t>/</w:t>
      </w:r>
      <w:r w:rsidR="00AF6F34">
        <w:rPr>
          <w:rFonts w:ascii="Arial" w:hAnsi="Arial" w:cs="Arial" w:hint="eastAsia"/>
          <w:color w:val="000000"/>
          <w:sz w:val="21"/>
          <w:szCs w:val="21"/>
        </w:rPr>
        <w:t>平方米•月）；</w:t>
      </w:r>
    </w:p>
    <w:p w14:paraId="70A19182" w14:textId="7B7B4EB9" w:rsidR="00AF6F34" w:rsidRDefault="00AF6F34">
      <w:pPr>
        <w:pStyle w:val="LO-Normal"/>
        <w:autoSpaceDE w:val="0"/>
        <w:spacing w:line="480" w:lineRule="auto"/>
        <w:ind w:firstLine="420"/>
        <w:jc w:val="both"/>
        <w:textAlignment w:val="bottom"/>
      </w:pPr>
      <w:r>
        <w:rPr>
          <w:rFonts w:ascii="Arial" w:hAnsi="Arial" w:cs="Arial" w:hint="eastAsia"/>
          <w:color w:val="000000"/>
          <w:sz w:val="21"/>
          <w:szCs w:val="21"/>
        </w:rPr>
        <w:t>即三个可比实例的月平均租金水平分别为</w:t>
      </w:r>
      <w:r w:rsidR="00467FB2">
        <w:rPr>
          <w:rFonts w:ascii="Arial" w:hAnsi="Arial" w:cs="Arial"/>
          <w:color w:val="000000"/>
          <w:sz w:val="21"/>
          <w:szCs w:val="21"/>
        </w:rPr>
        <w:t>54.19</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r w:rsidR="00467FB2">
        <w:rPr>
          <w:rFonts w:ascii="Arial" w:hAnsi="Arial" w:cs="Arial"/>
          <w:color w:val="000000"/>
          <w:sz w:val="21"/>
          <w:szCs w:val="21"/>
        </w:rPr>
        <w:t>55.58</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r w:rsidR="00467FB2">
        <w:rPr>
          <w:rFonts w:ascii="Arial" w:hAnsi="Arial" w:cs="Arial"/>
          <w:color w:val="000000"/>
          <w:sz w:val="21"/>
          <w:szCs w:val="21"/>
        </w:rPr>
        <w:t>52.34</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p>
    <w:p w14:paraId="01581194" w14:textId="77777777" w:rsidR="00AF6F34" w:rsidRDefault="00AF6F34">
      <w:pPr>
        <w:pStyle w:val="af6"/>
        <w:spacing w:line="480" w:lineRule="auto"/>
      </w:pPr>
      <w:r>
        <w:rPr>
          <w:rFonts w:ascii="Arial" w:eastAsia="宋体" w:hAnsi="Arial" w:cs="Arial"/>
          <w:sz w:val="21"/>
          <w:szCs w:val="21"/>
        </w:rPr>
        <w:t>（</w:t>
      </w:r>
      <w:r>
        <w:rPr>
          <w:rFonts w:ascii="Arial" w:eastAsia="宋体" w:hAnsi="Arial" w:cs="Arial" w:hint="eastAsia"/>
          <w:sz w:val="21"/>
          <w:szCs w:val="21"/>
        </w:rPr>
        <w:t>二</w:t>
      </w:r>
      <w:r>
        <w:rPr>
          <w:rFonts w:ascii="Arial" w:eastAsia="宋体" w:hAnsi="Arial" w:cs="Arial"/>
          <w:sz w:val="21"/>
          <w:szCs w:val="21"/>
        </w:rPr>
        <w:t>）</w:t>
      </w:r>
      <w:r>
        <w:rPr>
          <w:rFonts w:ascii="Arial" w:eastAsia="Arial" w:hAnsi="Arial" w:cs="Arial" w:hint="eastAsia"/>
          <w:sz w:val="21"/>
          <w:szCs w:val="21"/>
        </w:rPr>
        <w:t xml:space="preserve"> </w:t>
      </w:r>
      <w:r>
        <w:rPr>
          <w:rFonts w:ascii="Arial" w:eastAsia="宋体" w:hAnsi="Arial" w:cs="Arial" w:hint="eastAsia"/>
          <w:sz w:val="21"/>
          <w:szCs w:val="21"/>
        </w:rPr>
        <w:t>比较法测算过程</w:t>
      </w:r>
    </w:p>
    <w:p w14:paraId="2AA71D3B" w14:textId="77777777" w:rsidR="00AF6F34" w:rsidRDefault="00AF6F34">
      <w:pPr>
        <w:overflowPunct w:val="0"/>
        <w:spacing w:line="480" w:lineRule="auto"/>
        <w:ind w:firstLine="420"/>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）建立比较因素条件说明表</w:t>
      </w:r>
      <w:r>
        <w:rPr>
          <w:rFonts w:ascii="Arial" w:eastAsia="Arial" w:hAnsi="Arial" w:cs="Arial"/>
          <w:sz w:val="21"/>
          <w:szCs w:val="21"/>
        </w:rPr>
        <w:t xml:space="preserve"> </w:t>
      </w:r>
    </w:p>
    <w:p w14:paraId="68191854" w14:textId="77777777" w:rsidR="00AF6F34" w:rsidRDefault="00AF6F34">
      <w:pPr>
        <w:overflowPunct w:val="0"/>
        <w:spacing w:line="480" w:lineRule="auto"/>
        <w:ind w:firstLine="420"/>
        <w:rPr>
          <w:rFonts w:ascii="Arial" w:hAnsi="Arial" w:cs="Arial"/>
          <w:sz w:val="21"/>
          <w:szCs w:val="21"/>
        </w:rPr>
      </w:pPr>
      <w:r>
        <w:rPr>
          <w:rFonts w:ascii="Arial" w:hAnsi="Arial" w:cs="Arial"/>
          <w:sz w:val="21"/>
          <w:szCs w:val="21"/>
        </w:rPr>
        <w:t>参与比较的因素条件应是对估价对象与可比案例小区之间的价格差异产生作用的因素，通过对估价对象各自特点的分析，本次估价选择了区域状况、实物状况和宜居状况进行比较，详见比较因素情</w:t>
      </w:r>
      <w:r>
        <w:rPr>
          <w:rFonts w:ascii="Arial" w:hAnsi="Arial" w:cs="Arial"/>
          <w:sz w:val="21"/>
          <w:szCs w:val="21"/>
        </w:rPr>
        <w:lastRenderedPageBreak/>
        <w:t>况描述表</w:t>
      </w:r>
      <w:r>
        <w:rPr>
          <w:rFonts w:ascii="Arial" w:hAnsi="Arial" w:cs="Arial" w:hint="eastAsia"/>
          <w:sz w:val="21"/>
          <w:szCs w:val="21"/>
        </w:rPr>
        <w:t>：</w:t>
      </w:r>
    </w:p>
    <w:p w14:paraId="25C74731" w14:textId="77777777" w:rsidR="00C6391A" w:rsidRDefault="00C6391A">
      <w:pPr>
        <w:overflowPunct w:val="0"/>
        <w:spacing w:line="480" w:lineRule="auto"/>
        <w:ind w:firstLine="420"/>
      </w:pPr>
    </w:p>
    <w:p w14:paraId="6902D78C" w14:textId="77777777" w:rsidR="00AF6F34" w:rsidRDefault="00AF6F34">
      <w:pPr>
        <w:overflowPunct w:val="0"/>
        <w:spacing w:line="480" w:lineRule="auto"/>
        <w:ind w:firstLine="420"/>
        <w:jc w:val="center"/>
      </w:pPr>
      <w:r>
        <w:rPr>
          <w:rFonts w:ascii="Arial" w:hAnsi="Arial" w:cs="Arial" w:hint="eastAsia"/>
          <w:color w:val="000000"/>
          <w:sz w:val="21"/>
          <w:szCs w:val="21"/>
        </w:rPr>
        <w:t>南海家园</w:t>
      </w:r>
      <w:r>
        <w:rPr>
          <w:rFonts w:ascii="Arial" w:hAnsi="Arial" w:cs="Arial" w:hint="eastAsia"/>
          <w:sz w:val="21"/>
          <w:szCs w:val="21"/>
        </w:rPr>
        <w:t>比较因素情况描述表</w:t>
      </w:r>
    </w:p>
    <w:tbl>
      <w:tblPr>
        <w:tblW w:w="0" w:type="auto"/>
        <w:tblInd w:w="-117" w:type="dxa"/>
        <w:tblLayout w:type="fixed"/>
        <w:tblLook w:val="0000" w:firstRow="0" w:lastRow="0" w:firstColumn="0" w:lastColumn="0" w:noHBand="0" w:noVBand="0"/>
      </w:tblPr>
      <w:tblGrid>
        <w:gridCol w:w="428"/>
        <w:gridCol w:w="810"/>
        <w:gridCol w:w="2061"/>
        <w:gridCol w:w="2072"/>
        <w:gridCol w:w="2072"/>
        <w:gridCol w:w="2082"/>
      </w:tblGrid>
      <w:tr w:rsidR="00AF6F34" w14:paraId="3CBDD1B2" w14:textId="77777777">
        <w:trPr>
          <w:trHeight w:val="270"/>
          <w:tblHeader/>
        </w:trPr>
        <w:tc>
          <w:tcPr>
            <w:tcW w:w="1238" w:type="dxa"/>
            <w:gridSpan w:val="2"/>
            <w:tcBorders>
              <w:top w:val="single" w:sz="4" w:space="0" w:color="000000"/>
              <w:left w:val="single" w:sz="4" w:space="0" w:color="000000"/>
              <w:bottom w:val="single" w:sz="4" w:space="0" w:color="000000"/>
            </w:tcBorders>
            <w:shd w:val="clear" w:color="auto" w:fill="auto"/>
            <w:vAlign w:val="center"/>
          </w:tcPr>
          <w:p w14:paraId="2D141145" w14:textId="77777777" w:rsidR="00AF6F34" w:rsidRDefault="00AF6F34">
            <w:pPr>
              <w:widowControl/>
              <w:spacing w:line="240" w:lineRule="auto"/>
              <w:jc w:val="center"/>
              <w:textAlignment w:val="auto"/>
            </w:pPr>
            <w:r>
              <w:rPr>
                <w:rFonts w:ascii="宋体" w:hAnsi="宋体" w:cs="Arial" w:hint="eastAsia"/>
                <w:sz w:val="18"/>
              </w:rPr>
              <w:t>项目</w:t>
            </w:r>
          </w:p>
        </w:tc>
        <w:tc>
          <w:tcPr>
            <w:tcW w:w="2061" w:type="dxa"/>
            <w:tcBorders>
              <w:top w:val="single" w:sz="4" w:space="0" w:color="000000"/>
              <w:left w:val="single" w:sz="4" w:space="0" w:color="000000"/>
              <w:bottom w:val="single" w:sz="4" w:space="0" w:color="000000"/>
            </w:tcBorders>
            <w:shd w:val="clear" w:color="auto" w:fill="auto"/>
            <w:vAlign w:val="center"/>
          </w:tcPr>
          <w:p w14:paraId="75E73DC2" w14:textId="77777777" w:rsidR="00AF6F34" w:rsidRDefault="00AF6F34">
            <w:pPr>
              <w:widowControl/>
              <w:spacing w:line="240" w:lineRule="auto"/>
              <w:jc w:val="center"/>
              <w:textAlignment w:val="auto"/>
            </w:pPr>
            <w:r>
              <w:rPr>
                <w:rFonts w:ascii="宋体" w:hAnsi="宋体" w:cs="Arial" w:hint="eastAsia"/>
                <w:sz w:val="18"/>
              </w:rPr>
              <w:t>估价对象</w:t>
            </w:r>
          </w:p>
        </w:tc>
        <w:tc>
          <w:tcPr>
            <w:tcW w:w="2072" w:type="dxa"/>
            <w:tcBorders>
              <w:top w:val="single" w:sz="4" w:space="0" w:color="000000"/>
              <w:left w:val="single" w:sz="4" w:space="0" w:color="000000"/>
              <w:bottom w:val="single" w:sz="4" w:space="0" w:color="000000"/>
            </w:tcBorders>
            <w:shd w:val="clear" w:color="auto" w:fill="auto"/>
            <w:vAlign w:val="center"/>
          </w:tcPr>
          <w:p w14:paraId="4339366F" w14:textId="77777777" w:rsidR="00AF6F34" w:rsidRDefault="00AF6F34">
            <w:pPr>
              <w:widowControl/>
              <w:spacing w:line="240" w:lineRule="auto"/>
              <w:jc w:val="center"/>
              <w:textAlignment w:val="auto"/>
            </w:pPr>
            <w:r>
              <w:rPr>
                <w:rFonts w:ascii="宋体" w:hAnsi="宋体" w:cs="Arial" w:hint="eastAsia"/>
                <w:sz w:val="18"/>
              </w:rPr>
              <w:t>可比实例</w:t>
            </w:r>
            <w:r>
              <w:rPr>
                <w:rFonts w:ascii="Arial" w:hAnsi="Arial" w:cs="Arial"/>
                <w:sz w:val="18"/>
              </w:rPr>
              <w:t>1</w:t>
            </w:r>
          </w:p>
        </w:tc>
        <w:tc>
          <w:tcPr>
            <w:tcW w:w="2072" w:type="dxa"/>
            <w:tcBorders>
              <w:top w:val="single" w:sz="4" w:space="0" w:color="000000"/>
              <w:left w:val="single" w:sz="4" w:space="0" w:color="000000"/>
              <w:bottom w:val="single" w:sz="4" w:space="0" w:color="000000"/>
            </w:tcBorders>
            <w:shd w:val="clear" w:color="auto" w:fill="auto"/>
            <w:vAlign w:val="center"/>
          </w:tcPr>
          <w:p w14:paraId="04EA1D04" w14:textId="77777777" w:rsidR="00AF6F34" w:rsidRDefault="00AF6F34">
            <w:pPr>
              <w:widowControl/>
              <w:spacing w:line="240" w:lineRule="auto"/>
              <w:jc w:val="center"/>
              <w:textAlignment w:val="auto"/>
            </w:pPr>
            <w:r>
              <w:rPr>
                <w:rFonts w:ascii="宋体" w:hAnsi="宋体" w:cs="Arial" w:hint="eastAsia"/>
                <w:sz w:val="18"/>
              </w:rPr>
              <w:t>可比实例</w:t>
            </w:r>
            <w:r>
              <w:rPr>
                <w:rFonts w:ascii="Arial" w:hAnsi="Arial" w:cs="Arial"/>
                <w:sz w:val="18"/>
              </w:rPr>
              <w:t>2</w:t>
            </w:r>
          </w:p>
        </w:tc>
        <w:tc>
          <w:tcPr>
            <w:tcW w:w="2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7CA04" w14:textId="77777777" w:rsidR="00AF6F34" w:rsidRDefault="00AF6F34">
            <w:pPr>
              <w:widowControl/>
              <w:spacing w:line="240" w:lineRule="auto"/>
              <w:jc w:val="center"/>
              <w:textAlignment w:val="auto"/>
            </w:pPr>
            <w:r>
              <w:rPr>
                <w:rFonts w:ascii="宋体" w:hAnsi="宋体" w:cs="Arial" w:hint="eastAsia"/>
                <w:sz w:val="18"/>
              </w:rPr>
              <w:t>可比案例</w:t>
            </w:r>
            <w:r>
              <w:rPr>
                <w:rFonts w:ascii="Arial" w:hAnsi="Arial" w:cs="Arial"/>
                <w:sz w:val="18"/>
              </w:rPr>
              <w:t>3</w:t>
            </w:r>
          </w:p>
        </w:tc>
      </w:tr>
      <w:tr w:rsidR="00AF6F34" w14:paraId="57BCC528" w14:textId="77777777">
        <w:trPr>
          <w:trHeight w:val="270"/>
          <w:tblHeader/>
        </w:trPr>
        <w:tc>
          <w:tcPr>
            <w:tcW w:w="1238" w:type="dxa"/>
            <w:gridSpan w:val="2"/>
            <w:tcBorders>
              <w:top w:val="single" w:sz="4" w:space="0" w:color="000000"/>
              <w:left w:val="single" w:sz="4" w:space="0" w:color="000000"/>
              <w:bottom w:val="single" w:sz="4" w:space="0" w:color="000000"/>
            </w:tcBorders>
            <w:shd w:val="clear" w:color="auto" w:fill="auto"/>
            <w:vAlign w:val="center"/>
          </w:tcPr>
          <w:p w14:paraId="59227620" w14:textId="77777777" w:rsidR="00AF6F34" w:rsidRDefault="00AF6F34">
            <w:pPr>
              <w:widowControl/>
              <w:spacing w:line="240" w:lineRule="auto"/>
              <w:jc w:val="center"/>
              <w:textAlignment w:val="auto"/>
            </w:pPr>
            <w:r>
              <w:rPr>
                <w:rFonts w:ascii="宋体" w:hAnsi="宋体" w:cs="Arial" w:hint="eastAsia"/>
                <w:sz w:val="18"/>
              </w:rPr>
              <w:t>小区名称</w:t>
            </w:r>
          </w:p>
        </w:tc>
        <w:tc>
          <w:tcPr>
            <w:tcW w:w="2061" w:type="dxa"/>
            <w:tcBorders>
              <w:left w:val="single" w:sz="4" w:space="0" w:color="000000"/>
              <w:bottom w:val="single" w:sz="4" w:space="0" w:color="000000"/>
            </w:tcBorders>
            <w:shd w:val="clear" w:color="auto" w:fill="auto"/>
            <w:vAlign w:val="center"/>
          </w:tcPr>
          <w:p w14:paraId="1A1A8903" w14:textId="77777777" w:rsidR="00AF6F34" w:rsidRDefault="00AF6F34">
            <w:pPr>
              <w:widowControl/>
              <w:spacing w:line="240" w:lineRule="auto"/>
              <w:jc w:val="center"/>
              <w:textAlignment w:val="auto"/>
            </w:pPr>
            <w:r>
              <w:rPr>
                <w:rFonts w:ascii="宋体" w:hAnsi="宋体" w:cs="Arial" w:hint="eastAsia"/>
                <w:sz w:val="18"/>
              </w:rPr>
              <w:t>南海家园</w:t>
            </w:r>
          </w:p>
        </w:tc>
        <w:tc>
          <w:tcPr>
            <w:tcW w:w="2072" w:type="dxa"/>
            <w:tcBorders>
              <w:left w:val="single" w:sz="4" w:space="0" w:color="000000"/>
              <w:bottom w:val="single" w:sz="4" w:space="0" w:color="000000"/>
            </w:tcBorders>
            <w:shd w:val="clear" w:color="auto" w:fill="auto"/>
            <w:vAlign w:val="center"/>
          </w:tcPr>
          <w:p w14:paraId="0706F456" w14:textId="77777777" w:rsidR="00AF6F34" w:rsidRDefault="00AF6F34">
            <w:pPr>
              <w:widowControl/>
              <w:spacing w:line="240" w:lineRule="auto"/>
              <w:jc w:val="center"/>
              <w:textAlignment w:val="auto"/>
            </w:pPr>
            <w:r>
              <w:rPr>
                <w:rFonts w:ascii="Arial" w:hAnsi="Arial" w:cs="Arial" w:hint="eastAsia"/>
                <w:sz w:val="18"/>
              </w:rPr>
              <w:t>鹿海园</w:t>
            </w:r>
          </w:p>
        </w:tc>
        <w:tc>
          <w:tcPr>
            <w:tcW w:w="2072" w:type="dxa"/>
            <w:tcBorders>
              <w:left w:val="single" w:sz="4" w:space="0" w:color="000000"/>
              <w:bottom w:val="single" w:sz="4" w:space="0" w:color="000000"/>
            </w:tcBorders>
            <w:shd w:val="clear" w:color="auto" w:fill="auto"/>
            <w:vAlign w:val="center"/>
          </w:tcPr>
          <w:p w14:paraId="30D83C38" w14:textId="77777777" w:rsidR="00AF6F34" w:rsidRDefault="00AF6F34">
            <w:pPr>
              <w:widowControl/>
              <w:spacing w:line="240" w:lineRule="auto"/>
              <w:jc w:val="center"/>
              <w:textAlignment w:val="auto"/>
            </w:pPr>
            <w:r>
              <w:rPr>
                <w:rFonts w:ascii="Arial" w:hAnsi="Arial" w:cs="Arial" w:hint="eastAsia"/>
                <w:sz w:val="18"/>
              </w:rPr>
              <w:t>泰河园</w:t>
            </w:r>
          </w:p>
        </w:tc>
        <w:tc>
          <w:tcPr>
            <w:tcW w:w="2082" w:type="dxa"/>
            <w:tcBorders>
              <w:left w:val="single" w:sz="4" w:space="0" w:color="000000"/>
              <w:bottom w:val="single" w:sz="4" w:space="0" w:color="000000"/>
              <w:right w:val="single" w:sz="4" w:space="0" w:color="000000"/>
            </w:tcBorders>
            <w:shd w:val="clear" w:color="auto" w:fill="auto"/>
            <w:vAlign w:val="center"/>
          </w:tcPr>
          <w:p w14:paraId="728AF3ED" w14:textId="77777777" w:rsidR="00AF6F34" w:rsidRDefault="00830400">
            <w:pPr>
              <w:widowControl/>
              <w:spacing w:line="240" w:lineRule="auto"/>
              <w:jc w:val="center"/>
              <w:textAlignment w:val="auto"/>
            </w:pPr>
            <w:r>
              <w:rPr>
                <w:rFonts w:ascii="Arial" w:hAnsi="Arial" w:cs="Arial" w:hint="eastAsia"/>
                <w:sz w:val="18"/>
              </w:rPr>
              <w:t>和悦华锦</w:t>
            </w:r>
          </w:p>
        </w:tc>
      </w:tr>
      <w:tr w:rsidR="00AF6F34" w14:paraId="677992E5" w14:textId="77777777">
        <w:trPr>
          <w:trHeight w:val="270"/>
        </w:trPr>
        <w:tc>
          <w:tcPr>
            <w:tcW w:w="1238" w:type="dxa"/>
            <w:gridSpan w:val="2"/>
            <w:tcBorders>
              <w:top w:val="single" w:sz="4" w:space="0" w:color="000000"/>
              <w:left w:val="single" w:sz="4" w:space="0" w:color="000000"/>
              <w:bottom w:val="single" w:sz="4" w:space="0" w:color="000000"/>
            </w:tcBorders>
            <w:shd w:val="clear" w:color="auto" w:fill="auto"/>
            <w:vAlign w:val="center"/>
          </w:tcPr>
          <w:p w14:paraId="7FE46552" w14:textId="77777777" w:rsidR="00AF6F34" w:rsidRDefault="00AF6F34">
            <w:pPr>
              <w:widowControl/>
              <w:spacing w:line="240" w:lineRule="auto"/>
              <w:jc w:val="center"/>
              <w:textAlignment w:val="auto"/>
            </w:pPr>
            <w:r>
              <w:rPr>
                <w:rFonts w:ascii="宋体" w:hAnsi="宋体" w:cs="Arial" w:hint="eastAsia"/>
                <w:sz w:val="18"/>
              </w:rPr>
              <w:t>平均租金（元</w:t>
            </w:r>
            <w:r>
              <w:rPr>
                <w:rFonts w:ascii="Arial" w:hAnsi="Arial" w:cs="Arial"/>
                <w:sz w:val="18"/>
              </w:rPr>
              <w:t>/</w:t>
            </w:r>
            <w:r>
              <w:rPr>
                <w:rFonts w:ascii="宋体" w:hAnsi="宋体" w:cs="Arial" w:hint="eastAsia"/>
                <w:sz w:val="18"/>
              </w:rPr>
              <w:t>平方米</w:t>
            </w:r>
            <w:r>
              <w:rPr>
                <w:rFonts w:ascii="Arial" w:hAnsi="Arial" w:cs="Arial"/>
                <w:sz w:val="18"/>
              </w:rPr>
              <w:t>·</w:t>
            </w:r>
            <w:r>
              <w:rPr>
                <w:rFonts w:ascii="宋体" w:hAnsi="宋体" w:cs="Arial" w:hint="eastAsia"/>
                <w:sz w:val="18"/>
              </w:rPr>
              <w:t>月）</w:t>
            </w:r>
          </w:p>
        </w:tc>
        <w:tc>
          <w:tcPr>
            <w:tcW w:w="2061" w:type="dxa"/>
            <w:tcBorders>
              <w:left w:val="single" w:sz="4" w:space="0" w:color="000000"/>
              <w:bottom w:val="single" w:sz="4" w:space="0" w:color="000000"/>
            </w:tcBorders>
            <w:shd w:val="clear" w:color="auto" w:fill="auto"/>
            <w:vAlign w:val="center"/>
          </w:tcPr>
          <w:p w14:paraId="780FFA2A" w14:textId="77777777" w:rsidR="00AF6F34" w:rsidRDefault="00AF6F34">
            <w:pPr>
              <w:widowControl/>
              <w:spacing w:line="240" w:lineRule="auto"/>
              <w:jc w:val="center"/>
              <w:textAlignment w:val="auto"/>
            </w:pPr>
            <w:r>
              <w:rPr>
                <w:rFonts w:ascii="宋体" w:hAnsi="宋体" w:cs="Arial" w:hint="eastAsia"/>
                <w:sz w:val="18"/>
              </w:rPr>
              <w:t>待估</w:t>
            </w:r>
          </w:p>
        </w:tc>
        <w:tc>
          <w:tcPr>
            <w:tcW w:w="2072" w:type="dxa"/>
            <w:tcBorders>
              <w:left w:val="single" w:sz="4" w:space="0" w:color="000000"/>
              <w:bottom w:val="single" w:sz="4" w:space="0" w:color="000000"/>
            </w:tcBorders>
            <w:shd w:val="clear" w:color="auto" w:fill="auto"/>
            <w:vAlign w:val="center"/>
          </w:tcPr>
          <w:p w14:paraId="17FD155F" w14:textId="005BCA27" w:rsidR="00AF6F34" w:rsidRDefault="00467FB2">
            <w:pPr>
              <w:widowControl/>
              <w:spacing w:line="240" w:lineRule="auto"/>
              <w:jc w:val="center"/>
            </w:pPr>
            <w:r>
              <w:rPr>
                <w:rFonts w:ascii="Arial" w:hAnsi="Arial" w:cs="Arial"/>
                <w:sz w:val="18"/>
              </w:rPr>
              <w:t>54.19</w:t>
            </w:r>
          </w:p>
        </w:tc>
        <w:tc>
          <w:tcPr>
            <w:tcW w:w="2072" w:type="dxa"/>
            <w:tcBorders>
              <w:left w:val="single" w:sz="4" w:space="0" w:color="000000"/>
              <w:bottom w:val="single" w:sz="4" w:space="0" w:color="000000"/>
            </w:tcBorders>
            <w:shd w:val="clear" w:color="auto" w:fill="auto"/>
            <w:vAlign w:val="center"/>
          </w:tcPr>
          <w:p w14:paraId="63299794" w14:textId="07AA5DCB" w:rsidR="00AF6F34" w:rsidRDefault="00467FB2">
            <w:pPr>
              <w:widowControl/>
              <w:spacing w:line="240" w:lineRule="auto"/>
              <w:jc w:val="center"/>
            </w:pPr>
            <w:r>
              <w:rPr>
                <w:rFonts w:ascii="Arial" w:hAnsi="Arial" w:cs="Arial"/>
                <w:sz w:val="18"/>
              </w:rPr>
              <w:t>55.58</w:t>
            </w:r>
          </w:p>
        </w:tc>
        <w:tc>
          <w:tcPr>
            <w:tcW w:w="2082" w:type="dxa"/>
            <w:tcBorders>
              <w:left w:val="single" w:sz="4" w:space="0" w:color="000000"/>
              <w:bottom w:val="single" w:sz="4" w:space="0" w:color="000000"/>
              <w:right w:val="single" w:sz="4" w:space="0" w:color="000000"/>
            </w:tcBorders>
            <w:shd w:val="clear" w:color="auto" w:fill="auto"/>
            <w:vAlign w:val="center"/>
          </w:tcPr>
          <w:p w14:paraId="4DA90033" w14:textId="34452F90" w:rsidR="00AF6F34" w:rsidRDefault="00467FB2">
            <w:pPr>
              <w:widowControl/>
              <w:spacing w:line="240" w:lineRule="auto"/>
              <w:jc w:val="center"/>
            </w:pPr>
            <w:r>
              <w:rPr>
                <w:rFonts w:ascii="Arial" w:hAnsi="Arial" w:cs="Arial"/>
                <w:sz w:val="18"/>
              </w:rPr>
              <w:t>52.34</w:t>
            </w:r>
          </w:p>
        </w:tc>
      </w:tr>
      <w:tr w:rsidR="00AF6F34" w14:paraId="24F53D88" w14:textId="77777777">
        <w:trPr>
          <w:trHeight w:val="495"/>
        </w:trPr>
        <w:tc>
          <w:tcPr>
            <w:tcW w:w="1238" w:type="dxa"/>
            <w:gridSpan w:val="2"/>
            <w:tcBorders>
              <w:top w:val="single" w:sz="4" w:space="0" w:color="000000"/>
              <w:left w:val="single" w:sz="4" w:space="0" w:color="000000"/>
              <w:bottom w:val="single" w:sz="4" w:space="0" w:color="000000"/>
            </w:tcBorders>
            <w:shd w:val="clear" w:color="auto" w:fill="auto"/>
            <w:vAlign w:val="center"/>
          </w:tcPr>
          <w:p w14:paraId="3E054A63" w14:textId="77777777" w:rsidR="00AF6F34" w:rsidRDefault="00AF6F34">
            <w:pPr>
              <w:widowControl/>
              <w:spacing w:line="240" w:lineRule="auto"/>
              <w:jc w:val="center"/>
              <w:textAlignment w:val="auto"/>
            </w:pPr>
            <w:r>
              <w:rPr>
                <w:rFonts w:ascii="宋体" w:hAnsi="宋体" w:cs="Arial" w:hint="eastAsia"/>
                <w:sz w:val="18"/>
              </w:rPr>
              <w:t>交易时间</w:t>
            </w:r>
          </w:p>
        </w:tc>
        <w:tc>
          <w:tcPr>
            <w:tcW w:w="2061" w:type="dxa"/>
            <w:tcBorders>
              <w:left w:val="single" w:sz="4" w:space="0" w:color="000000"/>
              <w:bottom w:val="single" w:sz="4" w:space="0" w:color="000000"/>
            </w:tcBorders>
            <w:shd w:val="clear" w:color="auto" w:fill="auto"/>
            <w:vAlign w:val="center"/>
          </w:tcPr>
          <w:p w14:paraId="6C0380B8" w14:textId="77777777" w:rsidR="00AF6F34" w:rsidRDefault="00AF6F34">
            <w:pPr>
              <w:widowControl/>
              <w:spacing w:line="240" w:lineRule="auto"/>
              <w:jc w:val="center"/>
              <w:textAlignment w:val="auto"/>
            </w:pPr>
            <w:r>
              <w:rPr>
                <w:rFonts w:ascii="宋体" w:hAnsi="宋体" w:cs="Arial" w:hint="eastAsia"/>
                <w:sz w:val="18"/>
              </w:rPr>
              <w:t>于价值时点过去</w:t>
            </w:r>
            <w:r>
              <w:rPr>
                <w:rFonts w:ascii="Arial" w:hAnsi="Arial" w:cs="Arial"/>
                <w:sz w:val="18"/>
              </w:rPr>
              <w:t>12</w:t>
            </w:r>
            <w:r>
              <w:rPr>
                <w:rFonts w:ascii="宋体" w:hAnsi="宋体" w:cs="Arial" w:hint="eastAsia"/>
                <w:sz w:val="18"/>
              </w:rPr>
              <w:t>个月</w:t>
            </w:r>
          </w:p>
        </w:tc>
        <w:tc>
          <w:tcPr>
            <w:tcW w:w="2072" w:type="dxa"/>
            <w:tcBorders>
              <w:left w:val="single" w:sz="4" w:space="0" w:color="000000"/>
              <w:bottom w:val="single" w:sz="4" w:space="0" w:color="000000"/>
            </w:tcBorders>
            <w:shd w:val="clear" w:color="auto" w:fill="auto"/>
            <w:vAlign w:val="center"/>
          </w:tcPr>
          <w:p w14:paraId="5D6DFAFE" w14:textId="77777777" w:rsidR="00AF6F34" w:rsidRDefault="00AF6F34">
            <w:pPr>
              <w:widowControl/>
              <w:spacing w:line="240" w:lineRule="auto"/>
              <w:jc w:val="center"/>
              <w:textAlignment w:val="auto"/>
            </w:pPr>
            <w:r>
              <w:rPr>
                <w:rFonts w:ascii="宋体" w:hAnsi="宋体" w:cs="Arial" w:hint="eastAsia"/>
                <w:sz w:val="18"/>
              </w:rPr>
              <w:t>于价值时点过去</w:t>
            </w:r>
            <w:r>
              <w:rPr>
                <w:rFonts w:ascii="Arial" w:hAnsi="Arial" w:cs="Arial"/>
                <w:sz w:val="18"/>
              </w:rPr>
              <w:t>12</w:t>
            </w:r>
            <w:r>
              <w:rPr>
                <w:rFonts w:ascii="宋体" w:hAnsi="宋体" w:cs="Arial" w:hint="eastAsia"/>
                <w:sz w:val="18"/>
              </w:rPr>
              <w:t>个月</w:t>
            </w:r>
          </w:p>
        </w:tc>
        <w:tc>
          <w:tcPr>
            <w:tcW w:w="2072" w:type="dxa"/>
            <w:tcBorders>
              <w:left w:val="single" w:sz="4" w:space="0" w:color="000000"/>
              <w:bottom w:val="single" w:sz="4" w:space="0" w:color="000000"/>
            </w:tcBorders>
            <w:shd w:val="clear" w:color="auto" w:fill="auto"/>
            <w:vAlign w:val="center"/>
          </w:tcPr>
          <w:p w14:paraId="5F42CEB1" w14:textId="77777777" w:rsidR="00AF6F34" w:rsidRDefault="00AF6F34">
            <w:pPr>
              <w:widowControl/>
              <w:spacing w:line="240" w:lineRule="auto"/>
              <w:jc w:val="center"/>
              <w:textAlignment w:val="auto"/>
            </w:pPr>
            <w:r>
              <w:rPr>
                <w:rFonts w:ascii="宋体" w:hAnsi="宋体" w:cs="Arial" w:hint="eastAsia"/>
                <w:sz w:val="18"/>
              </w:rPr>
              <w:t>于价值时点过去</w:t>
            </w:r>
            <w:r>
              <w:rPr>
                <w:rFonts w:ascii="Arial" w:hAnsi="Arial" w:cs="Arial"/>
                <w:sz w:val="18"/>
              </w:rPr>
              <w:t>12</w:t>
            </w:r>
            <w:r>
              <w:rPr>
                <w:rFonts w:ascii="宋体" w:hAnsi="宋体" w:cs="Arial" w:hint="eastAsia"/>
                <w:sz w:val="18"/>
              </w:rPr>
              <w:t>个月</w:t>
            </w:r>
          </w:p>
        </w:tc>
        <w:tc>
          <w:tcPr>
            <w:tcW w:w="2082" w:type="dxa"/>
            <w:tcBorders>
              <w:left w:val="single" w:sz="4" w:space="0" w:color="000000"/>
              <w:bottom w:val="single" w:sz="4" w:space="0" w:color="000000"/>
              <w:right w:val="single" w:sz="4" w:space="0" w:color="000000"/>
            </w:tcBorders>
            <w:shd w:val="clear" w:color="auto" w:fill="auto"/>
            <w:vAlign w:val="center"/>
          </w:tcPr>
          <w:p w14:paraId="21005623" w14:textId="77777777" w:rsidR="00AF6F34" w:rsidRDefault="00AF6F34">
            <w:pPr>
              <w:widowControl/>
              <w:spacing w:line="240" w:lineRule="auto"/>
              <w:jc w:val="center"/>
              <w:textAlignment w:val="auto"/>
            </w:pPr>
            <w:r>
              <w:rPr>
                <w:rFonts w:ascii="宋体" w:hAnsi="宋体" w:cs="Arial" w:hint="eastAsia"/>
                <w:sz w:val="18"/>
              </w:rPr>
              <w:t>于价值时点过去</w:t>
            </w:r>
            <w:r>
              <w:rPr>
                <w:rFonts w:ascii="Arial" w:hAnsi="Arial" w:cs="Arial"/>
                <w:sz w:val="18"/>
              </w:rPr>
              <w:t>12</w:t>
            </w:r>
            <w:r>
              <w:rPr>
                <w:rFonts w:ascii="宋体" w:hAnsi="宋体" w:cs="Arial" w:hint="eastAsia"/>
                <w:sz w:val="18"/>
              </w:rPr>
              <w:t>个月</w:t>
            </w:r>
          </w:p>
        </w:tc>
      </w:tr>
      <w:tr w:rsidR="00AF6F34" w14:paraId="1A64C27E" w14:textId="77777777">
        <w:trPr>
          <w:trHeight w:val="270"/>
        </w:trPr>
        <w:tc>
          <w:tcPr>
            <w:tcW w:w="1238" w:type="dxa"/>
            <w:gridSpan w:val="2"/>
            <w:tcBorders>
              <w:top w:val="single" w:sz="4" w:space="0" w:color="000000"/>
              <w:left w:val="single" w:sz="4" w:space="0" w:color="000000"/>
              <w:bottom w:val="single" w:sz="4" w:space="0" w:color="000000"/>
            </w:tcBorders>
            <w:shd w:val="clear" w:color="auto" w:fill="auto"/>
            <w:vAlign w:val="center"/>
          </w:tcPr>
          <w:p w14:paraId="6F464273" w14:textId="77777777" w:rsidR="00AF6F34" w:rsidRDefault="00AF6F34">
            <w:pPr>
              <w:widowControl/>
              <w:spacing w:line="240" w:lineRule="auto"/>
              <w:jc w:val="center"/>
              <w:textAlignment w:val="auto"/>
            </w:pPr>
            <w:r>
              <w:rPr>
                <w:rFonts w:ascii="宋体" w:hAnsi="宋体" w:cs="Arial" w:hint="eastAsia"/>
                <w:sz w:val="18"/>
              </w:rPr>
              <w:t>交易情况</w:t>
            </w:r>
          </w:p>
        </w:tc>
        <w:tc>
          <w:tcPr>
            <w:tcW w:w="2061" w:type="dxa"/>
            <w:tcBorders>
              <w:left w:val="single" w:sz="4" w:space="0" w:color="000000"/>
              <w:bottom w:val="single" w:sz="4" w:space="0" w:color="000000"/>
            </w:tcBorders>
            <w:shd w:val="clear" w:color="auto" w:fill="auto"/>
            <w:vAlign w:val="center"/>
          </w:tcPr>
          <w:p w14:paraId="757030E2" w14:textId="77777777" w:rsidR="00AF6F34" w:rsidRDefault="00AF6F34">
            <w:pPr>
              <w:widowControl/>
              <w:spacing w:line="240" w:lineRule="auto"/>
              <w:jc w:val="center"/>
              <w:textAlignment w:val="auto"/>
            </w:pPr>
            <w:r>
              <w:rPr>
                <w:rFonts w:ascii="宋体" w:hAnsi="宋体" w:cs="Arial" w:hint="eastAsia"/>
                <w:sz w:val="18"/>
              </w:rPr>
              <w:t>正常</w:t>
            </w:r>
          </w:p>
        </w:tc>
        <w:tc>
          <w:tcPr>
            <w:tcW w:w="2072" w:type="dxa"/>
            <w:tcBorders>
              <w:left w:val="single" w:sz="4" w:space="0" w:color="000000"/>
              <w:bottom w:val="single" w:sz="4" w:space="0" w:color="000000"/>
            </w:tcBorders>
            <w:shd w:val="clear" w:color="auto" w:fill="auto"/>
            <w:vAlign w:val="center"/>
          </w:tcPr>
          <w:p w14:paraId="6C1038B9" w14:textId="77777777" w:rsidR="00AF6F34" w:rsidRDefault="00AF6F34">
            <w:pPr>
              <w:widowControl/>
              <w:spacing w:line="240" w:lineRule="auto"/>
              <w:jc w:val="center"/>
              <w:textAlignment w:val="auto"/>
            </w:pPr>
            <w:r>
              <w:rPr>
                <w:rFonts w:ascii="宋体" w:hAnsi="宋体" w:cs="Arial" w:hint="eastAsia"/>
                <w:sz w:val="18"/>
              </w:rPr>
              <w:t>正常</w:t>
            </w:r>
          </w:p>
        </w:tc>
        <w:tc>
          <w:tcPr>
            <w:tcW w:w="2072" w:type="dxa"/>
            <w:tcBorders>
              <w:left w:val="single" w:sz="4" w:space="0" w:color="000000"/>
              <w:bottom w:val="single" w:sz="4" w:space="0" w:color="000000"/>
            </w:tcBorders>
            <w:shd w:val="clear" w:color="auto" w:fill="auto"/>
            <w:vAlign w:val="center"/>
          </w:tcPr>
          <w:p w14:paraId="455CFD54" w14:textId="77777777" w:rsidR="00AF6F34" w:rsidRDefault="00AF6F34">
            <w:pPr>
              <w:widowControl/>
              <w:spacing w:line="240" w:lineRule="auto"/>
              <w:jc w:val="center"/>
              <w:textAlignment w:val="auto"/>
            </w:pPr>
            <w:r>
              <w:rPr>
                <w:rFonts w:ascii="宋体" w:hAnsi="宋体" w:cs="Arial" w:hint="eastAsia"/>
                <w:sz w:val="18"/>
              </w:rPr>
              <w:t>正常</w:t>
            </w:r>
          </w:p>
        </w:tc>
        <w:tc>
          <w:tcPr>
            <w:tcW w:w="2082" w:type="dxa"/>
            <w:tcBorders>
              <w:left w:val="single" w:sz="4" w:space="0" w:color="000000"/>
              <w:bottom w:val="single" w:sz="4" w:space="0" w:color="000000"/>
              <w:right w:val="single" w:sz="4" w:space="0" w:color="000000"/>
            </w:tcBorders>
            <w:shd w:val="clear" w:color="auto" w:fill="auto"/>
            <w:vAlign w:val="center"/>
          </w:tcPr>
          <w:p w14:paraId="1B6F5D8E" w14:textId="77777777" w:rsidR="00AF6F34" w:rsidRDefault="00AF6F34">
            <w:pPr>
              <w:widowControl/>
              <w:spacing w:line="240" w:lineRule="auto"/>
              <w:jc w:val="center"/>
              <w:textAlignment w:val="auto"/>
            </w:pPr>
            <w:r>
              <w:rPr>
                <w:rFonts w:ascii="宋体" w:hAnsi="宋体" w:cs="Arial" w:hint="eastAsia"/>
                <w:sz w:val="18"/>
              </w:rPr>
              <w:t>正常</w:t>
            </w:r>
          </w:p>
        </w:tc>
      </w:tr>
      <w:tr w:rsidR="00AF6F34" w14:paraId="0FB8538A" w14:textId="77777777">
        <w:trPr>
          <w:trHeight w:val="241"/>
        </w:trPr>
        <w:tc>
          <w:tcPr>
            <w:tcW w:w="428" w:type="dxa"/>
            <w:vMerge w:val="restart"/>
            <w:tcBorders>
              <w:left w:val="single" w:sz="4" w:space="0" w:color="000000"/>
              <w:bottom w:val="single" w:sz="4" w:space="0" w:color="000000"/>
            </w:tcBorders>
            <w:shd w:val="clear" w:color="auto" w:fill="auto"/>
            <w:vAlign w:val="center"/>
          </w:tcPr>
          <w:p w14:paraId="26860E34" w14:textId="77777777" w:rsidR="00AF6F34" w:rsidRDefault="00AF6F34">
            <w:pPr>
              <w:widowControl/>
              <w:spacing w:line="240" w:lineRule="auto"/>
              <w:jc w:val="center"/>
              <w:textAlignment w:val="auto"/>
            </w:pPr>
            <w:r>
              <w:rPr>
                <w:rFonts w:ascii="宋体" w:hAnsi="宋体" w:cs="Arial" w:hint="eastAsia"/>
                <w:color w:val="000000"/>
                <w:sz w:val="18"/>
                <w:szCs w:val="22"/>
              </w:rPr>
              <w:t>区域状况</w:t>
            </w:r>
          </w:p>
        </w:tc>
        <w:tc>
          <w:tcPr>
            <w:tcW w:w="810" w:type="dxa"/>
            <w:tcBorders>
              <w:left w:val="single" w:sz="4" w:space="0" w:color="000000"/>
              <w:bottom w:val="single" w:sz="4" w:space="0" w:color="000000"/>
            </w:tcBorders>
            <w:shd w:val="clear" w:color="auto" w:fill="auto"/>
            <w:vAlign w:val="center"/>
          </w:tcPr>
          <w:p w14:paraId="7FDB9DBB" w14:textId="77777777" w:rsidR="00AF6F34" w:rsidRDefault="00AF6F34">
            <w:pPr>
              <w:widowControl/>
              <w:spacing w:line="240" w:lineRule="auto"/>
              <w:jc w:val="center"/>
              <w:textAlignment w:val="auto"/>
            </w:pPr>
            <w:r>
              <w:rPr>
                <w:rFonts w:ascii="宋体" w:hAnsi="宋体" w:cs="Arial" w:hint="eastAsia"/>
                <w:sz w:val="18"/>
              </w:rPr>
              <w:t>居住区成熟度</w:t>
            </w:r>
          </w:p>
        </w:tc>
        <w:tc>
          <w:tcPr>
            <w:tcW w:w="2061" w:type="dxa"/>
            <w:tcBorders>
              <w:left w:val="single" w:sz="4" w:space="0" w:color="000000"/>
              <w:bottom w:val="single" w:sz="4" w:space="0" w:color="000000"/>
            </w:tcBorders>
            <w:shd w:val="clear" w:color="auto" w:fill="auto"/>
            <w:vAlign w:val="center"/>
          </w:tcPr>
          <w:p w14:paraId="273EFBA8" w14:textId="77777777" w:rsidR="00AF6F34" w:rsidRDefault="00AF6F34">
            <w:pPr>
              <w:widowControl/>
              <w:spacing w:line="240" w:lineRule="auto"/>
              <w:jc w:val="center"/>
              <w:textAlignment w:val="auto"/>
            </w:pPr>
            <w:r>
              <w:rPr>
                <w:rFonts w:ascii="宋体" w:hAnsi="宋体" w:cs="Arial" w:hint="eastAsia"/>
                <w:sz w:val="18"/>
              </w:rPr>
              <w:t>估价对象周边有鹿海园、泰河园、</w:t>
            </w:r>
            <w:r w:rsidR="00830400">
              <w:rPr>
                <w:rFonts w:ascii="宋体" w:hAnsi="宋体" w:cs="Arial" w:hint="eastAsia"/>
                <w:sz w:val="18"/>
              </w:rPr>
              <w:t>和悦华锦</w:t>
            </w:r>
            <w:r>
              <w:rPr>
                <w:rFonts w:ascii="宋体" w:hAnsi="宋体" w:cs="Arial" w:hint="eastAsia"/>
                <w:sz w:val="18"/>
              </w:rPr>
              <w:t>等居住小区，居住小区规模较大，入住率较高，综合评价居住区成熟度较好。</w:t>
            </w:r>
          </w:p>
        </w:tc>
        <w:tc>
          <w:tcPr>
            <w:tcW w:w="2072" w:type="dxa"/>
            <w:tcBorders>
              <w:left w:val="single" w:sz="4" w:space="0" w:color="000000"/>
              <w:bottom w:val="single" w:sz="4" w:space="0" w:color="000000"/>
            </w:tcBorders>
            <w:shd w:val="clear" w:color="auto" w:fill="auto"/>
            <w:vAlign w:val="center"/>
          </w:tcPr>
          <w:p w14:paraId="36492516" w14:textId="77777777" w:rsidR="00AF6F34" w:rsidRDefault="00AF6F34">
            <w:pPr>
              <w:widowControl/>
              <w:spacing w:line="240" w:lineRule="auto"/>
              <w:jc w:val="center"/>
              <w:textAlignment w:val="auto"/>
            </w:pPr>
            <w:r>
              <w:rPr>
                <w:rFonts w:ascii="宋体" w:hAnsi="宋体" w:cs="Arial" w:hint="eastAsia"/>
                <w:sz w:val="18"/>
              </w:rPr>
              <w:t>可比实例1周边有南海家园、泰河园、</w:t>
            </w:r>
            <w:r w:rsidR="00830400">
              <w:rPr>
                <w:rFonts w:ascii="宋体" w:hAnsi="宋体" w:cs="Arial" w:hint="eastAsia"/>
                <w:sz w:val="18"/>
              </w:rPr>
              <w:t>和悦华锦</w:t>
            </w:r>
            <w:r>
              <w:rPr>
                <w:rFonts w:ascii="宋体" w:hAnsi="宋体" w:cs="Arial" w:hint="eastAsia"/>
                <w:sz w:val="18"/>
              </w:rPr>
              <w:t>等居住小区居住小区，居住小区规模较大，入住率较高，综合评价居住区成熟度较好。</w:t>
            </w:r>
          </w:p>
        </w:tc>
        <w:tc>
          <w:tcPr>
            <w:tcW w:w="2072" w:type="dxa"/>
            <w:tcBorders>
              <w:left w:val="single" w:sz="4" w:space="0" w:color="000000"/>
              <w:bottom w:val="single" w:sz="4" w:space="0" w:color="000000"/>
            </w:tcBorders>
            <w:shd w:val="clear" w:color="auto" w:fill="auto"/>
            <w:vAlign w:val="center"/>
          </w:tcPr>
          <w:p w14:paraId="2F209AA7" w14:textId="77777777" w:rsidR="00AF6F34" w:rsidRDefault="00AF6F34">
            <w:pPr>
              <w:widowControl/>
              <w:spacing w:line="240" w:lineRule="auto"/>
              <w:jc w:val="center"/>
              <w:textAlignment w:val="auto"/>
            </w:pPr>
            <w:r>
              <w:rPr>
                <w:rFonts w:ascii="宋体" w:hAnsi="宋体" w:cs="Arial" w:hint="eastAsia"/>
                <w:sz w:val="18"/>
              </w:rPr>
              <w:t>可比实例2周边有鹿海园、南海家园、</w:t>
            </w:r>
            <w:r w:rsidR="00830400">
              <w:rPr>
                <w:rFonts w:ascii="宋体" w:hAnsi="宋体" w:cs="Arial" w:hint="eastAsia"/>
                <w:sz w:val="18"/>
              </w:rPr>
              <w:t>和悦华锦</w:t>
            </w:r>
            <w:r>
              <w:rPr>
                <w:rFonts w:ascii="宋体" w:hAnsi="宋体" w:cs="Arial" w:hint="eastAsia"/>
                <w:sz w:val="18"/>
              </w:rPr>
              <w:t>等居住小区，居住小区规模较大，入住率较高，综合评价居住区成熟度较好。</w:t>
            </w:r>
          </w:p>
        </w:tc>
        <w:tc>
          <w:tcPr>
            <w:tcW w:w="2082" w:type="dxa"/>
            <w:tcBorders>
              <w:left w:val="single" w:sz="4" w:space="0" w:color="000000"/>
              <w:bottom w:val="single" w:sz="4" w:space="0" w:color="000000"/>
              <w:right w:val="single" w:sz="4" w:space="0" w:color="000000"/>
            </w:tcBorders>
            <w:shd w:val="clear" w:color="auto" w:fill="auto"/>
            <w:vAlign w:val="center"/>
          </w:tcPr>
          <w:p w14:paraId="10D9D475" w14:textId="77777777" w:rsidR="00AF6F34" w:rsidRDefault="00AF6F34">
            <w:pPr>
              <w:widowControl/>
              <w:spacing w:line="240" w:lineRule="auto"/>
              <w:jc w:val="center"/>
              <w:textAlignment w:val="auto"/>
            </w:pPr>
            <w:r>
              <w:rPr>
                <w:rFonts w:ascii="宋体" w:hAnsi="宋体" w:cs="Arial" w:hint="eastAsia"/>
                <w:sz w:val="18"/>
              </w:rPr>
              <w:t>可比实例3周边有鹿海园、泰河园、南海家园等居住小区，居住小区规模较大，入住率较高，综合评价居住区成熟度较好。</w:t>
            </w:r>
          </w:p>
        </w:tc>
      </w:tr>
      <w:tr w:rsidR="00AF6F34" w14:paraId="37472EED" w14:textId="77777777">
        <w:trPr>
          <w:trHeight w:val="270"/>
        </w:trPr>
        <w:tc>
          <w:tcPr>
            <w:tcW w:w="428" w:type="dxa"/>
            <w:vMerge/>
            <w:tcBorders>
              <w:left w:val="single" w:sz="4" w:space="0" w:color="000000"/>
              <w:bottom w:val="single" w:sz="4" w:space="0" w:color="000000"/>
            </w:tcBorders>
            <w:shd w:val="clear" w:color="auto" w:fill="auto"/>
            <w:vAlign w:val="center"/>
          </w:tcPr>
          <w:p w14:paraId="2D69901A"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left w:val="single" w:sz="4" w:space="0" w:color="000000"/>
              <w:bottom w:val="single" w:sz="4" w:space="0" w:color="000000"/>
            </w:tcBorders>
            <w:shd w:val="clear" w:color="auto" w:fill="auto"/>
            <w:vAlign w:val="center"/>
          </w:tcPr>
          <w:p w14:paraId="45CA0D69" w14:textId="77777777" w:rsidR="00AF6F34" w:rsidRDefault="00AF6F34">
            <w:pPr>
              <w:widowControl/>
              <w:spacing w:line="240" w:lineRule="auto"/>
              <w:jc w:val="center"/>
              <w:textAlignment w:val="auto"/>
            </w:pPr>
            <w:r>
              <w:rPr>
                <w:rFonts w:ascii="宋体" w:hAnsi="宋体" w:cs="Arial" w:hint="eastAsia"/>
                <w:sz w:val="18"/>
              </w:rPr>
              <w:t>交通条件</w:t>
            </w:r>
          </w:p>
        </w:tc>
        <w:tc>
          <w:tcPr>
            <w:tcW w:w="2061" w:type="dxa"/>
            <w:tcBorders>
              <w:left w:val="single" w:sz="4" w:space="0" w:color="000000"/>
              <w:bottom w:val="single" w:sz="4" w:space="0" w:color="000000"/>
            </w:tcBorders>
            <w:shd w:val="clear" w:color="auto" w:fill="auto"/>
            <w:vAlign w:val="center"/>
          </w:tcPr>
          <w:p w14:paraId="7371586C" w14:textId="77777777" w:rsidR="00AF6F34" w:rsidRDefault="00AF6F34">
            <w:pPr>
              <w:widowControl/>
              <w:spacing w:line="240" w:lineRule="auto"/>
              <w:jc w:val="center"/>
              <w:textAlignment w:val="auto"/>
            </w:pPr>
            <w:r>
              <w:rPr>
                <w:rFonts w:ascii="宋体" w:hAnsi="宋体" w:cs="Arial" w:hint="eastAsia"/>
                <w:sz w:val="18"/>
              </w:rPr>
              <w:t>估价对象所属项目北侧临近城市次干道——泰河路，周边有公交车站，停靠线路有兴72路、兴74路、 兴76路、兴78路、573路、580路等公交线路，距地铁亦庄T1线（泰和路站）约1.5公里，综合评价交通便捷度一般。</w:t>
            </w:r>
          </w:p>
        </w:tc>
        <w:tc>
          <w:tcPr>
            <w:tcW w:w="2072" w:type="dxa"/>
            <w:tcBorders>
              <w:left w:val="single" w:sz="4" w:space="0" w:color="000000"/>
              <w:bottom w:val="single" w:sz="4" w:space="0" w:color="000000"/>
            </w:tcBorders>
            <w:shd w:val="clear" w:color="auto" w:fill="auto"/>
            <w:vAlign w:val="center"/>
          </w:tcPr>
          <w:p w14:paraId="5E5A1AEC" w14:textId="49B82EFE" w:rsidR="00AF6F34" w:rsidRDefault="004B54A4" w:rsidP="004B54A4">
            <w:pPr>
              <w:widowControl/>
              <w:spacing w:line="240" w:lineRule="auto"/>
              <w:jc w:val="center"/>
              <w:textAlignment w:val="auto"/>
            </w:pPr>
            <w:r>
              <w:rPr>
                <w:rFonts w:ascii="宋体" w:hAnsi="宋体" w:cs="Arial" w:hint="eastAsia"/>
                <w:sz w:val="18"/>
              </w:rPr>
              <w:t>可比实例</w:t>
            </w:r>
            <w:r>
              <w:rPr>
                <w:rFonts w:ascii="宋体" w:hAnsi="宋体" w:cs="Arial"/>
                <w:sz w:val="18"/>
              </w:rPr>
              <w:t>1</w:t>
            </w:r>
            <w:r w:rsidR="00AF6F34">
              <w:rPr>
                <w:rFonts w:ascii="宋体" w:hAnsi="宋体" w:cs="Arial" w:hint="eastAsia"/>
                <w:sz w:val="18"/>
              </w:rPr>
              <w:t>所属项目北侧临近城市次干道——泰河路，周边有公交车站，停靠线路有573路、580路、</w:t>
            </w:r>
            <w:r>
              <w:rPr>
                <w:rFonts w:ascii="宋体" w:hAnsi="宋体" w:cs="Arial" w:hint="eastAsia"/>
                <w:sz w:val="18"/>
              </w:rPr>
              <w:t>5</w:t>
            </w:r>
            <w:r>
              <w:rPr>
                <w:rFonts w:ascii="宋体" w:hAnsi="宋体" w:cs="Arial"/>
                <w:sz w:val="18"/>
              </w:rPr>
              <w:t>99路、</w:t>
            </w:r>
            <w:r w:rsidR="00AF6F34">
              <w:rPr>
                <w:rFonts w:ascii="宋体" w:hAnsi="宋体" w:cs="Arial" w:hint="eastAsia"/>
                <w:sz w:val="18"/>
              </w:rPr>
              <w:t>兴</w:t>
            </w:r>
            <w:r>
              <w:rPr>
                <w:rFonts w:ascii="宋体" w:hAnsi="宋体" w:cs="Arial" w:hint="eastAsia"/>
                <w:sz w:val="18"/>
              </w:rPr>
              <w:t>5</w:t>
            </w:r>
            <w:r>
              <w:rPr>
                <w:rFonts w:ascii="宋体" w:hAnsi="宋体" w:cs="Arial"/>
                <w:sz w:val="18"/>
              </w:rPr>
              <w:t>9</w:t>
            </w:r>
            <w:r w:rsidR="00AF6F34">
              <w:rPr>
                <w:rFonts w:ascii="宋体" w:hAnsi="宋体" w:cs="Arial" w:hint="eastAsia"/>
                <w:sz w:val="18"/>
              </w:rPr>
              <w:t>路、兴74路、 兴76路等公交线路，距地铁亦庄T1线（泰和路站）约1公里，综合评价交通便捷度一般。</w:t>
            </w:r>
          </w:p>
        </w:tc>
        <w:tc>
          <w:tcPr>
            <w:tcW w:w="2072" w:type="dxa"/>
            <w:tcBorders>
              <w:left w:val="single" w:sz="4" w:space="0" w:color="000000"/>
              <w:bottom w:val="single" w:sz="4" w:space="0" w:color="000000"/>
            </w:tcBorders>
            <w:shd w:val="clear" w:color="auto" w:fill="auto"/>
            <w:vAlign w:val="center"/>
          </w:tcPr>
          <w:p w14:paraId="41C7BAF5" w14:textId="48141EFE" w:rsidR="00AF6F34" w:rsidRDefault="00AF6F34" w:rsidP="004B54A4">
            <w:pPr>
              <w:widowControl/>
              <w:spacing w:line="240" w:lineRule="auto"/>
              <w:jc w:val="center"/>
              <w:textAlignment w:val="auto"/>
            </w:pPr>
            <w:r>
              <w:rPr>
                <w:rFonts w:ascii="宋体" w:hAnsi="宋体" w:cs="Arial" w:hint="eastAsia"/>
                <w:sz w:val="18"/>
              </w:rPr>
              <w:t>可比实例2所属项目北侧临近城市次干道——泰河路，周边有公交车站，停靠线路有</w:t>
            </w:r>
            <w:bookmarkStart w:id="38" w:name="OLE_LINK1"/>
            <w:r>
              <w:rPr>
                <w:rFonts w:ascii="宋体" w:hAnsi="宋体" w:cs="Arial" w:hint="eastAsia"/>
                <w:sz w:val="18"/>
              </w:rPr>
              <w:t>573路、580路</w:t>
            </w:r>
            <w:bookmarkEnd w:id="38"/>
            <w:r>
              <w:rPr>
                <w:rFonts w:ascii="宋体" w:hAnsi="宋体" w:cs="Arial" w:hint="eastAsia"/>
                <w:sz w:val="18"/>
              </w:rPr>
              <w:t>、</w:t>
            </w:r>
            <w:r w:rsidR="004B54A4">
              <w:rPr>
                <w:rFonts w:ascii="宋体" w:hAnsi="宋体" w:cs="Arial" w:hint="eastAsia"/>
                <w:sz w:val="18"/>
              </w:rPr>
              <w:t>5</w:t>
            </w:r>
            <w:r w:rsidR="004B54A4">
              <w:rPr>
                <w:rFonts w:ascii="宋体" w:hAnsi="宋体" w:cs="Arial"/>
                <w:sz w:val="18"/>
              </w:rPr>
              <w:t>99路、</w:t>
            </w:r>
            <w:r w:rsidR="004B54A4">
              <w:rPr>
                <w:rFonts w:ascii="宋体" w:hAnsi="宋体" w:cs="Arial" w:hint="eastAsia"/>
                <w:sz w:val="18"/>
              </w:rPr>
              <w:t>6</w:t>
            </w:r>
            <w:r w:rsidR="004B54A4">
              <w:rPr>
                <w:rFonts w:ascii="宋体" w:hAnsi="宋体" w:cs="Arial"/>
                <w:sz w:val="18"/>
              </w:rPr>
              <w:t>65路、兴</w:t>
            </w:r>
            <w:r w:rsidR="004B54A4">
              <w:rPr>
                <w:rFonts w:ascii="宋体" w:hAnsi="宋体" w:cs="Arial" w:hint="eastAsia"/>
                <w:sz w:val="18"/>
              </w:rPr>
              <w:t>5</w:t>
            </w:r>
            <w:r w:rsidR="004B54A4">
              <w:rPr>
                <w:rFonts w:ascii="宋体" w:hAnsi="宋体" w:cs="Arial"/>
                <w:sz w:val="18"/>
              </w:rPr>
              <w:t>9路、</w:t>
            </w:r>
            <w:r>
              <w:rPr>
                <w:rFonts w:ascii="宋体" w:hAnsi="宋体" w:cs="Arial" w:hint="eastAsia"/>
                <w:sz w:val="18"/>
              </w:rPr>
              <w:t>兴72路、兴78路等公交线路，距地铁亦庄T1</w:t>
            </w:r>
            <w:r w:rsidR="004B54A4">
              <w:rPr>
                <w:rFonts w:ascii="宋体" w:hAnsi="宋体" w:cs="Arial" w:hint="eastAsia"/>
                <w:sz w:val="18"/>
              </w:rPr>
              <w:t>线（鹿圈东</w:t>
            </w:r>
            <w:r>
              <w:rPr>
                <w:rFonts w:ascii="宋体" w:hAnsi="宋体" w:cs="Arial" w:hint="eastAsia"/>
                <w:sz w:val="18"/>
              </w:rPr>
              <w:t>站）约1公里，综合评价交通便捷度一般。</w:t>
            </w:r>
          </w:p>
        </w:tc>
        <w:tc>
          <w:tcPr>
            <w:tcW w:w="2082" w:type="dxa"/>
            <w:tcBorders>
              <w:left w:val="single" w:sz="4" w:space="0" w:color="000000"/>
              <w:bottom w:val="single" w:sz="4" w:space="0" w:color="000000"/>
              <w:right w:val="single" w:sz="4" w:space="0" w:color="000000"/>
            </w:tcBorders>
            <w:shd w:val="clear" w:color="auto" w:fill="auto"/>
            <w:vAlign w:val="center"/>
          </w:tcPr>
          <w:p w14:paraId="265C2013" w14:textId="665AF98D" w:rsidR="00AF6F34" w:rsidRDefault="00AF6F34" w:rsidP="00FB7530">
            <w:pPr>
              <w:widowControl/>
              <w:spacing w:line="240" w:lineRule="auto"/>
              <w:jc w:val="center"/>
              <w:textAlignment w:val="auto"/>
            </w:pPr>
            <w:r>
              <w:rPr>
                <w:rFonts w:ascii="宋体" w:hAnsi="宋体" w:cs="Arial" w:hint="eastAsia"/>
                <w:sz w:val="18"/>
              </w:rPr>
              <w:t>可比实例3所属项目北侧临近城市</w:t>
            </w:r>
            <w:r w:rsidR="00FE7D75">
              <w:rPr>
                <w:rFonts w:ascii="宋体" w:hAnsi="宋体" w:cs="Arial" w:hint="eastAsia"/>
                <w:sz w:val="18"/>
              </w:rPr>
              <w:t>次</w:t>
            </w:r>
            <w:r>
              <w:rPr>
                <w:rFonts w:ascii="宋体" w:hAnsi="宋体" w:cs="Arial" w:hint="eastAsia"/>
                <w:sz w:val="18"/>
              </w:rPr>
              <w:t>干道——</w:t>
            </w:r>
            <w:r w:rsidR="00FE7D75">
              <w:rPr>
                <w:rFonts w:ascii="宋体" w:hAnsi="宋体" w:cs="Arial" w:hint="eastAsia"/>
                <w:sz w:val="18"/>
              </w:rPr>
              <w:t>兴海一街</w:t>
            </w:r>
            <w:r>
              <w:rPr>
                <w:rFonts w:ascii="宋体" w:hAnsi="宋体" w:cs="Arial" w:hint="eastAsia"/>
                <w:sz w:val="18"/>
              </w:rPr>
              <w:t>，周边有公交车站，停靠线路有</w:t>
            </w:r>
            <w:r w:rsidR="00163A49">
              <w:rPr>
                <w:rFonts w:ascii="宋体" w:hAnsi="宋体" w:cs="Arial" w:hint="eastAsia"/>
                <w:sz w:val="18"/>
              </w:rPr>
              <w:t>573路、58</w:t>
            </w:r>
            <w:r w:rsidR="00163A49">
              <w:rPr>
                <w:rFonts w:ascii="宋体" w:hAnsi="宋体" w:cs="Arial"/>
                <w:sz w:val="18"/>
              </w:rPr>
              <w:t>1路、</w:t>
            </w:r>
            <w:r>
              <w:rPr>
                <w:rFonts w:ascii="宋体" w:hAnsi="宋体" w:cs="Arial" w:hint="eastAsia"/>
                <w:sz w:val="18"/>
              </w:rPr>
              <w:t>兴</w:t>
            </w:r>
            <w:r w:rsidR="00163A49">
              <w:rPr>
                <w:rFonts w:ascii="宋体" w:hAnsi="宋体" w:cs="Arial"/>
                <w:sz w:val="18"/>
              </w:rPr>
              <w:t>31</w:t>
            </w:r>
            <w:r>
              <w:rPr>
                <w:rFonts w:ascii="宋体" w:hAnsi="宋体" w:cs="Arial" w:hint="eastAsia"/>
                <w:sz w:val="18"/>
              </w:rPr>
              <w:t>路、兴</w:t>
            </w:r>
            <w:r w:rsidR="00163A49">
              <w:rPr>
                <w:rFonts w:ascii="宋体" w:hAnsi="宋体" w:cs="Arial"/>
                <w:sz w:val="18"/>
              </w:rPr>
              <w:t>47</w:t>
            </w:r>
            <w:r>
              <w:rPr>
                <w:rFonts w:ascii="宋体" w:hAnsi="宋体" w:cs="Arial" w:hint="eastAsia"/>
                <w:sz w:val="18"/>
              </w:rPr>
              <w:t>路等公交线路，距地铁</w:t>
            </w:r>
            <w:r w:rsidR="00163A49">
              <w:rPr>
                <w:rFonts w:ascii="宋体" w:hAnsi="宋体" w:cs="Arial" w:hint="eastAsia"/>
                <w:sz w:val="18"/>
              </w:rPr>
              <w:t>亦庄T1线（四海庄</w:t>
            </w:r>
            <w:r>
              <w:rPr>
                <w:rFonts w:ascii="宋体" w:hAnsi="宋体" w:cs="Arial" w:hint="eastAsia"/>
                <w:sz w:val="18"/>
              </w:rPr>
              <w:t>站）约</w:t>
            </w:r>
            <w:r w:rsidR="00FB7530">
              <w:rPr>
                <w:rFonts w:ascii="宋体" w:hAnsi="宋体" w:cs="Arial"/>
                <w:sz w:val="18"/>
              </w:rPr>
              <w:t>0.5</w:t>
            </w:r>
            <w:r>
              <w:rPr>
                <w:rFonts w:ascii="宋体" w:hAnsi="宋体" w:cs="Arial" w:hint="eastAsia"/>
                <w:sz w:val="18"/>
              </w:rPr>
              <w:t>公里，综合评价交通便捷度</w:t>
            </w:r>
            <w:r w:rsidR="00FB7530">
              <w:rPr>
                <w:rFonts w:ascii="宋体" w:hAnsi="宋体" w:cs="Arial" w:hint="eastAsia"/>
                <w:sz w:val="18"/>
              </w:rPr>
              <w:t>较好</w:t>
            </w:r>
            <w:r>
              <w:rPr>
                <w:rFonts w:ascii="宋体" w:hAnsi="宋体" w:cs="Arial" w:hint="eastAsia"/>
                <w:sz w:val="18"/>
              </w:rPr>
              <w:t>。</w:t>
            </w:r>
          </w:p>
        </w:tc>
      </w:tr>
      <w:tr w:rsidR="00AF6F34" w14:paraId="11A65828" w14:textId="77777777">
        <w:trPr>
          <w:trHeight w:val="270"/>
        </w:trPr>
        <w:tc>
          <w:tcPr>
            <w:tcW w:w="428" w:type="dxa"/>
            <w:vMerge/>
            <w:tcBorders>
              <w:left w:val="single" w:sz="4" w:space="0" w:color="000000"/>
              <w:bottom w:val="single" w:sz="4" w:space="0" w:color="000000"/>
            </w:tcBorders>
            <w:shd w:val="clear" w:color="auto" w:fill="auto"/>
            <w:vAlign w:val="center"/>
          </w:tcPr>
          <w:p w14:paraId="40E01283"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left w:val="single" w:sz="4" w:space="0" w:color="000000"/>
              <w:bottom w:val="single" w:sz="4" w:space="0" w:color="000000"/>
            </w:tcBorders>
            <w:shd w:val="clear" w:color="auto" w:fill="auto"/>
            <w:vAlign w:val="center"/>
          </w:tcPr>
          <w:p w14:paraId="6F331250" w14:textId="77777777" w:rsidR="00AF6F34" w:rsidRDefault="00AF6F34">
            <w:pPr>
              <w:widowControl/>
              <w:spacing w:line="240" w:lineRule="auto"/>
              <w:jc w:val="center"/>
              <w:textAlignment w:val="auto"/>
            </w:pPr>
            <w:r>
              <w:rPr>
                <w:rFonts w:ascii="宋体" w:hAnsi="宋体" w:cs="Arial" w:hint="eastAsia"/>
                <w:sz w:val="18"/>
              </w:rPr>
              <w:t>商业设施</w:t>
            </w:r>
          </w:p>
        </w:tc>
        <w:tc>
          <w:tcPr>
            <w:tcW w:w="2061" w:type="dxa"/>
            <w:tcBorders>
              <w:left w:val="single" w:sz="4" w:space="0" w:color="000000"/>
              <w:bottom w:val="single" w:sz="4" w:space="0" w:color="000000"/>
            </w:tcBorders>
            <w:shd w:val="clear" w:color="auto" w:fill="auto"/>
            <w:vAlign w:val="center"/>
          </w:tcPr>
          <w:p w14:paraId="15528864" w14:textId="77777777" w:rsidR="00AF6F34" w:rsidRDefault="00AF6F34">
            <w:pPr>
              <w:widowControl/>
              <w:spacing w:line="240" w:lineRule="auto"/>
              <w:jc w:val="center"/>
              <w:textAlignment w:val="auto"/>
            </w:pPr>
            <w:r>
              <w:rPr>
                <w:rFonts w:ascii="宋体" w:hAnsi="宋体" w:cs="Arial" w:hint="eastAsia"/>
                <w:sz w:val="18"/>
              </w:rPr>
              <w:t>估价对象周边有龙湖北京亦庄天街、物美超市(南海家园店)等，商业设施齐备度一般。</w:t>
            </w:r>
          </w:p>
        </w:tc>
        <w:tc>
          <w:tcPr>
            <w:tcW w:w="2072" w:type="dxa"/>
            <w:tcBorders>
              <w:left w:val="single" w:sz="4" w:space="0" w:color="000000"/>
              <w:bottom w:val="single" w:sz="4" w:space="0" w:color="000000"/>
            </w:tcBorders>
            <w:shd w:val="clear" w:color="auto" w:fill="auto"/>
            <w:vAlign w:val="center"/>
          </w:tcPr>
          <w:p w14:paraId="1A472B96" w14:textId="77777777" w:rsidR="00AF6F34" w:rsidRDefault="00AF6F34">
            <w:pPr>
              <w:widowControl/>
              <w:spacing w:line="240" w:lineRule="auto"/>
              <w:jc w:val="center"/>
              <w:textAlignment w:val="auto"/>
            </w:pPr>
            <w:r>
              <w:rPr>
                <w:rFonts w:ascii="宋体" w:hAnsi="宋体" w:cs="Arial" w:hint="eastAsia"/>
                <w:sz w:val="18"/>
              </w:rPr>
              <w:t>可比实例1周边有龙湖北京亦庄天街、物美超市(南海家园店)等，商业设施齐备度一般。</w:t>
            </w:r>
          </w:p>
        </w:tc>
        <w:tc>
          <w:tcPr>
            <w:tcW w:w="2072" w:type="dxa"/>
            <w:tcBorders>
              <w:left w:val="single" w:sz="4" w:space="0" w:color="000000"/>
              <w:bottom w:val="single" w:sz="4" w:space="0" w:color="000000"/>
            </w:tcBorders>
            <w:shd w:val="clear" w:color="auto" w:fill="auto"/>
            <w:vAlign w:val="center"/>
          </w:tcPr>
          <w:p w14:paraId="375FE95E" w14:textId="77777777" w:rsidR="00AF6F34" w:rsidRDefault="00AF6F34">
            <w:pPr>
              <w:widowControl/>
              <w:spacing w:line="240" w:lineRule="auto"/>
              <w:jc w:val="center"/>
              <w:textAlignment w:val="auto"/>
            </w:pPr>
            <w:r>
              <w:rPr>
                <w:rFonts w:ascii="宋体" w:hAnsi="宋体" w:cs="Arial" w:hint="eastAsia"/>
                <w:sz w:val="18"/>
              </w:rPr>
              <w:t>可比实例2周边有龙湖北京亦庄天街、物美超市(南海家园店)等，商业设施齐备度一般。</w:t>
            </w:r>
          </w:p>
        </w:tc>
        <w:tc>
          <w:tcPr>
            <w:tcW w:w="2082" w:type="dxa"/>
            <w:tcBorders>
              <w:left w:val="single" w:sz="4" w:space="0" w:color="000000"/>
              <w:bottom w:val="single" w:sz="4" w:space="0" w:color="000000"/>
              <w:right w:val="single" w:sz="4" w:space="0" w:color="000000"/>
            </w:tcBorders>
            <w:shd w:val="clear" w:color="auto" w:fill="auto"/>
            <w:vAlign w:val="center"/>
          </w:tcPr>
          <w:p w14:paraId="758886C0" w14:textId="77777777" w:rsidR="00AF6F34" w:rsidRDefault="00AF6F34">
            <w:pPr>
              <w:widowControl/>
              <w:spacing w:line="240" w:lineRule="auto"/>
              <w:jc w:val="center"/>
              <w:textAlignment w:val="auto"/>
            </w:pPr>
            <w:r>
              <w:rPr>
                <w:rFonts w:ascii="宋体" w:hAnsi="宋体" w:cs="Arial" w:hint="eastAsia"/>
                <w:sz w:val="18"/>
              </w:rPr>
              <w:t>可比实周边有龙湖北京亦庄天街、物美超市(南海家园店)等，商业设施齐备度一般。</w:t>
            </w:r>
          </w:p>
        </w:tc>
      </w:tr>
      <w:tr w:rsidR="00AF6F34" w14:paraId="70A861F3" w14:textId="77777777">
        <w:trPr>
          <w:trHeight w:val="282"/>
        </w:trPr>
        <w:tc>
          <w:tcPr>
            <w:tcW w:w="428" w:type="dxa"/>
            <w:vMerge/>
            <w:tcBorders>
              <w:left w:val="single" w:sz="4" w:space="0" w:color="000000"/>
              <w:bottom w:val="single" w:sz="4" w:space="0" w:color="000000"/>
            </w:tcBorders>
            <w:shd w:val="clear" w:color="auto" w:fill="auto"/>
            <w:vAlign w:val="center"/>
          </w:tcPr>
          <w:p w14:paraId="3590B94B"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left w:val="single" w:sz="4" w:space="0" w:color="000000"/>
              <w:bottom w:val="single" w:sz="4" w:space="0" w:color="000000"/>
            </w:tcBorders>
            <w:shd w:val="clear" w:color="auto" w:fill="auto"/>
            <w:vAlign w:val="center"/>
          </w:tcPr>
          <w:p w14:paraId="0C214605" w14:textId="77777777" w:rsidR="00AF6F34" w:rsidRDefault="00AF6F34">
            <w:pPr>
              <w:widowControl/>
              <w:spacing w:line="240" w:lineRule="auto"/>
              <w:jc w:val="center"/>
              <w:textAlignment w:val="auto"/>
            </w:pPr>
            <w:r>
              <w:rPr>
                <w:rFonts w:ascii="宋体" w:hAnsi="宋体" w:cs="Arial" w:hint="eastAsia"/>
                <w:sz w:val="18"/>
              </w:rPr>
              <w:t>自然环境</w:t>
            </w:r>
          </w:p>
        </w:tc>
        <w:tc>
          <w:tcPr>
            <w:tcW w:w="2061" w:type="dxa"/>
            <w:tcBorders>
              <w:left w:val="single" w:sz="4" w:space="0" w:color="000000"/>
              <w:bottom w:val="single" w:sz="4" w:space="0" w:color="000000"/>
            </w:tcBorders>
            <w:shd w:val="clear" w:color="auto" w:fill="auto"/>
            <w:vAlign w:val="center"/>
          </w:tcPr>
          <w:p w14:paraId="7387E423" w14:textId="77777777" w:rsidR="00AF6F34" w:rsidRDefault="00AF6F34">
            <w:pPr>
              <w:widowControl/>
              <w:spacing w:line="240" w:lineRule="auto"/>
              <w:jc w:val="center"/>
              <w:textAlignment w:val="auto"/>
            </w:pPr>
            <w:r>
              <w:rPr>
                <w:rFonts w:ascii="宋体" w:hAnsi="宋体" w:cs="Arial" w:hint="eastAsia"/>
                <w:sz w:val="18"/>
              </w:rPr>
              <w:t>估价对象周边有南海子公园、凉水河等自然景观，绿化面积较大，自然与人环境较好。</w:t>
            </w:r>
          </w:p>
        </w:tc>
        <w:tc>
          <w:tcPr>
            <w:tcW w:w="2072" w:type="dxa"/>
            <w:tcBorders>
              <w:left w:val="single" w:sz="4" w:space="0" w:color="000000"/>
              <w:bottom w:val="single" w:sz="4" w:space="0" w:color="000000"/>
            </w:tcBorders>
            <w:shd w:val="clear" w:color="auto" w:fill="auto"/>
            <w:vAlign w:val="center"/>
          </w:tcPr>
          <w:p w14:paraId="3F480701" w14:textId="77777777" w:rsidR="00AF6F34" w:rsidRDefault="00AF6F34">
            <w:pPr>
              <w:widowControl/>
              <w:spacing w:line="240" w:lineRule="auto"/>
              <w:jc w:val="center"/>
              <w:textAlignment w:val="auto"/>
            </w:pPr>
            <w:r>
              <w:rPr>
                <w:rFonts w:ascii="宋体" w:hAnsi="宋体" w:cs="Arial" w:hint="eastAsia"/>
                <w:sz w:val="18"/>
              </w:rPr>
              <w:t>可比实例1周边有南海子公园、凉水河等自然景观，绿化面积较大，自然与人环境较好。</w:t>
            </w:r>
          </w:p>
        </w:tc>
        <w:tc>
          <w:tcPr>
            <w:tcW w:w="2072" w:type="dxa"/>
            <w:tcBorders>
              <w:left w:val="single" w:sz="4" w:space="0" w:color="000000"/>
              <w:bottom w:val="single" w:sz="4" w:space="0" w:color="000000"/>
            </w:tcBorders>
            <w:shd w:val="clear" w:color="auto" w:fill="auto"/>
            <w:vAlign w:val="center"/>
          </w:tcPr>
          <w:p w14:paraId="4941879B" w14:textId="77777777" w:rsidR="00AF6F34" w:rsidRDefault="00AF6F34">
            <w:pPr>
              <w:widowControl/>
              <w:spacing w:line="240" w:lineRule="auto"/>
              <w:jc w:val="center"/>
              <w:textAlignment w:val="auto"/>
            </w:pPr>
            <w:r>
              <w:rPr>
                <w:rFonts w:ascii="宋体" w:hAnsi="宋体" w:cs="Arial" w:hint="eastAsia"/>
                <w:sz w:val="18"/>
              </w:rPr>
              <w:t>可比实例2周边有南海子公园、凉水河等自然景观，绿化面积较大，自然与人环境较好。</w:t>
            </w:r>
          </w:p>
        </w:tc>
        <w:tc>
          <w:tcPr>
            <w:tcW w:w="2082" w:type="dxa"/>
            <w:tcBorders>
              <w:left w:val="single" w:sz="4" w:space="0" w:color="000000"/>
              <w:bottom w:val="single" w:sz="4" w:space="0" w:color="000000"/>
              <w:right w:val="single" w:sz="4" w:space="0" w:color="000000"/>
            </w:tcBorders>
            <w:shd w:val="clear" w:color="auto" w:fill="auto"/>
            <w:vAlign w:val="center"/>
          </w:tcPr>
          <w:p w14:paraId="71FC21C4" w14:textId="77777777" w:rsidR="00AF6F34" w:rsidRDefault="00AF6F34">
            <w:pPr>
              <w:widowControl/>
              <w:spacing w:line="240" w:lineRule="auto"/>
              <w:jc w:val="center"/>
              <w:textAlignment w:val="auto"/>
            </w:pPr>
            <w:r>
              <w:rPr>
                <w:rFonts w:ascii="宋体" w:hAnsi="宋体" w:cs="Arial" w:hint="eastAsia"/>
                <w:sz w:val="18"/>
              </w:rPr>
              <w:t>可比实例3周边有南海子公园、凉水河等自然景观，绿化面积较大，自然与人环境较好。</w:t>
            </w:r>
          </w:p>
        </w:tc>
      </w:tr>
      <w:tr w:rsidR="00AF6F34" w14:paraId="4C8D4359" w14:textId="77777777" w:rsidTr="002815CC">
        <w:trPr>
          <w:trHeight w:val="1200"/>
        </w:trPr>
        <w:tc>
          <w:tcPr>
            <w:tcW w:w="428" w:type="dxa"/>
            <w:vMerge/>
            <w:tcBorders>
              <w:left w:val="single" w:sz="4" w:space="0" w:color="000000"/>
              <w:bottom w:val="single" w:sz="4" w:space="0" w:color="000000"/>
            </w:tcBorders>
            <w:shd w:val="clear" w:color="auto" w:fill="auto"/>
            <w:vAlign w:val="center"/>
          </w:tcPr>
          <w:p w14:paraId="06C289F6"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left w:val="single" w:sz="4" w:space="0" w:color="000000"/>
              <w:bottom w:val="single" w:sz="4" w:space="0" w:color="000000"/>
            </w:tcBorders>
            <w:shd w:val="clear" w:color="auto" w:fill="auto"/>
            <w:vAlign w:val="center"/>
          </w:tcPr>
          <w:p w14:paraId="70335E62" w14:textId="77777777" w:rsidR="00AF6F34" w:rsidRDefault="00AF6F34">
            <w:pPr>
              <w:widowControl/>
              <w:spacing w:line="240" w:lineRule="auto"/>
              <w:jc w:val="center"/>
              <w:textAlignment w:val="auto"/>
            </w:pPr>
            <w:r>
              <w:rPr>
                <w:rFonts w:ascii="宋体" w:hAnsi="宋体" w:cs="Arial" w:hint="eastAsia"/>
                <w:sz w:val="18"/>
              </w:rPr>
              <w:t>公共配套</w:t>
            </w:r>
          </w:p>
        </w:tc>
        <w:tc>
          <w:tcPr>
            <w:tcW w:w="2061" w:type="dxa"/>
            <w:tcBorders>
              <w:left w:val="single" w:sz="4" w:space="0" w:color="000000"/>
              <w:bottom w:val="single" w:sz="4" w:space="0" w:color="000000"/>
            </w:tcBorders>
            <w:shd w:val="clear" w:color="auto" w:fill="auto"/>
            <w:vAlign w:val="center"/>
          </w:tcPr>
          <w:p w14:paraId="7DB8C265" w14:textId="77777777" w:rsidR="00AF6F34" w:rsidRDefault="00AF6F34">
            <w:pPr>
              <w:widowControl/>
              <w:spacing w:line="240" w:lineRule="auto"/>
              <w:jc w:val="center"/>
              <w:textAlignment w:val="auto"/>
            </w:pPr>
            <w:r>
              <w:rPr>
                <w:rFonts w:ascii="宋体" w:hAnsi="宋体" w:cs="Arial" w:hint="eastAsia"/>
                <w:sz w:val="18"/>
              </w:rPr>
              <w:t>估价对象所在区域周边2公里范围内有龙湖北京亦庄天街等商业场所；北京市大兴区亦庄第五幼儿园、北京亦庄实验小学、亦庄实验中学等教育设施；北京中医药大学东方医院(南院区)等医疗设施；中国建设银行、</w:t>
            </w:r>
            <w:r w:rsidR="006D5DDA">
              <w:rPr>
                <w:rFonts w:ascii="宋体" w:hAnsi="宋体" w:cs="Arial" w:hint="eastAsia"/>
                <w:sz w:val="18"/>
              </w:rPr>
              <w:t>中国农商银行等金融机构</w:t>
            </w:r>
            <w:r>
              <w:rPr>
                <w:rFonts w:ascii="宋体" w:hAnsi="宋体" w:cs="Arial" w:hint="eastAsia"/>
                <w:sz w:val="18"/>
              </w:rPr>
              <w:t>，公共配套设施状况较好。</w:t>
            </w:r>
          </w:p>
        </w:tc>
        <w:tc>
          <w:tcPr>
            <w:tcW w:w="2072" w:type="dxa"/>
            <w:tcBorders>
              <w:left w:val="single" w:sz="4" w:space="0" w:color="000000"/>
              <w:bottom w:val="single" w:sz="4" w:space="0" w:color="000000"/>
            </w:tcBorders>
            <w:shd w:val="clear" w:color="auto" w:fill="auto"/>
            <w:vAlign w:val="center"/>
          </w:tcPr>
          <w:p w14:paraId="34069301" w14:textId="77777777" w:rsidR="00AF6F34" w:rsidRDefault="00AF6F34">
            <w:pPr>
              <w:widowControl/>
              <w:spacing w:line="240" w:lineRule="auto"/>
              <w:jc w:val="center"/>
              <w:textAlignment w:val="auto"/>
            </w:pPr>
            <w:r>
              <w:rPr>
                <w:rFonts w:ascii="宋体" w:hAnsi="宋体" w:cs="Arial" w:hint="eastAsia"/>
                <w:sz w:val="18"/>
              </w:rPr>
              <w:t>可比实例1所在区域周边2公里范围内有龙湖北京亦庄天街等商业场所；北京市大兴区亦庄第五幼儿园、北京亦庄实验小学、亦庄实验中学等教育设施；北京中医药大学东方医院(南院区)等医疗设施；中国建设银行、</w:t>
            </w:r>
            <w:r w:rsidR="006D5DDA">
              <w:rPr>
                <w:rFonts w:ascii="宋体" w:hAnsi="宋体" w:cs="Arial" w:hint="eastAsia"/>
                <w:sz w:val="18"/>
              </w:rPr>
              <w:t>中国农商银行等金融机构</w:t>
            </w:r>
            <w:r>
              <w:rPr>
                <w:rFonts w:ascii="宋体" w:hAnsi="宋体" w:cs="Arial" w:hint="eastAsia"/>
                <w:sz w:val="18"/>
              </w:rPr>
              <w:t>，公共配套设施状况较好。</w:t>
            </w:r>
          </w:p>
        </w:tc>
        <w:tc>
          <w:tcPr>
            <w:tcW w:w="2072" w:type="dxa"/>
            <w:tcBorders>
              <w:left w:val="single" w:sz="4" w:space="0" w:color="000000"/>
              <w:bottom w:val="single" w:sz="4" w:space="0" w:color="000000"/>
            </w:tcBorders>
            <w:shd w:val="clear" w:color="auto" w:fill="auto"/>
            <w:vAlign w:val="center"/>
          </w:tcPr>
          <w:p w14:paraId="7B426002" w14:textId="77777777" w:rsidR="00AF6F34" w:rsidRDefault="00AF6F34">
            <w:pPr>
              <w:widowControl/>
              <w:spacing w:line="240" w:lineRule="auto"/>
              <w:jc w:val="center"/>
              <w:textAlignment w:val="auto"/>
            </w:pPr>
            <w:r>
              <w:rPr>
                <w:rFonts w:ascii="宋体" w:hAnsi="宋体" w:cs="Arial" w:hint="eastAsia"/>
                <w:sz w:val="18"/>
              </w:rPr>
              <w:t>可比实例2所在区域周边2公里范围内有龙湖北京亦庄天街等商业场所；北京市大兴区亦庄第五幼儿园、北京亦庄实验小学、亦庄实验中学等教育设施；北京中医药大学东方医院(南院区)等医疗设施；中国建设银行、</w:t>
            </w:r>
            <w:r w:rsidR="006D5DDA">
              <w:rPr>
                <w:rFonts w:ascii="宋体" w:hAnsi="宋体" w:cs="Arial" w:hint="eastAsia"/>
                <w:sz w:val="18"/>
              </w:rPr>
              <w:t>中国农商银行等金融机构</w:t>
            </w:r>
            <w:r>
              <w:rPr>
                <w:rFonts w:ascii="宋体" w:hAnsi="宋体" w:cs="Arial" w:hint="eastAsia"/>
                <w:sz w:val="18"/>
              </w:rPr>
              <w:t>，公共配套设施状况较好。</w:t>
            </w:r>
          </w:p>
        </w:tc>
        <w:tc>
          <w:tcPr>
            <w:tcW w:w="2082" w:type="dxa"/>
            <w:tcBorders>
              <w:left w:val="single" w:sz="4" w:space="0" w:color="000000"/>
              <w:bottom w:val="single" w:sz="4" w:space="0" w:color="000000"/>
              <w:right w:val="single" w:sz="4" w:space="0" w:color="000000"/>
            </w:tcBorders>
            <w:shd w:val="clear" w:color="auto" w:fill="auto"/>
            <w:vAlign w:val="center"/>
          </w:tcPr>
          <w:p w14:paraId="3C6A13FA" w14:textId="77777777" w:rsidR="00AF6F34" w:rsidRDefault="00AF6F34">
            <w:pPr>
              <w:widowControl/>
              <w:spacing w:line="240" w:lineRule="auto"/>
              <w:jc w:val="center"/>
              <w:textAlignment w:val="auto"/>
            </w:pPr>
            <w:r>
              <w:rPr>
                <w:rFonts w:ascii="宋体" w:hAnsi="宋体" w:cs="Arial" w:hint="eastAsia"/>
                <w:sz w:val="18"/>
              </w:rPr>
              <w:t>可比实例3所在区域周边2公里范围内有龙湖北京亦庄天街等商业场所；北京市大兴区亦庄第五幼儿园、北京亦庄实验小学、亦庄实验中学等教育设施；北京中医药大学东方医院(南院区)等医疗设施；中国建设银行、</w:t>
            </w:r>
            <w:r w:rsidR="006D5DDA">
              <w:rPr>
                <w:rFonts w:ascii="宋体" w:hAnsi="宋体" w:cs="Arial" w:hint="eastAsia"/>
                <w:sz w:val="18"/>
              </w:rPr>
              <w:t>中国农商银行等金融机构</w:t>
            </w:r>
            <w:r>
              <w:rPr>
                <w:rFonts w:ascii="宋体" w:hAnsi="宋体" w:cs="Arial" w:hint="eastAsia"/>
                <w:sz w:val="18"/>
              </w:rPr>
              <w:t>，公共配套设施状况较好。</w:t>
            </w:r>
          </w:p>
        </w:tc>
      </w:tr>
      <w:tr w:rsidR="00AF6F34" w14:paraId="4706AF2A" w14:textId="77777777" w:rsidTr="002815CC">
        <w:trPr>
          <w:trHeight w:val="270"/>
        </w:trPr>
        <w:tc>
          <w:tcPr>
            <w:tcW w:w="428" w:type="dxa"/>
            <w:vMerge w:val="restart"/>
            <w:tcBorders>
              <w:top w:val="single" w:sz="4" w:space="0" w:color="000000"/>
              <w:left w:val="single" w:sz="4" w:space="0" w:color="000000"/>
              <w:bottom w:val="single" w:sz="4" w:space="0" w:color="auto"/>
            </w:tcBorders>
            <w:shd w:val="clear" w:color="auto" w:fill="auto"/>
            <w:vAlign w:val="center"/>
          </w:tcPr>
          <w:p w14:paraId="625D8BE4" w14:textId="77777777" w:rsidR="00AF6F34" w:rsidRDefault="00AF6F34">
            <w:pPr>
              <w:widowControl/>
              <w:spacing w:line="240" w:lineRule="auto"/>
              <w:jc w:val="center"/>
              <w:textAlignment w:val="auto"/>
            </w:pPr>
            <w:r>
              <w:rPr>
                <w:rFonts w:ascii="宋体" w:hAnsi="宋体" w:cs="Arial" w:hint="eastAsia"/>
                <w:color w:val="000000"/>
                <w:sz w:val="18"/>
                <w:szCs w:val="22"/>
              </w:rPr>
              <w:t>实物状况</w:t>
            </w:r>
          </w:p>
        </w:tc>
        <w:tc>
          <w:tcPr>
            <w:tcW w:w="810" w:type="dxa"/>
            <w:tcBorders>
              <w:top w:val="single" w:sz="4" w:space="0" w:color="000000"/>
              <w:left w:val="single" w:sz="4" w:space="0" w:color="000000"/>
              <w:bottom w:val="single" w:sz="4" w:space="0" w:color="000000"/>
            </w:tcBorders>
            <w:shd w:val="clear" w:color="auto" w:fill="auto"/>
            <w:vAlign w:val="center"/>
          </w:tcPr>
          <w:p w14:paraId="39CC8C82" w14:textId="77777777" w:rsidR="00AF6F34" w:rsidRDefault="00AF6F34">
            <w:pPr>
              <w:widowControl/>
              <w:spacing w:line="240" w:lineRule="auto"/>
              <w:jc w:val="center"/>
              <w:textAlignment w:val="auto"/>
            </w:pPr>
            <w:r>
              <w:rPr>
                <w:rFonts w:ascii="Arial" w:hAnsi="Arial" w:cs="Arial"/>
                <w:sz w:val="18"/>
              </w:rPr>
              <w:t>物业服务</w:t>
            </w:r>
          </w:p>
        </w:tc>
        <w:tc>
          <w:tcPr>
            <w:tcW w:w="2061" w:type="dxa"/>
            <w:tcBorders>
              <w:top w:val="single" w:sz="4" w:space="0" w:color="000000"/>
              <w:left w:val="single" w:sz="4" w:space="0" w:color="000000"/>
              <w:bottom w:val="single" w:sz="4" w:space="0" w:color="000000"/>
            </w:tcBorders>
            <w:shd w:val="clear" w:color="auto" w:fill="auto"/>
            <w:vAlign w:val="center"/>
          </w:tcPr>
          <w:p w14:paraId="77373988" w14:textId="77777777" w:rsidR="00AF6F34" w:rsidRDefault="00AF6F34">
            <w:pPr>
              <w:widowControl/>
              <w:spacing w:line="240" w:lineRule="auto"/>
              <w:jc w:val="center"/>
              <w:textAlignment w:val="auto"/>
            </w:pPr>
            <w:r>
              <w:rPr>
                <w:rFonts w:ascii="Arial" w:hAnsi="Arial" w:cs="Arial" w:hint="eastAsia"/>
                <w:sz w:val="18"/>
              </w:rPr>
              <w:t>有专业物业公司，物业服务保障好。</w:t>
            </w:r>
          </w:p>
        </w:tc>
        <w:tc>
          <w:tcPr>
            <w:tcW w:w="2072" w:type="dxa"/>
            <w:tcBorders>
              <w:top w:val="single" w:sz="4" w:space="0" w:color="000000"/>
              <w:left w:val="single" w:sz="4" w:space="0" w:color="000000"/>
              <w:bottom w:val="single" w:sz="4" w:space="0" w:color="000000"/>
            </w:tcBorders>
            <w:shd w:val="clear" w:color="auto" w:fill="auto"/>
            <w:vAlign w:val="center"/>
          </w:tcPr>
          <w:p w14:paraId="1CA6FC3C" w14:textId="77777777" w:rsidR="00AF6F34" w:rsidRDefault="00AF6F34">
            <w:pPr>
              <w:widowControl/>
              <w:spacing w:line="240" w:lineRule="auto"/>
              <w:jc w:val="center"/>
              <w:textAlignment w:val="auto"/>
            </w:pPr>
            <w:r>
              <w:rPr>
                <w:rFonts w:ascii="Arial" w:hAnsi="Arial" w:cs="Arial" w:hint="eastAsia"/>
                <w:sz w:val="18"/>
              </w:rPr>
              <w:t>有专业物业公司，物业服务保障好。</w:t>
            </w:r>
          </w:p>
        </w:tc>
        <w:tc>
          <w:tcPr>
            <w:tcW w:w="2072" w:type="dxa"/>
            <w:tcBorders>
              <w:top w:val="single" w:sz="4" w:space="0" w:color="000000"/>
              <w:left w:val="single" w:sz="4" w:space="0" w:color="000000"/>
              <w:bottom w:val="single" w:sz="4" w:space="0" w:color="000000"/>
            </w:tcBorders>
            <w:shd w:val="clear" w:color="auto" w:fill="auto"/>
            <w:vAlign w:val="center"/>
          </w:tcPr>
          <w:p w14:paraId="4D275DF1" w14:textId="77777777" w:rsidR="00AF6F34" w:rsidRDefault="00AF6F34">
            <w:pPr>
              <w:widowControl/>
              <w:spacing w:line="240" w:lineRule="auto"/>
              <w:jc w:val="center"/>
              <w:textAlignment w:val="auto"/>
            </w:pPr>
            <w:r>
              <w:rPr>
                <w:rFonts w:ascii="Arial" w:hAnsi="Arial" w:cs="Arial" w:hint="eastAsia"/>
                <w:sz w:val="18"/>
              </w:rPr>
              <w:t>有专业物业公司，物业服务保障好。</w:t>
            </w:r>
          </w:p>
        </w:tc>
        <w:tc>
          <w:tcPr>
            <w:tcW w:w="2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BBFB6" w14:textId="77777777" w:rsidR="00AF6F34" w:rsidRDefault="00AF6F34">
            <w:pPr>
              <w:widowControl/>
              <w:spacing w:line="240" w:lineRule="auto"/>
              <w:jc w:val="center"/>
              <w:textAlignment w:val="auto"/>
            </w:pPr>
            <w:r>
              <w:rPr>
                <w:rFonts w:ascii="Arial" w:hAnsi="Arial" w:cs="Arial" w:hint="eastAsia"/>
                <w:sz w:val="18"/>
              </w:rPr>
              <w:t>有专业物业公司，物业服务保障好。</w:t>
            </w:r>
          </w:p>
        </w:tc>
      </w:tr>
      <w:tr w:rsidR="00AF6F34" w14:paraId="6097CF4A" w14:textId="77777777" w:rsidTr="002815CC">
        <w:trPr>
          <w:trHeight w:val="510"/>
        </w:trPr>
        <w:tc>
          <w:tcPr>
            <w:tcW w:w="428" w:type="dxa"/>
            <w:vMerge/>
            <w:tcBorders>
              <w:top w:val="single" w:sz="4" w:space="0" w:color="000000"/>
              <w:left w:val="single" w:sz="4" w:space="0" w:color="000000"/>
              <w:bottom w:val="single" w:sz="4" w:space="0" w:color="auto"/>
            </w:tcBorders>
            <w:shd w:val="clear" w:color="auto" w:fill="auto"/>
            <w:vAlign w:val="center"/>
          </w:tcPr>
          <w:p w14:paraId="667AB672"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shd w:val="clear" w:color="auto" w:fill="auto"/>
            <w:vAlign w:val="center"/>
          </w:tcPr>
          <w:p w14:paraId="0CB62B9A" w14:textId="77777777" w:rsidR="00AF6F34" w:rsidRDefault="00AF6F34">
            <w:pPr>
              <w:widowControl/>
              <w:spacing w:line="240" w:lineRule="auto"/>
              <w:jc w:val="center"/>
              <w:textAlignment w:val="auto"/>
            </w:pPr>
            <w:r>
              <w:rPr>
                <w:rFonts w:ascii="Arial" w:hAnsi="Arial" w:cs="Arial"/>
                <w:sz w:val="18"/>
              </w:rPr>
              <w:t>小区环境</w:t>
            </w:r>
          </w:p>
        </w:tc>
        <w:tc>
          <w:tcPr>
            <w:tcW w:w="2061" w:type="dxa"/>
            <w:tcBorders>
              <w:top w:val="single" w:sz="4" w:space="0" w:color="000000"/>
              <w:left w:val="single" w:sz="4" w:space="0" w:color="000000"/>
              <w:bottom w:val="single" w:sz="4" w:space="0" w:color="000000"/>
            </w:tcBorders>
            <w:shd w:val="clear" w:color="auto" w:fill="auto"/>
            <w:vAlign w:val="center"/>
          </w:tcPr>
          <w:p w14:paraId="43B373E9" w14:textId="77777777" w:rsidR="00AF6F34" w:rsidRDefault="00AF6F34">
            <w:pPr>
              <w:widowControl/>
              <w:spacing w:line="240" w:lineRule="auto"/>
              <w:jc w:val="center"/>
              <w:textAlignment w:val="auto"/>
            </w:pPr>
            <w:r>
              <w:rPr>
                <w:rFonts w:ascii="Arial" w:hAnsi="Arial" w:cs="Arial" w:hint="eastAsia"/>
                <w:sz w:val="18"/>
              </w:rPr>
              <w:t>绿化率约为</w:t>
            </w:r>
            <w:r>
              <w:rPr>
                <w:rFonts w:ascii="Arial" w:hAnsi="Arial" w:cs="Arial"/>
                <w:sz w:val="18"/>
              </w:rPr>
              <w:t>30%</w:t>
            </w:r>
            <w:r>
              <w:rPr>
                <w:rFonts w:ascii="Arial" w:hAnsi="Arial" w:cs="Arial" w:hint="eastAsia"/>
                <w:sz w:val="18"/>
              </w:rPr>
              <w:t>，较好</w:t>
            </w:r>
          </w:p>
        </w:tc>
        <w:tc>
          <w:tcPr>
            <w:tcW w:w="2072" w:type="dxa"/>
            <w:tcBorders>
              <w:top w:val="single" w:sz="4" w:space="0" w:color="000000"/>
              <w:left w:val="single" w:sz="4" w:space="0" w:color="000000"/>
              <w:bottom w:val="single" w:sz="4" w:space="0" w:color="000000"/>
            </w:tcBorders>
            <w:shd w:val="clear" w:color="auto" w:fill="auto"/>
            <w:vAlign w:val="center"/>
          </w:tcPr>
          <w:p w14:paraId="567277A0" w14:textId="77777777" w:rsidR="00AF6F34" w:rsidRDefault="00AF6F34">
            <w:pPr>
              <w:widowControl/>
              <w:spacing w:line="240" w:lineRule="auto"/>
              <w:jc w:val="center"/>
              <w:textAlignment w:val="auto"/>
            </w:pPr>
            <w:r>
              <w:rPr>
                <w:rFonts w:ascii="Arial" w:hAnsi="Arial" w:cs="Arial" w:hint="eastAsia"/>
                <w:sz w:val="18"/>
              </w:rPr>
              <w:t>绿化率约为</w:t>
            </w:r>
            <w:r>
              <w:rPr>
                <w:rFonts w:ascii="Arial" w:hAnsi="Arial" w:cs="Arial"/>
                <w:sz w:val="18"/>
              </w:rPr>
              <w:t>30%</w:t>
            </w:r>
            <w:r>
              <w:rPr>
                <w:rFonts w:ascii="Arial" w:hAnsi="Arial" w:cs="Arial" w:hint="eastAsia"/>
                <w:sz w:val="18"/>
              </w:rPr>
              <w:t>，较好</w:t>
            </w:r>
          </w:p>
        </w:tc>
        <w:tc>
          <w:tcPr>
            <w:tcW w:w="2072" w:type="dxa"/>
            <w:tcBorders>
              <w:top w:val="single" w:sz="4" w:space="0" w:color="000000"/>
              <w:left w:val="single" w:sz="4" w:space="0" w:color="000000"/>
              <w:bottom w:val="single" w:sz="4" w:space="0" w:color="000000"/>
            </w:tcBorders>
            <w:shd w:val="clear" w:color="auto" w:fill="auto"/>
            <w:vAlign w:val="center"/>
          </w:tcPr>
          <w:p w14:paraId="006427FF" w14:textId="77777777" w:rsidR="00AF6F34" w:rsidRDefault="00AF6F34">
            <w:pPr>
              <w:widowControl/>
              <w:spacing w:line="240" w:lineRule="auto"/>
              <w:jc w:val="center"/>
              <w:textAlignment w:val="auto"/>
            </w:pPr>
            <w:r>
              <w:rPr>
                <w:rFonts w:ascii="Arial" w:hAnsi="Arial" w:cs="Arial" w:hint="eastAsia"/>
                <w:sz w:val="18"/>
              </w:rPr>
              <w:t>绿化率约为</w:t>
            </w:r>
            <w:r>
              <w:rPr>
                <w:rFonts w:ascii="Arial" w:hAnsi="Arial" w:cs="Arial"/>
                <w:sz w:val="18"/>
              </w:rPr>
              <w:t>30%</w:t>
            </w:r>
            <w:r>
              <w:rPr>
                <w:rFonts w:ascii="Arial" w:hAnsi="Arial" w:cs="Arial" w:hint="eastAsia"/>
                <w:sz w:val="18"/>
              </w:rPr>
              <w:t>，较好</w:t>
            </w:r>
          </w:p>
        </w:tc>
        <w:tc>
          <w:tcPr>
            <w:tcW w:w="2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F0036" w14:textId="77777777" w:rsidR="00AF6F34" w:rsidRDefault="00AF6F34">
            <w:pPr>
              <w:widowControl/>
              <w:spacing w:line="240" w:lineRule="auto"/>
              <w:jc w:val="center"/>
              <w:textAlignment w:val="auto"/>
            </w:pPr>
            <w:r>
              <w:rPr>
                <w:rFonts w:ascii="Arial" w:hAnsi="Arial" w:cs="Arial" w:hint="eastAsia"/>
                <w:sz w:val="18"/>
              </w:rPr>
              <w:t>绿化率约为</w:t>
            </w:r>
            <w:r>
              <w:rPr>
                <w:rFonts w:ascii="Arial" w:hAnsi="Arial" w:cs="Arial"/>
                <w:sz w:val="18"/>
              </w:rPr>
              <w:t>30%</w:t>
            </w:r>
            <w:r>
              <w:rPr>
                <w:rFonts w:ascii="Arial" w:hAnsi="Arial" w:cs="Arial" w:hint="eastAsia"/>
                <w:sz w:val="18"/>
              </w:rPr>
              <w:t>，较好</w:t>
            </w:r>
          </w:p>
        </w:tc>
      </w:tr>
      <w:tr w:rsidR="00AF6F34" w14:paraId="3D0E2FBA" w14:textId="77777777" w:rsidTr="002815CC">
        <w:trPr>
          <w:trHeight w:val="510"/>
        </w:trPr>
        <w:tc>
          <w:tcPr>
            <w:tcW w:w="428" w:type="dxa"/>
            <w:vMerge/>
            <w:tcBorders>
              <w:top w:val="single" w:sz="4" w:space="0" w:color="000000"/>
              <w:left w:val="single" w:sz="4" w:space="0" w:color="000000"/>
              <w:bottom w:val="single" w:sz="4" w:space="0" w:color="auto"/>
            </w:tcBorders>
            <w:shd w:val="clear" w:color="auto" w:fill="auto"/>
            <w:vAlign w:val="center"/>
          </w:tcPr>
          <w:p w14:paraId="3AF83089"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shd w:val="clear" w:color="auto" w:fill="auto"/>
            <w:vAlign w:val="center"/>
          </w:tcPr>
          <w:p w14:paraId="5E6ACBC3" w14:textId="77777777" w:rsidR="00AF6F34" w:rsidRDefault="00AF6F34">
            <w:pPr>
              <w:widowControl/>
              <w:spacing w:line="240" w:lineRule="auto"/>
              <w:jc w:val="center"/>
              <w:textAlignment w:val="auto"/>
            </w:pPr>
            <w:r>
              <w:rPr>
                <w:rFonts w:ascii="Arial" w:hAnsi="Arial" w:cs="Arial"/>
                <w:sz w:val="18"/>
              </w:rPr>
              <w:t>配套设施</w:t>
            </w:r>
          </w:p>
        </w:tc>
        <w:tc>
          <w:tcPr>
            <w:tcW w:w="2061" w:type="dxa"/>
            <w:tcBorders>
              <w:top w:val="single" w:sz="4" w:space="0" w:color="000000"/>
              <w:left w:val="single" w:sz="4" w:space="0" w:color="000000"/>
              <w:bottom w:val="single" w:sz="4" w:space="0" w:color="000000"/>
            </w:tcBorders>
            <w:shd w:val="clear" w:color="auto" w:fill="auto"/>
            <w:vAlign w:val="center"/>
          </w:tcPr>
          <w:p w14:paraId="4217E96E" w14:textId="77777777" w:rsidR="00AF6F34" w:rsidRDefault="00AF6F34">
            <w:pPr>
              <w:widowControl/>
              <w:spacing w:line="240" w:lineRule="auto"/>
              <w:jc w:val="center"/>
              <w:textAlignment w:val="auto"/>
            </w:pPr>
            <w:r>
              <w:rPr>
                <w:rFonts w:ascii="Arial" w:hAnsi="Arial" w:cs="Arial" w:hint="eastAsia"/>
                <w:sz w:val="18"/>
              </w:rPr>
              <w:t>配备活动站、医疗站</w:t>
            </w:r>
          </w:p>
        </w:tc>
        <w:tc>
          <w:tcPr>
            <w:tcW w:w="2072" w:type="dxa"/>
            <w:tcBorders>
              <w:top w:val="single" w:sz="4" w:space="0" w:color="000000"/>
              <w:left w:val="single" w:sz="4" w:space="0" w:color="000000"/>
              <w:bottom w:val="single" w:sz="4" w:space="0" w:color="000000"/>
            </w:tcBorders>
            <w:shd w:val="clear" w:color="auto" w:fill="auto"/>
            <w:vAlign w:val="center"/>
          </w:tcPr>
          <w:p w14:paraId="2A6308E3" w14:textId="77777777" w:rsidR="00AF6F34" w:rsidRDefault="00AF6F34">
            <w:pPr>
              <w:widowControl/>
              <w:spacing w:line="240" w:lineRule="auto"/>
              <w:jc w:val="center"/>
              <w:textAlignment w:val="auto"/>
            </w:pPr>
            <w:r>
              <w:rPr>
                <w:rFonts w:ascii="Arial" w:hAnsi="Arial" w:cs="Arial" w:hint="eastAsia"/>
                <w:sz w:val="18"/>
              </w:rPr>
              <w:t>配备活动站、医疗站</w:t>
            </w:r>
          </w:p>
        </w:tc>
        <w:tc>
          <w:tcPr>
            <w:tcW w:w="2072" w:type="dxa"/>
            <w:tcBorders>
              <w:top w:val="single" w:sz="4" w:space="0" w:color="000000"/>
              <w:left w:val="single" w:sz="4" w:space="0" w:color="000000"/>
              <w:bottom w:val="single" w:sz="4" w:space="0" w:color="000000"/>
            </w:tcBorders>
            <w:shd w:val="clear" w:color="auto" w:fill="auto"/>
            <w:vAlign w:val="center"/>
          </w:tcPr>
          <w:p w14:paraId="3458C3D5" w14:textId="77777777" w:rsidR="00AF6F34" w:rsidRDefault="00AF6F34">
            <w:pPr>
              <w:widowControl/>
              <w:spacing w:line="240" w:lineRule="auto"/>
              <w:jc w:val="center"/>
              <w:textAlignment w:val="auto"/>
            </w:pPr>
            <w:r>
              <w:rPr>
                <w:rFonts w:ascii="Arial" w:hAnsi="Arial" w:cs="Arial" w:hint="eastAsia"/>
                <w:sz w:val="18"/>
              </w:rPr>
              <w:t>配备活动站、医疗站</w:t>
            </w:r>
          </w:p>
        </w:tc>
        <w:tc>
          <w:tcPr>
            <w:tcW w:w="2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D9446" w14:textId="77777777" w:rsidR="00AF6F34" w:rsidRDefault="00AF6F34">
            <w:pPr>
              <w:widowControl/>
              <w:spacing w:line="240" w:lineRule="auto"/>
              <w:jc w:val="center"/>
              <w:textAlignment w:val="auto"/>
            </w:pPr>
            <w:r>
              <w:rPr>
                <w:rFonts w:ascii="Arial" w:hAnsi="Arial" w:cs="Arial" w:hint="eastAsia"/>
                <w:sz w:val="18"/>
              </w:rPr>
              <w:t>配备活动站、医疗站</w:t>
            </w:r>
          </w:p>
        </w:tc>
      </w:tr>
      <w:tr w:rsidR="00AF6F34" w14:paraId="75066D47" w14:textId="77777777" w:rsidTr="002815CC">
        <w:trPr>
          <w:trHeight w:val="270"/>
        </w:trPr>
        <w:tc>
          <w:tcPr>
            <w:tcW w:w="428" w:type="dxa"/>
            <w:vMerge/>
            <w:tcBorders>
              <w:top w:val="single" w:sz="4" w:space="0" w:color="000000"/>
              <w:left w:val="single" w:sz="4" w:space="0" w:color="000000"/>
              <w:bottom w:val="single" w:sz="4" w:space="0" w:color="auto"/>
            </w:tcBorders>
            <w:shd w:val="clear" w:color="auto" w:fill="auto"/>
            <w:vAlign w:val="center"/>
          </w:tcPr>
          <w:p w14:paraId="6449B46E"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shd w:val="clear" w:color="auto" w:fill="auto"/>
            <w:vAlign w:val="center"/>
          </w:tcPr>
          <w:p w14:paraId="7A9BD333" w14:textId="77777777" w:rsidR="00AF6F34" w:rsidRDefault="00AF6F34">
            <w:pPr>
              <w:widowControl/>
              <w:spacing w:line="240" w:lineRule="auto"/>
              <w:jc w:val="center"/>
              <w:textAlignment w:val="auto"/>
            </w:pPr>
            <w:r>
              <w:rPr>
                <w:rFonts w:ascii="Arial" w:hAnsi="Arial" w:cs="Arial"/>
                <w:sz w:val="18"/>
              </w:rPr>
              <w:t>居住管理</w:t>
            </w:r>
          </w:p>
        </w:tc>
        <w:tc>
          <w:tcPr>
            <w:tcW w:w="2061" w:type="dxa"/>
            <w:tcBorders>
              <w:top w:val="single" w:sz="4" w:space="0" w:color="000000"/>
              <w:left w:val="single" w:sz="4" w:space="0" w:color="000000"/>
              <w:bottom w:val="single" w:sz="4" w:space="0" w:color="000000"/>
            </w:tcBorders>
            <w:shd w:val="clear" w:color="auto" w:fill="auto"/>
            <w:vAlign w:val="center"/>
          </w:tcPr>
          <w:p w14:paraId="4702334E" w14:textId="77777777" w:rsidR="00AF6F34" w:rsidRDefault="00AF6F34">
            <w:pPr>
              <w:widowControl/>
              <w:spacing w:line="240" w:lineRule="auto"/>
              <w:jc w:val="center"/>
              <w:textAlignment w:val="auto"/>
            </w:pPr>
            <w:r>
              <w:rPr>
                <w:rFonts w:ascii="Arial" w:hAnsi="Arial" w:cs="Arial" w:hint="eastAsia"/>
                <w:sz w:val="18"/>
              </w:rPr>
              <w:t>配备专业管理人员，数量充足，居住管理好</w:t>
            </w:r>
          </w:p>
        </w:tc>
        <w:tc>
          <w:tcPr>
            <w:tcW w:w="2072" w:type="dxa"/>
            <w:tcBorders>
              <w:top w:val="single" w:sz="4" w:space="0" w:color="000000"/>
              <w:left w:val="single" w:sz="4" w:space="0" w:color="000000"/>
              <w:bottom w:val="single" w:sz="4" w:space="0" w:color="000000"/>
            </w:tcBorders>
            <w:shd w:val="clear" w:color="auto" w:fill="auto"/>
            <w:vAlign w:val="center"/>
          </w:tcPr>
          <w:p w14:paraId="3A7700D7" w14:textId="77777777" w:rsidR="00AF6F34" w:rsidRDefault="00AF6F34">
            <w:pPr>
              <w:widowControl/>
              <w:spacing w:line="240" w:lineRule="auto"/>
              <w:jc w:val="center"/>
              <w:textAlignment w:val="auto"/>
            </w:pPr>
            <w:r>
              <w:rPr>
                <w:rFonts w:ascii="Arial" w:hAnsi="Arial" w:cs="Arial" w:hint="eastAsia"/>
                <w:sz w:val="18"/>
              </w:rPr>
              <w:t>配备管理人员，数量较充足，居住管理较好</w:t>
            </w:r>
          </w:p>
        </w:tc>
        <w:tc>
          <w:tcPr>
            <w:tcW w:w="2072" w:type="dxa"/>
            <w:tcBorders>
              <w:top w:val="single" w:sz="4" w:space="0" w:color="000000"/>
              <w:left w:val="single" w:sz="4" w:space="0" w:color="000000"/>
              <w:bottom w:val="single" w:sz="4" w:space="0" w:color="000000"/>
            </w:tcBorders>
            <w:shd w:val="clear" w:color="auto" w:fill="auto"/>
            <w:vAlign w:val="center"/>
          </w:tcPr>
          <w:p w14:paraId="02681937" w14:textId="77777777" w:rsidR="00AF6F34" w:rsidRDefault="00AF6F34">
            <w:pPr>
              <w:widowControl/>
              <w:spacing w:line="240" w:lineRule="auto"/>
              <w:jc w:val="center"/>
              <w:textAlignment w:val="auto"/>
            </w:pPr>
            <w:r>
              <w:rPr>
                <w:rFonts w:ascii="Arial" w:hAnsi="Arial" w:cs="Arial" w:hint="eastAsia"/>
                <w:sz w:val="18"/>
              </w:rPr>
              <w:t>配备管理人员，数量较充足，居住管理较好</w:t>
            </w:r>
          </w:p>
        </w:tc>
        <w:tc>
          <w:tcPr>
            <w:tcW w:w="2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C160A" w14:textId="77777777" w:rsidR="00AF6F34" w:rsidRDefault="00AF6F34">
            <w:pPr>
              <w:widowControl/>
              <w:spacing w:line="240" w:lineRule="auto"/>
              <w:jc w:val="center"/>
              <w:textAlignment w:val="auto"/>
            </w:pPr>
            <w:r>
              <w:rPr>
                <w:rFonts w:ascii="Arial" w:hAnsi="Arial" w:cs="Arial" w:hint="eastAsia"/>
                <w:sz w:val="18"/>
              </w:rPr>
              <w:t>配备管理人员，数量较充足，居住管理较好</w:t>
            </w:r>
          </w:p>
        </w:tc>
      </w:tr>
      <w:tr w:rsidR="00AF6F34" w14:paraId="3622B46F" w14:textId="77777777" w:rsidTr="002815CC">
        <w:trPr>
          <w:trHeight w:val="549"/>
        </w:trPr>
        <w:tc>
          <w:tcPr>
            <w:tcW w:w="428" w:type="dxa"/>
            <w:vMerge/>
            <w:tcBorders>
              <w:top w:val="single" w:sz="4" w:space="0" w:color="000000"/>
              <w:left w:val="single" w:sz="4" w:space="0" w:color="000000"/>
              <w:bottom w:val="single" w:sz="4" w:space="0" w:color="auto"/>
            </w:tcBorders>
            <w:shd w:val="clear" w:color="auto" w:fill="auto"/>
            <w:vAlign w:val="center"/>
          </w:tcPr>
          <w:p w14:paraId="129B2013"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shd w:val="clear" w:color="auto" w:fill="auto"/>
            <w:vAlign w:val="center"/>
          </w:tcPr>
          <w:p w14:paraId="642A464D" w14:textId="77777777" w:rsidR="00AF6F34" w:rsidRDefault="00AF6F34">
            <w:pPr>
              <w:widowControl/>
              <w:spacing w:line="240" w:lineRule="auto"/>
              <w:jc w:val="center"/>
              <w:textAlignment w:val="auto"/>
            </w:pPr>
            <w:r>
              <w:rPr>
                <w:rFonts w:ascii="Arial" w:hAnsi="Arial" w:cs="Arial"/>
                <w:sz w:val="18"/>
              </w:rPr>
              <w:t>户型</w:t>
            </w:r>
          </w:p>
        </w:tc>
        <w:tc>
          <w:tcPr>
            <w:tcW w:w="2061" w:type="dxa"/>
            <w:tcBorders>
              <w:top w:val="single" w:sz="4" w:space="0" w:color="000000"/>
              <w:left w:val="single" w:sz="4" w:space="0" w:color="000000"/>
              <w:bottom w:val="single" w:sz="4" w:space="0" w:color="000000"/>
            </w:tcBorders>
            <w:shd w:val="clear" w:color="auto" w:fill="auto"/>
            <w:vAlign w:val="center"/>
          </w:tcPr>
          <w:p w14:paraId="44D7EA2A" w14:textId="77777777" w:rsidR="00AF6F34" w:rsidRDefault="00AF6F34">
            <w:pPr>
              <w:widowControl/>
              <w:spacing w:line="240" w:lineRule="auto"/>
              <w:jc w:val="center"/>
              <w:textAlignment w:val="auto"/>
            </w:pPr>
            <w:r>
              <w:rPr>
                <w:rFonts w:ascii="Arial" w:hAnsi="Arial" w:cs="Arial" w:hint="eastAsia"/>
                <w:sz w:val="18"/>
              </w:rPr>
              <w:t>主力户型为一居室，住宅套型一般</w:t>
            </w:r>
          </w:p>
        </w:tc>
        <w:tc>
          <w:tcPr>
            <w:tcW w:w="2072" w:type="dxa"/>
            <w:tcBorders>
              <w:top w:val="single" w:sz="4" w:space="0" w:color="000000"/>
              <w:left w:val="single" w:sz="4" w:space="0" w:color="000000"/>
              <w:bottom w:val="single" w:sz="4" w:space="0" w:color="000000"/>
            </w:tcBorders>
            <w:shd w:val="clear" w:color="auto" w:fill="auto"/>
            <w:vAlign w:val="center"/>
          </w:tcPr>
          <w:p w14:paraId="2A3F2035" w14:textId="77777777" w:rsidR="00AF6F34" w:rsidRDefault="00AF6F34">
            <w:pPr>
              <w:widowControl/>
              <w:spacing w:line="240" w:lineRule="auto"/>
              <w:jc w:val="center"/>
              <w:textAlignment w:val="auto"/>
            </w:pPr>
            <w:bookmarkStart w:id="39" w:name="OLE_LINK4"/>
            <w:bookmarkStart w:id="40" w:name="OLE_LINK5"/>
            <w:r>
              <w:rPr>
                <w:rFonts w:ascii="Arial" w:hAnsi="Arial" w:cs="Arial" w:hint="eastAsia"/>
                <w:sz w:val="18"/>
              </w:rPr>
              <w:t>主力户型为二居室，住宅套型较好</w:t>
            </w:r>
            <w:bookmarkEnd w:id="39"/>
            <w:bookmarkEnd w:id="40"/>
          </w:p>
        </w:tc>
        <w:tc>
          <w:tcPr>
            <w:tcW w:w="2072" w:type="dxa"/>
            <w:tcBorders>
              <w:top w:val="single" w:sz="4" w:space="0" w:color="000000"/>
              <w:left w:val="single" w:sz="4" w:space="0" w:color="000000"/>
              <w:bottom w:val="single" w:sz="4" w:space="0" w:color="000000"/>
            </w:tcBorders>
            <w:shd w:val="clear" w:color="auto" w:fill="auto"/>
            <w:vAlign w:val="center"/>
          </w:tcPr>
          <w:p w14:paraId="52C347A7" w14:textId="77777777" w:rsidR="00AF6F34" w:rsidRDefault="00AE711A">
            <w:pPr>
              <w:widowControl/>
              <w:spacing w:line="240" w:lineRule="auto"/>
              <w:jc w:val="center"/>
              <w:textAlignment w:val="auto"/>
            </w:pPr>
            <w:r>
              <w:rPr>
                <w:rFonts w:ascii="Arial" w:hAnsi="Arial" w:cs="Arial" w:hint="eastAsia"/>
                <w:sz w:val="18"/>
              </w:rPr>
              <w:t>主力户型为二居室，住宅套型较好</w:t>
            </w:r>
          </w:p>
        </w:tc>
        <w:tc>
          <w:tcPr>
            <w:tcW w:w="2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0A690" w14:textId="77777777" w:rsidR="00AF6F34" w:rsidRDefault="00AF6F34">
            <w:pPr>
              <w:widowControl/>
              <w:spacing w:line="240" w:lineRule="auto"/>
              <w:jc w:val="center"/>
              <w:textAlignment w:val="auto"/>
            </w:pPr>
            <w:r>
              <w:rPr>
                <w:rFonts w:ascii="Arial" w:hAnsi="Arial" w:cs="Arial" w:hint="eastAsia"/>
                <w:sz w:val="18"/>
              </w:rPr>
              <w:t>主力户型为</w:t>
            </w:r>
            <w:r w:rsidR="00AE711A">
              <w:rPr>
                <w:rFonts w:ascii="Arial" w:hAnsi="Arial" w:cs="Arial" w:hint="eastAsia"/>
                <w:sz w:val="18"/>
              </w:rPr>
              <w:t>三居室，住宅套型</w:t>
            </w:r>
            <w:r>
              <w:rPr>
                <w:rFonts w:ascii="Arial" w:hAnsi="Arial" w:cs="Arial" w:hint="eastAsia"/>
                <w:sz w:val="18"/>
              </w:rPr>
              <w:t>好</w:t>
            </w:r>
          </w:p>
        </w:tc>
      </w:tr>
      <w:tr w:rsidR="00AF6F34" w14:paraId="2F4CC144" w14:textId="77777777" w:rsidTr="002815CC">
        <w:trPr>
          <w:trHeight w:val="549"/>
        </w:trPr>
        <w:tc>
          <w:tcPr>
            <w:tcW w:w="428" w:type="dxa"/>
            <w:vMerge/>
            <w:tcBorders>
              <w:top w:val="single" w:sz="4" w:space="0" w:color="000000"/>
              <w:left w:val="single" w:sz="4" w:space="0" w:color="000000"/>
              <w:bottom w:val="single" w:sz="4" w:space="0" w:color="auto"/>
            </w:tcBorders>
            <w:shd w:val="clear" w:color="auto" w:fill="auto"/>
            <w:vAlign w:val="center"/>
          </w:tcPr>
          <w:p w14:paraId="6C70E328"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shd w:val="clear" w:color="auto" w:fill="auto"/>
            <w:vAlign w:val="center"/>
          </w:tcPr>
          <w:p w14:paraId="41C777C2" w14:textId="77777777" w:rsidR="00AF6F34" w:rsidRDefault="00AF6F34">
            <w:pPr>
              <w:widowControl/>
              <w:spacing w:line="240" w:lineRule="auto"/>
              <w:jc w:val="center"/>
              <w:textAlignment w:val="auto"/>
            </w:pPr>
            <w:r>
              <w:rPr>
                <w:rFonts w:ascii="Arial" w:hAnsi="Arial" w:cs="Arial"/>
                <w:sz w:val="18"/>
              </w:rPr>
              <w:t>朝向</w:t>
            </w:r>
            <w:r>
              <w:rPr>
                <w:rFonts w:ascii="Arial" w:hAnsi="Arial" w:cs="Arial" w:hint="eastAsia"/>
                <w:sz w:val="18"/>
              </w:rPr>
              <w:t>、采光、通风</w:t>
            </w:r>
          </w:p>
        </w:tc>
        <w:tc>
          <w:tcPr>
            <w:tcW w:w="2061" w:type="dxa"/>
            <w:tcBorders>
              <w:top w:val="single" w:sz="4" w:space="0" w:color="000000"/>
              <w:left w:val="single" w:sz="4" w:space="0" w:color="000000"/>
              <w:bottom w:val="single" w:sz="4" w:space="0" w:color="000000"/>
            </w:tcBorders>
            <w:shd w:val="clear" w:color="auto" w:fill="auto"/>
            <w:vAlign w:val="center"/>
          </w:tcPr>
          <w:p w14:paraId="1C4A1BA1" w14:textId="77777777" w:rsidR="00AF6F34" w:rsidRDefault="00AF6F34">
            <w:pPr>
              <w:widowControl/>
              <w:spacing w:line="240" w:lineRule="auto"/>
              <w:jc w:val="center"/>
              <w:textAlignment w:val="auto"/>
            </w:pPr>
            <w:r>
              <w:rPr>
                <w:rFonts w:ascii="Arial" w:hAnsi="Arial" w:cs="Arial" w:hint="eastAsia"/>
                <w:sz w:val="18"/>
              </w:rPr>
              <w:t>朝向较好，能保证较长时间的采光，通风较好，综合分析朝向、采光、通风状况较好（南）</w:t>
            </w:r>
          </w:p>
        </w:tc>
        <w:tc>
          <w:tcPr>
            <w:tcW w:w="2072" w:type="dxa"/>
            <w:tcBorders>
              <w:top w:val="single" w:sz="4" w:space="0" w:color="000000"/>
              <w:left w:val="single" w:sz="4" w:space="0" w:color="000000"/>
              <w:bottom w:val="single" w:sz="4" w:space="0" w:color="000000"/>
            </w:tcBorders>
            <w:shd w:val="clear" w:color="auto" w:fill="auto"/>
            <w:vAlign w:val="center"/>
          </w:tcPr>
          <w:p w14:paraId="6212B445" w14:textId="77777777" w:rsidR="00AF6F34" w:rsidRDefault="00AF6F34">
            <w:pPr>
              <w:widowControl/>
              <w:spacing w:line="240" w:lineRule="auto"/>
              <w:jc w:val="center"/>
              <w:textAlignment w:val="auto"/>
            </w:pPr>
            <w:r>
              <w:rPr>
                <w:rFonts w:ascii="Arial" w:hAnsi="Arial" w:cs="Arial" w:hint="eastAsia"/>
                <w:sz w:val="18"/>
              </w:rPr>
              <w:t>朝向好，能保证较长时间的采光，通风较好，综合分析朝向、采光、通风状况好（南北）</w:t>
            </w:r>
          </w:p>
        </w:tc>
        <w:tc>
          <w:tcPr>
            <w:tcW w:w="2072" w:type="dxa"/>
            <w:tcBorders>
              <w:top w:val="single" w:sz="4" w:space="0" w:color="000000"/>
              <w:left w:val="single" w:sz="4" w:space="0" w:color="000000"/>
              <w:bottom w:val="single" w:sz="4" w:space="0" w:color="000000"/>
            </w:tcBorders>
            <w:shd w:val="clear" w:color="auto" w:fill="auto"/>
            <w:vAlign w:val="center"/>
          </w:tcPr>
          <w:p w14:paraId="029AB188" w14:textId="77777777" w:rsidR="00AF6F34" w:rsidRDefault="00AF6F34">
            <w:pPr>
              <w:widowControl/>
              <w:spacing w:line="240" w:lineRule="auto"/>
              <w:jc w:val="center"/>
              <w:textAlignment w:val="auto"/>
            </w:pPr>
            <w:r>
              <w:rPr>
                <w:rFonts w:ascii="Arial" w:hAnsi="Arial" w:cs="Arial" w:hint="eastAsia"/>
                <w:sz w:val="18"/>
              </w:rPr>
              <w:t>朝向好，能保证较长时间的采光，通风较好，综合分析朝向、采光、通风状况好（南北）</w:t>
            </w:r>
          </w:p>
        </w:tc>
        <w:tc>
          <w:tcPr>
            <w:tcW w:w="2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9688E" w14:textId="77777777" w:rsidR="00AF6F34" w:rsidRDefault="00AF6F34">
            <w:pPr>
              <w:widowControl/>
              <w:spacing w:line="240" w:lineRule="auto"/>
              <w:jc w:val="center"/>
              <w:textAlignment w:val="auto"/>
            </w:pPr>
            <w:r>
              <w:rPr>
                <w:rFonts w:ascii="Arial" w:hAnsi="Arial" w:cs="Arial" w:hint="eastAsia"/>
                <w:sz w:val="18"/>
              </w:rPr>
              <w:t>朝向好，能保证较长时间的采光，通风较好，综合分析朝向、采光、通风状况好（南北）</w:t>
            </w:r>
          </w:p>
        </w:tc>
      </w:tr>
      <w:tr w:rsidR="00AF6F34" w14:paraId="6D82875C" w14:textId="77777777" w:rsidTr="002815CC">
        <w:trPr>
          <w:trHeight w:val="1020"/>
        </w:trPr>
        <w:tc>
          <w:tcPr>
            <w:tcW w:w="428" w:type="dxa"/>
            <w:vMerge/>
            <w:tcBorders>
              <w:top w:val="single" w:sz="4" w:space="0" w:color="000000"/>
              <w:left w:val="single" w:sz="4" w:space="0" w:color="000000"/>
              <w:bottom w:val="single" w:sz="4" w:space="0" w:color="auto"/>
            </w:tcBorders>
            <w:shd w:val="clear" w:color="auto" w:fill="auto"/>
            <w:vAlign w:val="center"/>
          </w:tcPr>
          <w:p w14:paraId="2E9F2895"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shd w:val="clear" w:color="auto" w:fill="auto"/>
            <w:vAlign w:val="center"/>
          </w:tcPr>
          <w:p w14:paraId="2AE4B362" w14:textId="77777777" w:rsidR="00AF6F34" w:rsidRDefault="00AF6F34">
            <w:pPr>
              <w:widowControl/>
              <w:spacing w:line="240" w:lineRule="auto"/>
              <w:jc w:val="center"/>
              <w:textAlignment w:val="auto"/>
            </w:pPr>
            <w:r>
              <w:rPr>
                <w:rFonts w:ascii="Arial" w:hAnsi="Arial" w:cs="Arial"/>
                <w:sz w:val="18"/>
              </w:rPr>
              <w:t>装修</w:t>
            </w:r>
          </w:p>
        </w:tc>
        <w:tc>
          <w:tcPr>
            <w:tcW w:w="2061" w:type="dxa"/>
            <w:tcBorders>
              <w:top w:val="single" w:sz="4" w:space="0" w:color="000000"/>
              <w:left w:val="single" w:sz="4" w:space="0" w:color="000000"/>
              <w:bottom w:val="single" w:sz="4" w:space="0" w:color="000000"/>
            </w:tcBorders>
            <w:shd w:val="clear" w:color="auto" w:fill="auto"/>
            <w:vAlign w:val="center"/>
          </w:tcPr>
          <w:p w14:paraId="22C2913B" w14:textId="77777777" w:rsidR="00AF6F34" w:rsidRDefault="00AF6F34">
            <w:pPr>
              <w:widowControl/>
              <w:spacing w:line="240" w:lineRule="auto"/>
              <w:jc w:val="center"/>
              <w:textAlignment w:val="auto"/>
            </w:pPr>
            <w:r>
              <w:rPr>
                <w:rFonts w:ascii="Arial" w:hAnsi="Arial" w:cs="Arial" w:hint="eastAsia"/>
                <w:sz w:val="18"/>
              </w:rPr>
              <w:t>该小区装修为全装修，</w:t>
            </w:r>
            <w:r w:rsidR="00A15F2E">
              <w:rPr>
                <w:rFonts w:ascii="Arial" w:hAnsi="Arial" w:cs="Arial" w:hint="eastAsia"/>
                <w:sz w:val="18"/>
              </w:rPr>
              <w:t>装修用材环保，经过精心设计，提升居住体验，较好</w:t>
            </w:r>
          </w:p>
        </w:tc>
        <w:tc>
          <w:tcPr>
            <w:tcW w:w="2072" w:type="dxa"/>
            <w:tcBorders>
              <w:top w:val="single" w:sz="4" w:space="0" w:color="000000"/>
              <w:left w:val="single" w:sz="4" w:space="0" w:color="000000"/>
              <w:bottom w:val="single" w:sz="4" w:space="0" w:color="000000"/>
            </w:tcBorders>
            <w:shd w:val="clear" w:color="auto" w:fill="auto"/>
            <w:vAlign w:val="center"/>
          </w:tcPr>
          <w:p w14:paraId="1D4A3F5E" w14:textId="77777777" w:rsidR="00AF6F34" w:rsidRDefault="00AF6F34">
            <w:pPr>
              <w:widowControl/>
              <w:spacing w:line="240" w:lineRule="auto"/>
              <w:jc w:val="center"/>
              <w:textAlignment w:val="auto"/>
            </w:pPr>
            <w:r>
              <w:rPr>
                <w:rFonts w:ascii="Arial" w:hAnsi="Arial" w:cs="Arial" w:hint="eastAsia"/>
                <w:sz w:val="18"/>
              </w:rPr>
              <w:t>该小区装修为基本装修，装修用材环保，经过精心设计，提升居住体验，较好</w:t>
            </w:r>
          </w:p>
        </w:tc>
        <w:tc>
          <w:tcPr>
            <w:tcW w:w="2072" w:type="dxa"/>
            <w:tcBorders>
              <w:top w:val="single" w:sz="4" w:space="0" w:color="000000"/>
              <w:left w:val="single" w:sz="4" w:space="0" w:color="000000"/>
              <w:bottom w:val="single" w:sz="4" w:space="0" w:color="000000"/>
            </w:tcBorders>
            <w:shd w:val="clear" w:color="auto" w:fill="auto"/>
            <w:vAlign w:val="center"/>
          </w:tcPr>
          <w:p w14:paraId="446DBA73" w14:textId="77777777" w:rsidR="00AF6F34" w:rsidRDefault="00AF6F34">
            <w:pPr>
              <w:widowControl/>
              <w:spacing w:line="240" w:lineRule="auto"/>
              <w:jc w:val="center"/>
              <w:textAlignment w:val="auto"/>
            </w:pPr>
            <w:r>
              <w:rPr>
                <w:rFonts w:ascii="Arial" w:hAnsi="Arial" w:cs="Arial" w:hint="eastAsia"/>
                <w:sz w:val="18"/>
              </w:rPr>
              <w:t>该小区装修为基本装修，装修用材环保，经过精心设计，提升居住体验，较好</w:t>
            </w:r>
          </w:p>
        </w:tc>
        <w:tc>
          <w:tcPr>
            <w:tcW w:w="2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69FF0" w14:textId="77777777" w:rsidR="00AF6F34" w:rsidRDefault="00AF6F34">
            <w:pPr>
              <w:widowControl/>
              <w:spacing w:line="240" w:lineRule="auto"/>
              <w:jc w:val="center"/>
              <w:textAlignment w:val="auto"/>
            </w:pPr>
            <w:r>
              <w:rPr>
                <w:rFonts w:ascii="Arial" w:hAnsi="Arial" w:cs="Arial" w:hint="eastAsia"/>
                <w:sz w:val="18"/>
              </w:rPr>
              <w:t>该小区装修为基本装修，装修用材环保，经过精心设计，提升居住体验，较好</w:t>
            </w:r>
          </w:p>
        </w:tc>
      </w:tr>
      <w:tr w:rsidR="00AF6F34" w14:paraId="33B100E4" w14:textId="77777777" w:rsidTr="002815CC">
        <w:trPr>
          <w:trHeight w:val="354"/>
        </w:trPr>
        <w:tc>
          <w:tcPr>
            <w:tcW w:w="428" w:type="dxa"/>
            <w:vMerge/>
            <w:tcBorders>
              <w:top w:val="single" w:sz="4" w:space="0" w:color="000000"/>
              <w:left w:val="single" w:sz="4" w:space="0" w:color="000000"/>
              <w:bottom w:val="single" w:sz="4" w:space="0" w:color="auto"/>
            </w:tcBorders>
            <w:shd w:val="clear" w:color="auto" w:fill="auto"/>
            <w:vAlign w:val="center"/>
          </w:tcPr>
          <w:p w14:paraId="438FD812"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shd w:val="clear" w:color="auto" w:fill="auto"/>
            <w:vAlign w:val="center"/>
          </w:tcPr>
          <w:p w14:paraId="006109ED" w14:textId="77777777" w:rsidR="00AF6F34" w:rsidRDefault="00A15F2E">
            <w:pPr>
              <w:widowControl/>
              <w:spacing w:line="240" w:lineRule="auto"/>
              <w:jc w:val="center"/>
              <w:textAlignment w:val="auto"/>
            </w:pPr>
            <w:r>
              <w:rPr>
                <w:rFonts w:ascii="Arial" w:hAnsi="Arial" w:cs="Arial" w:hint="eastAsia"/>
                <w:sz w:val="18"/>
              </w:rPr>
              <w:t>标准房建筑</w:t>
            </w:r>
            <w:r w:rsidR="00431E21">
              <w:rPr>
                <w:rFonts w:ascii="Arial" w:hAnsi="Arial" w:cs="Arial" w:hint="eastAsia"/>
                <w:sz w:val="18"/>
              </w:rPr>
              <w:t>面积</w:t>
            </w:r>
            <w:r w:rsidR="00AF6F34">
              <w:rPr>
                <w:rFonts w:ascii="Arial" w:hAnsi="Arial" w:cs="Arial" w:hint="eastAsia"/>
                <w:sz w:val="18"/>
              </w:rPr>
              <w:t>（㎡）</w:t>
            </w:r>
          </w:p>
        </w:tc>
        <w:tc>
          <w:tcPr>
            <w:tcW w:w="2061" w:type="dxa"/>
            <w:tcBorders>
              <w:top w:val="single" w:sz="4" w:space="0" w:color="000000"/>
              <w:left w:val="single" w:sz="4" w:space="0" w:color="000000"/>
              <w:bottom w:val="single" w:sz="4" w:space="0" w:color="000000"/>
            </w:tcBorders>
            <w:shd w:val="clear" w:color="auto" w:fill="auto"/>
            <w:vAlign w:val="center"/>
          </w:tcPr>
          <w:p w14:paraId="25C68558" w14:textId="77777777" w:rsidR="00AF6F34" w:rsidRDefault="00AF6F34">
            <w:pPr>
              <w:widowControl/>
              <w:spacing w:line="240" w:lineRule="auto"/>
              <w:jc w:val="center"/>
              <w:textAlignment w:val="auto"/>
            </w:pPr>
            <w:r>
              <w:rPr>
                <w:rFonts w:ascii="Arial" w:hAnsi="Arial" w:cs="Arial"/>
                <w:sz w:val="18"/>
              </w:rPr>
              <w:t>6</w:t>
            </w:r>
            <w:r>
              <w:rPr>
                <w:rFonts w:ascii="Arial" w:hAnsi="Arial" w:cs="Arial" w:hint="eastAsia"/>
                <w:sz w:val="18"/>
              </w:rPr>
              <w:t>0-</w:t>
            </w:r>
            <w:r>
              <w:rPr>
                <w:rFonts w:ascii="Arial" w:hAnsi="Arial" w:cs="Arial"/>
                <w:sz w:val="18"/>
              </w:rPr>
              <w:t>7</w:t>
            </w:r>
            <w:r>
              <w:rPr>
                <w:rFonts w:ascii="Arial" w:hAnsi="Arial" w:cs="Arial" w:hint="eastAsia"/>
                <w:sz w:val="18"/>
              </w:rPr>
              <w:t>0</w:t>
            </w:r>
          </w:p>
        </w:tc>
        <w:tc>
          <w:tcPr>
            <w:tcW w:w="2072" w:type="dxa"/>
            <w:tcBorders>
              <w:top w:val="single" w:sz="4" w:space="0" w:color="000000"/>
              <w:left w:val="single" w:sz="4" w:space="0" w:color="000000"/>
              <w:bottom w:val="single" w:sz="4" w:space="0" w:color="000000"/>
            </w:tcBorders>
            <w:shd w:val="clear" w:color="auto" w:fill="auto"/>
            <w:vAlign w:val="center"/>
          </w:tcPr>
          <w:p w14:paraId="4BF635F2" w14:textId="77777777" w:rsidR="00AF6F34" w:rsidRDefault="00AF6F34">
            <w:pPr>
              <w:widowControl/>
              <w:spacing w:line="240" w:lineRule="auto"/>
              <w:jc w:val="center"/>
              <w:textAlignment w:val="auto"/>
            </w:pPr>
            <w:r>
              <w:rPr>
                <w:rFonts w:ascii="Arial" w:hAnsi="Arial" w:cs="Arial"/>
                <w:sz w:val="18"/>
              </w:rPr>
              <w:t>70-90</w:t>
            </w:r>
          </w:p>
        </w:tc>
        <w:tc>
          <w:tcPr>
            <w:tcW w:w="2072" w:type="dxa"/>
            <w:tcBorders>
              <w:top w:val="single" w:sz="4" w:space="0" w:color="000000"/>
              <w:left w:val="single" w:sz="4" w:space="0" w:color="000000"/>
              <w:bottom w:val="single" w:sz="4" w:space="0" w:color="000000"/>
            </w:tcBorders>
            <w:shd w:val="clear" w:color="auto" w:fill="auto"/>
            <w:vAlign w:val="center"/>
          </w:tcPr>
          <w:p w14:paraId="3F8056E3" w14:textId="77777777" w:rsidR="00AF6F34" w:rsidRDefault="00A15F2E">
            <w:pPr>
              <w:widowControl/>
              <w:spacing w:line="240" w:lineRule="auto"/>
              <w:jc w:val="center"/>
              <w:textAlignment w:val="auto"/>
            </w:pPr>
            <w:r>
              <w:rPr>
                <w:rFonts w:ascii="Arial" w:hAnsi="Arial" w:cs="Arial"/>
                <w:sz w:val="18"/>
              </w:rPr>
              <w:t>70-90</w:t>
            </w:r>
          </w:p>
        </w:tc>
        <w:tc>
          <w:tcPr>
            <w:tcW w:w="2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2115D" w14:textId="77777777" w:rsidR="00AF6F34" w:rsidRDefault="00AF6F34">
            <w:pPr>
              <w:widowControl/>
              <w:spacing w:line="240" w:lineRule="auto"/>
              <w:jc w:val="center"/>
              <w:textAlignment w:val="auto"/>
            </w:pPr>
            <w:r>
              <w:rPr>
                <w:rFonts w:ascii="Arial" w:hAnsi="Arial" w:cs="Arial"/>
                <w:sz w:val="18"/>
              </w:rPr>
              <w:t>70-90</w:t>
            </w:r>
          </w:p>
        </w:tc>
      </w:tr>
      <w:tr w:rsidR="00AF6F34" w14:paraId="4EF352FF" w14:textId="77777777" w:rsidTr="002815CC">
        <w:trPr>
          <w:trHeight w:val="951"/>
        </w:trPr>
        <w:tc>
          <w:tcPr>
            <w:tcW w:w="428" w:type="dxa"/>
            <w:vMerge/>
            <w:tcBorders>
              <w:top w:val="single" w:sz="4" w:space="0" w:color="000000"/>
              <w:left w:val="single" w:sz="4" w:space="0" w:color="000000"/>
              <w:bottom w:val="single" w:sz="4" w:space="0" w:color="auto"/>
            </w:tcBorders>
            <w:shd w:val="clear" w:color="auto" w:fill="auto"/>
            <w:vAlign w:val="center"/>
          </w:tcPr>
          <w:p w14:paraId="287BF815"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shd w:val="clear" w:color="auto" w:fill="auto"/>
            <w:vAlign w:val="center"/>
          </w:tcPr>
          <w:p w14:paraId="36E8FB85" w14:textId="77777777" w:rsidR="00AF6F34" w:rsidRDefault="00AF6F34">
            <w:pPr>
              <w:widowControl/>
              <w:spacing w:line="240" w:lineRule="auto"/>
              <w:jc w:val="center"/>
              <w:textAlignment w:val="auto"/>
            </w:pPr>
            <w:r>
              <w:rPr>
                <w:rFonts w:ascii="Arial" w:hAnsi="Arial" w:cs="Arial"/>
                <w:sz w:val="18"/>
              </w:rPr>
              <w:t>设备</w:t>
            </w:r>
          </w:p>
        </w:tc>
        <w:tc>
          <w:tcPr>
            <w:tcW w:w="2061" w:type="dxa"/>
            <w:tcBorders>
              <w:top w:val="single" w:sz="4" w:space="0" w:color="000000"/>
              <w:left w:val="single" w:sz="4" w:space="0" w:color="000000"/>
              <w:bottom w:val="single" w:sz="4" w:space="0" w:color="000000"/>
            </w:tcBorders>
            <w:shd w:val="clear" w:color="auto" w:fill="auto"/>
            <w:vAlign w:val="center"/>
          </w:tcPr>
          <w:p w14:paraId="2305F882" w14:textId="77777777" w:rsidR="00AF6F34" w:rsidRDefault="00A15F2E">
            <w:pPr>
              <w:widowControl/>
              <w:spacing w:line="240" w:lineRule="auto"/>
              <w:jc w:val="center"/>
              <w:textAlignment w:val="auto"/>
            </w:pPr>
            <w:r>
              <w:rPr>
                <w:rFonts w:ascii="Arial" w:hAnsi="Arial" w:cs="Arial" w:hint="eastAsia"/>
                <w:sz w:val="18"/>
              </w:rPr>
              <w:t>配备家具、家电；功能正常，质量有保证，较好</w:t>
            </w:r>
          </w:p>
        </w:tc>
        <w:tc>
          <w:tcPr>
            <w:tcW w:w="2072" w:type="dxa"/>
            <w:tcBorders>
              <w:top w:val="single" w:sz="4" w:space="0" w:color="000000"/>
              <w:left w:val="single" w:sz="4" w:space="0" w:color="000000"/>
              <w:bottom w:val="single" w:sz="4" w:space="0" w:color="000000"/>
            </w:tcBorders>
            <w:shd w:val="clear" w:color="auto" w:fill="auto"/>
            <w:vAlign w:val="center"/>
          </w:tcPr>
          <w:p w14:paraId="371B48E0" w14:textId="77777777" w:rsidR="00AF6F34" w:rsidRDefault="00AF6F34">
            <w:pPr>
              <w:widowControl/>
              <w:spacing w:line="240" w:lineRule="auto"/>
              <w:jc w:val="center"/>
              <w:textAlignment w:val="auto"/>
            </w:pPr>
            <w:r>
              <w:rPr>
                <w:rFonts w:ascii="Arial" w:hAnsi="Arial" w:cs="Arial" w:hint="eastAsia"/>
                <w:sz w:val="18"/>
              </w:rPr>
              <w:t>配备家具、家电；功能正常，质量有保证，较好</w:t>
            </w:r>
          </w:p>
        </w:tc>
        <w:tc>
          <w:tcPr>
            <w:tcW w:w="2072" w:type="dxa"/>
            <w:tcBorders>
              <w:top w:val="single" w:sz="4" w:space="0" w:color="000000"/>
              <w:left w:val="single" w:sz="4" w:space="0" w:color="000000"/>
              <w:bottom w:val="single" w:sz="4" w:space="0" w:color="000000"/>
            </w:tcBorders>
            <w:shd w:val="clear" w:color="auto" w:fill="auto"/>
            <w:vAlign w:val="center"/>
          </w:tcPr>
          <w:p w14:paraId="2CC79550" w14:textId="77777777" w:rsidR="00AF6F34" w:rsidRDefault="00AF6F34">
            <w:pPr>
              <w:widowControl/>
              <w:spacing w:line="240" w:lineRule="auto"/>
              <w:jc w:val="center"/>
              <w:textAlignment w:val="auto"/>
            </w:pPr>
            <w:r>
              <w:rPr>
                <w:rFonts w:ascii="Arial" w:hAnsi="Arial" w:cs="Arial" w:hint="eastAsia"/>
                <w:sz w:val="18"/>
              </w:rPr>
              <w:t>配备家具、家电；功能正常，质量有保证，较好</w:t>
            </w:r>
          </w:p>
        </w:tc>
        <w:tc>
          <w:tcPr>
            <w:tcW w:w="2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7F307" w14:textId="77777777" w:rsidR="00AF6F34" w:rsidRDefault="00AF6F34">
            <w:pPr>
              <w:widowControl/>
              <w:spacing w:line="240" w:lineRule="auto"/>
              <w:jc w:val="center"/>
              <w:textAlignment w:val="auto"/>
            </w:pPr>
            <w:r>
              <w:rPr>
                <w:rFonts w:ascii="Arial" w:hAnsi="Arial" w:cs="Arial" w:hint="eastAsia"/>
                <w:sz w:val="18"/>
              </w:rPr>
              <w:t>配备家具、家电；功能正常，质量有保证，较好</w:t>
            </w:r>
          </w:p>
        </w:tc>
      </w:tr>
      <w:tr w:rsidR="00AF6F34" w14:paraId="6DB8DBDE" w14:textId="77777777" w:rsidTr="002815CC">
        <w:trPr>
          <w:trHeight w:val="97"/>
        </w:trPr>
        <w:tc>
          <w:tcPr>
            <w:tcW w:w="428" w:type="dxa"/>
            <w:vMerge/>
            <w:tcBorders>
              <w:top w:val="single" w:sz="4" w:space="0" w:color="000000"/>
              <w:left w:val="single" w:sz="4" w:space="0" w:color="000000"/>
              <w:bottom w:val="single" w:sz="4" w:space="0" w:color="auto"/>
            </w:tcBorders>
            <w:shd w:val="clear" w:color="auto" w:fill="auto"/>
            <w:vAlign w:val="center"/>
          </w:tcPr>
          <w:p w14:paraId="67C3D96D"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shd w:val="clear" w:color="auto" w:fill="auto"/>
            <w:vAlign w:val="center"/>
          </w:tcPr>
          <w:p w14:paraId="5F790DCD" w14:textId="77777777" w:rsidR="00AF6F34" w:rsidRDefault="00AF6F34">
            <w:pPr>
              <w:widowControl/>
              <w:spacing w:line="240" w:lineRule="auto"/>
              <w:jc w:val="center"/>
              <w:textAlignment w:val="auto"/>
            </w:pPr>
            <w:r>
              <w:rPr>
                <w:rFonts w:ascii="Arial" w:hAnsi="Arial" w:cs="Arial" w:hint="eastAsia"/>
                <w:sz w:val="18"/>
              </w:rPr>
              <w:t>成新度</w:t>
            </w:r>
          </w:p>
        </w:tc>
        <w:tc>
          <w:tcPr>
            <w:tcW w:w="2061" w:type="dxa"/>
            <w:tcBorders>
              <w:top w:val="single" w:sz="4" w:space="0" w:color="000000"/>
              <w:left w:val="single" w:sz="4" w:space="0" w:color="000000"/>
              <w:bottom w:val="single" w:sz="4" w:space="0" w:color="000000"/>
            </w:tcBorders>
            <w:shd w:val="clear" w:color="auto" w:fill="auto"/>
            <w:vAlign w:val="center"/>
          </w:tcPr>
          <w:p w14:paraId="42135E32" w14:textId="77777777" w:rsidR="00AF6F34" w:rsidRDefault="00AF6F34">
            <w:pPr>
              <w:widowControl/>
              <w:spacing w:line="240" w:lineRule="auto"/>
              <w:jc w:val="center"/>
              <w:textAlignment w:val="auto"/>
            </w:pPr>
            <w:r>
              <w:rPr>
                <w:rFonts w:ascii="Arial" w:hAnsi="Arial" w:cs="Arial"/>
                <w:sz w:val="18"/>
              </w:rPr>
              <w:t>70-80%</w:t>
            </w:r>
          </w:p>
        </w:tc>
        <w:tc>
          <w:tcPr>
            <w:tcW w:w="2072" w:type="dxa"/>
            <w:tcBorders>
              <w:top w:val="single" w:sz="4" w:space="0" w:color="000000"/>
              <w:left w:val="single" w:sz="4" w:space="0" w:color="000000"/>
              <w:bottom w:val="single" w:sz="4" w:space="0" w:color="000000"/>
            </w:tcBorders>
            <w:shd w:val="clear" w:color="auto" w:fill="auto"/>
            <w:vAlign w:val="center"/>
          </w:tcPr>
          <w:p w14:paraId="7C116D24" w14:textId="77777777" w:rsidR="00AF6F34" w:rsidRDefault="00AF6F34">
            <w:pPr>
              <w:widowControl/>
              <w:spacing w:line="240" w:lineRule="auto"/>
              <w:jc w:val="center"/>
              <w:textAlignment w:val="auto"/>
            </w:pPr>
            <w:r>
              <w:rPr>
                <w:rFonts w:ascii="Arial" w:hAnsi="Arial" w:cs="Arial"/>
                <w:sz w:val="18"/>
              </w:rPr>
              <w:t>60-70</w:t>
            </w:r>
            <w:r>
              <w:rPr>
                <w:rFonts w:ascii="Arial" w:hAnsi="Arial" w:cs="Arial" w:hint="eastAsia"/>
                <w:sz w:val="18"/>
              </w:rPr>
              <w:t>%</w:t>
            </w:r>
          </w:p>
        </w:tc>
        <w:tc>
          <w:tcPr>
            <w:tcW w:w="2072" w:type="dxa"/>
            <w:tcBorders>
              <w:top w:val="single" w:sz="4" w:space="0" w:color="000000"/>
              <w:left w:val="single" w:sz="4" w:space="0" w:color="000000"/>
              <w:bottom w:val="single" w:sz="4" w:space="0" w:color="000000"/>
            </w:tcBorders>
            <w:shd w:val="clear" w:color="auto" w:fill="auto"/>
            <w:vAlign w:val="center"/>
          </w:tcPr>
          <w:p w14:paraId="4394FB22" w14:textId="4D3F298E" w:rsidR="00AF6F34" w:rsidRDefault="00FB7530" w:rsidP="00FB7530">
            <w:pPr>
              <w:widowControl/>
              <w:spacing w:line="240" w:lineRule="auto"/>
              <w:jc w:val="center"/>
              <w:textAlignment w:val="auto"/>
            </w:pPr>
            <w:r>
              <w:rPr>
                <w:rFonts w:ascii="Arial" w:hAnsi="Arial" w:cs="Arial"/>
                <w:sz w:val="18"/>
              </w:rPr>
              <w:t>7</w:t>
            </w:r>
            <w:r>
              <w:rPr>
                <w:rFonts w:ascii="Arial" w:hAnsi="Arial" w:cs="Arial"/>
                <w:sz w:val="18"/>
              </w:rPr>
              <w:t>0-</w:t>
            </w:r>
            <w:r>
              <w:rPr>
                <w:rFonts w:ascii="Arial" w:hAnsi="Arial" w:cs="Arial"/>
                <w:sz w:val="18"/>
              </w:rPr>
              <w:t>8</w:t>
            </w:r>
            <w:r>
              <w:rPr>
                <w:rFonts w:ascii="Arial" w:hAnsi="Arial" w:cs="Arial"/>
                <w:sz w:val="18"/>
              </w:rPr>
              <w:t>0</w:t>
            </w:r>
            <w:r>
              <w:rPr>
                <w:rFonts w:ascii="Arial" w:hAnsi="Arial" w:cs="Arial" w:hint="eastAsia"/>
                <w:sz w:val="18"/>
              </w:rPr>
              <w:t>%</w:t>
            </w:r>
          </w:p>
        </w:tc>
        <w:tc>
          <w:tcPr>
            <w:tcW w:w="2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32756" w14:textId="77777777" w:rsidR="00AF6F34" w:rsidRDefault="00A15F2E">
            <w:pPr>
              <w:widowControl/>
              <w:spacing w:line="240" w:lineRule="auto"/>
              <w:jc w:val="center"/>
              <w:textAlignment w:val="auto"/>
            </w:pPr>
            <w:r>
              <w:rPr>
                <w:rFonts w:ascii="Arial" w:hAnsi="Arial" w:cs="Arial"/>
                <w:sz w:val="18"/>
              </w:rPr>
              <w:t>80-9</w:t>
            </w:r>
            <w:r w:rsidR="00AF6F34">
              <w:rPr>
                <w:rFonts w:ascii="Arial" w:hAnsi="Arial" w:cs="Arial"/>
                <w:sz w:val="18"/>
              </w:rPr>
              <w:t>0%</w:t>
            </w:r>
          </w:p>
        </w:tc>
      </w:tr>
    </w:tbl>
    <w:p w14:paraId="592FDA42" w14:textId="77777777" w:rsidR="00AF6F34" w:rsidRDefault="00AF6F34">
      <w:pPr>
        <w:pageBreakBefore/>
        <w:overflowPunct w:val="0"/>
        <w:spacing w:line="480" w:lineRule="auto"/>
        <w:ind w:firstLine="420"/>
      </w:pPr>
      <w:r>
        <w:rPr>
          <w:rFonts w:ascii="Arial" w:hAnsi="Arial" w:cs="Arial" w:hint="eastAsia"/>
          <w:sz w:val="21"/>
          <w:szCs w:val="21"/>
        </w:rPr>
        <w:lastRenderedPageBreak/>
        <w:t>（</w:t>
      </w:r>
      <w:r>
        <w:rPr>
          <w:rFonts w:ascii="Arial" w:hAnsi="Arial" w:cs="Arial" w:hint="eastAsia"/>
          <w:sz w:val="21"/>
          <w:szCs w:val="21"/>
        </w:rPr>
        <w:t>2</w:t>
      </w:r>
      <w:r>
        <w:rPr>
          <w:rFonts w:ascii="Arial" w:hAnsi="Arial" w:cs="Arial" w:hint="eastAsia"/>
          <w:sz w:val="21"/>
          <w:szCs w:val="21"/>
        </w:rPr>
        <w:t>）</w:t>
      </w:r>
      <w:r>
        <w:rPr>
          <w:rFonts w:ascii="Arial" w:eastAsia="Arial" w:hAnsi="Arial" w:cs="Arial"/>
          <w:sz w:val="21"/>
          <w:szCs w:val="21"/>
        </w:rPr>
        <w:t xml:space="preserve"> </w:t>
      </w:r>
      <w:r>
        <w:rPr>
          <w:rFonts w:ascii="Arial" w:hAnsi="Arial" w:cs="Arial" w:hint="eastAsia"/>
          <w:sz w:val="21"/>
          <w:szCs w:val="21"/>
        </w:rPr>
        <w:t>建立比较因素条件指数表和因素比较修正系数表</w:t>
      </w:r>
      <w:r>
        <w:rPr>
          <w:rFonts w:ascii="Arial" w:eastAsia="Arial" w:hAnsi="Arial" w:cs="Arial"/>
          <w:sz w:val="21"/>
          <w:szCs w:val="21"/>
        </w:rPr>
        <w:t xml:space="preserve"> </w:t>
      </w:r>
    </w:p>
    <w:p w14:paraId="1BD4FAD5" w14:textId="77777777" w:rsidR="00AF6F34" w:rsidRDefault="00AF6F34">
      <w:pPr>
        <w:overflowPunct w:val="0"/>
        <w:spacing w:line="480" w:lineRule="auto"/>
        <w:ind w:firstLine="420"/>
      </w:pPr>
      <w:r>
        <w:rPr>
          <w:rFonts w:ascii="Arial" w:hAnsi="Arial" w:cs="Arial"/>
          <w:sz w:val="21"/>
          <w:szCs w:val="21"/>
        </w:rPr>
        <w:t>根据对估价对象和可比案例情况的分析，把各可比案例的自身状况按照参比因素分别与估价对象的相应状况进行比较，编制比较因素条件指数表。具体如下</w:t>
      </w:r>
      <w:r>
        <w:rPr>
          <w:rFonts w:ascii="Arial" w:hAnsi="Arial" w:cs="Arial" w:hint="eastAsia"/>
          <w:sz w:val="21"/>
          <w:szCs w:val="21"/>
        </w:rPr>
        <w:t>：</w:t>
      </w:r>
    </w:p>
    <w:p w14:paraId="54A78396" w14:textId="77777777" w:rsidR="00AF6F34" w:rsidRDefault="00AF6F34">
      <w:pPr>
        <w:overflowPunct w:val="0"/>
        <w:spacing w:line="480" w:lineRule="auto"/>
        <w:ind w:firstLine="420"/>
        <w:jc w:val="center"/>
      </w:pPr>
      <w:r>
        <w:rPr>
          <w:rFonts w:ascii="Arial" w:hAnsi="Arial" w:cs="Arial" w:hint="eastAsia"/>
          <w:sz w:val="21"/>
          <w:szCs w:val="21"/>
        </w:rPr>
        <w:t>南海家园比较因素条件指数表</w:t>
      </w:r>
    </w:p>
    <w:tbl>
      <w:tblPr>
        <w:tblW w:w="0" w:type="auto"/>
        <w:tblInd w:w="-117" w:type="dxa"/>
        <w:tblLayout w:type="fixed"/>
        <w:tblLook w:val="0000" w:firstRow="0" w:lastRow="0" w:firstColumn="0" w:lastColumn="0" w:noHBand="0" w:noVBand="0"/>
      </w:tblPr>
      <w:tblGrid>
        <w:gridCol w:w="427"/>
        <w:gridCol w:w="815"/>
        <w:gridCol w:w="1134"/>
        <w:gridCol w:w="1134"/>
        <w:gridCol w:w="1134"/>
        <w:gridCol w:w="1134"/>
        <w:gridCol w:w="3747"/>
      </w:tblGrid>
      <w:tr w:rsidR="00AF6F34" w14:paraId="1CA69D53" w14:textId="77777777" w:rsidTr="00F52851">
        <w:trPr>
          <w:trHeight w:val="405"/>
          <w:tblHeader/>
        </w:trPr>
        <w:tc>
          <w:tcPr>
            <w:tcW w:w="1242" w:type="dxa"/>
            <w:gridSpan w:val="2"/>
            <w:vMerge w:val="restart"/>
            <w:tcBorders>
              <w:top w:val="single" w:sz="4" w:space="0" w:color="000000"/>
              <w:left w:val="single" w:sz="4" w:space="0" w:color="000000"/>
              <w:bottom w:val="single" w:sz="4" w:space="0" w:color="000000"/>
              <w:tl2br w:val="single" w:sz="4" w:space="0" w:color="auto"/>
            </w:tcBorders>
            <w:shd w:val="clear" w:color="auto" w:fill="auto"/>
          </w:tcPr>
          <w:p w14:paraId="396FF2E6" w14:textId="77777777" w:rsidR="00AF6F34" w:rsidRDefault="00AF6F34" w:rsidP="00F52851">
            <w:pPr>
              <w:widowControl/>
              <w:pBdr>
                <w:bottom w:val="single" w:sz="4" w:space="1" w:color="auto"/>
              </w:pBdr>
              <w:spacing w:line="240" w:lineRule="auto"/>
              <w:jc w:val="right"/>
              <w:textAlignment w:val="auto"/>
            </w:pPr>
            <w:r>
              <w:rPr>
                <w:rFonts w:ascii="Arial" w:hAnsi="Arial" w:cs="Arial"/>
                <w:sz w:val="18"/>
                <w:szCs w:val="18"/>
              </w:rPr>
              <w:t>估价对象及</w:t>
            </w:r>
          </w:p>
          <w:p w14:paraId="16C6407E" w14:textId="77777777" w:rsidR="00AF6F34" w:rsidRDefault="00AF6F34" w:rsidP="00F52851">
            <w:pPr>
              <w:widowControl/>
              <w:pBdr>
                <w:bottom w:val="single" w:sz="4" w:space="1" w:color="auto"/>
              </w:pBdr>
              <w:spacing w:line="240" w:lineRule="auto"/>
              <w:jc w:val="right"/>
              <w:textAlignment w:val="auto"/>
            </w:pPr>
            <w:r>
              <w:rPr>
                <w:rFonts w:ascii="Arial" w:hAnsi="Arial" w:cs="Arial"/>
                <w:sz w:val="18"/>
                <w:szCs w:val="18"/>
              </w:rPr>
              <w:t>可比</w:t>
            </w:r>
            <w:r>
              <w:rPr>
                <w:rFonts w:ascii="Arial" w:hAnsi="Arial" w:cs="Arial" w:hint="eastAsia"/>
                <w:sz w:val="18"/>
                <w:szCs w:val="18"/>
              </w:rPr>
              <w:t>实例</w:t>
            </w:r>
          </w:p>
          <w:p w14:paraId="4EA4DA92" w14:textId="77777777" w:rsidR="00AF6F34" w:rsidRDefault="00AF6F34" w:rsidP="00F52851">
            <w:pPr>
              <w:widowControl/>
              <w:pBdr>
                <w:bottom w:val="single" w:sz="4" w:space="1" w:color="auto"/>
              </w:pBdr>
              <w:spacing w:line="240" w:lineRule="auto"/>
              <w:jc w:val="right"/>
              <w:textAlignment w:val="auto"/>
              <w:rPr>
                <w:rFonts w:ascii="Arial" w:hAnsi="Arial" w:cs="Arial"/>
                <w:sz w:val="18"/>
                <w:szCs w:val="18"/>
              </w:rPr>
            </w:pPr>
          </w:p>
          <w:p w14:paraId="2561E0BE" w14:textId="77777777" w:rsidR="00AF6F34" w:rsidRDefault="00AF6F34" w:rsidP="00F52851">
            <w:pPr>
              <w:widowControl/>
              <w:pBdr>
                <w:bottom w:val="single" w:sz="4" w:space="1" w:color="auto"/>
              </w:pBdr>
              <w:spacing w:line="240" w:lineRule="auto"/>
              <w:jc w:val="right"/>
              <w:textAlignment w:val="auto"/>
              <w:rPr>
                <w:rFonts w:ascii="Arial" w:hAnsi="Arial" w:cs="Arial"/>
                <w:sz w:val="18"/>
                <w:szCs w:val="18"/>
              </w:rPr>
            </w:pPr>
          </w:p>
          <w:p w14:paraId="36F79A5D" w14:textId="77777777" w:rsidR="00AF6F34" w:rsidRDefault="00AF6F34" w:rsidP="00F52851">
            <w:pPr>
              <w:widowControl/>
              <w:pBdr>
                <w:bottom w:val="single" w:sz="4" w:space="1" w:color="auto"/>
              </w:pBdr>
              <w:spacing w:line="240" w:lineRule="auto"/>
              <w:textAlignment w:val="auto"/>
            </w:pPr>
            <w:r>
              <w:rPr>
                <w:rFonts w:ascii="Arial" w:hAnsi="Arial" w:cs="Arial"/>
                <w:sz w:val="18"/>
                <w:szCs w:val="18"/>
              </w:rPr>
              <w:t>比较因素</w:t>
            </w:r>
          </w:p>
        </w:tc>
        <w:tc>
          <w:tcPr>
            <w:tcW w:w="1134" w:type="dxa"/>
            <w:tcBorders>
              <w:top w:val="single" w:sz="4" w:space="0" w:color="000000"/>
              <w:left w:val="single" w:sz="4" w:space="0" w:color="000000"/>
              <w:bottom w:val="single" w:sz="4" w:space="0" w:color="000000"/>
            </w:tcBorders>
            <w:shd w:val="clear" w:color="auto" w:fill="auto"/>
            <w:vAlign w:val="center"/>
          </w:tcPr>
          <w:p w14:paraId="53E9A43F" w14:textId="77777777" w:rsidR="00AF6F34" w:rsidRDefault="00AF6F34">
            <w:pPr>
              <w:widowControl/>
              <w:spacing w:line="240" w:lineRule="auto"/>
              <w:jc w:val="center"/>
              <w:textAlignment w:val="auto"/>
            </w:pPr>
            <w:r>
              <w:rPr>
                <w:rFonts w:ascii="Arial" w:hAnsi="Arial" w:cs="Arial"/>
                <w:sz w:val="18"/>
                <w:szCs w:val="18"/>
              </w:rPr>
              <w:t>估价对象</w:t>
            </w:r>
          </w:p>
        </w:tc>
        <w:tc>
          <w:tcPr>
            <w:tcW w:w="1134" w:type="dxa"/>
            <w:tcBorders>
              <w:top w:val="single" w:sz="4" w:space="0" w:color="000000"/>
              <w:left w:val="single" w:sz="4" w:space="0" w:color="000000"/>
              <w:bottom w:val="single" w:sz="4" w:space="0" w:color="000000"/>
            </w:tcBorders>
            <w:shd w:val="clear" w:color="auto" w:fill="auto"/>
            <w:vAlign w:val="center"/>
          </w:tcPr>
          <w:p w14:paraId="454EE326" w14:textId="77777777" w:rsidR="00AF6F34" w:rsidRDefault="00AF6F34">
            <w:pPr>
              <w:widowControl/>
              <w:spacing w:line="240" w:lineRule="auto"/>
              <w:jc w:val="center"/>
              <w:textAlignment w:val="auto"/>
            </w:pPr>
            <w:r>
              <w:rPr>
                <w:rFonts w:ascii="Arial" w:hAnsi="Arial" w:cs="Arial"/>
                <w:sz w:val="18"/>
                <w:szCs w:val="18"/>
              </w:rPr>
              <w:t>可比实例</w:t>
            </w:r>
            <w:r>
              <w:rPr>
                <w:rFonts w:ascii="Arial" w:hAnsi="Arial" w:cs="Arial"/>
                <w:sz w:val="18"/>
                <w:szCs w:val="18"/>
              </w:rPr>
              <w:t>1</w:t>
            </w:r>
          </w:p>
        </w:tc>
        <w:tc>
          <w:tcPr>
            <w:tcW w:w="1134" w:type="dxa"/>
            <w:tcBorders>
              <w:top w:val="single" w:sz="4" w:space="0" w:color="000000"/>
              <w:left w:val="single" w:sz="4" w:space="0" w:color="000000"/>
              <w:bottom w:val="single" w:sz="4" w:space="0" w:color="000000"/>
            </w:tcBorders>
            <w:shd w:val="clear" w:color="auto" w:fill="auto"/>
            <w:vAlign w:val="center"/>
          </w:tcPr>
          <w:p w14:paraId="7E6CEF9C" w14:textId="77777777" w:rsidR="00AF6F34" w:rsidRDefault="00AF6F34">
            <w:pPr>
              <w:widowControl/>
              <w:spacing w:line="240" w:lineRule="auto"/>
              <w:jc w:val="center"/>
              <w:textAlignment w:val="auto"/>
            </w:pPr>
            <w:r>
              <w:rPr>
                <w:rFonts w:ascii="Arial" w:hAnsi="Arial" w:cs="Arial"/>
                <w:sz w:val="18"/>
                <w:szCs w:val="18"/>
              </w:rPr>
              <w:t>可比实例</w:t>
            </w:r>
            <w:r>
              <w:rPr>
                <w:rFonts w:ascii="Arial" w:hAnsi="Arial" w:cs="Arial"/>
                <w:sz w:val="18"/>
                <w:szCs w:val="18"/>
              </w:rPr>
              <w:t>2</w:t>
            </w:r>
          </w:p>
        </w:tc>
        <w:tc>
          <w:tcPr>
            <w:tcW w:w="1134" w:type="dxa"/>
            <w:tcBorders>
              <w:top w:val="single" w:sz="4" w:space="0" w:color="000000"/>
              <w:left w:val="single" w:sz="4" w:space="0" w:color="000000"/>
              <w:bottom w:val="single" w:sz="4" w:space="0" w:color="000000"/>
            </w:tcBorders>
            <w:shd w:val="clear" w:color="auto" w:fill="auto"/>
            <w:vAlign w:val="center"/>
          </w:tcPr>
          <w:p w14:paraId="34312677" w14:textId="77777777" w:rsidR="00AF6F34" w:rsidRDefault="00AF6F34">
            <w:pPr>
              <w:widowControl/>
              <w:spacing w:line="240" w:lineRule="auto"/>
              <w:jc w:val="center"/>
              <w:textAlignment w:val="auto"/>
            </w:pPr>
            <w:r>
              <w:rPr>
                <w:rFonts w:ascii="Arial" w:hAnsi="Arial" w:cs="Arial"/>
                <w:sz w:val="18"/>
                <w:szCs w:val="18"/>
              </w:rPr>
              <w:t>可比实例</w:t>
            </w:r>
            <w:r>
              <w:rPr>
                <w:rFonts w:ascii="Arial" w:hAnsi="Arial" w:cs="Arial"/>
                <w:sz w:val="18"/>
                <w:szCs w:val="18"/>
              </w:rPr>
              <w:t>3</w:t>
            </w:r>
          </w:p>
        </w:tc>
        <w:tc>
          <w:tcPr>
            <w:tcW w:w="37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D6132" w14:textId="77777777" w:rsidR="00AF6F34" w:rsidRDefault="00AF6F34">
            <w:pPr>
              <w:widowControl/>
              <w:spacing w:line="240" w:lineRule="auto"/>
              <w:jc w:val="center"/>
              <w:textAlignment w:val="auto"/>
            </w:pPr>
            <w:r>
              <w:rPr>
                <w:rFonts w:ascii="Arial" w:hAnsi="Arial" w:cs="Arial"/>
                <w:sz w:val="18"/>
                <w:szCs w:val="18"/>
              </w:rPr>
              <w:t>比较因素调整说明</w:t>
            </w:r>
          </w:p>
        </w:tc>
      </w:tr>
      <w:tr w:rsidR="00AF6F34" w14:paraId="50E1AFF4" w14:textId="77777777" w:rsidTr="00F52851">
        <w:trPr>
          <w:trHeight w:val="555"/>
          <w:tblHeader/>
        </w:trPr>
        <w:tc>
          <w:tcPr>
            <w:tcW w:w="1242" w:type="dxa"/>
            <w:gridSpan w:val="2"/>
            <w:vMerge/>
            <w:tcBorders>
              <w:top w:val="single" w:sz="4" w:space="0" w:color="000000"/>
              <w:left w:val="single" w:sz="4" w:space="0" w:color="000000"/>
              <w:bottom w:val="single" w:sz="4" w:space="0" w:color="000000"/>
              <w:tl2br w:val="single" w:sz="4" w:space="0" w:color="auto"/>
            </w:tcBorders>
            <w:shd w:val="clear" w:color="auto" w:fill="auto"/>
          </w:tcPr>
          <w:p w14:paraId="3EEE2AAE" w14:textId="77777777" w:rsidR="00AF6F34" w:rsidRDefault="00AF6F34">
            <w:pPr>
              <w:widowControl/>
              <w:snapToGrid w:val="0"/>
              <w:spacing w:line="240" w:lineRule="auto"/>
              <w:textAlignment w:val="auto"/>
              <w:rPr>
                <w:rFonts w:ascii="Arial" w:hAnsi="Arial" w:cs="Arial"/>
                <w:sz w:val="18"/>
                <w:szCs w:val="18"/>
              </w:rPr>
            </w:pPr>
          </w:p>
        </w:tc>
        <w:tc>
          <w:tcPr>
            <w:tcW w:w="1134" w:type="dxa"/>
            <w:tcBorders>
              <w:left w:val="single" w:sz="4" w:space="0" w:color="000000"/>
              <w:bottom w:val="single" w:sz="4" w:space="0" w:color="000000"/>
            </w:tcBorders>
            <w:shd w:val="clear" w:color="auto" w:fill="auto"/>
            <w:vAlign w:val="center"/>
          </w:tcPr>
          <w:p w14:paraId="51E83186" w14:textId="77777777" w:rsidR="00AF6F34" w:rsidRDefault="00AF6F34">
            <w:pPr>
              <w:widowControl/>
              <w:spacing w:line="240" w:lineRule="auto"/>
              <w:jc w:val="center"/>
              <w:textAlignment w:val="auto"/>
            </w:pPr>
            <w:r>
              <w:rPr>
                <w:rFonts w:ascii="宋体" w:hAnsi="宋体" w:cs="Arial" w:hint="eastAsia"/>
                <w:sz w:val="18"/>
              </w:rPr>
              <w:t>南海家园</w:t>
            </w:r>
          </w:p>
        </w:tc>
        <w:tc>
          <w:tcPr>
            <w:tcW w:w="1134" w:type="dxa"/>
            <w:tcBorders>
              <w:left w:val="single" w:sz="4" w:space="0" w:color="000000"/>
              <w:bottom w:val="single" w:sz="4" w:space="0" w:color="000000"/>
            </w:tcBorders>
            <w:shd w:val="clear" w:color="auto" w:fill="auto"/>
            <w:vAlign w:val="center"/>
          </w:tcPr>
          <w:p w14:paraId="53C0B320" w14:textId="77777777" w:rsidR="00AF6F34" w:rsidRDefault="00AF6F34">
            <w:pPr>
              <w:widowControl/>
              <w:spacing w:line="240" w:lineRule="auto"/>
              <w:jc w:val="center"/>
              <w:textAlignment w:val="auto"/>
            </w:pPr>
            <w:r>
              <w:rPr>
                <w:rFonts w:ascii="Arial" w:hAnsi="Arial" w:cs="Arial" w:hint="eastAsia"/>
                <w:sz w:val="18"/>
              </w:rPr>
              <w:t>鹿海园</w:t>
            </w:r>
          </w:p>
        </w:tc>
        <w:tc>
          <w:tcPr>
            <w:tcW w:w="1134" w:type="dxa"/>
            <w:tcBorders>
              <w:left w:val="single" w:sz="4" w:space="0" w:color="000000"/>
              <w:bottom w:val="single" w:sz="4" w:space="0" w:color="000000"/>
            </w:tcBorders>
            <w:shd w:val="clear" w:color="auto" w:fill="auto"/>
            <w:vAlign w:val="center"/>
          </w:tcPr>
          <w:p w14:paraId="22A4BD7A" w14:textId="77777777" w:rsidR="00AF6F34" w:rsidRDefault="00AF6F34">
            <w:pPr>
              <w:widowControl/>
              <w:spacing w:line="240" w:lineRule="auto"/>
              <w:jc w:val="center"/>
              <w:textAlignment w:val="auto"/>
            </w:pPr>
            <w:r>
              <w:rPr>
                <w:rFonts w:ascii="Arial" w:hAnsi="Arial" w:cs="Arial" w:hint="eastAsia"/>
                <w:sz w:val="18"/>
              </w:rPr>
              <w:t>泰河园</w:t>
            </w:r>
          </w:p>
        </w:tc>
        <w:tc>
          <w:tcPr>
            <w:tcW w:w="1134" w:type="dxa"/>
            <w:tcBorders>
              <w:left w:val="single" w:sz="4" w:space="0" w:color="000000"/>
              <w:bottom w:val="single" w:sz="4" w:space="0" w:color="000000"/>
            </w:tcBorders>
            <w:shd w:val="clear" w:color="auto" w:fill="auto"/>
            <w:vAlign w:val="center"/>
          </w:tcPr>
          <w:p w14:paraId="2505A58C" w14:textId="77777777" w:rsidR="00AF6F34" w:rsidRDefault="00830400">
            <w:pPr>
              <w:widowControl/>
              <w:spacing w:line="240" w:lineRule="auto"/>
              <w:jc w:val="center"/>
              <w:textAlignment w:val="auto"/>
            </w:pPr>
            <w:r>
              <w:rPr>
                <w:rFonts w:ascii="Arial" w:hAnsi="Arial" w:cs="Arial" w:hint="eastAsia"/>
                <w:sz w:val="18"/>
              </w:rPr>
              <w:t>和悦华锦</w:t>
            </w:r>
          </w:p>
        </w:tc>
        <w:tc>
          <w:tcPr>
            <w:tcW w:w="3747" w:type="dxa"/>
            <w:tcBorders>
              <w:left w:val="single" w:sz="4" w:space="0" w:color="000000"/>
              <w:bottom w:val="single" w:sz="4" w:space="0" w:color="000000"/>
              <w:right w:val="single" w:sz="4" w:space="0" w:color="000000"/>
            </w:tcBorders>
            <w:shd w:val="clear" w:color="auto" w:fill="auto"/>
            <w:vAlign w:val="center"/>
          </w:tcPr>
          <w:p w14:paraId="64ACB67C" w14:textId="77777777" w:rsidR="00AF6F34" w:rsidRDefault="00AF6F34">
            <w:pPr>
              <w:widowControl/>
              <w:spacing w:line="240" w:lineRule="auto"/>
              <w:jc w:val="center"/>
              <w:textAlignment w:val="auto"/>
            </w:pPr>
            <w:r>
              <w:rPr>
                <w:rFonts w:ascii="Arial" w:hAnsi="Arial" w:cs="Arial"/>
                <w:sz w:val="18"/>
                <w:szCs w:val="18"/>
              </w:rPr>
              <w:t>——</w:t>
            </w:r>
          </w:p>
        </w:tc>
      </w:tr>
      <w:tr w:rsidR="00AF6F34" w14:paraId="790F7391" w14:textId="77777777">
        <w:trPr>
          <w:trHeight w:val="601"/>
        </w:trPr>
        <w:tc>
          <w:tcPr>
            <w:tcW w:w="1242" w:type="dxa"/>
            <w:gridSpan w:val="2"/>
            <w:tcBorders>
              <w:top w:val="single" w:sz="4" w:space="0" w:color="000000"/>
              <w:left w:val="single" w:sz="4" w:space="0" w:color="000000"/>
              <w:bottom w:val="single" w:sz="4" w:space="0" w:color="000000"/>
            </w:tcBorders>
            <w:shd w:val="clear" w:color="auto" w:fill="auto"/>
            <w:vAlign w:val="bottom"/>
          </w:tcPr>
          <w:p w14:paraId="7D27F59C" w14:textId="77777777" w:rsidR="00AF6F34" w:rsidRDefault="00AF6F34">
            <w:pPr>
              <w:widowControl/>
              <w:spacing w:line="240" w:lineRule="auto"/>
              <w:textAlignment w:val="auto"/>
            </w:pPr>
            <w:r>
              <w:rPr>
                <w:rFonts w:ascii="Arial" w:hAnsi="Arial" w:cs="Arial"/>
                <w:sz w:val="18"/>
                <w:szCs w:val="18"/>
              </w:rPr>
              <w:t>确定的交易价格（元</w:t>
            </w:r>
            <w:r>
              <w:rPr>
                <w:rFonts w:ascii="Arial" w:hAnsi="Arial" w:cs="Arial"/>
                <w:sz w:val="18"/>
                <w:szCs w:val="18"/>
              </w:rPr>
              <w:t>/</w:t>
            </w:r>
            <w:r>
              <w:rPr>
                <w:rFonts w:ascii="Arial" w:hAnsi="Arial" w:cs="Arial"/>
                <w:sz w:val="18"/>
                <w:szCs w:val="18"/>
              </w:rPr>
              <w:t>平方米</w:t>
            </w:r>
            <w:r>
              <w:rPr>
                <w:rFonts w:ascii="Arial" w:hAnsi="Arial" w:cs="Arial"/>
                <w:sz w:val="18"/>
              </w:rPr>
              <w:t>·</w:t>
            </w:r>
            <w:r>
              <w:rPr>
                <w:rFonts w:ascii="宋体" w:hAnsi="宋体" w:cs="Arial" w:hint="eastAsia"/>
                <w:sz w:val="18"/>
              </w:rPr>
              <w:t>月</w:t>
            </w:r>
            <w:r>
              <w:rPr>
                <w:rFonts w:ascii="Arial" w:hAnsi="Arial" w:cs="Arial"/>
                <w:sz w:val="18"/>
                <w:szCs w:val="18"/>
              </w:rPr>
              <w:t>）</w:t>
            </w:r>
          </w:p>
        </w:tc>
        <w:tc>
          <w:tcPr>
            <w:tcW w:w="1134" w:type="dxa"/>
            <w:tcBorders>
              <w:left w:val="single" w:sz="4" w:space="0" w:color="000000"/>
              <w:bottom w:val="single" w:sz="4" w:space="0" w:color="000000"/>
            </w:tcBorders>
            <w:shd w:val="clear" w:color="auto" w:fill="auto"/>
            <w:vAlign w:val="center"/>
          </w:tcPr>
          <w:p w14:paraId="010656F0" w14:textId="77777777" w:rsidR="00AF6F34" w:rsidRDefault="00AF6F34">
            <w:pPr>
              <w:widowControl/>
              <w:spacing w:line="240" w:lineRule="auto"/>
              <w:jc w:val="center"/>
              <w:textAlignment w:val="auto"/>
            </w:pPr>
            <w:r>
              <w:rPr>
                <w:rFonts w:ascii="宋体" w:hAnsi="宋体" w:cs="Arial" w:hint="eastAsia"/>
                <w:sz w:val="18"/>
              </w:rPr>
              <w:t>待估</w:t>
            </w:r>
          </w:p>
        </w:tc>
        <w:tc>
          <w:tcPr>
            <w:tcW w:w="1134" w:type="dxa"/>
            <w:tcBorders>
              <w:left w:val="single" w:sz="4" w:space="0" w:color="000000"/>
              <w:bottom w:val="single" w:sz="4" w:space="0" w:color="000000"/>
            </w:tcBorders>
            <w:shd w:val="clear" w:color="auto" w:fill="auto"/>
            <w:vAlign w:val="center"/>
          </w:tcPr>
          <w:p w14:paraId="6B41F300" w14:textId="713F4110" w:rsidR="00AF6F34" w:rsidRDefault="00467FB2">
            <w:pPr>
              <w:widowControl/>
              <w:spacing w:line="240" w:lineRule="auto"/>
              <w:jc w:val="center"/>
            </w:pPr>
            <w:r>
              <w:rPr>
                <w:rFonts w:ascii="Arial" w:hAnsi="Arial" w:cs="Arial"/>
                <w:sz w:val="18"/>
              </w:rPr>
              <w:t>54.19</w:t>
            </w:r>
          </w:p>
        </w:tc>
        <w:tc>
          <w:tcPr>
            <w:tcW w:w="1134" w:type="dxa"/>
            <w:tcBorders>
              <w:left w:val="single" w:sz="4" w:space="0" w:color="000000"/>
              <w:bottom w:val="single" w:sz="4" w:space="0" w:color="000000"/>
            </w:tcBorders>
            <w:shd w:val="clear" w:color="auto" w:fill="auto"/>
            <w:vAlign w:val="center"/>
          </w:tcPr>
          <w:p w14:paraId="5C144195" w14:textId="0D10B80A" w:rsidR="00AF6F34" w:rsidRDefault="00467FB2">
            <w:pPr>
              <w:widowControl/>
              <w:spacing w:line="240" w:lineRule="auto"/>
              <w:jc w:val="center"/>
            </w:pPr>
            <w:r>
              <w:rPr>
                <w:rFonts w:ascii="Arial" w:hAnsi="Arial" w:cs="Arial"/>
                <w:sz w:val="18"/>
              </w:rPr>
              <w:t>55.58</w:t>
            </w:r>
          </w:p>
        </w:tc>
        <w:tc>
          <w:tcPr>
            <w:tcW w:w="1134" w:type="dxa"/>
            <w:tcBorders>
              <w:left w:val="single" w:sz="4" w:space="0" w:color="000000"/>
              <w:bottom w:val="single" w:sz="4" w:space="0" w:color="000000"/>
            </w:tcBorders>
            <w:shd w:val="clear" w:color="auto" w:fill="auto"/>
            <w:vAlign w:val="center"/>
          </w:tcPr>
          <w:p w14:paraId="1024DCCE" w14:textId="40A2F5B6" w:rsidR="00AF6F34" w:rsidRDefault="00467FB2">
            <w:pPr>
              <w:widowControl/>
              <w:spacing w:line="240" w:lineRule="auto"/>
              <w:jc w:val="center"/>
            </w:pPr>
            <w:r>
              <w:rPr>
                <w:rFonts w:ascii="Arial" w:hAnsi="Arial" w:cs="Arial"/>
                <w:sz w:val="18"/>
              </w:rPr>
              <w:t>52.34</w:t>
            </w:r>
          </w:p>
        </w:tc>
        <w:tc>
          <w:tcPr>
            <w:tcW w:w="3747" w:type="dxa"/>
            <w:tcBorders>
              <w:left w:val="single" w:sz="4" w:space="0" w:color="000000"/>
              <w:bottom w:val="single" w:sz="4" w:space="0" w:color="000000"/>
              <w:right w:val="single" w:sz="4" w:space="0" w:color="000000"/>
            </w:tcBorders>
            <w:shd w:val="clear" w:color="auto" w:fill="auto"/>
            <w:vAlign w:val="center"/>
          </w:tcPr>
          <w:p w14:paraId="71377EFC" w14:textId="77777777" w:rsidR="00AF6F34" w:rsidRDefault="00AF6F34">
            <w:pPr>
              <w:widowControl/>
              <w:spacing w:line="240" w:lineRule="auto"/>
              <w:jc w:val="center"/>
              <w:textAlignment w:val="auto"/>
            </w:pPr>
            <w:r>
              <w:rPr>
                <w:rFonts w:ascii="Arial" w:hAnsi="Arial" w:cs="Arial"/>
                <w:sz w:val="18"/>
                <w:szCs w:val="18"/>
              </w:rPr>
              <w:t>——</w:t>
            </w:r>
          </w:p>
        </w:tc>
      </w:tr>
      <w:tr w:rsidR="00AF6F34" w14:paraId="1B5A35DF" w14:textId="77777777">
        <w:trPr>
          <w:trHeight w:val="533"/>
        </w:trPr>
        <w:tc>
          <w:tcPr>
            <w:tcW w:w="1242" w:type="dxa"/>
            <w:gridSpan w:val="2"/>
            <w:tcBorders>
              <w:top w:val="single" w:sz="4" w:space="0" w:color="000000"/>
              <w:left w:val="single" w:sz="4" w:space="0" w:color="000000"/>
              <w:bottom w:val="single" w:sz="4" w:space="0" w:color="000000"/>
            </w:tcBorders>
            <w:shd w:val="clear" w:color="auto" w:fill="auto"/>
            <w:vAlign w:val="center"/>
          </w:tcPr>
          <w:p w14:paraId="60D182C7" w14:textId="77777777" w:rsidR="00AF6F34" w:rsidRDefault="00AF6F34">
            <w:pPr>
              <w:widowControl/>
              <w:spacing w:line="240" w:lineRule="auto"/>
              <w:textAlignment w:val="auto"/>
            </w:pPr>
            <w:r>
              <w:rPr>
                <w:rFonts w:ascii="Arial" w:hAnsi="Arial" w:cs="Arial"/>
                <w:sz w:val="18"/>
                <w:szCs w:val="18"/>
              </w:rPr>
              <w:t>交易时间</w:t>
            </w:r>
          </w:p>
        </w:tc>
        <w:tc>
          <w:tcPr>
            <w:tcW w:w="1134" w:type="dxa"/>
            <w:tcBorders>
              <w:left w:val="single" w:sz="4" w:space="0" w:color="000000"/>
              <w:bottom w:val="single" w:sz="4" w:space="0" w:color="000000"/>
            </w:tcBorders>
            <w:shd w:val="clear" w:color="auto" w:fill="auto"/>
            <w:vAlign w:val="center"/>
          </w:tcPr>
          <w:p w14:paraId="6092E4EE"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shd w:val="clear" w:color="auto" w:fill="auto"/>
            <w:vAlign w:val="center"/>
          </w:tcPr>
          <w:p w14:paraId="7E657A17"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shd w:val="clear" w:color="auto" w:fill="auto"/>
            <w:vAlign w:val="center"/>
          </w:tcPr>
          <w:p w14:paraId="1609B952"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shd w:val="clear" w:color="auto" w:fill="auto"/>
            <w:vAlign w:val="center"/>
          </w:tcPr>
          <w:p w14:paraId="0E174719" w14:textId="77777777" w:rsidR="00AF6F34" w:rsidRDefault="00AF6F34">
            <w:pPr>
              <w:widowControl/>
              <w:spacing w:line="240" w:lineRule="auto"/>
              <w:jc w:val="center"/>
              <w:textAlignment w:val="auto"/>
            </w:pPr>
            <w:r>
              <w:rPr>
                <w:rFonts w:ascii="Arial" w:hAnsi="Arial" w:cs="Arial"/>
                <w:sz w:val="18"/>
                <w:szCs w:val="18"/>
              </w:rPr>
              <w:t>100</w:t>
            </w:r>
          </w:p>
        </w:tc>
        <w:tc>
          <w:tcPr>
            <w:tcW w:w="3747" w:type="dxa"/>
            <w:tcBorders>
              <w:left w:val="single" w:sz="4" w:space="0" w:color="000000"/>
              <w:bottom w:val="single" w:sz="4" w:space="0" w:color="000000"/>
              <w:right w:val="single" w:sz="4" w:space="0" w:color="000000"/>
            </w:tcBorders>
            <w:shd w:val="clear" w:color="auto" w:fill="auto"/>
            <w:vAlign w:val="center"/>
          </w:tcPr>
          <w:p w14:paraId="2E0F486C" w14:textId="77777777" w:rsidR="00AF6F34" w:rsidRDefault="00AF6F34">
            <w:pPr>
              <w:widowControl/>
              <w:spacing w:line="240" w:lineRule="auto"/>
              <w:textAlignment w:val="auto"/>
            </w:pPr>
            <w:r>
              <w:rPr>
                <w:rFonts w:ascii="Arial" w:hAnsi="Arial" w:cs="Arial"/>
                <w:sz w:val="18"/>
                <w:szCs w:val="18"/>
              </w:rPr>
              <w:t>估价对象与可比</w:t>
            </w:r>
            <w:r>
              <w:rPr>
                <w:rFonts w:ascii="Arial" w:hAnsi="Arial" w:cs="Arial" w:hint="eastAsia"/>
                <w:sz w:val="18"/>
                <w:szCs w:val="18"/>
              </w:rPr>
              <w:t>实例</w:t>
            </w:r>
            <w:r>
              <w:rPr>
                <w:rFonts w:ascii="Arial" w:hAnsi="Arial" w:cs="Arial"/>
                <w:sz w:val="18"/>
                <w:szCs w:val="18"/>
              </w:rPr>
              <w:t>的交易时间</w:t>
            </w:r>
            <w:r>
              <w:rPr>
                <w:rFonts w:ascii="Arial" w:hAnsi="Arial" w:cs="Arial" w:hint="eastAsia"/>
                <w:sz w:val="18"/>
                <w:szCs w:val="18"/>
              </w:rPr>
              <w:t>一致</w:t>
            </w:r>
            <w:r>
              <w:rPr>
                <w:rFonts w:ascii="Arial" w:hAnsi="Arial" w:cs="Arial"/>
                <w:sz w:val="18"/>
                <w:szCs w:val="18"/>
              </w:rPr>
              <w:t>，因此确定估价对象与可比实例该因素指数均为</w:t>
            </w:r>
            <w:r>
              <w:rPr>
                <w:rFonts w:ascii="Arial" w:hAnsi="Arial" w:cs="Arial"/>
                <w:sz w:val="18"/>
                <w:szCs w:val="18"/>
              </w:rPr>
              <w:t>100</w:t>
            </w:r>
            <w:r>
              <w:rPr>
                <w:rFonts w:ascii="Arial" w:hAnsi="Arial" w:cs="Arial"/>
                <w:sz w:val="18"/>
                <w:szCs w:val="18"/>
              </w:rPr>
              <w:t>；</w:t>
            </w:r>
          </w:p>
        </w:tc>
      </w:tr>
      <w:tr w:rsidR="00AF6F34" w14:paraId="3E19DD82" w14:textId="77777777">
        <w:trPr>
          <w:trHeight w:val="301"/>
        </w:trPr>
        <w:tc>
          <w:tcPr>
            <w:tcW w:w="1242" w:type="dxa"/>
            <w:gridSpan w:val="2"/>
            <w:tcBorders>
              <w:top w:val="single" w:sz="4" w:space="0" w:color="000000"/>
              <w:left w:val="single" w:sz="4" w:space="0" w:color="000000"/>
              <w:bottom w:val="single" w:sz="4" w:space="0" w:color="000000"/>
            </w:tcBorders>
            <w:shd w:val="clear" w:color="auto" w:fill="auto"/>
            <w:vAlign w:val="center"/>
          </w:tcPr>
          <w:p w14:paraId="6ED16F4B" w14:textId="77777777" w:rsidR="00AF6F34" w:rsidRDefault="00AF6F34">
            <w:pPr>
              <w:widowControl/>
              <w:spacing w:line="240" w:lineRule="auto"/>
              <w:textAlignment w:val="auto"/>
            </w:pPr>
            <w:r>
              <w:rPr>
                <w:rFonts w:ascii="Arial" w:hAnsi="Arial" w:cs="Arial"/>
                <w:sz w:val="18"/>
                <w:szCs w:val="18"/>
              </w:rPr>
              <w:t>交易情况</w:t>
            </w:r>
          </w:p>
        </w:tc>
        <w:tc>
          <w:tcPr>
            <w:tcW w:w="1134" w:type="dxa"/>
            <w:tcBorders>
              <w:left w:val="single" w:sz="4" w:space="0" w:color="000000"/>
              <w:bottom w:val="single" w:sz="4" w:space="0" w:color="000000"/>
            </w:tcBorders>
            <w:shd w:val="clear" w:color="auto" w:fill="auto"/>
            <w:vAlign w:val="center"/>
          </w:tcPr>
          <w:p w14:paraId="73A794CB"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shd w:val="clear" w:color="auto" w:fill="auto"/>
            <w:vAlign w:val="center"/>
          </w:tcPr>
          <w:p w14:paraId="7F041605"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shd w:val="clear" w:color="auto" w:fill="auto"/>
            <w:vAlign w:val="center"/>
          </w:tcPr>
          <w:p w14:paraId="5ACDBBC5"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shd w:val="clear" w:color="auto" w:fill="auto"/>
            <w:vAlign w:val="center"/>
          </w:tcPr>
          <w:p w14:paraId="21A95B72" w14:textId="77777777" w:rsidR="00AF6F34" w:rsidRDefault="00AF6F34">
            <w:pPr>
              <w:widowControl/>
              <w:spacing w:line="240" w:lineRule="auto"/>
              <w:jc w:val="center"/>
              <w:textAlignment w:val="auto"/>
            </w:pPr>
            <w:r>
              <w:rPr>
                <w:rFonts w:ascii="Arial" w:hAnsi="Arial" w:cs="Arial"/>
                <w:sz w:val="18"/>
                <w:szCs w:val="18"/>
              </w:rPr>
              <w:t>100</w:t>
            </w:r>
          </w:p>
        </w:tc>
        <w:tc>
          <w:tcPr>
            <w:tcW w:w="3747" w:type="dxa"/>
            <w:tcBorders>
              <w:left w:val="single" w:sz="4" w:space="0" w:color="000000"/>
              <w:bottom w:val="single" w:sz="4" w:space="0" w:color="000000"/>
              <w:right w:val="single" w:sz="4" w:space="0" w:color="000000"/>
            </w:tcBorders>
            <w:shd w:val="clear" w:color="auto" w:fill="auto"/>
            <w:vAlign w:val="center"/>
          </w:tcPr>
          <w:p w14:paraId="7925E6F2" w14:textId="77777777" w:rsidR="00AF6F34" w:rsidRDefault="00AF6F34">
            <w:pPr>
              <w:widowControl/>
              <w:spacing w:line="240" w:lineRule="auto"/>
              <w:textAlignment w:val="auto"/>
            </w:pPr>
            <w:r>
              <w:rPr>
                <w:rFonts w:ascii="Arial" w:hAnsi="Arial" w:cs="Arial"/>
                <w:sz w:val="18"/>
                <w:szCs w:val="18"/>
              </w:rPr>
              <w:t>可比</w:t>
            </w:r>
            <w:r>
              <w:rPr>
                <w:rFonts w:ascii="Arial" w:hAnsi="Arial" w:cs="Arial" w:hint="eastAsia"/>
                <w:sz w:val="18"/>
                <w:szCs w:val="18"/>
              </w:rPr>
              <w:t>实例</w:t>
            </w:r>
            <w:r>
              <w:rPr>
                <w:rFonts w:ascii="Arial" w:hAnsi="Arial" w:cs="Arial"/>
                <w:sz w:val="18"/>
                <w:szCs w:val="18"/>
              </w:rPr>
              <w:t>均为正常交易或已修正为正常交易，故不予修正，交易情况指数均</w:t>
            </w:r>
            <w:r>
              <w:rPr>
                <w:rFonts w:ascii="Arial" w:hAnsi="Arial" w:cs="Arial"/>
                <w:sz w:val="18"/>
                <w:szCs w:val="18"/>
              </w:rPr>
              <w:t>100</w:t>
            </w:r>
            <w:r>
              <w:rPr>
                <w:rFonts w:ascii="Arial" w:hAnsi="Arial" w:cs="Arial"/>
                <w:sz w:val="18"/>
                <w:szCs w:val="18"/>
              </w:rPr>
              <w:t>；</w:t>
            </w:r>
          </w:p>
        </w:tc>
      </w:tr>
      <w:tr w:rsidR="00AF6F34" w14:paraId="5A0E8DE2" w14:textId="77777777">
        <w:trPr>
          <w:trHeight w:val="788"/>
        </w:trPr>
        <w:tc>
          <w:tcPr>
            <w:tcW w:w="427" w:type="dxa"/>
            <w:vMerge w:val="restart"/>
            <w:tcBorders>
              <w:top w:val="single" w:sz="4" w:space="0" w:color="000000"/>
              <w:left w:val="single" w:sz="4" w:space="0" w:color="000000"/>
              <w:bottom w:val="single" w:sz="4" w:space="0" w:color="000000"/>
            </w:tcBorders>
            <w:shd w:val="clear" w:color="auto" w:fill="auto"/>
            <w:vAlign w:val="center"/>
          </w:tcPr>
          <w:p w14:paraId="015386FE" w14:textId="77777777" w:rsidR="00AF6F34" w:rsidRDefault="00AF6F34">
            <w:pPr>
              <w:widowControl/>
              <w:spacing w:line="240" w:lineRule="auto"/>
              <w:jc w:val="center"/>
              <w:textAlignment w:val="auto"/>
            </w:pPr>
            <w:r>
              <w:rPr>
                <w:rFonts w:ascii="Arial" w:hAnsi="Arial" w:cs="Arial" w:hint="eastAsia"/>
                <w:sz w:val="18"/>
                <w:szCs w:val="18"/>
              </w:rPr>
              <w:t>区域</w:t>
            </w:r>
          </w:p>
          <w:p w14:paraId="7C6E6BAD" w14:textId="77777777" w:rsidR="00AF6F34" w:rsidRDefault="00AF6F34">
            <w:pPr>
              <w:widowControl/>
              <w:spacing w:line="240" w:lineRule="auto"/>
              <w:jc w:val="center"/>
              <w:textAlignment w:val="auto"/>
            </w:pPr>
            <w:r>
              <w:rPr>
                <w:rFonts w:ascii="Arial" w:hAnsi="Arial" w:cs="Arial"/>
                <w:sz w:val="18"/>
                <w:szCs w:val="18"/>
              </w:rPr>
              <w:t>状况</w:t>
            </w:r>
          </w:p>
        </w:tc>
        <w:tc>
          <w:tcPr>
            <w:tcW w:w="815" w:type="dxa"/>
            <w:tcBorders>
              <w:left w:val="single" w:sz="4" w:space="0" w:color="000000"/>
              <w:bottom w:val="single" w:sz="4" w:space="0" w:color="000000"/>
            </w:tcBorders>
            <w:shd w:val="clear" w:color="auto" w:fill="auto"/>
            <w:vAlign w:val="center"/>
          </w:tcPr>
          <w:p w14:paraId="3325CEE6" w14:textId="77777777" w:rsidR="00AF6F34" w:rsidRDefault="00AF6F34">
            <w:pPr>
              <w:widowControl/>
              <w:spacing w:line="240" w:lineRule="auto"/>
              <w:jc w:val="center"/>
              <w:textAlignment w:val="auto"/>
            </w:pPr>
            <w:r>
              <w:rPr>
                <w:rFonts w:ascii="宋体" w:hAnsi="宋体" w:cs="Arial" w:hint="eastAsia"/>
                <w:sz w:val="18"/>
              </w:rPr>
              <w:t>居住区成熟度</w:t>
            </w:r>
          </w:p>
        </w:tc>
        <w:tc>
          <w:tcPr>
            <w:tcW w:w="1134" w:type="dxa"/>
            <w:tcBorders>
              <w:left w:val="single" w:sz="4" w:space="0" w:color="000000"/>
              <w:bottom w:val="single" w:sz="4" w:space="0" w:color="000000"/>
            </w:tcBorders>
            <w:shd w:val="clear" w:color="auto" w:fill="auto"/>
            <w:vAlign w:val="center"/>
          </w:tcPr>
          <w:p w14:paraId="4C7F2718"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shd w:val="clear" w:color="auto" w:fill="auto"/>
            <w:vAlign w:val="center"/>
          </w:tcPr>
          <w:p w14:paraId="450B9FE1"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shd w:val="clear" w:color="auto" w:fill="auto"/>
            <w:vAlign w:val="center"/>
          </w:tcPr>
          <w:p w14:paraId="6A01649C"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shd w:val="clear" w:color="auto" w:fill="auto"/>
            <w:vAlign w:val="center"/>
          </w:tcPr>
          <w:p w14:paraId="527DA7C3" w14:textId="77777777" w:rsidR="00AF6F34" w:rsidRDefault="00AF6F34">
            <w:pPr>
              <w:widowControl/>
              <w:spacing w:line="240" w:lineRule="auto"/>
              <w:jc w:val="center"/>
              <w:textAlignment w:val="auto"/>
            </w:pPr>
            <w:r>
              <w:rPr>
                <w:rFonts w:ascii="Arial" w:hAnsi="Arial" w:cs="Arial"/>
                <w:sz w:val="18"/>
                <w:szCs w:val="18"/>
              </w:rPr>
              <w:t>100</w:t>
            </w:r>
          </w:p>
        </w:tc>
        <w:tc>
          <w:tcPr>
            <w:tcW w:w="3747" w:type="dxa"/>
            <w:tcBorders>
              <w:left w:val="single" w:sz="4" w:space="0" w:color="000000"/>
              <w:bottom w:val="single" w:sz="4" w:space="0" w:color="000000"/>
              <w:right w:val="single" w:sz="4" w:space="0" w:color="000000"/>
            </w:tcBorders>
            <w:shd w:val="clear" w:color="auto" w:fill="auto"/>
            <w:vAlign w:val="center"/>
          </w:tcPr>
          <w:p w14:paraId="3999BDAE" w14:textId="77777777" w:rsidR="00AF6F34" w:rsidRDefault="00AF6F34">
            <w:pPr>
              <w:widowControl/>
              <w:spacing w:line="240" w:lineRule="auto"/>
              <w:textAlignment w:val="auto"/>
            </w:pPr>
            <w:r>
              <w:rPr>
                <w:rFonts w:ascii="Arial" w:hAnsi="Arial" w:cs="Arial" w:hint="eastAsia"/>
                <w:sz w:val="18"/>
                <w:szCs w:val="18"/>
              </w:rPr>
              <w:t>从好到差划分为好、较好、一般、较差、差五个等级</w:t>
            </w:r>
            <w:r>
              <w:rPr>
                <w:rFonts w:ascii="Arial" w:hAnsi="Arial" w:cs="Arial"/>
                <w:sz w:val="18"/>
                <w:szCs w:val="18"/>
              </w:rPr>
              <w:t>，</w:t>
            </w:r>
            <w:r>
              <w:rPr>
                <w:rFonts w:ascii="Arial" w:hAnsi="Arial" w:cs="Arial" w:hint="eastAsia"/>
                <w:sz w:val="18"/>
                <w:szCs w:val="18"/>
              </w:rPr>
              <w:t>每个等级相差</w:t>
            </w:r>
            <w:r>
              <w:rPr>
                <w:rFonts w:ascii="Arial" w:hAnsi="Arial" w:cs="Arial"/>
                <w:sz w:val="18"/>
                <w:szCs w:val="18"/>
              </w:rPr>
              <w:t>5</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AF6F34" w14:paraId="3DC942A3" w14:textId="77777777">
        <w:trPr>
          <w:trHeight w:val="774"/>
        </w:trPr>
        <w:tc>
          <w:tcPr>
            <w:tcW w:w="427" w:type="dxa"/>
            <w:vMerge/>
            <w:tcBorders>
              <w:top w:val="single" w:sz="4" w:space="0" w:color="000000"/>
              <w:left w:val="single" w:sz="4" w:space="0" w:color="000000"/>
              <w:bottom w:val="single" w:sz="4" w:space="0" w:color="000000"/>
            </w:tcBorders>
            <w:shd w:val="clear" w:color="auto" w:fill="auto"/>
            <w:vAlign w:val="center"/>
          </w:tcPr>
          <w:p w14:paraId="7B65F07D"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shd w:val="clear" w:color="auto" w:fill="auto"/>
            <w:vAlign w:val="center"/>
          </w:tcPr>
          <w:p w14:paraId="10C7E000" w14:textId="77777777" w:rsidR="00AF6F34" w:rsidRDefault="00AF6F34">
            <w:pPr>
              <w:widowControl/>
              <w:spacing w:line="240" w:lineRule="auto"/>
              <w:jc w:val="center"/>
              <w:textAlignment w:val="auto"/>
            </w:pPr>
            <w:r>
              <w:rPr>
                <w:rFonts w:ascii="宋体" w:hAnsi="宋体" w:cs="Arial" w:hint="eastAsia"/>
                <w:sz w:val="18"/>
              </w:rPr>
              <w:t>交通条件</w:t>
            </w:r>
          </w:p>
        </w:tc>
        <w:tc>
          <w:tcPr>
            <w:tcW w:w="1134" w:type="dxa"/>
            <w:tcBorders>
              <w:left w:val="single" w:sz="4" w:space="0" w:color="000000"/>
              <w:bottom w:val="single" w:sz="4" w:space="0" w:color="000000"/>
            </w:tcBorders>
            <w:shd w:val="clear" w:color="auto" w:fill="auto"/>
            <w:vAlign w:val="center"/>
          </w:tcPr>
          <w:p w14:paraId="5EE92BC0"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shd w:val="clear" w:color="auto" w:fill="auto"/>
            <w:vAlign w:val="center"/>
          </w:tcPr>
          <w:p w14:paraId="32405717"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shd w:val="clear" w:color="auto" w:fill="auto"/>
            <w:vAlign w:val="center"/>
          </w:tcPr>
          <w:p w14:paraId="6959EE3C"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shd w:val="clear" w:color="auto" w:fill="auto"/>
            <w:vAlign w:val="center"/>
          </w:tcPr>
          <w:p w14:paraId="3A156EAE" w14:textId="1C6104AA" w:rsidR="00AF6F34" w:rsidRDefault="00AF6F34" w:rsidP="000D4364">
            <w:pPr>
              <w:widowControl/>
              <w:spacing w:line="240" w:lineRule="auto"/>
              <w:jc w:val="center"/>
              <w:textAlignment w:val="auto"/>
            </w:pPr>
            <w:r>
              <w:rPr>
                <w:rFonts w:ascii="Arial" w:hAnsi="Arial" w:cs="Arial" w:hint="eastAsia"/>
                <w:sz w:val="18"/>
                <w:szCs w:val="18"/>
              </w:rPr>
              <w:t>10</w:t>
            </w:r>
            <w:r w:rsidR="000D4364">
              <w:rPr>
                <w:rFonts w:ascii="Arial" w:hAnsi="Arial" w:cs="Arial"/>
                <w:sz w:val="18"/>
                <w:szCs w:val="18"/>
              </w:rPr>
              <w:t>2</w:t>
            </w:r>
          </w:p>
        </w:tc>
        <w:tc>
          <w:tcPr>
            <w:tcW w:w="3747" w:type="dxa"/>
            <w:tcBorders>
              <w:left w:val="single" w:sz="4" w:space="0" w:color="000000"/>
              <w:bottom w:val="single" w:sz="4" w:space="0" w:color="000000"/>
              <w:right w:val="single" w:sz="4" w:space="0" w:color="000000"/>
            </w:tcBorders>
            <w:shd w:val="clear" w:color="auto" w:fill="auto"/>
            <w:vAlign w:val="center"/>
          </w:tcPr>
          <w:p w14:paraId="6343DEDA" w14:textId="097FACEB" w:rsidR="00AF6F34" w:rsidRDefault="00AF6F34" w:rsidP="000D4364">
            <w:pPr>
              <w:widowControl/>
              <w:spacing w:line="240" w:lineRule="auto"/>
              <w:textAlignment w:val="auto"/>
            </w:pPr>
            <w:r>
              <w:rPr>
                <w:rFonts w:ascii="Arial" w:hAnsi="Arial" w:cs="Arial" w:hint="eastAsia"/>
                <w:sz w:val="18"/>
                <w:szCs w:val="18"/>
              </w:rPr>
              <w:t>从好到差划分为好、较好、一般、较差、差五个等级</w:t>
            </w:r>
            <w:r>
              <w:rPr>
                <w:rFonts w:ascii="Arial" w:hAnsi="Arial" w:cs="Arial"/>
                <w:sz w:val="18"/>
                <w:szCs w:val="18"/>
              </w:rPr>
              <w:t>，</w:t>
            </w:r>
            <w:r>
              <w:rPr>
                <w:rFonts w:ascii="Arial" w:hAnsi="Arial" w:cs="Arial" w:hint="eastAsia"/>
                <w:sz w:val="18"/>
                <w:szCs w:val="18"/>
              </w:rPr>
              <w:t>每个等级相差</w:t>
            </w:r>
            <w:r>
              <w:rPr>
                <w:rFonts w:ascii="Arial" w:hAnsi="Arial" w:cs="Arial"/>
                <w:sz w:val="18"/>
                <w:szCs w:val="18"/>
              </w:rPr>
              <w:t>2</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hint="eastAsia"/>
                <w:sz w:val="18"/>
                <w:szCs w:val="18"/>
              </w:rPr>
              <w:t>10</w:t>
            </w:r>
            <w:r w:rsidR="000D4364">
              <w:rPr>
                <w:rFonts w:ascii="Arial" w:hAnsi="Arial" w:cs="Arial"/>
                <w:sz w:val="18"/>
                <w:szCs w:val="18"/>
              </w:rPr>
              <w:t>2</w:t>
            </w:r>
            <w:r>
              <w:rPr>
                <w:rFonts w:ascii="Arial" w:hAnsi="Arial" w:cs="Arial"/>
                <w:sz w:val="18"/>
                <w:szCs w:val="18"/>
              </w:rPr>
              <w:t>；</w:t>
            </w:r>
          </w:p>
        </w:tc>
      </w:tr>
      <w:tr w:rsidR="00AF6F34" w14:paraId="0D4E2F67" w14:textId="77777777">
        <w:trPr>
          <w:trHeight w:val="848"/>
        </w:trPr>
        <w:tc>
          <w:tcPr>
            <w:tcW w:w="427" w:type="dxa"/>
            <w:vMerge/>
            <w:tcBorders>
              <w:top w:val="single" w:sz="4" w:space="0" w:color="000000"/>
              <w:left w:val="single" w:sz="4" w:space="0" w:color="000000"/>
              <w:bottom w:val="single" w:sz="4" w:space="0" w:color="000000"/>
            </w:tcBorders>
            <w:shd w:val="clear" w:color="auto" w:fill="auto"/>
            <w:vAlign w:val="center"/>
          </w:tcPr>
          <w:p w14:paraId="6D0E4134"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shd w:val="clear" w:color="auto" w:fill="auto"/>
            <w:vAlign w:val="center"/>
          </w:tcPr>
          <w:p w14:paraId="56E84780" w14:textId="77777777" w:rsidR="00AF6F34" w:rsidRDefault="00AF6F34">
            <w:pPr>
              <w:widowControl/>
              <w:spacing w:line="240" w:lineRule="auto"/>
              <w:jc w:val="center"/>
              <w:textAlignment w:val="auto"/>
            </w:pPr>
            <w:r>
              <w:rPr>
                <w:rFonts w:ascii="宋体" w:hAnsi="宋体" w:cs="Arial" w:hint="eastAsia"/>
                <w:sz w:val="18"/>
              </w:rPr>
              <w:t>商业设施</w:t>
            </w:r>
          </w:p>
        </w:tc>
        <w:tc>
          <w:tcPr>
            <w:tcW w:w="1134" w:type="dxa"/>
            <w:tcBorders>
              <w:left w:val="single" w:sz="4" w:space="0" w:color="000000"/>
              <w:bottom w:val="single" w:sz="4" w:space="0" w:color="000000"/>
            </w:tcBorders>
            <w:shd w:val="clear" w:color="auto" w:fill="auto"/>
            <w:vAlign w:val="center"/>
          </w:tcPr>
          <w:p w14:paraId="280BCAA6"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shd w:val="clear" w:color="auto" w:fill="auto"/>
            <w:vAlign w:val="center"/>
          </w:tcPr>
          <w:p w14:paraId="676A1147"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shd w:val="clear" w:color="auto" w:fill="auto"/>
            <w:vAlign w:val="center"/>
          </w:tcPr>
          <w:p w14:paraId="6B25BBDD"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shd w:val="clear" w:color="auto" w:fill="auto"/>
            <w:vAlign w:val="center"/>
          </w:tcPr>
          <w:p w14:paraId="21A4FCC8" w14:textId="77777777" w:rsidR="00AF6F34" w:rsidRDefault="00AF6F34">
            <w:pPr>
              <w:widowControl/>
              <w:spacing w:line="240" w:lineRule="auto"/>
              <w:jc w:val="center"/>
              <w:textAlignment w:val="auto"/>
            </w:pPr>
            <w:r>
              <w:rPr>
                <w:rFonts w:ascii="Arial" w:hAnsi="Arial" w:cs="Arial" w:hint="eastAsia"/>
                <w:sz w:val="18"/>
                <w:szCs w:val="18"/>
              </w:rPr>
              <w:t>100</w:t>
            </w:r>
          </w:p>
        </w:tc>
        <w:tc>
          <w:tcPr>
            <w:tcW w:w="3747" w:type="dxa"/>
            <w:tcBorders>
              <w:left w:val="single" w:sz="4" w:space="0" w:color="000000"/>
              <w:bottom w:val="single" w:sz="4" w:space="0" w:color="000000"/>
              <w:right w:val="single" w:sz="4" w:space="0" w:color="000000"/>
            </w:tcBorders>
            <w:shd w:val="clear" w:color="auto" w:fill="auto"/>
            <w:vAlign w:val="center"/>
          </w:tcPr>
          <w:p w14:paraId="518242EC" w14:textId="77777777" w:rsidR="00AF6F34" w:rsidRDefault="00AF6F34">
            <w:pPr>
              <w:widowControl/>
              <w:spacing w:line="240" w:lineRule="auto"/>
              <w:textAlignment w:val="auto"/>
            </w:pPr>
            <w:r>
              <w:rPr>
                <w:rFonts w:ascii="Arial" w:hAnsi="Arial" w:cs="Arial" w:hint="eastAsia"/>
                <w:sz w:val="18"/>
                <w:szCs w:val="18"/>
              </w:rPr>
              <w:t>从好到差划分为好、较好、一般、较差、差五个等级</w:t>
            </w:r>
            <w:r>
              <w:rPr>
                <w:rFonts w:ascii="Arial" w:hAnsi="Arial" w:cs="Arial"/>
                <w:sz w:val="18"/>
                <w:szCs w:val="18"/>
              </w:rPr>
              <w:t>，</w:t>
            </w:r>
            <w:r>
              <w:rPr>
                <w:rFonts w:ascii="Arial" w:hAnsi="Arial" w:cs="Arial" w:hint="eastAsia"/>
                <w:sz w:val="18"/>
                <w:szCs w:val="18"/>
              </w:rPr>
              <w:t>每个等级相差</w:t>
            </w:r>
            <w:r>
              <w:rPr>
                <w:rFonts w:ascii="Arial" w:hAnsi="Arial" w:cs="Arial"/>
                <w:sz w:val="18"/>
                <w:szCs w:val="18"/>
              </w:rPr>
              <w:t>2</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00</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00</w:t>
            </w:r>
            <w:r>
              <w:rPr>
                <w:rFonts w:ascii="Arial" w:hAnsi="Arial" w:cs="Arial"/>
                <w:sz w:val="18"/>
                <w:szCs w:val="18"/>
              </w:rPr>
              <w:t>；</w:t>
            </w:r>
          </w:p>
        </w:tc>
      </w:tr>
      <w:tr w:rsidR="00AF6F34" w14:paraId="7AEA3B92" w14:textId="77777777">
        <w:trPr>
          <w:trHeight w:val="834"/>
        </w:trPr>
        <w:tc>
          <w:tcPr>
            <w:tcW w:w="427" w:type="dxa"/>
            <w:vMerge/>
            <w:tcBorders>
              <w:top w:val="single" w:sz="4" w:space="0" w:color="000000"/>
              <w:left w:val="single" w:sz="4" w:space="0" w:color="000000"/>
              <w:bottom w:val="single" w:sz="4" w:space="0" w:color="000000"/>
            </w:tcBorders>
            <w:shd w:val="clear" w:color="auto" w:fill="auto"/>
            <w:vAlign w:val="center"/>
          </w:tcPr>
          <w:p w14:paraId="0B7D49D4"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shd w:val="clear" w:color="auto" w:fill="auto"/>
            <w:vAlign w:val="center"/>
          </w:tcPr>
          <w:p w14:paraId="60860176" w14:textId="77777777" w:rsidR="00AF6F34" w:rsidRDefault="00AF6F34">
            <w:pPr>
              <w:widowControl/>
              <w:spacing w:line="240" w:lineRule="auto"/>
              <w:jc w:val="center"/>
              <w:textAlignment w:val="auto"/>
            </w:pPr>
            <w:r>
              <w:rPr>
                <w:rFonts w:ascii="宋体" w:hAnsi="宋体" w:cs="Arial" w:hint="eastAsia"/>
                <w:sz w:val="18"/>
              </w:rPr>
              <w:t>自然环境</w:t>
            </w:r>
          </w:p>
        </w:tc>
        <w:tc>
          <w:tcPr>
            <w:tcW w:w="1134" w:type="dxa"/>
            <w:tcBorders>
              <w:left w:val="single" w:sz="4" w:space="0" w:color="000000"/>
              <w:bottom w:val="single" w:sz="4" w:space="0" w:color="000000"/>
            </w:tcBorders>
            <w:shd w:val="clear" w:color="auto" w:fill="auto"/>
            <w:vAlign w:val="center"/>
          </w:tcPr>
          <w:p w14:paraId="0FF2F598"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shd w:val="clear" w:color="auto" w:fill="auto"/>
            <w:vAlign w:val="center"/>
          </w:tcPr>
          <w:p w14:paraId="76C48701"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shd w:val="clear" w:color="auto" w:fill="auto"/>
            <w:vAlign w:val="center"/>
          </w:tcPr>
          <w:p w14:paraId="6C7C39CE"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shd w:val="clear" w:color="auto" w:fill="auto"/>
            <w:vAlign w:val="center"/>
          </w:tcPr>
          <w:p w14:paraId="74C28B32" w14:textId="77777777" w:rsidR="00AF6F34" w:rsidRDefault="00AF6F34">
            <w:pPr>
              <w:widowControl/>
              <w:spacing w:line="240" w:lineRule="auto"/>
              <w:jc w:val="center"/>
              <w:textAlignment w:val="auto"/>
            </w:pPr>
            <w:r>
              <w:rPr>
                <w:rFonts w:ascii="Arial" w:hAnsi="Arial" w:cs="Arial"/>
                <w:sz w:val="18"/>
                <w:szCs w:val="18"/>
              </w:rPr>
              <w:t>100</w:t>
            </w:r>
          </w:p>
        </w:tc>
        <w:tc>
          <w:tcPr>
            <w:tcW w:w="3747" w:type="dxa"/>
            <w:tcBorders>
              <w:left w:val="single" w:sz="4" w:space="0" w:color="000000"/>
              <w:bottom w:val="single" w:sz="4" w:space="0" w:color="000000"/>
              <w:right w:val="single" w:sz="4" w:space="0" w:color="000000"/>
            </w:tcBorders>
            <w:shd w:val="clear" w:color="auto" w:fill="auto"/>
            <w:vAlign w:val="center"/>
          </w:tcPr>
          <w:p w14:paraId="6662E4A3" w14:textId="77777777" w:rsidR="00AF6F34" w:rsidRDefault="00AF6F34">
            <w:pPr>
              <w:widowControl/>
              <w:spacing w:line="240" w:lineRule="auto"/>
              <w:textAlignment w:val="auto"/>
            </w:pPr>
            <w:r>
              <w:rPr>
                <w:rFonts w:ascii="Arial" w:hAnsi="Arial" w:cs="Arial" w:hint="eastAsia"/>
                <w:sz w:val="18"/>
                <w:szCs w:val="18"/>
              </w:rPr>
              <w:t>从好到差划分为好、较好、一般、较差、差五个等级</w:t>
            </w:r>
            <w:r>
              <w:rPr>
                <w:rFonts w:ascii="Arial" w:hAnsi="Arial" w:cs="Arial"/>
                <w:sz w:val="18"/>
                <w:szCs w:val="18"/>
              </w:rPr>
              <w:t>，</w:t>
            </w:r>
            <w:r>
              <w:rPr>
                <w:rFonts w:ascii="Arial" w:hAnsi="Arial" w:cs="Arial" w:hint="eastAsia"/>
                <w:sz w:val="18"/>
                <w:szCs w:val="18"/>
              </w:rPr>
              <w:t>每个等级相差</w:t>
            </w:r>
            <w:r>
              <w:rPr>
                <w:rFonts w:ascii="Arial" w:hAnsi="Arial" w:cs="Arial"/>
                <w:sz w:val="18"/>
                <w:szCs w:val="18"/>
              </w:rPr>
              <w:t>2</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AF6F34" w14:paraId="29752C7D" w14:textId="77777777" w:rsidTr="002815CC">
        <w:trPr>
          <w:trHeight w:val="847"/>
        </w:trPr>
        <w:tc>
          <w:tcPr>
            <w:tcW w:w="427" w:type="dxa"/>
            <w:vMerge/>
            <w:tcBorders>
              <w:top w:val="single" w:sz="4" w:space="0" w:color="000000"/>
              <w:left w:val="single" w:sz="4" w:space="0" w:color="000000"/>
              <w:bottom w:val="single" w:sz="4" w:space="0" w:color="000000"/>
            </w:tcBorders>
            <w:shd w:val="clear" w:color="auto" w:fill="auto"/>
            <w:vAlign w:val="center"/>
          </w:tcPr>
          <w:p w14:paraId="06FC41A2"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shd w:val="clear" w:color="auto" w:fill="auto"/>
            <w:vAlign w:val="center"/>
          </w:tcPr>
          <w:p w14:paraId="166EA56B" w14:textId="77777777" w:rsidR="00AF6F34" w:rsidRDefault="00AF6F34">
            <w:pPr>
              <w:widowControl/>
              <w:spacing w:line="240" w:lineRule="auto"/>
              <w:jc w:val="center"/>
              <w:textAlignment w:val="auto"/>
            </w:pPr>
            <w:r>
              <w:rPr>
                <w:rFonts w:ascii="宋体" w:hAnsi="宋体" w:cs="Arial" w:hint="eastAsia"/>
                <w:sz w:val="18"/>
              </w:rPr>
              <w:t>公共配套</w:t>
            </w:r>
          </w:p>
        </w:tc>
        <w:tc>
          <w:tcPr>
            <w:tcW w:w="1134" w:type="dxa"/>
            <w:tcBorders>
              <w:left w:val="single" w:sz="4" w:space="0" w:color="000000"/>
              <w:bottom w:val="single" w:sz="4" w:space="0" w:color="000000"/>
            </w:tcBorders>
            <w:shd w:val="clear" w:color="auto" w:fill="auto"/>
            <w:vAlign w:val="center"/>
          </w:tcPr>
          <w:p w14:paraId="2DCCAAE0"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shd w:val="clear" w:color="auto" w:fill="auto"/>
            <w:vAlign w:val="center"/>
          </w:tcPr>
          <w:p w14:paraId="1FC42546"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shd w:val="clear" w:color="auto" w:fill="auto"/>
            <w:vAlign w:val="center"/>
          </w:tcPr>
          <w:p w14:paraId="42D6B65C"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shd w:val="clear" w:color="auto" w:fill="auto"/>
            <w:vAlign w:val="center"/>
          </w:tcPr>
          <w:p w14:paraId="421ECFA6" w14:textId="77777777" w:rsidR="00AF6F34" w:rsidRDefault="00AF6F34">
            <w:pPr>
              <w:widowControl/>
              <w:spacing w:line="240" w:lineRule="auto"/>
              <w:jc w:val="center"/>
              <w:textAlignment w:val="auto"/>
            </w:pPr>
            <w:r>
              <w:rPr>
                <w:rFonts w:ascii="Arial" w:hAnsi="Arial" w:cs="Arial"/>
                <w:sz w:val="18"/>
                <w:szCs w:val="18"/>
              </w:rPr>
              <w:t>100</w:t>
            </w:r>
          </w:p>
        </w:tc>
        <w:tc>
          <w:tcPr>
            <w:tcW w:w="3747" w:type="dxa"/>
            <w:tcBorders>
              <w:left w:val="single" w:sz="4" w:space="0" w:color="000000"/>
              <w:bottom w:val="single" w:sz="4" w:space="0" w:color="000000"/>
              <w:right w:val="single" w:sz="4" w:space="0" w:color="000000"/>
            </w:tcBorders>
            <w:shd w:val="clear" w:color="auto" w:fill="auto"/>
            <w:vAlign w:val="center"/>
          </w:tcPr>
          <w:p w14:paraId="3310E02F" w14:textId="77777777" w:rsidR="00AF6F34" w:rsidRDefault="00AF6F34">
            <w:pPr>
              <w:widowControl/>
              <w:spacing w:line="240" w:lineRule="auto"/>
              <w:textAlignment w:val="auto"/>
            </w:pPr>
            <w:r>
              <w:rPr>
                <w:rFonts w:ascii="Arial" w:hAnsi="Arial" w:cs="Arial" w:hint="eastAsia"/>
                <w:sz w:val="18"/>
                <w:szCs w:val="18"/>
              </w:rPr>
              <w:t>从好到差划分为齐全、较齐全、一般、较不齐全、不齐全五个等级</w:t>
            </w:r>
            <w:r>
              <w:rPr>
                <w:rFonts w:ascii="Arial" w:hAnsi="Arial" w:cs="Arial"/>
                <w:sz w:val="18"/>
                <w:szCs w:val="18"/>
              </w:rPr>
              <w:t>，</w:t>
            </w:r>
            <w:r>
              <w:rPr>
                <w:rFonts w:ascii="Arial" w:hAnsi="Arial" w:cs="Arial" w:hint="eastAsia"/>
                <w:sz w:val="18"/>
                <w:szCs w:val="18"/>
              </w:rPr>
              <w:t>每个等级相差</w:t>
            </w:r>
            <w:r>
              <w:rPr>
                <w:rFonts w:ascii="Arial" w:hAnsi="Arial" w:cs="Arial"/>
                <w:sz w:val="18"/>
                <w:szCs w:val="18"/>
              </w:rPr>
              <w:t>5</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AF6F34" w14:paraId="1139F1D8" w14:textId="77777777" w:rsidTr="002815CC">
        <w:trPr>
          <w:trHeight w:val="975"/>
        </w:trPr>
        <w:tc>
          <w:tcPr>
            <w:tcW w:w="427" w:type="dxa"/>
            <w:vMerge w:val="restart"/>
            <w:tcBorders>
              <w:top w:val="single" w:sz="4" w:space="0" w:color="000000"/>
              <w:left w:val="single" w:sz="4" w:space="0" w:color="000000"/>
              <w:bottom w:val="single" w:sz="4" w:space="0" w:color="auto"/>
            </w:tcBorders>
            <w:shd w:val="clear" w:color="auto" w:fill="auto"/>
            <w:vAlign w:val="center"/>
          </w:tcPr>
          <w:p w14:paraId="0F3880D8" w14:textId="77777777" w:rsidR="00AF6F34" w:rsidRDefault="00AF6F34">
            <w:pPr>
              <w:widowControl/>
              <w:spacing w:line="240" w:lineRule="auto"/>
              <w:jc w:val="center"/>
              <w:textAlignment w:val="auto"/>
            </w:pPr>
            <w:r>
              <w:rPr>
                <w:rFonts w:ascii="Arial" w:hAnsi="Arial" w:cs="Arial"/>
                <w:sz w:val="18"/>
                <w:szCs w:val="18"/>
              </w:rPr>
              <w:t>实物</w:t>
            </w:r>
          </w:p>
          <w:p w14:paraId="05B39240" w14:textId="77777777" w:rsidR="00AF6F34" w:rsidRDefault="00AF6F34">
            <w:pPr>
              <w:widowControl/>
              <w:spacing w:line="240" w:lineRule="auto"/>
              <w:jc w:val="center"/>
              <w:textAlignment w:val="auto"/>
            </w:pPr>
            <w:r>
              <w:rPr>
                <w:rFonts w:ascii="Arial" w:hAnsi="Arial" w:cs="Arial"/>
                <w:sz w:val="18"/>
                <w:szCs w:val="18"/>
              </w:rPr>
              <w:t>状况</w:t>
            </w:r>
          </w:p>
        </w:tc>
        <w:tc>
          <w:tcPr>
            <w:tcW w:w="815" w:type="dxa"/>
            <w:tcBorders>
              <w:left w:val="single" w:sz="4" w:space="0" w:color="000000"/>
              <w:bottom w:val="single" w:sz="4" w:space="0" w:color="000000"/>
            </w:tcBorders>
            <w:shd w:val="clear" w:color="auto" w:fill="auto"/>
            <w:vAlign w:val="center"/>
          </w:tcPr>
          <w:p w14:paraId="54FE4211" w14:textId="77777777" w:rsidR="00AF6F34" w:rsidRDefault="00AF6F34">
            <w:pPr>
              <w:widowControl/>
              <w:spacing w:line="240" w:lineRule="auto"/>
              <w:jc w:val="center"/>
              <w:textAlignment w:val="auto"/>
            </w:pPr>
            <w:r>
              <w:rPr>
                <w:rFonts w:ascii="宋体" w:hAnsi="宋体" w:cs="Arial" w:hint="eastAsia"/>
                <w:sz w:val="18"/>
              </w:rPr>
              <w:t>物业服务</w:t>
            </w:r>
          </w:p>
        </w:tc>
        <w:tc>
          <w:tcPr>
            <w:tcW w:w="1134" w:type="dxa"/>
            <w:tcBorders>
              <w:left w:val="single" w:sz="4" w:space="0" w:color="000000"/>
              <w:bottom w:val="single" w:sz="4" w:space="0" w:color="000000"/>
            </w:tcBorders>
            <w:shd w:val="clear" w:color="auto" w:fill="auto"/>
            <w:vAlign w:val="center"/>
          </w:tcPr>
          <w:p w14:paraId="39397572"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shd w:val="clear" w:color="auto" w:fill="auto"/>
            <w:vAlign w:val="center"/>
          </w:tcPr>
          <w:p w14:paraId="6C5B6623"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shd w:val="clear" w:color="auto" w:fill="auto"/>
            <w:vAlign w:val="center"/>
          </w:tcPr>
          <w:p w14:paraId="096A30BF"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shd w:val="clear" w:color="auto" w:fill="auto"/>
            <w:vAlign w:val="center"/>
          </w:tcPr>
          <w:p w14:paraId="49DCD5BE" w14:textId="77777777" w:rsidR="00AF6F34" w:rsidRDefault="00AF6F34">
            <w:pPr>
              <w:widowControl/>
              <w:spacing w:line="240" w:lineRule="auto"/>
              <w:jc w:val="center"/>
              <w:textAlignment w:val="auto"/>
            </w:pPr>
            <w:r>
              <w:rPr>
                <w:rFonts w:ascii="Arial" w:hAnsi="Arial" w:cs="Arial"/>
                <w:sz w:val="18"/>
                <w:szCs w:val="18"/>
              </w:rPr>
              <w:t>10</w:t>
            </w:r>
            <w:r>
              <w:rPr>
                <w:rFonts w:ascii="Arial" w:hAnsi="Arial" w:cs="Arial" w:hint="eastAsia"/>
                <w:sz w:val="18"/>
                <w:szCs w:val="18"/>
              </w:rPr>
              <w:t>0</w:t>
            </w:r>
          </w:p>
        </w:tc>
        <w:tc>
          <w:tcPr>
            <w:tcW w:w="3747" w:type="dxa"/>
            <w:tcBorders>
              <w:left w:val="single" w:sz="4" w:space="0" w:color="000000"/>
              <w:bottom w:val="single" w:sz="4" w:space="0" w:color="000000"/>
              <w:right w:val="single" w:sz="4" w:space="0" w:color="000000"/>
            </w:tcBorders>
            <w:shd w:val="clear" w:color="auto" w:fill="auto"/>
            <w:vAlign w:val="center"/>
          </w:tcPr>
          <w:p w14:paraId="3800C95E" w14:textId="77777777" w:rsidR="00AF6F34" w:rsidRDefault="00AF6F34">
            <w:pPr>
              <w:widowControl/>
              <w:spacing w:line="240" w:lineRule="auto"/>
              <w:textAlignment w:val="auto"/>
            </w:pPr>
            <w:r>
              <w:rPr>
                <w:rFonts w:ascii="Arial" w:hAnsi="Arial" w:cs="Arial"/>
                <w:sz w:val="18"/>
                <w:szCs w:val="18"/>
              </w:rPr>
              <w:t>根据</w:t>
            </w:r>
            <w:r>
              <w:rPr>
                <w:rFonts w:ascii="Arial" w:hAnsi="Arial" w:cs="Arial" w:hint="eastAsia"/>
                <w:sz w:val="18"/>
                <w:szCs w:val="18"/>
              </w:rPr>
              <w:t>物业服务</w:t>
            </w:r>
            <w:r>
              <w:rPr>
                <w:rFonts w:ascii="Arial" w:hAnsi="Arial" w:cs="Arial"/>
                <w:sz w:val="18"/>
                <w:szCs w:val="18"/>
              </w:rPr>
              <w:t>对其价值的影响，</w:t>
            </w:r>
            <w:r>
              <w:rPr>
                <w:rFonts w:ascii="Arial" w:hAnsi="Arial" w:cs="Arial" w:hint="eastAsia"/>
                <w:sz w:val="18"/>
                <w:szCs w:val="18"/>
              </w:rPr>
              <w:t>从好到差划分为有专业物业公司、无物业公司二个等级。</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w:t>
            </w:r>
            <w:r>
              <w:rPr>
                <w:rFonts w:ascii="Arial" w:hAnsi="Arial" w:cs="Arial" w:hint="eastAsia"/>
                <w:sz w:val="18"/>
                <w:szCs w:val="18"/>
              </w:rPr>
              <w:t>0</w:t>
            </w:r>
            <w:r>
              <w:rPr>
                <w:rFonts w:ascii="Arial" w:hAnsi="Arial" w:cs="Arial"/>
                <w:sz w:val="18"/>
                <w:szCs w:val="18"/>
              </w:rPr>
              <w:t>；</w:t>
            </w:r>
          </w:p>
        </w:tc>
      </w:tr>
      <w:tr w:rsidR="00AF6F34" w14:paraId="4250DEEF" w14:textId="77777777" w:rsidTr="002815CC">
        <w:trPr>
          <w:trHeight w:val="1360"/>
        </w:trPr>
        <w:tc>
          <w:tcPr>
            <w:tcW w:w="427" w:type="dxa"/>
            <w:vMerge/>
            <w:tcBorders>
              <w:top w:val="single" w:sz="4" w:space="0" w:color="000000"/>
              <w:left w:val="single" w:sz="4" w:space="0" w:color="000000"/>
              <w:bottom w:val="single" w:sz="4" w:space="0" w:color="auto"/>
            </w:tcBorders>
            <w:shd w:val="clear" w:color="auto" w:fill="auto"/>
            <w:vAlign w:val="center"/>
          </w:tcPr>
          <w:p w14:paraId="76FFA503"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shd w:val="clear" w:color="auto" w:fill="auto"/>
            <w:vAlign w:val="center"/>
          </w:tcPr>
          <w:p w14:paraId="486A511C" w14:textId="77777777" w:rsidR="00AF6F34" w:rsidRDefault="00AF6F34">
            <w:pPr>
              <w:widowControl/>
              <w:spacing w:line="240" w:lineRule="auto"/>
              <w:jc w:val="center"/>
              <w:textAlignment w:val="auto"/>
            </w:pPr>
            <w:r>
              <w:rPr>
                <w:rFonts w:ascii="宋体" w:hAnsi="宋体" w:cs="Arial" w:hint="eastAsia"/>
                <w:sz w:val="18"/>
              </w:rPr>
              <w:t>小区环境</w:t>
            </w:r>
          </w:p>
        </w:tc>
        <w:tc>
          <w:tcPr>
            <w:tcW w:w="1134" w:type="dxa"/>
            <w:tcBorders>
              <w:left w:val="single" w:sz="4" w:space="0" w:color="000000"/>
              <w:bottom w:val="single" w:sz="4" w:space="0" w:color="000000"/>
            </w:tcBorders>
            <w:shd w:val="clear" w:color="auto" w:fill="auto"/>
            <w:vAlign w:val="center"/>
          </w:tcPr>
          <w:p w14:paraId="31B6841A"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shd w:val="clear" w:color="auto" w:fill="auto"/>
            <w:vAlign w:val="center"/>
          </w:tcPr>
          <w:p w14:paraId="41F6A69F"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shd w:val="clear" w:color="auto" w:fill="auto"/>
            <w:vAlign w:val="center"/>
          </w:tcPr>
          <w:p w14:paraId="2E62FF0D"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shd w:val="clear" w:color="auto" w:fill="auto"/>
            <w:vAlign w:val="center"/>
          </w:tcPr>
          <w:p w14:paraId="26DF4EAC" w14:textId="77777777" w:rsidR="00AF6F34" w:rsidRDefault="00AF6F34">
            <w:pPr>
              <w:widowControl/>
              <w:spacing w:line="240" w:lineRule="auto"/>
              <w:jc w:val="center"/>
              <w:textAlignment w:val="auto"/>
            </w:pPr>
            <w:r>
              <w:rPr>
                <w:rFonts w:ascii="Arial" w:hAnsi="Arial" w:cs="Arial"/>
                <w:sz w:val="18"/>
                <w:szCs w:val="18"/>
              </w:rPr>
              <w:t>100</w:t>
            </w:r>
          </w:p>
        </w:tc>
        <w:tc>
          <w:tcPr>
            <w:tcW w:w="3747" w:type="dxa"/>
            <w:tcBorders>
              <w:left w:val="single" w:sz="4" w:space="0" w:color="000000"/>
              <w:bottom w:val="single" w:sz="4" w:space="0" w:color="000000"/>
              <w:right w:val="single" w:sz="4" w:space="0" w:color="000000"/>
            </w:tcBorders>
            <w:shd w:val="clear" w:color="auto" w:fill="auto"/>
            <w:vAlign w:val="center"/>
          </w:tcPr>
          <w:p w14:paraId="5FD9D1C2" w14:textId="77777777" w:rsidR="00AF6F34" w:rsidRDefault="00AF6F34">
            <w:pPr>
              <w:widowControl/>
              <w:spacing w:line="240" w:lineRule="auto"/>
              <w:textAlignment w:val="auto"/>
            </w:pPr>
            <w:r>
              <w:rPr>
                <w:rFonts w:ascii="Arial" w:hAnsi="Arial" w:cs="Arial"/>
                <w:sz w:val="18"/>
                <w:szCs w:val="18"/>
              </w:rPr>
              <w:t>根据</w:t>
            </w:r>
            <w:r>
              <w:rPr>
                <w:rFonts w:ascii="Arial" w:hAnsi="Arial" w:cs="Arial" w:hint="eastAsia"/>
                <w:sz w:val="18"/>
                <w:szCs w:val="18"/>
              </w:rPr>
              <w:t>小区环境</w:t>
            </w:r>
            <w:r>
              <w:rPr>
                <w:rFonts w:ascii="Arial" w:hAnsi="Arial" w:cs="Arial"/>
                <w:sz w:val="18"/>
                <w:szCs w:val="18"/>
              </w:rPr>
              <w:t>对其价值的影响，</w:t>
            </w:r>
            <w:r>
              <w:rPr>
                <w:rFonts w:ascii="Arial" w:hAnsi="Arial" w:cs="Arial" w:hint="eastAsia"/>
                <w:sz w:val="18"/>
                <w:szCs w:val="18"/>
              </w:rPr>
              <w:t>从好到差划分为绿化率≥</w:t>
            </w:r>
            <w:r>
              <w:rPr>
                <w:rFonts w:ascii="Arial" w:hAnsi="Arial" w:cs="Arial" w:hint="eastAsia"/>
                <w:sz w:val="18"/>
                <w:szCs w:val="18"/>
              </w:rPr>
              <w:t>35%</w:t>
            </w:r>
            <w:r>
              <w:rPr>
                <w:rFonts w:ascii="Arial" w:hAnsi="Arial" w:cs="Arial" w:hint="eastAsia"/>
                <w:sz w:val="18"/>
                <w:szCs w:val="18"/>
              </w:rPr>
              <w:t>为好，</w:t>
            </w:r>
            <w:r>
              <w:rPr>
                <w:rFonts w:ascii="Arial" w:hAnsi="Arial" w:cs="Arial" w:hint="eastAsia"/>
                <w:sz w:val="18"/>
                <w:szCs w:val="18"/>
              </w:rPr>
              <w:t>35</w:t>
            </w:r>
            <w:r>
              <w:rPr>
                <w:rFonts w:ascii="Arial" w:hAnsi="Arial" w:cs="Arial" w:hint="eastAsia"/>
                <w:sz w:val="18"/>
                <w:szCs w:val="18"/>
              </w:rPr>
              <w:t>％</w:t>
            </w:r>
            <w:r>
              <w:rPr>
                <w:rFonts w:ascii="Arial" w:hAnsi="Arial" w:cs="Arial" w:hint="eastAsia"/>
                <w:sz w:val="18"/>
                <w:szCs w:val="18"/>
              </w:rPr>
              <w:t>&gt;</w:t>
            </w:r>
            <w:r>
              <w:rPr>
                <w:rFonts w:ascii="Arial" w:hAnsi="Arial" w:cs="Arial" w:hint="eastAsia"/>
                <w:sz w:val="18"/>
                <w:szCs w:val="18"/>
              </w:rPr>
              <w:t>绿化率≥</w:t>
            </w:r>
            <w:r>
              <w:rPr>
                <w:rFonts w:ascii="Arial" w:hAnsi="Arial" w:cs="Arial" w:hint="eastAsia"/>
                <w:sz w:val="18"/>
                <w:szCs w:val="18"/>
              </w:rPr>
              <w:t>30%</w:t>
            </w:r>
            <w:r>
              <w:rPr>
                <w:rFonts w:ascii="Arial" w:hAnsi="Arial" w:cs="Arial" w:hint="eastAsia"/>
                <w:sz w:val="18"/>
                <w:szCs w:val="18"/>
              </w:rPr>
              <w:t>为较好，</w:t>
            </w:r>
            <w:r>
              <w:rPr>
                <w:rFonts w:ascii="Arial" w:hAnsi="Arial" w:cs="Arial" w:hint="eastAsia"/>
                <w:sz w:val="18"/>
                <w:szCs w:val="18"/>
              </w:rPr>
              <w:t>30%&gt;</w:t>
            </w:r>
            <w:r>
              <w:rPr>
                <w:rFonts w:ascii="Arial" w:hAnsi="Arial" w:cs="Arial" w:hint="eastAsia"/>
                <w:sz w:val="18"/>
                <w:szCs w:val="18"/>
              </w:rPr>
              <w:t>绿化率≥</w:t>
            </w:r>
            <w:r>
              <w:rPr>
                <w:rFonts w:ascii="Arial" w:hAnsi="Arial" w:cs="Arial" w:hint="eastAsia"/>
                <w:sz w:val="18"/>
                <w:szCs w:val="18"/>
              </w:rPr>
              <w:t>25%&gt;</w:t>
            </w:r>
            <w:r>
              <w:rPr>
                <w:rFonts w:ascii="Arial" w:hAnsi="Arial" w:cs="Arial" w:hint="eastAsia"/>
                <w:sz w:val="18"/>
                <w:szCs w:val="18"/>
              </w:rPr>
              <w:t>为一般，</w:t>
            </w:r>
            <w:r>
              <w:rPr>
                <w:rFonts w:ascii="Arial" w:hAnsi="Arial" w:cs="Arial" w:hint="eastAsia"/>
                <w:sz w:val="18"/>
                <w:szCs w:val="18"/>
              </w:rPr>
              <w:t>25%&gt;</w:t>
            </w:r>
            <w:r>
              <w:rPr>
                <w:rFonts w:ascii="Arial" w:hAnsi="Arial" w:cs="Arial" w:hint="eastAsia"/>
                <w:sz w:val="18"/>
                <w:szCs w:val="18"/>
              </w:rPr>
              <w:t>绿化率≥</w:t>
            </w:r>
            <w:r>
              <w:rPr>
                <w:rFonts w:ascii="Arial" w:hAnsi="Arial" w:cs="Arial" w:hint="eastAsia"/>
                <w:sz w:val="18"/>
                <w:szCs w:val="18"/>
              </w:rPr>
              <w:t>20%</w:t>
            </w:r>
            <w:r>
              <w:rPr>
                <w:rFonts w:ascii="Arial" w:hAnsi="Arial" w:cs="Arial" w:hint="eastAsia"/>
                <w:sz w:val="18"/>
                <w:szCs w:val="18"/>
              </w:rPr>
              <w:t>为较差，绿化率</w:t>
            </w:r>
            <w:r>
              <w:rPr>
                <w:rFonts w:ascii="Arial" w:hAnsi="Arial" w:cs="Arial" w:hint="eastAsia"/>
                <w:sz w:val="18"/>
                <w:szCs w:val="18"/>
              </w:rPr>
              <w:t>&lt;20%</w:t>
            </w:r>
            <w:r>
              <w:rPr>
                <w:rFonts w:ascii="Arial" w:hAnsi="Arial" w:cs="Arial" w:hint="eastAsia"/>
                <w:sz w:val="18"/>
                <w:szCs w:val="18"/>
              </w:rPr>
              <w:t>为差五个等级。</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00</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00</w:t>
            </w:r>
            <w:r>
              <w:rPr>
                <w:rFonts w:ascii="Arial" w:hAnsi="Arial" w:cs="Arial"/>
                <w:sz w:val="18"/>
                <w:szCs w:val="18"/>
              </w:rPr>
              <w:t>；</w:t>
            </w:r>
          </w:p>
        </w:tc>
      </w:tr>
      <w:tr w:rsidR="00AF6F34" w14:paraId="59A01B34" w14:textId="77777777" w:rsidTr="002815CC">
        <w:trPr>
          <w:trHeight w:val="1127"/>
        </w:trPr>
        <w:tc>
          <w:tcPr>
            <w:tcW w:w="427" w:type="dxa"/>
            <w:vMerge/>
            <w:tcBorders>
              <w:top w:val="single" w:sz="4" w:space="0" w:color="000000"/>
              <w:left w:val="single" w:sz="4" w:space="0" w:color="000000"/>
              <w:bottom w:val="single" w:sz="4" w:space="0" w:color="auto"/>
            </w:tcBorders>
            <w:shd w:val="clear" w:color="auto" w:fill="auto"/>
            <w:vAlign w:val="center"/>
          </w:tcPr>
          <w:p w14:paraId="33856066"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shd w:val="clear" w:color="auto" w:fill="auto"/>
            <w:vAlign w:val="center"/>
          </w:tcPr>
          <w:p w14:paraId="1ED00046" w14:textId="77777777" w:rsidR="00AF6F34" w:rsidRDefault="00AF6F34">
            <w:pPr>
              <w:widowControl/>
              <w:spacing w:line="240" w:lineRule="auto"/>
              <w:jc w:val="center"/>
              <w:textAlignment w:val="auto"/>
            </w:pPr>
            <w:r>
              <w:rPr>
                <w:rFonts w:ascii="宋体" w:hAnsi="宋体" w:cs="Arial" w:hint="eastAsia"/>
                <w:sz w:val="18"/>
              </w:rPr>
              <w:t>配套设施</w:t>
            </w:r>
          </w:p>
        </w:tc>
        <w:tc>
          <w:tcPr>
            <w:tcW w:w="1134" w:type="dxa"/>
            <w:tcBorders>
              <w:left w:val="single" w:sz="4" w:space="0" w:color="000000"/>
              <w:bottom w:val="single" w:sz="4" w:space="0" w:color="000000"/>
            </w:tcBorders>
            <w:shd w:val="clear" w:color="auto" w:fill="auto"/>
            <w:vAlign w:val="center"/>
          </w:tcPr>
          <w:p w14:paraId="2CA74164"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shd w:val="clear" w:color="auto" w:fill="auto"/>
            <w:vAlign w:val="center"/>
          </w:tcPr>
          <w:p w14:paraId="27846981"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shd w:val="clear" w:color="auto" w:fill="auto"/>
            <w:vAlign w:val="center"/>
          </w:tcPr>
          <w:p w14:paraId="1DD03AFA"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shd w:val="clear" w:color="auto" w:fill="auto"/>
            <w:vAlign w:val="center"/>
          </w:tcPr>
          <w:p w14:paraId="58735CBD" w14:textId="77777777" w:rsidR="00AF6F34" w:rsidRDefault="00AF6F34">
            <w:pPr>
              <w:widowControl/>
              <w:spacing w:line="240" w:lineRule="auto"/>
              <w:jc w:val="center"/>
              <w:textAlignment w:val="auto"/>
            </w:pPr>
            <w:r>
              <w:rPr>
                <w:rFonts w:ascii="Arial" w:hAnsi="Arial" w:cs="Arial"/>
                <w:sz w:val="18"/>
                <w:szCs w:val="18"/>
              </w:rPr>
              <w:t>100</w:t>
            </w:r>
          </w:p>
        </w:tc>
        <w:tc>
          <w:tcPr>
            <w:tcW w:w="3747" w:type="dxa"/>
            <w:tcBorders>
              <w:left w:val="single" w:sz="4" w:space="0" w:color="000000"/>
              <w:bottom w:val="single" w:sz="4" w:space="0" w:color="000000"/>
              <w:right w:val="single" w:sz="4" w:space="0" w:color="000000"/>
            </w:tcBorders>
            <w:shd w:val="clear" w:color="auto" w:fill="auto"/>
            <w:vAlign w:val="center"/>
          </w:tcPr>
          <w:p w14:paraId="5CB9A948" w14:textId="77777777" w:rsidR="00AF6F34" w:rsidRDefault="00AF6F34">
            <w:pPr>
              <w:widowControl/>
              <w:spacing w:line="240" w:lineRule="auto"/>
              <w:textAlignment w:val="auto"/>
            </w:pPr>
            <w:r>
              <w:rPr>
                <w:rFonts w:ascii="Arial" w:hAnsi="Arial" w:cs="Arial"/>
                <w:sz w:val="18"/>
                <w:szCs w:val="18"/>
              </w:rPr>
              <w:t>根据</w:t>
            </w:r>
            <w:r>
              <w:rPr>
                <w:rFonts w:ascii="Arial" w:hAnsi="Arial" w:cs="Arial" w:hint="eastAsia"/>
                <w:sz w:val="18"/>
                <w:szCs w:val="18"/>
              </w:rPr>
              <w:t>配套设施</w:t>
            </w:r>
            <w:r>
              <w:rPr>
                <w:rFonts w:ascii="Arial" w:hAnsi="Arial" w:cs="Arial"/>
                <w:sz w:val="18"/>
                <w:szCs w:val="18"/>
              </w:rPr>
              <w:t>对其价值的影响，</w:t>
            </w:r>
            <w:r>
              <w:rPr>
                <w:rFonts w:ascii="Arial" w:hAnsi="Arial" w:cs="Arial" w:hint="eastAsia"/>
                <w:sz w:val="18"/>
                <w:szCs w:val="18"/>
              </w:rPr>
              <w:t>从好到差划分为配备医疗站、活动站；配备活动站、不配备医疗站或配备医疗站，无活动站；无医疗站、活动站三个等级</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AF6F34" w14:paraId="76D761C0" w14:textId="77777777" w:rsidTr="002815CC">
        <w:trPr>
          <w:trHeight w:val="1148"/>
        </w:trPr>
        <w:tc>
          <w:tcPr>
            <w:tcW w:w="427" w:type="dxa"/>
            <w:vMerge/>
            <w:tcBorders>
              <w:top w:val="single" w:sz="4" w:space="0" w:color="000000"/>
              <w:left w:val="single" w:sz="4" w:space="0" w:color="000000"/>
              <w:bottom w:val="single" w:sz="4" w:space="0" w:color="auto"/>
            </w:tcBorders>
            <w:shd w:val="clear" w:color="auto" w:fill="auto"/>
            <w:vAlign w:val="center"/>
          </w:tcPr>
          <w:p w14:paraId="6E4070E1"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shd w:val="clear" w:color="auto" w:fill="auto"/>
            <w:vAlign w:val="center"/>
          </w:tcPr>
          <w:p w14:paraId="39376385" w14:textId="77777777" w:rsidR="00AF6F34" w:rsidRDefault="00AF6F34">
            <w:pPr>
              <w:widowControl/>
              <w:spacing w:line="240" w:lineRule="auto"/>
              <w:jc w:val="center"/>
              <w:textAlignment w:val="auto"/>
            </w:pPr>
            <w:r>
              <w:rPr>
                <w:rFonts w:ascii="宋体" w:hAnsi="宋体" w:cs="Arial" w:hint="eastAsia"/>
                <w:sz w:val="18"/>
              </w:rPr>
              <w:t>居住管理</w:t>
            </w:r>
          </w:p>
        </w:tc>
        <w:tc>
          <w:tcPr>
            <w:tcW w:w="1134" w:type="dxa"/>
            <w:tcBorders>
              <w:left w:val="single" w:sz="4" w:space="0" w:color="000000"/>
              <w:bottom w:val="single" w:sz="4" w:space="0" w:color="000000"/>
            </w:tcBorders>
            <w:shd w:val="clear" w:color="auto" w:fill="auto"/>
            <w:vAlign w:val="center"/>
          </w:tcPr>
          <w:p w14:paraId="1CF1C1DB"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shd w:val="clear" w:color="auto" w:fill="auto"/>
            <w:vAlign w:val="center"/>
          </w:tcPr>
          <w:p w14:paraId="01A6AE8D" w14:textId="77777777" w:rsidR="00AF6F34" w:rsidRDefault="00AF6F34" w:rsidP="00A15F2E">
            <w:pPr>
              <w:widowControl/>
              <w:spacing w:line="240" w:lineRule="auto"/>
              <w:jc w:val="center"/>
              <w:textAlignment w:val="auto"/>
            </w:pPr>
            <w:r>
              <w:rPr>
                <w:rFonts w:ascii="Arial" w:hAnsi="Arial" w:cs="Arial"/>
                <w:sz w:val="18"/>
                <w:szCs w:val="18"/>
              </w:rPr>
              <w:t>9</w:t>
            </w:r>
            <w:r w:rsidR="00A15F2E">
              <w:rPr>
                <w:rFonts w:ascii="Arial" w:hAnsi="Arial" w:cs="Arial"/>
                <w:sz w:val="18"/>
                <w:szCs w:val="18"/>
              </w:rPr>
              <w:t>9</w:t>
            </w:r>
          </w:p>
        </w:tc>
        <w:tc>
          <w:tcPr>
            <w:tcW w:w="1134" w:type="dxa"/>
            <w:tcBorders>
              <w:left w:val="single" w:sz="4" w:space="0" w:color="000000"/>
              <w:bottom w:val="single" w:sz="4" w:space="0" w:color="000000"/>
            </w:tcBorders>
            <w:shd w:val="clear" w:color="auto" w:fill="auto"/>
            <w:vAlign w:val="center"/>
          </w:tcPr>
          <w:p w14:paraId="72830F57" w14:textId="77777777" w:rsidR="00AF6F34" w:rsidRDefault="00A15F2E">
            <w:pPr>
              <w:widowControl/>
              <w:spacing w:line="240" w:lineRule="auto"/>
              <w:jc w:val="center"/>
              <w:textAlignment w:val="auto"/>
            </w:pPr>
            <w:r>
              <w:rPr>
                <w:rFonts w:ascii="Arial" w:hAnsi="Arial" w:cs="Arial"/>
                <w:sz w:val="18"/>
                <w:szCs w:val="18"/>
              </w:rPr>
              <w:t>99</w:t>
            </w:r>
          </w:p>
        </w:tc>
        <w:tc>
          <w:tcPr>
            <w:tcW w:w="1134" w:type="dxa"/>
            <w:tcBorders>
              <w:left w:val="single" w:sz="4" w:space="0" w:color="000000"/>
              <w:bottom w:val="single" w:sz="4" w:space="0" w:color="000000"/>
            </w:tcBorders>
            <w:shd w:val="clear" w:color="auto" w:fill="auto"/>
            <w:vAlign w:val="center"/>
          </w:tcPr>
          <w:p w14:paraId="28F07EAF" w14:textId="77777777" w:rsidR="00AF6F34" w:rsidRDefault="00A15F2E">
            <w:pPr>
              <w:widowControl/>
              <w:spacing w:line="240" w:lineRule="auto"/>
              <w:jc w:val="center"/>
              <w:textAlignment w:val="auto"/>
            </w:pPr>
            <w:r>
              <w:rPr>
                <w:rFonts w:ascii="Arial" w:hAnsi="Arial" w:cs="Arial"/>
                <w:sz w:val="18"/>
                <w:szCs w:val="18"/>
              </w:rPr>
              <w:t>99</w:t>
            </w:r>
          </w:p>
        </w:tc>
        <w:tc>
          <w:tcPr>
            <w:tcW w:w="3747" w:type="dxa"/>
            <w:tcBorders>
              <w:left w:val="single" w:sz="4" w:space="0" w:color="000000"/>
              <w:bottom w:val="single" w:sz="4" w:space="0" w:color="000000"/>
              <w:right w:val="single" w:sz="4" w:space="0" w:color="000000"/>
            </w:tcBorders>
            <w:shd w:val="clear" w:color="auto" w:fill="auto"/>
            <w:vAlign w:val="center"/>
          </w:tcPr>
          <w:p w14:paraId="2D38CB2E" w14:textId="77777777" w:rsidR="00AF6F34" w:rsidRDefault="00AF6F34" w:rsidP="00A15F2E">
            <w:pPr>
              <w:widowControl/>
              <w:spacing w:line="240" w:lineRule="auto"/>
              <w:textAlignment w:val="auto"/>
            </w:pPr>
            <w:r>
              <w:rPr>
                <w:rFonts w:ascii="Arial" w:hAnsi="Arial" w:cs="Arial"/>
                <w:sz w:val="18"/>
                <w:szCs w:val="18"/>
              </w:rPr>
              <w:t>根据</w:t>
            </w:r>
            <w:r>
              <w:rPr>
                <w:rFonts w:ascii="Arial" w:hAnsi="Arial" w:cs="Arial" w:hint="eastAsia"/>
                <w:sz w:val="18"/>
                <w:szCs w:val="18"/>
              </w:rPr>
              <w:t>居住管理</w:t>
            </w:r>
            <w:r>
              <w:rPr>
                <w:rFonts w:ascii="Arial" w:hAnsi="Arial" w:cs="Arial"/>
                <w:sz w:val="18"/>
                <w:szCs w:val="18"/>
              </w:rPr>
              <w:t>对其价值的影响，</w:t>
            </w:r>
            <w:r>
              <w:rPr>
                <w:rFonts w:ascii="华文细黑" w:eastAsia="华文细黑" w:hAnsi="华文细黑" w:cs="华文细黑" w:hint="eastAsia"/>
                <w:sz w:val="18"/>
                <w:szCs w:val="18"/>
              </w:rPr>
              <w:t>从好到差划分为</w:t>
            </w:r>
            <w:r>
              <w:rPr>
                <w:rFonts w:cs="仿宋"/>
                <w:spacing w:val="-5"/>
                <w:sz w:val="18"/>
              </w:rPr>
              <w:t>有</w:t>
            </w:r>
            <w:r>
              <w:rPr>
                <w:rFonts w:cs="仿宋" w:hint="eastAsia"/>
                <w:spacing w:val="-5"/>
                <w:sz w:val="18"/>
              </w:rPr>
              <w:t>专业</w:t>
            </w:r>
            <w:r>
              <w:rPr>
                <w:rFonts w:cs="仿宋"/>
                <w:spacing w:val="-5"/>
                <w:sz w:val="18"/>
              </w:rPr>
              <w:t>管理人员配置</w:t>
            </w:r>
            <w:r>
              <w:rPr>
                <w:rFonts w:cs="仿宋" w:hint="eastAsia"/>
                <w:spacing w:val="-5"/>
                <w:sz w:val="18"/>
              </w:rPr>
              <w:t>，</w:t>
            </w:r>
            <w:r>
              <w:rPr>
                <w:rFonts w:cs="仿宋"/>
                <w:spacing w:val="-5"/>
                <w:sz w:val="18"/>
              </w:rPr>
              <w:t>房屋住户均有备案、有管理人员配置</w:t>
            </w:r>
            <w:r>
              <w:rPr>
                <w:rFonts w:cs="仿宋" w:hint="eastAsia"/>
                <w:spacing w:val="-5"/>
                <w:sz w:val="18"/>
              </w:rPr>
              <w:t>，</w:t>
            </w:r>
            <w:r>
              <w:rPr>
                <w:rFonts w:cs="仿宋"/>
                <w:spacing w:val="-5"/>
                <w:sz w:val="18"/>
              </w:rPr>
              <w:t>房屋住户备案较少</w:t>
            </w:r>
            <w:r>
              <w:rPr>
                <w:rFonts w:cs="仿宋" w:hint="eastAsia"/>
                <w:spacing w:val="-5"/>
                <w:sz w:val="18"/>
              </w:rPr>
              <w:t>、无</w:t>
            </w:r>
            <w:r>
              <w:rPr>
                <w:rFonts w:cs="仿宋"/>
                <w:spacing w:val="-5"/>
                <w:sz w:val="18"/>
              </w:rPr>
              <w:t>管理人员配置</w:t>
            </w:r>
            <w:r>
              <w:rPr>
                <w:rFonts w:cs="仿宋" w:hint="eastAsia"/>
                <w:spacing w:val="-5"/>
                <w:sz w:val="18"/>
              </w:rPr>
              <w:t>三</w:t>
            </w:r>
            <w:r>
              <w:rPr>
                <w:rFonts w:ascii="华文细黑" w:eastAsia="华文细黑" w:hAnsi="华文细黑" w:cs="华文细黑" w:hint="eastAsia"/>
                <w:sz w:val="18"/>
                <w:szCs w:val="18"/>
              </w:rPr>
              <w:t>个等级。</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sidR="00A15F2E">
              <w:rPr>
                <w:rFonts w:ascii="Arial" w:hAnsi="Arial" w:cs="Arial"/>
                <w:sz w:val="18"/>
                <w:szCs w:val="18"/>
              </w:rPr>
              <w:t>99</w:t>
            </w:r>
            <w:r>
              <w:rPr>
                <w:rFonts w:ascii="Arial" w:hAnsi="Arial" w:cs="Arial" w:hint="eastAsia"/>
                <w:sz w:val="18"/>
                <w:szCs w:val="18"/>
              </w:rPr>
              <w:t>、</w:t>
            </w:r>
            <w:r>
              <w:rPr>
                <w:rFonts w:ascii="Arial" w:hAnsi="Arial" w:cs="Arial" w:hint="eastAsia"/>
                <w:sz w:val="18"/>
                <w:szCs w:val="18"/>
              </w:rPr>
              <w:t>9</w:t>
            </w:r>
            <w:r w:rsidR="00A15F2E">
              <w:rPr>
                <w:rFonts w:ascii="Arial" w:hAnsi="Arial" w:cs="Arial"/>
                <w:sz w:val="18"/>
                <w:szCs w:val="18"/>
              </w:rPr>
              <w:t>9</w:t>
            </w:r>
            <w:r>
              <w:rPr>
                <w:rFonts w:ascii="Arial" w:hAnsi="Arial" w:cs="Arial" w:hint="eastAsia"/>
                <w:sz w:val="18"/>
                <w:szCs w:val="18"/>
              </w:rPr>
              <w:t>、</w:t>
            </w:r>
            <w:r>
              <w:rPr>
                <w:rFonts w:ascii="Arial" w:hAnsi="Arial" w:cs="Arial" w:hint="eastAsia"/>
                <w:sz w:val="18"/>
                <w:szCs w:val="18"/>
              </w:rPr>
              <w:t>9</w:t>
            </w:r>
            <w:r w:rsidR="00A15F2E">
              <w:rPr>
                <w:rFonts w:ascii="Arial" w:hAnsi="Arial" w:cs="Arial"/>
                <w:sz w:val="18"/>
                <w:szCs w:val="18"/>
              </w:rPr>
              <w:t>9</w:t>
            </w:r>
            <w:r>
              <w:rPr>
                <w:rFonts w:ascii="Arial" w:hAnsi="Arial" w:cs="Arial"/>
                <w:sz w:val="18"/>
                <w:szCs w:val="18"/>
              </w:rPr>
              <w:t>；</w:t>
            </w:r>
          </w:p>
        </w:tc>
      </w:tr>
      <w:tr w:rsidR="00AF6F34" w14:paraId="62F86B42" w14:textId="77777777" w:rsidTr="002815CC">
        <w:trPr>
          <w:trHeight w:val="1220"/>
        </w:trPr>
        <w:tc>
          <w:tcPr>
            <w:tcW w:w="427" w:type="dxa"/>
            <w:vMerge/>
            <w:tcBorders>
              <w:top w:val="single" w:sz="4" w:space="0" w:color="000000"/>
              <w:left w:val="single" w:sz="4" w:space="0" w:color="000000"/>
              <w:bottom w:val="single" w:sz="4" w:space="0" w:color="auto"/>
            </w:tcBorders>
            <w:shd w:val="clear" w:color="auto" w:fill="auto"/>
            <w:vAlign w:val="center"/>
          </w:tcPr>
          <w:p w14:paraId="3FCDEBE0"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shd w:val="clear" w:color="auto" w:fill="auto"/>
            <w:vAlign w:val="center"/>
          </w:tcPr>
          <w:p w14:paraId="59DEC438" w14:textId="77777777" w:rsidR="00AF6F34" w:rsidRDefault="00AF6F34">
            <w:pPr>
              <w:widowControl/>
              <w:spacing w:line="240" w:lineRule="auto"/>
              <w:jc w:val="center"/>
              <w:textAlignment w:val="auto"/>
            </w:pPr>
            <w:r>
              <w:rPr>
                <w:rFonts w:ascii="宋体" w:hAnsi="宋体" w:cs="Arial" w:hint="eastAsia"/>
                <w:sz w:val="18"/>
              </w:rPr>
              <w:t>户型</w:t>
            </w:r>
          </w:p>
        </w:tc>
        <w:tc>
          <w:tcPr>
            <w:tcW w:w="1134" w:type="dxa"/>
            <w:tcBorders>
              <w:left w:val="single" w:sz="4" w:space="0" w:color="000000"/>
              <w:bottom w:val="single" w:sz="4" w:space="0" w:color="000000"/>
            </w:tcBorders>
            <w:shd w:val="clear" w:color="auto" w:fill="auto"/>
            <w:vAlign w:val="center"/>
          </w:tcPr>
          <w:p w14:paraId="521A7BFF"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shd w:val="clear" w:color="auto" w:fill="auto"/>
            <w:vAlign w:val="center"/>
          </w:tcPr>
          <w:p w14:paraId="5D13D5CE" w14:textId="2243B340" w:rsidR="00AF6F34" w:rsidRDefault="00AF6F34">
            <w:pPr>
              <w:widowControl/>
              <w:spacing w:line="240" w:lineRule="auto"/>
              <w:jc w:val="center"/>
              <w:textAlignment w:val="auto"/>
            </w:pPr>
            <w:r>
              <w:rPr>
                <w:rFonts w:ascii="Arial" w:hAnsi="Arial" w:cs="Arial"/>
                <w:sz w:val="18"/>
                <w:szCs w:val="18"/>
              </w:rPr>
              <w:t>101</w:t>
            </w:r>
          </w:p>
        </w:tc>
        <w:tc>
          <w:tcPr>
            <w:tcW w:w="1134" w:type="dxa"/>
            <w:tcBorders>
              <w:left w:val="single" w:sz="4" w:space="0" w:color="000000"/>
              <w:bottom w:val="single" w:sz="4" w:space="0" w:color="000000"/>
            </w:tcBorders>
            <w:shd w:val="clear" w:color="auto" w:fill="auto"/>
            <w:vAlign w:val="center"/>
          </w:tcPr>
          <w:p w14:paraId="5CFE1674" w14:textId="31E525BA" w:rsidR="00AF6F34" w:rsidRDefault="00AF6F34" w:rsidP="00A15F2E">
            <w:pPr>
              <w:widowControl/>
              <w:spacing w:line="240" w:lineRule="auto"/>
              <w:jc w:val="center"/>
              <w:textAlignment w:val="auto"/>
            </w:pPr>
            <w:r>
              <w:rPr>
                <w:rFonts w:ascii="Arial" w:hAnsi="Arial" w:cs="Arial"/>
                <w:sz w:val="18"/>
                <w:szCs w:val="18"/>
              </w:rPr>
              <w:t>10</w:t>
            </w:r>
            <w:r w:rsidR="00A15F2E">
              <w:rPr>
                <w:rFonts w:ascii="Arial" w:hAnsi="Arial" w:cs="Arial"/>
                <w:sz w:val="18"/>
                <w:szCs w:val="18"/>
              </w:rPr>
              <w:t>1</w:t>
            </w:r>
          </w:p>
        </w:tc>
        <w:tc>
          <w:tcPr>
            <w:tcW w:w="1134" w:type="dxa"/>
            <w:tcBorders>
              <w:left w:val="single" w:sz="4" w:space="0" w:color="000000"/>
              <w:bottom w:val="single" w:sz="4" w:space="0" w:color="000000"/>
            </w:tcBorders>
            <w:shd w:val="clear" w:color="auto" w:fill="auto"/>
            <w:vAlign w:val="center"/>
          </w:tcPr>
          <w:p w14:paraId="1AB03915" w14:textId="77CCB8FF" w:rsidR="00AF6F34" w:rsidRDefault="00AF6F34" w:rsidP="000D4364">
            <w:pPr>
              <w:widowControl/>
              <w:spacing w:line="240" w:lineRule="auto"/>
              <w:jc w:val="center"/>
              <w:textAlignment w:val="auto"/>
            </w:pPr>
            <w:r>
              <w:rPr>
                <w:rFonts w:ascii="Arial" w:hAnsi="Arial" w:cs="Arial"/>
                <w:sz w:val="18"/>
                <w:szCs w:val="18"/>
              </w:rPr>
              <w:t>10</w:t>
            </w:r>
            <w:r w:rsidR="000D4364">
              <w:rPr>
                <w:rFonts w:ascii="Arial" w:hAnsi="Arial" w:cs="Arial"/>
                <w:sz w:val="18"/>
                <w:szCs w:val="18"/>
              </w:rPr>
              <w:t>2</w:t>
            </w:r>
          </w:p>
        </w:tc>
        <w:tc>
          <w:tcPr>
            <w:tcW w:w="3747" w:type="dxa"/>
            <w:tcBorders>
              <w:left w:val="single" w:sz="4" w:space="0" w:color="000000"/>
              <w:bottom w:val="single" w:sz="4" w:space="0" w:color="000000"/>
              <w:right w:val="single" w:sz="4" w:space="0" w:color="000000"/>
            </w:tcBorders>
            <w:shd w:val="clear" w:color="auto" w:fill="auto"/>
            <w:vAlign w:val="center"/>
          </w:tcPr>
          <w:p w14:paraId="758AA568" w14:textId="7C3BC837" w:rsidR="00AF6F34" w:rsidRDefault="00AF6F34" w:rsidP="000D4364">
            <w:pPr>
              <w:widowControl/>
              <w:spacing w:line="240" w:lineRule="auto"/>
              <w:textAlignment w:val="auto"/>
            </w:pPr>
            <w:r>
              <w:rPr>
                <w:rFonts w:ascii="Arial" w:hAnsi="Arial" w:cs="Arial"/>
                <w:sz w:val="18"/>
                <w:szCs w:val="18"/>
              </w:rPr>
              <w:t>根据</w:t>
            </w:r>
            <w:r>
              <w:rPr>
                <w:rFonts w:ascii="Arial" w:hAnsi="Arial" w:cs="Arial" w:hint="eastAsia"/>
                <w:sz w:val="18"/>
                <w:szCs w:val="18"/>
              </w:rPr>
              <w:t>户型</w:t>
            </w:r>
            <w:r>
              <w:rPr>
                <w:rFonts w:ascii="Arial" w:hAnsi="Arial" w:cs="Arial"/>
                <w:sz w:val="18"/>
                <w:szCs w:val="18"/>
              </w:rPr>
              <w:t>对其价值的影响，</w:t>
            </w:r>
            <w:r>
              <w:rPr>
                <w:rFonts w:ascii="Arial" w:hAnsi="Arial" w:cs="Arial" w:hint="eastAsia"/>
                <w:sz w:val="18"/>
                <w:szCs w:val="18"/>
              </w:rPr>
              <w:t>分开间或一居室、二居室、三居室。</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101</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w:t>
            </w:r>
            <w:r w:rsidR="00A15F2E">
              <w:rPr>
                <w:rFonts w:ascii="Arial" w:hAnsi="Arial" w:cs="Arial"/>
                <w:sz w:val="18"/>
                <w:szCs w:val="18"/>
              </w:rPr>
              <w:t>1</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w:t>
            </w:r>
            <w:r w:rsidR="000D4364">
              <w:rPr>
                <w:rFonts w:ascii="Arial" w:hAnsi="Arial" w:cs="Arial"/>
                <w:sz w:val="18"/>
                <w:szCs w:val="18"/>
              </w:rPr>
              <w:t>2</w:t>
            </w:r>
            <w:r>
              <w:rPr>
                <w:rFonts w:ascii="Arial" w:hAnsi="Arial" w:cs="Arial"/>
                <w:sz w:val="18"/>
                <w:szCs w:val="18"/>
              </w:rPr>
              <w:t>；</w:t>
            </w:r>
          </w:p>
        </w:tc>
      </w:tr>
      <w:tr w:rsidR="00AF6F34" w14:paraId="64A3D4A2" w14:textId="77777777" w:rsidTr="002815CC">
        <w:trPr>
          <w:trHeight w:val="1793"/>
        </w:trPr>
        <w:tc>
          <w:tcPr>
            <w:tcW w:w="427" w:type="dxa"/>
            <w:vMerge/>
            <w:tcBorders>
              <w:top w:val="single" w:sz="4" w:space="0" w:color="000000"/>
              <w:left w:val="single" w:sz="4" w:space="0" w:color="000000"/>
              <w:bottom w:val="single" w:sz="4" w:space="0" w:color="auto"/>
            </w:tcBorders>
            <w:shd w:val="clear" w:color="auto" w:fill="auto"/>
            <w:vAlign w:val="center"/>
          </w:tcPr>
          <w:p w14:paraId="6F37B324"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shd w:val="clear" w:color="auto" w:fill="auto"/>
            <w:vAlign w:val="center"/>
          </w:tcPr>
          <w:p w14:paraId="46E0690F" w14:textId="77777777" w:rsidR="00AF6F34" w:rsidRDefault="00AF6F34">
            <w:pPr>
              <w:widowControl/>
              <w:spacing w:line="240" w:lineRule="auto"/>
              <w:jc w:val="center"/>
              <w:textAlignment w:val="auto"/>
            </w:pPr>
            <w:r>
              <w:rPr>
                <w:rFonts w:ascii="宋体" w:hAnsi="宋体" w:cs="Arial" w:hint="eastAsia"/>
                <w:sz w:val="18"/>
              </w:rPr>
              <w:t>朝向</w:t>
            </w:r>
          </w:p>
        </w:tc>
        <w:tc>
          <w:tcPr>
            <w:tcW w:w="1134" w:type="dxa"/>
            <w:tcBorders>
              <w:left w:val="single" w:sz="4" w:space="0" w:color="000000"/>
              <w:bottom w:val="single" w:sz="4" w:space="0" w:color="000000"/>
            </w:tcBorders>
            <w:shd w:val="clear" w:color="auto" w:fill="auto"/>
            <w:vAlign w:val="center"/>
          </w:tcPr>
          <w:p w14:paraId="2A2B3D64"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shd w:val="clear" w:color="auto" w:fill="auto"/>
            <w:vAlign w:val="center"/>
          </w:tcPr>
          <w:p w14:paraId="57DEF01B" w14:textId="7BA92CA6" w:rsidR="00AF6F34" w:rsidRDefault="00AF6F34" w:rsidP="000D4364">
            <w:pPr>
              <w:widowControl/>
              <w:spacing w:line="240" w:lineRule="auto"/>
              <w:jc w:val="center"/>
              <w:textAlignment w:val="auto"/>
            </w:pPr>
            <w:r>
              <w:rPr>
                <w:rFonts w:ascii="Arial" w:hAnsi="Arial" w:cs="Arial"/>
                <w:sz w:val="18"/>
                <w:szCs w:val="18"/>
              </w:rPr>
              <w:t>10</w:t>
            </w:r>
            <w:r w:rsidR="000D4364">
              <w:rPr>
                <w:rFonts w:ascii="Arial" w:hAnsi="Arial" w:cs="Arial"/>
                <w:sz w:val="18"/>
                <w:szCs w:val="18"/>
              </w:rPr>
              <w:t>5</w:t>
            </w:r>
          </w:p>
        </w:tc>
        <w:tc>
          <w:tcPr>
            <w:tcW w:w="1134" w:type="dxa"/>
            <w:tcBorders>
              <w:left w:val="single" w:sz="4" w:space="0" w:color="000000"/>
              <w:bottom w:val="single" w:sz="4" w:space="0" w:color="000000"/>
            </w:tcBorders>
            <w:shd w:val="clear" w:color="auto" w:fill="auto"/>
            <w:vAlign w:val="center"/>
          </w:tcPr>
          <w:p w14:paraId="1EAE204A" w14:textId="64EE8186" w:rsidR="00AF6F34" w:rsidRDefault="00AF6F34" w:rsidP="000D4364">
            <w:pPr>
              <w:widowControl/>
              <w:spacing w:line="240" w:lineRule="auto"/>
              <w:jc w:val="center"/>
              <w:textAlignment w:val="auto"/>
            </w:pPr>
            <w:r>
              <w:rPr>
                <w:rFonts w:ascii="Arial" w:hAnsi="Arial" w:cs="Arial"/>
                <w:sz w:val="18"/>
                <w:szCs w:val="18"/>
              </w:rPr>
              <w:t>10</w:t>
            </w:r>
            <w:r w:rsidR="000D4364">
              <w:rPr>
                <w:rFonts w:ascii="Arial" w:hAnsi="Arial" w:cs="Arial"/>
                <w:sz w:val="18"/>
                <w:szCs w:val="18"/>
              </w:rPr>
              <w:t>5</w:t>
            </w:r>
          </w:p>
        </w:tc>
        <w:tc>
          <w:tcPr>
            <w:tcW w:w="1134" w:type="dxa"/>
            <w:tcBorders>
              <w:left w:val="single" w:sz="4" w:space="0" w:color="000000"/>
              <w:bottom w:val="single" w:sz="4" w:space="0" w:color="000000"/>
            </w:tcBorders>
            <w:shd w:val="clear" w:color="auto" w:fill="auto"/>
            <w:vAlign w:val="center"/>
          </w:tcPr>
          <w:p w14:paraId="1919809D" w14:textId="7285DE74" w:rsidR="00AF6F34" w:rsidRDefault="00AF6F34" w:rsidP="000D4364">
            <w:pPr>
              <w:widowControl/>
              <w:spacing w:line="240" w:lineRule="auto"/>
              <w:jc w:val="center"/>
              <w:textAlignment w:val="auto"/>
            </w:pPr>
            <w:r>
              <w:rPr>
                <w:rFonts w:ascii="Arial" w:hAnsi="Arial" w:cs="Arial"/>
                <w:sz w:val="18"/>
                <w:szCs w:val="18"/>
              </w:rPr>
              <w:t>10</w:t>
            </w:r>
            <w:r w:rsidR="000D4364">
              <w:rPr>
                <w:rFonts w:ascii="Arial" w:hAnsi="Arial" w:cs="Arial"/>
                <w:sz w:val="18"/>
                <w:szCs w:val="18"/>
              </w:rPr>
              <w:t>5</w:t>
            </w:r>
          </w:p>
        </w:tc>
        <w:tc>
          <w:tcPr>
            <w:tcW w:w="3747" w:type="dxa"/>
            <w:tcBorders>
              <w:left w:val="single" w:sz="4" w:space="0" w:color="000000"/>
              <w:bottom w:val="single" w:sz="4" w:space="0" w:color="000000"/>
              <w:right w:val="single" w:sz="4" w:space="0" w:color="000000"/>
            </w:tcBorders>
            <w:shd w:val="clear" w:color="auto" w:fill="auto"/>
            <w:vAlign w:val="center"/>
          </w:tcPr>
          <w:p w14:paraId="0267D6B0" w14:textId="2C23FAF2" w:rsidR="00AF6F34" w:rsidRDefault="00AF6F34" w:rsidP="000D4364">
            <w:pPr>
              <w:widowControl/>
              <w:spacing w:line="240" w:lineRule="auto"/>
              <w:textAlignment w:val="auto"/>
            </w:pPr>
            <w:r>
              <w:rPr>
                <w:rFonts w:ascii="Arial" w:hAnsi="Arial" w:cs="Arial"/>
                <w:sz w:val="18"/>
                <w:szCs w:val="18"/>
              </w:rPr>
              <w:t>根据</w:t>
            </w:r>
            <w:r>
              <w:rPr>
                <w:rFonts w:ascii="Arial" w:hAnsi="Arial" w:cs="Arial" w:hint="eastAsia"/>
                <w:sz w:val="18"/>
                <w:szCs w:val="18"/>
              </w:rPr>
              <w:t>户型</w:t>
            </w:r>
            <w:r>
              <w:rPr>
                <w:rFonts w:ascii="Arial" w:hAnsi="Arial" w:cs="Arial"/>
                <w:sz w:val="18"/>
                <w:szCs w:val="18"/>
              </w:rPr>
              <w:t>对其价值的影响，</w:t>
            </w:r>
            <w:r>
              <w:rPr>
                <w:rFonts w:ascii="Arial" w:hAnsi="Arial" w:cs="Arial" w:hint="eastAsia"/>
                <w:sz w:val="18"/>
                <w:szCs w:val="18"/>
              </w:rPr>
              <w:t>从好到差划分为好、较好、一般、较差、差五个等级。南北通透，多数房间、通风、采光好，好；朝向较好（南），能保证较长时间的采光，通风较好，较好；</w:t>
            </w:r>
            <w:r>
              <w:rPr>
                <w:rFonts w:ascii="宋体" w:hAnsi="宋体" w:cs="Arial" w:hint="eastAsia"/>
                <w:sz w:val="18"/>
              </w:rPr>
              <w:t>朝向一般，能保证一定时间的采光，通风一般，一般</w:t>
            </w:r>
            <w:r>
              <w:rPr>
                <w:rFonts w:ascii="Arial" w:hAnsi="Arial" w:cs="Arial" w:hint="eastAsia"/>
                <w:sz w:val="18"/>
                <w:szCs w:val="18"/>
              </w:rPr>
              <w:t>；采光时间较短、通风不良，较差；没有采光、不通风，差。</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w:t>
            </w:r>
            <w:r w:rsidR="000D4364">
              <w:rPr>
                <w:rFonts w:ascii="Arial" w:hAnsi="Arial" w:cs="Arial"/>
                <w:sz w:val="18"/>
                <w:szCs w:val="18"/>
              </w:rPr>
              <w:t>5</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w:t>
            </w:r>
            <w:r w:rsidR="000D4364">
              <w:rPr>
                <w:rFonts w:ascii="Arial" w:hAnsi="Arial" w:cs="Arial"/>
                <w:sz w:val="18"/>
                <w:szCs w:val="18"/>
              </w:rPr>
              <w:t>5</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w:t>
            </w:r>
            <w:r w:rsidR="000D4364">
              <w:rPr>
                <w:rFonts w:ascii="Arial" w:hAnsi="Arial" w:cs="Arial"/>
                <w:sz w:val="18"/>
                <w:szCs w:val="18"/>
              </w:rPr>
              <w:t>5</w:t>
            </w:r>
            <w:r>
              <w:rPr>
                <w:rFonts w:ascii="Arial" w:hAnsi="Arial" w:cs="Arial"/>
                <w:sz w:val="18"/>
                <w:szCs w:val="18"/>
              </w:rPr>
              <w:t>；</w:t>
            </w:r>
          </w:p>
        </w:tc>
      </w:tr>
      <w:tr w:rsidR="00AF6F34" w14:paraId="1618D421" w14:textId="77777777" w:rsidTr="002815CC">
        <w:trPr>
          <w:trHeight w:val="870"/>
        </w:trPr>
        <w:tc>
          <w:tcPr>
            <w:tcW w:w="427" w:type="dxa"/>
            <w:vMerge/>
            <w:tcBorders>
              <w:top w:val="single" w:sz="4" w:space="0" w:color="000000"/>
              <w:left w:val="single" w:sz="4" w:space="0" w:color="000000"/>
              <w:bottom w:val="single" w:sz="4" w:space="0" w:color="auto"/>
            </w:tcBorders>
            <w:shd w:val="clear" w:color="auto" w:fill="auto"/>
            <w:vAlign w:val="center"/>
          </w:tcPr>
          <w:p w14:paraId="7C213B9E" w14:textId="77777777" w:rsidR="00AF6F34" w:rsidRDefault="00AF6F34">
            <w:pPr>
              <w:widowControl/>
              <w:snapToGrid w:val="0"/>
              <w:spacing w:line="240" w:lineRule="auto"/>
              <w:textAlignment w:val="auto"/>
              <w:rPr>
                <w:rFonts w:ascii="Arial" w:hAnsi="Arial" w:cs="Arial"/>
                <w:sz w:val="18"/>
                <w:szCs w:val="18"/>
              </w:rPr>
            </w:pPr>
          </w:p>
        </w:tc>
        <w:tc>
          <w:tcPr>
            <w:tcW w:w="815" w:type="dxa"/>
            <w:tcBorders>
              <w:top w:val="single" w:sz="4" w:space="0" w:color="000000"/>
              <w:left w:val="single" w:sz="4" w:space="0" w:color="000000"/>
              <w:bottom w:val="single" w:sz="4" w:space="0" w:color="000000"/>
            </w:tcBorders>
            <w:shd w:val="clear" w:color="auto" w:fill="auto"/>
            <w:vAlign w:val="center"/>
          </w:tcPr>
          <w:p w14:paraId="21F91B67" w14:textId="77777777" w:rsidR="00AF6F34" w:rsidRDefault="00AF6F34">
            <w:pPr>
              <w:widowControl/>
              <w:spacing w:line="240" w:lineRule="auto"/>
              <w:jc w:val="center"/>
              <w:textAlignment w:val="auto"/>
            </w:pPr>
            <w:r>
              <w:rPr>
                <w:rFonts w:ascii="宋体" w:hAnsi="宋体" w:cs="Arial" w:hint="eastAsia"/>
                <w:sz w:val="18"/>
              </w:rPr>
              <w:t>装修</w:t>
            </w:r>
          </w:p>
        </w:tc>
        <w:tc>
          <w:tcPr>
            <w:tcW w:w="1134" w:type="dxa"/>
            <w:tcBorders>
              <w:top w:val="single" w:sz="4" w:space="0" w:color="000000"/>
              <w:left w:val="single" w:sz="4" w:space="0" w:color="000000"/>
              <w:bottom w:val="single" w:sz="4" w:space="0" w:color="000000"/>
            </w:tcBorders>
            <w:shd w:val="clear" w:color="auto" w:fill="auto"/>
            <w:vAlign w:val="center"/>
          </w:tcPr>
          <w:p w14:paraId="6C9D13C2"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top w:val="single" w:sz="4" w:space="0" w:color="000000"/>
              <w:left w:val="single" w:sz="4" w:space="0" w:color="000000"/>
              <w:bottom w:val="single" w:sz="4" w:space="0" w:color="000000"/>
            </w:tcBorders>
            <w:shd w:val="clear" w:color="auto" w:fill="auto"/>
            <w:vAlign w:val="center"/>
          </w:tcPr>
          <w:p w14:paraId="610BF568"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top w:val="single" w:sz="4" w:space="0" w:color="000000"/>
              <w:left w:val="single" w:sz="4" w:space="0" w:color="000000"/>
              <w:bottom w:val="single" w:sz="4" w:space="0" w:color="000000"/>
            </w:tcBorders>
            <w:shd w:val="clear" w:color="auto" w:fill="auto"/>
            <w:vAlign w:val="center"/>
          </w:tcPr>
          <w:p w14:paraId="22D28168"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top w:val="single" w:sz="4" w:space="0" w:color="000000"/>
              <w:left w:val="single" w:sz="4" w:space="0" w:color="000000"/>
              <w:bottom w:val="single" w:sz="4" w:space="0" w:color="000000"/>
            </w:tcBorders>
            <w:shd w:val="clear" w:color="auto" w:fill="auto"/>
            <w:vAlign w:val="center"/>
          </w:tcPr>
          <w:p w14:paraId="00BB3878" w14:textId="77777777" w:rsidR="00AF6F34" w:rsidRDefault="00AF6F34">
            <w:pPr>
              <w:widowControl/>
              <w:spacing w:line="240" w:lineRule="auto"/>
              <w:jc w:val="center"/>
              <w:textAlignment w:val="auto"/>
            </w:pPr>
            <w:r>
              <w:rPr>
                <w:rFonts w:ascii="Arial" w:hAnsi="Arial" w:cs="Arial"/>
                <w:sz w:val="18"/>
                <w:szCs w:val="18"/>
              </w:rPr>
              <w:t>100</w:t>
            </w:r>
          </w:p>
        </w:tc>
        <w:tc>
          <w:tcPr>
            <w:tcW w:w="37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20439" w14:textId="77777777" w:rsidR="00AF6F34" w:rsidRDefault="00AF6F34">
            <w:pPr>
              <w:widowControl/>
              <w:spacing w:line="240" w:lineRule="auto"/>
              <w:textAlignment w:val="auto"/>
            </w:pPr>
            <w:r>
              <w:rPr>
                <w:rFonts w:ascii="Arial" w:hAnsi="Arial" w:cs="Arial"/>
                <w:sz w:val="18"/>
                <w:szCs w:val="18"/>
              </w:rPr>
              <w:t>根据</w:t>
            </w:r>
            <w:r>
              <w:rPr>
                <w:rFonts w:ascii="Arial" w:hAnsi="Arial" w:cs="Arial" w:hint="eastAsia"/>
                <w:sz w:val="18"/>
                <w:szCs w:val="18"/>
              </w:rPr>
              <w:t>装修</w:t>
            </w:r>
            <w:r>
              <w:rPr>
                <w:rFonts w:ascii="Arial" w:hAnsi="Arial" w:cs="Arial"/>
                <w:sz w:val="18"/>
                <w:szCs w:val="18"/>
              </w:rPr>
              <w:t>对其价值的影响，</w:t>
            </w:r>
            <w:r>
              <w:rPr>
                <w:rFonts w:ascii="Arial" w:hAnsi="Arial" w:cs="Arial" w:hint="eastAsia"/>
                <w:sz w:val="18"/>
                <w:szCs w:val="18"/>
              </w:rPr>
              <w:t>从好到差划分为好、较好、一般、较差、差五个等级。装修用材环保，经过精心设计，提升居住体验，好；装修用村环保、与居住功能相适用，较好；基本装修，未对居住产生不良影响，一般；基本装修或用材一般，有污染，对居住功能产生负面影响，较差；装修已经老化、装修材料较差，有污染，或刚装修不久，影响了居住，差。</w:t>
            </w:r>
            <w:r>
              <w:rPr>
                <w:rFonts w:ascii="Arial" w:hAnsi="Arial" w:cs="Arial"/>
                <w:sz w:val="18"/>
                <w:szCs w:val="18"/>
              </w:rPr>
              <w:t>估价对象与各可比实例该因素一致，确定可比实例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hint="eastAsia"/>
                <w:sz w:val="18"/>
                <w:szCs w:val="18"/>
              </w:rPr>
              <w:t>1</w:t>
            </w:r>
            <w:r>
              <w:rPr>
                <w:rFonts w:ascii="Arial" w:hAnsi="Arial" w:cs="Arial"/>
                <w:sz w:val="18"/>
                <w:szCs w:val="18"/>
              </w:rPr>
              <w:t>00</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00</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00</w:t>
            </w:r>
            <w:r>
              <w:rPr>
                <w:rFonts w:ascii="Arial" w:hAnsi="Arial" w:cs="Arial"/>
                <w:sz w:val="18"/>
                <w:szCs w:val="18"/>
              </w:rPr>
              <w:t>；；</w:t>
            </w:r>
          </w:p>
        </w:tc>
      </w:tr>
      <w:tr w:rsidR="00AF6F34" w14:paraId="1498DB62" w14:textId="77777777" w:rsidTr="002815CC">
        <w:trPr>
          <w:trHeight w:val="763"/>
        </w:trPr>
        <w:tc>
          <w:tcPr>
            <w:tcW w:w="427" w:type="dxa"/>
            <w:vMerge/>
            <w:tcBorders>
              <w:top w:val="single" w:sz="4" w:space="0" w:color="000000"/>
              <w:left w:val="single" w:sz="4" w:space="0" w:color="000000"/>
              <w:bottom w:val="single" w:sz="4" w:space="0" w:color="auto"/>
            </w:tcBorders>
            <w:shd w:val="clear" w:color="auto" w:fill="auto"/>
            <w:vAlign w:val="center"/>
          </w:tcPr>
          <w:p w14:paraId="518EB7AA" w14:textId="77777777" w:rsidR="00AF6F34" w:rsidRDefault="00AF6F34">
            <w:pPr>
              <w:widowControl/>
              <w:snapToGrid w:val="0"/>
              <w:spacing w:line="240" w:lineRule="auto"/>
              <w:textAlignment w:val="auto"/>
              <w:rPr>
                <w:rFonts w:ascii="Arial" w:hAnsi="Arial" w:cs="Arial"/>
                <w:sz w:val="18"/>
                <w:szCs w:val="18"/>
              </w:rPr>
            </w:pPr>
          </w:p>
        </w:tc>
        <w:tc>
          <w:tcPr>
            <w:tcW w:w="815" w:type="dxa"/>
            <w:tcBorders>
              <w:top w:val="single" w:sz="4" w:space="0" w:color="000000"/>
              <w:left w:val="single" w:sz="4" w:space="0" w:color="000000"/>
              <w:bottom w:val="single" w:sz="4" w:space="0" w:color="000000"/>
            </w:tcBorders>
            <w:shd w:val="clear" w:color="auto" w:fill="auto"/>
            <w:vAlign w:val="center"/>
          </w:tcPr>
          <w:p w14:paraId="6B28C365" w14:textId="77777777" w:rsidR="00AF6F34" w:rsidRDefault="00A15F2E">
            <w:pPr>
              <w:widowControl/>
              <w:spacing w:line="240" w:lineRule="auto"/>
              <w:jc w:val="center"/>
              <w:textAlignment w:val="auto"/>
            </w:pPr>
            <w:r>
              <w:rPr>
                <w:rFonts w:ascii="宋体" w:hAnsi="宋体" w:cs="Arial" w:hint="eastAsia"/>
                <w:sz w:val="18"/>
              </w:rPr>
              <w:t>标准房建筑</w:t>
            </w:r>
            <w:r w:rsidR="00431E21">
              <w:rPr>
                <w:rFonts w:ascii="宋体" w:hAnsi="宋体" w:cs="Arial" w:hint="eastAsia"/>
                <w:sz w:val="18"/>
              </w:rPr>
              <w:t>面积</w:t>
            </w:r>
          </w:p>
        </w:tc>
        <w:tc>
          <w:tcPr>
            <w:tcW w:w="1134" w:type="dxa"/>
            <w:tcBorders>
              <w:top w:val="single" w:sz="4" w:space="0" w:color="000000"/>
              <w:left w:val="single" w:sz="4" w:space="0" w:color="000000"/>
              <w:bottom w:val="single" w:sz="4" w:space="0" w:color="000000"/>
            </w:tcBorders>
            <w:shd w:val="clear" w:color="auto" w:fill="auto"/>
            <w:vAlign w:val="center"/>
          </w:tcPr>
          <w:p w14:paraId="15DCD88E" w14:textId="77777777" w:rsidR="00AF6F34" w:rsidRDefault="00AF6F34">
            <w:pPr>
              <w:widowControl/>
              <w:spacing w:line="240" w:lineRule="auto"/>
              <w:jc w:val="center"/>
              <w:textAlignment w:val="auto"/>
            </w:pPr>
            <w:r>
              <w:rPr>
                <w:rFonts w:ascii="Arial" w:hAnsi="Arial" w:cs="Arial" w:hint="eastAsia"/>
                <w:sz w:val="18"/>
                <w:szCs w:val="18"/>
              </w:rPr>
              <w:t>1</w:t>
            </w:r>
            <w:r>
              <w:rPr>
                <w:rFonts w:ascii="Arial" w:hAnsi="Arial" w:cs="Arial"/>
                <w:sz w:val="18"/>
                <w:szCs w:val="18"/>
              </w:rPr>
              <w:t>00</w:t>
            </w:r>
          </w:p>
        </w:tc>
        <w:tc>
          <w:tcPr>
            <w:tcW w:w="1134" w:type="dxa"/>
            <w:tcBorders>
              <w:top w:val="single" w:sz="4" w:space="0" w:color="000000"/>
              <w:left w:val="single" w:sz="4" w:space="0" w:color="000000"/>
              <w:bottom w:val="single" w:sz="4" w:space="0" w:color="000000"/>
            </w:tcBorders>
            <w:shd w:val="clear" w:color="auto" w:fill="auto"/>
            <w:vAlign w:val="center"/>
          </w:tcPr>
          <w:p w14:paraId="546C7190" w14:textId="77777777" w:rsidR="00AF6F34" w:rsidRDefault="00AF6F34">
            <w:pPr>
              <w:widowControl/>
              <w:spacing w:line="240" w:lineRule="auto"/>
              <w:jc w:val="center"/>
              <w:textAlignment w:val="auto"/>
            </w:pPr>
            <w:r>
              <w:rPr>
                <w:rFonts w:ascii="Arial" w:hAnsi="Arial" w:cs="Arial"/>
                <w:sz w:val="18"/>
                <w:szCs w:val="18"/>
              </w:rPr>
              <w:t>99</w:t>
            </w:r>
          </w:p>
        </w:tc>
        <w:tc>
          <w:tcPr>
            <w:tcW w:w="1134" w:type="dxa"/>
            <w:tcBorders>
              <w:top w:val="single" w:sz="4" w:space="0" w:color="000000"/>
              <w:left w:val="single" w:sz="4" w:space="0" w:color="000000"/>
              <w:bottom w:val="single" w:sz="4" w:space="0" w:color="000000"/>
            </w:tcBorders>
            <w:shd w:val="clear" w:color="auto" w:fill="auto"/>
            <w:vAlign w:val="center"/>
          </w:tcPr>
          <w:p w14:paraId="5F4D8112" w14:textId="77777777" w:rsidR="00AF6F34" w:rsidRDefault="00A15F2E">
            <w:pPr>
              <w:widowControl/>
              <w:spacing w:line="240" w:lineRule="auto"/>
              <w:jc w:val="center"/>
              <w:textAlignment w:val="auto"/>
            </w:pPr>
            <w:r>
              <w:rPr>
                <w:rFonts w:ascii="Arial" w:hAnsi="Arial" w:cs="Arial"/>
                <w:sz w:val="18"/>
                <w:szCs w:val="18"/>
              </w:rPr>
              <w:t>99</w:t>
            </w:r>
          </w:p>
        </w:tc>
        <w:tc>
          <w:tcPr>
            <w:tcW w:w="1134" w:type="dxa"/>
            <w:tcBorders>
              <w:top w:val="single" w:sz="4" w:space="0" w:color="000000"/>
              <w:left w:val="single" w:sz="4" w:space="0" w:color="000000"/>
              <w:bottom w:val="single" w:sz="4" w:space="0" w:color="000000"/>
            </w:tcBorders>
            <w:shd w:val="clear" w:color="auto" w:fill="auto"/>
            <w:vAlign w:val="center"/>
          </w:tcPr>
          <w:p w14:paraId="3B5D6EA0" w14:textId="77777777" w:rsidR="00AF6F34" w:rsidRDefault="00AF6F34">
            <w:pPr>
              <w:widowControl/>
              <w:spacing w:line="240" w:lineRule="auto"/>
              <w:jc w:val="center"/>
              <w:textAlignment w:val="auto"/>
            </w:pPr>
            <w:r>
              <w:rPr>
                <w:rFonts w:ascii="Arial" w:hAnsi="Arial" w:cs="Arial"/>
                <w:sz w:val="18"/>
                <w:szCs w:val="18"/>
              </w:rPr>
              <w:t>99</w:t>
            </w:r>
          </w:p>
        </w:tc>
        <w:tc>
          <w:tcPr>
            <w:tcW w:w="37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9B6DC" w14:textId="77777777" w:rsidR="00AF6F34" w:rsidRDefault="00001E3B" w:rsidP="00A15F2E">
            <w:pPr>
              <w:widowControl/>
              <w:spacing w:line="240" w:lineRule="auto"/>
              <w:jc w:val="both"/>
              <w:textAlignment w:val="auto"/>
            </w:pPr>
            <w:r>
              <w:rPr>
                <w:rFonts w:ascii="Arial" w:hAnsi="Arial" w:cs="Arial" w:hint="eastAsia"/>
                <w:sz w:val="18"/>
                <w:szCs w:val="18"/>
              </w:rPr>
              <w:t>根据估价对象所在区域住宅租赁市场成交情况。面积大小对租金单价的一般影响为，单套建筑面积越大，单位租金越低，</w:t>
            </w:r>
            <w:r w:rsidR="00373D9A">
              <w:rPr>
                <w:rFonts w:ascii="Arial" w:hAnsi="Arial" w:cs="Arial" w:hint="eastAsia"/>
                <w:sz w:val="18"/>
                <w:szCs w:val="18"/>
              </w:rPr>
              <w:t>按</w:t>
            </w:r>
            <w:r>
              <w:rPr>
                <w:rFonts w:ascii="Arial" w:hAnsi="Arial" w:cs="Arial" w:hint="eastAsia"/>
                <w:sz w:val="18"/>
                <w:szCs w:val="18"/>
              </w:rPr>
              <w:t>建筑面积分为</w:t>
            </w:r>
            <w:r>
              <w:rPr>
                <w:rFonts w:ascii="Arial" w:hAnsi="Arial" w:cs="Arial" w:hint="eastAsia"/>
                <w:sz w:val="18"/>
                <w:szCs w:val="18"/>
              </w:rPr>
              <w:t>70</w:t>
            </w:r>
            <w:r>
              <w:rPr>
                <w:rFonts w:ascii="Arial" w:hAnsi="Arial" w:cs="Arial" w:hint="eastAsia"/>
                <w:sz w:val="18"/>
                <w:szCs w:val="18"/>
              </w:rPr>
              <w:t>平方米（含）以下</w:t>
            </w:r>
            <w:r w:rsidR="00373D9A">
              <w:rPr>
                <w:rFonts w:ascii="Arial" w:hAnsi="Arial" w:cs="Arial" w:hint="eastAsia"/>
                <w:sz w:val="18"/>
                <w:szCs w:val="18"/>
              </w:rPr>
              <w:t>、</w:t>
            </w:r>
            <w:r w:rsidR="00373D9A">
              <w:rPr>
                <w:rFonts w:ascii="Arial" w:hAnsi="Arial" w:cs="Arial" w:hint="eastAsia"/>
                <w:sz w:val="18"/>
                <w:szCs w:val="18"/>
              </w:rPr>
              <w:t>70-90</w:t>
            </w:r>
            <w:r w:rsidR="00373D9A">
              <w:rPr>
                <w:rFonts w:ascii="Arial" w:hAnsi="Arial" w:cs="Arial" w:hint="eastAsia"/>
                <w:sz w:val="18"/>
                <w:szCs w:val="18"/>
              </w:rPr>
              <w:t>平方米（含）、</w:t>
            </w:r>
            <w:r w:rsidR="00373D9A">
              <w:rPr>
                <w:rFonts w:ascii="Arial" w:hAnsi="Arial" w:cs="Arial" w:hint="eastAsia"/>
                <w:sz w:val="18"/>
                <w:szCs w:val="18"/>
              </w:rPr>
              <w:t>90-110</w:t>
            </w:r>
            <w:r w:rsidR="00373D9A">
              <w:rPr>
                <w:rFonts w:ascii="Arial" w:hAnsi="Arial" w:cs="Arial" w:hint="eastAsia"/>
                <w:sz w:val="18"/>
                <w:szCs w:val="18"/>
              </w:rPr>
              <w:t>平方米（含）、</w:t>
            </w:r>
            <w:r w:rsidR="00373D9A">
              <w:rPr>
                <w:rFonts w:ascii="Arial" w:hAnsi="Arial" w:cs="Arial" w:hint="eastAsia"/>
                <w:sz w:val="18"/>
                <w:szCs w:val="18"/>
              </w:rPr>
              <w:t>110</w:t>
            </w:r>
            <w:r w:rsidR="00373D9A">
              <w:rPr>
                <w:rFonts w:ascii="Arial" w:hAnsi="Arial" w:cs="Arial" w:hint="eastAsia"/>
                <w:sz w:val="18"/>
                <w:szCs w:val="18"/>
              </w:rPr>
              <w:t>平方米以上分为</w:t>
            </w:r>
            <w:r w:rsidR="00373D9A">
              <w:rPr>
                <w:rFonts w:ascii="Arial" w:hAnsi="Arial" w:cs="Arial" w:hint="eastAsia"/>
                <w:sz w:val="18"/>
                <w:szCs w:val="18"/>
              </w:rPr>
              <w:t>4</w:t>
            </w:r>
            <w:r w:rsidR="00373D9A">
              <w:rPr>
                <w:rFonts w:ascii="Arial" w:hAnsi="Arial" w:cs="Arial" w:hint="eastAsia"/>
                <w:sz w:val="18"/>
                <w:szCs w:val="18"/>
              </w:rPr>
              <w:t>档，</w:t>
            </w:r>
            <w:r w:rsidR="00AF6F34">
              <w:rPr>
                <w:rFonts w:ascii="Arial" w:hAnsi="Arial" w:cs="Arial" w:hint="eastAsia"/>
                <w:sz w:val="18"/>
                <w:szCs w:val="18"/>
              </w:rPr>
              <w:t>据此以估价对象为</w:t>
            </w:r>
            <w:r w:rsidR="00AF6F34">
              <w:rPr>
                <w:rFonts w:ascii="Arial" w:hAnsi="Arial" w:cs="Arial" w:hint="eastAsia"/>
                <w:sz w:val="18"/>
                <w:szCs w:val="18"/>
              </w:rPr>
              <w:t>1</w:t>
            </w:r>
            <w:r w:rsidR="00AF6F34">
              <w:rPr>
                <w:rFonts w:ascii="Arial" w:hAnsi="Arial" w:cs="Arial"/>
                <w:sz w:val="18"/>
                <w:szCs w:val="18"/>
              </w:rPr>
              <w:t>00</w:t>
            </w:r>
            <w:r w:rsidR="00AF6F34">
              <w:rPr>
                <w:rFonts w:ascii="Arial" w:hAnsi="Arial" w:cs="Arial" w:hint="eastAsia"/>
                <w:sz w:val="18"/>
                <w:szCs w:val="18"/>
              </w:rPr>
              <w:t>，则该因素指数分别为</w:t>
            </w:r>
            <w:r w:rsidR="00AF6F34">
              <w:rPr>
                <w:rFonts w:ascii="Arial" w:hAnsi="Arial" w:cs="Arial"/>
                <w:sz w:val="18"/>
                <w:szCs w:val="18"/>
              </w:rPr>
              <w:t>99</w:t>
            </w:r>
            <w:r w:rsidR="00AF6F34">
              <w:rPr>
                <w:rFonts w:ascii="Arial" w:hAnsi="Arial" w:cs="Arial" w:hint="eastAsia"/>
                <w:sz w:val="18"/>
                <w:szCs w:val="18"/>
              </w:rPr>
              <w:t>、</w:t>
            </w:r>
            <w:r w:rsidR="00A15F2E">
              <w:rPr>
                <w:rFonts w:ascii="Arial" w:hAnsi="Arial" w:cs="Arial"/>
                <w:sz w:val="18"/>
                <w:szCs w:val="18"/>
              </w:rPr>
              <w:t>99</w:t>
            </w:r>
            <w:r w:rsidR="00AF6F34">
              <w:rPr>
                <w:rFonts w:ascii="Arial" w:hAnsi="Arial" w:cs="Arial" w:hint="eastAsia"/>
                <w:sz w:val="18"/>
                <w:szCs w:val="18"/>
              </w:rPr>
              <w:t>、</w:t>
            </w:r>
            <w:r w:rsidR="00AF6F34">
              <w:rPr>
                <w:rFonts w:ascii="Arial" w:hAnsi="Arial" w:cs="Arial"/>
                <w:sz w:val="18"/>
                <w:szCs w:val="18"/>
              </w:rPr>
              <w:t>99</w:t>
            </w:r>
            <w:r w:rsidR="00AF6F34">
              <w:rPr>
                <w:rFonts w:ascii="Arial" w:hAnsi="Arial" w:cs="Arial" w:hint="eastAsia"/>
                <w:sz w:val="18"/>
                <w:szCs w:val="18"/>
              </w:rPr>
              <w:t>。</w:t>
            </w:r>
          </w:p>
        </w:tc>
      </w:tr>
      <w:tr w:rsidR="00AF6F34" w14:paraId="02DFC4F4" w14:textId="77777777" w:rsidTr="002815CC">
        <w:trPr>
          <w:trHeight w:val="870"/>
        </w:trPr>
        <w:tc>
          <w:tcPr>
            <w:tcW w:w="427" w:type="dxa"/>
            <w:vMerge/>
            <w:tcBorders>
              <w:top w:val="single" w:sz="4" w:space="0" w:color="000000"/>
              <w:left w:val="single" w:sz="4" w:space="0" w:color="000000"/>
              <w:bottom w:val="single" w:sz="4" w:space="0" w:color="auto"/>
            </w:tcBorders>
            <w:shd w:val="clear" w:color="auto" w:fill="auto"/>
            <w:vAlign w:val="center"/>
          </w:tcPr>
          <w:p w14:paraId="472500B0" w14:textId="77777777" w:rsidR="00AF6F34" w:rsidRDefault="00AF6F34">
            <w:pPr>
              <w:widowControl/>
              <w:snapToGrid w:val="0"/>
              <w:spacing w:line="240" w:lineRule="auto"/>
              <w:textAlignment w:val="auto"/>
              <w:rPr>
                <w:rFonts w:ascii="Arial" w:hAnsi="Arial" w:cs="Arial"/>
                <w:sz w:val="18"/>
                <w:szCs w:val="18"/>
              </w:rPr>
            </w:pPr>
          </w:p>
        </w:tc>
        <w:tc>
          <w:tcPr>
            <w:tcW w:w="815" w:type="dxa"/>
            <w:tcBorders>
              <w:top w:val="single" w:sz="4" w:space="0" w:color="000000"/>
              <w:left w:val="single" w:sz="4" w:space="0" w:color="000000"/>
              <w:bottom w:val="single" w:sz="4" w:space="0" w:color="000000"/>
            </w:tcBorders>
            <w:shd w:val="clear" w:color="auto" w:fill="auto"/>
            <w:vAlign w:val="center"/>
          </w:tcPr>
          <w:p w14:paraId="719841B7" w14:textId="77777777" w:rsidR="00AF6F34" w:rsidRDefault="00AF6F34">
            <w:pPr>
              <w:widowControl/>
              <w:spacing w:line="240" w:lineRule="auto"/>
              <w:jc w:val="center"/>
              <w:textAlignment w:val="auto"/>
            </w:pPr>
            <w:r>
              <w:rPr>
                <w:rFonts w:ascii="宋体" w:hAnsi="宋体" w:cs="Arial" w:hint="eastAsia"/>
                <w:sz w:val="18"/>
              </w:rPr>
              <w:t>设备</w:t>
            </w:r>
          </w:p>
        </w:tc>
        <w:tc>
          <w:tcPr>
            <w:tcW w:w="1134" w:type="dxa"/>
            <w:tcBorders>
              <w:top w:val="single" w:sz="4" w:space="0" w:color="000000"/>
              <w:left w:val="single" w:sz="4" w:space="0" w:color="000000"/>
              <w:bottom w:val="single" w:sz="4" w:space="0" w:color="000000"/>
            </w:tcBorders>
            <w:shd w:val="clear" w:color="auto" w:fill="auto"/>
            <w:vAlign w:val="center"/>
          </w:tcPr>
          <w:p w14:paraId="791E0B41"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top w:val="single" w:sz="4" w:space="0" w:color="000000"/>
              <w:left w:val="single" w:sz="4" w:space="0" w:color="000000"/>
              <w:bottom w:val="single" w:sz="4" w:space="0" w:color="000000"/>
            </w:tcBorders>
            <w:shd w:val="clear" w:color="auto" w:fill="auto"/>
            <w:vAlign w:val="center"/>
          </w:tcPr>
          <w:p w14:paraId="10A2AD89" w14:textId="77777777" w:rsidR="00AF6F34" w:rsidRDefault="00AF6F34" w:rsidP="00A15F2E">
            <w:pPr>
              <w:widowControl/>
              <w:spacing w:line="240" w:lineRule="auto"/>
              <w:jc w:val="center"/>
              <w:textAlignment w:val="auto"/>
            </w:pPr>
            <w:r>
              <w:rPr>
                <w:rFonts w:ascii="Arial" w:hAnsi="Arial" w:cs="Arial"/>
                <w:sz w:val="18"/>
                <w:szCs w:val="18"/>
              </w:rPr>
              <w:t>10</w:t>
            </w:r>
            <w:r w:rsidR="00A15F2E">
              <w:rPr>
                <w:rFonts w:ascii="Arial" w:hAnsi="Arial" w:cs="Arial"/>
                <w:sz w:val="18"/>
                <w:szCs w:val="18"/>
              </w:rPr>
              <w:t>0</w:t>
            </w:r>
          </w:p>
        </w:tc>
        <w:tc>
          <w:tcPr>
            <w:tcW w:w="1134" w:type="dxa"/>
            <w:tcBorders>
              <w:top w:val="single" w:sz="4" w:space="0" w:color="000000"/>
              <w:left w:val="single" w:sz="4" w:space="0" w:color="000000"/>
              <w:bottom w:val="single" w:sz="4" w:space="0" w:color="000000"/>
            </w:tcBorders>
            <w:shd w:val="clear" w:color="auto" w:fill="auto"/>
            <w:vAlign w:val="center"/>
          </w:tcPr>
          <w:p w14:paraId="4BE80A0E" w14:textId="77777777" w:rsidR="00AF6F34" w:rsidRDefault="00AF6F34" w:rsidP="00A15F2E">
            <w:pPr>
              <w:widowControl/>
              <w:spacing w:line="240" w:lineRule="auto"/>
              <w:jc w:val="center"/>
              <w:textAlignment w:val="auto"/>
            </w:pPr>
            <w:r>
              <w:rPr>
                <w:rFonts w:ascii="Arial" w:hAnsi="Arial" w:cs="Arial"/>
                <w:sz w:val="18"/>
                <w:szCs w:val="18"/>
              </w:rPr>
              <w:t>10</w:t>
            </w:r>
            <w:r w:rsidR="00A15F2E">
              <w:rPr>
                <w:rFonts w:ascii="Arial" w:hAnsi="Arial" w:cs="Arial"/>
                <w:sz w:val="18"/>
                <w:szCs w:val="18"/>
              </w:rPr>
              <w:t>0</w:t>
            </w:r>
          </w:p>
        </w:tc>
        <w:tc>
          <w:tcPr>
            <w:tcW w:w="1134" w:type="dxa"/>
            <w:tcBorders>
              <w:top w:val="single" w:sz="4" w:space="0" w:color="000000"/>
              <w:left w:val="single" w:sz="4" w:space="0" w:color="000000"/>
              <w:bottom w:val="single" w:sz="4" w:space="0" w:color="000000"/>
            </w:tcBorders>
            <w:shd w:val="clear" w:color="auto" w:fill="auto"/>
            <w:vAlign w:val="center"/>
          </w:tcPr>
          <w:p w14:paraId="1FD69826" w14:textId="77777777" w:rsidR="00AF6F34" w:rsidRDefault="00AF6F34" w:rsidP="00A15F2E">
            <w:pPr>
              <w:widowControl/>
              <w:spacing w:line="240" w:lineRule="auto"/>
              <w:jc w:val="center"/>
              <w:textAlignment w:val="auto"/>
            </w:pPr>
            <w:r>
              <w:rPr>
                <w:rFonts w:ascii="Arial" w:hAnsi="Arial" w:cs="Arial"/>
                <w:sz w:val="18"/>
                <w:szCs w:val="18"/>
              </w:rPr>
              <w:t>10</w:t>
            </w:r>
            <w:r w:rsidR="00A15F2E">
              <w:rPr>
                <w:rFonts w:ascii="Arial" w:hAnsi="Arial" w:cs="Arial"/>
                <w:sz w:val="18"/>
                <w:szCs w:val="18"/>
              </w:rPr>
              <w:t>0</w:t>
            </w:r>
          </w:p>
        </w:tc>
        <w:tc>
          <w:tcPr>
            <w:tcW w:w="37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7B436" w14:textId="77777777" w:rsidR="00AF6F34" w:rsidRDefault="00AF6F34">
            <w:pPr>
              <w:widowControl/>
              <w:spacing w:line="240" w:lineRule="auto"/>
              <w:textAlignment w:val="auto"/>
            </w:pPr>
            <w:r>
              <w:rPr>
                <w:rFonts w:ascii="Arial" w:hAnsi="Arial" w:cs="Arial"/>
                <w:sz w:val="18"/>
                <w:szCs w:val="18"/>
              </w:rPr>
              <w:t>根据</w:t>
            </w:r>
            <w:r>
              <w:rPr>
                <w:rFonts w:ascii="Arial" w:hAnsi="Arial" w:cs="Arial" w:hint="eastAsia"/>
                <w:sz w:val="18"/>
                <w:szCs w:val="18"/>
              </w:rPr>
              <w:t>设备</w:t>
            </w:r>
            <w:r>
              <w:rPr>
                <w:rFonts w:ascii="Arial" w:hAnsi="Arial" w:cs="Arial"/>
                <w:sz w:val="18"/>
                <w:szCs w:val="18"/>
              </w:rPr>
              <w:t>对其价值的影响，</w:t>
            </w:r>
            <w:r>
              <w:rPr>
                <w:rFonts w:ascii="Arial" w:hAnsi="Arial" w:cs="Arial" w:hint="eastAsia"/>
                <w:sz w:val="18"/>
                <w:szCs w:val="18"/>
              </w:rPr>
              <w:t>从好到差划分为好、较好、一般、较差、差五个等级。</w:t>
            </w:r>
          </w:p>
          <w:p w14:paraId="04E93D42" w14:textId="77777777" w:rsidR="00AF6F34" w:rsidRDefault="00AF6F34" w:rsidP="00A15F2E">
            <w:pPr>
              <w:widowControl/>
              <w:spacing w:line="240" w:lineRule="auto"/>
              <w:textAlignment w:val="auto"/>
            </w:pPr>
            <w:r>
              <w:rPr>
                <w:rFonts w:ascii="Arial" w:hAnsi="Arial" w:cs="Arial" w:hint="eastAsia"/>
                <w:sz w:val="18"/>
                <w:szCs w:val="18"/>
              </w:rPr>
              <w:t>使用新著名品牌家具、家电；功能与居住相适应；质量有可靠保证，好；使用品牌家具、家电；功能正常，质量有保证，较好；使用品牌家具、家电；虽然使用较长时间，</w:t>
            </w:r>
            <w:r>
              <w:rPr>
                <w:rFonts w:ascii="Arial" w:hAnsi="Arial" w:cs="Arial" w:hint="eastAsia"/>
                <w:sz w:val="18"/>
                <w:szCs w:val="18"/>
              </w:rPr>
              <w:lastRenderedPageBreak/>
              <w:t>但功能正常，质量有保证，一般；使用品牌家具、家电；虽然使用较长时间，但使用，或部分配备家具电器，较差；使用三无产品或不配备家具家电，差。</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w:t>
            </w:r>
            <w:r w:rsidR="00A15F2E">
              <w:rPr>
                <w:rFonts w:ascii="Arial" w:hAnsi="Arial" w:cs="Arial"/>
                <w:sz w:val="18"/>
                <w:szCs w:val="18"/>
              </w:rPr>
              <w:t>0</w:t>
            </w:r>
            <w:r>
              <w:rPr>
                <w:rFonts w:ascii="Arial" w:hAnsi="Arial" w:cs="Arial" w:hint="eastAsia"/>
                <w:sz w:val="18"/>
                <w:szCs w:val="18"/>
              </w:rPr>
              <w:t>、</w:t>
            </w:r>
            <w:r>
              <w:rPr>
                <w:rFonts w:ascii="Arial" w:hAnsi="Arial" w:cs="Arial"/>
                <w:sz w:val="18"/>
                <w:szCs w:val="18"/>
              </w:rPr>
              <w:t>10</w:t>
            </w:r>
            <w:r w:rsidR="00A15F2E">
              <w:rPr>
                <w:rFonts w:ascii="Arial" w:hAnsi="Arial" w:cs="Arial"/>
                <w:sz w:val="18"/>
                <w:szCs w:val="18"/>
              </w:rPr>
              <w:t>0</w:t>
            </w:r>
            <w:r>
              <w:rPr>
                <w:rFonts w:ascii="Arial" w:hAnsi="Arial" w:cs="Arial" w:hint="eastAsia"/>
                <w:sz w:val="18"/>
                <w:szCs w:val="18"/>
              </w:rPr>
              <w:t>、</w:t>
            </w:r>
            <w:r>
              <w:rPr>
                <w:rFonts w:ascii="Arial" w:hAnsi="Arial" w:cs="Arial"/>
                <w:sz w:val="18"/>
                <w:szCs w:val="18"/>
              </w:rPr>
              <w:t>10</w:t>
            </w:r>
            <w:r w:rsidR="00A15F2E">
              <w:rPr>
                <w:rFonts w:ascii="Arial" w:hAnsi="Arial" w:cs="Arial"/>
                <w:sz w:val="18"/>
                <w:szCs w:val="18"/>
              </w:rPr>
              <w:t>0</w:t>
            </w:r>
            <w:r>
              <w:rPr>
                <w:rFonts w:ascii="Arial" w:hAnsi="Arial" w:cs="Arial" w:hint="eastAsia"/>
                <w:sz w:val="18"/>
                <w:szCs w:val="18"/>
              </w:rPr>
              <w:t>。</w:t>
            </w:r>
          </w:p>
        </w:tc>
      </w:tr>
      <w:tr w:rsidR="00AF6F34" w14:paraId="0A819CE6" w14:textId="77777777" w:rsidTr="002815CC">
        <w:trPr>
          <w:trHeight w:val="870"/>
        </w:trPr>
        <w:tc>
          <w:tcPr>
            <w:tcW w:w="427" w:type="dxa"/>
            <w:vMerge/>
            <w:tcBorders>
              <w:top w:val="single" w:sz="4" w:space="0" w:color="000000"/>
              <w:left w:val="single" w:sz="4" w:space="0" w:color="000000"/>
              <w:bottom w:val="single" w:sz="4" w:space="0" w:color="auto"/>
            </w:tcBorders>
            <w:shd w:val="clear" w:color="auto" w:fill="auto"/>
            <w:vAlign w:val="center"/>
          </w:tcPr>
          <w:p w14:paraId="5D936C0D" w14:textId="77777777" w:rsidR="00AF6F34" w:rsidRDefault="00AF6F34">
            <w:pPr>
              <w:widowControl/>
              <w:snapToGrid w:val="0"/>
              <w:spacing w:line="240" w:lineRule="auto"/>
              <w:textAlignment w:val="auto"/>
              <w:rPr>
                <w:rFonts w:ascii="Arial" w:hAnsi="Arial" w:cs="Arial"/>
                <w:sz w:val="18"/>
                <w:szCs w:val="18"/>
              </w:rPr>
            </w:pPr>
          </w:p>
        </w:tc>
        <w:tc>
          <w:tcPr>
            <w:tcW w:w="815" w:type="dxa"/>
            <w:tcBorders>
              <w:top w:val="single" w:sz="4" w:space="0" w:color="000000"/>
              <w:left w:val="single" w:sz="4" w:space="0" w:color="000000"/>
              <w:bottom w:val="single" w:sz="4" w:space="0" w:color="000000"/>
            </w:tcBorders>
            <w:shd w:val="clear" w:color="auto" w:fill="auto"/>
            <w:vAlign w:val="center"/>
          </w:tcPr>
          <w:p w14:paraId="7BA51D64" w14:textId="77777777" w:rsidR="00AF6F34" w:rsidRDefault="00AF6F34">
            <w:pPr>
              <w:widowControl/>
              <w:spacing w:line="240" w:lineRule="auto"/>
              <w:jc w:val="center"/>
              <w:textAlignment w:val="auto"/>
            </w:pPr>
            <w:r>
              <w:rPr>
                <w:rFonts w:ascii="宋体" w:hAnsi="宋体" w:cs="Arial" w:hint="eastAsia"/>
                <w:sz w:val="18"/>
              </w:rPr>
              <w:t>成新度</w:t>
            </w:r>
          </w:p>
        </w:tc>
        <w:tc>
          <w:tcPr>
            <w:tcW w:w="1134" w:type="dxa"/>
            <w:tcBorders>
              <w:top w:val="single" w:sz="4" w:space="0" w:color="000000"/>
              <w:left w:val="single" w:sz="4" w:space="0" w:color="000000"/>
              <w:bottom w:val="single" w:sz="4" w:space="0" w:color="000000"/>
            </w:tcBorders>
            <w:shd w:val="clear" w:color="auto" w:fill="auto"/>
            <w:vAlign w:val="center"/>
          </w:tcPr>
          <w:p w14:paraId="0865810A"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top w:val="single" w:sz="4" w:space="0" w:color="000000"/>
              <w:left w:val="single" w:sz="4" w:space="0" w:color="000000"/>
              <w:bottom w:val="single" w:sz="4" w:space="0" w:color="000000"/>
            </w:tcBorders>
            <w:shd w:val="clear" w:color="auto" w:fill="auto"/>
            <w:vAlign w:val="center"/>
          </w:tcPr>
          <w:p w14:paraId="39140BEA" w14:textId="77777777" w:rsidR="00AF6F34" w:rsidRDefault="00AF6F34">
            <w:pPr>
              <w:widowControl/>
              <w:spacing w:line="240" w:lineRule="auto"/>
              <w:jc w:val="center"/>
              <w:textAlignment w:val="auto"/>
            </w:pPr>
            <w:r>
              <w:rPr>
                <w:rFonts w:ascii="Arial" w:hAnsi="Arial" w:cs="Arial"/>
                <w:sz w:val="18"/>
                <w:szCs w:val="18"/>
              </w:rPr>
              <w:t>99</w:t>
            </w:r>
          </w:p>
        </w:tc>
        <w:tc>
          <w:tcPr>
            <w:tcW w:w="1134" w:type="dxa"/>
            <w:tcBorders>
              <w:top w:val="single" w:sz="4" w:space="0" w:color="000000"/>
              <w:left w:val="single" w:sz="4" w:space="0" w:color="000000"/>
              <w:bottom w:val="single" w:sz="4" w:space="0" w:color="000000"/>
            </w:tcBorders>
            <w:shd w:val="clear" w:color="auto" w:fill="auto"/>
            <w:vAlign w:val="center"/>
          </w:tcPr>
          <w:p w14:paraId="5119DB16" w14:textId="486A74FA" w:rsidR="00AF6F34" w:rsidRDefault="00FB7530">
            <w:pPr>
              <w:widowControl/>
              <w:spacing w:line="240" w:lineRule="auto"/>
              <w:jc w:val="center"/>
              <w:textAlignment w:val="auto"/>
            </w:pPr>
            <w:r>
              <w:rPr>
                <w:rFonts w:ascii="Arial" w:hAnsi="Arial" w:cs="Arial"/>
                <w:sz w:val="18"/>
                <w:szCs w:val="18"/>
              </w:rPr>
              <w:t>100</w:t>
            </w:r>
          </w:p>
        </w:tc>
        <w:tc>
          <w:tcPr>
            <w:tcW w:w="1134" w:type="dxa"/>
            <w:tcBorders>
              <w:top w:val="single" w:sz="4" w:space="0" w:color="000000"/>
              <w:left w:val="single" w:sz="4" w:space="0" w:color="000000"/>
              <w:bottom w:val="single" w:sz="4" w:space="0" w:color="000000"/>
            </w:tcBorders>
            <w:shd w:val="clear" w:color="auto" w:fill="auto"/>
            <w:vAlign w:val="center"/>
          </w:tcPr>
          <w:p w14:paraId="67F6B4FB" w14:textId="77777777" w:rsidR="00AF6F34" w:rsidRDefault="00A15F2E">
            <w:pPr>
              <w:widowControl/>
              <w:spacing w:line="240" w:lineRule="auto"/>
              <w:jc w:val="center"/>
              <w:textAlignment w:val="auto"/>
            </w:pPr>
            <w:r>
              <w:rPr>
                <w:rFonts w:ascii="Arial" w:hAnsi="Arial" w:cs="Arial"/>
                <w:sz w:val="18"/>
                <w:szCs w:val="18"/>
              </w:rPr>
              <w:t>101</w:t>
            </w:r>
          </w:p>
        </w:tc>
        <w:tc>
          <w:tcPr>
            <w:tcW w:w="37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9E0CA" w14:textId="08818A4D" w:rsidR="00AF6F34" w:rsidRDefault="00AF6F34" w:rsidP="00FB7530">
            <w:pPr>
              <w:widowControl/>
              <w:spacing w:line="240" w:lineRule="auto"/>
              <w:textAlignment w:val="auto"/>
            </w:pPr>
            <w:r>
              <w:rPr>
                <w:rFonts w:ascii="Arial" w:hAnsi="Arial" w:cs="Arial" w:hint="eastAsia"/>
                <w:sz w:val="18"/>
                <w:szCs w:val="18"/>
              </w:rPr>
              <w:t>根据建成年代确定成新度，分为</w:t>
            </w:r>
            <w:r>
              <w:rPr>
                <w:rFonts w:ascii="Arial" w:hAnsi="Arial" w:cs="Arial"/>
                <w:sz w:val="18"/>
                <w:szCs w:val="18"/>
              </w:rPr>
              <w:t>90%-100%</w:t>
            </w:r>
            <w:r>
              <w:rPr>
                <w:rFonts w:ascii="Arial" w:hAnsi="Arial" w:cs="Arial" w:hint="eastAsia"/>
                <w:sz w:val="18"/>
                <w:szCs w:val="18"/>
              </w:rPr>
              <w:t>（含）、</w:t>
            </w:r>
            <w:r>
              <w:rPr>
                <w:rFonts w:ascii="Arial" w:hAnsi="Arial" w:cs="Arial" w:hint="eastAsia"/>
                <w:sz w:val="18"/>
                <w:szCs w:val="18"/>
              </w:rPr>
              <w:t>8</w:t>
            </w:r>
            <w:r>
              <w:rPr>
                <w:rFonts w:ascii="Arial" w:hAnsi="Arial" w:cs="Arial"/>
                <w:sz w:val="18"/>
                <w:szCs w:val="18"/>
              </w:rPr>
              <w:t>0%-90%</w:t>
            </w:r>
            <w:r>
              <w:rPr>
                <w:rFonts w:ascii="Arial" w:hAnsi="Arial" w:cs="Arial" w:hint="eastAsia"/>
                <w:sz w:val="18"/>
                <w:szCs w:val="18"/>
              </w:rPr>
              <w:t>（含）、</w:t>
            </w:r>
            <w:r>
              <w:rPr>
                <w:rFonts w:ascii="Arial" w:hAnsi="Arial" w:cs="Arial"/>
                <w:sz w:val="18"/>
                <w:szCs w:val="18"/>
              </w:rPr>
              <w:t>70%-80%</w:t>
            </w:r>
            <w:r>
              <w:rPr>
                <w:rFonts w:ascii="Arial" w:hAnsi="Arial" w:cs="Arial" w:hint="eastAsia"/>
                <w:sz w:val="18"/>
                <w:szCs w:val="18"/>
              </w:rPr>
              <w:t>（含）、</w:t>
            </w:r>
            <w:r>
              <w:rPr>
                <w:rFonts w:ascii="Arial" w:hAnsi="Arial" w:cs="Arial"/>
                <w:sz w:val="18"/>
                <w:szCs w:val="18"/>
              </w:rPr>
              <w:t>60%-70%</w:t>
            </w:r>
            <w:r>
              <w:rPr>
                <w:rFonts w:ascii="Arial" w:hAnsi="Arial" w:cs="Arial" w:hint="eastAsia"/>
                <w:sz w:val="18"/>
                <w:szCs w:val="18"/>
              </w:rPr>
              <w:t>（含）、</w:t>
            </w:r>
            <w:r>
              <w:rPr>
                <w:rFonts w:ascii="Arial" w:hAnsi="Arial" w:cs="Arial"/>
                <w:sz w:val="18"/>
                <w:szCs w:val="18"/>
              </w:rPr>
              <w:t>60%</w:t>
            </w:r>
            <w:r>
              <w:rPr>
                <w:rFonts w:ascii="Arial" w:hAnsi="Arial" w:cs="Arial" w:hint="eastAsia"/>
                <w:sz w:val="18"/>
                <w:szCs w:val="18"/>
              </w:rPr>
              <w:t>（含）以下共</w:t>
            </w:r>
            <w:r>
              <w:rPr>
                <w:rFonts w:ascii="Arial" w:hAnsi="Arial" w:cs="Arial" w:hint="eastAsia"/>
                <w:sz w:val="18"/>
                <w:szCs w:val="18"/>
              </w:rPr>
              <w:t>5</w:t>
            </w:r>
            <w:r>
              <w:rPr>
                <w:rFonts w:ascii="Arial" w:hAnsi="Arial" w:cs="Arial" w:hint="eastAsia"/>
                <w:sz w:val="18"/>
                <w:szCs w:val="18"/>
              </w:rPr>
              <w:t>档。</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99</w:t>
            </w:r>
            <w:r>
              <w:rPr>
                <w:rFonts w:ascii="Arial" w:hAnsi="Arial" w:cs="Arial" w:hint="eastAsia"/>
                <w:sz w:val="18"/>
                <w:szCs w:val="18"/>
              </w:rPr>
              <w:t>、</w:t>
            </w:r>
            <w:r w:rsidR="00FB7530">
              <w:rPr>
                <w:rFonts w:ascii="Arial" w:hAnsi="Arial" w:cs="Arial"/>
                <w:sz w:val="18"/>
                <w:szCs w:val="18"/>
              </w:rPr>
              <w:t>100</w:t>
            </w:r>
            <w:r>
              <w:rPr>
                <w:rFonts w:ascii="Arial" w:hAnsi="Arial" w:cs="Arial" w:hint="eastAsia"/>
                <w:sz w:val="18"/>
                <w:szCs w:val="18"/>
              </w:rPr>
              <w:t>、</w:t>
            </w:r>
            <w:r w:rsidR="00A15F2E">
              <w:rPr>
                <w:rFonts w:ascii="Arial" w:hAnsi="Arial" w:cs="Arial"/>
                <w:sz w:val="18"/>
                <w:szCs w:val="18"/>
              </w:rPr>
              <w:t>101</w:t>
            </w:r>
            <w:r>
              <w:rPr>
                <w:rFonts w:ascii="Arial" w:hAnsi="Arial" w:cs="Arial" w:hint="eastAsia"/>
                <w:sz w:val="18"/>
                <w:szCs w:val="18"/>
              </w:rPr>
              <w:t>。</w:t>
            </w:r>
          </w:p>
        </w:tc>
      </w:tr>
    </w:tbl>
    <w:p w14:paraId="296CCC3E" w14:textId="77777777" w:rsidR="00AF6F34" w:rsidRDefault="00AF6F34">
      <w:pPr>
        <w:pageBreakBefore/>
        <w:overflowPunct w:val="0"/>
        <w:spacing w:line="480" w:lineRule="auto"/>
        <w:ind w:firstLine="420"/>
      </w:pPr>
      <w:r>
        <w:rPr>
          <w:rFonts w:ascii="Arial" w:hAnsi="Arial" w:cs="Arial" w:hint="eastAsia"/>
          <w:sz w:val="21"/>
          <w:szCs w:val="21"/>
        </w:rPr>
        <w:lastRenderedPageBreak/>
        <w:t>（</w:t>
      </w:r>
      <w:r>
        <w:rPr>
          <w:rFonts w:ascii="Arial" w:hAnsi="Arial" w:cs="Arial" w:hint="eastAsia"/>
          <w:sz w:val="21"/>
          <w:szCs w:val="21"/>
        </w:rPr>
        <w:t>3</w:t>
      </w:r>
      <w:r>
        <w:rPr>
          <w:rFonts w:ascii="Arial" w:hAnsi="Arial" w:cs="Arial" w:hint="eastAsia"/>
          <w:sz w:val="21"/>
          <w:szCs w:val="21"/>
        </w:rPr>
        <w:t>）编制因素比较修正系数表</w:t>
      </w:r>
      <w:r>
        <w:rPr>
          <w:rFonts w:ascii="Arial" w:eastAsia="Arial" w:hAnsi="Arial" w:cs="Arial"/>
          <w:sz w:val="21"/>
          <w:szCs w:val="21"/>
        </w:rPr>
        <w:t xml:space="preserve"> </w:t>
      </w:r>
    </w:p>
    <w:p w14:paraId="4DE43233" w14:textId="77777777" w:rsidR="00AF6F34" w:rsidRDefault="00AF6F34">
      <w:pPr>
        <w:overflowPunct w:val="0"/>
        <w:spacing w:line="480" w:lineRule="auto"/>
        <w:ind w:firstLine="420"/>
      </w:pPr>
      <w:r>
        <w:rPr>
          <w:rFonts w:ascii="Arial" w:hAnsi="Arial" w:cs="Arial" w:hint="eastAsia"/>
          <w:sz w:val="21"/>
          <w:szCs w:val="21"/>
        </w:rPr>
        <w:t>根据比较因素条件指数表，编制因素各项目比较修正系数表，详见下表：</w:t>
      </w:r>
    </w:p>
    <w:p w14:paraId="4666B9E6" w14:textId="77777777" w:rsidR="00AF6F34" w:rsidRDefault="00AF6F34">
      <w:pPr>
        <w:overflowPunct w:val="0"/>
        <w:spacing w:line="480" w:lineRule="auto"/>
        <w:ind w:firstLine="420"/>
        <w:jc w:val="center"/>
      </w:pPr>
      <w:r>
        <w:rPr>
          <w:rFonts w:ascii="Arial" w:hAnsi="Arial" w:cs="Arial" w:hint="eastAsia"/>
          <w:sz w:val="21"/>
          <w:szCs w:val="21"/>
        </w:rPr>
        <w:t>南海家园</w:t>
      </w:r>
      <w:r>
        <w:t>因素比较修正系数表</w:t>
      </w:r>
    </w:p>
    <w:tbl>
      <w:tblPr>
        <w:tblW w:w="5000" w:type="pct"/>
        <w:tblInd w:w="-117" w:type="dxa"/>
        <w:tblLayout w:type="fixed"/>
        <w:tblLook w:val="0000" w:firstRow="0" w:lastRow="0" w:firstColumn="0" w:lastColumn="0" w:noHBand="0" w:noVBand="0"/>
      </w:tblPr>
      <w:tblGrid>
        <w:gridCol w:w="1714"/>
        <w:gridCol w:w="2378"/>
        <w:gridCol w:w="1804"/>
        <w:gridCol w:w="1804"/>
        <w:gridCol w:w="1814"/>
      </w:tblGrid>
      <w:tr w:rsidR="00AF6F34" w14:paraId="57AE6E06" w14:textId="77777777">
        <w:trPr>
          <w:trHeight w:val="227"/>
        </w:trPr>
        <w:tc>
          <w:tcPr>
            <w:tcW w:w="3999" w:type="dxa"/>
            <w:gridSpan w:val="2"/>
            <w:tcBorders>
              <w:top w:val="single" w:sz="4" w:space="0" w:color="000000"/>
              <w:left w:val="single" w:sz="4" w:space="0" w:color="000000"/>
              <w:bottom w:val="single" w:sz="4" w:space="0" w:color="000000"/>
            </w:tcBorders>
            <w:shd w:val="clear" w:color="auto" w:fill="auto"/>
            <w:vAlign w:val="center"/>
          </w:tcPr>
          <w:p w14:paraId="6DF6918E" w14:textId="77777777" w:rsidR="00AF6F34" w:rsidRDefault="00AF6F34">
            <w:pPr>
              <w:widowControl/>
              <w:spacing w:line="240" w:lineRule="atLeast"/>
              <w:jc w:val="center"/>
              <w:textAlignment w:val="auto"/>
            </w:pPr>
            <w:r>
              <w:rPr>
                <w:rFonts w:ascii="宋体" w:hAnsi="宋体" w:cs="Arial" w:hint="eastAsia"/>
                <w:sz w:val="18"/>
              </w:rPr>
              <w:t>项目</w:t>
            </w:r>
          </w:p>
        </w:tc>
        <w:tc>
          <w:tcPr>
            <w:tcW w:w="1763" w:type="dxa"/>
            <w:tcBorders>
              <w:top w:val="single" w:sz="4" w:space="0" w:color="000000"/>
              <w:left w:val="single" w:sz="4" w:space="0" w:color="000000"/>
              <w:bottom w:val="single" w:sz="4" w:space="0" w:color="000000"/>
            </w:tcBorders>
            <w:shd w:val="clear" w:color="auto" w:fill="auto"/>
            <w:vAlign w:val="center"/>
          </w:tcPr>
          <w:p w14:paraId="273AEF18" w14:textId="77777777" w:rsidR="00AF6F34" w:rsidRDefault="00AF6F34">
            <w:pPr>
              <w:widowControl/>
              <w:spacing w:line="240" w:lineRule="atLeast"/>
              <w:jc w:val="center"/>
              <w:textAlignment w:val="auto"/>
            </w:pPr>
            <w:r>
              <w:rPr>
                <w:rFonts w:ascii="宋体" w:hAnsi="宋体" w:cs="Arial" w:hint="eastAsia"/>
                <w:sz w:val="18"/>
              </w:rPr>
              <w:t>可比实例</w:t>
            </w:r>
            <w:r>
              <w:rPr>
                <w:rFonts w:ascii="Arial" w:hAnsi="Arial" w:cs="Arial"/>
                <w:sz w:val="18"/>
              </w:rPr>
              <w:t>1</w:t>
            </w:r>
          </w:p>
        </w:tc>
        <w:tc>
          <w:tcPr>
            <w:tcW w:w="1763" w:type="dxa"/>
            <w:tcBorders>
              <w:top w:val="single" w:sz="4" w:space="0" w:color="000000"/>
              <w:left w:val="single" w:sz="4" w:space="0" w:color="000000"/>
              <w:bottom w:val="single" w:sz="4" w:space="0" w:color="000000"/>
            </w:tcBorders>
            <w:shd w:val="clear" w:color="auto" w:fill="auto"/>
            <w:vAlign w:val="center"/>
          </w:tcPr>
          <w:p w14:paraId="1AF344F6" w14:textId="77777777" w:rsidR="00AF6F34" w:rsidRDefault="00AF6F34">
            <w:pPr>
              <w:widowControl/>
              <w:spacing w:line="240" w:lineRule="atLeast"/>
              <w:jc w:val="center"/>
              <w:textAlignment w:val="auto"/>
            </w:pPr>
            <w:r>
              <w:rPr>
                <w:rFonts w:ascii="宋体" w:hAnsi="宋体" w:cs="Arial" w:hint="eastAsia"/>
                <w:sz w:val="18"/>
              </w:rPr>
              <w:t>可比实例</w:t>
            </w:r>
            <w:r>
              <w:rPr>
                <w:rFonts w:ascii="Arial" w:hAnsi="Arial" w:cs="Arial"/>
                <w:sz w:val="18"/>
              </w:rPr>
              <w:t>2</w:t>
            </w:r>
          </w:p>
        </w:tc>
        <w:tc>
          <w:tcPr>
            <w:tcW w:w="17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951A9" w14:textId="77777777" w:rsidR="00AF6F34" w:rsidRDefault="00AF6F34">
            <w:pPr>
              <w:widowControl/>
              <w:spacing w:line="240" w:lineRule="atLeast"/>
              <w:jc w:val="center"/>
              <w:textAlignment w:val="auto"/>
            </w:pPr>
            <w:r>
              <w:rPr>
                <w:rFonts w:ascii="宋体" w:hAnsi="宋体" w:cs="Arial" w:hint="eastAsia"/>
                <w:sz w:val="18"/>
              </w:rPr>
              <w:t>可比实例</w:t>
            </w:r>
            <w:r>
              <w:rPr>
                <w:rFonts w:ascii="Arial" w:hAnsi="Arial" w:cs="Arial"/>
                <w:sz w:val="18"/>
              </w:rPr>
              <w:t>3</w:t>
            </w:r>
          </w:p>
        </w:tc>
      </w:tr>
      <w:tr w:rsidR="00AF6F34" w14:paraId="70FA8AC6" w14:textId="77777777">
        <w:trPr>
          <w:trHeight w:val="227"/>
        </w:trPr>
        <w:tc>
          <w:tcPr>
            <w:tcW w:w="3999" w:type="dxa"/>
            <w:gridSpan w:val="2"/>
            <w:tcBorders>
              <w:top w:val="single" w:sz="4" w:space="0" w:color="000000"/>
              <w:left w:val="single" w:sz="4" w:space="0" w:color="000000"/>
              <w:bottom w:val="single" w:sz="4" w:space="0" w:color="000000"/>
            </w:tcBorders>
            <w:shd w:val="clear" w:color="auto" w:fill="auto"/>
            <w:vAlign w:val="center"/>
          </w:tcPr>
          <w:p w14:paraId="59BFCDC5" w14:textId="77777777" w:rsidR="00AF6F34" w:rsidRDefault="00AF6F34">
            <w:pPr>
              <w:widowControl/>
              <w:spacing w:line="240" w:lineRule="atLeast"/>
              <w:jc w:val="center"/>
              <w:textAlignment w:val="auto"/>
            </w:pPr>
            <w:r>
              <w:rPr>
                <w:rFonts w:ascii="宋体" w:hAnsi="宋体" w:cs="Arial" w:hint="eastAsia"/>
                <w:sz w:val="18"/>
              </w:rPr>
              <w:t>小区名称</w:t>
            </w:r>
          </w:p>
        </w:tc>
        <w:tc>
          <w:tcPr>
            <w:tcW w:w="1763" w:type="dxa"/>
            <w:tcBorders>
              <w:left w:val="single" w:sz="4" w:space="0" w:color="000000"/>
              <w:bottom w:val="single" w:sz="4" w:space="0" w:color="000000"/>
            </w:tcBorders>
            <w:shd w:val="clear" w:color="auto" w:fill="auto"/>
            <w:vAlign w:val="center"/>
          </w:tcPr>
          <w:p w14:paraId="2E45F1F5" w14:textId="77777777" w:rsidR="00AF6F34" w:rsidRDefault="00AF6F34">
            <w:pPr>
              <w:widowControl/>
              <w:spacing w:line="240" w:lineRule="auto"/>
              <w:jc w:val="center"/>
              <w:textAlignment w:val="auto"/>
            </w:pPr>
            <w:r>
              <w:rPr>
                <w:rFonts w:ascii="Arial" w:hAnsi="Arial" w:cs="Arial" w:hint="eastAsia"/>
                <w:sz w:val="18"/>
              </w:rPr>
              <w:t>鹿海园</w:t>
            </w:r>
          </w:p>
        </w:tc>
        <w:tc>
          <w:tcPr>
            <w:tcW w:w="1763" w:type="dxa"/>
            <w:tcBorders>
              <w:left w:val="single" w:sz="4" w:space="0" w:color="000000"/>
              <w:bottom w:val="single" w:sz="4" w:space="0" w:color="000000"/>
            </w:tcBorders>
            <w:shd w:val="clear" w:color="auto" w:fill="auto"/>
            <w:vAlign w:val="center"/>
          </w:tcPr>
          <w:p w14:paraId="4C60135A" w14:textId="77777777" w:rsidR="00AF6F34" w:rsidRDefault="00AF6F34">
            <w:pPr>
              <w:widowControl/>
              <w:spacing w:line="240" w:lineRule="auto"/>
              <w:jc w:val="center"/>
              <w:textAlignment w:val="auto"/>
            </w:pPr>
            <w:r>
              <w:rPr>
                <w:rFonts w:ascii="Arial" w:hAnsi="Arial" w:cs="Arial" w:hint="eastAsia"/>
                <w:sz w:val="18"/>
              </w:rPr>
              <w:t>泰河园</w:t>
            </w:r>
          </w:p>
        </w:tc>
        <w:tc>
          <w:tcPr>
            <w:tcW w:w="1773" w:type="dxa"/>
            <w:tcBorders>
              <w:left w:val="single" w:sz="4" w:space="0" w:color="000000"/>
              <w:bottom w:val="single" w:sz="4" w:space="0" w:color="000000"/>
              <w:right w:val="single" w:sz="4" w:space="0" w:color="000000"/>
            </w:tcBorders>
            <w:shd w:val="clear" w:color="auto" w:fill="auto"/>
            <w:vAlign w:val="center"/>
          </w:tcPr>
          <w:p w14:paraId="1CD34B40" w14:textId="77777777" w:rsidR="00AF6F34" w:rsidRDefault="00830400">
            <w:pPr>
              <w:widowControl/>
              <w:spacing w:line="240" w:lineRule="auto"/>
              <w:jc w:val="center"/>
              <w:textAlignment w:val="auto"/>
            </w:pPr>
            <w:r>
              <w:rPr>
                <w:rFonts w:ascii="Arial" w:hAnsi="Arial" w:cs="Arial" w:hint="eastAsia"/>
                <w:sz w:val="18"/>
              </w:rPr>
              <w:t>和悦华锦</w:t>
            </w:r>
          </w:p>
        </w:tc>
      </w:tr>
      <w:tr w:rsidR="00AF6F34" w14:paraId="3E7B76A2" w14:textId="77777777">
        <w:trPr>
          <w:trHeight w:val="227"/>
        </w:trPr>
        <w:tc>
          <w:tcPr>
            <w:tcW w:w="3999" w:type="dxa"/>
            <w:gridSpan w:val="2"/>
            <w:tcBorders>
              <w:top w:val="single" w:sz="4" w:space="0" w:color="000000"/>
              <w:left w:val="single" w:sz="4" w:space="0" w:color="000000"/>
              <w:bottom w:val="single" w:sz="4" w:space="0" w:color="000000"/>
            </w:tcBorders>
            <w:shd w:val="clear" w:color="auto" w:fill="auto"/>
            <w:vAlign w:val="center"/>
          </w:tcPr>
          <w:p w14:paraId="56AAB46E" w14:textId="77777777" w:rsidR="00AF6F34" w:rsidRDefault="00AF6F34">
            <w:pPr>
              <w:widowControl/>
              <w:spacing w:line="240" w:lineRule="atLeast"/>
              <w:textAlignment w:val="auto"/>
            </w:pPr>
            <w:r>
              <w:rPr>
                <w:rFonts w:ascii="宋体" w:hAnsi="宋体" w:cs="Arial" w:hint="eastAsia"/>
                <w:sz w:val="18"/>
              </w:rPr>
              <w:t>平均租金（元</w:t>
            </w:r>
            <w:r>
              <w:rPr>
                <w:rFonts w:ascii="Arial" w:hAnsi="Arial" w:cs="Arial"/>
                <w:sz w:val="18"/>
              </w:rPr>
              <w:t>/</w:t>
            </w:r>
            <w:r>
              <w:rPr>
                <w:rFonts w:ascii="宋体" w:hAnsi="宋体" w:cs="Arial" w:hint="eastAsia"/>
                <w:sz w:val="18"/>
              </w:rPr>
              <w:t>平方米</w:t>
            </w:r>
            <w:r>
              <w:rPr>
                <w:rFonts w:ascii="Arial" w:hAnsi="Arial" w:cs="Arial"/>
                <w:sz w:val="18"/>
              </w:rPr>
              <w:t>·</w:t>
            </w:r>
            <w:r>
              <w:rPr>
                <w:rFonts w:ascii="宋体" w:hAnsi="宋体" w:cs="Arial" w:hint="eastAsia"/>
                <w:sz w:val="18"/>
              </w:rPr>
              <w:t>月）</w:t>
            </w:r>
          </w:p>
        </w:tc>
        <w:tc>
          <w:tcPr>
            <w:tcW w:w="1763" w:type="dxa"/>
            <w:tcBorders>
              <w:left w:val="single" w:sz="4" w:space="0" w:color="000000"/>
              <w:bottom w:val="single" w:sz="4" w:space="0" w:color="000000"/>
            </w:tcBorders>
            <w:shd w:val="clear" w:color="auto" w:fill="auto"/>
            <w:vAlign w:val="center"/>
          </w:tcPr>
          <w:p w14:paraId="6DD8CC61" w14:textId="556AC275" w:rsidR="00AF6F34" w:rsidRDefault="00467FB2">
            <w:pPr>
              <w:widowControl/>
              <w:spacing w:line="240" w:lineRule="auto"/>
              <w:jc w:val="center"/>
            </w:pPr>
            <w:r>
              <w:rPr>
                <w:rFonts w:ascii="Arial" w:hAnsi="Arial" w:cs="Arial"/>
                <w:sz w:val="18"/>
              </w:rPr>
              <w:t>54.19</w:t>
            </w:r>
          </w:p>
        </w:tc>
        <w:tc>
          <w:tcPr>
            <w:tcW w:w="1763" w:type="dxa"/>
            <w:tcBorders>
              <w:left w:val="single" w:sz="4" w:space="0" w:color="000000"/>
              <w:bottom w:val="single" w:sz="4" w:space="0" w:color="000000"/>
            </w:tcBorders>
            <w:shd w:val="clear" w:color="auto" w:fill="auto"/>
            <w:vAlign w:val="center"/>
          </w:tcPr>
          <w:p w14:paraId="31259F13" w14:textId="6E95ADE4" w:rsidR="00AF6F34" w:rsidRDefault="00467FB2">
            <w:pPr>
              <w:widowControl/>
              <w:spacing w:line="240" w:lineRule="auto"/>
              <w:jc w:val="center"/>
            </w:pPr>
            <w:r>
              <w:rPr>
                <w:rFonts w:ascii="Arial" w:hAnsi="Arial" w:cs="Arial"/>
                <w:sz w:val="18"/>
              </w:rPr>
              <w:t>55.58</w:t>
            </w:r>
          </w:p>
        </w:tc>
        <w:tc>
          <w:tcPr>
            <w:tcW w:w="1773" w:type="dxa"/>
            <w:tcBorders>
              <w:left w:val="single" w:sz="4" w:space="0" w:color="000000"/>
              <w:bottom w:val="single" w:sz="4" w:space="0" w:color="000000"/>
              <w:right w:val="single" w:sz="4" w:space="0" w:color="000000"/>
            </w:tcBorders>
            <w:shd w:val="clear" w:color="auto" w:fill="auto"/>
            <w:vAlign w:val="center"/>
          </w:tcPr>
          <w:p w14:paraId="0B545CDE" w14:textId="4929320B" w:rsidR="00AF6F34" w:rsidRDefault="00467FB2">
            <w:pPr>
              <w:widowControl/>
              <w:spacing w:line="240" w:lineRule="auto"/>
              <w:jc w:val="center"/>
            </w:pPr>
            <w:r>
              <w:rPr>
                <w:rFonts w:ascii="Arial" w:hAnsi="Arial" w:cs="Arial"/>
                <w:sz w:val="18"/>
              </w:rPr>
              <w:t>52.34</w:t>
            </w:r>
          </w:p>
        </w:tc>
      </w:tr>
      <w:tr w:rsidR="00AF6F34" w14:paraId="5B89B485" w14:textId="77777777">
        <w:trPr>
          <w:trHeight w:val="227"/>
        </w:trPr>
        <w:tc>
          <w:tcPr>
            <w:tcW w:w="3999" w:type="dxa"/>
            <w:gridSpan w:val="2"/>
            <w:tcBorders>
              <w:top w:val="single" w:sz="4" w:space="0" w:color="000000"/>
              <w:left w:val="single" w:sz="4" w:space="0" w:color="000000"/>
              <w:bottom w:val="single" w:sz="4" w:space="0" w:color="000000"/>
            </w:tcBorders>
            <w:shd w:val="clear" w:color="auto" w:fill="auto"/>
            <w:vAlign w:val="center"/>
          </w:tcPr>
          <w:p w14:paraId="2182F15B" w14:textId="77777777" w:rsidR="00AF6F34" w:rsidRDefault="00AF6F34">
            <w:pPr>
              <w:widowControl/>
              <w:spacing w:line="240" w:lineRule="atLeast"/>
              <w:textAlignment w:val="auto"/>
            </w:pPr>
            <w:r>
              <w:rPr>
                <w:rFonts w:ascii="宋体" w:hAnsi="宋体" w:cs="Arial" w:hint="eastAsia"/>
                <w:sz w:val="18"/>
              </w:rPr>
              <w:t>交易时间</w:t>
            </w:r>
          </w:p>
        </w:tc>
        <w:tc>
          <w:tcPr>
            <w:tcW w:w="1763" w:type="dxa"/>
            <w:tcBorders>
              <w:left w:val="single" w:sz="4" w:space="0" w:color="000000"/>
              <w:bottom w:val="single" w:sz="4" w:space="0" w:color="000000"/>
            </w:tcBorders>
            <w:shd w:val="clear" w:color="auto" w:fill="auto"/>
            <w:vAlign w:val="center"/>
          </w:tcPr>
          <w:p w14:paraId="3771F4FE"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shd w:val="clear" w:color="auto" w:fill="auto"/>
            <w:vAlign w:val="center"/>
          </w:tcPr>
          <w:p w14:paraId="29D0924F"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shd w:val="clear" w:color="auto" w:fill="auto"/>
            <w:vAlign w:val="center"/>
          </w:tcPr>
          <w:p w14:paraId="4189B8F7"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42D49C7B" w14:textId="77777777">
        <w:trPr>
          <w:trHeight w:val="227"/>
        </w:trPr>
        <w:tc>
          <w:tcPr>
            <w:tcW w:w="3999" w:type="dxa"/>
            <w:gridSpan w:val="2"/>
            <w:tcBorders>
              <w:top w:val="single" w:sz="4" w:space="0" w:color="000000"/>
              <w:left w:val="single" w:sz="4" w:space="0" w:color="000000"/>
              <w:bottom w:val="single" w:sz="4" w:space="0" w:color="000000"/>
            </w:tcBorders>
            <w:shd w:val="clear" w:color="auto" w:fill="auto"/>
            <w:vAlign w:val="center"/>
          </w:tcPr>
          <w:p w14:paraId="4CDF3585" w14:textId="77777777" w:rsidR="00AF6F34" w:rsidRDefault="00AF6F34">
            <w:pPr>
              <w:widowControl/>
              <w:spacing w:line="240" w:lineRule="atLeast"/>
              <w:textAlignment w:val="auto"/>
            </w:pPr>
            <w:r>
              <w:rPr>
                <w:rFonts w:ascii="宋体" w:hAnsi="宋体" w:cs="Arial" w:hint="eastAsia"/>
                <w:sz w:val="18"/>
              </w:rPr>
              <w:t>交易情况</w:t>
            </w:r>
          </w:p>
        </w:tc>
        <w:tc>
          <w:tcPr>
            <w:tcW w:w="1763" w:type="dxa"/>
            <w:tcBorders>
              <w:left w:val="single" w:sz="4" w:space="0" w:color="000000"/>
              <w:bottom w:val="single" w:sz="4" w:space="0" w:color="000000"/>
            </w:tcBorders>
            <w:shd w:val="clear" w:color="auto" w:fill="auto"/>
            <w:vAlign w:val="center"/>
          </w:tcPr>
          <w:p w14:paraId="2A151C0A"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shd w:val="clear" w:color="auto" w:fill="auto"/>
            <w:vAlign w:val="center"/>
          </w:tcPr>
          <w:p w14:paraId="06E1749E"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shd w:val="clear" w:color="auto" w:fill="auto"/>
            <w:vAlign w:val="center"/>
          </w:tcPr>
          <w:p w14:paraId="124381BB"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23C7DF4F" w14:textId="77777777">
        <w:trPr>
          <w:trHeight w:val="227"/>
        </w:trPr>
        <w:tc>
          <w:tcPr>
            <w:tcW w:w="1675" w:type="dxa"/>
            <w:vMerge w:val="restart"/>
            <w:tcBorders>
              <w:left w:val="single" w:sz="4" w:space="0" w:color="000000"/>
              <w:bottom w:val="single" w:sz="4" w:space="0" w:color="000000"/>
            </w:tcBorders>
            <w:shd w:val="clear" w:color="auto" w:fill="auto"/>
            <w:vAlign w:val="center"/>
          </w:tcPr>
          <w:p w14:paraId="7183E157" w14:textId="77777777" w:rsidR="00AF6F34" w:rsidRDefault="00AF6F34">
            <w:pPr>
              <w:widowControl/>
              <w:spacing w:line="240" w:lineRule="atLeast"/>
              <w:jc w:val="center"/>
              <w:textAlignment w:val="auto"/>
            </w:pPr>
            <w:r>
              <w:rPr>
                <w:rFonts w:ascii="宋体" w:hAnsi="宋体" w:cs="Arial" w:hint="eastAsia"/>
                <w:color w:val="000000"/>
                <w:sz w:val="18"/>
                <w:szCs w:val="22"/>
              </w:rPr>
              <w:t>区域状况</w:t>
            </w:r>
          </w:p>
        </w:tc>
        <w:tc>
          <w:tcPr>
            <w:tcW w:w="2324" w:type="dxa"/>
            <w:tcBorders>
              <w:left w:val="single" w:sz="4" w:space="0" w:color="000000"/>
              <w:bottom w:val="single" w:sz="4" w:space="0" w:color="000000"/>
            </w:tcBorders>
            <w:shd w:val="clear" w:color="auto" w:fill="auto"/>
            <w:vAlign w:val="center"/>
          </w:tcPr>
          <w:p w14:paraId="6B68AB75" w14:textId="77777777" w:rsidR="00AF6F34" w:rsidRDefault="00AF6F34">
            <w:pPr>
              <w:widowControl/>
              <w:spacing w:line="240" w:lineRule="auto"/>
              <w:textAlignment w:val="auto"/>
            </w:pPr>
            <w:r>
              <w:rPr>
                <w:rFonts w:ascii="宋体" w:hAnsi="宋体" w:cs="Arial" w:hint="eastAsia"/>
                <w:sz w:val="18"/>
              </w:rPr>
              <w:t>居住区成熟度</w:t>
            </w:r>
          </w:p>
        </w:tc>
        <w:tc>
          <w:tcPr>
            <w:tcW w:w="1763" w:type="dxa"/>
            <w:tcBorders>
              <w:left w:val="single" w:sz="4" w:space="0" w:color="000000"/>
              <w:bottom w:val="single" w:sz="4" w:space="0" w:color="000000"/>
            </w:tcBorders>
            <w:shd w:val="clear" w:color="auto" w:fill="auto"/>
            <w:vAlign w:val="center"/>
          </w:tcPr>
          <w:p w14:paraId="2986943A"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shd w:val="clear" w:color="auto" w:fill="auto"/>
            <w:vAlign w:val="center"/>
          </w:tcPr>
          <w:p w14:paraId="2AF13E21"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shd w:val="clear" w:color="auto" w:fill="auto"/>
            <w:vAlign w:val="center"/>
          </w:tcPr>
          <w:p w14:paraId="03E92F4A"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5F19EA3F" w14:textId="77777777">
        <w:trPr>
          <w:trHeight w:val="227"/>
        </w:trPr>
        <w:tc>
          <w:tcPr>
            <w:tcW w:w="1675" w:type="dxa"/>
            <w:vMerge/>
            <w:tcBorders>
              <w:left w:val="single" w:sz="4" w:space="0" w:color="000000"/>
              <w:bottom w:val="single" w:sz="4" w:space="0" w:color="000000"/>
            </w:tcBorders>
            <w:shd w:val="clear" w:color="auto" w:fill="auto"/>
            <w:vAlign w:val="center"/>
          </w:tcPr>
          <w:p w14:paraId="45CEA0BB"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shd w:val="clear" w:color="auto" w:fill="auto"/>
            <w:vAlign w:val="center"/>
          </w:tcPr>
          <w:p w14:paraId="22F90744" w14:textId="77777777" w:rsidR="00AF6F34" w:rsidRDefault="00AF6F34">
            <w:pPr>
              <w:widowControl/>
              <w:spacing w:line="240" w:lineRule="auto"/>
              <w:textAlignment w:val="auto"/>
            </w:pPr>
            <w:r>
              <w:rPr>
                <w:rFonts w:ascii="宋体" w:hAnsi="宋体" w:cs="Arial" w:hint="eastAsia"/>
                <w:sz w:val="18"/>
              </w:rPr>
              <w:t>交通条件</w:t>
            </w:r>
          </w:p>
        </w:tc>
        <w:tc>
          <w:tcPr>
            <w:tcW w:w="1763" w:type="dxa"/>
            <w:tcBorders>
              <w:left w:val="single" w:sz="4" w:space="0" w:color="000000"/>
              <w:bottom w:val="single" w:sz="4" w:space="0" w:color="000000"/>
            </w:tcBorders>
            <w:shd w:val="clear" w:color="auto" w:fill="auto"/>
            <w:vAlign w:val="center"/>
          </w:tcPr>
          <w:p w14:paraId="469893AB"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shd w:val="clear" w:color="auto" w:fill="auto"/>
            <w:vAlign w:val="center"/>
          </w:tcPr>
          <w:p w14:paraId="6665EA66"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shd w:val="clear" w:color="auto" w:fill="auto"/>
            <w:vAlign w:val="center"/>
          </w:tcPr>
          <w:p w14:paraId="6EDE3EBE" w14:textId="4550EDC3" w:rsidR="00AF6F34" w:rsidRDefault="00AF6F34" w:rsidP="000D4364">
            <w:pPr>
              <w:widowControl/>
              <w:spacing w:line="240" w:lineRule="atLeast"/>
              <w:jc w:val="center"/>
              <w:textAlignment w:val="auto"/>
            </w:pPr>
            <w:r>
              <w:rPr>
                <w:rFonts w:ascii="Arial" w:hAnsi="Arial" w:cs="Arial" w:hint="eastAsia"/>
                <w:sz w:val="18"/>
              </w:rPr>
              <w:t>100/</w:t>
            </w:r>
            <w:r>
              <w:rPr>
                <w:rFonts w:ascii="Arial" w:hAnsi="Arial" w:cs="Arial"/>
                <w:sz w:val="18"/>
              </w:rPr>
              <w:t>10</w:t>
            </w:r>
            <w:r w:rsidR="000D4364">
              <w:rPr>
                <w:rFonts w:ascii="Arial" w:hAnsi="Arial" w:cs="Arial"/>
                <w:sz w:val="18"/>
              </w:rPr>
              <w:t>2</w:t>
            </w:r>
          </w:p>
        </w:tc>
      </w:tr>
      <w:tr w:rsidR="00AF6F34" w14:paraId="446197A6" w14:textId="77777777">
        <w:trPr>
          <w:trHeight w:val="227"/>
        </w:trPr>
        <w:tc>
          <w:tcPr>
            <w:tcW w:w="1675" w:type="dxa"/>
            <w:vMerge/>
            <w:tcBorders>
              <w:left w:val="single" w:sz="4" w:space="0" w:color="000000"/>
              <w:bottom w:val="single" w:sz="4" w:space="0" w:color="000000"/>
            </w:tcBorders>
            <w:shd w:val="clear" w:color="auto" w:fill="auto"/>
            <w:vAlign w:val="center"/>
          </w:tcPr>
          <w:p w14:paraId="003C4A08"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shd w:val="clear" w:color="auto" w:fill="auto"/>
            <w:vAlign w:val="center"/>
          </w:tcPr>
          <w:p w14:paraId="23F0D1E6" w14:textId="77777777" w:rsidR="00AF6F34" w:rsidRDefault="00AF6F34">
            <w:pPr>
              <w:widowControl/>
              <w:spacing w:line="240" w:lineRule="auto"/>
              <w:textAlignment w:val="auto"/>
            </w:pPr>
            <w:r>
              <w:rPr>
                <w:rFonts w:ascii="宋体" w:hAnsi="宋体" w:cs="Arial" w:hint="eastAsia"/>
                <w:sz w:val="18"/>
              </w:rPr>
              <w:t>商业设施</w:t>
            </w:r>
          </w:p>
        </w:tc>
        <w:tc>
          <w:tcPr>
            <w:tcW w:w="1763" w:type="dxa"/>
            <w:tcBorders>
              <w:left w:val="single" w:sz="4" w:space="0" w:color="000000"/>
              <w:bottom w:val="single" w:sz="4" w:space="0" w:color="000000"/>
            </w:tcBorders>
            <w:shd w:val="clear" w:color="auto" w:fill="auto"/>
            <w:vAlign w:val="center"/>
          </w:tcPr>
          <w:p w14:paraId="68B138D9"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shd w:val="clear" w:color="auto" w:fill="auto"/>
            <w:vAlign w:val="center"/>
          </w:tcPr>
          <w:p w14:paraId="71DED251"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shd w:val="clear" w:color="auto" w:fill="auto"/>
            <w:vAlign w:val="center"/>
          </w:tcPr>
          <w:p w14:paraId="0C376670"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55977C3E" w14:textId="77777777">
        <w:trPr>
          <w:trHeight w:val="227"/>
        </w:trPr>
        <w:tc>
          <w:tcPr>
            <w:tcW w:w="1675" w:type="dxa"/>
            <w:vMerge/>
            <w:tcBorders>
              <w:left w:val="single" w:sz="4" w:space="0" w:color="000000"/>
              <w:bottom w:val="single" w:sz="4" w:space="0" w:color="000000"/>
            </w:tcBorders>
            <w:shd w:val="clear" w:color="auto" w:fill="auto"/>
            <w:vAlign w:val="center"/>
          </w:tcPr>
          <w:p w14:paraId="6F03A7A6"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shd w:val="clear" w:color="auto" w:fill="auto"/>
            <w:vAlign w:val="center"/>
          </w:tcPr>
          <w:p w14:paraId="7A437E2B" w14:textId="77777777" w:rsidR="00AF6F34" w:rsidRDefault="00AF6F34">
            <w:pPr>
              <w:widowControl/>
              <w:spacing w:line="240" w:lineRule="auto"/>
              <w:textAlignment w:val="auto"/>
            </w:pPr>
            <w:r>
              <w:rPr>
                <w:rFonts w:ascii="宋体" w:hAnsi="宋体" w:cs="Arial" w:hint="eastAsia"/>
                <w:sz w:val="18"/>
              </w:rPr>
              <w:t>自然环境</w:t>
            </w:r>
          </w:p>
        </w:tc>
        <w:tc>
          <w:tcPr>
            <w:tcW w:w="1763" w:type="dxa"/>
            <w:tcBorders>
              <w:left w:val="single" w:sz="4" w:space="0" w:color="000000"/>
              <w:bottom w:val="single" w:sz="4" w:space="0" w:color="000000"/>
            </w:tcBorders>
            <w:shd w:val="clear" w:color="auto" w:fill="auto"/>
            <w:vAlign w:val="center"/>
          </w:tcPr>
          <w:p w14:paraId="0A4C22FF"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shd w:val="clear" w:color="auto" w:fill="auto"/>
            <w:vAlign w:val="center"/>
          </w:tcPr>
          <w:p w14:paraId="25E74F5B"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shd w:val="clear" w:color="auto" w:fill="auto"/>
            <w:vAlign w:val="center"/>
          </w:tcPr>
          <w:p w14:paraId="35DC0ACF"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5D78B856" w14:textId="77777777">
        <w:trPr>
          <w:trHeight w:val="227"/>
        </w:trPr>
        <w:tc>
          <w:tcPr>
            <w:tcW w:w="1675" w:type="dxa"/>
            <w:vMerge/>
            <w:tcBorders>
              <w:left w:val="single" w:sz="4" w:space="0" w:color="000000"/>
              <w:bottom w:val="single" w:sz="4" w:space="0" w:color="000000"/>
            </w:tcBorders>
            <w:shd w:val="clear" w:color="auto" w:fill="auto"/>
            <w:vAlign w:val="center"/>
          </w:tcPr>
          <w:p w14:paraId="2F863695"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shd w:val="clear" w:color="auto" w:fill="auto"/>
            <w:vAlign w:val="center"/>
          </w:tcPr>
          <w:p w14:paraId="4AE8C6B9" w14:textId="77777777" w:rsidR="00AF6F34" w:rsidRDefault="00AF6F34">
            <w:pPr>
              <w:widowControl/>
              <w:spacing w:line="240" w:lineRule="auto"/>
              <w:textAlignment w:val="auto"/>
            </w:pPr>
            <w:r>
              <w:rPr>
                <w:rFonts w:ascii="宋体" w:hAnsi="宋体" w:cs="Arial" w:hint="eastAsia"/>
                <w:sz w:val="18"/>
              </w:rPr>
              <w:t>公共配套</w:t>
            </w:r>
          </w:p>
        </w:tc>
        <w:tc>
          <w:tcPr>
            <w:tcW w:w="1763" w:type="dxa"/>
            <w:tcBorders>
              <w:left w:val="single" w:sz="4" w:space="0" w:color="000000"/>
              <w:bottom w:val="single" w:sz="4" w:space="0" w:color="000000"/>
            </w:tcBorders>
            <w:shd w:val="clear" w:color="auto" w:fill="auto"/>
            <w:vAlign w:val="center"/>
          </w:tcPr>
          <w:p w14:paraId="5F1C83D1"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shd w:val="clear" w:color="auto" w:fill="auto"/>
            <w:vAlign w:val="center"/>
          </w:tcPr>
          <w:p w14:paraId="63F9D63F"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shd w:val="clear" w:color="auto" w:fill="auto"/>
            <w:vAlign w:val="center"/>
          </w:tcPr>
          <w:p w14:paraId="029D0941"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346BEBE3" w14:textId="77777777">
        <w:trPr>
          <w:trHeight w:val="227"/>
        </w:trPr>
        <w:tc>
          <w:tcPr>
            <w:tcW w:w="1675" w:type="dxa"/>
            <w:vMerge w:val="restart"/>
            <w:tcBorders>
              <w:left w:val="single" w:sz="4" w:space="0" w:color="000000"/>
            </w:tcBorders>
            <w:shd w:val="clear" w:color="auto" w:fill="auto"/>
            <w:vAlign w:val="center"/>
          </w:tcPr>
          <w:p w14:paraId="7B449E26" w14:textId="77777777" w:rsidR="00AF6F34" w:rsidRDefault="00AF6F34">
            <w:pPr>
              <w:widowControl/>
              <w:spacing w:line="240" w:lineRule="atLeast"/>
              <w:jc w:val="center"/>
              <w:textAlignment w:val="auto"/>
            </w:pPr>
            <w:r>
              <w:rPr>
                <w:rFonts w:ascii="宋体" w:hAnsi="宋体" w:cs="Arial" w:hint="eastAsia"/>
                <w:color w:val="000000"/>
                <w:sz w:val="18"/>
                <w:szCs w:val="22"/>
              </w:rPr>
              <w:t>实物状况</w:t>
            </w:r>
          </w:p>
        </w:tc>
        <w:tc>
          <w:tcPr>
            <w:tcW w:w="2324" w:type="dxa"/>
            <w:tcBorders>
              <w:left w:val="single" w:sz="4" w:space="0" w:color="000000"/>
              <w:bottom w:val="single" w:sz="4" w:space="0" w:color="000000"/>
            </w:tcBorders>
            <w:shd w:val="clear" w:color="auto" w:fill="auto"/>
            <w:vAlign w:val="center"/>
          </w:tcPr>
          <w:p w14:paraId="1273FFA9" w14:textId="77777777" w:rsidR="00AF6F34" w:rsidRDefault="00AF6F34">
            <w:pPr>
              <w:widowControl/>
              <w:spacing w:line="240" w:lineRule="auto"/>
              <w:textAlignment w:val="auto"/>
            </w:pPr>
            <w:r>
              <w:rPr>
                <w:rFonts w:ascii="宋体" w:hAnsi="宋体" w:cs="Arial" w:hint="eastAsia"/>
                <w:sz w:val="18"/>
              </w:rPr>
              <w:t>物业服务</w:t>
            </w:r>
          </w:p>
        </w:tc>
        <w:tc>
          <w:tcPr>
            <w:tcW w:w="1763" w:type="dxa"/>
            <w:tcBorders>
              <w:left w:val="single" w:sz="4" w:space="0" w:color="000000"/>
              <w:bottom w:val="single" w:sz="4" w:space="0" w:color="000000"/>
            </w:tcBorders>
            <w:shd w:val="clear" w:color="auto" w:fill="auto"/>
            <w:vAlign w:val="center"/>
          </w:tcPr>
          <w:p w14:paraId="0723A095"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shd w:val="clear" w:color="auto" w:fill="auto"/>
            <w:vAlign w:val="center"/>
          </w:tcPr>
          <w:p w14:paraId="7CD431B7"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shd w:val="clear" w:color="auto" w:fill="auto"/>
            <w:vAlign w:val="center"/>
          </w:tcPr>
          <w:p w14:paraId="73844585"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173DA6AD" w14:textId="77777777">
        <w:trPr>
          <w:trHeight w:val="227"/>
        </w:trPr>
        <w:tc>
          <w:tcPr>
            <w:tcW w:w="1675" w:type="dxa"/>
            <w:vMerge/>
            <w:tcBorders>
              <w:left w:val="single" w:sz="4" w:space="0" w:color="000000"/>
            </w:tcBorders>
            <w:shd w:val="clear" w:color="auto" w:fill="auto"/>
            <w:vAlign w:val="center"/>
          </w:tcPr>
          <w:p w14:paraId="2B4544F3"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shd w:val="clear" w:color="auto" w:fill="auto"/>
            <w:vAlign w:val="center"/>
          </w:tcPr>
          <w:p w14:paraId="1B72DDD2" w14:textId="77777777" w:rsidR="00AF6F34" w:rsidRDefault="00AF6F34">
            <w:pPr>
              <w:widowControl/>
              <w:spacing w:line="240" w:lineRule="auto"/>
              <w:textAlignment w:val="auto"/>
            </w:pPr>
            <w:r>
              <w:rPr>
                <w:rFonts w:ascii="宋体" w:hAnsi="宋体" w:cs="Arial" w:hint="eastAsia"/>
                <w:sz w:val="18"/>
              </w:rPr>
              <w:t>小区环境</w:t>
            </w:r>
          </w:p>
        </w:tc>
        <w:tc>
          <w:tcPr>
            <w:tcW w:w="1763" w:type="dxa"/>
            <w:tcBorders>
              <w:left w:val="single" w:sz="4" w:space="0" w:color="000000"/>
              <w:bottom w:val="single" w:sz="4" w:space="0" w:color="000000"/>
            </w:tcBorders>
            <w:shd w:val="clear" w:color="auto" w:fill="auto"/>
            <w:vAlign w:val="center"/>
          </w:tcPr>
          <w:p w14:paraId="20B475F7"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shd w:val="clear" w:color="auto" w:fill="auto"/>
            <w:vAlign w:val="center"/>
          </w:tcPr>
          <w:p w14:paraId="461E52CE"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shd w:val="clear" w:color="auto" w:fill="auto"/>
            <w:vAlign w:val="center"/>
          </w:tcPr>
          <w:p w14:paraId="145B8D05"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44B87FFC" w14:textId="77777777">
        <w:trPr>
          <w:trHeight w:val="227"/>
        </w:trPr>
        <w:tc>
          <w:tcPr>
            <w:tcW w:w="1675" w:type="dxa"/>
            <w:vMerge/>
            <w:tcBorders>
              <w:left w:val="single" w:sz="4" w:space="0" w:color="000000"/>
            </w:tcBorders>
            <w:shd w:val="clear" w:color="auto" w:fill="auto"/>
            <w:vAlign w:val="center"/>
          </w:tcPr>
          <w:p w14:paraId="332FF49E"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shd w:val="clear" w:color="auto" w:fill="auto"/>
            <w:vAlign w:val="center"/>
          </w:tcPr>
          <w:p w14:paraId="51C82CF6" w14:textId="77777777" w:rsidR="00AF6F34" w:rsidRDefault="00AF6F34">
            <w:pPr>
              <w:widowControl/>
              <w:spacing w:line="240" w:lineRule="auto"/>
              <w:textAlignment w:val="auto"/>
            </w:pPr>
            <w:r>
              <w:rPr>
                <w:rFonts w:ascii="宋体" w:hAnsi="宋体" w:cs="Arial" w:hint="eastAsia"/>
                <w:sz w:val="18"/>
              </w:rPr>
              <w:t>配套设施</w:t>
            </w:r>
          </w:p>
        </w:tc>
        <w:tc>
          <w:tcPr>
            <w:tcW w:w="1763" w:type="dxa"/>
            <w:tcBorders>
              <w:left w:val="single" w:sz="4" w:space="0" w:color="000000"/>
              <w:bottom w:val="single" w:sz="4" w:space="0" w:color="000000"/>
            </w:tcBorders>
            <w:shd w:val="clear" w:color="auto" w:fill="auto"/>
            <w:vAlign w:val="center"/>
          </w:tcPr>
          <w:p w14:paraId="0771B1DC"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shd w:val="clear" w:color="auto" w:fill="auto"/>
            <w:vAlign w:val="center"/>
          </w:tcPr>
          <w:p w14:paraId="2FC10C41"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shd w:val="clear" w:color="auto" w:fill="auto"/>
            <w:vAlign w:val="center"/>
          </w:tcPr>
          <w:p w14:paraId="1BFFF075"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23E636C3" w14:textId="77777777">
        <w:trPr>
          <w:trHeight w:val="227"/>
        </w:trPr>
        <w:tc>
          <w:tcPr>
            <w:tcW w:w="1675" w:type="dxa"/>
            <w:vMerge/>
            <w:tcBorders>
              <w:left w:val="single" w:sz="4" w:space="0" w:color="000000"/>
            </w:tcBorders>
            <w:shd w:val="clear" w:color="auto" w:fill="auto"/>
            <w:vAlign w:val="center"/>
          </w:tcPr>
          <w:p w14:paraId="7512CB53"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shd w:val="clear" w:color="auto" w:fill="auto"/>
            <w:vAlign w:val="center"/>
          </w:tcPr>
          <w:p w14:paraId="6D0F14C1" w14:textId="77777777" w:rsidR="00AF6F34" w:rsidRDefault="00AF6F34">
            <w:pPr>
              <w:widowControl/>
              <w:spacing w:line="240" w:lineRule="auto"/>
              <w:textAlignment w:val="auto"/>
            </w:pPr>
            <w:r>
              <w:rPr>
                <w:rFonts w:ascii="宋体" w:hAnsi="宋体" w:cs="Arial" w:hint="eastAsia"/>
                <w:sz w:val="18"/>
              </w:rPr>
              <w:t>居住管理</w:t>
            </w:r>
          </w:p>
        </w:tc>
        <w:tc>
          <w:tcPr>
            <w:tcW w:w="1763" w:type="dxa"/>
            <w:tcBorders>
              <w:left w:val="single" w:sz="4" w:space="0" w:color="000000"/>
              <w:bottom w:val="single" w:sz="4" w:space="0" w:color="000000"/>
            </w:tcBorders>
            <w:shd w:val="clear" w:color="auto" w:fill="auto"/>
            <w:vAlign w:val="center"/>
          </w:tcPr>
          <w:p w14:paraId="769C15A3" w14:textId="77777777" w:rsidR="00AF6F34" w:rsidRDefault="00AF6F34" w:rsidP="00A15F2E">
            <w:pPr>
              <w:widowControl/>
              <w:spacing w:line="240" w:lineRule="atLeast"/>
              <w:jc w:val="center"/>
              <w:textAlignment w:val="auto"/>
            </w:pPr>
            <w:r>
              <w:rPr>
                <w:rFonts w:ascii="Arial" w:hAnsi="Arial" w:cs="Arial" w:hint="eastAsia"/>
                <w:sz w:val="18"/>
              </w:rPr>
              <w:t>100/</w:t>
            </w:r>
            <w:r>
              <w:rPr>
                <w:rFonts w:ascii="Arial" w:hAnsi="Arial" w:cs="Arial"/>
                <w:sz w:val="18"/>
              </w:rPr>
              <w:t>9</w:t>
            </w:r>
            <w:r w:rsidR="00A15F2E">
              <w:rPr>
                <w:rFonts w:ascii="Arial" w:hAnsi="Arial" w:cs="Arial"/>
                <w:sz w:val="18"/>
              </w:rPr>
              <w:t>9</w:t>
            </w:r>
          </w:p>
        </w:tc>
        <w:tc>
          <w:tcPr>
            <w:tcW w:w="1763" w:type="dxa"/>
            <w:tcBorders>
              <w:left w:val="single" w:sz="4" w:space="0" w:color="000000"/>
              <w:bottom w:val="single" w:sz="4" w:space="0" w:color="000000"/>
            </w:tcBorders>
            <w:shd w:val="clear" w:color="auto" w:fill="auto"/>
          </w:tcPr>
          <w:p w14:paraId="5CF71336" w14:textId="77777777" w:rsidR="00AF6F34" w:rsidRDefault="00A15F2E">
            <w:pPr>
              <w:widowControl/>
              <w:spacing w:line="240" w:lineRule="atLeast"/>
              <w:jc w:val="center"/>
              <w:textAlignment w:val="auto"/>
            </w:pPr>
            <w:r>
              <w:rPr>
                <w:rFonts w:ascii="Arial" w:hAnsi="Arial" w:cs="Arial" w:hint="eastAsia"/>
                <w:sz w:val="18"/>
              </w:rPr>
              <w:t>100/</w:t>
            </w:r>
            <w:r>
              <w:rPr>
                <w:rFonts w:ascii="Arial" w:hAnsi="Arial" w:cs="Arial"/>
                <w:sz w:val="18"/>
              </w:rPr>
              <w:t>99</w:t>
            </w:r>
          </w:p>
        </w:tc>
        <w:tc>
          <w:tcPr>
            <w:tcW w:w="1773" w:type="dxa"/>
            <w:tcBorders>
              <w:left w:val="single" w:sz="4" w:space="0" w:color="000000"/>
              <w:bottom w:val="single" w:sz="4" w:space="0" w:color="000000"/>
              <w:right w:val="single" w:sz="4" w:space="0" w:color="000000"/>
            </w:tcBorders>
            <w:shd w:val="clear" w:color="auto" w:fill="auto"/>
          </w:tcPr>
          <w:p w14:paraId="0DA8E858" w14:textId="77777777" w:rsidR="00AF6F34" w:rsidRDefault="00A15F2E">
            <w:pPr>
              <w:widowControl/>
              <w:spacing w:line="240" w:lineRule="atLeast"/>
              <w:jc w:val="center"/>
              <w:textAlignment w:val="auto"/>
            </w:pPr>
            <w:r>
              <w:rPr>
                <w:rFonts w:ascii="Arial" w:hAnsi="Arial" w:cs="Arial" w:hint="eastAsia"/>
                <w:sz w:val="18"/>
              </w:rPr>
              <w:t>100/</w:t>
            </w:r>
            <w:r>
              <w:rPr>
                <w:rFonts w:ascii="Arial" w:hAnsi="Arial" w:cs="Arial"/>
                <w:sz w:val="18"/>
              </w:rPr>
              <w:t>99</w:t>
            </w:r>
          </w:p>
        </w:tc>
      </w:tr>
      <w:tr w:rsidR="00AF6F34" w14:paraId="3416FD72" w14:textId="77777777">
        <w:trPr>
          <w:trHeight w:val="227"/>
        </w:trPr>
        <w:tc>
          <w:tcPr>
            <w:tcW w:w="1675" w:type="dxa"/>
            <w:vMerge/>
            <w:tcBorders>
              <w:left w:val="single" w:sz="4" w:space="0" w:color="000000"/>
            </w:tcBorders>
            <w:shd w:val="clear" w:color="auto" w:fill="auto"/>
            <w:vAlign w:val="center"/>
          </w:tcPr>
          <w:p w14:paraId="51CF928F"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shd w:val="clear" w:color="auto" w:fill="auto"/>
            <w:vAlign w:val="center"/>
          </w:tcPr>
          <w:p w14:paraId="233648E0" w14:textId="77777777" w:rsidR="00AF6F34" w:rsidRDefault="00AF6F34">
            <w:pPr>
              <w:widowControl/>
              <w:spacing w:line="240" w:lineRule="auto"/>
              <w:textAlignment w:val="auto"/>
            </w:pPr>
            <w:r>
              <w:rPr>
                <w:rFonts w:ascii="宋体" w:hAnsi="宋体" w:cs="Arial" w:hint="eastAsia"/>
                <w:sz w:val="18"/>
              </w:rPr>
              <w:t>户型</w:t>
            </w:r>
          </w:p>
        </w:tc>
        <w:tc>
          <w:tcPr>
            <w:tcW w:w="1763" w:type="dxa"/>
            <w:tcBorders>
              <w:left w:val="single" w:sz="4" w:space="0" w:color="000000"/>
              <w:bottom w:val="single" w:sz="4" w:space="0" w:color="000000"/>
            </w:tcBorders>
            <w:shd w:val="clear" w:color="auto" w:fill="auto"/>
            <w:vAlign w:val="center"/>
          </w:tcPr>
          <w:p w14:paraId="74967371" w14:textId="4CBE3AF7" w:rsidR="00AF6F34" w:rsidRDefault="00AF6F34" w:rsidP="000D4364">
            <w:pPr>
              <w:widowControl/>
              <w:spacing w:line="240" w:lineRule="atLeast"/>
              <w:jc w:val="center"/>
              <w:textAlignment w:val="auto"/>
            </w:pPr>
            <w:r>
              <w:rPr>
                <w:rFonts w:ascii="Arial" w:hAnsi="Arial" w:cs="Arial" w:hint="eastAsia"/>
                <w:sz w:val="18"/>
              </w:rPr>
              <w:t>100/</w:t>
            </w:r>
            <w:r>
              <w:rPr>
                <w:rFonts w:ascii="Arial" w:hAnsi="Arial" w:cs="Arial"/>
                <w:sz w:val="18"/>
              </w:rPr>
              <w:t>101</w:t>
            </w:r>
          </w:p>
        </w:tc>
        <w:tc>
          <w:tcPr>
            <w:tcW w:w="1763" w:type="dxa"/>
            <w:tcBorders>
              <w:left w:val="single" w:sz="4" w:space="0" w:color="000000"/>
              <w:bottom w:val="single" w:sz="4" w:space="0" w:color="000000"/>
            </w:tcBorders>
            <w:shd w:val="clear" w:color="auto" w:fill="auto"/>
            <w:vAlign w:val="center"/>
          </w:tcPr>
          <w:p w14:paraId="4AD7AD7C" w14:textId="5A52B02F" w:rsidR="00AF6F34" w:rsidRDefault="00AF6F34" w:rsidP="00A15F2E">
            <w:pPr>
              <w:widowControl/>
              <w:spacing w:line="240" w:lineRule="atLeast"/>
              <w:jc w:val="center"/>
              <w:textAlignment w:val="auto"/>
            </w:pPr>
            <w:r>
              <w:rPr>
                <w:rFonts w:ascii="Arial" w:hAnsi="Arial" w:cs="Arial" w:hint="eastAsia"/>
                <w:sz w:val="18"/>
              </w:rPr>
              <w:t>100/</w:t>
            </w:r>
            <w:r>
              <w:rPr>
                <w:rFonts w:ascii="Arial" w:hAnsi="Arial" w:cs="Arial"/>
                <w:sz w:val="18"/>
              </w:rPr>
              <w:t>10</w:t>
            </w:r>
            <w:r w:rsidR="00A15F2E">
              <w:rPr>
                <w:rFonts w:ascii="Arial" w:hAnsi="Arial" w:cs="Arial"/>
                <w:sz w:val="18"/>
              </w:rPr>
              <w:t>1</w:t>
            </w:r>
          </w:p>
        </w:tc>
        <w:tc>
          <w:tcPr>
            <w:tcW w:w="1773" w:type="dxa"/>
            <w:tcBorders>
              <w:left w:val="single" w:sz="4" w:space="0" w:color="000000"/>
              <w:bottom w:val="single" w:sz="4" w:space="0" w:color="000000"/>
              <w:right w:val="single" w:sz="4" w:space="0" w:color="000000"/>
            </w:tcBorders>
            <w:shd w:val="clear" w:color="auto" w:fill="auto"/>
            <w:vAlign w:val="center"/>
          </w:tcPr>
          <w:p w14:paraId="4F275C91" w14:textId="30149907" w:rsidR="00AF6F34" w:rsidRDefault="00AF6F34" w:rsidP="000D4364">
            <w:pPr>
              <w:widowControl/>
              <w:spacing w:line="240" w:lineRule="atLeast"/>
              <w:jc w:val="center"/>
              <w:textAlignment w:val="auto"/>
            </w:pPr>
            <w:r>
              <w:rPr>
                <w:rFonts w:ascii="Arial" w:hAnsi="Arial" w:cs="Arial" w:hint="eastAsia"/>
                <w:sz w:val="18"/>
              </w:rPr>
              <w:t>100/</w:t>
            </w:r>
            <w:r>
              <w:rPr>
                <w:rFonts w:ascii="Arial" w:hAnsi="Arial" w:cs="Arial"/>
                <w:sz w:val="18"/>
              </w:rPr>
              <w:t>10</w:t>
            </w:r>
            <w:r w:rsidR="000D4364">
              <w:rPr>
                <w:rFonts w:ascii="Arial" w:hAnsi="Arial" w:cs="Arial"/>
                <w:sz w:val="18"/>
              </w:rPr>
              <w:t>2</w:t>
            </w:r>
          </w:p>
        </w:tc>
      </w:tr>
      <w:tr w:rsidR="00AF6F34" w14:paraId="30BE8ECE" w14:textId="77777777">
        <w:trPr>
          <w:trHeight w:val="227"/>
        </w:trPr>
        <w:tc>
          <w:tcPr>
            <w:tcW w:w="1675" w:type="dxa"/>
            <w:vMerge/>
            <w:tcBorders>
              <w:left w:val="single" w:sz="4" w:space="0" w:color="000000"/>
            </w:tcBorders>
            <w:shd w:val="clear" w:color="auto" w:fill="auto"/>
            <w:vAlign w:val="center"/>
          </w:tcPr>
          <w:p w14:paraId="7105BEED"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shd w:val="clear" w:color="auto" w:fill="auto"/>
            <w:vAlign w:val="center"/>
          </w:tcPr>
          <w:p w14:paraId="047A7300" w14:textId="77777777" w:rsidR="00AF6F34" w:rsidRDefault="00AF6F34">
            <w:pPr>
              <w:widowControl/>
              <w:spacing w:line="240" w:lineRule="auto"/>
              <w:textAlignment w:val="auto"/>
            </w:pPr>
            <w:r>
              <w:rPr>
                <w:rFonts w:ascii="宋体" w:hAnsi="宋体" w:cs="Arial" w:hint="eastAsia"/>
                <w:sz w:val="18"/>
              </w:rPr>
              <w:t>朝向</w:t>
            </w:r>
          </w:p>
        </w:tc>
        <w:tc>
          <w:tcPr>
            <w:tcW w:w="1763" w:type="dxa"/>
            <w:tcBorders>
              <w:left w:val="single" w:sz="4" w:space="0" w:color="000000"/>
              <w:bottom w:val="single" w:sz="4" w:space="0" w:color="000000"/>
            </w:tcBorders>
            <w:shd w:val="clear" w:color="auto" w:fill="auto"/>
            <w:vAlign w:val="center"/>
          </w:tcPr>
          <w:p w14:paraId="689A85DD" w14:textId="1BD1CBC0" w:rsidR="00AF6F34" w:rsidRDefault="00AF6F34" w:rsidP="000D4364">
            <w:pPr>
              <w:widowControl/>
              <w:spacing w:line="240" w:lineRule="atLeast"/>
              <w:jc w:val="center"/>
              <w:textAlignment w:val="auto"/>
            </w:pPr>
            <w:r>
              <w:rPr>
                <w:rFonts w:ascii="Arial" w:hAnsi="Arial" w:cs="Arial" w:hint="eastAsia"/>
                <w:sz w:val="18"/>
              </w:rPr>
              <w:t>100/</w:t>
            </w:r>
            <w:r>
              <w:rPr>
                <w:rFonts w:ascii="Arial" w:hAnsi="Arial" w:cs="Arial"/>
                <w:sz w:val="18"/>
              </w:rPr>
              <w:t>10</w:t>
            </w:r>
            <w:r w:rsidR="000D4364">
              <w:rPr>
                <w:rFonts w:ascii="Arial" w:hAnsi="Arial" w:cs="Arial"/>
                <w:sz w:val="18"/>
              </w:rPr>
              <w:t>5</w:t>
            </w:r>
          </w:p>
        </w:tc>
        <w:tc>
          <w:tcPr>
            <w:tcW w:w="1763" w:type="dxa"/>
            <w:tcBorders>
              <w:left w:val="single" w:sz="4" w:space="0" w:color="000000"/>
              <w:bottom w:val="single" w:sz="4" w:space="0" w:color="000000"/>
            </w:tcBorders>
            <w:shd w:val="clear" w:color="auto" w:fill="auto"/>
            <w:vAlign w:val="center"/>
          </w:tcPr>
          <w:p w14:paraId="0B0E5857" w14:textId="52042B9C" w:rsidR="00AF6F34" w:rsidRDefault="00A15F2E" w:rsidP="000D4364">
            <w:pPr>
              <w:widowControl/>
              <w:spacing w:line="240" w:lineRule="atLeast"/>
              <w:jc w:val="center"/>
              <w:textAlignment w:val="auto"/>
            </w:pPr>
            <w:r>
              <w:rPr>
                <w:rFonts w:ascii="Arial" w:hAnsi="Arial" w:cs="Arial" w:hint="eastAsia"/>
                <w:sz w:val="18"/>
              </w:rPr>
              <w:t>100/</w:t>
            </w:r>
            <w:r>
              <w:rPr>
                <w:rFonts w:ascii="Arial" w:hAnsi="Arial" w:cs="Arial"/>
                <w:sz w:val="18"/>
              </w:rPr>
              <w:t>10</w:t>
            </w:r>
            <w:r w:rsidR="000D4364">
              <w:rPr>
                <w:rFonts w:ascii="Arial" w:hAnsi="Arial" w:cs="Arial"/>
                <w:sz w:val="18"/>
              </w:rPr>
              <w:t>5</w:t>
            </w:r>
          </w:p>
        </w:tc>
        <w:tc>
          <w:tcPr>
            <w:tcW w:w="1773" w:type="dxa"/>
            <w:tcBorders>
              <w:left w:val="single" w:sz="4" w:space="0" w:color="000000"/>
              <w:bottom w:val="single" w:sz="4" w:space="0" w:color="000000"/>
              <w:right w:val="single" w:sz="4" w:space="0" w:color="000000"/>
            </w:tcBorders>
            <w:shd w:val="clear" w:color="auto" w:fill="auto"/>
            <w:vAlign w:val="center"/>
          </w:tcPr>
          <w:p w14:paraId="405FA80B" w14:textId="68544C74" w:rsidR="00AF6F34" w:rsidRDefault="00A15F2E" w:rsidP="000D4364">
            <w:pPr>
              <w:widowControl/>
              <w:spacing w:line="240" w:lineRule="atLeast"/>
              <w:jc w:val="center"/>
              <w:textAlignment w:val="auto"/>
            </w:pPr>
            <w:r>
              <w:rPr>
                <w:rFonts w:ascii="Arial" w:hAnsi="Arial" w:cs="Arial" w:hint="eastAsia"/>
                <w:sz w:val="18"/>
              </w:rPr>
              <w:t>100/</w:t>
            </w:r>
            <w:r>
              <w:rPr>
                <w:rFonts w:ascii="Arial" w:hAnsi="Arial" w:cs="Arial"/>
                <w:sz w:val="18"/>
              </w:rPr>
              <w:t>10</w:t>
            </w:r>
            <w:r w:rsidR="000D4364">
              <w:rPr>
                <w:rFonts w:ascii="Arial" w:hAnsi="Arial" w:cs="Arial"/>
                <w:sz w:val="18"/>
              </w:rPr>
              <w:t>5</w:t>
            </w:r>
          </w:p>
        </w:tc>
      </w:tr>
      <w:tr w:rsidR="00AF6F34" w14:paraId="0D83FA96" w14:textId="77777777">
        <w:trPr>
          <w:trHeight w:val="227"/>
        </w:trPr>
        <w:tc>
          <w:tcPr>
            <w:tcW w:w="1675" w:type="dxa"/>
            <w:vMerge/>
            <w:tcBorders>
              <w:left w:val="single" w:sz="4" w:space="0" w:color="000000"/>
            </w:tcBorders>
            <w:shd w:val="clear" w:color="auto" w:fill="auto"/>
            <w:vAlign w:val="center"/>
          </w:tcPr>
          <w:p w14:paraId="19794264"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shd w:val="clear" w:color="auto" w:fill="auto"/>
            <w:vAlign w:val="center"/>
          </w:tcPr>
          <w:p w14:paraId="5BF4A9BA" w14:textId="77777777" w:rsidR="00AF6F34" w:rsidRDefault="00AF6F34">
            <w:pPr>
              <w:widowControl/>
              <w:spacing w:line="240" w:lineRule="auto"/>
              <w:textAlignment w:val="auto"/>
            </w:pPr>
            <w:r>
              <w:rPr>
                <w:rFonts w:ascii="宋体" w:hAnsi="宋体" w:cs="Arial" w:hint="eastAsia"/>
                <w:sz w:val="18"/>
              </w:rPr>
              <w:t>装修</w:t>
            </w:r>
          </w:p>
        </w:tc>
        <w:tc>
          <w:tcPr>
            <w:tcW w:w="1763" w:type="dxa"/>
            <w:tcBorders>
              <w:left w:val="single" w:sz="4" w:space="0" w:color="000000"/>
              <w:bottom w:val="single" w:sz="4" w:space="0" w:color="000000"/>
            </w:tcBorders>
            <w:shd w:val="clear" w:color="auto" w:fill="auto"/>
            <w:vAlign w:val="center"/>
          </w:tcPr>
          <w:p w14:paraId="542035A3"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shd w:val="clear" w:color="auto" w:fill="auto"/>
            <w:vAlign w:val="center"/>
          </w:tcPr>
          <w:p w14:paraId="72B68BB9"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shd w:val="clear" w:color="auto" w:fill="auto"/>
            <w:vAlign w:val="center"/>
          </w:tcPr>
          <w:p w14:paraId="601B2C6B"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395CF87B" w14:textId="77777777">
        <w:trPr>
          <w:trHeight w:val="227"/>
        </w:trPr>
        <w:tc>
          <w:tcPr>
            <w:tcW w:w="1675" w:type="dxa"/>
            <w:vMerge/>
            <w:tcBorders>
              <w:left w:val="single" w:sz="4" w:space="0" w:color="000000"/>
            </w:tcBorders>
            <w:shd w:val="clear" w:color="auto" w:fill="auto"/>
            <w:vAlign w:val="center"/>
          </w:tcPr>
          <w:p w14:paraId="1B310DAF"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shd w:val="clear" w:color="auto" w:fill="auto"/>
            <w:vAlign w:val="center"/>
          </w:tcPr>
          <w:p w14:paraId="43E6A719" w14:textId="77777777" w:rsidR="00AF6F34" w:rsidRDefault="00A15F2E">
            <w:pPr>
              <w:widowControl/>
              <w:spacing w:line="240" w:lineRule="auto"/>
              <w:textAlignment w:val="auto"/>
            </w:pPr>
            <w:r w:rsidRPr="00A15F2E">
              <w:rPr>
                <w:rFonts w:ascii="宋体" w:hAnsi="宋体" w:cs="Arial" w:hint="eastAsia"/>
                <w:sz w:val="18"/>
              </w:rPr>
              <w:t>标准房建筑面积</w:t>
            </w:r>
          </w:p>
        </w:tc>
        <w:tc>
          <w:tcPr>
            <w:tcW w:w="1763" w:type="dxa"/>
            <w:tcBorders>
              <w:left w:val="single" w:sz="4" w:space="0" w:color="000000"/>
              <w:bottom w:val="single" w:sz="4" w:space="0" w:color="000000"/>
            </w:tcBorders>
            <w:shd w:val="clear" w:color="auto" w:fill="auto"/>
            <w:vAlign w:val="center"/>
          </w:tcPr>
          <w:p w14:paraId="02A55097"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99</w:t>
            </w:r>
          </w:p>
        </w:tc>
        <w:tc>
          <w:tcPr>
            <w:tcW w:w="1763" w:type="dxa"/>
            <w:tcBorders>
              <w:left w:val="single" w:sz="4" w:space="0" w:color="000000"/>
              <w:bottom w:val="single" w:sz="4" w:space="0" w:color="000000"/>
            </w:tcBorders>
            <w:shd w:val="clear" w:color="auto" w:fill="auto"/>
            <w:vAlign w:val="center"/>
          </w:tcPr>
          <w:p w14:paraId="1B11508D" w14:textId="77777777" w:rsidR="00AF6F34" w:rsidRDefault="00AF6F34" w:rsidP="00A15F2E">
            <w:pPr>
              <w:widowControl/>
              <w:spacing w:line="240" w:lineRule="atLeast"/>
              <w:jc w:val="center"/>
              <w:textAlignment w:val="auto"/>
            </w:pPr>
            <w:r>
              <w:rPr>
                <w:rFonts w:ascii="Arial" w:hAnsi="Arial" w:cs="Arial" w:hint="eastAsia"/>
                <w:sz w:val="18"/>
              </w:rPr>
              <w:t>100/</w:t>
            </w:r>
            <w:r w:rsidR="00A15F2E">
              <w:rPr>
                <w:rFonts w:ascii="Arial" w:hAnsi="Arial" w:cs="Arial"/>
                <w:sz w:val="18"/>
              </w:rPr>
              <w:t>99</w:t>
            </w:r>
          </w:p>
        </w:tc>
        <w:tc>
          <w:tcPr>
            <w:tcW w:w="1773" w:type="dxa"/>
            <w:tcBorders>
              <w:left w:val="single" w:sz="4" w:space="0" w:color="000000"/>
              <w:bottom w:val="single" w:sz="4" w:space="0" w:color="000000"/>
              <w:right w:val="single" w:sz="4" w:space="0" w:color="000000"/>
            </w:tcBorders>
            <w:shd w:val="clear" w:color="auto" w:fill="auto"/>
            <w:vAlign w:val="center"/>
          </w:tcPr>
          <w:p w14:paraId="024C04B3"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99</w:t>
            </w:r>
          </w:p>
        </w:tc>
      </w:tr>
      <w:tr w:rsidR="00AF6F34" w14:paraId="3A2750F5" w14:textId="77777777">
        <w:trPr>
          <w:trHeight w:val="227"/>
        </w:trPr>
        <w:tc>
          <w:tcPr>
            <w:tcW w:w="1675" w:type="dxa"/>
            <w:vMerge/>
            <w:tcBorders>
              <w:left w:val="single" w:sz="4" w:space="0" w:color="000000"/>
            </w:tcBorders>
            <w:shd w:val="clear" w:color="auto" w:fill="auto"/>
            <w:vAlign w:val="center"/>
          </w:tcPr>
          <w:p w14:paraId="3EB55C08"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shd w:val="clear" w:color="auto" w:fill="auto"/>
            <w:vAlign w:val="center"/>
          </w:tcPr>
          <w:p w14:paraId="4E98651D" w14:textId="77777777" w:rsidR="00AF6F34" w:rsidRDefault="00AF6F34">
            <w:pPr>
              <w:widowControl/>
              <w:spacing w:line="240" w:lineRule="auto"/>
              <w:textAlignment w:val="auto"/>
            </w:pPr>
            <w:r>
              <w:rPr>
                <w:rFonts w:ascii="宋体" w:hAnsi="宋体" w:cs="Arial" w:hint="eastAsia"/>
                <w:sz w:val="18"/>
              </w:rPr>
              <w:t>设备</w:t>
            </w:r>
          </w:p>
        </w:tc>
        <w:tc>
          <w:tcPr>
            <w:tcW w:w="1763" w:type="dxa"/>
            <w:tcBorders>
              <w:left w:val="single" w:sz="4" w:space="0" w:color="000000"/>
              <w:bottom w:val="single" w:sz="4" w:space="0" w:color="000000"/>
            </w:tcBorders>
            <w:shd w:val="clear" w:color="auto" w:fill="auto"/>
            <w:vAlign w:val="center"/>
          </w:tcPr>
          <w:p w14:paraId="476BEAF1" w14:textId="77777777" w:rsidR="00AF6F34" w:rsidRDefault="00AF6F34" w:rsidP="00A15F2E">
            <w:pPr>
              <w:widowControl/>
              <w:spacing w:line="240" w:lineRule="atLeast"/>
              <w:jc w:val="center"/>
              <w:textAlignment w:val="auto"/>
            </w:pPr>
            <w:r>
              <w:rPr>
                <w:rFonts w:ascii="Arial" w:hAnsi="Arial" w:cs="Arial" w:hint="eastAsia"/>
                <w:sz w:val="18"/>
              </w:rPr>
              <w:t>100/</w:t>
            </w:r>
            <w:r>
              <w:rPr>
                <w:rFonts w:ascii="Arial" w:hAnsi="Arial" w:cs="Arial"/>
                <w:sz w:val="18"/>
              </w:rPr>
              <w:t>10</w:t>
            </w:r>
            <w:r w:rsidR="00A15F2E">
              <w:rPr>
                <w:rFonts w:ascii="Arial" w:hAnsi="Arial" w:cs="Arial"/>
                <w:sz w:val="18"/>
              </w:rPr>
              <w:t>0</w:t>
            </w:r>
          </w:p>
        </w:tc>
        <w:tc>
          <w:tcPr>
            <w:tcW w:w="1763" w:type="dxa"/>
            <w:tcBorders>
              <w:left w:val="single" w:sz="4" w:space="0" w:color="000000"/>
              <w:bottom w:val="single" w:sz="4" w:space="0" w:color="000000"/>
            </w:tcBorders>
            <w:shd w:val="clear" w:color="auto" w:fill="auto"/>
          </w:tcPr>
          <w:p w14:paraId="1220FE7D" w14:textId="77777777" w:rsidR="00AF6F34" w:rsidRDefault="00AF6F34" w:rsidP="00A15F2E">
            <w:pPr>
              <w:widowControl/>
              <w:spacing w:line="240" w:lineRule="atLeast"/>
              <w:jc w:val="center"/>
              <w:textAlignment w:val="auto"/>
            </w:pPr>
            <w:r>
              <w:rPr>
                <w:rFonts w:ascii="Arial" w:hAnsi="Arial" w:cs="Arial" w:hint="eastAsia"/>
                <w:sz w:val="18"/>
              </w:rPr>
              <w:t>100/</w:t>
            </w:r>
            <w:r>
              <w:rPr>
                <w:rFonts w:ascii="Arial" w:hAnsi="Arial" w:cs="Arial"/>
                <w:sz w:val="18"/>
              </w:rPr>
              <w:t>10</w:t>
            </w:r>
            <w:r w:rsidR="00A15F2E">
              <w:rPr>
                <w:rFonts w:ascii="Arial" w:hAnsi="Arial" w:cs="Arial"/>
                <w:sz w:val="18"/>
              </w:rPr>
              <w:t>0</w:t>
            </w:r>
          </w:p>
        </w:tc>
        <w:tc>
          <w:tcPr>
            <w:tcW w:w="1773" w:type="dxa"/>
            <w:tcBorders>
              <w:left w:val="single" w:sz="4" w:space="0" w:color="000000"/>
              <w:bottom w:val="single" w:sz="4" w:space="0" w:color="000000"/>
              <w:right w:val="single" w:sz="4" w:space="0" w:color="000000"/>
            </w:tcBorders>
            <w:shd w:val="clear" w:color="auto" w:fill="auto"/>
          </w:tcPr>
          <w:p w14:paraId="16CFBA35" w14:textId="77777777" w:rsidR="00AF6F34" w:rsidRDefault="00AF6F34" w:rsidP="00A15F2E">
            <w:pPr>
              <w:widowControl/>
              <w:spacing w:line="240" w:lineRule="atLeast"/>
              <w:jc w:val="center"/>
              <w:textAlignment w:val="auto"/>
            </w:pPr>
            <w:r>
              <w:rPr>
                <w:rFonts w:ascii="Arial" w:hAnsi="Arial" w:cs="Arial" w:hint="eastAsia"/>
                <w:sz w:val="18"/>
              </w:rPr>
              <w:t>100/</w:t>
            </w:r>
            <w:r>
              <w:rPr>
                <w:rFonts w:ascii="Arial" w:hAnsi="Arial" w:cs="Arial"/>
                <w:sz w:val="18"/>
              </w:rPr>
              <w:t>10</w:t>
            </w:r>
            <w:r w:rsidR="00A15F2E">
              <w:rPr>
                <w:rFonts w:ascii="Arial" w:hAnsi="Arial" w:cs="Arial"/>
                <w:sz w:val="18"/>
              </w:rPr>
              <w:t>0</w:t>
            </w:r>
          </w:p>
        </w:tc>
      </w:tr>
      <w:tr w:rsidR="00AF6F34" w14:paraId="6FA7E66F" w14:textId="77777777">
        <w:trPr>
          <w:trHeight w:val="227"/>
        </w:trPr>
        <w:tc>
          <w:tcPr>
            <w:tcW w:w="1675" w:type="dxa"/>
            <w:vMerge/>
            <w:tcBorders>
              <w:left w:val="single" w:sz="4" w:space="0" w:color="000000"/>
            </w:tcBorders>
            <w:shd w:val="clear" w:color="auto" w:fill="auto"/>
            <w:vAlign w:val="center"/>
          </w:tcPr>
          <w:p w14:paraId="11598858"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shd w:val="clear" w:color="auto" w:fill="auto"/>
            <w:vAlign w:val="center"/>
          </w:tcPr>
          <w:p w14:paraId="32D05A6E" w14:textId="77777777" w:rsidR="00AF6F34" w:rsidRDefault="00AF6F34">
            <w:pPr>
              <w:widowControl/>
              <w:spacing w:line="240" w:lineRule="auto"/>
              <w:textAlignment w:val="auto"/>
            </w:pPr>
            <w:r>
              <w:rPr>
                <w:rFonts w:ascii="宋体" w:hAnsi="宋体" w:cs="Arial" w:hint="eastAsia"/>
                <w:sz w:val="18"/>
              </w:rPr>
              <w:t>成新度</w:t>
            </w:r>
          </w:p>
        </w:tc>
        <w:tc>
          <w:tcPr>
            <w:tcW w:w="1763" w:type="dxa"/>
            <w:tcBorders>
              <w:left w:val="single" w:sz="4" w:space="0" w:color="000000"/>
              <w:bottom w:val="single" w:sz="4" w:space="0" w:color="000000"/>
            </w:tcBorders>
            <w:shd w:val="clear" w:color="auto" w:fill="auto"/>
            <w:vAlign w:val="center"/>
          </w:tcPr>
          <w:p w14:paraId="7E2A0C38"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99</w:t>
            </w:r>
          </w:p>
        </w:tc>
        <w:tc>
          <w:tcPr>
            <w:tcW w:w="1763" w:type="dxa"/>
            <w:tcBorders>
              <w:left w:val="single" w:sz="4" w:space="0" w:color="000000"/>
              <w:bottom w:val="single" w:sz="4" w:space="0" w:color="000000"/>
            </w:tcBorders>
            <w:shd w:val="clear" w:color="auto" w:fill="auto"/>
            <w:vAlign w:val="center"/>
          </w:tcPr>
          <w:p w14:paraId="2E23AD84" w14:textId="4B840434" w:rsidR="00AF6F34" w:rsidRDefault="00AF6F34" w:rsidP="00FB7530">
            <w:pPr>
              <w:widowControl/>
              <w:spacing w:line="240" w:lineRule="atLeast"/>
              <w:jc w:val="center"/>
              <w:textAlignment w:val="auto"/>
            </w:pPr>
            <w:r>
              <w:rPr>
                <w:rFonts w:ascii="Arial" w:hAnsi="Arial" w:cs="Arial"/>
                <w:sz w:val="18"/>
              </w:rPr>
              <w:t>100/</w:t>
            </w:r>
            <w:r w:rsidR="00FB7530">
              <w:rPr>
                <w:rFonts w:ascii="Arial" w:hAnsi="Arial" w:cs="Arial"/>
                <w:sz w:val="18"/>
              </w:rPr>
              <w:t>100</w:t>
            </w:r>
          </w:p>
        </w:tc>
        <w:tc>
          <w:tcPr>
            <w:tcW w:w="1773" w:type="dxa"/>
            <w:tcBorders>
              <w:left w:val="single" w:sz="4" w:space="0" w:color="000000"/>
              <w:bottom w:val="single" w:sz="4" w:space="0" w:color="000000"/>
              <w:right w:val="single" w:sz="4" w:space="0" w:color="000000"/>
            </w:tcBorders>
            <w:shd w:val="clear" w:color="auto" w:fill="auto"/>
            <w:vAlign w:val="center"/>
          </w:tcPr>
          <w:p w14:paraId="29C46D75" w14:textId="77777777" w:rsidR="00AF6F34" w:rsidRDefault="00AF6F34" w:rsidP="00A15F2E">
            <w:pPr>
              <w:widowControl/>
              <w:spacing w:line="240" w:lineRule="atLeast"/>
              <w:jc w:val="center"/>
              <w:textAlignment w:val="auto"/>
            </w:pPr>
            <w:r>
              <w:rPr>
                <w:rFonts w:ascii="Arial" w:hAnsi="Arial" w:cs="Arial"/>
                <w:sz w:val="18"/>
              </w:rPr>
              <w:t>100/</w:t>
            </w:r>
            <w:r w:rsidR="00A15F2E">
              <w:rPr>
                <w:rFonts w:ascii="Arial" w:hAnsi="Arial" w:cs="Arial"/>
                <w:sz w:val="18"/>
              </w:rPr>
              <w:t>101</w:t>
            </w:r>
          </w:p>
        </w:tc>
      </w:tr>
      <w:tr w:rsidR="00AF6F34" w14:paraId="621DAADA" w14:textId="77777777">
        <w:trPr>
          <w:trHeight w:val="227"/>
        </w:trPr>
        <w:tc>
          <w:tcPr>
            <w:tcW w:w="3999" w:type="dxa"/>
            <w:gridSpan w:val="2"/>
            <w:tcBorders>
              <w:top w:val="single" w:sz="4" w:space="0" w:color="000000"/>
              <w:left w:val="single" w:sz="4" w:space="0" w:color="000000"/>
              <w:bottom w:val="single" w:sz="4" w:space="0" w:color="000000"/>
            </w:tcBorders>
            <w:shd w:val="clear" w:color="auto" w:fill="auto"/>
            <w:vAlign w:val="center"/>
          </w:tcPr>
          <w:p w14:paraId="174034BA" w14:textId="77777777" w:rsidR="00AF6F34" w:rsidRDefault="00AF6F34">
            <w:pPr>
              <w:widowControl/>
              <w:spacing w:line="240" w:lineRule="atLeast"/>
              <w:textAlignment w:val="auto"/>
            </w:pPr>
            <w:r>
              <w:rPr>
                <w:rFonts w:ascii="宋体" w:hAnsi="宋体" w:cs="Arial" w:hint="eastAsia"/>
                <w:sz w:val="18"/>
              </w:rPr>
              <w:t>修正系数</w:t>
            </w:r>
          </w:p>
        </w:tc>
        <w:tc>
          <w:tcPr>
            <w:tcW w:w="1763" w:type="dxa"/>
            <w:tcBorders>
              <w:top w:val="single" w:sz="4" w:space="0" w:color="000000"/>
              <w:left w:val="single" w:sz="4" w:space="0" w:color="000000"/>
              <w:bottom w:val="single" w:sz="4" w:space="0" w:color="000000"/>
            </w:tcBorders>
            <w:shd w:val="clear" w:color="auto" w:fill="auto"/>
            <w:vAlign w:val="center"/>
          </w:tcPr>
          <w:p w14:paraId="1533758D" w14:textId="2251E4A1" w:rsidR="00AF6F34" w:rsidRDefault="00AF6F34" w:rsidP="00EC4DBF">
            <w:pPr>
              <w:spacing w:line="240" w:lineRule="auto"/>
              <w:jc w:val="center"/>
            </w:pPr>
            <w:r>
              <w:rPr>
                <w:rFonts w:ascii="Arial" w:hAnsi="Arial" w:cs="Arial"/>
                <w:sz w:val="18"/>
                <w:szCs w:val="18"/>
              </w:rPr>
              <w:t>0.</w:t>
            </w:r>
            <w:r w:rsidR="00FB7530">
              <w:rPr>
                <w:rFonts w:ascii="Arial" w:hAnsi="Arial" w:cs="Arial"/>
                <w:sz w:val="18"/>
                <w:szCs w:val="18"/>
              </w:rPr>
              <w:t>9</w:t>
            </w:r>
            <w:r w:rsidR="00D4637D">
              <w:rPr>
                <w:rFonts w:ascii="Arial" w:hAnsi="Arial" w:cs="Arial"/>
                <w:sz w:val="18"/>
                <w:szCs w:val="18"/>
              </w:rPr>
              <w:t>7</w:t>
            </w:r>
            <w:r w:rsidR="00EC4DBF">
              <w:rPr>
                <w:rFonts w:ascii="Arial" w:hAnsi="Arial" w:cs="Arial"/>
                <w:sz w:val="18"/>
                <w:szCs w:val="18"/>
              </w:rPr>
              <w:t>18</w:t>
            </w:r>
          </w:p>
        </w:tc>
        <w:tc>
          <w:tcPr>
            <w:tcW w:w="1763" w:type="dxa"/>
            <w:tcBorders>
              <w:top w:val="single" w:sz="4" w:space="0" w:color="000000"/>
              <w:left w:val="single" w:sz="4" w:space="0" w:color="000000"/>
              <w:bottom w:val="single" w:sz="4" w:space="0" w:color="000000"/>
            </w:tcBorders>
            <w:shd w:val="clear" w:color="auto" w:fill="auto"/>
            <w:vAlign w:val="center"/>
          </w:tcPr>
          <w:p w14:paraId="72315B9D" w14:textId="3231224F" w:rsidR="00AF6F34" w:rsidRDefault="00AF6F34" w:rsidP="00EC4DBF">
            <w:pPr>
              <w:spacing w:line="240" w:lineRule="auto"/>
              <w:jc w:val="center"/>
            </w:pPr>
            <w:r>
              <w:rPr>
                <w:rFonts w:ascii="Arial" w:hAnsi="Arial" w:cs="Arial"/>
                <w:sz w:val="18"/>
                <w:szCs w:val="18"/>
              </w:rPr>
              <w:t>0.9</w:t>
            </w:r>
            <w:r w:rsidR="00D4637D">
              <w:rPr>
                <w:rFonts w:ascii="Arial" w:hAnsi="Arial" w:cs="Arial"/>
                <w:sz w:val="18"/>
                <w:szCs w:val="18"/>
              </w:rPr>
              <w:t>6</w:t>
            </w:r>
            <w:r w:rsidR="00EC4DBF">
              <w:rPr>
                <w:rFonts w:ascii="Arial" w:hAnsi="Arial" w:cs="Arial"/>
                <w:sz w:val="18"/>
                <w:szCs w:val="18"/>
              </w:rPr>
              <w:t>21</w:t>
            </w:r>
          </w:p>
        </w:tc>
        <w:tc>
          <w:tcPr>
            <w:tcW w:w="17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49B7B" w14:textId="76089E3A" w:rsidR="00AF6F34" w:rsidRDefault="00AF6F34" w:rsidP="00EC4DBF">
            <w:pPr>
              <w:spacing w:line="240" w:lineRule="auto"/>
              <w:jc w:val="center"/>
            </w:pPr>
            <w:r>
              <w:rPr>
                <w:rFonts w:ascii="Arial" w:hAnsi="Arial" w:cs="Arial"/>
                <w:sz w:val="18"/>
                <w:szCs w:val="18"/>
              </w:rPr>
              <w:t>0</w:t>
            </w:r>
            <w:r w:rsidR="00A15F2E">
              <w:rPr>
                <w:rFonts w:ascii="Arial" w:hAnsi="Arial" w:cs="Arial"/>
                <w:sz w:val="18"/>
                <w:szCs w:val="18"/>
              </w:rPr>
              <w:t>.9</w:t>
            </w:r>
            <w:r w:rsidR="00EC4DBF">
              <w:rPr>
                <w:rFonts w:ascii="Arial" w:hAnsi="Arial" w:cs="Arial"/>
                <w:sz w:val="18"/>
                <w:szCs w:val="18"/>
              </w:rPr>
              <w:t>247</w:t>
            </w:r>
          </w:p>
        </w:tc>
      </w:tr>
      <w:tr w:rsidR="00AF6F34" w14:paraId="682B11EB" w14:textId="77777777">
        <w:trPr>
          <w:trHeight w:val="227"/>
        </w:trPr>
        <w:tc>
          <w:tcPr>
            <w:tcW w:w="3999" w:type="dxa"/>
            <w:gridSpan w:val="2"/>
            <w:tcBorders>
              <w:top w:val="single" w:sz="4" w:space="0" w:color="000000"/>
              <w:left w:val="single" w:sz="4" w:space="0" w:color="000000"/>
              <w:bottom w:val="single" w:sz="4" w:space="0" w:color="000000"/>
            </w:tcBorders>
            <w:shd w:val="clear" w:color="auto" w:fill="auto"/>
            <w:vAlign w:val="center"/>
          </w:tcPr>
          <w:p w14:paraId="27305FFD" w14:textId="77777777" w:rsidR="00AF6F34" w:rsidRDefault="00AF6F34">
            <w:pPr>
              <w:widowControl/>
              <w:spacing w:line="240" w:lineRule="atLeast"/>
              <w:textAlignment w:val="auto"/>
            </w:pPr>
            <w:r>
              <w:rPr>
                <w:rFonts w:ascii="宋体" w:hAnsi="宋体" w:cs="Arial" w:hint="eastAsia"/>
                <w:sz w:val="18"/>
              </w:rPr>
              <w:t>比准价格</w:t>
            </w:r>
            <w:r w:rsidRPr="00C6391A">
              <w:rPr>
                <w:rFonts w:ascii="宋体" w:hAnsi="宋体" w:cs="Arial" w:hint="eastAsia"/>
                <w:sz w:val="18"/>
              </w:rPr>
              <w:t>（元</w:t>
            </w:r>
            <w:r w:rsidRPr="00C6391A">
              <w:rPr>
                <w:rFonts w:ascii="宋体" w:hAnsi="宋体" w:cs="Arial"/>
                <w:sz w:val="18"/>
              </w:rPr>
              <w:t>/</w:t>
            </w:r>
            <w:r w:rsidRPr="00C6391A">
              <w:rPr>
                <w:rFonts w:ascii="宋体" w:hAnsi="宋体" w:cs="Arial" w:hint="eastAsia"/>
                <w:sz w:val="18"/>
              </w:rPr>
              <w:t>平方米</w:t>
            </w:r>
            <w:r w:rsidRPr="00C6391A">
              <w:rPr>
                <w:rFonts w:ascii="宋体" w:hAnsi="宋体" w:cs="Arial"/>
                <w:sz w:val="18"/>
              </w:rPr>
              <w:t>·</w:t>
            </w:r>
            <w:r w:rsidRPr="00C6391A">
              <w:rPr>
                <w:rFonts w:ascii="宋体" w:hAnsi="宋体" w:cs="Arial" w:hint="eastAsia"/>
                <w:sz w:val="18"/>
              </w:rPr>
              <w:t>月）</w:t>
            </w:r>
          </w:p>
        </w:tc>
        <w:tc>
          <w:tcPr>
            <w:tcW w:w="1763" w:type="dxa"/>
            <w:tcBorders>
              <w:top w:val="single" w:sz="4" w:space="0" w:color="000000"/>
              <w:left w:val="single" w:sz="4" w:space="0" w:color="000000"/>
              <w:bottom w:val="single" w:sz="4" w:space="0" w:color="000000"/>
            </w:tcBorders>
            <w:shd w:val="clear" w:color="auto" w:fill="auto"/>
            <w:vAlign w:val="center"/>
          </w:tcPr>
          <w:p w14:paraId="05DF2AE1" w14:textId="14048F8A" w:rsidR="00AF6F34" w:rsidRDefault="00EC4DBF">
            <w:pPr>
              <w:spacing w:line="240" w:lineRule="auto"/>
              <w:jc w:val="center"/>
            </w:pPr>
            <w:r>
              <w:rPr>
                <w:rFonts w:ascii="Arial" w:hAnsi="Arial" w:cs="Arial"/>
                <w:sz w:val="18"/>
                <w:szCs w:val="18"/>
              </w:rPr>
              <w:t>52.66</w:t>
            </w:r>
          </w:p>
        </w:tc>
        <w:tc>
          <w:tcPr>
            <w:tcW w:w="1763" w:type="dxa"/>
            <w:tcBorders>
              <w:top w:val="single" w:sz="4" w:space="0" w:color="000000"/>
              <w:left w:val="single" w:sz="4" w:space="0" w:color="000000"/>
              <w:bottom w:val="single" w:sz="4" w:space="0" w:color="000000"/>
            </w:tcBorders>
            <w:shd w:val="clear" w:color="auto" w:fill="auto"/>
            <w:vAlign w:val="center"/>
          </w:tcPr>
          <w:p w14:paraId="5D7CB588" w14:textId="5D6384F7" w:rsidR="00AF6F34" w:rsidRDefault="00EC4DBF" w:rsidP="00A15F2E">
            <w:pPr>
              <w:spacing w:line="240" w:lineRule="auto"/>
              <w:jc w:val="center"/>
            </w:pPr>
            <w:r>
              <w:rPr>
                <w:rFonts w:ascii="Arial" w:hAnsi="Arial" w:cs="Arial"/>
                <w:sz w:val="18"/>
                <w:szCs w:val="18"/>
              </w:rPr>
              <w:t>53.47</w:t>
            </w:r>
          </w:p>
        </w:tc>
        <w:tc>
          <w:tcPr>
            <w:tcW w:w="17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CFA4D" w14:textId="7871E2A3" w:rsidR="00AF6F34" w:rsidRDefault="00EC4DBF">
            <w:pPr>
              <w:spacing w:line="240" w:lineRule="auto"/>
              <w:jc w:val="center"/>
            </w:pPr>
            <w:r>
              <w:rPr>
                <w:rFonts w:ascii="Arial" w:hAnsi="Arial" w:cs="Arial"/>
                <w:sz w:val="18"/>
                <w:szCs w:val="18"/>
              </w:rPr>
              <w:t>48.4</w:t>
            </w:r>
          </w:p>
        </w:tc>
      </w:tr>
    </w:tbl>
    <w:p w14:paraId="575B5C2E" w14:textId="77777777" w:rsidR="00AF6F34" w:rsidRDefault="00AF6F34">
      <w:pPr>
        <w:overflowPunct w:val="0"/>
        <w:spacing w:before="240" w:line="480" w:lineRule="auto"/>
        <w:ind w:firstLine="420"/>
      </w:pPr>
      <w:r>
        <w:rPr>
          <w:rFonts w:ascii="Arial" w:hAnsi="Arial" w:cs="Arial" w:hint="eastAsia"/>
          <w:sz w:val="21"/>
          <w:szCs w:val="21"/>
        </w:rPr>
        <w:t>注：</w:t>
      </w:r>
      <w:r>
        <w:rPr>
          <w:rFonts w:ascii="Arial" w:hAnsi="Arial" w:cs="Arial"/>
          <w:sz w:val="21"/>
          <w:szCs w:val="21"/>
        </w:rPr>
        <w:t>比准价格＝比较</w:t>
      </w:r>
      <w:r>
        <w:rPr>
          <w:rFonts w:ascii="Arial" w:hAnsi="Arial" w:cs="Arial" w:hint="eastAsia"/>
          <w:sz w:val="21"/>
          <w:szCs w:val="21"/>
        </w:rPr>
        <w:t>实例</w:t>
      </w:r>
      <w:r>
        <w:rPr>
          <w:rFonts w:ascii="Arial" w:hAnsi="Arial" w:cs="Arial"/>
          <w:sz w:val="21"/>
          <w:szCs w:val="21"/>
        </w:rPr>
        <w:t>年平均租金</w:t>
      </w:r>
      <w:r>
        <w:rPr>
          <w:rFonts w:ascii="Arial" w:hAnsi="Arial" w:cs="Arial"/>
          <w:sz w:val="21"/>
          <w:szCs w:val="21"/>
        </w:rPr>
        <w:t>×</w:t>
      </w:r>
      <w:r>
        <w:rPr>
          <w:rFonts w:ascii="Arial" w:hAnsi="Arial" w:cs="Arial"/>
          <w:sz w:val="21"/>
          <w:szCs w:val="21"/>
        </w:rPr>
        <w:t>（待估房地产交易日期房地产价租赁格指数</w:t>
      </w:r>
      <w:r>
        <w:rPr>
          <w:rFonts w:ascii="Arial" w:hAnsi="Arial" w:cs="Arial"/>
          <w:sz w:val="21"/>
          <w:szCs w:val="21"/>
        </w:rPr>
        <w:t>/</w:t>
      </w:r>
      <w:r>
        <w:rPr>
          <w:rFonts w:ascii="Arial" w:hAnsi="Arial" w:cs="Arial"/>
          <w:sz w:val="21"/>
          <w:szCs w:val="21"/>
        </w:rPr>
        <w:t>可比实例交易日期房地产租赁价格指数）</w:t>
      </w:r>
      <w:r>
        <w:rPr>
          <w:rFonts w:ascii="Arial" w:hAnsi="Arial" w:cs="Arial"/>
          <w:sz w:val="21"/>
          <w:szCs w:val="21"/>
        </w:rPr>
        <w:t>×</w:t>
      </w:r>
      <w:r>
        <w:rPr>
          <w:rFonts w:ascii="Arial" w:hAnsi="Arial" w:cs="Arial"/>
          <w:sz w:val="21"/>
          <w:szCs w:val="21"/>
        </w:rPr>
        <w:t>（待估房地产交易情况指数</w:t>
      </w:r>
      <w:r>
        <w:rPr>
          <w:rFonts w:ascii="Arial" w:hAnsi="Arial" w:cs="Arial"/>
          <w:sz w:val="21"/>
          <w:szCs w:val="21"/>
        </w:rPr>
        <w:t>/</w:t>
      </w:r>
      <w:r>
        <w:rPr>
          <w:rFonts w:ascii="Arial" w:hAnsi="Arial" w:cs="Arial"/>
          <w:sz w:val="21"/>
          <w:szCs w:val="21"/>
        </w:rPr>
        <w:t>可比实例交易情况指数）</w:t>
      </w:r>
      <w:r>
        <w:rPr>
          <w:rFonts w:ascii="Arial" w:hAnsi="Arial" w:cs="Arial"/>
          <w:sz w:val="21"/>
          <w:szCs w:val="21"/>
        </w:rPr>
        <w:t>×</w:t>
      </w:r>
      <w:r>
        <w:rPr>
          <w:rFonts w:ascii="Arial" w:hAnsi="Arial" w:cs="Arial"/>
          <w:sz w:val="21"/>
          <w:szCs w:val="21"/>
        </w:rPr>
        <w:t>（待估房地产区域状况条件指数</w:t>
      </w:r>
      <w:r>
        <w:rPr>
          <w:rFonts w:ascii="Arial" w:hAnsi="Arial" w:cs="Arial"/>
          <w:sz w:val="21"/>
          <w:szCs w:val="21"/>
        </w:rPr>
        <w:t>/</w:t>
      </w:r>
      <w:r>
        <w:rPr>
          <w:rFonts w:ascii="Arial" w:hAnsi="Arial" w:cs="Arial"/>
          <w:sz w:val="21"/>
          <w:szCs w:val="21"/>
        </w:rPr>
        <w:t>可比实例房地产区域状况条件指数）</w:t>
      </w:r>
      <w:r>
        <w:rPr>
          <w:rFonts w:ascii="Arial" w:hAnsi="Arial" w:cs="Arial"/>
          <w:sz w:val="21"/>
          <w:szCs w:val="21"/>
        </w:rPr>
        <w:t>×</w:t>
      </w:r>
      <w:r>
        <w:rPr>
          <w:rFonts w:ascii="Arial" w:hAnsi="Arial" w:cs="Arial"/>
          <w:sz w:val="21"/>
          <w:szCs w:val="21"/>
        </w:rPr>
        <w:t>（待估房地产实物状况条件指数</w:t>
      </w:r>
      <w:r>
        <w:rPr>
          <w:rFonts w:ascii="Arial" w:hAnsi="Arial" w:cs="Arial"/>
          <w:sz w:val="21"/>
          <w:szCs w:val="21"/>
        </w:rPr>
        <w:t>/</w:t>
      </w:r>
      <w:r>
        <w:rPr>
          <w:rFonts w:ascii="Arial" w:hAnsi="Arial" w:cs="Arial"/>
          <w:sz w:val="21"/>
          <w:szCs w:val="21"/>
        </w:rPr>
        <w:t>可比实例房地产实物状况条件指数）</w:t>
      </w:r>
    </w:p>
    <w:p w14:paraId="66EC3B8E" w14:textId="77777777" w:rsidR="00AF6F34" w:rsidRDefault="00AF6F34">
      <w:pPr>
        <w:overflowPunct w:val="0"/>
        <w:spacing w:line="480" w:lineRule="auto"/>
        <w:ind w:firstLine="420"/>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）影响因素选择实例修正后的价值计算</w:t>
      </w:r>
      <w:r>
        <w:rPr>
          <w:rFonts w:ascii="Arial" w:eastAsia="Arial" w:hAnsi="Arial" w:cs="Arial"/>
          <w:sz w:val="21"/>
          <w:szCs w:val="21"/>
        </w:rPr>
        <w:t xml:space="preserve"> </w:t>
      </w:r>
    </w:p>
    <w:p w14:paraId="0FB5B78A" w14:textId="77777777" w:rsidR="00AF6F34" w:rsidRDefault="00AF6F34">
      <w:pPr>
        <w:overflowPunct w:val="0"/>
        <w:spacing w:line="480" w:lineRule="auto"/>
        <w:ind w:firstLine="420"/>
        <w:jc w:val="both"/>
      </w:pPr>
      <w:r>
        <w:rPr>
          <w:rFonts w:ascii="Arial" w:hAnsi="Arial" w:cs="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ascii="Arial" w:hAnsi="Arial" w:cs="Arial" w:hint="eastAsia"/>
          <w:sz w:val="21"/>
          <w:szCs w:val="21"/>
        </w:rPr>
        <w:t>3</w:t>
      </w:r>
      <w:r>
        <w:rPr>
          <w:rFonts w:ascii="Arial" w:hAnsi="Arial" w:cs="Arial"/>
          <w:sz w:val="21"/>
          <w:szCs w:val="21"/>
        </w:rPr>
        <w:t>个可比案例的比准价格的简单算术平均值作为</w:t>
      </w:r>
      <w:r>
        <w:rPr>
          <w:rFonts w:ascii="Arial" w:hAnsi="Arial" w:cs="Arial" w:hint="eastAsia"/>
          <w:sz w:val="21"/>
          <w:szCs w:val="21"/>
        </w:rPr>
        <w:t>南海家园</w:t>
      </w:r>
      <w:r>
        <w:rPr>
          <w:rFonts w:ascii="Arial" w:hAnsi="Arial" w:cs="Arial"/>
          <w:sz w:val="21"/>
          <w:szCs w:val="21"/>
        </w:rPr>
        <w:t>项目的评估价格</w:t>
      </w:r>
      <w:r>
        <w:rPr>
          <w:rFonts w:ascii="Arial" w:hAnsi="Arial" w:cs="Arial" w:hint="eastAsia"/>
          <w:sz w:val="21"/>
          <w:szCs w:val="21"/>
        </w:rPr>
        <w:t>。</w:t>
      </w:r>
    </w:p>
    <w:p w14:paraId="494EF3C3" w14:textId="46818424" w:rsidR="00AF6F34" w:rsidRDefault="00AF6F34">
      <w:pPr>
        <w:overflowPunct w:val="0"/>
        <w:spacing w:line="480" w:lineRule="auto"/>
        <w:ind w:firstLine="420"/>
      </w:pPr>
      <w:r>
        <w:rPr>
          <w:rFonts w:ascii="Arial" w:hAnsi="Arial" w:cs="Arial" w:hint="eastAsia"/>
          <w:sz w:val="21"/>
          <w:szCs w:val="21"/>
        </w:rPr>
        <w:t>即：（</w:t>
      </w:r>
      <w:r w:rsidR="00EC4DBF">
        <w:rPr>
          <w:rFonts w:ascii="Arial" w:hAnsi="Arial" w:cs="Arial"/>
          <w:sz w:val="21"/>
          <w:szCs w:val="21"/>
        </w:rPr>
        <w:t>52.66</w:t>
      </w:r>
      <w:r w:rsidR="00E253E2">
        <w:rPr>
          <w:rFonts w:ascii="Arial" w:hAnsi="Arial" w:cs="Arial"/>
          <w:sz w:val="21"/>
          <w:szCs w:val="21"/>
        </w:rPr>
        <w:t>+</w:t>
      </w:r>
      <w:r w:rsidR="00EC4DBF">
        <w:rPr>
          <w:rFonts w:ascii="Arial" w:hAnsi="Arial" w:cs="Arial"/>
          <w:sz w:val="21"/>
          <w:szCs w:val="21"/>
        </w:rPr>
        <w:t>53.47</w:t>
      </w:r>
      <w:r w:rsidR="00E253E2">
        <w:rPr>
          <w:rFonts w:ascii="Arial" w:hAnsi="Arial" w:cs="Arial"/>
          <w:sz w:val="21"/>
          <w:szCs w:val="21"/>
        </w:rPr>
        <w:t>+</w:t>
      </w:r>
      <w:r w:rsidR="00EC4DBF">
        <w:rPr>
          <w:rFonts w:ascii="Arial" w:hAnsi="Arial" w:cs="Arial"/>
          <w:sz w:val="21"/>
          <w:szCs w:val="21"/>
        </w:rPr>
        <w:t>48.4</w:t>
      </w:r>
      <w:r>
        <w:rPr>
          <w:rFonts w:ascii="Arial" w:hAnsi="Arial" w:cs="Arial" w:hint="eastAsia"/>
          <w:sz w:val="21"/>
          <w:szCs w:val="21"/>
        </w:rPr>
        <w:t>）÷</w:t>
      </w:r>
      <w:r>
        <w:rPr>
          <w:rFonts w:ascii="Arial" w:hAnsi="Arial" w:cs="Arial"/>
          <w:sz w:val="21"/>
          <w:szCs w:val="21"/>
        </w:rPr>
        <w:t>3</w:t>
      </w:r>
    </w:p>
    <w:p w14:paraId="74EA5661" w14:textId="0233F063" w:rsidR="00AF6F34" w:rsidRDefault="00AF6F34">
      <w:pPr>
        <w:overflowPunct w:val="0"/>
        <w:spacing w:line="480" w:lineRule="auto"/>
        <w:ind w:firstLine="420"/>
        <w:rPr>
          <w:rFonts w:ascii="Arial" w:hAnsi="Arial" w:cs="Arial"/>
          <w:sz w:val="21"/>
          <w:szCs w:val="21"/>
        </w:rPr>
      </w:pPr>
      <w:r>
        <w:rPr>
          <w:rFonts w:ascii="Arial" w:eastAsia="Arial" w:hAnsi="Arial" w:cs="Arial"/>
          <w:sz w:val="21"/>
          <w:szCs w:val="21"/>
        </w:rPr>
        <w:t xml:space="preserve">  </w:t>
      </w:r>
      <w:r>
        <w:rPr>
          <w:rFonts w:ascii="Arial" w:hAnsi="Arial" w:cs="Arial"/>
          <w:sz w:val="21"/>
          <w:szCs w:val="21"/>
        </w:rPr>
        <w:t>=</w:t>
      </w:r>
      <w:r w:rsidR="00EC4DBF">
        <w:rPr>
          <w:rFonts w:ascii="Arial" w:hAnsi="Arial" w:cs="Arial"/>
          <w:sz w:val="21"/>
          <w:szCs w:val="21"/>
        </w:rPr>
        <w:t>51.51</w:t>
      </w:r>
      <w:r w:rsidR="00C6391A">
        <w:rPr>
          <w:rFonts w:ascii="Arial" w:hAnsi="Arial" w:cs="Arial" w:hint="eastAsia"/>
          <w:sz w:val="21"/>
          <w:szCs w:val="21"/>
        </w:rPr>
        <w:t>（</w:t>
      </w:r>
      <w:r>
        <w:rPr>
          <w:rFonts w:ascii="Arial" w:hAnsi="Arial" w:cs="Arial" w:hint="eastAsia"/>
          <w:sz w:val="21"/>
          <w:szCs w:val="21"/>
        </w:rPr>
        <w:t>元</w:t>
      </w:r>
      <w:r>
        <w:rPr>
          <w:rFonts w:ascii="Arial" w:hAnsi="Arial" w:cs="Arial"/>
          <w:sz w:val="21"/>
          <w:szCs w:val="21"/>
        </w:rPr>
        <w:t>/</w:t>
      </w:r>
      <w:r>
        <w:rPr>
          <w:rFonts w:ascii="Arial" w:hAnsi="Arial" w:cs="Arial" w:hint="eastAsia"/>
          <w:sz w:val="21"/>
          <w:szCs w:val="21"/>
        </w:rPr>
        <w:t>平方米·月）</w:t>
      </w:r>
    </w:p>
    <w:p w14:paraId="5D00BF92" w14:textId="77777777" w:rsidR="00835BA9" w:rsidRDefault="00F957A8">
      <w:pPr>
        <w:overflowPunct w:val="0"/>
        <w:spacing w:line="480" w:lineRule="auto"/>
        <w:ind w:firstLine="420"/>
        <w:rPr>
          <w:rFonts w:ascii="Arial" w:hAnsi="Arial" w:cs="Arial"/>
          <w:sz w:val="21"/>
          <w:szCs w:val="21"/>
        </w:rPr>
      </w:pPr>
      <w:r>
        <w:rPr>
          <w:rFonts w:ascii="Arial" w:hAnsi="Arial" w:cs="Arial" w:hint="eastAsia"/>
          <w:sz w:val="21"/>
          <w:szCs w:val="21"/>
        </w:rPr>
        <w:t>根据</w:t>
      </w:r>
      <w:r w:rsidR="00431E21">
        <w:rPr>
          <w:rFonts w:ascii="Arial" w:hAnsi="Arial" w:cs="Arial" w:hint="eastAsia"/>
          <w:sz w:val="21"/>
          <w:szCs w:val="21"/>
        </w:rPr>
        <w:t>一居室</w:t>
      </w:r>
      <w:r>
        <w:rPr>
          <w:rFonts w:ascii="Arial" w:hAnsi="Arial" w:cs="Arial" w:hint="eastAsia"/>
          <w:sz w:val="21"/>
          <w:szCs w:val="21"/>
        </w:rPr>
        <w:t>与其他两种户型（二居室、三居室）的面积差异，进行修正</w:t>
      </w:r>
      <w:r w:rsidR="00F52851">
        <w:rPr>
          <w:rFonts w:ascii="Arial" w:hAnsi="Arial" w:cs="Arial" w:hint="eastAsia"/>
          <w:sz w:val="21"/>
          <w:szCs w:val="21"/>
        </w:rPr>
        <w:t>，</w:t>
      </w:r>
      <w:r w:rsidR="00001E3B">
        <w:rPr>
          <w:rFonts w:ascii="Arial" w:hAnsi="Arial" w:cs="Arial" w:hint="eastAsia"/>
          <w:sz w:val="21"/>
          <w:szCs w:val="21"/>
        </w:rPr>
        <w:t>根据估价对象所在区域住宅租赁市场成交情况。面积大小对租金单价的一般影响为，单套建筑面积越大，单位租金越低，</w:t>
      </w:r>
      <w:r w:rsidR="00F52851" w:rsidRPr="00F52851">
        <w:rPr>
          <w:rFonts w:ascii="Arial" w:hAnsi="Arial" w:cs="Arial" w:hint="eastAsia"/>
          <w:sz w:val="21"/>
          <w:szCs w:val="21"/>
        </w:rPr>
        <w:t>按</w:t>
      </w:r>
      <w:r w:rsidR="00001E3B">
        <w:rPr>
          <w:rFonts w:ascii="Arial" w:hAnsi="Arial" w:cs="Arial" w:hint="eastAsia"/>
          <w:sz w:val="21"/>
          <w:szCs w:val="21"/>
        </w:rPr>
        <w:lastRenderedPageBreak/>
        <w:t>建筑面积分为</w:t>
      </w:r>
      <w:r w:rsidR="00001E3B">
        <w:rPr>
          <w:rFonts w:ascii="Arial" w:hAnsi="Arial" w:cs="Arial" w:hint="eastAsia"/>
          <w:sz w:val="21"/>
          <w:szCs w:val="21"/>
        </w:rPr>
        <w:t>70</w:t>
      </w:r>
      <w:r w:rsidR="00001E3B">
        <w:rPr>
          <w:rFonts w:ascii="Arial" w:hAnsi="Arial" w:cs="Arial" w:hint="eastAsia"/>
          <w:sz w:val="21"/>
          <w:szCs w:val="21"/>
        </w:rPr>
        <w:t>平方米（含）以下</w:t>
      </w:r>
      <w:r w:rsidR="00F52851" w:rsidRPr="00F52851">
        <w:rPr>
          <w:rFonts w:ascii="Arial" w:hAnsi="Arial" w:cs="Arial" w:hint="eastAsia"/>
          <w:sz w:val="21"/>
          <w:szCs w:val="21"/>
        </w:rPr>
        <w:t>、</w:t>
      </w:r>
      <w:r w:rsidR="00F52851" w:rsidRPr="00F52851">
        <w:rPr>
          <w:rFonts w:ascii="Arial" w:hAnsi="Arial" w:cs="Arial" w:hint="eastAsia"/>
          <w:sz w:val="21"/>
          <w:szCs w:val="21"/>
        </w:rPr>
        <w:t>70-90</w:t>
      </w:r>
      <w:r w:rsidR="00F52851" w:rsidRPr="00F52851">
        <w:rPr>
          <w:rFonts w:ascii="Arial" w:hAnsi="Arial" w:cs="Arial" w:hint="eastAsia"/>
          <w:sz w:val="21"/>
          <w:szCs w:val="21"/>
        </w:rPr>
        <w:t>平方米（含）、</w:t>
      </w:r>
      <w:r w:rsidR="00F52851" w:rsidRPr="00F52851">
        <w:rPr>
          <w:rFonts w:ascii="Arial" w:hAnsi="Arial" w:cs="Arial" w:hint="eastAsia"/>
          <w:sz w:val="21"/>
          <w:szCs w:val="21"/>
        </w:rPr>
        <w:t>90-110</w:t>
      </w:r>
      <w:r w:rsidR="00F52851" w:rsidRPr="00F52851">
        <w:rPr>
          <w:rFonts w:ascii="Arial" w:hAnsi="Arial" w:cs="Arial" w:hint="eastAsia"/>
          <w:sz w:val="21"/>
          <w:szCs w:val="21"/>
        </w:rPr>
        <w:t>平方米（含）、</w:t>
      </w:r>
      <w:r w:rsidR="00F52851" w:rsidRPr="00F52851">
        <w:rPr>
          <w:rFonts w:ascii="Arial" w:hAnsi="Arial" w:cs="Arial" w:hint="eastAsia"/>
          <w:sz w:val="21"/>
          <w:szCs w:val="21"/>
        </w:rPr>
        <w:t>110</w:t>
      </w:r>
      <w:r w:rsidR="00F52851" w:rsidRPr="00F52851">
        <w:rPr>
          <w:rFonts w:ascii="Arial" w:hAnsi="Arial" w:cs="Arial" w:hint="eastAsia"/>
          <w:sz w:val="21"/>
          <w:szCs w:val="21"/>
        </w:rPr>
        <w:t>平方米以上分为</w:t>
      </w:r>
      <w:r w:rsidR="00F52851" w:rsidRPr="00F52851">
        <w:rPr>
          <w:rFonts w:ascii="Arial" w:hAnsi="Arial" w:cs="Arial" w:hint="eastAsia"/>
          <w:sz w:val="21"/>
          <w:szCs w:val="21"/>
        </w:rPr>
        <w:t>4</w:t>
      </w:r>
      <w:r w:rsidR="00F52851" w:rsidRPr="00F52851">
        <w:rPr>
          <w:rFonts w:ascii="Arial" w:hAnsi="Arial" w:cs="Arial" w:hint="eastAsia"/>
          <w:sz w:val="21"/>
          <w:szCs w:val="21"/>
        </w:rPr>
        <w:t>档，据此以</w:t>
      </w:r>
      <w:r w:rsidR="00F52851">
        <w:rPr>
          <w:rFonts w:ascii="Arial" w:hAnsi="Arial" w:cs="Arial" w:hint="eastAsia"/>
          <w:sz w:val="21"/>
          <w:szCs w:val="21"/>
        </w:rPr>
        <w:t>一居室建筑面积修正系数</w:t>
      </w:r>
      <w:r w:rsidR="00F52851" w:rsidRPr="00F52851">
        <w:rPr>
          <w:rFonts w:ascii="Arial" w:hAnsi="Arial" w:cs="Arial" w:hint="eastAsia"/>
          <w:sz w:val="21"/>
          <w:szCs w:val="21"/>
        </w:rPr>
        <w:t>为</w:t>
      </w:r>
      <w:r w:rsidR="00F52851" w:rsidRPr="00F52851">
        <w:rPr>
          <w:rFonts w:ascii="Arial" w:hAnsi="Arial" w:cs="Arial" w:hint="eastAsia"/>
          <w:sz w:val="21"/>
          <w:szCs w:val="21"/>
        </w:rPr>
        <w:t>1</w:t>
      </w:r>
      <w:r w:rsidR="00F52851" w:rsidRPr="00F52851">
        <w:rPr>
          <w:rFonts w:ascii="Arial" w:hAnsi="Arial" w:cs="Arial"/>
          <w:sz w:val="21"/>
          <w:szCs w:val="21"/>
        </w:rPr>
        <w:t>00</w:t>
      </w:r>
      <w:r w:rsidR="00F52851" w:rsidRPr="00F52851">
        <w:rPr>
          <w:rFonts w:ascii="Arial" w:hAnsi="Arial" w:cs="Arial" w:hint="eastAsia"/>
          <w:sz w:val="21"/>
          <w:szCs w:val="21"/>
        </w:rPr>
        <w:t>，</w:t>
      </w:r>
      <w:r w:rsidR="00F52851">
        <w:rPr>
          <w:rFonts w:ascii="Arial" w:hAnsi="Arial" w:cs="Arial" w:hint="eastAsia"/>
          <w:sz w:val="21"/>
          <w:szCs w:val="21"/>
        </w:rPr>
        <w:t>二居室建筑面积修正系数</w:t>
      </w:r>
      <w:r w:rsidR="00F52851" w:rsidRPr="00F52851">
        <w:rPr>
          <w:rFonts w:ascii="Arial" w:hAnsi="Arial" w:cs="Arial" w:hint="eastAsia"/>
          <w:sz w:val="21"/>
          <w:szCs w:val="21"/>
        </w:rPr>
        <w:t>为</w:t>
      </w:r>
      <w:r w:rsidR="00F52851">
        <w:rPr>
          <w:rFonts w:ascii="Arial" w:hAnsi="Arial" w:cs="Arial" w:hint="eastAsia"/>
          <w:sz w:val="21"/>
          <w:szCs w:val="21"/>
        </w:rPr>
        <w:t>99</w:t>
      </w:r>
      <w:r w:rsidR="00F52851">
        <w:rPr>
          <w:rFonts w:ascii="Arial" w:hAnsi="Arial" w:cs="Arial" w:hint="eastAsia"/>
          <w:sz w:val="21"/>
          <w:szCs w:val="21"/>
        </w:rPr>
        <w:t>，三居室建筑面积修正系数</w:t>
      </w:r>
      <w:r w:rsidR="00F52851" w:rsidRPr="00F52851">
        <w:rPr>
          <w:rFonts w:ascii="Arial" w:hAnsi="Arial" w:cs="Arial" w:hint="eastAsia"/>
          <w:sz w:val="21"/>
          <w:szCs w:val="21"/>
        </w:rPr>
        <w:t>为</w:t>
      </w:r>
      <w:r w:rsidR="00F52851">
        <w:rPr>
          <w:rFonts w:ascii="Arial" w:hAnsi="Arial" w:cs="Arial" w:hint="eastAsia"/>
          <w:sz w:val="21"/>
          <w:szCs w:val="21"/>
        </w:rPr>
        <w:t>98</w:t>
      </w:r>
      <w:r w:rsidR="00F52851">
        <w:rPr>
          <w:rFonts w:ascii="Arial" w:hAnsi="Arial" w:cs="Arial" w:hint="eastAsia"/>
          <w:sz w:val="21"/>
          <w:szCs w:val="21"/>
        </w:rPr>
        <w:t>，则：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1903"/>
        <w:gridCol w:w="1903"/>
        <w:gridCol w:w="2764"/>
      </w:tblGrid>
      <w:tr w:rsidR="00C6391A" w:rsidRPr="001B2E94" w14:paraId="26619E78" w14:textId="77777777" w:rsidTr="00F52851">
        <w:trPr>
          <w:jc w:val="center"/>
        </w:trPr>
        <w:tc>
          <w:tcPr>
            <w:tcW w:w="1902" w:type="dxa"/>
            <w:shd w:val="clear" w:color="auto" w:fill="auto"/>
            <w:vAlign w:val="center"/>
          </w:tcPr>
          <w:p w14:paraId="00C23975" w14:textId="77777777" w:rsidR="00C6391A" w:rsidRPr="001B2E94" w:rsidRDefault="00C6391A" w:rsidP="001B2E94">
            <w:pPr>
              <w:overflowPunct w:val="0"/>
              <w:spacing w:beforeLines="50" w:before="120" w:afterLines="50" w:after="120" w:line="240" w:lineRule="auto"/>
              <w:jc w:val="center"/>
              <w:rPr>
                <w:rFonts w:ascii="宋体" w:hAnsi="宋体" w:cs="Arial"/>
                <w:color w:val="000000"/>
                <w:sz w:val="18"/>
                <w:szCs w:val="22"/>
              </w:rPr>
            </w:pPr>
            <w:r w:rsidRPr="001B2E94">
              <w:rPr>
                <w:rFonts w:ascii="宋体" w:hAnsi="宋体" w:cs="Arial" w:hint="eastAsia"/>
                <w:color w:val="000000"/>
                <w:sz w:val="18"/>
                <w:szCs w:val="22"/>
              </w:rPr>
              <w:t>户型</w:t>
            </w:r>
          </w:p>
        </w:tc>
        <w:tc>
          <w:tcPr>
            <w:tcW w:w="1903" w:type="dxa"/>
            <w:shd w:val="clear" w:color="auto" w:fill="auto"/>
            <w:vAlign w:val="center"/>
          </w:tcPr>
          <w:p w14:paraId="3622E2D2" w14:textId="77777777" w:rsidR="00C6391A" w:rsidRPr="001B2E94" w:rsidRDefault="00C6391A" w:rsidP="001B2E94">
            <w:pPr>
              <w:overflowPunct w:val="0"/>
              <w:spacing w:beforeLines="50" w:before="120" w:afterLines="50" w:after="120" w:line="240" w:lineRule="auto"/>
              <w:jc w:val="center"/>
              <w:rPr>
                <w:rFonts w:ascii="宋体" w:hAnsi="宋体" w:cs="Arial"/>
                <w:color w:val="000000"/>
                <w:sz w:val="18"/>
                <w:szCs w:val="22"/>
              </w:rPr>
            </w:pPr>
            <w:r w:rsidRPr="001B2E94">
              <w:rPr>
                <w:rFonts w:ascii="宋体" w:hAnsi="宋体" w:cs="Arial" w:hint="eastAsia"/>
                <w:color w:val="000000"/>
                <w:sz w:val="18"/>
                <w:szCs w:val="22"/>
              </w:rPr>
              <w:t>建筑面积（㎡）</w:t>
            </w:r>
          </w:p>
        </w:tc>
        <w:tc>
          <w:tcPr>
            <w:tcW w:w="1903" w:type="dxa"/>
            <w:shd w:val="clear" w:color="auto" w:fill="auto"/>
            <w:vAlign w:val="center"/>
          </w:tcPr>
          <w:p w14:paraId="7364574C" w14:textId="77777777" w:rsidR="00C6391A" w:rsidRPr="001B2E94" w:rsidRDefault="00B42AB7" w:rsidP="001B2E94">
            <w:pPr>
              <w:overflowPunct w:val="0"/>
              <w:spacing w:beforeLines="50" w:before="120" w:afterLines="50" w:after="120" w:line="240" w:lineRule="auto"/>
              <w:jc w:val="center"/>
              <w:rPr>
                <w:rFonts w:ascii="宋体" w:hAnsi="宋体" w:cs="Arial"/>
                <w:color w:val="000000"/>
                <w:sz w:val="18"/>
                <w:szCs w:val="22"/>
              </w:rPr>
            </w:pPr>
            <w:r>
              <w:rPr>
                <w:rFonts w:ascii="宋体" w:hAnsi="宋体" w:cs="Arial" w:hint="eastAsia"/>
                <w:color w:val="000000"/>
                <w:sz w:val="18"/>
                <w:szCs w:val="22"/>
              </w:rPr>
              <w:t>建筑面积</w:t>
            </w:r>
            <w:r w:rsidR="00C6391A" w:rsidRPr="001B2E94">
              <w:rPr>
                <w:rFonts w:ascii="宋体" w:hAnsi="宋体" w:cs="Arial" w:hint="eastAsia"/>
                <w:color w:val="000000"/>
                <w:sz w:val="18"/>
                <w:szCs w:val="22"/>
              </w:rPr>
              <w:t>修正系数</w:t>
            </w:r>
          </w:p>
        </w:tc>
        <w:tc>
          <w:tcPr>
            <w:tcW w:w="2764" w:type="dxa"/>
            <w:shd w:val="clear" w:color="auto" w:fill="auto"/>
            <w:vAlign w:val="center"/>
          </w:tcPr>
          <w:p w14:paraId="6B75EF13" w14:textId="77777777" w:rsidR="00C6391A" w:rsidRPr="001B2E94" w:rsidRDefault="00C6391A" w:rsidP="001B2E94">
            <w:pPr>
              <w:overflowPunct w:val="0"/>
              <w:spacing w:beforeLines="50" w:before="120" w:afterLines="50" w:after="120" w:line="240" w:lineRule="auto"/>
              <w:jc w:val="center"/>
              <w:rPr>
                <w:rFonts w:ascii="宋体" w:hAnsi="宋体" w:cs="Arial"/>
                <w:color w:val="000000"/>
                <w:sz w:val="18"/>
                <w:szCs w:val="22"/>
              </w:rPr>
            </w:pPr>
            <w:r w:rsidRPr="001B2E94">
              <w:rPr>
                <w:rFonts w:ascii="宋体" w:hAnsi="宋体" w:cs="Arial" w:hint="eastAsia"/>
                <w:color w:val="000000"/>
                <w:sz w:val="18"/>
                <w:szCs w:val="22"/>
              </w:rPr>
              <w:t>比准价格（元</w:t>
            </w:r>
            <w:r w:rsidRPr="001B2E94">
              <w:rPr>
                <w:rFonts w:ascii="宋体" w:hAnsi="宋体" w:cs="Arial"/>
                <w:color w:val="000000"/>
                <w:sz w:val="18"/>
                <w:szCs w:val="22"/>
              </w:rPr>
              <w:t>/</w:t>
            </w:r>
            <w:r w:rsidRPr="001B2E94">
              <w:rPr>
                <w:rFonts w:ascii="宋体" w:hAnsi="宋体" w:cs="Arial" w:hint="eastAsia"/>
                <w:color w:val="000000"/>
                <w:sz w:val="18"/>
                <w:szCs w:val="22"/>
              </w:rPr>
              <w:t>平方米</w:t>
            </w:r>
            <w:r w:rsidRPr="001B2E94">
              <w:rPr>
                <w:rFonts w:ascii="宋体" w:hAnsi="宋体" w:cs="Arial"/>
                <w:color w:val="000000"/>
                <w:sz w:val="18"/>
                <w:szCs w:val="22"/>
              </w:rPr>
              <w:t>·</w:t>
            </w:r>
            <w:r w:rsidRPr="001B2E94">
              <w:rPr>
                <w:rFonts w:ascii="宋体" w:hAnsi="宋体" w:cs="Arial" w:hint="eastAsia"/>
                <w:color w:val="000000"/>
                <w:sz w:val="18"/>
                <w:szCs w:val="22"/>
              </w:rPr>
              <w:t>月）</w:t>
            </w:r>
          </w:p>
        </w:tc>
      </w:tr>
      <w:tr w:rsidR="00C6391A" w:rsidRPr="001B2E94" w14:paraId="03736467" w14:textId="77777777" w:rsidTr="00F52851">
        <w:trPr>
          <w:jc w:val="center"/>
        </w:trPr>
        <w:tc>
          <w:tcPr>
            <w:tcW w:w="1902" w:type="dxa"/>
            <w:shd w:val="clear" w:color="auto" w:fill="auto"/>
            <w:vAlign w:val="center"/>
          </w:tcPr>
          <w:p w14:paraId="0A093119" w14:textId="77777777" w:rsidR="00C6391A" w:rsidRPr="001B2E94" w:rsidRDefault="00C6391A" w:rsidP="001B2E94">
            <w:pPr>
              <w:overflowPunct w:val="0"/>
              <w:spacing w:beforeLines="50" w:before="120" w:afterLines="50" w:after="120" w:line="240" w:lineRule="auto"/>
              <w:jc w:val="center"/>
              <w:rPr>
                <w:rFonts w:ascii="宋体" w:hAnsi="宋体" w:cs="Arial"/>
                <w:color w:val="000000"/>
                <w:sz w:val="18"/>
                <w:szCs w:val="22"/>
              </w:rPr>
            </w:pPr>
            <w:r w:rsidRPr="001B2E94">
              <w:rPr>
                <w:rFonts w:ascii="宋体" w:hAnsi="宋体" w:cs="Arial" w:hint="eastAsia"/>
                <w:color w:val="000000"/>
                <w:sz w:val="18"/>
                <w:szCs w:val="22"/>
              </w:rPr>
              <w:t>一居室</w:t>
            </w:r>
          </w:p>
        </w:tc>
        <w:tc>
          <w:tcPr>
            <w:tcW w:w="1903" w:type="dxa"/>
            <w:shd w:val="clear" w:color="auto" w:fill="auto"/>
            <w:vAlign w:val="center"/>
          </w:tcPr>
          <w:p w14:paraId="1DAD34D8" w14:textId="77777777" w:rsidR="00C6391A" w:rsidRPr="001B2E94" w:rsidRDefault="00C6391A" w:rsidP="001B2E94">
            <w:pPr>
              <w:overflowPunct w:val="0"/>
              <w:spacing w:beforeLines="50" w:before="120" w:afterLines="50" w:after="120" w:line="240" w:lineRule="auto"/>
              <w:jc w:val="center"/>
              <w:rPr>
                <w:rFonts w:ascii="宋体" w:hAnsi="宋体" w:cs="Arial"/>
                <w:color w:val="000000"/>
                <w:sz w:val="18"/>
                <w:szCs w:val="18"/>
              </w:rPr>
            </w:pPr>
            <w:r w:rsidRPr="001B2E94">
              <w:rPr>
                <w:rFonts w:ascii="Arial" w:hAnsi="Arial" w:cs="Arial" w:hint="eastAsia"/>
                <w:sz w:val="18"/>
                <w:szCs w:val="18"/>
              </w:rPr>
              <w:t>62.36-69.96</w:t>
            </w:r>
          </w:p>
        </w:tc>
        <w:tc>
          <w:tcPr>
            <w:tcW w:w="1903" w:type="dxa"/>
            <w:shd w:val="clear" w:color="auto" w:fill="auto"/>
            <w:vAlign w:val="center"/>
          </w:tcPr>
          <w:p w14:paraId="18D1151E" w14:textId="77777777" w:rsidR="00C6391A" w:rsidRPr="001B2E94" w:rsidRDefault="00C6391A" w:rsidP="001B2E94">
            <w:pPr>
              <w:overflowPunct w:val="0"/>
              <w:spacing w:beforeLines="50" w:before="120" w:afterLines="50" w:after="120" w:line="240" w:lineRule="auto"/>
              <w:jc w:val="center"/>
              <w:rPr>
                <w:rFonts w:ascii="Arial" w:hAnsi="Arial" w:cs="Arial"/>
                <w:sz w:val="18"/>
                <w:szCs w:val="18"/>
              </w:rPr>
            </w:pPr>
            <w:r w:rsidRPr="001B2E94">
              <w:rPr>
                <w:rFonts w:ascii="Arial" w:hAnsi="Arial" w:cs="Arial" w:hint="eastAsia"/>
                <w:sz w:val="18"/>
                <w:szCs w:val="18"/>
              </w:rPr>
              <w:t>100</w:t>
            </w:r>
          </w:p>
        </w:tc>
        <w:tc>
          <w:tcPr>
            <w:tcW w:w="2764" w:type="dxa"/>
            <w:shd w:val="clear" w:color="auto" w:fill="auto"/>
            <w:vAlign w:val="center"/>
          </w:tcPr>
          <w:p w14:paraId="2823E0CA" w14:textId="2D82F4B1" w:rsidR="00C6391A" w:rsidRPr="001B2E94" w:rsidRDefault="00EC4DBF" w:rsidP="001B2E94">
            <w:pPr>
              <w:overflowPunct w:val="0"/>
              <w:spacing w:beforeLines="50" w:before="120" w:afterLines="50" w:after="120" w:line="240" w:lineRule="auto"/>
              <w:jc w:val="center"/>
              <w:rPr>
                <w:rFonts w:ascii="Arial" w:hAnsi="Arial" w:cs="Arial"/>
                <w:sz w:val="18"/>
                <w:szCs w:val="18"/>
              </w:rPr>
            </w:pPr>
            <w:r>
              <w:rPr>
                <w:rFonts w:ascii="Arial" w:hAnsi="Arial" w:cs="Arial"/>
                <w:sz w:val="18"/>
                <w:szCs w:val="18"/>
              </w:rPr>
              <w:t>51.51</w:t>
            </w:r>
          </w:p>
        </w:tc>
      </w:tr>
      <w:tr w:rsidR="00C6391A" w:rsidRPr="001B2E94" w14:paraId="01B9722A" w14:textId="77777777" w:rsidTr="00F52851">
        <w:trPr>
          <w:jc w:val="center"/>
        </w:trPr>
        <w:tc>
          <w:tcPr>
            <w:tcW w:w="1902" w:type="dxa"/>
            <w:shd w:val="clear" w:color="auto" w:fill="auto"/>
            <w:vAlign w:val="center"/>
          </w:tcPr>
          <w:p w14:paraId="7CDF6DAD" w14:textId="77777777" w:rsidR="00C6391A" w:rsidRPr="001B2E94" w:rsidRDefault="00C6391A" w:rsidP="001B2E94">
            <w:pPr>
              <w:overflowPunct w:val="0"/>
              <w:spacing w:beforeLines="50" w:before="120" w:afterLines="50" w:after="120" w:line="240" w:lineRule="auto"/>
              <w:jc w:val="center"/>
              <w:rPr>
                <w:rFonts w:ascii="宋体" w:hAnsi="宋体" w:cs="Arial"/>
                <w:color w:val="000000"/>
                <w:sz w:val="18"/>
                <w:szCs w:val="22"/>
              </w:rPr>
            </w:pPr>
            <w:r w:rsidRPr="001B2E94">
              <w:rPr>
                <w:rFonts w:ascii="宋体" w:hAnsi="宋体" w:cs="Arial" w:hint="eastAsia"/>
                <w:color w:val="000000"/>
                <w:sz w:val="18"/>
                <w:szCs w:val="22"/>
              </w:rPr>
              <w:t>二居室</w:t>
            </w:r>
          </w:p>
        </w:tc>
        <w:tc>
          <w:tcPr>
            <w:tcW w:w="1903" w:type="dxa"/>
            <w:shd w:val="clear" w:color="auto" w:fill="auto"/>
            <w:vAlign w:val="center"/>
          </w:tcPr>
          <w:p w14:paraId="227F70C6" w14:textId="77777777" w:rsidR="00C6391A" w:rsidRPr="001B2E94" w:rsidRDefault="00C6391A" w:rsidP="001B2E94">
            <w:pPr>
              <w:overflowPunct w:val="0"/>
              <w:spacing w:beforeLines="50" w:before="120" w:afterLines="50" w:after="120" w:line="240" w:lineRule="auto"/>
              <w:jc w:val="center"/>
              <w:rPr>
                <w:rFonts w:ascii="宋体" w:hAnsi="宋体" w:cs="Arial"/>
                <w:color w:val="000000"/>
                <w:sz w:val="18"/>
                <w:szCs w:val="18"/>
              </w:rPr>
            </w:pPr>
            <w:r w:rsidRPr="001B2E94">
              <w:rPr>
                <w:rFonts w:ascii="Arial" w:hAnsi="Arial" w:cs="Arial" w:hint="eastAsia"/>
                <w:sz w:val="18"/>
                <w:szCs w:val="18"/>
              </w:rPr>
              <w:t>87.22-91.05</w:t>
            </w:r>
          </w:p>
        </w:tc>
        <w:tc>
          <w:tcPr>
            <w:tcW w:w="1903" w:type="dxa"/>
            <w:shd w:val="clear" w:color="auto" w:fill="auto"/>
            <w:vAlign w:val="center"/>
          </w:tcPr>
          <w:p w14:paraId="0E161734" w14:textId="77777777" w:rsidR="00C6391A" w:rsidRPr="001B2E94" w:rsidRDefault="00C6391A" w:rsidP="001B2E94">
            <w:pPr>
              <w:overflowPunct w:val="0"/>
              <w:spacing w:beforeLines="50" w:before="120" w:afterLines="50" w:after="120" w:line="240" w:lineRule="auto"/>
              <w:jc w:val="center"/>
              <w:rPr>
                <w:rFonts w:ascii="Arial" w:hAnsi="Arial" w:cs="Arial"/>
                <w:sz w:val="18"/>
                <w:szCs w:val="18"/>
              </w:rPr>
            </w:pPr>
            <w:r w:rsidRPr="001B2E94">
              <w:rPr>
                <w:rFonts w:ascii="Arial" w:hAnsi="Arial" w:cs="Arial" w:hint="eastAsia"/>
                <w:sz w:val="18"/>
                <w:szCs w:val="18"/>
              </w:rPr>
              <w:t>99</w:t>
            </w:r>
          </w:p>
        </w:tc>
        <w:tc>
          <w:tcPr>
            <w:tcW w:w="2764" w:type="dxa"/>
            <w:shd w:val="clear" w:color="auto" w:fill="auto"/>
            <w:vAlign w:val="center"/>
          </w:tcPr>
          <w:p w14:paraId="0084CD02" w14:textId="3465E657" w:rsidR="00C6391A" w:rsidRPr="001B2E94" w:rsidRDefault="00EC4DBF" w:rsidP="001B2E94">
            <w:pPr>
              <w:overflowPunct w:val="0"/>
              <w:spacing w:beforeLines="50" w:before="120" w:afterLines="50" w:after="120" w:line="240" w:lineRule="auto"/>
              <w:jc w:val="center"/>
              <w:rPr>
                <w:rFonts w:ascii="Arial" w:hAnsi="Arial" w:cs="Arial"/>
                <w:sz w:val="18"/>
                <w:szCs w:val="18"/>
              </w:rPr>
            </w:pPr>
            <w:r>
              <w:rPr>
                <w:rFonts w:ascii="Arial" w:hAnsi="Arial" w:cs="Arial"/>
                <w:sz w:val="18"/>
                <w:szCs w:val="18"/>
              </w:rPr>
              <w:t>50.99</w:t>
            </w:r>
          </w:p>
        </w:tc>
      </w:tr>
      <w:tr w:rsidR="00C6391A" w:rsidRPr="001B2E94" w14:paraId="5DD31893" w14:textId="77777777" w:rsidTr="00F52851">
        <w:trPr>
          <w:jc w:val="center"/>
        </w:trPr>
        <w:tc>
          <w:tcPr>
            <w:tcW w:w="1902" w:type="dxa"/>
            <w:shd w:val="clear" w:color="auto" w:fill="auto"/>
            <w:vAlign w:val="center"/>
          </w:tcPr>
          <w:p w14:paraId="425D5DB8" w14:textId="77777777" w:rsidR="00C6391A" w:rsidRPr="001B2E94" w:rsidRDefault="00C6391A" w:rsidP="001B2E94">
            <w:pPr>
              <w:overflowPunct w:val="0"/>
              <w:spacing w:beforeLines="50" w:before="120" w:afterLines="50" w:after="120" w:line="240" w:lineRule="auto"/>
              <w:jc w:val="center"/>
              <w:rPr>
                <w:rFonts w:ascii="宋体" w:hAnsi="宋体" w:cs="Arial"/>
                <w:color w:val="000000"/>
                <w:sz w:val="18"/>
                <w:szCs w:val="22"/>
              </w:rPr>
            </w:pPr>
            <w:r w:rsidRPr="001B2E94">
              <w:rPr>
                <w:rFonts w:ascii="宋体" w:hAnsi="宋体" w:cs="Arial" w:hint="eastAsia"/>
                <w:color w:val="000000"/>
                <w:sz w:val="18"/>
                <w:szCs w:val="22"/>
              </w:rPr>
              <w:t>三居室</w:t>
            </w:r>
          </w:p>
        </w:tc>
        <w:tc>
          <w:tcPr>
            <w:tcW w:w="1903" w:type="dxa"/>
            <w:shd w:val="clear" w:color="auto" w:fill="auto"/>
            <w:vAlign w:val="center"/>
          </w:tcPr>
          <w:p w14:paraId="12E1447B" w14:textId="77777777" w:rsidR="00C6391A" w:rsidRPr="001B2E94" w:rsidRDefault="000B511E" w:rsidP="001B2E94">
            <w:pPr>
              <w:overflowPunct w:val="0"/>
              <w:spacing w:beforeLines="50" w:before="120" w:afterLines="50" w:after="120" w:line="240" w:lineRule="auto"/>
              <w:jc w:val="center"/>
              <w:rPr>
                <w:rFonts w:ascii="宋体" w:hAnsi="宋体" w:cs="Arial"/>
                <w:color w:val="000000"/>
                <w:sz w:val="18"/>
                <w:szCs w:val="18"/>
              </w:rPr>
            </w:pPr>
            <w:r w:rsidRPr="000B511E">
              <w:rPr>
                <w:rFonts w:ascii="Arial" w:hAnsi="Arial" w:cs="Arial"/>
                <w:sz w:val="18"/>
                <w:szCs w:val="18"/>
              </w:rPr>
              <w:t>97.97-109.46</w:t>
            </w:r>
          </w:p>
        </w:tc>
        <w:tc>
          <w:tcPr>
            <w:tcW w:w="1903" w:type="dxa"/>
            <w:shd w:val="clear" w:color="auto" w:fill="auto"/>
            <w:vAlign w:val="center"/>
          </w:tcPr>
          <w:p w14:paraId="670CEBBD" w14:textId="77777777" w:rsidR="00C6391A" w:rsidRPr="001B2E94" w:rsidRDefault="00C6391A" w:rsidP="001B2E94">
            <w:pPr>
              <w:overflowPunct w:val="0"/>
              <w:spacing w:beforeLines="50" w:before="120" w:afterLines="50" w:after="120" w:line="240" w:lineRule="auto"/>
              <w:jc w:val="center"/>
              <w:rPr>
                <w:rFonts w:ascii="Arial" w:hAnsi="Arial" w:cs="Arial"/>
                <w:sz w:val="18"/>
                <w:szCs w:val="18"/>
              </w:rPr>
            </w:pPr>
            <w:r w:rsidRPr="001B2E94">
              <w:rPr>
                <w:rFonts w:ascii="Arial" w:hAnsi="Arial" w:cs="Arial" w:hint="eastAsia"/>
                <w:sz w:val="18"/>
                <w:szCs w:val="18"/>
              </w:rPr>
              <w:t>98</w:t>
            </w:r>
          </w:p>
        </w:tc>
        <w:tc>
          <w:tcPr>
            <w:tcW w:w="2764" w:type="dxa"/>
            <w:shd w:val="clear" w:color="auto" w:fill="auto"/>
            <w:vAlign w:val="center"/>
          </w:tcPr>
          <w:p w14:paraId="75BC8F51" w14:textId="043BF19B" w:rsidR="00C6391A" w:rsidRPr="001B2E94" w:rsidRDefault="00EC4DBF" w:rsidP="00D4637D">
            <w:pPr>
              <w:overflowPunct w:val="0"/>
              <w:spacing w:beforeLines="50" w:before="120" w:afterLines="50" w:after="120" w:line="240" w:lineRule="auto"/>
              <w:jc w:val="center"/>
              <w:rPr>
                <w:rFonts w:ascii="Arial" w:hAnsi="Arial" w:cs="Arial"/>
                <w:sz w:val="18"/>
                <w:szCs w:val="18"/>
              </w:rPr>
            </w:pPr>
            <w:r>
              <w:rPr>
                <w:rFonts w:ascii="Arial" w:hAnsi="Arial" w:cs="Arial"/>
                <w:sz w:val="18"/>
                <w:szCs w:val="18"/>
              </w:rPr>
              <w:t>50.48</w:t>
            </w:r>
          </w:p>
        </w:tc>
      </w:tr>
    </w:tbl>
    <w:p w14:paraId="0662ACE0" w14:textId="0D3397BB" w:rsidR="00AF6F34" w:rsidRDefault="00AF6F34" w:rsidP="00F52851">
      <w:pPr>
        <w:overflowPunct w:val="0"/>
        <w:spacing w:beforeLines="100" w:before="240" w:line="480" w:lineRule="auto"/>
        <w:ind w:firstLine="420"/>
      </w:pPr>
      <w:r>
        <w:rPr>
          <w:rFonts w:ascii="Arial" w:hAnsi="Arial" w:cs="Arial" w:hint="eastAsia"/>
          <w:sz w:val="21"/>
          <w:szCs w:val="21"/>
        </w:rPr>
        <w:t>根据估价委托人介绍，估价对象</w:t>
      </w:r>
      <w:r>
        <w:rPr>
          <w:rFonts w:ascii="Arial" w:hAnsi="Arial" w:cs="Arial" w:hint="eastAsia"/>
          <w:kern w:val="2"/>
          <w:sz w:val="21"/>
          <w:szCs w:val="21"/>
        </w:rPr>
        <w:t>南海家园项目</w:t>
      </w:r>
      <w:r>
        <w:rPr>
          <w:rFonts w:ascii="Arial" w:hAnsi="Arial" w:cs="Arial" w:hint="eastAsia"/>
          <w:color w:val="000000"/>
          <w:sz w:val="21"/>
          <w:szCs w:val="21"/>
        </w:rPr>
        <w:t>物业费</w:t>
      </w:r>
      <w:r>
        <w:rPr>
          <w:rFonts w:ascii="Arial" w:hAnsi="Arial" w:cs="Arial"/>
          <w:color w:val="000000"/>
          <w:sz w:val="21"/>
          <w:szCs w:val="21"/>
        </w:rPr>
        <w:t>2.3</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平方米•月，供暖费</w:t>
      </w:r>
      <w:r>
        <w:rPr>
          <w:rFonts w:ascii="Arial" w:hAnsi="Arial" w:cs="Arial"/>
          <w:color w:val="000000"/>
          <w:sz w:val="21"/>
          <w:szCs w:val="21"/>
        </w:rPr>
        <w:t>2.5</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r>
        <w:rPr>
          <w:rFonts w:ascii="Arial" w:hAnsi="Arial" w:cs="Arial" w:hint="eastAsia"/>
          <w:sz w:val="21"/>
          <w:szCs w:val="21"/>
        </w:rPr>
        <w:t>。</w:t>
      </w:r>
      <w:r>
        <w:rPr>
          <w:rFonts w:ascii="Arial" w:hAnsi="Arial" w:cs="Arial" w:hint="eastAsia"/>
          <w:kern w:val="2"/>
          <w:sz w:val="21"/>
          <w:szCs w:val="21"/>
        </w:rPr>
        <w:t>故，</w:t>
      </w:r>
      <w:r>
        <w:rPr>
          <w:rFonts w:ascii="Arial" w:hAnsi="Arial" w:cs="Arial" w:hint="eastAsia"/>
          <w:sz w:val="21"/>
          <w:szCs w:val="21"/>
        </w:rPr>
        <w:t>估价对象于价值时点</w:t>
      </w:r>
      <w:r w:rsidR="00094507">
        <w:rPr>
          <w:rFonts w:ascii="Arial" w:hAnsi="Arial" w:cs="Arial"/>
          <w:sz w:val="21"/>
          <w:szCs w:val="21"/>
        </w:rPr>
        <w:t>2025</w:t>
      </w:r>
      <w:r w:rsidR="00094507">
        <w:rPr>
          <w:rFonts w:ascii="Arial" w:hAnsi="Arial" w:cs="Arial"/>
          <w:sz w:val="21"/>
          <w:szCs w:val="21"/>
        </w:rPr>
        <w:t>年</w:t>
      </w:r>
      <w:r w:rsidR="00094507">
        <w:rPr>
          <w:rFonts w:ascii="Arial" w:hAnsi="Arial" w:cs="Arial"/>
          <w:sz w:val="21"/>
          <w:szCs w:val="21"/>
        </w:rPr>
        <w:t>11</w:t>
      </w:r>
      <w:r w:rsidR="00094507">
        <w:rPr>
          <w:rFonts w:ascii="Arial" w:hAnsi="Arial" w:cs="Arial"/>
          <w:sz w:val="21"/>
          <w:szCs w:val="21"/>
        </w:rPr>
        <w:t>月</w:t>
      </w:r>
      <w:r w:rsidR="00094507">
        <w:rPr>
          <w:rFonts w:ascii="Arial" w:hAnsi="Arial" w:cs="Arial"/>
          <w:sz w:val="21"/>
          <w:szCs w:val="21"/>
        </w:rPr>
        <w:t>1</w:t>
      </w:r>
      <w:r w:rsidR="00094507">
        <w:rPr>
          <w:rFonts w:ascii="Arial" w:hAnsi="Arial" w:cs="Arial"/>
          <w:sz w:val="21"/>
          <w:szCs w:val="21"/>
        </w:rPr>
        <w:t>日</w:t>
      </w:r>
      <w:r>
        <w:rPr>
          <w:rFonts w:ascii="Arial" w:hAnsi="Arial" w:cs="Arial" w:hint="eastAsia"/>
          <w:sz w:val="21"/>
          <w:szCs w:val="21"/>
        </w:rPr>
        <w:t>前一年内（</w:t>
      </w:r>
      <w:r w:rsidR="00D517EB">
        <w:rPr>
          <w:rFonts w:ascii="Arial" w:hAnsi="Arial" w:cs="Arial"/>
          <w:sz w:val="21"/>
          <w:szCs w:val="21"/>
        </w:rPr>
        <w:t>2024</w:t>
      </w:r>
      <w:r w:rsidR="00D517EB">
        <w:rPr>
          <w:rFonts w:ascii="Arial" w:hAnsi="Arial" w:cs="Arial"/>
          <w:sz w:val="21"/>
          <w:szCs w:val="21"/>
        </w:rPr>
        <w:t>年</w:t>
      </w:r>
      <w:r w:rsidR="00D517EB">
        <w:rPr>
          <w:rFonts w:ascii="Arial" w:hAnsi="Arial" w:cs="Arial"/>
          <w:sz w:val="21"/>
          <w:szCs w:val="21"/>
        </w:rPr>
        <w:t>11</w:t>
      </w:r>
      <w:r w:rsidR="00D517EB">
        <w:rPr>
          <w:rFonts w:ascii="Arial" w:hAnsi="Arial" w:cs="Arial"/>
          <w:sz w:val="21"/>
          <w:szCs w:val="21"/>
        </w:rPr>
        <w:t>月</w:t>
      </w:r>
      <w:r w:rsidR="00D517EB">
        <w:rPr>
          <w:rFonts w:ascii="Arial" w:hAnsi="Arial" w:cs="Arial"/>
          <w:sz w:val="21"/>
          <w:szCs w:val="21"/>
        </w:rPr>
        <w:t>1</w:t>
      </w:r>
      <w:r w:rsidR="00D517EB">
        <w:rPr>
          <w:rFonts w:ascii="Arial" w:hAnsi="Arial" w:cs="Arial"/>
          <w:sz w:val="21"/>
          <w:szCs w:val="21"/>
        </w:rPr>
        <w:t>日至</w:t>
      </w:r>
      <w:r w:rsidR="00D517EB">
        <w:rPr>
          <w:rFonts w:ascii="Arial" w:hAnsi="Arial" w:cs="Arial"/>
          <w:sz w:val="21"/>
          <w:szCs w:val="21"/>
        </w:rPr>
        <w:t>2025</w:t>
      </w:r>
      <w:r w:rsidR="00D517EB">
        <w:rPr>
          <w:rFonts w:ascii="Arial" w:hAnsi="Arial" w:cs="Arial"/>
          <w:sz w:val="21"/>
          <w:szCs w:val="21"/>
        </w:rPr>
        <w:t>年</w:t>
      </w:r>
      <w:r w:rsidR="00D517EB">
        <w:rPr>
          <w:rFonts w:ascii="Arial" w:hAnsi="Arial" w:cs="Arial"/>
          <w:sz w:val="21"/>
          <w:szCs w:val="21"/>
        </w:rPr>
        <w:t>10</w:t>
      </w:r>
      <w:r w:rsidR="00D517EB">
        <w:rPr>
          <w:rFonts w:ascii="Arial" w:hAnsi="Arial" w:cs="Arial"/>
          <w:sz w:val="21"/>
          <w:szCs w:val="21"/>
        </w:rPr>
        <w:t>月</w:t>
      </w:r>
      <w:r w:rsidR="00D517EB">
        <w:rPr>
          <w:rFonts w:ascii="Arial" w:hAnsi="Arial" w:cs="Arial"/>
          <w:sz w:val="21"/>
          <w:szCs w:val="21"/>
        </w:rPr>
        <w:t>31</w:t>
      </w:r>
      <w:r w:rsidR="00D517EB">
        <w:rPr>
          <w:rFonts w:ascii="Arial" w:hAnsi="Arial" w:cs="Arial"/>
          <w:sz w:val="21"/>
          <w:szCs w:val="21"/>
        </w:rPr>
        <w:t>日</w:t>
      </w:r>
      <w:r>
        <w:rPr>
          <w:rFonts w:ascii="Arial" w:hAnsi="Arial" w:cs="Arial" w:hint="eastAsia"/>
          <w:sz w:val="21"/>
          <w:szCs w:val="21"/>
        </w:rPr>
        <w:t>）的月平均市场租金水平：</w:t>
      </w:r>
    </w:p>
    <w:p w14:paraId="128ECF51" w14:textId="45061CBA" w:rsidR="00AF6F34" w:rsidRDefault="00AF6F34">
      <w:pPr>
        <w:overflowPunct w:val="0"/>
        <w:spacing w:line="480" w:lineRule="auto"/>
        <w:ind w:firstLine="420"/>
      </w:pPr>
      <w:r>
        <w:rPr>
          <w:rFonts w:ascii="Arial" w:hAnsi="Arial" w:cs="Arial" w:hint="eastAsia"/>
          <w:kern w:val="2"/>
          <w:sz w:val="21"/>
          <w:szCs w:val="21"/>
        </w:rPr>
        <w:t>南海家园</w:t>
      </w:r>
      <w:r w:rsidR="00C6391A">
        <w:rPr>
          <w:rFonts w:ascii="Arial" w:hAnsi="Arial" w:cs="Arial" w:hint="eastAsia"/>
          <w:kern w:val="2"/>
          <w:sz w:val="21"/>
          <w:szCs w:val="21"/>
        </w:rPr>
        <w:t>一居室</w:t>
      </w:r>
      <w:r>
        <w:rPr>
          <w:rFonts w:ascii="Arial" w:hAnsi="Arial" w:cs="Arial" w:hint="eastAsia"/>
          <w:color w:val="000000"/>
          <w:sz w:val="21"/>
          <w:szCs w:val="21"/>
        </w:rPr>
        <w:t>平均租金</w:t>
      </w:r>
      <w:r>
        <w:rPr>
          <w:rFonts w:ascii="Arial" w:hAnsi="Arial" w:cs="Arial"/>
          <w:color w:val="000000"/>
          <w:sz w:val="21"/>
          <w:szCs w:val="21"/>
        </w:rPr>
        <w:t>=</w:t>
      </w:r>
      <w:r w:rsidR="00EC4DBF">
        <w:rPr>
          <w:rFonts w:ascii="Arial" w:hAnsi="Arial" w:cs="Arial"/>
          <w:sz w:val="21"/>
          <w:szCs w:val="21"/>
        </w:rPr>
        <w:t>51.51</w:t>
      </w:r>
      <w:r>
        <w:rPr>
          <w:rFonts w:ascii="Arial" w:hAnsi="Arial" w:cs="Arial"/>
          <w:color w:val="000000"/>
          <w:sz w:val="21"/>
          <w:szCs w:val="21"/>
        </w:rPr>
        <w:t>+2.3+2.5</w:t>
      </w:r>
    </w:p>
    <w:p w14:paraId="0BB403E9" w14:textId="5066A819" w:rsidR="00AF6F34" w:rsidRDefault="00AF6F34">
      <w:pPr>
        <w:overflowPunct w:val="0"/>
        <w:spacing w:line="480" w:lineRule="auto"/>
        <w:ind w:firstLine="1890"/>
        <w:rPr>
          <w:rFonts w:ascii="Arial" w:hAnsi="Arial" w:cs="Arial"/>
          <w:color w:val="000000"/>
          <w:sz w:val="21"/>
          <w:szCs w:val="21"/>
        </w:rPr>
      </w:pPr>
      <w:r>
        <w:rPr>
          <w:rFonts w:ascii="Arial" w:eastAsia="Arial" w:hAnsi="Arial" w:cs="Arial"/>
          <w:color w:val="000000"/>
          <w:sz w:val="21"/>
          <w:szCs w:val="21"/>
        </w:rPr>
        <w:t xml:space="preserve"> </w:t>
      </w:r>
      <w:r>
        <w:rPr>
          <w:rFonts w:ascii="Arial" w:eastAsia="Arial" w:hAnsi="Arial" w:cs="Arial"/>
          <w:sz w:val="21"/>
          <w:szCs w:val="21"/>
        </w:rPr>
        <w:t xml:space="preserve">   </w:t>
      </w:r>
      <w:r>
        <w:rPr>
          <w:rFonts w:ascii="Arial" w:hAnsi="Arial" w:cs="Arial"/>
          <w:color w:val="000000"/>
          <w:sz w:val="21"/>
          <w:szCs w:val="21"/>
        </w:rPr>
        <w:t>=</w:t>
      </w:r>
      <w:r w:rsidR="00EC4DBF">
        <w:rPr>
          <w:rFonts w:ascii="Arial" w:hAnsi="Arial" w:cs="Arial"/>
          <w:color w:val="000000"/>
          <w:sz w:val="21"/>
          <w:szCs w:val="21"/>
        </w:rPr>
        <w:t>56.31</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p>
    <w:p w14:paraId="1406BEF0" w14:textId="408EBC0C" w:rsidR="00C6391A" w:rsidRDefault="00C6391A" w:rsidP="00C6391A">
      <w:pPr>
        <w:overflowPunct w:val="0"/>
        <w:spacing w:line="480" w:lineRule="auto"/>
        <w:ind w:firstLine="420"/>
      </w:pPr>
      <w:r>
        <w:rPr>
          <w:rFonts w:ascii="Arial" w:hAnsi="Arial" w:cs="Arial" w:hint="eastAsia"/>
          <w:kern w:val="2"/>
          <w:sz w:val="21"/>
          <w:szCs w:val="21"/>
        </w:rPr>
        <w:t>南海家园二居室</w:t>
      </w:r>
      <w:r>
        <w:rPr>
          <w:rFonts w:ascii="Arial" w:hAnsi="Arial" w:cs="Arial" w:hint="eastAsia"/>
          <w:color w:val="000000"/>
          <w:sz w:val="21"/>
          <w:szCs w:val="21"/>
        </w:rPr>
        <w:t>平均租金</w:t>
      </w:r>
      <w:r>
        <w:rPr>
          <w:rFonts w:ascii="Arial" w:hAnsi="Arial" w:cs="Arial"/>
          <w:color w:val="000000"/>
          <w:sz w:val="21"/>
          <w:szCs w:val="21"/>
        </w:rPr>
        <w:t>=</w:t>
      </w:r>
      <w:r w:rsidR="00EC4DBF">
        <w:rPr>
          <w:rFonts w:ascii="Arial" w:hAnsi="Arial" w:cs="Arial"/>
          <w:sz w:val="21"/>
          <w:szCs w:val="21"/>
        </w:rPr>
        <w:t>50.99</w:t>
      </w:r>
      <w:r>
        <w:rPr>
          <w:rFonts w:ascii="Arial" w:hAnsi="Arial" w:cs="Arial"/>
          <w:color w:val="000000"/>
          <w:sz w:val="21"/>
          <w:szCs w:val="21"/>
        </w:rPr>
        <w:t>+2.3+2.5</w:t>
      </w:r>
    </w:p>
    <w:p w14:paraId="61D7C6FD" w14:textId="519632D4" w:rsidR="00C6391A" w:rsidRDefault="00C6391A" w:rsidP="00C6391A">
      <w:pPr>
        <w:overflowPunct w:val="0"/>
        <w:spacing w:line="480" w:lineRule="auto"/>
        <w:ind w:firstLine="1890"/>
        <w:rPr>
          <w:rFonts w:ascii="Arial" w:hAnsi="Arial" w:cs="Arial"/>
          <w:color w:val="000000"/>
          <w:sz w:val="21"/>
          <w:szCs w:val="21"/>
        </w:rPr>
      </w:pPr>
      <w:r>
        <w:rPr>
          <w:rFonts w:ascii="Arial" w:eastAsia="Arial" w:hAnsi="Arial" w:cs="Arial"/>
          <w:color w:val="000000"/>
          <w:sz w:val="21"/>
          <w:szCs w:val="21"/>
        </w:rPr>
        <w:t xml:space="preserve"> </w:t>
      </w:r>
      <w:r>
        <w:rPr>
          <w:rFonts w:ascii="Arial" w:eastAsia="Arial" w:hAnsi="Arial" w:cs="Arial"/>
          <w:sz w:val="21"/>
          <w:szCs w:val="21"/>
        </w:rPr>
        <w:t xml:space="preserve">   </w:t>
      </w:r>
      <w:r>
        <w:rPr>
          <w:rFonts w:ascii="Arial" w:hAnsi="Arial" w:cs="Arial"/>
          <w:color w:val="000000"/>
          <w:sz w:val="21"/>
          <w:szCs w:val="21"/>
        </w:rPr>
        <w:t>=</w:t>
      </w:r>
      <w:r w:rsidR="00EC4DBF">
        <w:rPr>
          <w:rFonts w:ascii="Arial" w:hAnsi="Arial" w:cs="Arial"/>
          <w:color w:val="000000"/>
          <w:sz w:val="21"/>
          <w:szCs w:val="21"/>
        </w:rPr>
        <w:t>55.79</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p>
    <w:p w14:paraId="2DF9D4E4" w14:textId="3206C44D" w:rsidR="00C6391A" w:rsidRDefault="00C6391A" w:rsidP="00C6391A">
      <w:pPr>
        <w:overflowPunct w:val="0"/>
        <w:spacing w:line="480" w:lineRule="auto"/>
        <w:ind w:firstLine="420"/>
      </w:pPr>
      <w:r>
        <w:rPr>
          <w:rFonts w:ascii="Arial" w:hAnsi="Arial" w:cs="Arial" w:hint="eastAsia"/>
          <w:kern w:val="2"/>
          <w:sz w:val="21"/>
          <w:szCs w:val="21"/>
        </w:rPr>
        <w:t>南海家园三居室</w:t>
      </w:r>
      <w:r>
        <w:rPr>
          <w:rFonts w:ascii="Arial" w:hAnsi="Arial" w:cs="Arial" w:hint="eastAsia"/>
          <w:color w:val="000000"/>
          <w:sz w:val="21"/>
          <w:szCs w:val="21"/>
        </w:rPr>
        <w:t>平均租金</w:t>
      </w:r>
      <w:r>
        <w:rPr>
          <w:rFonts w:ascii="Arial" w:hAnsi="Arial" w:cs="Arial"/>
          <w:color w:val="000000"/>
          <w:sz w:val="21"/>
          <w:szCs w:val="21"/>
        </w:rPr>
        <w:t>=</w:t>
      </w:r>
      <w:r w:rsidR="00EC4DBF">
        <w:rPr>
          <w:rFonts w:ascii="Arial" w:hAnsi="Arial" w:cs="Arial"/>
          <w:sz w:val="21"/>
          <w:szCs w:val="21"/>
        </w:rPr>
        <w:t>50.48</w:t>
      </w:r>
      <w:r>
        <w:rPr>
          <w:rFonts w:ascii="Arial" w:hAnsi="Arial" w:cs="Arial"/>
          <w:color w:val="000000"/>
          <w:sz w:val="21"/>
          <w:szCs w:val="21"/>
        </w:rPr>
        <w:t>+2.3+2.5</w:t>
      </w:r>
    </w:p>
    <w:p w14:paraId="646907C4" w14:textId="451FD24D" w:rsidR="00C6391A" w:rsidRDefault="00C6391A" w:rsidP="00C6391A">
      <w:pPr>
        <w:overflowPunct w:val="0"/>
        <w:spacing w:line="480" w:lineRule="auto"/>
        <w:ind w:firstLine="1890"/>
        <w:rPr>
          <w:rFonts w:ascii="Arial" w:hAnsi="Arial" w:cs="Arial"/>
          <w:color w:val="000000"/>
          <w:sz w:val="21"/>
          <w:szCs w:val="21"/>
        </w:rPr>
      </w:pPr>
      <w:r>
        <w:rPr>
          <w:rFonts w:ascii="Arial" w:eastAsia="Arial" w:hAnsi="Arial" w:cs="Arial"/>
          <w:color w:val="000000"/>
          <w:sz w:val="21"/>
          <w:szCs w:val="21"/>
        </w:rPr>
        <w:t xml:space="preserve"> </w:t>
      </w:r>
      <w:r>
        <w:rPr>
          <w:rFonts w:ascii="Arial" w:eastAsia="Arial" w:hAnsi="Arial" w:cs="Arial"/>
          <w:sz w:val="21"/>
          <w:szCs w:val="21"/>
        </w:rPr>
        <w:t xml:space="preserve">   </w:t>
      </w:r>
      <w:r>
        <w:rPr>
          <w:rFonts w:ascii="Arial" w:hAnsi="Arial" w:cs="Arial"/>
          <w:color w:val="000000"/>
          <w:sz w:val="21"/>
          <w:szCs w:val="21"/>
        </w:rPr>
        <w:t>=</w:t>
      </w:r>
      <w:r w:rsidR="00EC4DBF">
        <w:rPr>
          <w:rFonts w:ascii="Arial" w:hAnsi="Arial" w:cs="Arial"/>
          <w:color w:val="000000"/>
          <w:sz w:val="21"/>
          <w:szCs w:val="21"/>
        </w:rPr>
        <w:t>55.28</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p>
    <w:p w14:paraId="2C5BDB59" w14:textId="77777777" w:rsidR="007C5209" w:rsidRDefault="007C5209" w:rsidP="007C5209">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5</w:t>
      </w:r>
      <w:r>
        <w:rPr>
          <w:rFonts w:ascii="Arial" w:hAnsi="Arial" w:cs="Arial" w:hint="eastAsia"/>
          <w:color w:val="000000"/>
          <w:sz w:val="21"/>
          <w:szCs w:val="21"/>
        </w:rPr>
        <w:t>）</w:t>
      </w:r>
      <w:r w:rsidRPr="00A578FA">
        <w:rPr>
          <w:rFonts w:ascii="Arial" w:hAnsi="Arial" w:cs="Arial" w:hint="eastAsia"/>
          <w:color w:val="000000"/>
          <w:sz w:val="21"/>
          <w:szCs w:val="21"/>
        </w:rPr>
        <w:t>采用建筑面积加权得出项目总价</w:t>
      </w:r>
      <w:r>
        <w:rPr>
          <w:rFonts w:ascii="Arial" w:hAnsi="Arial" w:cs="Arial" w:hint="eastAsia"/>
          <w:color w:val="000000"/>
          <w:sz w:val="21"/>
          <w:szCs w:val="21"/>
        </w:rPr>
        <w:t>并折算</w:t>
      </w:r>
      <w:r w:rsidRPr="00A578FA">
        <w:rPr>
          <w:rFonts w:ascii="Arial" w:hAnsi="Arial" w:cs="Arial" w:hint="eastAsia"/>
          <w:color w:val="000000"/>
          <w:sz w:val="21"/>
          <w:szCs w:val="21"/>
        </w:rPr>
        <w:t>单价</w:t>
      </w:r>
    </w:p>
    <w:p w14:paraId="5AFAA372" w14:textId="0671B733" w:rsidR="007C5209" w:rsidRDefault="00EA2258" w:rsidP="007C5209">
      <w:pPr>
        <w:pStyle w:val="LO-Normal"/>
        <w:overflowPunct w:val="0"/>
        <w:autoSpaceDE w:val="0"/>
        <w:spacing w:line="480" w:lineRule="auto"/>
        <w:ind w:right="140" w:firstLine="420"/>
        <w:jc w:val="both"/>
        <w:textAlignment w:val="auto"/>
        <w:rPr>
          <w:rFonts w:ascii="Arial" w:hAnsi="Arial" w:cs="Arial"/>
          <w:sz w:val="21"/>
          <w:szCs w:val="21"/>
        </w:rPr>
      </w:pPr>
      <w:r>
        <w:rPr>
          <w:rFonts w:ascii="Arial" w:hAnsi="Arial" w:cs="Arial" w:hint="eastAsia"/>
          <w:color w:val="000000"/>
          <w:sz w:val="21"/>
          <w:szCs w:val="21"/>
        </w:rPr>
        <w:t>[</w:t>
      </w:r>
      <w:r w:rsidR="007C5209">
        <w:rPr>
          <w:rFonts w:ascii="Arial" w:hAnsi="Arial" w:cs="Arial" w:hint="eastAsia"/>
          <w:color w:val="000000"/>
          <w:sz w:val="21"/>
          <w:szCs w:val="21"/>
        </w:rPr>
        <w:t>（</w:t>
      </w:r>
      <w:r w:rsidR="00EC4DBF">
        <w:rPr>
          <w:rFonts w:ascii="Arial" w:hAnsi="Arial" w:cs="Arial"/>
          <w:color w:val="000000"/>
          <w:sz w:val="21"/>
          <w:szCs w:val="21"/>
        </w:rPr>
        <w:t>56.31</w:t>
      </w:r>
      <w:r w:rsidR="007C5209">
        <w:rPr>
          <w:rFonts w:ascii="Arial" w:hAnsi="Arial" w:cs="Arial"/>
          <w:sz w:val="21"/>
          <w:szCs w:val="21"/>
        </w:rPr>
        <w:t>×32561.36</w:t>
      </w:r>
      <w:r w:rsidR="007C5209">
        <w:rPr>
          <w:rFonts w:ascii="Arial" w:hAnsi="Arial" w:cs="Arial" w:hint="eastAsia"/>
          <w:color w:val="000000"/>
          <w:sz w:val="21"/>
          <w:szCs w:val="21"/>
        </w:rPr>
        <w:t>）</w:t>
      </w:r>
      <w:r w:rsidR="007C5209">
        <w:rPr>
          <w:rFonts w:ascii="Arial" w:hAnsi="Arial" w:cs="Arial"/>
          <w:color w:val="000000"/>
          <w:sz w:val="21"/>
          <w:szCs w:val="21"/>
        </w:rPr>
        <w:t>+</w:t>
      </w:r>
      <w:r w:rsidR="007C5209">
        <w:rPr>
          <w:rFonts w:ascii="Arial" w:hAnsi="Arial" w:cs="Arial"/>
          <w:color w:val="000000"/>
          <w:sz w:val="21"/>
          <w:szCs w:val="21"/>
        </w:rPr>
        <w:t>（</w:t>
      </w:r>
      <w:r w:rsidR="00EC4DBF">
        <w:rPr>
          <w:rFonts w:ascii="Arial" w:hAnsi="Arial" w:cs="Arial"/>
          <w:color w:val="000000"/>
          <w:sz w:val="21"/>
          <w:szCs w:val="21"/>
        </w:rPr>
        <w:t>55.79</w:t>
      </w:r>
      <w:r w:rsidR="007C5209">
        <w:rPr>
          <w:rFonts w:ascii="Arial" w:hAnsi="Arial" w:cs="Arial"/>
          <w:sz w:val="21"/>
          <w:szCs w:val="21"/>
        </w:rPr>
        <w:t>×</w:t>
      </w:r>
      <w:r w:rsidR="00001A7C" w:rsidRPr="00001A7C">
        <w:rPr>
          <w:rFonts w:ascii="Arial" w:hAnsi="Arial" w:cs="Arial"/>
          <w:sz w:val="21"/>
          <w:szCs w:val="21"/>
        </w:rPr>
        <w:t>39731.9</w:t>
      </w:r>
      <w:r w:rsidR="007C5209">
        <w:rPr>
          <w:rFonts w:ascii="Arial" w:hAnsi="Arial" w:cs="Arial"/>
          <w:color w:val="000000"/>
          <w:sz w:val="21"/>
          <w:szCs w:val="21"/>
        </w:rPr>
        <w:t>）</w:t>
      </w:r>
      <w:r w:rsidR="007C5209">
        <w:rPr>
          <w:rFonts w:ascii="Arial" w:hAnsi="Arial" w:cs="Arial"/>
          <w:color w:val="000000"/>
          <w:sz w:val="21"/>
          <w:szCs w:val="21"/>
        </w:rPr>
        <w:t>+</w:t>
      </w:r>
      <w:r w:rsidR="007C5209">
        <w:rPr>
          <w:rFonts w:ascii="Arial" w:hAnsi="Arial" w:cs="Arial"/>
          <w:color w:val="000000"/>
          <w:sz w:val="21"/>
          <w:szCs w:val="21"/>
        </w:rPr>
        <w:t>（</w:t>
      </w:r>
      <w:r w:rsidR="00EC4DBF">
        <w:rPr>
          <w:rFonts w:ascii="Arial" w:hAnsi="Arial" w:cs="Arial"/>
          <w:color w:val="000000"/>
          <w:sz w:val="21"/>
          <w:szCs w:val="21"/>
        </w:rPr>
        <w:t>55.28</w:t>
      </w:r>
      <w:r w:rsidR="007C5209">
        <w:rPr>
          <w:rFonts w:ascii="Arial" w:hAnsi="Arial" w:cs="Arial"/>
          <w:sz w:val="21"/>
          <w:szCs w:val="21"/>
        </w:rPr>
        <w:t>×2228.68</w:t>
      </w:r>
      <w:r w:rsidR="007C5209">
        <w:rPr>
          <w:rFonts w:ascii="Arial" w:hAnsi="Arial" w:cs="Arial"/>
          <w:color w:val="000000"/>
          <w:sz w:val="21"/>
          <w:szCs w:val="21"/>
        </w:rPr>
        <w:t>）</w:t>
      </w:r>
      <w:r>
        <w:rPr>
          <w:rFonts w:ascii="Arial" w:hAnsi="Arial" w:cs="Arial" w:hint="eastAsia"/>
          <w:color w:val="000000"/>
          <w:sz w:val="21"/>
          <w:szCs w:val="21"/>
        </w:rPr>
        <w:t>]</w:t>
      </w:r>
      <w:r w:rsidR="007C5209">
        <w:rPr>
          <w:rFonts w:ascii="Arial" w:hAnsi="Arial" w:cs="Arial" w:hint="eastAsia"/>
          <w:sz w:val="21"/>
          <w:szCs w:val="21"/>
        </w:rPr>
        <w:t>÷</w:t>
      </w:r>
      <w:r w:rsidR="00FB51B2">
        <w:rPr>
          <w:rFonts w:ascii="Arial" w:hAnsi="Arial" w:cs="Arial" w:hint="eastAsia"/>
          <w:sz w:val="21"/>
          <w:szCs w:val="21"/>
        </w:rPr>
        <w:t>74521.94</w:t>
      </w:r>
    </w:p>
    <w:p w14:paraId="5C5D3C81" w14:textId="1ECFF885" w:rsidR="007C5209" w:rsidRPr="007C5209" w:rsidRDefault="007C5209" w:rsidP="00B07EA8">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sz w:val="21"/>
          <w:szCs w:val="21"/>
        </w:rPr>
        <w:t>=</w:t>
      </w:r>
      <w:r w:rsidR="00EC4DBF">
        <w:rPr>
          <w:rFonts w:ascii="Arial" w:hAnsi="Arial" w:cs="Arial"/>
          <w:sz w:val="21"/>
          <w:szCs w:val="21"/>
        </w:rPr>
        <w:t>56.00</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p>
    <w:p w14:paraId="7FE716DF" w14:textId="77777777" w:rsidR="00AF6F34" w:rsidRDefault="00AF6F34">
      <w:pPr>
        <w:overflowPunct w:val="0"/>
        <w:spacing w:line="480" w:lineRule="auto"/>
        <w:ind w:firstLine="422"/>
        <w:rPr>
          <w:rFonts w:ascii="Arial" w:hAnsi="Arial" w:cs="Arial"/>
          <w:b/>
          <w:kern w:val="2"/>
          <w:sz w:val="21"/>
          <w:szCs w:val="21"/>
        </w:rPr>
      </w:pPr>
    </w:p>
    <w:p w14:paraId="5F656C6F" w14:textId="77777777" w:rsidR="00AF6F34" w:rsidRDefault="00AF6F34">
      <w:pPr>
        <w:pStyle w:val="2"/>
        <w:numPr>
          <w:ilvl w:val="0"/>
          <w:numId w:val="0"/>
        </w:numPr>
        <w:spacing w:line="480" w:lineRule="auto"/>
        <w:ind w:left="358" w:hanging="358"/>
        <w:jc w:val="both"/>
      </w:pPr>
      <w:bookmarkStart w:id="41" w:name="_Toc161661027"/>
      <w:r>
        <w:rPr>
          <w:rFonts w:eastAsia="宋体"/>
          <w:kern w:val="2"/>
          <w:sz w:val="21"/>
          <w:szCs w:val="21"/>
        </w:rPr>
        <w:t>六、估价结果确定</w:t>
      </w:r>
      <w:bookmarkEnd w:id="41"/>
    </w:p>
    <w:p w14:paraId="50FDCF3E" w14:textId="1FE1C2C3" w:rsidR="00AF6F34" w:rsidRDefault="00AF6F34">
      <w:pPr>
        <w:overflowPunct w:val="0"/>
        <w:spacing w:line="480" w:lineRule="auto"/>
        <w:ind w:firstLine="420"/>
        <w:jc w:val="both"/>
        <w:textAlignment w:val="auto"/>
      </w:pPr>
      <w:r>
        <w:rPr>
          <w:rFonts w:ascii="Arial" w:hAnsi="Arial" w:cs="Arial"/>
          <w:sz w:val="21"/>
          <w:szCs w:val="21"/>
        </w:rPr>
        <w:t>评估专业人员根据估价的目的，</w:t>
      </w:r>
      <w:r>
        <w:rPr>
          <w:rFonts w:ascii="Arial" w:hAnsi="Arial" w:cs="Arial" w:hint="eastAsia"/>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ascii="Arial" w:hAnsi="Arial" w:cs="Arial" w:hint="eastAsia"/>
          <w:sz w:val="21"/>
          <w:szCs w:val="21"/>
        </w:rPr>
        <w:t>租赁</w:t>
      </w:r>
      <w:r>
        <w:rPr>
          <w:rFonts w:ascii="Arial" w:hAnsi="Arial" w:cs="Arial"/>
          <w:sz w:val="21"/>
          <w:szCs w:val="21"/>
        </w:rPr>
        <w:t>价格的因素，</w:t>
      </w:r>
      <w:r>
        <w:rPr>
          <w:rFonts w:ascii="Arial" w:hAnsi="Arial" w:cs="Arial" w:hint="eastAsia"/>
          <w:sz w:val="21"/>
          <w:szCs w:val="21"/>
        </w:rPr>
        <w:t>最终</w:t>
      </w:r>
      <w:r>
        <w:rPr>
          <w:rFonts w:ascii="Arial" w:hAnsi="Arial" w:cs="Arial"/>
          <w:sz w:val="21"/>
          <w:szCs w:val="21"/>
        </w:rPr>
        <w:t>确定估价对象</w:t>
      </w:r>
      <w:r>
        <w:rPr>
          <w:rFonts w:ascii="Arial" w:hAnsi="Arial" w:cs="Arial" w:hint="eastAsia"/>
          <w:sz w:val="21"/>
          <w:szCs w:val="21"/>
        </w:rPr>
        <w:t>同地块、同类型普通住宅房地产于价值时点</w:t>
      </w:r>
      <w:r w:rsidR="00094507">
        <w:rPr>
          <w:rFonts w:ascii="Arial" w:hAnsi="Arial" w:cs="Arial" w:hint="eastAsia"/>
          <w:sz w:val="21"/>
          <w:szCs w:val="21"/>
        </w:rPr>
        <w:t>2025</w:t>
      </w:r>
      <w:r w:rsidR="00094507">
        <w:rPr>
          <w:rFonts w:ascii="Arial" w:hAnsi="Arial" w:cs="Arial" w:hint="eastAsia"/>
          <w:sz w:val="21"/>
          <w:szCs w:val="21"/>
        </w:rPr>
        <w:t>年</w:t>
      </w:r>
      <w:r w:rsidR="00094507">
        <w:rPr>
          <w:rFonts w:ascii="Arial" w:hAnsi="Arial" w:cs="Arial" w:hint="eastAsia"/>
          <w:sz w:val="21"/>
          <w:szCs w:val="21"/>
        </w:rPr>
        <w:t>11</w:t>
      </w:r>
      <w:r w:rsidR="00094507">
        <w:rPr>
          <w:rFonts w:ascii="Arial" w:hAnsi="Arial" w:cs="Arial" w:hint="eastAsia"/>
          <w:sz w:val="21"/>
          <w:szCs w:val="21"/>
        </w:rPr>
        <w:t>月</w:t>
      </w:r>
      <w:r w:rsidR="00094507">
        <w:rPr>
          <w:rFonts w:ascii="Arial" w:hAnsi="Arial" w:cs="Arial" w:hint="eastAsia"/>
          <w:sz w:val="21"/>
          <w:szCs w:val="21"/>
        </w:rPr>
        <w:t>1</w:t>
      </w:r>
      <w:r w:rsidR="00094507">
        <w:rPr>
          <w:rFonts w:ascii="Arial" w:hAnsi="Arial" w:cs="Arial" w:hint="eastAsia"/>
          <w:sz w:val="21"/>
          <w:szCs w:val="21"/>
        </w:rPr>
        <w:t>日</w:t>
      </w:r>
      <w:r>
        <w:rPr>
          <w:rFonts w:ascii="Arial" w:hAnsi="Arial" w:cs="Arial" w:hint="eastAsia"/>
          <w:sz w:val="21"/>
          <w:szCs w:val="21"/>
        </w:rPr>
        <w:t>前一年内（</w:t>
      </w:r>
      <w:r w:rsidR="00D517EB">
        <w:rPr>
          <w:rFonts w:ascii="Arial" w:hAnsi="Arial" w:cs="Arial" w:hint="eastAsia"/>
          <w:sz w:val="21"/>
          <w:szCs w:val="21"/>
        </w:rPr>
        <w:t>2024</w:t>
      </w:r>
      <w:r w:rsidR="00D517EB">
        <w:rPr>
          <w:rFonts w:ascii="Arial" w:hAnsi="Arial" w:cs="Arial" w:hint="eastAsia"/>
          <w:sz w:val="21"/>
          <w:szCs w:val="21"/>
        </w:rPr>
        <w:t>年</w:t>
      </w:r>
      <w:r w:rsidR="00D517EB">
        <w:rPr>
          <w:rFonts w:ascii="Arial" w:hAnsi="Arial" w:cs="Arial" w:hint="eastAsia"/>
          <w:sz w:val="21"/>
          <w:szCs w:val="21"/>
        </w:rPr>
        <w:t>11</w:t>
      </w:r>
      <w:r w:rsidR="00D517EB">
        <w:rPr>
          <w:rFonts w:ascii="Arial" w:hAnsi="Arial" w:cs="Arial" w:hint="eastAsia"/>
          <w:sz w:val="21"/>
          <w:szCs w:val="21"/>
        </w:rPr>
        <w:t>月</w:t>
      </w:r>
      <w:r w:rsidR="00D517EB">
        <w:rPr>
          <w:rFonts w:ascii="Arial" w:hAnsi="Arial" w:cs="Arial" w:hint="eastAsia"/>
          <w:sz w:val="21"/>
          <w:szCs w:val="21"/>
        </w:rPr>
        <w:t>1</w:t>
      </w:r>
      <w:r w:rsidR="00D517EB">
        <w:rPr>
          <w:rFonts w:ascii="Arial" w:hAnsi="Arial" w:cs="Arial" w:hint="eastAsia"/>
          <w:sz w:val="21"/>
          <w:szCs w:val="21"/>
        </w:rPr>
        <w:t>日至</w:t>
      </w:r>
      <w:r w:rsidR="00D517EB">
        <w:rPr>
          <w:rFonts w:ascii="Arial" w:hAnsi="Arial" w:cs="Arial" w:hint="eastAsia"/>
          <w:sz w:val="21"/>
          <w:szCs w:val="21"/>
        </w:rPr>
        <w:t>2025</w:t>
      </w:r>
      <w:r w:rsidR="00D517EB">
        <w:rPr>
          <w:rFonts w:ascii="Arial" w:hAnsi="Arial" w:cs="Arial" w:hint="eastAsia"/>
          <w:sz w:val="21"/>
          <w:szCs w:val="21"/>
        </w:rPr>
        <w:t>年</w:t>
      </w:r>
      <w:r w:rsidR="00D517EB">
        <w:rPr>
          <w:rFonts w:ascii="Arial" w:hAnsi="Arial" w:cs="Arial" w:hint="eastAsia"/>
          <w:sz w:val="21"/>
          <w:szCs w:val="21"/>
        </w:rPr>
        <w:t>10</w:t>
      </w:r>
      <w:r w:rsidR="00D517EB">
        <w:rPr>
          <w:rFonts w:ascii="Arial" w:hAnsi="Arial" w:cs="Arial" w:hint="eastAsia"/>
          <w:sz w:val="21"/>
          <w:szCs w:val="21"/>
        </w:rPr>
        <w:t>月</w:t>
      </w:r>
      <w:r w:rsidR="00D517EB">
        <w:rPr>
          <w:rFonts w:ascii="Arial" w:hAnsi="Arial" w:cs="Arial" w:hint="eastAsia"/>
          <w:sz w:val="21"/>
          <w:szCs w:val="21"/>
        </w:rPr>
        <w:t>31</w:t>
      </w:r>
      <w:r w:rsidR="00D517EB">
        <w:rPr>
          <w:rFonts w:ascii="Arial" w:hAnsi="Arial" w:cs="Arial" w:hint="eastAsia"/>
          <w:sz w:val="21"/>
          <w:szCs w:val="21"/>
        </w:rPr>
        <w:t>日</w:t>
      </w:r>
      <w:r>
        <w:rPr>
          <w:rFonts w:ascii="Arial" w:hAnsi="Arial" w:cs="Arial" w:hint="eastAsia"/>
          <w:sz w:val="21"/>
          <w:szCs w:val="21"/>
        </w:rPr>
        <w:t>）平均市场租金水平为：</w:t>
      </w:r>
      <w:r>
        <w:rPr>
          <w:rFonts w:ascii="Arial" w:eastAsia="Arial" w:hAnsi="Arial" w:cs="Arial" w:hint="eastAsia"/>
          <w:sz w:val="21"/>
          <w:szCs w:val="21"/>
        </w:rPr>
        <w:t xml:space="preserve"> </w:t>
      </w:r>
      <w:bookmarkStart w:id="42" w:name="_GoBack"/>
      <w:bookmarkEnd w:id="42"/>
    </w:p>
    <w:p w14:paraId="34044D19" w14:textId="156F42D4" w:rsidR="002815CC" w:rsidRDefault="002815CC" w:rsidP="002815CC">
      <w:pPr>
        <w:overflowPunct w:val="0"/>
        <w:spacing w:line="480" w:lineRule="auto"/>
        <w:ind w:firstLine="422"/>
        <w:textAlignment w:val="auto"/>
        <w:rPr>
          <w:rFonts w:ascii="Arial" w:hAnsi="Arial" w:cs="Arial"/>
          <w:b/>
          <w:bCs/>
          <w:sz w:val="21"/>
          <w:szCs w:val="21"/>
        </w:rPr>
      </w:pPr>
      <w:r>
        <w:rPr>
          <w:rFonts w:ascii="Arial" w:hAnsi="Arial" w:cs="Arial" w:hint="eastAsia"/>
          <w:b/>
          <w:bCs/>
          <w:sz w:val="21"/>
          <w:szCs w:val="21"/>
        </w:rPr>
        <w:lastRenderedPageBreak/>
        <w:t>南海家园：</w:t>
      </w:r>
      <w:r w:rsidR="00EC4DBF">
        <w:rPr>
          <w:rFonts w:ascii="Arial" w:hAnsi="Arial" w:cs="Arial"/>
          <w:b/>
          <w:bCs/>
          <w:sz w:val="21"/>
          <w:szCs w:val="21"/>
        </w:rPr>
        <w:t>56.00</w:t>
      </w:r>
      <w:r w:rsidR="00130960">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r>
        <w:rPr>
          <w:rFonts w:ascii="Arial" w:hAnsi="Arial" w:cs="Arial"/>
          <w:b/>
          <w:bCs/>
          <w:sz w:val="21"/>
          <w:szCs w:val="21"/>
        </w:rPr>
        <w:t>·</w:t>
      </w:r>
      <w:r>
        <w:rPr>
          <w:rFonts w:ascii="Arial" w:hAnsi="Arial" w:cs="Arial"/>
          <w:b/>
          <w:bCs/>
          <w:sz w:val="21"/>
          <w:szCs w:val="21"/>
        </w:rPr>
        <w:t>月</w:t>
      </w:r>
      <w:r>
        <w:rPr>
          <w:rFonts w:ascii="Arial" w:hAnsi="Arial" w:cs="Arial" w:hint="eastAsia"/>
          <w:b/>
          <w:bCs/>
          <w:sz w:val="21"/>
          <w:szCs w:val="21"/>
        </w:rPr>
        <w:t>（货币种类：人民币）</w:t>
      </w:r>
    </w:p>
    <w:p w14:paraId="240E8E2D" w14:textId="77777777" w:rsidR="00AF6F34" w:rsidRDefault="00AF6F34">
      <w:pPr>
        <w:overflowPunct w:val="0"/>
        <w:spacing w:line="480" w:lineRule="auto"/>
        <w:ind w:firstLine="360"/>
        <w:jc w:val="both"/>
        <w:textAlignment w:val="auto"/>
      </w:pPr>
      <w:r>
        <w:rPr>
          <w:rFonts w:ascii="Arial" w:hAnsi="Arial" w:cs="Arial"/>
          <w:sz w:val="18"/>
          <w:szCs w:val="18"/>
        </w:rPr>
        <w:t>注：</w:t>
      </w:r>
      <w:r>
        <w:rPr>
          <w:rFonts w:ascii="Arial" w:hAnsi="Arial" w:cs="Arial"/>
          <w:sz w:val="18"/>
          <w:szCs w:val="18"/>
        </w:rPr>
        <w:t>1</w:t>
      </w:r>
      <w:r>
        <w:rPr>
          <w:rFonts w:ascii="Arial" w:hAnsi="Arial" w:cs="Arial"/>
          <w:sz w:val="18"/>
          <w:szCs w:val="18"/>
        </w:rPr>
        <w:t>、</w:t>
      </w:r>
      <w:r>
        <w:rPr>
          <w:rFonts w:ascii="Arial" w:hAnsi="Arial" w:cs="Arial" w:hint="eastAsia"/>
          <w:sz w:val="18"/>
          <w:szCs w:val="18"/>
        </w:rPr>
        <w:t>评估的详细结果、过程及有关说明，详见《估价结果报告》、《估价技术报告》。</w:t>
      </w:r>
    </w:p>
    <w:p w14:paraId="5D7122DF" w14:textId="77777777" w:rsidR="00AF6F34" w:rsidRDefault="00AF6F34">
      <w:pPr>
        <w:overflowPunct w:val="0"/>
        <w:spacing w:line="480" w:lineRule="auto"/>
        <w:ind w:left="360"/>
        <w:jc w:val="both"/>
        <w:textAlignment w:val="auto"/>
      </w:pPr>
      <w:r>
        <w:rPr>
          <w:rFonts w:ascii="Arial" w:eastAsia="Arial" w:hAnsi="Arial" w:cs="Arial"/>
          <w:sz w:val="18"/>
          <w:szCs w:val="18"/>
        </w:rPr>
        <w:t xml:space="preserve">    </w:t>
      </w:r>
      <w:r>
        <w:rPr>
          <w:rFonts w:ascii="Arial" w:hAnsi="Arial" w:cs="Arial"/>
          <w:sz w:val="18"/>
          <w:szCs w:val="18"/>
        </w:rPr>
        <w:t>2</w:t>
      </w:r>
      <w:r>
        <w:rPr>
          <w:rFonts w:ascii="Arial" w:hAnsi="Arial" w:cs="Arial"/>
          <w:sz w:val="18"/>
          <w:szCs w:val="18"/>
        </w:rPr>
        <w:t>、</w:t>
      </w:r>
      <w:r>
        <w:rPr>
          <w:rFonts w:ascii="Arial" w:hAnsi="Arial" w:cs="Arial" w:hint="eastAsia"/>
          <w:sz w:val="18"/>
          <w:szCs w:val="18"/>
        </w:rPr>
        <w:t>估价结果为项目同地段、同类型普通住宅前</w:t>
      </w:r>
      <w:r>
        <w:rPr>
          <w:rFonts w:ascii="Arial" w:hAnsi="Arial" w:cs="Arial" w:hint="eastAsia"/>
          <w:sz w:val="18"/>
          <w:szCs w:val="18"/>
        </w:rPr>
        <w:t>12</w:t>
      </w:r>
      <w:r>
        <w:rPr>
          <w:rFonts w:ascii="Arial" w:hAnsi="Arial" w:cs="Arial" w:hint="eastAsia"/>
          <w:sz w:val="18"/>
          <w:szCs w:val="18"/>
        </w:rPr>
        <w:t>个月的市场平均月租金价格。</w:t>
      </w:r>
    </w:p>
    <w:p w14:paraId="5853ACA3" w14:textId="77777777" w:rsidR="00AF6F34" w:rsidRDefault="00AF6F34">
      <w:pPr>
        <w:overflowPunct w:val="0"/>
        <w:spacing w:line="480" w:lineRule="auto"/>
        <w:ind w:left="720" w:hanging="360"/>
        <w:jc w:val="both"/>
        <w:textAlignment w:val="auto"/>
      </w:pPr>
      <w:r>
        <w:rPr>
          <w:rFonts w:ascii="Arial" w:eastAsia="Arial" w:hAnsi="Arial" w:cs="Arial"/>
          <w:sz w:val="18"/>
          <w:szCs w:val="18"/>
        </w:rPr>
        <w:t xml:space="preserve">    </w:t>
      </w:r>
      <w:r w:rsidR="0098638C">
        <w:rPr>
          <w:rFonts w:ascii="Arial" w:hAnsi="Arial" w:cs="Arial"/>
          <w:sz w:val="18"/>
          <w:szCs w:val="18"/>
        </w:rPr>
        <w:t>3</w:t>
      </w:r>
      <w:r>
        <w:rPr>
          <w:rFonts w:ascii="Arial" w:hAnsi="Arial" w:cs="Arial"/>
          <w:sz w:val="18"/>
          <w:szCs w:val="18"/>
        </w:rPr>
        <w:t>、估价结果</w:t>
      </w:r>
      <w:r>
        <w:rPr>
          <w:rFonts w:ascii="Arial" w:hAnsi="Arial" w:cs="Arial" w:hint="eastAsia"/>
          <w:sz w:val="18"/>
          <w:szCs w:val="18"/>
        </w:rPr>
        <w:t>包括地租、房屋折旧、设备折旧、维修费、保险费、物业费、供暖费、管理费、利息、利润、家具、家电租赁费及租赁税费等；不含水电费、天然气费、通信费、有线电视费、上网宽带费等。</w:t>
      </w:r>
    </w:p>
    <w:p w14:paraId="1D12CB13" w14:textId="77777777" w:rsidR="00AF6F34" w:rsidRDefault="00AF6F34">
      <w:pPr>
        <w:overflowPunct w:val="0"/>
        <w:spacing w:line="480" w:lineRule="auto"/>
        <w:ind w:left="720" w:hanging="360"/>
        <w:jc w:val="both"/>
        <w:textAlignment w:val="auto"/>
        <w:rPr>
          <w:rFonts w:ascii="Arial" w:hAnsi="Arial" w:cs="Arial"/>
          <w:sz w:val="18"/>
          <w:szCs w:val="18"/>
        </w:rPr>
      </w:pPr>
    </w:p>
    <w:p w14:paraId="750553EB" w14:textId="77777777" w:rsidR="00AF6F34" w:rsidRDefault="00AF6F34">
      <w:pPr>
        <w:spacing w:line="240" w:lineRule="auto"/>
        <w:jc w:val="center"/>
        <w:rPr>
          <w:rFonts w:ascii="Arial" w:hAnsi="Arial" w:cs="Arial"/>
          <w:b/>
          <w:sz w:val="21"/>
          <w:szCs w:val="21"/>
        </w:rPr>
      </w:pPr>
    </w:p>
    <w:p w14:paraId="68714B2A" w14:textId="77777777" w:rsidR="00AF6F34" w:rsidRDefault="00AF6F34">
      <w:pPr>
        <w:sectPr w:rsidR="00AF6F34" w:rsidSect="00B943B0">
          <w:headerReference w:type="even" r:id="rId69"/>
          <w:headerReference w:type="default" r:id="rId70"/>
          <w:footerReference w:type="even" r:id="rId71"/>
          <w:footerReference w:type="default" r:id="rId72"/>
          <w:headerReference w:type="first" r:id="rId73"/>
          <w:footerReference w:type="first" r:id="rId74"/>
          <w:pgSz w:w="11906" w:h="16838"/>
          <w:pgMar w:top="1843" w:right="1134" w:bottom="1134" w:left="1474" w:header="1134" w:footer="907" w:gutter="0"/>
          <w:cols w:space="720"/>
          <w:docGrid w:linePitch="326"/>
        </w:sectPr>
      </w:pPr>
    </w:p>
    <w:p w14:paraId="5D5D8091" w14:textId="77777777" w:rsidR="00AF6F34" w:rsidRDefault="00AF6F34">
      <w:pPr>
        <w:pStyle w:val="1"/>
        <w:spacing w:line="480" w:lineRule="auto"/>
        <w:jc w:val="center"/>
      </w:pPr>
      <w:bookmarkStart w:id="43" w:name="_Toc161661028"/>
      <w:r>
        <w:rPr>
          <w:rFonts w:eastAsia="方正黑体简体" w:hint="eastAsia"/>
          <w:b w:val="0"/>
          <w:kern w:val="2"/>
          <w:sz w:val="32"/>
          <w:szCs w:val="32"/>
        </w:rPr>
        <w:lastRenderedPageBreak/>
        <w:t>附</w:t>
      </w:r>
      <w:r>
        <w:rPr>
          <w:rFonts w:eastAsia="Arial" w:hint="eastAsia"/>
          <w:b w:val="0"/>
          <w:kern w:val="2"/>
          <w:sz w:val="32"/>
          <w:szCs w:val="32"/>
        </w:rPr>
        <w:t xml:space="preserve">   </w:t>
      </w:r>
      <w:r>
        <w:rPr>
          <w:rFonts w:eastAsia="方正黑体简体" w:hint="eastAsia"/>
          <w:b w:val="0"/>
          <w:kern w:val="2"/>
          <w:sz w:val="32"/>
          <w:szCs w:val="32"/>
        </w:rPr>
        <w:t>件</w:t>
      </w:r>
      <w:bookmarkEnd w:id="43"/>
    </w:p>
    <w:p w14:paraId="671A339C" w14:textId="77777777" w:rsidR="00AF6F34" w:rsidRDefault="00AF6F34">
      <w:pPr>
        <w:numPr>
          <w:ilvl w:val="0"/>
          <w:numId w:val="3"/>
        </w:numPr>
        <w:spacing w:line="360" w:lineRule="auto"/>
        <w:jc w:val="both"/>
      </w:pPr>
      <w:r>
        <w:rPr>
          <w:rFonts w:ascii="Arial" w:hAnsi="Arial" w:cs="Arial" w:hint="eastAsia"/>
          <w:sz w:val="21"/>
          <w:szCs w:val="21"/>
        </w:rPr>
        <w:t>《估价委托书》复印件</w:t>
      </w:r>
    </w:p>
    <w:p w14:paraId="733AC7F4" w14:textId="77777777" w:rsidR="00AF6F34" w:rsidRDefault="00AF6F34">
      <w:pPr>
        <w:numPr>
          <w:ilvl w:val="0"/>
          <w:numId w:val="3"/>
        </w:numPr>
        <w:spacing w:line="360" w:lineRule="auto"/>
        <w:jc w:val="both"/>
      </w:pPr>
      <w:r>
        <w:rPr>
          <w:rFonts w:ascii="Arial" w:hAnsi="Arial" w:cs="Arial"/>
          <w:sz w:val="21"/>
          <w:szCs w:val="21"/>
        </w:rPr>
        <w:t>估价对象所在位置示意图</w:t>
      </w:r>
    </w:p>
    <w:p w14:paraId="3115C524" w14:textId="77777777" w:rsidR="00AF6F34" w:rsidRDefault="00AF6F34">
      <w:pPr>
        <w:numPr>
          <w:ilvl w:val="0"/>
          <w:numId w:val="3"/>
        </w:numPr>
        <w:spacing w:line="360" w:lineRule="auto"/>
        <w:jc w:val="both"/>
      </w:pPr>
      <w:r>
        <w:rPr>
          <w:rFonts w:ascii="Arial" w:hAnsi="Arial" w:cs="Arial"/>
          <w:sz w:val="21"/>
          <w:szCs w:val="21"/>
        </w:rPr>
        <w:t>估价对象</w:t>
      </w:r>
      <w:r>
        <w:rPr>
          <w:rFonts w:ascii="Arial" w:hAnsi="Arial" w:cs="Arial" w:hint="eastAsia"/>
          <w:sz w:val="21"/>
          <w:szCs w:val="21"/>
        </w:rPr>
        <w:t>现状</w:t>
      </w:r>
      <w:r>
        <w:rPr>
          <w:rFonts w:ascii="Arial" w:hAnsi="Arial" w:cs="Arial"/>
          <w:sz w:val="21"/>
          <w:szCs w:val="21"/>
        </w:rPr>
        <w:t>照片</w:t>
      </w:r>
    </w:p>
    <w:p w14:paraId="2B38C654" w14:textId="77777777" w:rsidR="00AF6F34" w:rsidRDefault="00B01A7B">
      <w:pPr>
        <w:numPr>
          <w:ilvl w:val="0"/>
          <w:numId w:val="3"/>
        </w:numPr>
        <w:spacing w:line="360" w:lineRule="auto"/>
        <w:jc w:val="both"/>
      </w:pPr>
      <w:r>
        <w:rPr>
          <w:rFonts w:ascii="Arial" w:hAnsi="Arial" w:cs="Arial" w:hint="eastAsia"/>
          <w:sz w:val="21"/>
          <w:szCs w:val="21"/>
        </w:rPr>
        <w:t>《房屋所有权证》</w:t>
      </w:r>
      <w:r>
        <w:rPr>
          <w:rFonts w:ascii="Arial" w:hAnsi="Arial" w:cs="Arial" w:hint="eastAsia"/>
          <w:sz w:val="21"/>
          <w:szCs w:val="21"/>
        </w:rPr>
        <w:t>[X</w:t>
      </w:r>
      <w:r>
        <w:rPr>
          <w:rFonts w:ascii="Arial" w:hAnsi="Arial" w:cs="Arial" w:hint="eastAsia"/>
          <w:sz w:val="21"/>
          <w:szCs w:val="21"/>
        </w:rPr>
        <w:t>京房权证开字第</w:t>
      </w:r>
      <w:r>
        <w:rPr>
          <w:rFonts w:ascii="Arial" w:hAnsi="Arial" w:cs="Arial" w:hint="eastAsia"/>
          <w:sz w:val="21"/>
          <w:szCs w:val="21"/>
        </w:rPr>
        <w:t>034346</w:t>
      </w:r>
      <w:r>
        <w:rPr>
          <w:rFonts w:ascii="Arial" w:hAnsi="Arial" w:cs="Arial" w:hint="eastAsia"/>
          <w:sz w:val="21"/>
          <w:szCs w:val="21"/>
        </w:rPr>
        <w:t>、</w:t>
      </w:r>
      <w:r>
        <w:rPr>
          <w:rFonts w:ascii="Arial" w:hAnsi="Arial" w:cs="Arial" w:hint="eastAsia"/>
          <w:sz w:val="21"/>
          <w:szCs w:val="21"/>
        </w:rPr>
        <w:t>034198</w:t>
      </w:r>
      <w:r>
        <w:rPr>
          <w:rFonts w:ascii="Arial" w:hAnsi="Arial" w:cs="Arial" w:hint="eastAsia"/>
          <w:sz w:val="21"/>
          <w:szCs w:val="21"/>
        </w:rPr>
        <w:t>、</w:t>
      </w:r>
      <w:r>
        <w:rPr>
          <w:rFonts w:ascii="Arial" w:hAnsi="Arial" w:cs="Arial" w:hint="eastAsia"/>
          <w:sz w:val="21"/>
          <w:szCs w:val="21"/>
        </w:rPr>
        <w:t>034354</w:t>
      </w:r>
      <w:r>
        <w:rPr>
          <w:rFonts w:ascii="Arial" w:hAnsi="Arial" w:cs="Arial" w:hint="eastAsia"/>
          <w:sz w:val="21"/>
          <w:szCs w:val="21"/>
        </w:rPr>
        <w:t>、</w:t>
      </w:r>
      <w:r>
        <w:rPr>
          <w:rFonts w:ascii="Arial" w:hAnsi="Arial" w:cs="Arial" w:hint="eastAsia"/>
          <w:sz w:val="21"/>
          <w:szCs w:val="21"/>
        </w:rPr>
        <w:t>034348</w:t>
      </w:r>
      <w:r>
        <w:rPr>
          <w:rFonts w:ascii="Arial" w:hAnsi="Arial" w:cs="Arial" w:hint="eastAsia"/>
          <w:sz w:val="21"/>
          <w:szCs w:val="21"/>
        </w:rPr>
        <w:t>、</w:t>
      </w:r>
      <w:r>
        <w:rPr>
          <w:rFonts w:ascii="Arial" w:hAnsi="Arial" w:cs="Arial" w:hint="eastAsia"/>
          <w:sz w:val="21"/>
          <w:szCs w:val="21"/>
        </w:rPr>
        <w:t>034199</w:t>
      </w:r>
      <w:r>
        <w:rPr>
          <w:rFonts w:ascii="Arial" w:hAnsi="Arial" w:cs="Arial" w:hint="eastAsia"/>
          <w:sz w:val="21"/>
          <w:szCs w:val="21"/>
        </w:rPr>
        <w:t>、</w:t>
      </w:r>
      <w:r>
        <w:rPr>
          <w:rFonts w:ascii="Arial" w:hAnsi="Arial" w:cs="Arial" w:hint="eastAsia"/>
          <w:sz w:val="21"/>
          <w:szCs w:val="21"/>
        </w:rPr>
        <w:t>034680</w:t>
      </w:r>
      <w:r>
        <w:rPr>
          <w:rFonts w:ascii="Arial" w:hAnsi="Arial" w:cs="Arial" w:hint="eastAsia"/>
          <w:sz w:val="21"/>
          <w:szCs w:val="21"/>
        </w:rPr>
        <w:t>、</w:t>
      </w:r>
      <w:r>
        <w:rPr>
          <w:rFonts w:ascii="Arial" w:hAnsi="Arial" w:cs="Arial" w:hint="eastAsia"/>
          <w:sz w:val="21"/>
          <w:szCs w:val="21"/>
        </w:rPr>
        <w:t>034671</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62DFCC75" w14:textId="77777777" w:rsidR="009243C4" w:rsidRPr="007E31FC" w:rsidRDefault="009243C4" w:rsidP="009243C4">
      <w:pPr>
        <w:numPr>
          <w:ilvl w:val="0"/>
          <w:numId w:val="3"/>
        </w:numPr>
        <w:spacing w:line="360" w:lineRule="auto"/>
        <w:jc w:val="both"/>
      </w:pPr>
      <w:r>
        <w:rPr>
          <w:rFonts w:ascii="Arial" w:hAnsi="Arial" w:cs="Arial" w:hint="eastAsia"/>
          <w:kern w:val="2"/>
          <w:sz w:val="21"/>
          <w:szCs w:val="21"/>
        </w:rPr>
        <w:t>《南海家园房源表》</w:t>
      </w:r>
      <w:r>
        <w:rPr>
          <w:rFonts w:ascii="Arial" w:hAnsi="Arial" w:cs="Arial"/>
          <w:sz w:val="21"/>
          <w:szCs w:val="21"/>
        </w:rPr>
        <w:t>复印件</w:t>
      </w:r>
    </w:p>
    <w:p w14:paraId="3EB38D07" w14:textId="77777777" w:rsidR="009243C4" w:rsidRPr="007E31FC" w:rsidRDefault="009243C4" w:rsidP="009243C4">
      <w:pPr>
        <w:numPr>
          <w:ilvl w:val="0"/>
          <w:numId w:val="3"/>
        </w:numPr>
        <w:spacing w:line="360" w:lineRule="auto"/>
        <w:jc w:val="both"/>
        <w:rPr>
          <w:rFonts w:ascii="Arial" w:hAnsi="Arial" w:cs="Arial"/>
          <w:sz w:val="21"/>
          <w:szCs w:val="21"/>
        </w:rPr>
      </w:pPr>
      <w:r>
        <w:rPr>
          <w:rFonts w:ascii="Arial" w:hAnsi="Arial" w:cs="Arial"/>
          <w:sz w:val="21"/>
          <w:szCs w:val="21"/>
        </w:rPr>
        <w:t>《</w:t>
      </w:r>
      <w:r w:rsidRPr="007E31FC">
        <w:rPr>
          <w:rFonts w:ascii="Arial" w:hAnsi="Arial" w:cs="Arial" w:hint="eastAsia"/>
          <w:sz w:val="21"/>
          <w:szCs w:val="21"/>
        </w:rPr>
        <w:t>南海家园项目房屋附属家具、电器及其他设备设施状况</w:t>
      </w:r>
      <w:r w:rsidRPr="007E31FC">
        <w:rPr>
          <w:rFonts w:ascii="Arial" w:hAnsi="Arial" w:cs="Arial"/>
          <w:sz w:val="21"/>
          <w:szCs w:val="21"/>
        </w:rPr>
        <w:t>》</w:t>
      </w:r>
      <w:r>
        <w:rPr>
          <w:rFonts w:ascii="Arial" w:hAnsi="Arial" w:cs="Arial"/>
          <w:sz w:val="21"/>
          <w:szCs w:val="21"/>
        </w:rPr>
        <w:t>复印件</w:t>
      </w:r>
    </w:p>
    <w:p w14:paraId="4B105961" w14:textId="77777777" w:rsidR="007E31FC" w:rsidRDefault="007E31FC" w:rsidP="007E31FC">
      <w:pPr>
        <w:numPr>
          <w:ilvl w:val="0"/>
          <w:numId w:val="3"/>
        </w:numPr>
        <w:spacing w:line="360" w:lineRule="auto"/>
        <w:jc w:val="both"/>
      </w:pPr>
      <w:r>
        <w:rPr>
          <w:rFonts w:ascii="Arial" w:hAnsi="Arial" w:cs="Arial" w:hint="eastAsia"/>
          <w:sz w:val="21"/>
          <w:szCs w:val="21"/>
        </w:rPr>
        <w:t>估价委托人《营业执照（副本）》复印件</w:t>
      </w:r>
    </w:p>
    <w:p w14:paraId="6FD1EB52" w14:textId="77777777" w:rsidR="00AF6F34" w:rsidRDefault="00AF6F34">
      <w:pPr>
        <w:numPr>
          <w:ilvl w:val="0"/>
          <w:numId w:val="3"/>
        </w:numPr>
        <w:spacing w:line="360" w:lineRule="auto"/>
        <w:jc w:val="both"/>
      </w:pPr>
      <w:r>
        <w:rPr>
          <w:rFonts w:ascii="Arial" w:hAnsi="Arial" w:cs="Arial"/>
          <w:color w:val="000000"/>
          <w:sz w:val="21"/>
          <w:szCs w:val="21"/>
        </w:rPr>
        <w:t>房地产估价机构《营业执照（副本）》</w:t>
      </w:r>
      <w:r>
        <w:rPr>
          <w:rFonts w:ascii="Arial" w:hAnsi="Arial" w:cs="Arial"/>
          <w:sz w:val="21"/>
          <w:szCs w:val="21"/>
        </w:rPr>
        <w:t>复印件</w:t>
      </w:r>
    </w:p>
    <w:p w14:paraId="633D9189" w14:textId="77777777" w:rsidR="00AF6F34" w:rsidRDefault="00AF6F34">
      <w:pPr>
        <w:numPr>
          <w:ilvl w:val="0"/>
          <w:numId w:val="3"/>
        </w:numPr>
        <w:spacing w:line="360" w:lineRule="auto"/>
        <w:jc w:val="both"/>
      </w:pPr>
      <w:r>
        <w:rPr>
          <w:rFonts w:ascii="Arial" w:hAnsi="Arial" w:cs="Arial"/>
          <w:sz w:val="21"/>
          <w:szCs w:val="21"/>
        </w:rPr>
        <w:t>房地产估价机构资质证书复印件</w:t>
      </w:r>
    </w:p>
    <w:p w14:paraId="4C053293" w14:textId="77777777" w:rsidR="00AF6F34" w:rsidRDefault="00AF6F34">
      <w:pPr>
        <w:numPr>
          <w:ilvl w:val="0"/>
          <w:numId w:val="3"/>
        </w:numPr>
        <w:spacing w:line="360" w:lineRule="auto"/>
        <w:jc w:val="both"/>
      </w:pPr>
      <w:r>
        <w:rPr>
          <w:rFonts w:ascii="Arial" w:hAnsi="Arial" w:cs="Arial" w:hint="eastAsia"/>
          <w:sz w:val="21"/>
          <w:szCs w:val="21"/>
        </w:rPr>
        <w:t>评估专业人员</w:t>
      </w:r>
      <w:r>
        <w:rPr>
          <w:rFonts w:ascii="Arial" w:hAnsi="Arial" w:cs="Arial"/>
          <w:sz w:val="21"/>
          <w:szCs w:val="21"/>
        </w:rPr>
        <w:t>执业证书复印件</w:t>
      </w:r>
    </w:p>
    <w:sectPr w:rsidR="00AF6F34">
      <w:headerReference w:type="even" r:id="rId75"/>
      <w:headerReference w:type="default" r:id="rId76"/>
      <w:footerReference w:type="even" r:id="rId77"/>
      <w:footerReference w:type="default" r:id="rId78"/>
      <w:headerReference w:type="first" r:id="rId79"/>
      <w:footerReference w:type="first" r:id="rId80"/>
      <w:pgSz w:w="11906" w:h="16838"/>
      <w:pgMar w:top="1843" w:right="1134" w:bottom="1134" w:left="1474" w:header="1134" w:footer="907"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711EE93" w16cex:dateUtc="2024-11-27T18:38:00Z"/>
  <w16cex:commentExtensible w16cex:durableId="70CC4B2E" w16cex:dateUtc="2024-11-27T18:29:00Z"/>
  <w16cex:commentExtensible w16cex:durableId="4186A4B3" w16cex:dateUtc="2024-11-27T18:31:00Z"/>
  <w16cex:commentExtensible w16cex:durableId="234DCAF4" w16cex:dateUtc="2024-11-27T18:36:00Z"/>
  <w16cex:commentExtensible w16cex:durableId="2E38D6C4" w16cex:dateUtc="2024-11-27T18: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E0DE2A5" w16cid:durableId="7711EE93"/>
  <w16cid:commentId w16cid:paraId="720C3C8A" w16cid:durableId="70CC4B2E"/>
  <w16cid:commentId w16cid:paraId="2C400A3B" w16cid:durableId="4186A4B3"/>
  <w16cid:commentId w16cid:paraId="740524A4" w16cid:durableId="234DCAF4"/>
  <w16cid:commentId w16cid:paraId="6D6E0D61" w16cid:durableId="2E38D6C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FB16F1" w14:textId="77777777" w:rsidR="00E7517A" w:rsidRDefault="00E7517A">
      <w:pPr>
        <w:spacing w:line="240" w:lineRule="auto"/>
      </w:pPr>
      <w:r>
        <w:separator/>
      </w:r>
    </w:p>
  </w:endnote>
  <w:endnote w:type="continuationSeparator" w:id="0">
    <w:p w14:paraId="013722EC" w14:textId="77777777" w:rsidR="00E7517A" w:rsidRDefault="00E751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楷体_GB2312">
    <w:altName w:val="楷体"/>
    <w:charset w:val="86"/>
    <w:family w:val="modern"/>
    <w:pitch w:val="fixed"/>
    <w:sig w:usb0="00000001" w:usb1="080E0000" w:usb2="00000010" w:usb3="00000000" w:csb0="00040000" w:csb1="00000000"/>
  </w:font>
  <w:font w:name="Liberation Sans">
    <w:altName w:val="Arial Unicode MS"/>
    <w:charset w:val="86"/>
    <w:family w:val="swiss"/>
    <w:pitch w:val="variable"/>
  </w:font>
  <w:font w:name="Lucida Sans">
    <w:panose1 w:val="020B0602030504020204"/>
    <w:charset w:val="00"/>
    <w:family w:val="swiss"/>
    <w:pitch w:val="variable"/>
    <w:sig w:usb0="00000003" w:usb1="00000000" w:usb2="00000000" w:usb3="00000000" w:csb0="00000001"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方正黑体简体">
    <w:altName w:val="微软雅黑"/>
    <w:charset w:val="86"/>
    <w:family w:val="auto"/>
    <w:pitch w:val="variable"/>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C4917" w14:textId="77777777" w:rsidR="00EA2F0D" w:rsidRDefault="00EA2F0D">
    <w:pPr>
      <w:pStyle w:val="af5"/>
      <w:pBdr>
        <w:top w:val="single" w:sz="4" w:space="1" w:color="404040"/>
        <w:left w:val="none" w:sz="0" w:space="0" w:color="000000"/>
        <w:bottom w:val="none" w:sz="0" w:space="0" w:color="000000"/>
        <w:right w:val="none" w:sz="0" w:space="0" w:color="000000"/>
      </w:pBdr>
      <w:jc w:val="cente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Pr>
        <w:rFonts w:ascii="Arial" w:hAnsi="Arial" w:cs="Arial"/>
      </w:rPr>
      <w:t>2</w:t>
    </w:r>
    <w:r>
      <w:rPr>
        <w:rFonts w:ascii="Arial" w:hAnsi="Arial" w:cs="Arial"/>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97F7C" w14:textId="77777777" w:rsidR="00EA2F0D" w:rsidRDefault="00EA2F0D">
    <w:pPr>
      <w:pStyle w:val="af5"/>
      <w:pBdr>
        <w:top w:val="single" w:sz="4" w:space="1" w:color="404040"/>
        <w:left w:val="none" w:sz="0" w:space="0" w:color="000000"/>
        <w:bottom w:val="none" w:sz="0" w:space="0" w:color="000000"/>
        <w:right w:val="none" w:sz="0" w:space="0" w:color="000000"/>
      </w:pBdr>
      <w:jc w:val="cente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sidR="00EC4DBF">
      <w:rPr>
        <w:rFonts w:ascii="Arial" w:hAnsi="Arial" w:cs="Arial"/>
        <w:noProof/>
      </w:rPr>
      <w:t>8</w:t>
    </w:r>
    <w:r>
      <w:rPr>
        <w:rFonts w:ascii="Arial" w:hAnsi="Arial" w:cs="Arial"/>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A8D54" w14:textId="77777777" w:rsidR="00EA2F0D" w:rsidRDefault="00EA2F0D"/>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6C204" w14:textId="77777777" w:rsidR="00EA2F0D" w:rsidRDefault="00EA2F0D"/>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75BA5" w14:textId="77777777" w:rsidR="00EA2F0D" w:rsidRDefault="00EA2F0D">
    <w:pPr>
      <w:pStyle w:val="af5"/>
      <w:pBdr>
        <w:top w:val="single" w:sz="4" w:space="1" w:color="404040"/>
        <w:left w:val="none" w:sz="0" w:space="0" w:color="000000"/>
        <w:bottom w:val="none" w:sz="0" w:space="0" w:color="000000"/>
        <w:right w:val="none" w:sz="0" w:space="0" w:color="000000"/>
      </w:pBdr>
      <w:jc w:val="cente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sidR="00EC4DBF">
      <w:rPr>
        <w:rFonts w:ascii="Arial" w:hAnsi="Arial" w:cs="Arial"/>
        <w:noProof/>
      </w:rPr>
      <w:t>13</w:t>
    </w:r>
    <w:r>
      <w:rPr>
        <w:rFonts w:ascii="Arial" w:hAnsi="Arial" w:cs="Arial"/>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43729" w14:textId="77777777" w:rsidR="00EA2F0D" w:rsidRDefault="00EA2F0D"/>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D7007" w14:textId="77777777" w:rsidR="00EA2F0D" w:rsidRDefault="00EA2F0D"/>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05383" w14:textId="77777777" w:rsidR="00EA2F0D" w:rsidRDefault="00EA2F0D">
    <w:pPr>
      <w:pStyle w:val="af5"/>
      <w:pBdr>
        <w:top w:val="single" w:sz="4" w:space="1" w:color="404040"/>
        <w:left w:val="none" w:sz="0" w:space="0" w:color="000000"/>
        <w:bottom w:val="none" w:sz="0" w:space="0" w:color="000000"/>
        <w:right w:val="none" w:sz="0" w:space="0" w:color="000000"/>
      </w:pBdr>
      <w:tabs>
        <w:tab w:val="clear" w:pos="4153"/>
        <w:tab w:val="clear" w:pos="8306"/>
        <w:tab w:val="right" w:pos="9027"/>
      </w:tabs>
      <w:jc w:val="center"/>
    </w:pPr>
    <w:r>
      <w:rPr>
        <w:rFonts w:ascii="Calibri" w:hAnsi="Calibri" w:cs="Calibri"/>
      </w:rPr>
      <w:fldChar w:fldCharType="begin"/>
    </w:r>
    <w:r>
      <w:rPr>
        <w:rFonts w:ascii="Calibri" w:hAnsi="Calibri" w:cs="Calibri"/>
      </w:rPr>
      <w:instrText xml:space="preserve"> PAGE </w:instrText>
    </w:r>
    <w:r>
      <w:rPr>
        <w:rFonts w:ascii="Calibri" w:hAnsi="Calibri" w:cs="Calibri"/>
      </w:rPr>
      <w:fldChar w:fldCharType="separate"/>
    </w:r>
    <w:r w:rsidR="00EC4DBF">
      <w:rPr>
        <w:rFonts w:ascii="Calibri" w:hAnsi="Calibri" w:cs="Calibri"/>
        <w:noProof/>
      </w:rPr>
      <w:t>24</w:t>
    </w:r>
    <w:r>
      <w:rPr>
        <w:rFonts w:ascii="Calibri" w:hAnsi="Calibri" w:cs="Calibri"/>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33E8D" w14:textId="77777777" w:rsidR="00EA2F0D" w:rsidRDefault="00EA2F0D"/>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59CC3" w14:textId="77777777" w:rsidR="00EA2F0D" w:rsidRDefault="00EA2F0D"/>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3ABB7" w14:textId="77777777" w:rsidR="00EA2F0D" w:rsidRDefault="00EA2F0D">
    <w:pPr>
      <w:pStyle w:val="af5"/>
      <w:pBdr>
        <w:top w:val="single" w:sz="4" w:space="1" w:color="404040"/>
        <w:left w:val="none" w:sz="0" w:space="0" w:color="000000"/>
        <w:bottom w:val="none" w:sz="0" w:space="0" w:color="000000"/>
        <w:right w:val="none" w:sz="0" w:space="0" w:color="000000"/>
      </w:pBdr>
      <w:tabs>
        <w:tab w:val="clear" w:pos="4153"/>
        <w:tab w:val="clear" w:pos="8306"/>
        <w:tab w:val="right" w:pos="9027"/>
      </w:tabs>
      <w:jc w:val="center"/>
    </w:pPr>
    <w:r>
      <w:rPr>
        <w:rFonts w:ascii="Calibri" w:hAnsi="Calibri" w:cs="Calibri"/>
      </w:rPr>
      <w:fldChar w:fldCharType="begin"/>
    </w:r>
    <w:r>
      <w:rPr>
        <w:rFonts w:ascii="Calibri" w:hAnsi="Calibri" w:cs="Calibri"/>
      </w:rPr>
      <w:instrText xml:space="preserve"> PAGE </w:instrText>
    </w:r>
    <w:r>
      <w:rPr>
        <w:rFonts w:ascii="Calibri" w:hAnsi="Calibri" w:cs="Calibri"/>
      </w:rPr>
      <w:fldChar w:fldCharType="separate"/>
    </w:r>
    <w:r w:rsidR="00EC4DBF">
      <w:rPr>
        <w:rFonts w:ascii="Calibri" w:hAnsi="Calibri" w:cs="Calibri"/>
        <w:noProof/>
      </w:rPr>
      <w:t>72</w:t>
    </w:r>
    <w:r>
      <w:rPr>
        <w:rFonts w:ascii="Calibri" w:hAnsi="Calibri" w:cs="Calibr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C4ACB" w14:textId="77777777" w:rsidR="00EA2F0D" w:rsidRDefault="00EA2F0D">
    <w:pPr>
      <w:pStyle w:val="af5"/>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C408B" w14:textId="77777777" w:rsidR="00EA2F0D" w:rsidRDefault="00EA2F0D"/>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B39F7" w14:textId="77777777" w:rsidR="00EA2F0D" w:rsidRDefault="00EA2F0D"/>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C6162" w14:textId="77777777" w:rsidR="00EA2F0D" w:rsidRDefault="00EA2F0D">
    <w:pPr>
      <w:pStyle w:val="af5"/>
      <w:pBdr>
        <w:top w:val="single" w:sz="4" w:space="1" w:color="404040"/>
        <w:left w:val="none" w:sz="0" w:space="0" w:color="000000"/>
        <w:bottom w:val="none" w:sz="0" w:space="0" w:color="000000"/>
        <w:right w:val="none" w:sz="0" w:space="0" w:color="000000"/>
      </w:pBdr>
      <w:tabs>
        <w:tab w:val="clear" w:pos="4153"/>
        <w:tab w:val="clear" w:pos="8306"/>
        <w:tab w:val="right" w:pos="9027"/>
      </w:tabs>
      <w:jc w:val="center"/>
    </w:pPr>
    <w:r>
      <w:rPr>
        <w:rFonts w:ascii="Calibri" w:hAnsi="Calibri" w:cs="Calibri"/>
      </w:rPr>
      <w:fldChar w:fldCharType="begin"/>
    </w:r>
    <w:r>
      <w:rPr>
        <w:rFonts w:ascii="Calibri" w:hAnsi="Calibri" w:cs="Calibri"/>
      </w:rPr>
      <w:instrText xml:space="preserve"> PAGE </w:instrText>
    </w:r>
    <w:r>
      <w:rPr>
        <w:rFonts w:ascii="Calibri" w:hAnsi="Calibri" w:cs="Calibri"/>
      </w:rPr>
      <w:fldChar w:fldCharType="separate"/>
    </w:r>
    <w:r w:rsidR="00EC4DBF">
      <w:rPr>
        <w:rFonts w:ascii="Calibri" w:hAnsi="Calibri" w:cs="Calibri"/>
        <w:noProof/>
      </w:rPr>
      <w:t>73</w:t>
    </w:r>
    <w:r>
      <w:rPr>
        <w:rFonts w:ascii="Calibri" w:hAnsi="Calibri" w:cs="Calibri"/>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516D9" w14:textId="77777777" w:rsidR="00EA2F0D" w:rsidRDefault="00EA2F0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24E9E" w14:textId="77777777" w:rsidR="00EA2F0D" w:rsidRDefault="00EA2F0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37187" w14:textId="77777777" w:rsidR="00EA2F0D" w:rsidRDefault="00EA2F0D">
    <w:pPr>
      <w:pStyle w:val="af5"/>
      <w:pBdr>
        <w:top w:val="single" w:sz="4" w:space="1" w:color="404040"/>
        <w:left w:val="none" w:sz="0" w:space="0" w:color="000000"/>
        <w:bottom w:val="none" w:sz="0" w:space="0" w:color="000000"/>
        <w:right w:val="none" w:sz="0" w:space="0" w:color="000000"/>
      </w:pBdr>
      <w:jc w:val="cente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Pr>
        <w:rFonts w:ascii="Arial" w:hAnsi="Arial" w:cs="Arial"/>
      </w:rPr>
      <w:t>0</w:t>
    </w:r>
    <w:r>
      <w:rPr>
        <w:rFonts w:ascii="Arial" w:hAnsi="Arial" w:cs="Aria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FBF8E" w14:textId="77777777" w:rsidR="00EA2F0D" w:rsidRDefault="00EA2F0D">
    <w:pPr>
      <w:pStyle w:val="af5"/>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7E22B" w14:textId="77777777" w:rsidR="00EA2F0D" w:rsidRDefault="00EA2F0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BB827" w14:textId="77777777" w:rsidR="00EA2F0D" w:rsidRDefault="00EA2F0D">
    <w:pPr>
      <w:pStyle w:val="af5"/>
      <w:pBdr>
        <w:top w:val="single" w:sz="4" w:space="1" w:color="404040"/>
        <w:left w:val="none" w:sz="0" w:space="0" w:color="000000"/>
        <w:bottom w:val="none" w:sz="0" w:space="0" w:color="000000"/>
        <w:right w:val="none" w:sz="0" w:space="0" w:color="000000"/>
      </w:pBdr>
      <w:jc w:val="cente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sidR="00EC4DBF">
      <w:rPr>
        <w:rFonts w:ascii="Arial" w:hAnsi="Arial" w:cs="Arial"/>
        <w:noProof/>
      </w:rPr>
      <w:t>7</w:t>
    </w:r>
    <w:r>
      <w:rPr>
        <w:rFonts w:ascii="Arial" w:hAnsi="Arial" w:cs="Arial"/>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1D854" w14:textId="77777777" w:rsidR="00EA2F0D" w:rsidRDefault="00EA2F0D"/>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05053" w14:textId="77777777" w:rsidR="00EA2F0D" w:rsidRDefault="00EA2F0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DA35F3" w14:textId="77777777" w:rsidR="00E7517A" w:rsidRDefault="00E7517A">
      <w:pPr>
        <w:spacing w:line="240" w:lineRule="auto"/>
      </w:pPr>
      <w:r>
        <w:separator/>
      </w:r>
    </w:p>
  </w:footnote>
  <w:footnote w:type="continuationSeparator" w:id="0">
    <w:p w14:paraId="359C7B7F" w14:textId="77777777" w:rsidR="00E7517A" w:rsidRDefault="00E7517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6CEE8" w14:textId="332F6D6F" w:rsidR="00EA2F0D" w:rsidRDefault="00EA2F0D">
    <w:pPr>
      <w:pStyle w:val="afb"/>
      <w:pBdr>
        <w:bottom w:val="none" w:sz="0" w:space="0" w:color="000000"/>
      </w:pBdr>
    </w:pPr>
    <w:r>
      <w:rPr>
        <w:noProof/>
      </w:rPr>
      <w:drawing>
        <wp:inline distT="0" distB="0" distL="0" distR="0" wp14:anchorId="588B4ADF" wp14:editId="399C1070">
          <wp:extent cx="5911850" cy="286385"/>
          <wp:effectExtent l="0" t="0" r="0" b="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l="-3" t="-70" r="-3" b="-70"/>
                  <a:stretch>
                    <a:fillRect/>
                  </a:stretch>
                </pic:blipFill>
                <pic:spPr bwMode="auto">
                  <a:xfrm>
                    <a:off x="0" y="0"/>
                    <a:ext cx="5911850" cy="286385"/>
                  </a:xfrm>
                  <a:prstGeom prst="rect">
                    <a:avLst/>
                  </a:prstGeom>
                  <a:solidFill>
                    <a:srgbClr val="FFFFFF"/>
                  </a:solid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79375" w14:textId="6F400DE2" w:rsidR="00EA2F0D" w:rsidRDefault="00EA2F0D">
    <w:pPr>
      <w:pStyle w:val="afb"/>
      <w:pBdr>
        <w:bottom w:val="none" w:sz="0" w:space="0" w:color="000000"/>
      </w:pBdr>
      <w:jc w:val="both"/>
    </w:pPr>
    <w:r>
      <w:rPr>
        <w:noProof/>
      </w:rPr>
      <w:drawing>
        <wp:inline distT="0" distB="0" distL="0" distR="0" wp14:anchorId="3ED9C87A" wp14:editId="349C679F">
          <wp:extent cx="5911850" cy="286385"/>
          <wp:effectExtent l="0" t="0" r="0" b="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l="-3" t="-70" r="-3" b="-70"/>
                  <a:stretch>
                    <a:fillRect/>
                  </a:stretch>
                </pic:blipFill>
                <pic:spPr bwMode="auto">
                  <a:xfrm>
                    <a:off x="0" y="0"/>
                    <a:ext cx="5911850" cy="286385"/>
                  </a:xfrm>
                  <a:prstGeom prst="rect">
                    <a:avLst/>
                  </a:prstGeom>
                  <a:solidFill>
                    <a:srgbClr val="FFFFFF">
                      <a:alpha val="0"/>
                    </a:srgbClr>
                  </a:solid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8C02E" w14:textId="77777777" w:rsidR="00EA2F0D" w:rsidRDefault="00EA2F0D"/>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05C50" w14:textId="77777777" w:rsidR="00EA2F0D" w:rsidRDefault="00EA2F0D"/>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65E65" w14:textId="6F34D4F6" w:rsidR="00EA2F0D" w:rsidRDefault="00EA2F0D">
    <w:pPr>
      <w:pStyle w:val="afb"/>
      <w:pBdr>
        <w:bottom w:val="none" w:sz="0" w:space="0" w:color="000000"/>
      </w:pBdr>
      <w:jc w:val="both"/>
    </w:pPr>
    <w:r>
      <w:rPr>
        <w:noProof/>
      </w:rPr>
      <w:drawing>
        <wp:inline distT="0" distB="0" distL="0" distR="0" wp14:anchorId="43ECBD1F" wp14:editId="0A6C1380">
          <wp:extent cx="5911850" cy="286385"/>
          <wp:effectExtent l="0" t="0" r="0" b="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l="-3" t="-70" r="-3" b="-70"/>
                  <a:stretch>
                    <a:fillRect/>
                  </a:stretch>
                </pic:blipFill>
                <pic:spPr bwMode="auto">
                  <a:xfrm>
                    <a:off x="0" y="0"/>
                    <a:ext cx="5911850" cy="286385"/>
                  </a:xfrm>
                  <a:prstGeom prst="rect">
                    <a:avLst/>
                  </a:prstGeom>
                  <a:solidFill>
                    <a:srgbClr val="FFFFFF">
                      <a:alpha val="0"/>
                    </a:srgbClr>
                  </a:solid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EE4C7" w14:textId="77777777" w:rsidR="00EA2F0D" w:rsidRDefault="00EA2F0D"/>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DF57F" w14:textId="77777777" w:rsidR="00EA2F0D" w:rsidRDefault="00EA2F0D"/>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D5622" w14:textId="2763F342" w:rsidR="00EA2F0D" w:rsidRDefault="00EA2F0D">
    <w:pPr>
      <w:pStyle w:val="afb"/>
      <w:pBdr>
        <w:bottom w:val="none" w:sz="0" w:space="0" w:color="000000"/>
      </w:pBdr>
      <w:jc w:val="both"/>
    </w:pPr>
    <w:r>
      <w:rPr>
        <w:noProof/>
      </w:rPr>
      <w:drawing>
        <wp:inline distT="0" distB="0" distL="0" distR="0" wp14:anchorId="6C202F11" wp14:editId="1AE03BD4">
          <wp:extent cx="5911850" cy="286385"/>
          <wp:effectExtent l="0" t="0" r="0" b="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3" t="-70" r="-3" b="-70"/>
                  <a:stretch>
                    <a:fillRect/>
                  </a:stretch>
                </pic:blipFill>
                <pic:spPr bwMode="auto">
                  <a:xfrm>
                    <a:off x="0" y="0"/>
                    <a:ext cx="5911850" cy="286385"/>
                  </a:xfrm>
                  <a:prstGeom prst="rect">
                    <a:avLst/>
                  </a:prstGeom>
                  <a:solidFill>
                    <a:srgbClr val="FFFFFF">
                      <a:alpha val="0"/>
                    </a:srgbClr>
                  </a:solidFill>
                  <a:ln>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67651" w14:textId="77777777" w:rsidR="00EA2F0D" w:rsidRDefault="00EA2F0D"/>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AC39E" w14:textId="77777777" w:rsidR="00EA2F0D" w:rsidRDefault="00EA2F0D"/>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29930" w14:textId="77777777" w:rsidR="00EA2F0D" w:rsidRDefault="00EA2F0D">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3F430" w14:textId="77777777" w:rsidR="00EA2F0D" w:rsidRDefault="00EA2F0D">
    <w:pPr>
      <w:pStyle w:val="afb"/>
      <w:pBdr>
        <w:bottom w:val="none" w:sz="0" w:space="0" w:color="000000"/>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165DD" w14:textId="77777777" w:rsidR="00EA2F0D" w:rsidRDefault="00EA2F0D"/>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04E25" w14:textId="77777777" w:rsidR="00EA2F0D" w:rsidRDefault="00EA2F0D"/>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73E36" w14:textId="72B2C96C" w:rsidR="00EA2F0D" w:rsidRDefault="00EA2F0D">
    <w:pPr>
      <w:pStyle w:val="afb"/>
      <w:pBdr>
        <w:bottom w:val="none" w:sz="0" w:space="0" w:color="000000"/>
      </w:pBdr>
    </w:pPr>
    <w:r>
      <w:rPr>
        <w:noProof/>
      </w:rPr>
      <w:drawing>
        <wp:inline distT="0" distB="0" distL="0" distR="0" wp14:anchorId="29BA9317" wp14:editId="64AA41FF">
          <wp:extent cx="5911850" cy="286385"/>
          <wp:effectExtent l="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l="-3" t="-70" r="-3" b="-70"/>
                  <a:stretch>
                    <a:fillRect/>
                  </a:stretch>
                </pic:blipFill>
                <pic:spPr bwMode="auto">
                  <a:xfrm>
                    <a:off x="0" y="0"/>
                    <a:ext cx="5911850" cy="286385"/>
                  </a:xfrm>
                  <a:prstGeom prst="rect">
                    <a:avLst/>
                  </a:prstGeom>
                  <a:solidFill>
                    <a:srgbClr val="FFFFFF">
                      <a:alpha val="0"/>
                    </a:srgbClr>
                  </a:solidFill>
                  <a:ln>
                    <a:noFill/>
                  </a:ln>
                </pic:spPr>
              </pic:pic>
            </a:graphicData>
          </a:graphic>
        </wp:inline>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4CCC8" w14:textId="77777777" w:rsidR="00EA2F0D" w:rsidRDefault="00EA2F0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E7C57" w14:textId="77777777" w:rsidR="00EA2F0D" w:rsidRDefault="00EA2F0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6A96C" w14:textId="398C81B0" w:rsidR="00EA2F0D" w:rsidRDefault="00EA2F0D">
    <w:pPr>
      <w:pStyle w:val="afb"/>
      <w:pBdr>
        <w:bottom w:val="none" w:sz="0" w:space="0" w:color="000000"/>
      </w:pBdr>
    </w:pPr>
    <w:r>
      <w:rPr>
        <w:noProof/>
      </w:rPr>
      <w:drawing>
        <wp:inline distT="0" distB="0" distL="0" distR="0" wp14:anchorId="72C42AD2" wp14:editId="40B9F8D9">
          <wp:extent cx="5911850" cy="286385"/>
          <wp:effectExtent l="0" t="0" r="0" b="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l="-3" t="-70" r="-3" b="-70"/>
                  <a:stretch>
                    <a:fillRect/>
                  </a:stretch>
                </pic:blipFill>
                <pic:spPr bwMode="auto">
                  <a:xfrm>
                    <a:off x="0" y="0"/>
                    <a:ext cx="5911850" cy="286385"/>
                  </a:xfrm>
                  <a:prstGeom prst="rect">
                    <a:avLst/>
                  </a:prstGeom>
                  <a:solidFill>
                    <a:srgbClr val="FFFFFF"/>
                  </a:solid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1260D" w14:textId="77777777" w:rsidR="00EA2F0D" w:rsidRDefault="00EA2F0D">
    <w:pPr>
      <w:pStyle w:val="afb"/>
      <w:pBdr>
        <w:bottom w:val="none" w:sz="0" w:space="0" w:color="00000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2404C" w14:textId="77777777" w:rsidR="00EA2F0D" w:rsidRDefault="00EA2F0D"/>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564DD" w14:textId="529CC428" w:rsidR="00EA2F0D" w:rsidRDefault="00EA2F0D">
    <w:pPr>
      <w:pStyle w:val="afb"/>
      <w:pBdr>
        <w:bottom w:val="none" w:sz="0" w:space="0" w:color="000000"/>
      </w:pBdr>
    </w:pPr>
    <w:r>
      <w:rPr>
        <w:noProof/>
      </w:rPr>
      <w:drawing>
        <wp:inline distT="0" distB="0" distL="0" distR="0" wp14:anchorId="55BFEC51" wp14:editId="483C768C">
          <wp:extent cx="5911850" cy="286385"/>
          <wp:effectExtent l="0" t="0" r="0" b="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l="-3" t="-70" r="-3" b="-70"/>
                  <a:stretch>
                    <a:fillRect/>
                  </a:stretch>
                </pic:blipFill>
                <pic:spPr bwMode="auto">
                  <a:xfrm>
                    <a:off x="0" y="0"/>
                    <a:ext cx="5911850" cy="286385"/>
                  </a:xfrm>
                  <a:prstGeom prst="rect">
                    <a:avLst/>
                  </a:prstGeom>
                  <a:solidFill>
                    <a:srgbClr val="FFFFFF">
                      <a:alpha val="0"/>
                    </a:srgbClr>
                  </a:solid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E5833" w14:textId="77777777" w:rsidR="00EA2F0D" w:rsidRDefault="00EA2F0D"/>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51A12" w14:textId="77777777" w:rsidR="00EA2F0D" w:rsidRDefault="00EA2F0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4"/>
      <w:numFmt w:val="chineseCountingThousand"/>
      <w:lvlText w:val="%1、"/>
      <w:lvlJc w:val="left"/>
      <w:pPr>
        <w:tabs>
          <w:tab w:val="num" w:pos="568"/>
        </w:tabs>
        <w:ind w:left="1018" w:hanging="450"/>
      </w:pPr>
      <w:rPr>
        <w:rFonts w:hint="default"/>
      </w:rPr>
    </w:lvl>
  </w:abstractNum>
  <w:abstractNum w:abstractNumId="2">
    <w:nsid w:val="00000003"/>
    <w:multiLevelType w:val="multilevel"/>
    <w:tmpl w:val="00000003"/>
    <w:name w:val="WW8Num4"/>
    <w:lvl w:ilvl="0">
      <w:start w:val="1"/>
      <w:numFmt w:val="decimal"/>
      <w:lvlText w:val="%1."/>
      <w:lvlJc w:val="left"/>
      <w:pPr>
        <w:tabs>
          <w:tab w:val="num" w:pos="0"/>
        </w:tabs>
        <w:ind w:left="840" w:hanging="420"/>
      </w:pPr>
      <w:rPr>
        <w:rFonts w:ascii="Arial" w:hAnsi="Arial" w:cs="Arial" w:hint="eastAsia"/>
        <w:sz w:val="21"/>
        <w:szCs w:val="21"/>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3">
    <w:nsid w:val="00000004"/>
    <w:multiLevelType w:val="multilevel"/>
    <w:tmpl w:val="00000004"/>
    <w:name w:val="WW8Num5"/>
    <w:lvl w:ilvl="0">
      <w:start w:val="3"/>
      <w:numFmt w:val="decimal"/>
      <w:pStyle w:val="3"/>
      <w:lvlText w:val="（%1）"/>
      <w:lvlJc w:val="left"/>
      <w:pPr>
        <w:tabs>
          <w:tab w:val="num" w:pos="1320"/>
        </w:tabs>
        <w:ind w:left="1320" w:hanging="720"/>
      </w:pPr>
      <w:rPr>
        <w:rFonts w:hint="eastAsia"/>
      </w:rPr>
    </w:lvl>
    <w:lvl w:ilvl="1">
      <w:start w:val="1"/>
      <w:numFmt w:val="upperLetter"/>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4">
    <w:nsid w:val="00000005"/>
    <w:multiLevelType w:val="singleLevel"/>
    <w:tmpl w:val="EFBE069A"/>
    <w:name w:val="WW8Num10"/>
    <w:lvl w:ilvl="0">
      <w:start w:val="9"/>
      <w:numFmt w:val="chineseCountingThousand"/>
      <w:lvlText w:val="%1、"/>
      <w:lvlJc w:val="left"/>
      <w:pPr>
        <w:tabs>
          <w:tab w:val="num" w:pos="0"/>
        </w:tabs>
        <w:ind w:left="450" w:hanging="450"/>
      </w:pPr>
      <w:rPr>
        <w:rFonts w:ascii="宋体" w:eastAsia="宋体" w:hAnsi="宋体" w:hint="default"/>
        <w:sz w:val="21"/>
        <w:szCs w:val="21"/>
      </w:rPr>
    </w:lvl>
  </w:abstractNum>
  <w:abstractNum w:abstractNumId="5">
    <w:nsid w:val="00000006"/>
    <w:multiLevelType w:val="multilevel"/>
    <w:tmpl w:val="00000006"/>
    <w:name w:val="WW8Num11"/>
    <w:lvl w:ilvl="0">
      <w:start w:val="1"/>
      <w:numFmt w:val="decimal"/>
      <w:lvlText w:val="%1、"/>
      <w:lvlJc w:val="left"/>
      <w:pPr>
        <w:tabs>
          <w:tab w:val="num" w:pos="0"/>
        </w:tabs>
        <w:ind w:left="780" w:hanging="360"/>
      </w:pPr>
      <w:rPr>
        <w:rFonts w:ascii="Arial" w:hAnsi="Arial" w:cs="Arial" w:hint="default"/>
        <w:color w:val="000000"/>
        <w:sz w:val="21"/>
        <w:szCs w:val="21"/>
      </w:rPr>
    </w:lvl>
    <w:lvl w:ilvl="1">
      <w:start w:val="1"/>
      <w:numFmt w:val="lowerLetter"/>
      <w:lvlText w:val="%2)"/>
      <w:lvlJc w:val="left"/>
      <w:pPr>
        <w:tabs>
          <w:tab w:val="num" w:pos="0"/>
        </w:tabs>
        <w:ind w:left="1260" w:hanging="420"/>
      </w:pPr>
    </w:lvl>
    <w:lvl w:ilvl="2">
      <w:start w:val="1"/>
      <w:numFmt w:val="lowerRoman"/>
      <w:lvlText w:val="%3."/>
      <w:lvlJc w:val="right"/>
      <w:pPr>
        <w:tabs>
          <w:tab w:val="num" w:pos="0"/>
        </w:tabs>
        <w:ind w:left="1680" w:hanging="420"/>
      </w:pPr>
    </w:lvl>
    <w:lvl w:ilvl="3">
      <w:start w:val="1"/>
      <w:numFmt w:val="decimal"/>
      <w:lvlText w:val="%4."/>
      <w:lvlJc w:val="left"/>
      <w:pPr>
        <w:tabs>
          <w:tab w:val="num" w:pos="0"/>
        </w:tabs>
        <w:ind w:left="2100" w:hanging="420"/>
      </w:pPr>
    </w:lvl>
    <w:lvl w:ilvl="4">
      <w:start w:val="1"/>
      <w:numFmt w:val="lowerLetter"/>
      <w:lvlText w:val="%5)"/>
      <w:lvlJc w:val="left"/>
      <w:pPr>
        <w:tabs>
          <w:tab w:val="num" w:pos="0"/>
        </w:tabs>
        <w:ind w:left="2520" w:hanging="420"/>
      </w:pPr>
    </w:lvl>
    <w:lvl w:ilvl="5">
      <w:start w:val="1"/>
      <w:numFmt w:val="lowerRoman"/>
      <w:lvlText w:val="%6."/>
      <w:lvlJc w:val="right"/>
      <w:pPr>
        <w:tabs>
          <w:tab w:val="num" w:pos="0"/>
        </w:tabs>
        <w:ind w:left="2940" w:hanging="420"/>
      </w:pPr>
    </w:lvl>
    <w:lvl w:ilvl="6">
      <w:start w:val="1"/>
      <w:numFmt w:val="decimal"/>
      <w:lvlText w:val="%7."/>
      <w:lvlJc w:val="left"/>
      <w:pPr>
        <w:tabs>
          <w:tab w:val="num" w:pos="0"/>
        </w:tabs>
        <w:ind w:left="3360" w:hanging="420"/>
      </w:pPr>
    </w:lvl>
    <w:lvl w:ilvl="7">
      <w:start w:val="1"/>
      <w:numFmt w:val="lowerLetter"/>
      <w:lvlText w:val="%8)"/>
      <w:lvlJc w:val="left"/>
      <w:pPr>
        <w:tabs>
          <w:tab w:val="num" w:pos="0"/>
        </w:tabs>
        <w:ind w:left="3780" w:hanging="420"/>
      </w:pPr>
    </w:lvl>
    <w:lvl w:ilvl="8">
      <w:start w:val="1"/>
      <w:numFmt w:val="lowerRoman"/>
      <w:lvlText w:val="%9."/>
      <w:lvlJc w:val="right"/>
      <w:pPr>
        <w:tabs>
          <w:tab w:val="num" w:pos="0"/>
        </w:tabs>
        <w:ind w:left="4200" w:hanging="420"/>
      </w:pPr>
    </w:lvl>
  </w:abstractNum>
  <w:abstractNum w:abstractNumId="6">
    <w:nsid w:val="00000007"/>
    <w:multiLevelType w:val="multilevel"/>
    <w:tmpl w:val="00000007"/>
    <w:name w:val="WW8Num14"/>
    <w:lvl w:ilvl="0">
      <w:start w:val="1"/>
      <w:numFmt w:val="decimal"/>
      <w:lvlText w:val="%1."/>
      <w:lvlJc w:val="left"/>
      <w:pPr>
        <w:tabs>
          <w:tab w:val="num" w:pos="0"/>
        </w:tabs>
        <w:ind w:left="420" w:hanging="420"/>
      </w:pPr>
      <w:rPr>
        <w:rFonts w:cs="Arial" w:hint="eastAsia"/>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7">
    <w:nsid w:val="00000008"/>
    <w:multiLevelType w:val="multilevel"/>
    <w:tmpl w:val="00000008"/>
    <w:name w:val="WW8Num15"/>
    <w:lvl w:ilvl="0">
      <w:start w:val="1"/>
      <w:numFmt w:val="decimal"/>
      <w:lvlText w:val="%1."/>
      <w:lvlJc w:val="left"/>
      <w:pPr>
        <w:tabs>
          <w:tab w:val="num" w:pos="0"/>
        </w:tabs>
        <w:ind w:left="840" w:hanging="420"/>
      </w:pPr>
      <w:rPr>
        <w:rFonts w:ascii="Arial" w:hAnsi="Arial" w:cs="Arial" w:hint="eastAsia"/>
        <w:sz w:val="21"/>
        <w:szCs w:val="21"/>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8">
    <w:nsid w:val="00000009"/>
    <w:multiLevelType w:val="multilevel"/>
    <w:tmpl w:val="00000009"/>
    <w:name w:val="WW8Num17"/>
    <w:lvl w:ilvl="0">
      <w:start w:val="1"/>
      <w:numFmt w:val="decimal"/>
      <w:lvlText w:val="%1."/>
      <w:lvlJc w:val="left"/>
      <w:pPr>
        <w:tabs>
          <w:tab w:val="num" w:pos="0"/>
        </w:tabs>
        <w:ind w:left="840" w:hanging="420"/>
      </w:pPr>
      <w:rPr>
        <w:rFonts w:ascii="Arial" w:hAnsi="Arial" w:cs="Arial" w:hint="eastAsia"/>
        <w:sz w:val="21"/>
        <w:szCs w:val="21"/>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9">
    <w:nsid w:val="0000000A"/>
    <w:multiLevelType w:val="multilevel"/>
    <w:tmpl w:val="0000000A"/>
    <w:name w:val="WW8Num18"/>
    <w:lvl w:ilvl="0">
      <w:numFmt w:val="bullet"/>
      <w:lvlText w:val="—"/>
      <w:lvlJc w:val="left"/>
      <w:pPr>
        <w:tabs>
          <w:tab w:val="num" w:pos="0"/>
        </w:tabs>
        <w:ind w:left="360" w:hanging="360"/>
      </w:pPr>
      <w:rPr>
        <w:rFonts w:ascii="微软雅黑" w:hAnsi="微软雅黑" w:cs="Times New Roman" w:hint="eastAsia"/>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0">
    <w:nsid w:val="0000000B"/>
    <w:multiLevelType w:val="multilevel"/>
    <w:tmpl w:val="0000000B"/>
    <w:name w:val="WW8Num19"/>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1">
    <w:nsid w:val="0000000C"/>
    <w:multiLevelType w:val="multilevel"/>
    <w:tmpl w:val="0000000C"/>
    <w:name w:val="WW8Num24"/>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nsid w:val="15441C4F"/>
    <w:multiLevelType w:val="singleLevel"/>
    <w:tmpl w:val="15441C4F"/>
    <w:lvl w:ilvl="0">
      <w:start w:val="1"/>
      <w:numFmt w:val="chineseCounting"/>
      <w:suff w:val="nothing"/>
      <w:lvlText w:val="%1、"/>
      <w:lvlJc w:val="left"/>
      <w:rPr>
        <w:rFonts w:hint="eastAsia"/>
      </w:rPr>
    </w:lvl>
  </w:abstractNum>
  <w:abstractNum w:abstractNumId="13">
    <w:nsid w:val="18133B07"/>
    <w:multiLevelType w:val="multilevel"/>
    <w:tmpl w:val="00000009"/>
    <w:lvl w:ilvl="0">
      <w:start w:val="1"/>
      <w:numFmt w:val="decimal"/>
      <w:lvlText w:val="%1."/>
      <w:lvlJc w:val="left"/>
      <w:pPr>
        <w:tabs>
          <w:tab w:val="num" w:pos="0"/>
        </w:tabs>
        <w:ind w:left="840" w:hanging="420"/>
      </w:pPr>
      <w:rPr>
        <w:rFonts w:ascii="Arial" w:hAnsi="Arial" w:cs="Arial" w:hint="eastAsia"/>
        <w:sz w:val="21"/>
        <w:szCs w:val="21"/>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4">
    <w:nsid w:val="228A3915"/>
    <w:multiLevelType w:val="hybridMultilevel"/>
    <w:tmpl w:val="D58295DC"/>
    <w:lvl w:ilvl="0" w:tplc="82E03836">
      <w:start w:val="3"/>
      <w:numFmt w:val="japaneseCounting"/>
      <w:lvlText w:val="（%1）"/>
      <w:lvlJc w:val="left"/>
      <w:pPr>
        <w:ind w:left="720" w:hanging="720"/>
      </w:pPr>
      <w:rPr>
        <w:rFonts w:ascii="Arial" w:hAnsi="Arial" w:cs="Arial" w:hint="default"/>
        <w:b/>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29CA75A8"/>
    <w:multiLevelType w:val="hybridMultilevel"/>
    <w:tmpl w:val="7B5ACB76"/>
    <w:lvl w:ilvl="0" w:tplc="A8FE9B0A">
      <w:start w:val="5"/>
      <w:numFmt w:val="japaneseCounting"/>
      <w:lvlText w:val="（%1）"/>
      <w:lvlJc w:val="left"/>
      <w:pPr>
        <w:ind w:left="720" w:hanging="720"/>
      </w:pPr>
      <w:rPr>
        <w:rFonts w:ascii="Arial" w:hAnsi="Arial" w:cs="Arial" w:hint="default"/>
        <w:b/>
        <w:color w:val="00000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5"/>
  </w:num>
  <w:num w:numId="14">
    <w:abstractNumId w:val="14"/>
  </w:num>
  <w:num w:numId="15">
    <w:abstractNumId w:val="1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25"/>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noLineBreaksAfter w:lang="ja-JP" w:val="([{·‘“〈《「『【〔〖（．［｛"/>
  <w:noLineBreaksBefore w:lang="ja-JP" w:val="!),.:;?]}¨·ˇˉ—‖’”…∶、。〃々〉》」』】〕〗！＂＇），．：；？］｀｜｝～"/>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456"/>
    <w:rsid w:val="00001A7C"/>
    <w:rsid w:val="00001E3B"/>
    <w:rsid w:val="00015F68"/>
    <w:rsid w:val="00062A73"/>
    <w:rsid w:val="00080C19"/>
    <w:rsid w:val="00085F26"/>
    <w:rsid w:val="00094507"/>
    <w:rsid w:val="000B511E"/>
    <w:rsid w:val="000C0A09"/>
    <w:rsid w:val="000D2D66"/>
    <w:rsid w:val="000D4364"/>
    <w:rsid w:val="000F01E9"/>
    <w:rsid w:val="000F1F20"/>
    <w:rsid w:val="000F6AED"/>
    <w:rsid w:val="00125B17"/>
    <w:rsid w:val="00130960"/>
    <w:rsid w:val="00147F3C"/>
    <w:rsid w:val="00150DAF"/>
    <w:rsid w:val="0016323F"/>
    <w:rsid w:val="00163A49"/>
    <w:rsid w:val="001B2E94"/>
    <w:rsid w:val="001B75DF"/>
    <w:rsid w:val="001E5D4B"/>
    <w:rsid w:val="002815CC"/>
    <w:rsid w:val="00287AF7"/>
    <w:rsid w:val="00294190"/>
    <w:rsid w:val="002B4143"/>
    <w:rsid w:val="002D0721"/>
    <w:rsid w:val="002D3E07"/>
    <w:rsid w:val="002F6ADB"/>
    <w:rsid w:val="00334B2E"/>
    <w:rsid w:val="00373D9A"/>
    <w:rsid w:val="003904AB"/>
    <w:rsid w:val="003D3BED"/>
    <w:rsid w:val="0040299B"/>
    <w:rsid w:val="00431E21"/>
    <w:rsid w:val="00462D97"/>
    <w:rsid w:val="00464E89"/>
    <w:rsid w:val="00467FB2"/>
    <w:rsid w:val="0047041D"/>
    <w:rsid w:val="004761C6"/>
    <w:rsid w:val="00477DA5"/>
    <w:rsid w:val="004B0380"/>
    <w:rsid w:val="004B0769"/>
    <w:rsid w:val="004B20B9"/>
    <w:rsid w:val="004B54A4"/>
    <w:rsid w:val="004E45FA"/>
    <w:rsid w:val="004F2C67"/>
    <w:rsid w:val="00506F91"/>
    <w:rsid w:val="00585A5F"/>
    <w:rsid w:val="005C56F8"/>
    <w:rsid w:val="005C6339"/>
    <w:rsid w:val="005D18AF"/>
    <w:rsid w:val="005F375D"/>
    <w:rsid w:val="0061743A"/>
    <w:rsid w:val="00620865"/>
    <w:rsid w:val="00624C72"/>
    <w:rsid w:val="00624CB3"/>
    <w:rsid w:val="006324D1"/>
    <w:rsid w:val="00655CED"/>
    <w:rsid w:val="006D22D9"/>
    <w:rsid w:val="006D5DDA"/>
    <w:rsid w:val="006E3189"/>
    <w:rsid w:val="006F00C8"/>
    <w:rsid w:val="00702DAC"/>
    <w:rsid w:val="00761FF2"/>
    <w:rsid w:val="00787E62"/>
    <w:rsid w:val="007C5209"/>
    <w:rsid w:val="007E31FC"/>
    <w:rsid w:val="007F5A5E"/>
    <w:rsid w:val="00830400"/>
    <w:rsid w:val="008322C0"/>
    <w:rsid w:val="00835BA9"/>
    <w:rsid w:val="00871D0F"/>
    <w:rsid w:val="00890531"/>
    <w:rsid w:val="008956FD"/>
    <w:rsid w:val="008F6B38"/>
    <w:rsid w:val="00901169"/>
    <w:rsid w:val="009243C4"/>
    <w:rsid w:val="0093647F"/>
    <w:rsid w:val="00941FE0"/>
    <w:rsid w:val="009608F4"/>
    <w:rsid w:val="00961BB7"/>
    <w:rsid w:val="00972A9A"/>
    <w:rsid w:val="0098638C"/>
    <w:rsid w:val="00990456"/>
    <w:rsid w:val="0099106E"/>
    <w:rsid w:val="009A3379"/>
    <w:rsid w:val="009B61B1"/>
    <w:rsid w:val="009F555E"/>
    <w:rsid w:val="00A000DF"/>
    <w:rsid w:val="00A15F2E"/>
    <w:rsid w:val="00A325C6"/>
    <w:rsid w:val="00A52D29"/>
    <w:rsid w:val="00A578FA"/>
    <w:rsid w:val="00AE1AF4"/>
    <w:rsid w:val="00AE711A"/>
    <w:rsid w:val="00AF6DC8"/>
    <w:rsid w:val="00AF6F34"/>
    <w:rsid w:val="00B01A7B"/>
    <w:rsid w:val="00B058C1"/>
    <w:rsid w:val="00B07EA8"/>
    <w:rsid w:val="00B42AB7"/>
    <w:rsid w:val="00B943B0"/>
    <w:rsid w:val="00BA050B"/>
    <w:rsid w:val="00BC03DC"/>
    <w:rsid w:val="00BC3CD9"/>
    <w:rsid w:val="00BD7F00"/>
    <w:rsid w:val="00BE7870"/>
    <w:rsid w:val="00BF68D2"/>
    <w:rsid w:val="00C17FD3"/>
    <w:rsid w:val="00C26B85"/>
    <w:rsid w:val="00C40048"/>
    <w:rsid w:val="00C41659"/>
    <w:rsid w:val="00C528F4"/>
    <w:rsid w:val="00C6391A"/>
    <w:rsid w:val="00CA6E56"/>
    <w:rsid w:val="00CB24BA"/>
    <w:rsid w:val="00CB3EF4"/>
    <w:rsid w:val="00CB5D09"/>
    <w:rsid w:val="00CD440E"/>
    <w:rsid w:val="00CE194E"/>
    <w:rsid w:val="00CE3FA3"/>
    <w:rsid w:val="00D07C96"/>
    <w:rsid w:val="00D1407E"/>
    <w:rsid w:val="00D44FDA"/>
    <w:rsid w:val="00D4637D"/>
    <w:rsid w:val="00D517EB"/>
    <w:rsid w:val="00D92BB7"/>
    <w:rsid w:val="00DE3E5A"/>
    <w:rsid w:val="00E253E2"/>
    <w:rsid w:val="00E335B7"/>
    <w:rsid w:val="00E60E6B"/>
    <w:rsid w:val="00E72537"/>
    <w:rsid w:val="00E737C4"/>
    <w:rsid w:val="00E7517A"/>
    <w:rsid w:val="00E8200C"/>
    <w:rsid w:val="00EA2258"/>
    <w:rsid w:val="00EA2F0D"/>
    <w:rsid w:val="00EA7F82"/>
    <w:rsid w:val="00EC4DBF"/>
    <w:rsid w:val="00EE7546"/>
    <w:rsid w:val="00EF1394"/>
    <w:rsid w:val="00EF400F"/>
    <w:rsid w:val="00F16D9C"/>
    <w:rsid w:val="00F42B2B"/>
    <w:rsid w:val="00F52851"/>
    <w:rsid w:val="00F957A8"/>
    <w:rsid w:val="00FB51B2"/>
    <w:rsid w:val="00FB7530"/>
    <w:rsid w:val="00FC2399"/>
    <w:rsid w:val="00FD3837"/>
    <w:rsid w:val="00FE002A"/>
    <w:rsid w:val="00FE3F69"/>
    <w:rsid w:val="00FE7D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418EAF7"/>
  <w15:docId w15:val="{B529689C-3C7C-4F41-AB62-707BC0598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2"/>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numId w:val="4"/>
      </w:numPr>
      <w:tabs>
        <w:tab w:val="left" w:pos="0"/>
        <w:tab w:val="left" w:pos="1200"/>
      </w:tabs>
      <w:spacing w:line="440" w:lineRule="atLeast"/>
      <w:ind w:hanging="600"/>
      <w:jc w:val="both"/>
      <w:outlineLvl w:val="2"/>
    </w:pPr>
    <w:rPr>
      <w:rFonts w:ascii="仿宋_GB2312" w:eastAsia="仿宋_GB2312" w:hAnsi="仿宋_GB2312" w:cs="Arial"/>
      <w:sz w:val="28"/>
    </w:rPr>
  </w:style>
  <w:style w:type="paragraph" w:styleId="4">
    <w:name w:val="heading 4"/>
    <w:basedOn w:val="a"/>
    <w:next w:val="a"/>
    <w:qFormat/>
    <w:pPr>
      <w:keepNext/>
      <w:numPr>
        <w:numId w:val="11"/>
      </w:numPr>
      <w:spacing w:line="440" w:lineRule="atLeast"/>
      <w:ind w:left="0" w:right="-22" w:firstLine="0"/>
      <w:outlineLvl w:val="3"/>
    </w:pPr>
    <w:rPr>
      <w:rFonts w:ascii="仿宋_GB2312" w:eastAsia="仿宋_GB2312" w:hAnsi="仿宋_GB2312"/>
      <w:sz w:val="28"/>
    </w:rPr>
  </w:style>
  <w:style w:type="paragraph" w:styleId="5">
    <w:name w:val="heading 5"/>
    <w:basedOn w:val="a"/>
    <w:next w:val="a"/>
    <w:qFormat/>
    <w:pPr>
      <w:keepNext/>
      <w:spacing w:line="500" w:lineRule="exact"/>
      <w:jc w:val="center"/>
      <w:outlineLvl w:val="4"/>
    </w:pPr>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hint="eastAsia"/>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宋体" w:hAnsi="宋体" w:cs="宋体" w:hint="default"/>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Arial" w:hAnsi="Arial" w:cs="Arial" w:hint="eastAsia"/>
      <w:sz w:val="21"/>
      <w:szCs w:val="21"/>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eastAsia"/>
    </w:rPr>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hint="default"/>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hint="eastAsia"/>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hint="default"/>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Arial" w:hAnsi="Arial" w:cs="Arial" w:hint="default"/>
      <w:color w:val="000000"/>
      <w:sz w:val="21"/>
      <w:szCs w:val="21"/>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Arial" w:eastAsia="Arial Unicode MS" w:hAnsi="Arial" w:cs="Arial" w:hint="default"/>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default"/>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cs="Arial" w:hint="eastAsia"/>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Arial" w:hAnsi="Arial" w:cs="Arial" w:hint="eastAsia"/>
      <w:sz w:val="21"/>
      <w:szCs w:val="21"/>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hint="default"/>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Arial" w:hAnsi="Arial" w:cs="Arial" w:hint="eastAsia"/>
      <w:sz w:val="21"/>
      <w:szCs w:val="21"/>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微软雅黑" w:eastAsia="微软雅黑" w:hAnsi="微软雅黑" w:cs="Times New Roman" w:hint="eastAsia"/>
    </w:rPr>
  </w:style>
  <w:style w:type="character" w:customStyle="1" w:styleId="WW8Num18z1">
    <w:name w:val="WW8Num18z1"/>
    <w:rPr>
      <w:rFonts w:ascii="Wingdings" w:hAnsi="Wingdings" w:cs="Wingdings" w:hint="default"/>
    </w:rPr>
  </w:style>
  <w:style w:type="character" w:customStyle="1" w:styleId="WW8Num19z0">
    <w:name w:val="WW8Num19z0"/>
    <w:rPr>
      <w:rFonts w:hint="eastAsia"/>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hint="eastAsia"/>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宋体" w:hAnsi="宋体" w:cs="宋体"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hint="defaul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hint="eastAsia"/>
      <w:b w:val="0"/>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a3">
    <w:name w:val="无间隔 字符"/>
    <w:rPr>
      <w:rFonts w:ascii="Calibri" w:hAnsi="Calibri" w:cs="Calibri"/>
      <w:sz w:val="22"/>
      <w:szCs w:val="22"/>
      <w:lang w:bidi="ar-SA"/>
    </w:rPr>
  </w:style>
  <w:style w:type="character" w:customStyle="1" w:styleId="a4">
    <w:name w:val="页眉 字符"/>
    <w:rPr>
      <w:sz w:val="18"/>
    </w:rPr>
  </w:style>
  <w:style w:type="character" w:customStyle="1" w:styleId="a5">
    <w:name w:val="页脚 字符"/>
    <w:rPr>
      <w:sz w:val="18"/>
    </w:rPr>
  </w:style>
  <w:style w:type="character" w:customStyle="1" w:styleId="unnamed11">
    <w:name w:val="unnamed11"/>
    <w:rPr>
      <w:rFonts w:ascii="宋体" w:eastAsia="宋体" w:hAnsi="宋体" w:cs="宋体"/>
      <w:strike w:val="0"/>
      <w:dstrike w:val="0"/>
      <w:color w:val="000000"/>
      <w:sz w:val="18"/>
      <w:u w:val="none"/>
    </w:rPr>
  </w:style>
  <w:style w:type="character" w:customStyle="1" w:styleId="text1">
    <w:name w:val="text1"/>
    <w:rPr>
      <w:spacing w:val="10"/>
      <w:sz w:val="28"/>
      <w:szCs w:val="28"/>
    </w:rPr>
  </w:style>
  <w:style w:type="character" w:customStyle="1" w:styleId="a6">
    <w:name w:val="批注文字 字符"/>
    <w:rPr>
      <w:sz w:val="24"/>
    </w:rPr>
  </w:style>
  <w:style w:type="character" w:styleId="a7">
    <w:name w:val="annotation reference"/>
    <w:rPr>
      <w:sz w:val="21"/>
      <w:szCs w:val="21"/>
    </w:rPr>
  </w:style>
  <w:style w:type="character" w:styleId="a8">
    <w:name w:val="FollowedHyperlink"/>
    <w:rPr>
      <w:color w:val="800080"/>
      <w:u w:val="single"/>
    </w:rPr>
  </w:style>
  <w:style w:type="character" w:styleId="a9">
    <w:name w:val="page number"/>
    <w:basedOn w:val="a0"/>
  </w:style>
  <w:style w:type="character" w:customStyle="1" w:styleId="nr1">
    <w:name w:val="nr1"/>
    <w:rPr>
      <w:rFonts w:ascii="楷体_GB2312" w:eastAsia="楷体_GB2312" w:hAnsi="楷体_GB2312"/>
      <w:color w:val="000000"/>
      <w:sz w:val="24"/>
    </w:rPr>
  </w:style>
  <w:style w:type="character" w:customStyle="1" w:styleId="aa">
    <w:name w:val="文档结构图 字符"/>
    <w:rPr>
      <w:sz w:val="24"/>
      <w:shd w:val="clear" w:color="auto" w:fill="000080"/>
    </w:rPr>
  </w:style>
  <w:style w:type="character" w:styleId="ab">
    <w:name w:val="Strong"/>
    <w:qFormat/>
    <w:rPr>
      <w:b/>
      <w:bCs/>
    </w:rPr>
  </w:style>
  <w:style w:type="character" w:customStyle="1" w:styleId="t12h291">
    <w:name w:val="t12h291"/>
    <w:rPr>
      <w:color w:val="000000"/>
      <w:sz w:val="24"/>
    </w:rPr>
  </w:style>
  <w:style w:type="character" w:styleId="ac">
    <w:name w:val="Hyperlink"/>
    <w:uiPriority w:val="99"/>
    <w:rPr>
      <w:color w:val="0000FF"/>
      <w:u w:val="single"/>
    </w:rPr>
  </w:style>
  <w:style w:type="character" w:customStyle="1" w:styleId="5Char">
    <w:name w:val="标题 5 Char"/>
    <w:rPr>
      <w:rFonts w:ascii="楷体_GB2312" w:eastAsia="楷体_GB2312" w:hAnsi="楷体_GB2312"/>
      <w:color w:val="000000"/>
      <w:sz w:val="28"/>
    </w:rPr>
  </w:style>
  <w:style w:type="paragraph" w:customStyle="1" w:styleId="ad">
    <w:name w:val="标题样式"/>
    <w:basedOn w:val="a"/>
    <w:next w:val="ae"/>
    <w:pPr>
      <w:keepNext/>
      <w:spacing w:before="240" w:after="120"/>
    </w:pPr>
    <w:rPr>
      <w:rFonts w:ascii="Liberation Sans" w:eastAsia="微软雅黑" w:hAnsi="Liberation Sans" w:cs="Lucida Sans"/>
      <w:sz w:val="28"/>
      <w:szCs w:val="28"/>
    </w:rPr>
  </w:style>
  <w:style w:type="paragraph" w:styleId="ae">
    <w:name w:val="Body Text"/>
    <w:basedOn w:val="a"/>
    <w:rPr>
      <w:rFonts w:eastAsia="隶书"/>
      <w:sz w:val="52"/>
    </w:rPr>
  </w:style>
  <w:style w:type="paragraph" w:styleId="af">
    <w:name w:val="List"/>
    <w:basedOn w:val="ae"/>
    <w:rPr>
      <w:rFonts w:cs="Lucida Sans"/>
    </w:rPr>
  </w:style>
  <w:style w:type="paragraph" w:styleId="af0">
    <w:name w:val="caption"/>
    <w:basedOn w:val="a"/>
    <w:next w:val="a"/>
    <w:qFormat/>
    <w:rPr>
      <w:rFonts w:ascii="Cambria" w:eastAsia="黑体" w:hAnsi="Cambria"/>
      <w:sz w:val="20"/>
    </w:rPr>
  </w:style>
  <w:style w:type="paragraph" w:customStyle="1" w:styleId="af1">
    <w:name w:val="索引"/>
    <w:basedOn w:val="a"/>
    <w:pPr>
      <w:suppressLineNumbers/>
    </w:pPr>
    <w:rPr>
      <w:rFonts w:cs="Lucida Sans"/>
    </w:rPr>
  </w:style>
  <w:style w:type="paragraph" w:customStyle="1" w:styleId="TableParagraph">
    <w:name w:val="Table Paragraph"/>
    <w:basedOn w:val="a"/>
    <w:pPr>
      <w:autoSpaceDE w:val="0"/>
      <w:spacing w:line="240" w:lineRule="auto"/>
      <w:textAlignment w:val="auto"/>
    </w:pPr>
    <w:rPr>
      <w:rFonts w:ascii="宋体" w:hAnsi="宋体" w:cs="宋体"/>
      <w:sz w:val="22"/>
      <w:szCs w:val="22"/>
      <w:lang w:val="zh-CN" w:bidi="zh-CN"/>
    </w:rPr>
  </w:style>
  <w:style w:type="paragraph" w:customStyle="1" w:styleId="10">
    <w:name w:val="无间隔1"/>
    <w:pPr>
      <w:widowControl w:val="0"/>
      <w:suppressAutoHyphens/>
      <w:jc w:val="both"/>
    </w:pPr>
    <w:rPr>
      <w:rFonts w:ascii="Calibri" w:hAnsi="Calibri" w:cs="Calibri"/>
      <w:kern w:val="2"/>
      <w:sz w:val="24"/>
      <w:szCs w:val="22"/>
    </w:rPr>
  </w:style>
  <w:style w:type="paragraph" w:styleId="af2">
    <w:name w:val="No Spacing"/>
    <w:qFormat/>
    <w:pPr>
      <w:suppressAutoHyphens/>
    </w:pPr>
    <w:rPr>
      <w:rFonts w:ascii="Calibri" w:hAnsi="Calibri" w:cs="Calibri"/>
      <w:sz w:val="22"/>
      <w:szCs w:val="22"/>
    </w:rPr>
  </w:style>
  <w:style w:type="paragraph" w:styleId="af3">
    <w:name w:val="List Paragraph"/>
    <w:basedOn w:val="a"/>
    <w:pPr>
      <w:ind w:firstLine="420"/>
    </w:pPr>
  </w:style>
  <w:style w:type="paragraph" w:customStyle="1" w:styleId="xl25">
    <w:name w:val="xl25"/>
    <w:basedOn w:val="a"/>
    <w:pPr>
      <w:widowControl/>
      <w:spacing w:before="100" w:after="100" w:line="240" w:lineRule="auto"/>
      <w:jc w:val="center"/>
      <w:textAlignment w:val="auto"/>
    </w:pPr>
    <w:rPr>
      <w:rFonts w:ascii="宋体" w:hAnsi="宋体" w:cs="宋体"/>
      <w:szCs w:val="24"/>
    </w:rPr>
  </w:style>
  <w:style w:type="paragraph" w:customStyle="1" w:styleId="xl28">
    <w:name w:val="xl28"/>
    <w:basedOn w:val="a"/>
    <w:pPr>
      <w:widowControl/>
      <w:pBdr>
        <w:top w:val="none" w:sz="0" w:space="0" w:color="000000"/>
        <w:left w:val="single" w:sz="4" w:space="0" w:color="000000"/>
        <w:bottom w:val="single" w:sz="4" w:space="0" w:color="000000"/>
        <w:right w:val="single" w:sz="4" w:space="0" w:color="000000"/>
      </w:pBdr>
      <w:spacing w:before="100" w:after="100" w:line="240" w:lineRule="auto"/>
      <w:jc w:val="center"/>
      <w:textAlignment w:val="auto"/>
    </w:pPr>
    <w:rPr>
      <w:rFonts w:eastAsia="Arial Unicode MS"/>
      <w:szCs w:val="24"/>
    </w:rPr>
  </w:style>
  <w:style w:type="paragraph" w:customStyle="1" w:styleId="xl30">
    <w:name w:val="xl30"/>
    <w:basedOn w:val="a"/>
    <w:pPr>
      <w:widowControl/>
      <w:pBdr>
        <w:top w:val="single" w:sz="4" w:space="0" w:color="000000"/>
        <w:left w:val="single" w:sz="4" w:space="0" w:color="000000"/>
        <w:bottom w:val="single" w:sz="4" w:space="0" w:color="000000"/>
        <w:right w:val="none" w:sz="0" w:space="0" w:color="000000"/>
      </w:pBdr>
      <w:spacing w:before="100" w:after="100" w:line="240" w:lineRule="auto"/>
      <w:jc w:val="center"/>
      <w:textAlignment w:val="auto"/>
    </w:pPr>
    <w:rPr>
      <w:rFonts w:ascii="Arial Unicode MS" w:hAnsi="Arial Unicode MS" w:cs="Arial Unicode MS"/>
      <w:sz w:val="20"/>
    </w:rPr>
  </w:style>
  <w:style w:type="paragraph" w:styleId="af4">
    <w:name w:val="Normal (Web)"/>
    <w:basedOn w:val="a"/>
    <w:pPr>
      <w:widowControl/>
      <w:spacing w:line="360" w:lineRule="auto"/>
      <w:textAlignment w:val="auto"/>
    </w:pPr>
    <w:rPr>
      <w:rFonts w:ascii="宋体" w:hAnsi="宋体" w:cs="宋体"/>
      <w:sz w:val="18"/>
      <w:szCs w:val="18"/>
    </w:rPr>
  </w:style>
  <w:style w:type="paragraph" w:styleId="20">
    <w:name w:val="Body Text 2"/>
    <w:basedOn w:val="a"/>
    <w:pPr>
      <w:spacing w:line="360" w:lineRule="auto"/>
      <w:ind w:right="2"/>
    </w:pPr>
    <w:rPr>
      <w:rFonts w:eastAsia="仿宋_GB2312"/>
      <w:sz w:val="28"/>
    </w:rPr>
  </w:style>
  <w:style w:type="paragraph" w:styleId="9">
    <w:name w:val="toc 9"/>
    <w:basedOn w:val="a"/>
    <w:next w:val="a"/>
    <w:pPr>
      <w:ind w:left="3360"/>
    </w:pPr>
  </w:style>
  <w:style w:type="paragraph" w:styleId="21">
    <w:name w:val="toc 2"/>
    <w:basedOn w:val="a"/>
    <w:next w:val="a"/>
    <w:uiPriority w:val="39"/>
    <w:pPr>
      <w:tabs>
        <w:tab w:val="right" w:leader="dot" w:pos="9072"/>
      </w:tabs>
      <w:spacing w:line="360" w:lineRule="auto"/>
      <w:ind w:left="480"/>
    </w:pPr>
    <w:rPr>
      <w:rFonts w:eastAsia="楷体_GB2312"/>
    </w:rPr>
  </w:style>
  <w:style w:type="paragraph" w:styleId="30">
    <w:name w:val="Body Text Indent 3"/>
    <w:basedOn w:val="a"/>
    <w:pPr>
      <w:spacing w:line="360" w:lineRule="auto"/>
      <w:ind w:left="600" w:firstLine="555"/>
    </w:pPr>
    <w:rPr>
      <w:rFonts w:ascii="楷体_GB2312" w:eastAsia="楷体_GB2312" w:hAnsi="楷体_GB2312"/>
      <w:kern w:val="2"/>
      <w:sz w:val="28"/>
    </w:rPr>
  </w:style>
  <w:style w:type="paragraph" w:styleId="6">
    <w:name w:val="toc 6"/>
    <w:basedOn w:val="a"/>
    <w:next w:val="a"/>
    <w:pPr>
      <w:ind w:left="2100"/>
    </w:pPr>
  </w:style>
  <w:style w:type="paragraph" w:styleId="40">
    <w:name w:val="toc 4"/>
    <w:basedOn w:val="a"/>
    <w:next w:val="a"/>
    <w:pPr>
      <w:ind w:left="1260"/>
    </w:pPr>
  </w:style>
  <w:style w:type="paragraph" w:styleId="11">
    <w:name w:val="toc 1"/>
    <w:basedOn w:val="a"/>
    <w:next w:val="a"/>
    <w:uiPriority w:val="39"/>
    <w:pPr>
      <w:tabs>
        <w:tab w:val="right" w:leader="dot" w:pos="9072"/>
      </w:tabs>
      <w:spacing w:line="360" w:lineRule="auto"/>
    </w:pPr>
    <w:rPr>
      <w:rFonts w:ascii="楷体_GB2312" w:eastAsia="楷体_GB2312" w:hAnsi="楷体_GB2312"/>
      <w:b/>
      <w:bCs/>
      <w:sz w:val="30"/>
      <w:szCs w:val="30"/>
    </w:rPr>
  </w:style>
  <w:style w:type="paragraph" w:styleId="af5">
    <w:name w:val="footer"/>
    <w:basedOn w:val="a"/>
    <w:pPr>
      <w:tabs>
        <w:tab w:val="center" w:pos="4153"/>
        <w:tab w:val="right" w:pos="8306"/>
      </w:tabs>
      <w:spacing w:line="240" w:lineRule="atLeast"/>
    </w:pPr>
    <w:rPr>
      <w:sz w:val="18"/>
    </w:rPr>
  </w:style>
  <w:style w:type="paragraph" w:styleId="22">
    <w:name w:val="Body Text Indent 2"/>
    <w:basedOn w:val="a"/>
    <w:pPr>
      <w:spacing w:before="120" w:line="360" w:lineRule="auto"/>
      <w:ind w:left="600" w:firstLine="480"/>
    </w:pPr>
    <w:rPr>
      <w:rFonts w:ascii="楷体_GB2312" w:eastAsia="楷体_GB2312" w:hAnsi="楷体_GB2312"/>
      <w:kern w:val="2"/>
      <w:sz w:val="28"/>
    </w:rPr>
  </w:style>
  <w:style w:type="paragraph" w:customStyle="1" w:styleId="Default">
    <w:name w:val="Default"/>
    <w:pPr>
      <w:widowControl w:val="0"/>
      <w:suppressAutoHyphens/>
      <w:autoSpaceDE w:val="0"/>
    </w:pPr>
    <w:rPr>
      <w:rFonts w:ascii="仿宋" w:eastAsia="仿宋" w:hAnsi="仿宋" w:cs="仿宋"/>
      <w:color w:val="000000"/>
      <w:sz w:val="24"/>
      <w:szCs w:val="24"/>
    </w:rPr>
  </w:style>
  <w:style w:type="paragraph" w:styleId="af6">
    <w:name w:val="Date"/>
    <w:basedOn w:val="a"/>
    <w:next w:val="a"/>
    <w:pPr>
      <w:jc w:val="both"/>
    </w:pPr>
    <w:rPr>
      <w:rFonts w:ascii="楷体_GB2312" w:eastAsia="楷体_GB2312" w:hAnsi="楷体_GB2312"/>
      <w:b/>
      <w:sz w:val="28"/>
    </w:rPr>
  </w:style>
  <w:style w:type="paragraph" w:styleId="8">
    <w:name w:val="toc 8"/>
    <w:basedOn w:val="a"/>
    <w:next w:val="a"/>
    <w:pPr>
      <w:ind w:left="2940"/>
    </w:pPr>
  </w:style>
  <w:style w:type="paragraph" w:styleId="af7">
    <w:name w:val="Plain Text"/>
    <w:basedOn w:val="a"/>
    <w:pPr>
      <w:spacing w:line="240" w:lineRule="auto"/>
      <w:jc w:val="both"/>
      <w:textAlignment w:val="auto"/>
    </w:pPr>
    <w:rPr>
      <w:rFonts w:ascii="宋体" w:hAnsi="宋体" w:cs="Courier New"/>
      <w:kern w:val="2"/>
      <w:sz w:val="21"/>
    </w:rPr>
  </w:style>
  <w:style w:type="paragraph" w:styleId="31">
    <w:name w:val="toc 3"/>
    <w:basedOn w:val="a"/>
    <w:next w:val="a"/>
    <w:pPr>
      <w:ind w:left="840"/>
    </w:pPr>
  </w:style>
  <w:style w:type="paragraph" w:styleId="50">
    <w:name w:val="toc 5"/>
    <w:basedOn w:val="a"/>
    <w:next w:val="a"/>
    <w:pPr>
      <w:ind w:left="1680"/>
    </w:pPr>
  </w:style>
  <w:style w:type="paragraph" w:styleId="af8">
    <w:name w:val="Balloon Text"/>
    <w:basedOn w:val="a"/>
    <w:rPr>
      <w:sz w:val="18"/>
      <w:szCs w:val="18"/>
    </w:rPr>
  </w:style>
  <w:style w:type="paragraph" w:styleId="af9">
    <w:name w:val="Body Text Indent"/>
    <w:basedOn w:val="a"/>
    <w:pPr>
      <w:spacing w:before="120" w:line="360" w:lineRule="auto"/>
      <w:ind w:left="1145"/>
    </w:pPr>
    <w:rPr>
      <w:rFonts w:ascii="楷体_GB2312" w:eastAsia="楷体_GB2312" w:hAnsi="楷体_GB2312"/>
      <w:kern w:val="2"/>
      <w:sz w:val="28"/>
    </w:rPr>
  </w:style>
  <w:style w:type="paragraph" w:styleId="afa">
    <w:name w:val="Document Map"/>
    <w:basedOn w:val="a"/>
    <w:pPr>
      <w:shd w:val="clear" w:color="auto" w:fill="000080"/>
    </w:pPr>
  </w:style>
  <w:style w:type="paragraph" w:customStyle="1" w:styleId="font5">
    <w:name w:val="font5"/>
    <w:basedOn w:val="a"/>
    <w:pPr>
      <w:widowControl/>
      <w:spacing w:before="100" w:after="100" w:line="240" w:lineRule="auto"/>
      <w:textAlignment w:val="auto"/>
    </w:pPr>
    <w:rPr>
      <w:rFonts w:ascii="宋体" w:hAnsi="宋体" w:cs="宋体" w:hint="eastAsia"/>
      <w:sz w:val="18"/>
      <w:szCs w:val="18"/>
    </w:rPr>
  </w:style>
  <w:style w:type="paragraph" w:customStyle="1" w:styleId="LO-Normal">
    <w:name w:val="LO-Normal"/>
    <w:pPr>
      <w:widowControl w:val="0"/>
      <w:suppressAutoHyphens/>
      <w:spacing w:line="360" w:lineRule="atLeast"/>
      <w:textAlignment w:val="baseline"/>
    </w:pPr>
    <w:rPr>
      <w:rFonts w:ascii="宋体" w:hAnsi="宋体"/>
      <w:sz w:val="34"/>
    </w:rPr>
  </w:style>
  <w:style w:type="paragraph" w:customStyle="1" w:styleId="WW-">
    <w:name w:val="WW-正文缩进"/>
    <w:basedOn w:val="a"/>
    <w:pPr>
      <w:spacing w:line="240" w:lineRule="auto"/>
      <w:ind w:firstLine="560"/>
      <w:jc w:val="both"/>
      <w:textAlignment w:val="auto"/>
    </w:pPr>
    <w:rPr>
      <w:color w:val="FF0000"/>
    </w:rPr>
  </w:style>
  <w:style w:type="paragraph" w:styleId="afb">
    <w:name w:val="header"/>
    <w:basedOn w:val="a"/>
    <w:pPr>
      <w:pBdr>
        <w:top w:val="none" w:sz="0" w:space="0" w:color="000000"/>
        <w:left w:val="none" w:sz="0" w:space="0" w:color="000000"/>
        <w:bottom w:val="single" w:sz="6" w:space="1" w:color="000000"/>
        <w:right w:val="none" w:sz="0" w:space="0" w:color="000000"/>
      </w:pBdr>
      <w:tabs>
        <w:tab w:val="center" w:pos="4153"/>
        <w:tab w:val="right" w:pos="8306"/>
      </w:tabs>
      <w:snapToGrid w:val="0"/>
      <w:spacing w:line="240" w:lineRule="atLeast"/>
      <w:jc w:val="center"/>
    </w:pPr>
    <w:rPr>
      <w:sz w:val="18"/>
    </w:rPr>
  </w:style>
  <w:style w:type="paragraph" w:customStyle="1" w:styleId="12">
    <w:name w:val="正文1"/>
    <w:pPr>
      <w:widowControl w:val="0"/>
      <w:suppressAutoHyphens/>
      <w:spacing w:line="360" w:lineRule="atLeast"/>
      <w:jc w:val="center"/>
      <w:textAlignment w:val="baseline"/>
    </w:pPr>
    <w:rPr>
      <w:rFonts w:ascii="宋体" w:hAnsi="宋体"/>
      <w:sz w:val="34"/>
    </w:rPr>
  </w:style>
  <w:style w:type="paragraph" w:styleId="afc">
    <w:name w:val="Body Text First Indent"/>
    <w:basedOn w:val="ae"/>
    <w:pPr>
      <w:spacing w:after="120" w:line="240" w:lineRule="auto"/>
      <w:ind w:firstLine="420"/>
      <w:jc w:val="both"/>
      <w:textAlignment w:val="auto"/>
    </w:pPr>
    <w:rPr>
      <w:rFonts w:eastAsia="宋体"/>
      <w:kern w:val="2"/>
      <w:sz w:val="21"/>
    </w:rPr>
  </w:style>
  <w:style w:type="paragraph" w:styleId="afd">
    <w:name w:val="annotation text"/>
    <w:basedOn w:val="a"/>
  </w:style>
  <w:style w:type="paragraph" w:styleId="afe">
    <w:name w:val="annotation subject"/>
    <w:basedOn w:val="afd"/>
    <w:next w:val="afd"/>
    <w:rPr>
      <w:b/>
      <w:bCs/>
    </w:rPr>
  </w:style>
  <w:style w:type="paragraph" w:styleId="7">
    <w:name w:val="toc 7"/>
    <w:basedOn w:val="a"/>
    <w:next w:val="a"/>
    <w:pPr>
      <w:ind w:left="2520"/>
    </w:pPr>
  </w:style>
  <w:style w:type="paragraph" w:customStyle="1" w:styleId="CharChar1Char">
    <w:name w:val="Char Char1 Char"/>
    <w:basedOn w:val="a"/>
    <w:pPr>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000000"/>
        <w:left w:val="none" w:sz="0" w:space="0" w:color="000000"/>
        <w:bottom w:val="single" w:sz="4" w:space="0" w:color="000000"/>
        <w:right w:val="none" w:sz="0" w:space="0" w:color="000000"/>
      </w:pBdr>
      <w:spacing w:before="100" w:after="100" w:line="240" w:lineRule="auto"/>
      <w:jc w:val="center"/>
      <w:textAlignment w:val="center"/>
    </w:pPr>
    <w:rPr>
      <w:rFonts w:ascii="Arial Unicode MS" w:hAnsi="Arial Unicode MS" w:cs="Arial Unicode MS"/>
      <w:b/>
      <w:bCs/>
      <w:szCs w:val="24"/>
    </w:rPr>
  </w:style>
  <w:style w:type="paragraph" w:customStyle="1" w:styleId="aff">
    <w:name w:val="表格内容"/>
    <w:basedOn w:val="a"/>
    <w:pPr>
      <w:suppressLineNumbers/>
    </w:pPr>
  </w:style>
  <w:style w:type="paragraph" w:customStyle="1" w:styleId="aff0">
    <w:name w:val="表格标题"/>
    <w:basedOn w:val="aff"/>
    <w:pPr>
      <w:jc w:val="center"/>
    </w:pPr>
    <w:rPr>
      <w:b/>
      <w:bCs/>
    </w:rPr>
  </w:style>
  <w:style w:type="paragraph" w:customStyle="1" w:styleId="aff1">
    <w:name w:val="框架内容"/>
    <w:basedOn w:val="a"/>
  </w:style>
  <w:style w:type="paragraph" w:styleId="aff2">
    <w:name w:val="Revision"/>
    <w:hidden/>
    <w:uiPriority w:val="99"/>
    <w:semiHidden/>
    <w:rsid w:val="00890531"/>
    <w:rPr>
      <w:sz w:val="24"/>
    </w:rPr>
  </w:style>
  <w:style w:type="table" w:styleId="aff3">
    <w:name w:val="Table Grid"/>
    <w:basedOn w:val="a1"/>
    <w:rsid w:val="00F957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369600">
      <w:bodyDiv w:val="1"/>
      <w:marLeft w:val="0"/>
      <w:marRight w:val="0"/>
      <w:marTop w:val="0"/>
      <w:marBottom w:val="0"/>
      <w:divBdr>
        <w:top w:val="none" w:sz="0" w:space="0" w:color="auto"/>
        <w:left w:val="none" w:sz="0" w:space="0" w:color="auto"/>
        <w:bottom w:val="none" w:sz="0" w:space="0" w:color="auto"/>
        <w:right w:val="none" w:sz="0" w:space="0" w:color="auto"/>
      </w:divBdr>
    </w:div>
    <w:div w:id="1182476360">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footer" Target="footer9.xml"/><Relationship Id="rId39" Type="http://schemas.openxmlformats.org/officeDocument/2006/relationships/footer" Target="footer15.xml"/><Relationship Id="rId21" Type="http://schemas.openxmlformats.org/officeDocument/2006/relationships/footer" Target="footer7.xml"/><Relationship Id="rId34" Type="http://schemas.openxmlformats.org/officeDocument/2006/relationships/header" Target="header14.xml"/><Relationship Id="rId42" Type="http://schemas.openxmlformats.org/officeDocument/2006/relationships/footer" Target="footer17.xml"/><Relationship Id="rId47" Type="http://schemas.openxmlformats.org/officeDocument/2006/relationships/image" Target="media/image6.png"/><Relationship Id="rId50" Type="http://schemas.openxmlformats.org/officeDocument/2006/relationships/image" Target="media/image9.png"/><Relationship Id="rId55" Type="http://schemas.openxmlformats.org/officeDocument/2006/relationships/image" Target="media/image14.png"/><Relationship Id="rId63" Type="http://schemas.openxmlformats.org/officeDocument/2006/relationships/hyperlink" Target="https://baike.baidu.com/item/&#21326;&#21271;&#24179;&#21407;/555727?fromModule=lemma_inlink" TargetMode="External"/><Relationship Id="rId68" Type="http://schemas.openxmlformats.org/officeDocument/2006/relationships/image" Target="media/image23.jpeg"/><Relationship Id="rId76" Type="http://schemas.openxmlformats.org/officeDocument/2006/relationships/header" Target="header22.xml"/><Relationship Id="rId7" Type="http://schemas.openxmlformats.org/officeDocument/2006/relationships/endnotes" Target="endnotes.xml"/><Relationship Id="rId71" Type="http://schemas.openxmlformats.org/officeDocument/2006/relationships/footer" Target="footer18.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footer" Target="footer16.xml"/><Relationship Id="rId45" Type="http://schemas.openxmlformats.org/officeDocument/2006/relationships/image" Target="media/image4.png"/><Relationship Id="rId53" Type="http://schemas.openxmlformats.org/officeDocument/2006/relationships/image" Target="media/image12.png"/><Relationship Id="rId58" Type="http://schemas.openxmlformats.org/officeDocument/2006/relationships/chart" Target="charts/chart2.xml"/><Relationship Id="rId66" Type="http://schemas.openxmlformats.org/officeDocument/2006/relationships/image" Target="media/image21.png"/><Relationship Id="rId74" Type="http://schemas.openxmlformats.org/officeDocument/2006/relationships/footer" Target="footer20.xml"/><Relationship Id="rId79" Type="http://schemas.openxmlformats.org/officeDocument/2006/relationships/header" Target="header23.xml"/><Relationship Id="rId87" Type="http://schemas.microsoft.com/office/2016/09/relationships/commentsIds" Target="commentsIds.xml"/><Relationship Id="rId5" Type="http://schemas.openxmlformats.org/officeDocument/2006/relationships/webSettings" Target="webSettings.xml"/><Relationship Id="rId61" Type="http://schemas.openxmlformats.org/officeDocument/2006/relationships/image" Target="media/image19.png"/><Relationship Id="rId82"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3.xml"/><Relationship Id="rId44" Type="http://schemas.openxmlformats.org/officeDocument/2006/relationships/image" Target="media/image3.png"/><Relationship Id="rId52" Type="http://schemas.openxmlformats.org/officeDocument/2006/relationships/image" Target="media/image11.png"/><Relationship Id="rId60" Type="http://schemas.openxmlformats.org/officeDocument/2006/relationships/image" Target="media/image18.png"/><Relationship Id="rId65" Type="http://schemas.openxmlformats.org/officeDocument/2006/relationships/image" Target="media/image20.png"/><Relationship Id="rId73" Type="http://schemas.openxmlformats.org/officeDocument/2006/relationships/header" Target="header20.xml"/><Relationship Id="rId78" Type="http://schemas.openxmlformats.org/officeDocument/2006/relationships/footer" Target="footer22.xml"/><Relationship Id="rId81" Type="http://schemas.openxmlformats.org/officeDocument/2006/relationships/fontTable" Target="fontTable.xml"/><Relationship Id="rId86"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footer" Target="footer10.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chart" Target="charts/chart1.xml"/><Relationship Id="rId48" Type="http://schemas.openxmlformats.org/officeDocument/2006/relationships/image" Target="media/image7.png"/><Relationship Id="rId56" Type="http://schemas.openxmlformats.org/officeDocument/2006/relationships/image" Target="media/image15.png"/><Relationship Id="rId64" Type="http://schemas.openxmlformats.org/officeDocument/2006/relationships/hyperlink" Target="https://baike.baidu.com/item/&#20852;&#20016;&#34903;&#36947;/1816835?fromModule=lemma_inlink" TargetMode="External"/><Relationship Id="rId69" Type="http://schemas.openxmlformats.org/officeDocument/2006/relationships/header" Target="header18.xml"/><Relationship Id="rId77" Type="http://schemas.openxmlformats.org/officeDocument/2006/relationships/footer" Target="footer21.xml"/><Relationship Id="rId8" Type="http://schemas.openxmlformats.org/officeDocument/2006/relationships/header" Target="header1.xml"/><Relationship Id="rId51" Type="http://schemas.openxmlformats.org/officeDocument/2006/relationships/image" Target="media/image10.png"/><Relationship Id="rId72" Type="http://schemas.openxmlformats.org/officeDocument/2006/relationships/footer" Target="footer19.xml"/><Relationship Id="rId80" Type="http://schemas.openxmlformats.org/officeDocument/2006/relationships/footer" Target="footer23.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0.xml"/><Relationship Id="rId33" Type="http://schemas.openxmlformats.org/officeDocument/2006/relationships/footer" Target="footer13.xml"/><Relationship Id="rId38" Type="http://schemas.openxmlformats.org/officeDocument/2006/relationships/header" Target="header16.xml"/><Relationship Id="rId46" Type="http://schemas.openxmlformats.org/officeDocument/2006/relationships/image" Target="media/image5.png"/><Relationship Id="rId59" Type="http://schemas.openxmlformats.org/officeDocument/2006/relationships/image" Target="media/image17.png"/><Relationship Id="rId67" Type="http://schemas.openxmlformats.org/officeDocument/2006/relationships/image" Target="media/image22.png"/><Relationship Id="rId20" Type="http://schemas.openxmlformats.org/officeDocument/2006/relationships/footer" Target="footer6.xml"/><Relationship Id="rId41" Type="http://schemas.openxmlformats.org/officeDocument/2006/relationships/header" Target="header17.xml"/><Relationship Id="rId54" Type="http://schemas.openxmlformats.org/officeDocument/2006/relationships/image" Target="media/image13.png"/><Relationship Id="rId62" Type="http://schemas.openxmlformats.org/officeDocument/2006/relationships/hyperlink" Target="https://baike.baidu.com/item/&#21271;&#20140;&#24066;/126069?fromModule=lemma_inlink" TargetMode="External"/><Relationship Id="rId70" Type="http://schemas.openxmlformats.org/officeDocument/2006/relationships/header" Target="header19.xml"/><Relationship Id="rId75"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eader" Target="header11.xml"/><Relationship Id="rId36" Type="http://schemas.openxmlformats.org/officeDocument/2006/relationships/image" Target="media/image2.png"/><Relationship Id="rId49" Type="http://schemas.openxmlformats.org/officeDocument/2006/relationships/image" Target="media/image8.png"/><Relationship Id="rId57"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668782336"/>
        <c:axId val="668781944"/>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2E2-4236-8328-CFAA6FECA39F}"/>
                </c:ext>
                <c:ext xmlns:c15="http://schemas.microsoft.com/office/drawing/2012/chart" uri="{CE6537A1-D6FC-4f65-9D91-7224C49458BB}"/>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2E2-4236-8328-CFAA6FECA39F}"/>
                </c:ext>
                <c:ext xmlns:c15="http://schemas.microsoft.com/office/drawing/2012/chart" uri="{CE6537A1-D6FC-4f65-9D91-7224C49458BB}"/>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2E2-4236-8328-CFAA6FECA39F}"/>
                </c:ext>
                <c:ext xmlns:c15="http://schemas.microsoft.com/office/drawing/2012/chart" uri="{CE6537A1-D6FC-4f65-9D91-7224C49458BB}"/>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2E2-4236-8328-CFAA6FECA39F}"/>
                </c:ext>
                <c:ext xmlns:c15="http://schemas.microsoft.com/office/drawing/2012/chart" uri="{CE6537A1-D6FC-4f65-9D91-7224C49458BB}"/>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2E2-4236-8328-CFAA6FECA39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564080520"/>
        <c:axId val="564079736"/>
      </c:lineChart>
      <c:catAx>
        <c:axId val="668782336"/>
        <c:scaling>
          <c:orientation val="minMax"/>
        </c:scaling>
        <c:delete val="0"/>
        <c:axPos val="b"/>
        <c:numFmt formatCode="General" sourceLinked="1"/>
        <c:majorTickMark val="none"/>
        <c:minorTickMark val="none"/>
        <c:tickLblPos val="low"/>
        <c:crossAx val="668781944"/>
        <c:crosses val="autoZero"/>
        <c:auto val="1"/>
        <c:lblAlgn val="ctr"/>
        <c:lblOffset val="100"/>
        <c:noMultiLvlLbl val="0"/>
      </c:catAx>
      <c:valAx>
        <c:axId val="668781944"/>
        <c:scaling>
          <c:orientation val="minMax"/>
          <c:max val="2500"/>
          <c:min val="-500"/>
        </c:scaling>
        <c:delete val="0"/>
        <c:axPos val="l"/>
        <c:majorGridlines/>
        <c:numFmt formatCode="General" sourceLinked="1"/>
        <c:majorTickMark val="out"/>
        <c:minorTickMark val="none"/>
        <c:tickLblPos val="nextTo"/>
        <c:crossAx val="668782336"/>
        <c:crosses val="autoZero"/>
        <c:crossBetween val="between"/>
        <c:majorUnit val="500"/>
      </c:valAx>
      <c:valAx>
        <c:axId val="564079736"/>
        <c:scaling>
          <c:orientation val="minMax"/>
          <c:max val="5.000000000000001E-2"/>
          <c:min val="-1.0000000000000002E-2"/>
        </c:scaling>
        <c:delete val="0"/>
        <c:axPos val="r"/>
        <c:numFmt formatCode="0.00%" sourceLinked="1"/>
        <c:majorTickMark val="out"/>
        <c:minorTickMark val="none"/>
        <c:tickLblPos val="nextTo"/>
        <c:crossAx val="564080520"/>
        <c:crosses val="max"/>
        <c:crossBetween val="between"/>
      </c:valAx>
      <c:catAx>
        <c:axId val="564080520"/>
        <c:scaling>
          <c:orientation val="minMax"/>
        </c:scaling>
        <c:delete val="1"/>
        <c:axPos val="b"/>
        <c:numFmt formatCode="General" sourceLinked="1"/>
        <c:majorTickMark val="out"/>
        <c:minorTickMark val="none"/>
        <c:tickLblPos val="nextTo"/>
        <c:crossAx val="564079736"/>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2C60-484B-A4E4-9F740934400F}"/>
            </c:ext>
          </c:extLst>
        </c:ser>
        <c:dLbls>
          <c:showLegendKey val="0"/>
          <c:showVal val="0"/>
          <c:showCatName val="0"/>
          <c:showSerName val="0"/>
          <c:showPercent val="0"/>
          <c:showBubbleSize val="0"/>
        </c:dLbls>
        <c:gapWidth val="150"/>
        <c:axId val="564082088"/>
        <c:axId val="564078560"/>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C60-484B-A4E4-9F740934400F}"/>
                </c:ext>
                <c:ext xmlns:c15="http://schemas.microsoft.com/office/drawing/2012/chart" uri="{CE6537A1-D6FC-4f65-9D91-7224C49458BB}"/>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C60-484B-A4E4-9F740934400F}"/>
                </c:ext>
                <c:ext xmlns:c15="http://schemas.microsoft.com/office/drawing/2012/chart" uri="{CE6537A1-D6FC-4f65-9D91-7224C49458BB}"/>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C60-484B-A4E4-9F740934400F}"/>
                </c:ext>
                <c:ext xmlns:c15="http://schemas.microsoft.com/office/drawing/2012/chart" uri="{CE6537A1-D6FC-4f65-9D91-7224C49458BB}"/>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C60-484B-A4E4-9F740934400F}"/>
                </c:ext>
                <c:ext xmlns:c15="http://schemas.microsoft.com/office/drawing/2012/chart" uri="{CE6537A1-D6FC-4f65-9D91-7224C49458BB}"/>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C60-484B-A4E4-9F740934400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2C60-484B-A4E4-9F740934400F}"/>
            </c:ext>
          </c:extLst>
        </c:ser>
        <c:dLbls>
          <c:showLegendKey val="0"/>
          <c:showVal val="0"/>
          <c:showCatName val="0"/>
          <c:showSerName val="0"/>
          <c:showPercent val="0"/>
          <c:showBubbleSize val="0"/>
        </c:dLbls>
        <c:marker val="1"/>
        <c:smooth val="0"/>
        <c:axId val="690683992"/>
        <c:axId val="690686344"/>
      </c:lineChart>
      <c:catAx>
        <c:axId val="564082088"/>
        <c:scaling>
          <c:orientation val="minMax"/>
        </c:scaling>
        <c:delete val="0"/>
        <c:axPos val="b"/>
        <c:numFmt formatCode="General" sourceLinked="1"/>
        <c:majorTickMark val="none"/>
        <c:minorTickMark val="none"/>
        <c:tickLblPos val="low"/>
        <c:crossAx val="564078560"/>
        <c:crosses val="autoZero"/>
        <c:auto val="1"/>
        <c:lblAlgn val="ctr"/>
        <c:lblOffset val="100"/>
        <c:noMultiLvlLbl val="0"/>
      </c:catAx>
      <c:valAx>
        <c:axId val="564078560"/>
        <c:scaling>
          <c:orientation val="minMax"/>
          <c:max val="2500"/>
          <c:min val="-500"/>
        </c:scaling>
        <c:delete val="0"/>
        <c:axPos val="l"/>
        <c:majorGridlines/>
        <c:numFmt formatCode="General" sourceLinked="1"/>
        <c:majorTickMark val="out"/>
        <c:minorTickMark val="none"/>
        <c:tickLblPos val="nextTo"/>
        <c:crossAx val="564082088"/>
        <c:crosses val="autoZero"/>
        <c:crossBetween val="between"/>
        <c:majorUnit val="500"/>
      </c:valAx>
      <c:valAx>
        <c:axId val="690686344"/>
        <c:scaling>
          <c:orientation val="minMax"/>
          <c:max val="5.000000000000001E-2"/>
          <c:min val="-1.0000000000000002E-2"/>
        </c:scaling>
        <c:delete val="0"/>
        <c:axPos val="r"/>
        <c:numFmt formatCode="0.00%" sourceLinked="1"/>
        <c:majorTickMark val="out"/>
        <c:minorTickMark val="none"/>
        <c:tickLblPos val="nextTo"/>
        <c:crossAx val="690683992"/>
        <c:crosses val="max"/>
        <c:crossBetween val="between"/>
      </c:valAx>
      <c:catAx>
        <c:axId val="690683992"/>
        <c:scaling>
          <c:orientation val="minMax"/>
        </c:scaling>
        <c:delete val="1"/>
        <c:axPos val="b"/>
        <c:numFmt formatCode="General" sourceLinked="1"/>
        <c:majorTickMark val="out"/>
        <c:minorTickMark val="none"/>
        <c:tickLblPos val="nextTo"/>
        <c:crossAx val="69068634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56D57-9380-44BF-97CA-B5C903C62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73</Pages>
  <Words>7158</Words>
  <Characters>40805</Characters>
  <Application>Microsoft Office Word</Application>
  <DocSecurity>0</DocSecurity>
  <Lines>340</Lines>
  <Paragraphs>95</Paragraphs>
  <ScaleCrop>false</ScaleCrop>
  <Company>HP</Company>
  <LinksUpToDate>false</LinksUpToDate>
  <CharactersWithSpaces>47868</CharactersWithSpaces>
  <SharedDoc>false</SharedDoc>
  <HLinks>
    <vt:vector size="186" baseType="variant">
      <vt:variant>
        <vt:i4>-652026350</vt:i4>
      </vt:variant>
      <vt:variant>
        <vt:i4>177</vt:i4>
      </vt:variant>
      <vt:variant>
        <vt:i4>0</vt:i4>
      </vt:variant>
      <vt:variant>
        <vt:i4>5</vt:i4>
      </vt:variant>
      <vt:variant>
        <vt:lpwstr>https://baike.baidu.com/item/兴丰街道/1816835?fromModule=lemma_inlink</vt:lpwstr>
      </vt:variant>
      <vt:variant>
        <vt:lpwstr/>
      </vt:variant>
      <vt:variant>
        <vt:i4>218759315</vt:i4>
      </vt:variant>
      <vt:variant>
        <vt:i4>174</vt:i4>
      </vt:variant>
      <vt:variant>
        <vt:i4>0</vt:i4>
      </vt:variant>
      <vt:variant>
        <vt:i4>5</vt:i4>
      </vt:variant>
      <vt:variant>
        <vt:lpwstr>https://baike.baidu.com/item/华北平原/555727?fromModule=lemma_inlink</vt:lpwstr>
      </vt:variant>
      <vt:variant>
        <vt:lpwstr/>
      </vt:variant>
      <vt:variant>
        <vt:i4>221728452</vt:i4>
      </vt:variant>
      <vt:variant>
        <vt:i4>171</vt:i4>
      </vt:variant>
      <vt:variant>
        <vt:i4>0</vt:i4>
      </vt:variant>
      <vt:variant>
        <vt:i4>5</vt:i4>
      </vt:variant>
      <vt:variant>
        <vt:lpwstr>https://baike.baidu.com/item/北京市/126069?fromModule=lemma_inlink</vt:lpwstr>
      </vt:variant>
      <vt:variant>
        <vt:lpwstr/>
      </vt:variant>
      <vt:variant>
        <vt:i4>1310774</vt:i4>
      </vt:variant>
      <vt:variant>
        <vt:i4>164</vt:i4>
      </vt:variant>
      <vt:variant>
        <vt:i4>0</vt:i4>
      </vt:variant>
      <vt:variant>
        <vt:i4>5</vt:i4>
      </vt:variant>
      <vt:variant>
        <vt:lpwstr/>
      </vt:variant>
      <vt:variant>
        <vt:lpwstr>_Toc161661028</vt:lpwstr>
      </vt:variant>
      <vt:variant>
        <vt:i4>1310774</vt:i4>
      </vt:variant>
      <vt:variant>
        <vt:i4>158</vt:i4>
      </vt:variant>
      <vt:variant>
        <vt:i4>0</vt:i4>
      </vt:variant>
      <vt:variant>
        <vt:i4>5</vt:i4>
      </vt:variant>
      <vt:variant>
        <vt:lpwstr/>
      </vt:variant>
      <vt:variant>
        <vt:lpwstr>_Toc161661027</vt:lpwstr>
      </vt:variant>
      <vt:variant>
        <vt:i4>1310774</vt:i4>
      </vt:variant>
      <vt:variant>
        <vt:i4>152</vt:i4>
      </vt:variant>
      <vt:variant>
        <vt:i4>0</vt:i4>
      </vt:variant>
      <vt:variant>
        <vt:i4>5</vt:i4>
      </vt:variant>
      <vt:variant>
        <vt:lpwstr/>
      </vt:variant>
      <vt:variant>
        <vt:lpwstr>_Toc161661026</vt:lpwstr>
      </vt:variant>
      <vt:variant>
        <vt:i4>1310774</vt:i4>
      </vt:variant>
      <vt:variant>
        <vt:i4>146</vt:i4>
      </vt:variant>
      <vt:variant>
        <vt:i4>0</vt:i4>
      </vt:variant>
      <vt:variant>
        <vt:i4>5</vt:i4>
      </vt:variant>
      <vt:variant>
        <vt:lpwstr/>
      </vt:variant>
      <vt:variant>
        <vt:lpwstr>_Toc161661025</vt:lpwstr>
      </vt:variant>
      <vt:variant>
        <vt:i4>1310774</vt:i4>
      </vt:variant>
      <vt:variant>
        <vt:i4>140</vt:i4>
      </vt:variant>
      <vt:variant>
        <vt:i4>0</vt:i4>
      </vt:variant>
      <vt:variant>
        <vt:i4>5</vt:i4>
      </vt:variant>
      <vt:variant>
        <vt:lpwstr/>
      </vt:variant>
      <vt:variant>
        <vt:lpwstr>_Toc161661024</vt:lpwstr>
      </vt:variant>
      <vt:variant>
        <vt:i4>1310774</vt:i4>
      </vt:variant>
      <vt:variant>
        <vt:i4>134</vt:i4>
      </vt:variant>
      <vt:variant>
        <vt:i4>0</vt:i4>
      </vt:variant>
      <vt:variant>
        <vt:i4>5</vt:i4>
      </vt:variant>
      <vt:variant>
        <vt:lpwstr/>
      </vt:variant>
      <vt:variant>
        <vt:lpwstr>_Toc161661023</vt:lpwstr>
      </vt:variant>
      <vt:variant>
        <vt:i4>1310774</vt:i4>
      </vt:variant>
      <vt:variant>
        <vt:i4>128</vt:i4>
      </vt:variant>
      <vt:variant>
        <vt:i4>0</vt:i4>
      </vt:variant>
      <vt:variant>
        <vt:i4>5</vt:i4>
      </vt:variant>
      <vt:variant>
        <vt:lpwstr/>
      </vt:variant>
      <vt:variant>
        <vt:lpwstr>_Toc161661022</vt:lpwstr>
      </vt:variant>
      <vt:variant>
        <vt:i4>1310774</vt:i4>
      </vt:variant>
      <vt:variant>
        <vt:i4>122</vt:i4>
      </vt:variant>
      <vt:variant>
        <vt:i4>0</vt:i4>
      </vt:variant>
      <vt:variant>
        <vt:i4>5</vt:i4>
      </vt:variant>
      <vt:variant>
        <vt:lpwstr/>
      </vt:variant>
      <vt:variant>
        <vt:lpwstr>_Toc161661021</vt:lpwstr>
      </vt:variant>
      <vt:variant>
        <vt:i4>1310774</vt:i4>
      </vt:variant>
      <vt:variant>
        <vt:i4>116</vt:i4>
      </vt:variant>
      <vt:variant>
        <vt:i4>0</vt:i4>
      </vt:variant>
      <vt:variant>
        <vt:i4>5</vt:i4>
      </vt:variant>
      <vt:variant>
        <vt:lpwstr/>
      </vt:variant>
      <vt:variant>
        <vt:lpwstr>_Toc161661020</vt:lpwstr>
      </vt:variant>
      <vt:variant>
        <vt:i4>1507382</vt:i4>
      </vt:variant>
      <vt:variant>
        <vt:i4>110</vt:i4>
      </vt:variant>
      <vt:variant>
        <vt:i4>0</vt:i4>
      </vt:variant>
      <vt:variant>
        <vt:i4>5</vt:i4>
      </vt:variant>
      <vt:variant>
        <vt:lpwstr/>
      </vt:variant>
      <vt:variant>
        <vt:lpwstr>_Toc161661019</vt:lpwstr>
      </vt:variant>
      <vt:variant>
        <vt:i4>1507382</vt:i4>
      </vt:variant>
      <vt:variant>
        <vt:i4>104</vt:i4>
      </vt:variant>
      <vt:variant>
        <vt:i4>0</vt:i4>
      </vt:variant>
      <vt:variant>
        <vt:i4>5</vt:i4>
      </vt:variant>
      <vt:variant>
        <vt:lpwstr/>
      </vt:variant>
      <vt:variant>
        <vt:lpwstr>_Toc161661018</vt:lpwstr>
      </vt:variant>
      <vt:variant>
        <vt:i4>1507382</vt:i4>
      </vt:variant>
      <vt:variant>
        <vt:i4>98</vt:i4>
      </vt:variant>
      <vt:variant>
        <vt:i4>0</vt:i4>
      </vt:variant>
      <vt:variant>
        <vt:i4>5</vt:i4>
      </vt:variant>
      <vt:variant>
        <vt:lpwstr/>
      </vt:variant>
      <vt:variant>
        <vt:lpwstr>_Toc161661017</vt:lpwstr>
      </vt:variant>
      <vt:variant>
        <vt:i4>1507382</vt:i4>
      </vt:variant>
      <vt:variant>
        <vt:i4>92</vt:i4>
      </vt:variant>
      <vt:variant>
        <vt:i4>0</vt:i4>
      </vt:variant>
      <vt:variant>
        <vt:i4>5</vt:i4>
      </vt:variant>
      <vt:variant>
        <vt:lpwstr/>
      </vt:variant>
      <vt:variant>
        <vt:lpwstr>_Toc161661016</vt:lpwstr>
      </vt:variant>
      <vt:variant>
        <vt:i4>1507382</vt:i4>
      </vt:variant>
      <vt:variant>
        <vt:i4>86</vt:i4>
      </vt:variant>
      <vt:variant>
        <vt:i4>0</vt:i4>
      </vt:variant>
      <vt:variant>
        <vt:i4>5</vt:i4>
      </vt:variant>
      <vt:variant>
        <vt:lpwstr/>
      </vt:variant>
      <vt:variant>
        <vt:lpwstr>_Toc161661015</vt:lpwstr>
      </vt:variant>
      <vt:variant>
        <vt:i4>1507382</vt:i4>
      </vt:variant>
      <vt:variant>
        <vt:i4>80</vt:i4>
      </vt:variant>
      <vt:variant>
        <vt:i4>0</vt:i4>
      </vt:variant>
      <vt:variant>
        <vt:i4>5</vt:i4>
      </vt:variant>
      <vt:variant>
        <vt:lpwstr/>
      </vt:variant>
      <vt:variant>
        <vt:lpwstr>_Toc161661014</vt:lpwstr>
      </vt:variant>
      <vt:variant>
        <vt:i4>1507382</vt:i4>
      </vt:variant>
      <vt:variant>
        <vt:i4>74</vt:i4>
      </vt:variant>
      <vt:variant>
        <vt:i4>0</vt:i4>
      </vt:variant>
      <vt:variant>
        <vt:i4>5</vt:i4>
      </vt:variant>
      <vt:variant>
        <vt:lpwstr/>
      </vt:variant>
      <vt:variant>
        <vt:lpwstr>_Toc161661013</vt:lpwstr>
      </vt:variant>
      <vt:variant>
        <vt:i4>1507382</vt:i4>
      </vt:variant>
      <vt:variant>
        <vt:i4>68</vt:i4>
      </vt:variant>
      <vt:variant>
        <vt:i4>0</vt:i4>
      </vt:variant>
      <vt:variant>
        <vt:i4>5</vt:i4>
      </vt:variant>
      <vt:variant>
        <vt:lpwstr/>
      </vt:variant>
      <vt:variant>
        <vt:lpwstr>_Toc161661012</vt:lpwstr>
      </vt:variant>
      <vt:variant>
        <vt:i4>1507382</vt:i4>
      </vt:variant>
      <vt:variant>
        <vt:i4>62</vt:i4>
      </vt:variant>
      <vt:variant>
        <vt:i4>0</vt:i4>
      </vt:variant>
      <vt:variant>
        <vt:i4>5</vt:i4>
      </vt:variant>
      <vt:variant>
        <vt:lpwstr/>
      </vt:variant>
      <vt:variant>
        <vt:lpwstr>_Toc161661011</vt:lpwstr>
      </vt:variant>
      <vt:variant>
        <vt:i4>1507382</vt:i4>
      </vt:variant>
      <vt:variant>
        <vt:i4>56</vt:i4>
      </vt:variant>
      <vt:variant>
        <vt:i4>0</vt:i4>
      </vt:variant>
      <vt:variant>
        <vt:i4>5</vt:i4>
      </vt:variant>
      <vt:variant>
        <vt:lpwstr/>
      </vt:variant>
      <vt:variant>
        <vt:lpwstr>_Toc161661010</vt:lpwstr>
      </vt:variant>
      <vt:variant>
        <vt:i4>1441846</vt:i4>
      </vt:variant>
      <vt:variant>
        <vt:i4>50</vt:i4>
      </vt:variant>
      <vt:variant>
        <vt:i4>0</vt:i4>
      </vt:variant>
      <vt:variant>
        <vt:i4>5</vt:i4>
      </vt:variant>
      <vt:variant>
        <vt:lpwstr/>
      </vt:variant>
      <vt:variant>
        <vt:lpwstr>_Toc161661009</vt:lpwstr>
      </vt:variant>
      <vt:variant>
        <vt:i4>1441846</vt:i4>
      </vt:variant>
      <vt:variant>
        <vt:i4>44</vt:i4>
      </vt:variant>
      <vt:variant>
        <vt:i4>0</vt:i4>
      </vt:variant>
      <vt:variant>
        <vt:i4>5</vt:i4>
      </vt:variant>
      <vt:variant>
        <vt:lpwstr/>
      </vt:variant>
      <vt:variant>
        <vt:lpwstr>_Toc161661008</vt:lpwstr>
      </vt:variant>
      <vt:variant>
        <vt:i4>1441846</vt:i4>
      </vt:variant>
      <vt:variant>
        <vt:i4>38</vt:i4>
      </vt:variant>
      <vt:variant>
        <vt:i4>0</vt:i4>
      </vt:variant>
      <vt:variant>
        <vt:i4>5</vt:i4>
      </vt:variant>
      <vt:variant>
        <vt:lpwstr/>
      </vt:variant>
      <vt:variant>
        <vt:lpwstr>_Toc161661007</vt:lpwstr>
      </vt:variant>
      <vt:variant>
        <vt:i4>1441846</vt:i4>
      </vt:variant>
      <vt:variant>
        <vt:i4>32</vt:i4>
      </vt:variant>
      <vt:variant>
        <vt:i4>0</vt:i4>
      </vt:variant>
      <vt:variant>
        <vt:i4>5</vt:i4>
      </vt:variant>
      <vt:variant>
        <vt:lpwstr/>
      </vt:variant>
      <vt:variant>
        <vt:lpwstr>_Toc161661006</vt:lpwstr>
      </vt:variant>
      <vt:variant>
        <vt:i4>1441846</vt:i4>
      </vt:variant>
      <vt:variant>
        <vt:i4>26</vt:i4>
      </vt:variant>
      <vt:variant>
        <vt:i4>0</vt:i4>
      </vt:variant>
      <vt:variant>
        <vt:i4>5</vt:i4>
      </vt:variant>
      <vt:variant>
        <vt:lpwstr/>
      </vt:variant>
      <vt:variant>
        <vt:lpwstr>_Toc161661005</vt:lpwstr>
      </vt:variant>
      <vt:variant>
        <vt:i4>1441846</vt:i4>
      </vt:variant>
      <vt:variant>
        <vt:i4>20</vt:i4>
      </vt:variant>
      <vt:variant>
        <vt:i4>0</vt:i4>
      </vt:variant>
      <vt:variant>
        <vt:i4>5</vt:i4>
      </vt:variant>
      <vt:variant>
        <vt:lpwstr/>
      </vt:variant>
      <vt:variant>
        <vt:lpwstr>_Toc161661004</vt:lpwstr>
      </vt:variant>
      <vt:variant>
        <vt:i4>1441846</vt:i4>
      </vt:variant>
      <vt:variant>
        <vt:i4>14</vt:i4>
      </vt:variant>
      <vt:variant>
        <vt:i4>0</vt:i4>
      </vt:variant>
      <vt:variant>
        <vt:i4>5</vt:i4>
      </vt:variant>
      <vt:variant>
        <vt:lpwstr/>
      </vt:variant>
      <vt:variant>
        <vt:lpwstr>_Toc161661003</vt:lpwstr>
      </vt:variant>
      <vt:variant>
        <vt:i4>1441846</vt:i4>
      </vt:variant>
      <vt:variant>
        <vt:i4>8</vt:i4>
      </vt:variant>
      <vt:variant>
        <vt:i4>0</vt:i4>
      </vt:variant>
      <vt:variant>
        <vt:i4>5</vt:i4>
      </vt:variant>
      <vt:variant>
        <vt:lpwstr/>
      </vt:variant>
      <vt:variant>
        <vt:lpwstr>_Toc161661002</vt:lpwstr>
      </vt:variant>
      <vt:variant>
        <vt:i4>1441846</vt:i4>
      </vt:variant>
      <vt:variant>
        <vt:i4>2</vt:i4>
      </vt:variant>
      <vt:variant>
        <vt:i4>0</vt:i4>
      </vt:variant>
      <vt:variant>
        <vt:i4>5</vt:i4>
      </vt:variant>
      <vt:variant>
        <vt:lpwstr/>
      </vt:variant>
      <vt:variant>
        <vt:lpwstr>_Toc161661001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win10A</cp:lastModifiedBy>
  <cp:revision>17</cp:revision>
  <cp:lastPrinted>2024-12-05T01:13:00Z</cp:lastPrinted>
  <dcterms:created xsi:type="dcterms:W3CDTF">2024-11-28T02:26:00Z</dcterms:created>
  <dcterms:modified xsi:type="dcterms:W3CDTF">2025-12-12T09:30:00Z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2052-3.9.6.6441</vt:lpwstr>
  </property>
</Properties>
</file>