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omments.xml" ContentType="application/vnd.openxmlformats-officedocument.wordprocessingml.comments+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Pr="0043038D" w:rsidRDefault="00837133">
      <w:pPr>
        <w:numPr>
          <w:ilvl w:val="0"/>
          <w:numId w:val="4"/>
        </w:numPr>
        <w:spacing w:line="300" w:lineRule="exact"/>
        <w:ind w:right="-93"/>
        <w:jc w:val="both"/>
        <w:outlineLvl w:val="0"/>
        <w:rPr>
          <w:rFonts w:ascii="Arial" w:eastAsia="方正黑体简体" w:hAnsi="Arial" w:cs="Arial"/>
          <w:b/>
          <w:bCs/>
          <w:sz w:val="21"/>
          <w:szCs w:val="21"/>
        </w:rPr>
      </w:pPr>
      <w:r w:rsidRPr="0043038D">
        <w:rPr>
          <w:rFonts w:ascii="Arial" w:eastAsia="方正黑体简体" w:hAnsi="Arial" w:cs="Arial" w:hint="eastAsia"/>
          <w:b/>
          <w:bCs/>
          <w:sz w:val="21"/>
          <w:szCs w:val="21"/>
        </w:rPr>
        <w:t>估价项目名称：</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sz w:val="21"/>
          <w:szCs w:val="21"/>
        </w:rPr>
        <w:t>北京市</w:t>
      </w:r>
      <w:proofErr w:type="gramStart"/>
      <w:r w:rsidRPr="0043038D">
        <w:rPr>
          <w:rFonts w:ascii="Arial" w:eastAsia="方正黑体简体" w:hAnsi="Arial" w:cs="Arial"/>
          <w:sz w:val="21"/>
          <w:szCs w:val="21"/>
        </w:rPr>
        <w:t>大兴区</w:t>
      </w:r>
      <w:proofErr w:type="gramEnd"/>
      <w:r w:rsidRPr="0043038D">
        <w:rPr>
          <w:rFonts w:ascii="Arial" w:eastAsia="方正黑体简体" w:hAnsi="Arial" w:cs="Arial"/>
          <w:sz w:val="21"/>
          <w:szCs w:val="21"/>
        </w:rPr>
        <w:t>西红门镇</w:t>
      </w:r>
      <w:r w:rsidRPr="0043038D">
        <w:rPr>
          <w:rFonts w:ascii="Arial" w:eastAsia="方正黑体简体" w:hAnsi="Arial" w:cs="Arial"/>
          <w:sz w:val="21"/>
          <w:szCs w:val="21"/>
        </w:rPr>
        <w:t>DX04-0102-6011</w:t>
      </w:r>
      <w:r w:rsidRPr="0043038D">
        <w:rPr>
          <w:rFonts w:ascii="Arial" w:eastAsia="方正黑体简体" w:hAnsi="Arial" w:cs="Arial"/>
          <w:sz w:val="21"/>
          <w:szCs w:val="21"/>
        </w:rPr>
        <w:t>、</w:t>
      </w:r>
      <w:r w:rsidRPr="0043038D">
        <w:rPr>
          <w:rFonts w:ascii="Arial" w:eastAsia="方正黑体简体" w:hAnsi="Arial" w:cs="Arial"/>
          <w:sz w:val="21"/>
          <w:szCs w:val="21"/>
        </w:rPr>
        <w:t>6014</w:t>
      </w:r>
      <w:r w:rsidRPr="0043038D">
        <w:rPr>
          <w:rFonts w:ascii="Arial" w:eastAsia="方正黑体简体" w:hAnsi="Arial" w:cs="Arial"/>
          <w:sz w:val="21"/>
          <w:szCs w:val="21"/>
        </w:rPr>
        <w:t>地块</w:t>
      </w:r>
      <w:r w:rsidRPr="0043038D">
        <w:rPr>
          <w:rFonts w:ascii="Arial" w:eastAsia="方正黑体简体" w:hAnsi="Arial" w:cs="Arial"/>
          <w:sz w:val="21"/>
          <w:szCs w:val="21"/>
        </w:rPr>
        <w:t>R2</w:t>
      </w:r>
      <w:proofErr w:type="gramStart"/>
      <w:r w:rsidRPr="0043038D">
        <w:rPr>
          <w:rFonts w:ascii="Arial" w:eastAsia="方正黑体简体" w:hAnsi="Arial" w:cs="Arial"/>
          <w:sz w:val="21"/>
          <w:szCs w:val="21"/>
        </w:rPr>
        <w:t>二</w:t>
      </w:r>
      <w:proofErr w:type="gramEnd"/>
      <w:r w:rsidRPr="0043038D">
        <w:rPr>
          <w:rFonts w:ascii="Arial" w:eastAsia="方正黑体简体" w:hAnsi="Arial" w:cs="Arial"/>
          <w:sz w:val="21"/>
          <w:szCs w:val="21"/>
        </w:rPr>
        <w:t>类居住用地（配建</w:t>
      </w:r>
      <w:r w:rsidRPr="0043038D">
        <w:rPr>
          <w:rFonts w:ascii="Arial" w:eastAsia="方正黑体简体" w:hAnsi="Arial" w:cs="Arial"/>
          <w:sz w:val="21"/>
          <w:szCs w:val="21"/>
        </w:rPr>
        <w:t>“</w:t>
      </w:r>
      <w:r w:rsidRPr="0043038D">
        <w:rPr>
          <w:rFonts w:ascii="Arial" w:eastAsia="方正黑体简体" w:hAnsi="Arial" w:cs="Arial"/>
          <w:sz w:val="21"/>
          <w:szCs w:val="21"/>
        </w:rPr>
        <w:t>保障性租赁住房</w:t>
      </w:r>
      <w:r w:rsidRPr="0043038D">
        <w:rPr>
          <w:rFonts w:ascii="Arial" w:eastAsia="方正黑体简体" w:hAnsi="Arial" w:cs="Arial"/>
          <w:sz w:val="21"/>
          <w:szCs w:val="21"/>
        </w:rPr>
        <w:t>”</w:t>
      </w:r>
      <w:r w:rsidRPr="0043038D">
        <w:rPr>
          <w:rFonts w:ascii="Arial" w:eastAsia="方正黑体简体" w:hAnsi="Arial" w:cs="Arial"/>
          <w:sz w:val="21"/>
          <w:szCs w:val="21"/>
        </w:rPr>
        <w:t>）项目（</w:t>
      </w:r>
      <w:r w:rsidRPr="0043038D">
        <w:rPr>
          <w:rFonts w:ascii="Arial" w:eastAsia="方正黑体简体" w:hAnsi="Arial" w:cs="Arial" w:hint="eastAsia"/>
          <w:sz w:val="21"/>
          <w:szCs w:val="21"/>
        </w:rPr>
        <w:t>橡树湾</w:t>
      </w:r>
      <w:r w:rsidRPr="0043038D">
        <w:rPr>
          <w:rFonts w:ascii="Arial" w:eastAsia="方正黑体简体" w:hAnsi="Arial" w:cs="Arial"/>
          <w:sz w:val="21"/>
          <w:szCs w:val="21"/>
        </w:rPr>
        <w:t>）</w:t>
      </w:r>
      <w:r w:rsidRPr="0043038D">
        <w:rPr>
          <w:rFonts w:ascii="Arial" w:eastAsia="方正黑体简体" w:hAnsi="Arial" w:cs="Arial" w:hint="eastAsia"/>
          <w:sz w:val="21"/>
          <w:szCs w:val="21"/>
        </w:rPr>
        <w:t>保障性租赁住房（住宅型）项目同地段、同品质市场租赁住房租金</w:t>
      </w:r>
      <w:r w:rsidRPr="0043038D">
        <w:rPr>
          <w:rFonts w:ascii="Arial" w:eastAsia="方正黑体简体" w:hAnsi="Arial" w:cs="Arial"/>
          <w:sz w:val="21"/>
          <w:szCs w:val="21"/>
        </w:rPr>
        <w:t>评估</w:t>
      </w:r>
    </w:p>
    <w:p w:rsidR="000E5655" w:rsidRPr="0043038D" w:rsidRDefault="000E5655">
      <w:pPr>
        <w:spacing w:line="300" w:lineRule="exact"/>
        <w:rPr>
          <w:rFonts w:ascii="Arial" w:eastAsia="方正黑体简体" w:hAnsi="Arial" w:cs="Arial"/>
          <w:b/>
          <w:bCs/>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估价委托人：</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hint="eastAsia"/>
          <w:sz w:val="21"/>
          <w:szCs w:val="21"/>
        </w:rPr>
        <w:t>北京市燕</w:t>
      </w:r>
      <w:proofErr w:type="gramStart"/>
      <w:r w:rsidRPr="0043038D">
        <w:rPr>
          <w:rFonts w:ascii="Arial" w:eastAsia="方正黑体简体" w:hAnsi="Arial" w:cs="Arial" w:hint="eastAsia"/>
          <w:sz w:val="21"/>
          <w:szCs w:val="21"/>
        </w:rPr>
        <w:t>兴保障</w:t>
      </w:r>
      <w:proofErr w:type="gramEnd"/>
      <w:r w:rsidRPr="0043038D">
        <w:rPr>
          <w:rFonts w:ascii="Arial" w:eastAsia="方正黑体简体" w:hAnsi="Arial" w:cs="Arial" w:hint="eastAsia"/>
          <w:sz w:val="21"/>
          <w:szCs w:val="21"/>
        </w:rPr>
        <w:t>性住房建设投资有限公司</w:t>
      </w:r>
    </w:p>
    <w:p w:rsidR="000E5655" w:rsidRPr="0043038D" w:rsidRDefault="000E5655">
      <w:pPr>
        <w:spacing w:line="300" w:lineRule="exact"/>
        <w:ind w:left="360"/>
        <w:jc w:val="both"/>
        <w:rPr>
          <w:rFonts w:ascii="Arial" w:eastAsia="方正黑体简体" w:hAnsi="Arial" w:cs="Arial"/>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房地产估价机构：</w:t>
      </w:r>
    </w:p>
    <w:p w:rsidR="000E5655" w:rsidRPr="0043038D" w:rsidRDefault="00837133">
      <w:pPr>
        <w:spacing w:line="300" w:lineRule="exact"/>
        <w:ind w:left="360"/>
        <w:jc w:val="both"/>
        <w:rPr>
          <w:rFonts w:ascii="Arial" w:eastAsia="方正黑体简体" w:hAnsi="Arial" w:cs="Arial"/>
          <w:sz w:val="21"/>
          <w:szCs w:val="21"/>
        </w:rPr>
      </w:pPr>
      <w:proofErr w:type="gramStart"/>
      <w:r w:rsidRPr="0043038D">
        <w:rPr>
          <w:rFonts w:ascii="Arial" w:eastAsia="方正黑体简体" w:hAnsi="Arial" w:cs="Arial" w:hint="eastAsia"/>
          <w:sz w:val="21"/>
          <w:szCs w:val="21"/>
        </w:rPr>
        <w:t>北京康正宏</w:t>
      </w:r>
      <w:proofErr w:type="gramEnd"/>
      <w:r w:rsidRPr="0043038D">
        <w:rPr>
          <w:rFonts w:ascii="Arial" w:eastAsia="方正黑体简体" w:hAnsi="Arial" w:cs="Arial" w:hint="eastAsia"/>
          <w:sz w:val="21"/>
          <w:szCs w:val="21"/>
        </w:rPr>
        <w:t>基房地产评估有限公司</w:t>
      </w:r>
    </w:p>
    <w:p w:rsidR="000E5655" w:rsidRPr="0043038D" w:rsidRDefault="000E5655">
      <w:pPr>
        <w:spacing w:line="300" w:lineRule="exact"/>
        <w:jc w:val="both"/>
        <w:rPr>
          <w:rFonts w:ascii="Arial" w:eastAsia="方正黑体简体" w:hAnsi="Arial" w:cs="Arial"/>
          <w:b/>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注册房地产估价师：</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hint="eastAsia"/>
          <w:sz w:val="21"/>
          <w:szCs w:val="21"/>
        </w:rPr>
        <w:t>高</w:t>
      </w:r>
      <w:r w:rsidRPr="0043038D">
        <w:rPr>
          <w:rFonts w:ascii="Arial" w:eastAsia="方正黑体简体" w:hAnsi="Arial" w:cs="Arial" w:hint="eastAsia"/>
          <w:sz w:val="21"/>
          <w:szCs w:val="21"/>
        </w:rPr>
        <w:t xml:space="preserve"> </w:t>
      </w:r>
      <w:r w:rsidRPr="0043038D">
        <w:rPr>
          <w:rFonts w:ascii="Arial" w:eastAsia="方正黑体简体" w:hAnsi="Arial" w:cs="Arial"/>
          <w:sz w:val="21"/>
          <w:szCs w:val="21"/>
        </w:rPr>
        <w:t xml:space="preserve"> </w:t>
      </w:r>
      <w:r w:rsidRPr="0043038D">
        <w:rPr>
          <w:rFonts w:ascii="Arial" w:eastAsia="方正黑体简体" w:hAnsi="Arial" w:cs="Arial" w:hint="eastAsia"/>
          <w:sz w:val="21"/>
          <w:szCs w:val="21"/>
        </w:rPr>
        <w:t>鹏（注册号：</w:t>
      </w:r>
      <w:r w:rsidRPr="0043038D">
        <w:rPr>
          <w:rFonts w:ascii="Arial" w:eastAsia="方正黑体简体" w:hAnsi="Arial" w:cs="Arial"/>
          <w:sz w:val="21"/>
          <w:szCs w:val="21"/>
        </w:rPr>
        <w:t>1120140024</w:t>
      </w:r>
      <w:r w:rsidRPr="0043038D">
        <w:rPr>
          <w:rFonts w:ascii="Arial" w:eastAsia="方正黑体简体" w:hAnsi="Arial" w:cs="Arial" w:hint="eastAsia"/>
          <w:sz w:val="21"/>
          <w:szCs w:val="21"/>
        </w:rPr>
        <w:t>）、</w:t>
      </w:r>
      <w:r w:rsidRPr="0043038D">
        <w:rPr>
          <w:rFonts w:ascii="Arial" w:eastAsia="方正黑体简体" w:hAnsi="Arial" w:hint="eastAsia"/>
          <w:sz w:val="21"/>
          <w:szCs w:val="21"/>
        </w:rPr>
        <w:t>许皓源</w:t>
      </w:r>
      <w:r w:rsidRPr="0043038D">
        <w:rPr>
          <w:rFonts w:ascii="Arial" w:eastAsia="方正黑体简体" w:hAnsi="Arial"/>
          <w:sz w:val="21"/>
          <w:szCs w:val="21"/>
        </w:rPr>
        <w:t>（注册号：</w:t>
      </w:r>
      <w:r w:rsidRPr="0043038D">
        <w:rPr>
          <w:rFonts w:ascii="Arial" w:eastAsia="方正黑体简体" w:hAnsi="Arial"/>
          <w:sz w:val="21"/>
          <w:szCs w:val="21"/>
        </w:rPr>
        <w:t>1119980019</w:t>
      </w:r>
      <w:r w:rsidRPr="0043038D">
        <w:rPr>
          <w:rFonts w:ascii="Arial" w:eastAsia="方正黑体简体" w:hAnsi="Arial" w:hint="eastAsia"/>
          <w:sz w:val="21"/>
          <w:szCs w:val="21"/>
        </w:rPr>
        <w:t>）</w:t>
      </w:r>
    </w:p>
    <w:p w:rsidR="000E5655" w:rsidRPr="0043038D" w:rsidRDefault="000E5655">
      <w:pPr>
        <w:spacing w:line="300" w:lineRule="exact"/>
        <w:jc w:val="both"/>
        <w:rPr>
          <w:rFonts w:ascii="Arial" w:eastAsia="方正黑体简体" w:hAnsi="Arial" w:cs="Arial"/>
          <w:b/>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b/>
          <w:sz w:val="21"/>
          <w:szCs w:val="21"/>
        </w:rPr>
        <w:t>估价报告出具日期：</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sz w:val="21"/>
          <w:szCs w:val="21"/>
        </w:rPr>
        <w:t>2024</w:t>
      </w:r>
      <w:r w:rsidRPr="0043038D">
        <w:rPr>
          <w:rFonts w:ascii="Arial" w:eastAsia="方正黑体简体" w:hAnsi="Arial" w:cs="Arial"/>
          <w:sz w:val="21"/>
          <w:szCs w:val="21"/>
        </w:rPr>
        <w:t>年</w:t>
      </w:r>
      <w:r w:rsidR="00D6006C" w:rsidRPr="0043038D">
        <w:rPr>
          <w:rFonts w:ascii="Arial" w:eastAsia="方正黑体简体" w:hAnsi="Arial" w:cs="Arial"/>
          <w:sz w:val="21"/>
          <w:szCs w:val="21"/>
        </w:rPr>
        <w:t>11</w:t>
      </w:r>
      <w:r w:rsidRPr="0043038D">
        <w:rPr>
          <w:rFonts w:ascii="Arial" w:eastAsia="方正黑体简体" w:hAnsi="Arial" w:cs="Arial"/>
          <w:sz w:val="21"/>
          <w:szCs w:val="21"/>
        </w:rPr>
        <w:t>月</w:t>
      </w:r>
      <w:r w:rsidR="00D6006C" w:rsidRPr="0043038D">
        <w:rPr>
          <w:rFonts w:ascii="Arial" w:eastAsia="方正黑体简体" w:hAnsi="Arial" w:cs="Arial"/>
          <w:sz w:val="21"/>
          <w:szCs w:val="21"/>
        </w:rPr>
        <w:t>5</w:t>
      </w:r>
      <w:r w:rsidRPr="0043038D">
        <w:rPr>
          <w:rFonts w:ascii="Arial" w:eastAsia="方正黑体简体" w:hAnsi="Arial" w:cs="Arial"/>
          <w:sz w:val="21"/>
          <w:szCs w:val="21"/>
        </w:rPr>
        <w:t>日</w:t>
      </w:r>
    </w:p>
    <w:p w:rsidR="000E5655" w:rsidRPr="0043038D" w:rsidRDefault="000E5655">
      <w:pPr>
        <w:spacing w:line="300" w:lineRule="exact"/>
        <w:jc w:val="both"/>
        <w:rPr>
          <w:rFonts w:ascii="Arial" w:eastAsia="方正黑体简体" w:hAnsi="Arial" w:cs="Arial"/>
          <w:b/>
          <w:sz w:val="21"/>
          <w:szCs w:val="21"/>
        </w:rPr>
      </w:pPr>
    </w:p>
    <w:p w:rsidR="000E5655" w:rsidRPr="0043038D" w:rsidRDefault="00837133">
      <w:pPr>
        <w:numPr>
          <w:ilvl w:val="0"/>
          <w:numId w:val="4"/>
        </w:numPr>
        <w:spacing w:line="300" w:lineRule="exact"/>
        <w:jc w:val="both"/>
        <w:outlineLvl w:val="0"/>
        <w:rPr>
          <w:rFonts w:ascii="Arial" w:eastAsia="方正黑体简体" w:hAnsi="Arial" w:cs="Arial"/>
          <w:sz w:val="21"/>
          <w:szCs w:val="21"/>
        </w:rPr>
      </w:pPr>
      <w:r w:rsidRPr="0043038D">
        <w:rPr>
          <w:rFonts w:ascii="Arial" w:eastAsia="方正黑体简体" w:hAnsi="Arial" w:cs="Arial" w:hint="eastAsia"/>
          <w:b/>
          <w:sz w:val="21"/>
          <w:szCs w:val="21"/>
        </w:rPr>
        <w:t>估价报告编号：</w:t>
      </w:r>
    </w:p>
    <w:p w:rsidR="000E5655" w:rsidRPr="0043038D" w:rsidRDefault="00837133">
      <w:pPr>
        <w:spacing w:line="300" w:lineRule="exact"/>
        <w:ind w:left="360"/>
        <w:jc w:val="both"/>
        <w:rPr>
          <w:rFonts w:ascii="Arial" w:eastAsia="方正黑体简体" w:hAnsi="Arial" w:cs="Arial"/>
          <w:sz w:val="21"/>
          <w:szCs w:val="21"/>
        </w:rPr>
        <w:sectPr w:rsidR="000E5655" w:rsidRPr="0043038D">
          <w:headerReference w:type="default" r:id="rId10"/>
          <w:footerReference w:type="even" r:id="rId11"/>
          <w:footerReference w:type="default" r:id="rId12"/>
          <w:headerReference w:type="first" r:id="rId13"/>
          <w:footerReference w:type="first" r:id="rId14"/>
          <w:pgSz w:w="11907" w:h="16840"/>
          <w:pgMar w:top="1843" w:right="1134" w:bottom="1134" w:left="1134" w:header="850" w:footer="1134" w:gutter="340"/>
          <w:cols w:space="720"/>
          <w:titlePg/>
          <w:docGrid w:linePitch="326"/>
        </w:sectPr>
      </w:pPr>
      <w:proofErr w:type="gramStart"/>
      <w:r w:rsidRPr="0043038D">
        <w:rPr>
          <w:rFonts w:ascii="Arial" w:eastAsia="方正黑体简体" w:hAnsi="Arial" w:cs="Arial" w:hint="eastAsia"/>
          <w:sz w:val="21"/>
          <w:szCs w:val="21"/>
        </w:rPr>
        <w:t>康正评</w:t>
      </w:r>
      <w:proofErr w:type="gramEnd"/>
      <w:r w:rsidRPr="0043038D">
        <w:rPr>
          <w:rFonts w:ascii="Arial" w:eastAsia="方正黑体简体" w:hAnsi="Arial" w:cs="Arial" w:hint="eastAsia"/>
          <w:sz w:val="21"/>
          <w:szCs w:val="21"/>
        </w:rPr>
        <w:t>字</w:t>
      </w:r>
      <w:r w:rsidR="00D6006C" w:rsidRPr="0043038D">
        <w:rPr>
          <w:rFonts w:ascii="Arial" w:eastAsia="方正黑体简体" w:hAnsi="Arial" w:cs="Arial"/>
          <w:sz w:val="21"/>
          <w:szCs w:val="21"/>
        </w:rPr>
        <w:t>2024-1-0640-F03</w:t>
      </w:r>
      <w:r w:rsidRPr="0043038D">
        <w:rPr>
          <w:rFonts w:ascii="Arial" w:eastAsia="方正黑体简体" w:hAnsi="Arial" w:cs="Arial"/>
          <w:sz w:val="21"/>
          <w:szCs w:val="21"/>
        </w:rPr>
        <w:t>ZLGJ6</w:t>
      </w:r>
      <w:r w:rsidRPr="0043038D">
        <w:rPr>
          <w:rFonts w:ascii="Arial" w:eastAsia="方正黑体简体" w:hAnsi="Arial" w:cs="Arial" w:hint="eastAsia"/>
          <w:sz w:val="21"/>
          <w:szCs w:val="21"/>
        </w:rPr>
        <w:t>号</w:t>
      </w:r>
    </w:p>
    <w:p w:rsidR="000E5655" w:rsidRPr="0043038D" w:rsidRDefault="00837133">
      <w:pPr>
        <w:pStyle w:val="1"/>
        <w:spacing w:line="480" w:lineRule="auto"/>
        <w:jc w:val="center"/>
        <w:rPr>
          <w:rFonts w:eastAsia="方正黑体简体"/>
          <w:b w:val="0"/>
          <w:kern w:val="2"/>
          <w:sz w:val="32"/>
          <w:szCs w:val="32"/>
        </w:rPr>
      </w:pPr>
      <w:bookmarkStart w:id="0" w:name="_Toc155267082"/>
      <w:bookmarkStart w:id="1" w:name="_Toc477252437"/>
      <w:bookmarkStart w:id="2" w:name="_Toc379795040"/>
      <w:r w:rsidRPr="0043038D">
        <w:rPr>
          <w:rFonts w:eastAsia="方正黑体简体"/>
          <w:b w:val="0"/>
          <w:kern w:val="2"/>
          <w:sz w:val="32"/>
          <w:szCs w:val="32"/>
        </w:rPr>
        <w:lastRenderedPageBreak/>
        <w:t>致估价委托人函</w:t>
      </w:r>
      <w:bookmarkEnd w:id="0"/>
      <w:bookmarkEnd w:id="1"/>
      <w:bookmarkEnd w:id="2"/>
    </w:p>
    <w:p w:rsidR="000E5655" w:rsidRPr="0043038D" w:rsidRDefault="00837133">
      <w:pPr>
        <w:overflowPunct w:val="0"/>
        <w:spacing w:beforeLines="50" w:before="120" w:line="480" w:lineRule="auto"/>
        <w:jc w:val="both"/>
        <w:textAlignment w:val="auto"/>
        <w:rPr>
          <w:rFonts w:ascii="Arial" w:hAnsi="Arial" w:cs="Arial"/>
          <w:b/>
          <w:bCs/>
          <w:sz w:val="21"/>
          <w:szCs w:val="21"/>
        </w:rPr>
      </w:pPr>
      <w:r w:rsidRPr="0043038D">
        <w:rPr>
          <w:rFonts w:ascii="Arial" w:hAnsi="Arial" w:cs="Arial" w:hint="eastAsia"/>
          <w:b/>
          <w:bCs/>
          <w:sz w:val="21"/>
          <w:szCs w:val="21"/>
        </w:rPr>
        <w:t>北京市燕</w:t>
      </w:r>
      <w:proofErr w:type="gramStart"/>
      <w:r w:rsidRPr="0043038D">
        <w:rPr>
          <w:rFonts w:ascii="Arial" w:hAnsi="Arial" w:cs="Arial" w:hint="eastAsia"/>
          <w:b/>
          <w:bCs/>
          <w:sz w:val="21"/>
          <w:szCs w:val="21"/>
        </w:rPr>
        <w:t>兴保障</w:t>
      </w:r>
      <w:proofErr w:type="gramEnd"/>
      <w:r w:rsidRPr="0043038D">
        <w:rPr>
          <w:rFonts w:ascii="Arial" w:hAnsi="Arial" w:cs="Arial" w:hint="eastAsia"/>
          <w:b/>
          <w:bCs/>
          <w:sz w:val="21"/>
          <w:szCs w:val="21"/>
        </w:rPr>
        <w:t>性住房建设投资有限公司</w:t>
      </w:r>
      <w:r w:rsidRPr="0043038D">
        <w:rPr>
          <w:rFonts w:ascii="Arial" w:hAnsi="Arial" w:cs="Arial"/>
          <w:b/>
          <w:bCs/>
          <w:sz w:val="21"/>
          <w:szCs w:val="21"/>
        </w:rPr>
        <w:t>：</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kern w:val="2"/>
          <w:sz w:val="21"/>
          <w:szCs w:val="21"/>
        </w:rPr>
        <w:t>受贵单位委托，我公司对</w:t>
      </w:r>
      <w:bookmarkStart w:id="3" w:name="_Hlk167715898"/>
      <w:r w:rsidRPr="0043038D">
        <w:rPr>
          <w:rFonts w:ascii="Arial" w:hAnsi="Arial" w:cs="Arial" w:hint="eastAsia"/>
          <w:kern w:val="2"/>
          <w:sz w:val="21"/>
          <w:szCs w:val="21"/>
        </w:rPr>
        <w:t>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bookmarkEnd w:id="3"/>
      <w:r w:rsidRPr="0043038D">
        <w:rPr>
          <w:rFonts w:ascii="Arial" w:hAnsi="Arial" w:cs="Arial" w:hint="eastAsia"/>
          <w:kern w:val="2"/>
          <w:sz w:val="21"/>
          <w:szCs w:val="21"/>
        </w:rPr>
        <w:t>保障性租赁住房（住宅型）项目同地段、同品质市场租赁住房租金</w:t>
      </w:r>
      <w:r w:rsidRPr="0043038D">
        <w:rPr>
          <w:rFonts w:ascii="Arial" w:hAnsi="Arial" w:cs="Arial"/>
          <w:kern w:val="2"/>
          <w:sz w:val="21"/>
          <w:szCs w:val="21"/>
        </w:rPr>
        <w:t>进行了评估。</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估价目的：</w:t>
      </w:r>
      <w:r w:rsidRPr="0043038D">
        <w:rPr>
          <w:rFonts w:ascii="Arial" w:hAnsi="Arial" w:cs="Arial" w:hint="eastAsia"/>
          <w:sz w:val="21"/>
          <w:szCs w:val="21"/>
        </w:rPr>
        <w:t>评估保障性租赁住房项目同地段同品质市场租赁住房租金，为有关单位合理确定或调整保障性租赁住房项目租金提供参考依据</w:t>
      </w:r>
      <w:r w:rsidRPr="0043038D">
        <w:rPr>
          <w:rFonts w:ascii="Arial" w:hAnsi="Arial" w:cs="Arial"/>
          <w:sz w:val="21"/>
          <w:szCs w:val="21"/>
        </w:rPr>
        <w:t>。</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估价对象：</w:t>
      </w:r>
      <w:r w:rsidRPr="0043038D">
        <w:rPr>
          <w:rFonts w:ascii="Arial" w:hAnsi="Arial" w:cs="Arial" w:hint="eastAsia"/>
          <w:sz w:val="21"/>
          <w:szCs w:val="21"/>
        </w:rPr>
        <w:t>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性租赁住房。估价对象收购方为北京市燕</w:t>
      </w:r>
      <w:proofErr w:type="gramStart"/>
      <w:r w:rsidRPr="0043038D">
        <w:rPr>
          <w:rFonts w:ascii="Arial" w:hAnsi="Arial" w:cs="Arial" w:hint="eastAsia"/>
          <w:kern w:val="2"/>
          <w:sz w:val="21"/>
          <w:szCs w:val="21"/>
        </w:rPr>
        <w:t>兴保障</w:t>
      </w:r>
      <w:proofErr w:type="gramEnd"/>
      <w:r w:rsidRPr="0043038D">
        <w:rPr>
          <w:rFonts w:ascii="Arial" w:hAnsi="Arial" w:cs="Arial" w:hint="eastAsia"/>
          <w:kern w:val="2"/>
          <w:sz w:val="21"/>
          <w:szCs w:val="21"/>
        </w:rPr>
        <w:t>性住房建设投资有限公司，所在项目现状四至为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w:t>
      </w:r>
      <w:r w:rsidRPr="0043038D">
        <w:rPr>
          <w:rFonts w:ascii="Arial" w:hAnsi="Arial" w:cs="Arial"/>
          <w:kern w:val="2"/>
          <w:sz w:val="21"/>
          <w:szCs w:val="21"/>
        </w:rPr>
        <w:t>04-0102-6012</w:t>
      </w:r>
      <w:proofErr w:type="gramStart"/>
      <w:r w:rsidRPr="0043038D">
        <w:rPr>
          <w:rFonts w:ascii="Arial" w:hAnsi="Arial" w:cs="Arial"/>
          <w:kern w:val="2"/>
          <w:sz w:val="21"/>
          <w:szCs w:val="21"/>
        </w:rPr>
        <w:t>地块北</w:t>
      </w:r>
      <w:proofErr w:type="gramEnd"/>
      <w:r w:rsidRPr="0043038D">
        <w:rPr>
          <w:rFonts w:ascii="Arial" w:hAnsi="Arial" w:cs="Arial"/>
          <w:kern w:val="2"/>
          <w:sz w:val="21"/>
          <w:szCs w:val="21"/>
        </w:rPr>
        <w:t>用地红线</w:t>
      </w:r>
      <w:r w:rsidRPr="0043038D">
        <w:rPr>
          <w:rFonts w:ascii="Arial" w:hAnsi="Arial" w:cs="Arial" w:hint="eastAsia"/>
          <w:kern w:val="2"/>
          <w:sz w:val="21"/>
          <w:szCs w:val="21"/>
        </w:rPr>
        <w:t>，西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，估价对象用途为</w:t>
      </w:r>
      <w:bookmarkStart w:id="4" w:name="_Hlk126329351"/>
      <w:r w:rsidRPr="0043038D">
        <w:rPr>
          <w:rFonts w:ascii="Arial" w:hAnsi="Arial" w:cs="Arial" w:hint="eastAsia"/>
          <w:kern w:val="2"/>
          <w:sz w:val="21"/>
          <w:szCs w:val="21"/>
        </w:rPr>
        <w:t>保障性租赁住房（住宅型）</w:t>
      </w:r>
      <w:bookmarkEnd w:id="4"/>
      <w:r w:rsidRPr="0043038D">
        <w:rPr>
          <w:rFonts w:ascii="Arial" w:hAnsi="Arial" w:cs="Arial" w:hint="eastAsia"/>
          <w:kern w:val="2"/>
          <w:sz w:val="21"/>
          <w:szCs w:val="21"/>
        </w:rPr>
        <w:t>，建筑面积为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价值时点：</w:t>
      </w:r>
      <w:r w:rsidRPr="0043038D">
        <w:rPr>
          <w:rFonts w:ascii="Arial" w:hAnsi="Arial" w:cs="Arial"/>
          <w:sz w:val="21"/>
          <w:szCs w:val="21"/>
        </w:rPr>
        <w:t>2024</w:t>
      </w:r>
      <w:r w:rsidRPr="0043038D">
        <w:rPr>
          <w:rFonts w:ascii="Arial" w:hAnsi="Arial" w:cs="Arial"/>
          <w:sz w:val="21"/>
          <w:szCs w:val="21"/>
        </w:rPr>
        <w:t>年</w:t>
      </w:r>
      <w:r w:rsidR="00C81EDB">
        <w:rPr>
          <w:rFonts w:ascii="Arial" w:hAnsi="Arial" w:cs="Arial"/>
          <w:sz w:val="21"/>
          <w:szCs w:val="21"/>
        </w:rPr>
        <w:t>10</w:t>
      </w:r>
      <w:r w:rsidR="00C81EDB">
        <w:rPr>
          <w:rFonts w:ascii="Arial" w:hAnsi="Arial" w:cs="Arial"/>
          <w:sz w:val="21"/>
          <w:szCs w:val="21"/>
        </w:rPr>
        <w:t>月</w:t>
      </w:r>
      <w:r w:rsidR="00C81EDB">
        <w:rPr>
          <w:rFonts w:ascii="Arial" w:hAnsi="Arial" w:cs="Arial"/>
          <w:sz w:val="21"/>
          <w:szCs w:val="21"/>
        </w:rPr>
        <w:t>14</w:t>
      </w:r>
      <w:r w:rsidRPr="0043038D">
        <w:rPr>
          <w:rFonts w:ascii="Arial" w:hAnsi="Arial" w:cs="Arial"/>
          <w:sz w:val="21"/>
          <w:szCs w:val="21"/>
        </w:rPr>
        <w:t>日</w:t>
      </w:r>
      <w:r w:rsidRPr="0043038D">
        <w:rPr>
          <w:rFonts w:ascii="Arial" w:hAnsi="Arial" w:cs="Arial" w:hint="eastAsia"/>
          <w:sz w:val="21"/>
          <w:szCs w:val="21"/>
        </w:rPr>
        <w:t>（根据《估价委托书》确定）</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lastRenderedPageBreak/>
        <w:t>价值类型：</w:t>
      </w:r>
      <w:r w:rsidRPr="0043038D">
        <w:rPr>
          <w:rFonts w:ascii="Arial" w:hAnsi="Arial" w:cs="Arial" w:hint="eastAsia"/>
          <w:sz w:val="21"/>
          <w:szCs w:val="21"/>
        </w:rPr>
        <w:t>根据房地产评估的技术规程和本次估价目的，本次估价采用的是市场价值标准。</w:t>
      </w:r>
      <w:bookmarkStart w:id="5" w:name="_Hlk118454962"/>
      <w:r w:rsidRPr="0043038D">
        <w:rPr>
          <w:rFonts w:ascii="Arial" w:hAnsi="Arial" w:cs="Arial" w:hint="eastAsia"/>
          <w:sz w:val="21"/>
          <w:szCs w:val="21"/>
        </w:rPr>
        <w:t>市场租赁住房租金是指市场租赁住房于价值时点在公开市场上的平均租金，</w:t>
      </w:r>
      <w:bookmarkEnd w:id="5"/>
      <w:r w:rsidRPr="0043038D">
        <w:rPr>
          <w:rFonts w:ascii="Arial" w:hAnsi="Arial" w:cs="Arial" w:hint="eastAsia"/>
          <w:sz w:val="21"/>
          <w:szCs w:val="21"/>
        </w:rPr>
        <w:t>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b/>
          <w:bCs/>
          <w:sz w:val="21"/>
          <w:szCs w:val="21"/>
        </w:rPr>
        <w:t>估价方法：</w:t>
      </w:r>
      <w:r w:rsidRPr="0043038D">
        <w:rPr>
          <w:rFonts w:ascii="Arial" w:hAnsi="Arial" w:cs="Arial"/>
          <w:bCs/>
          <w:sz w:val="21"/>
          <w:szCs w:val="21"/>
        </w:rPr>
        <w:t>本次评估采用的估价方法为比较法</w:t>
      </w:r>
      <w:r w:rsidRPr="0043038D">
        <w:rPr>
          <w:rFonts w:ascii="Arial" w:hAnsi="Arial" w:cs="Arial"/>
          <w:sz w:val="21"/>
          <w:szCs w:val="21"/>
        </w:rPr>
        <w:t>。</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估价结果：</w:t>
      </w: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w:t>
      </w:r>
      <w:r w:rsidRPr="0043038D">
        <w:rPr>
          <w:rFonts w:ascii="Arial" w:hAnsi="Arial" w:cs="Arial" w:hint="eastAsia"/>
          <w:sz w:val="21"/>
          <w:szCs w:val="21"/>
        </w:rPr>
        <w:t>（橡树湾）保障性租赁住房（住宅型）项目于价值时点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日同地段、同品质市场租赁住房租金为：</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w:t>
      </w:r>
      <w:proofErr w:type="gramStart"/>
      <w:r w:rsidRPr="0043038D">
        <w:rPr>
          <w:rFonts w:ascii="Arial" w:hAnsi="Arial" w:cs="Arial" w:hint="eastAsia"/>
          <w:b/>
          <w:bCs/>
          <w:sz w:val="21"/>
          <w:szCs w:val="21"/>
        </w:rPr>
        <w:t>一</w:t>
      </w:r>
      <w:proofErr w:type="gramEnd"/>
      <w:r w:rsidRPr="0043038D">
        <w:rPr>
          <w:rFonts w:ascii="Arial" w:hAnsi="Arial" w:cs="Arial" w:hint="eastAsia"/>
          <w:b/>
          <w:bCs/>
          <w:sz w:val="21"/>
          <w:szCs w:val="21"/>
        </w:rPr>
        <w:t>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Pr="0043038D">
        <w:rPr>
          <w:rFonts w:ascii="Arial" w:hAnsi="Arial" w:cs="Arial" w:hint="eastAsia"/>
          <w:b/>
          <w:bCs/>
          <w:sz w:val="21"/>
          <w:szCs w:val="21"/>
        </w:rPr>
        <w:t>4.15</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8"/>
          <w:szCs w:val="18"/>
        </w:rPr>
        <w:t>区维保</w:t>
      </w:r>
      <w:proofErr w:type="gramEnd"/>
      <w:r w:rsidRPr="0043038D">
        <w:rPr>
          <w:rFonts w:ascii="Arial" w:hAnsi="Arial" w:cs="Arial" w:hint="eastAsia"/>
          <w:sz w:val="18"/>
          <w:szCs w:val="18"/>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pPr>
    </w:p>
    <w:p w:rsidR="000E5655" w:rsidRPr="0043038D" w:rsidRDefault="00837133">
      <w:p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（转下页）</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lastRenderedPageBreak/>
        <w:t>（此页无正文）</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顺致</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spacing w:line="480" w:lineRule="auto"/>
        <w:ind w:firstLineChars="600" w:firstLine="1260"/>
        <w:jc w:val="both"/>
        <w:rPr>
          <w:rFonts w:ascii="Arial" w:hAnsi="Arial" w:cs="Arial"/>
          <w:sz w:val="21"/>
          <w:szCs w:val="21"/>
        </w:rPr>
      </w:pPr>
      <w:r w:rsidRPr="0043038D">
        <w:rPr>
          <w:rFonts w:ascii="Arial" w:hAnsi="Arial" w:cs="Arial"/>
          <w:sz w:val="21"/>
          <w:szCs w:val="21"/>
        </w:rPr>
        <w:t>商祺</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tbl>
      <w:tblPr>
        <w:tblpPr w:leftFromText="180" w:rightFromText="180" w:vertAnchor="text" w:horzAnchor="margin" w:tblpXSpec="right" w:tblpY="1117"/>
        <w:tblW w:w="0" w:type="auto"/>
        <w:tblLook w:val="04A0" w:firstRow="1" w:lastRow="0" w:firstColumn="1" w:lastColumn="0" w:noHBand="0" w:noVBand="1"/>
      </w:tblPr>
      <w:tblGrid>
        <w:gridCol w:w="3402"/>
      </w:tblGrid>
      <w:tr w:rsidR="000E5655" w:rsidRPr="0043038D">
        <w:tc>
          <w:tcPr>
            <w:tcW w:w="3402" w:type="dxa"/>
          </w:tcPr>
          <w:p w:rsidR="000E5655" w:rsidRPr="0043038D" w:rsidRDefault="00837133">
            <w:pPr>
              <w:spacing w:line="480" w:lineRule="auto"/>
              <w:rPr>
                <w:rFonts w:ascii="Arial" w:hAnsi="Arial" w:cs="Arial"/>
                <w:sz w:val="21"/>
                <w:szCs w:val="21"/>
              </w:rPr>
            </w:pPr>
            <w:proofErr w:type="gramStart"/>
            <w:r w:rsidRPr="0043038D">
              <w:rPr>
                <w:rFonts w:ascii="Arial" w:hAnsi="Arial" w:cs="Arial"/>
                <w:sz w:val="21"/>
                <w:szCs w:val="21"/>
              </w:rPr>
              <w:t>北京康正宏</w:t>
            </w:r>
            <w:proofErr w:type="gramEnd"/>
            <w:r w:rsidRPr="0043038D">
              <w:rPr>
                <w:rFonts w:ascii="Arial" w:hAnsi="Arial" w:cs="Arial"/>
                <w:sz w:val="21"/>
                <w:szCs w:val="21"/>
              </w:rPr>
              <w:t>基房地产评估有限公司</w:t>
            </w:r>
          </w:p>
        </w:tc>
      </w:tr>
      <w:tr w:rsidR="000E5655" w:rsidRPr="0043038D">
        <w:trPr>
          <w:trHeight w:val="1298"/>
        </w:trPr>
        <w:tc>
          <w:tcPr>
            <w:tcW w:w="3402" w:type="dxa"/>
          </w:tcPr>
          <w:p w:rsidR="000E5655" w:rsidRPr="0043038D" w:rsidRDefault="00837133">
            <w:pPr>
              <w:spacing w:line="480" w:lineRule="auto"/>
              <w:rPr>
                <w:rFonts w:ascii="Arial" w:hAnsi="Arial" w:cs="Arial"/>
                <w:sz w:val="21"/>
                <w:szCs w:val="21"/>
              </w:rPr>
            </w:pPr>
            <w:r w:rsidRPr="0043038D">
              <w:rPr>
                <w:rFonts w:ascii="Arial" w:hAnsi="Arial" w:cs="Arial"/>
                <w:sz w:val="21"/>
                <w:szCs w:val="21"/>
              </w:rPr>
              <w:t>法定代表人：</w:t>
            </w:r>
          </w:p>
        </w:tc>
      </w:tr>
      <w:tr w:rsidR="000E5655" w:rsidRPr="0043038D">
        <w:tc>
          <w:tcPr>
            <w:tcW w:w="3402" w:type="dxa"/>
          </w:tcPr>
          <w:p w:rsidR="000E5655" w:rsidRPr="0043038D" w:rsidRDefault="00837133">
            <w:pPr>
              <w:spacing w:line="480" w:lineRule="auto"/>
              <w:jc w:val="right"/>
              <w:rPr>
                <w:rFonts w:ascii="Arial" w:hAnsi="Arial" w:cs="Arial"/>
                <w:sz w:val="21"/>
                <w:szCs w:val="21"/>
              </w:rPr>
            </w:pPr>
            <w:r w:rsidRPr="0043038D">
              <w:rPr>
                <w:rFonts w:ascii="Arial" w:hAnsi="Arial" w:cs="Arial"/>
                <w:sz w:val="21"/>
                <w:szCs w:val="21"/>
              </w:rPr>
              <w:t>二〇二</w:t>
            </w:r>
            <w:r w:rsidRPr="0043038D">
              <w:rPr>
                <w:rFonts w:ascii="Arial" w:hAnsi="Arial" w:cs="Arial" w:hint="eastAsia"/>
                <w:sz w:val="21"/>
                <w:szCs w:val="21"/>
              </w:rPr>
              <w:t>四</w:t>
            </w:r>
            <w:r w:rsidRPr="0043038D">
              <w:rPr>
                <w:rFonts w:ascii="Arial" w:hAnsi="Arial" w:cs="Arial"/>
                <w:sz w:val="21"/>
                <w:szCs w:val="21"/>
              </w:rPr>
              <w:t>年</w:t>
            </w:r>
            <w:r w:rsidRPr="0043038D">
              <w:rPr>
                <w:rFonts w:ascii="Arial" w:hAnsi="Arial" w:cs="Arial" w:hint="eastAsia"/>
                <w:sz w:val="21"/>
                <w:szCs w:val="21"/>
              </w:rPr>
              <w:t>十</w:t>
            </w:r>
            <w:r w:rsidR="00D6006C" w:rsidRPr="0043038D">
              <w:rPr>
                <w:rFonts w:ascii="Arial" w:hAnsi="Arial" w:cs="Arial" w:hint="eastAsia"/>
                <w:sz w:val="21"/>
                <w:szCs w:val="21"/>
              </w:rPr>
              <w:t>一</w:t>
            </w:r>
            <w:r w:rsidRPr="0043038D">
              <w:rPr>
                <w:rFonts w:ascii="Arial" w:hAnsi="Arial" w:cs="Arial"/>
                <w:sz w:val="21"/>
                <w:szCs w:val="21"/>
              </w:rPr>
              <w:t>月</w:t>
            </w:r>
            <w:r w:rsidR="00D6006C" w:rsidRPr="0043038D">
              <w:rPr>
                <w:rFonts w:ascii="Arial" w:hAnsi="Arial" w:cs="Arial" w:hint="eastAsia"/>
                <w:sz w:val="21"/>
                <w:szCs w:val="21"/>
              </w:rPr>
              <w:t>五</w:t>
            </w:r>
            <w:r w:rsidRPr="0043038D">
              <w:rPr>
                <w:rFonts w:ascii="Arial" w:hAnsi="Arial" w:cs="Arial"/>
                <w:sz w:val="21"/>
                <w:szCs w:val="21"/>
              </w:rPr>
              <w:t>日</w:t>
            </w:r>
          </w:p>
        </w:tc>
      </w:tr>
    </w:tbl>
    <w:p w:rsidR="000E5655" w:rsidRPr="0043038D" w:rsidRDefault="000E5655">
      <w:pPr>
        <w:spacing w:line="480" w:lineRule="auto"/>
        <w:jc w:val="right"/>
        <w:rPr>
          <w:rFonts w:ascii="Arial" w:hAnsi="Arial" w:cs="Arial"/>
          <w:sz w:val="21"/>
          <w:szCs w:val="21"/>
        </w:rPr>
      </w:pPr>
    </w:p>
    <w:p w:rsidR="000E5655" w:rsidRPr="0043038D" w:rsidRDefault="000E5655">
      <w:pPr>
        <w:spacing w:line="480" w:lineRule="auto"/>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jc w:val="cente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sectPr w:rsidR="000E5655" w:rsidRPr="0043038D">
          <w:headerReference w:type="even" r:id="rId15"/>
          <w:headerReference w:type="default" r:id="rId16"/>
          <w:headerReference w:type="first" r:id="rId17"/>
          <w:pgSz w:w="11907" w:h="16840"/>
          <w:pgMar w:top="1843" w:right="1134" w:bottom="1134" w:left="1134" w:header="1134" w:footer="907" w:gutter="340"/>
          <w:pgNumType w:start="1"/>
          <w:cols w:space="720"/>
          <w:docGrid w:linePitch="326"/>
        </w:sectPr>
      </w:pPr>
    </w:p>
    <w:p w:rsidR="000E5655" w:rsidRPr="0043038D" w:rsidRDefault="00837133">
      <w:pPr>
        <w:spacing w:line="480" w:lineRule="auto"/>
        <w:jc w:val="center"/>
        <w:outlineLvl w:val="0"/>
        <w:rPr>
          <w:rFonts w:ascii="Arial" w:eastAsia="方正黑体简体" w:hAnsi="Arial" w:cs="Arial"/>
          <w:sz w:val="32"/>
          <w:szCs w:val="32"/>
        </w:rPr>
      </w:pPr>
      <w:r w:rsidRPr="0043038D">
        <w:rPr>
          <w:rFonts w:ascii="Arial" w:eastAsia="方正黑体简体" w:hAnsi="Arial" w:cs="Arial" w:hint="eastAsia"/>
          <w:sz w:val="32"/>
          <w:szCs w:val="32"/>
        </w:rPr>
        <w:lastRenderedPageBreak/>
        <w:t>目</w:t>
      </w:r>
      <w:r w:rsidRPr="0043038D">
        <w:rPr>
          <w:rFonts w:ascii="Arial" w:eastAsia="方正黑体简体" w:hAnsi="Arial" w:cs="Arial" w:hint="eastAsia"/>
          <w:sz w:val="32"/>
          <w:szCs w:val="32"/>
        </w:rPr>
        <w:t xml:space="preserve">   </w:t>
      </w:r>
      <w:r w:rsidRPr="0043038D">
        <w:rPr>
          <w:rFonts w:ascii="Arial" w:eastAsia="方正黑体简体" w:hAnsi="Arial" w:cs="Arial" w:hint="eastAsia"/>
          <w:sz w:val="32"/>
          <w:szCs w:val="32"/>
        </w:rPr>
        <w:t>录</w:t>
      </w:r>
    </w:p>
    <w:p w:rsidR="000E5655" w:rsidRPr="0043038D" w:rsidRDefault="00837133">
      <w:pPr>
        <w:pStyle w:val="10"/>
        <w:rPr>
          <w:rFonts w:ascii="等线" w:eastAsia="等线" w:hAnsi="等线"/>
          <w:b w:val="0"/>
          <w:bCs w:val="0"/>
          <w:kern w:val="2"/>
          <w:sz w:val="24"/>
          <w:szCs w:val="24"/>
        </w:rPr>
      </w:pPr>
      <w:r w:rsidRPr="0043038D">
        <w:rPr>
          <w:rFonts w:ascii="宋体" w:eastAsia="宋体" w:hAnsi="宋体" w:cs="Arial"/>
          <w:sz w:val="24"/>
          <w:szCs w:val="24"/>
        </w:rPr>
        <w:fldChar w:fldCharType="begin"/>
      </w:r>
      <w:r w:rsidRPr="0043038D">
        <w:rPr>
          <w:rFonts w:ascii="宋体" w:eastAsia="宋体" w:hAnsi="宋体" w:cs="Arial"/>
          <w:sz w:val="24"/>
          <w:szCs w:val="24"/>
        </w:rPr>
        <w:instrText xml:space="preserve"> TOC \o "1-3" \h \z </w:instrText>
      </w:r>
      <w:r w:rsidRPr="0043038D">
        <w:rPr>
          <w:rFonts w:ascii="宋体" w:eastAsia="宋体" w:hAnsi="宋体" w:cs="Arial"/>
          <w:sz w:val="24"/>
          <w:szCs w:val="24"/>
        </w:rPr>
        <w:fldChar w:fldCharType="separate"/>
      </w:r>
      <w:hyperlink w:anchor="_Toc155267082" w:history="1">
        <w:r w:rsidRPr="0043038D">
          <w:rPr>
            <w:rStyle w:val="af5"/>
            <w:rFonts w:eastAsia="方正黑体简体"/>
            <w:sz w:val="24"/>
            <w:szCs w:val="24"/>
          </w:rPr>
          <w:t>致估价委托人函</w:t>
        </w:r>
        <w:r w:rsidRPr="0043038D">
          <w:rPr>
            <w:sz w:val="24"/>
            <w:szCs w:val="24"/>
          </w:rPr>
          <w:tab/>
        </w:r>
        <w:r w:rsidRPr="0043038D">
          <w:rPr>
            <w:sz w:val="24"/>
            <w:szCs w:val="24"/>
          </w:rPr>
          <w:fldChar w:fldCharType="begin"/>
        </w:r>
        <w:r w:rsidRPr="0043038D">
          <w:rPr>
            <w:sz w:val="24"/>
            <w:szCs w:val="24"/>
          </w:rPr>
          <w:instrText xml:space="preserve"> PAGEREF _Toc155267082 \h </w:instrText>
        </w:r>
        <w:r w:rsidRPr="0043038D">
          <w:rPr>
            <w:sz w:val="24"/>
            <w:szCs w:val="24"/>
          </w:rPr>
        </w:r>
        <w:r w:rsidRPr="0043038D">
          <w:rPr>
            <w:sz w:val="24"/>
            <w:szCs w:val="24"/>
          </w:rPr>
          <w:fldChar w:fldCharType="separate"/>
        </w:r>
        <w:r w:rsidRPr="0043038D">
          <w:rPr>
            <w:sz w:val="24"/>
            <w:szCs w:val="24"/>
          </w:rPr>
          <w:t>1</w:t>
        </w:r>
        <w:r w:rsidRPr="0043038D">
          <w:rPr>
            <w:sz w:val="24"/>
            <w:szCs w:val="24"/>
          </w:rPr>
          <w:fldChar w:fldCharType="end"/>
        </w:r>
      </w:hyperlink>
    </w:p>
    <w:p w:rsidR="000E5655" w:rsidRPr="0043038D" w:rsidRDefault="004279E2">
      <w:pPr>
        <w:pStyle w:val="10"/>
        <w:rPr>
          <w:rFonts w:ascii="等线" w:eastAsia="等线" w:hAnsi="等线"/>
          <w:b w:val="0"/>
          <w:bCs w:val="0"/>
          <w:kern w:val="2"/>
          <w:sz w:val="24"/>
          <w:szCs w:val="24"/>
        </w:rPr>
      </w:pPr>
      <w:hyperlink w:anchor="_Toc155267083" w:history="1">
        <w:r w:rsidR="00837133" w:rsidRPr="0043038D">
          <w:rPr>
            <w:rStyle w:val="af5"/>
            <w:rFonts w:eastAsia="方正黑体简体"/>
            <w:sz w:val="24"/>
            <w:szCs w:val="24"/>
          </w:rPr>
          <w:t>估价师声明</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_Toc155267083 \h </w:instrText>
        </w:r>
        <w:r w:rsidR="00837133" w:rsidRPr="0043038D">
          <w:rPr>
            <w:sz w:val="24"/>
            <w:szCs w:val="24"/>
          </w:rPr>
        </w:r>
        <w:r w:rsidR="00837133" w:rsidRPr="0043038D">
          <w:rPr>
            <w:sz w:val="24"/>
            <w:szCs w:val="24"/>
          </w:rPr>
          <w:fldChar w:fldCharType="separate"/>
        </w:r>
        <w:r w:rsidR="00837133" w:rsidRPr="0043038D">
          <w:rPr>
            <w:sz w:val="24"/>
            <w:szCs w:val="24"/>
          </w:rPr>
          <w:t>6</w:t>
        </w:r>
        <w:r w:rsidR="00837133" w:rsidRPr="0043038D">
          <w:rPr>
            <w:sz w:val="24"/>
            <w:szCs w:val="24"/>
          </w:rPr>
          <w:fldChar w:fldCharType="end"/>
        </w:r>
      </w:hyperlink>
    </w:p>
    <w:p w:rsidR="000E5655" w:rsidRPr="0043038D" w:rsidRDefault="004279E2">
      <w:pPr>
        <w:pStyle w:val="10"/>
        <w:rPr>
          <w:rFonts w:ascii="等线" w:eastAsia="等线" w:hAnsi="等线"/>
          <w:b w:val="0"/>
          <w:bCs w:val="0"/>
          <w:kern w:val="2"/>
          <w:sz w:val="24"/>
          <w:szCs w:val="24"/>
        </w:rPr>
      </w:pPr>
      <w:hyperlink w:anchor="_Toc155267084" w:history="1">
        <w:r w:rsidR="00837133" w:rsidRPr="0043038D">
          <w:rPr>
            <w:rStyle w:val="af5"/>
            <w:rFonts w:eastAsia="方正黑体简体"/>
            <w:sz w:val="24"/>
            <w:szCs w:val="24"/>
          </w:rPr>
          <w:t>估价假设和限制条件</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_Toc155267084 \h </w:instrText>
        </w:r>
        <w:r w:rsidR="00837133" w:rsidRPr="0043038D">
          <w:rPr>
            <w:sz w:val="24"/>
            <w:szCs w:val="24"/>
          </w:rPr>
        </w:r>
        <w:r w:rsidR="00837133" w:rsidRPr="0043038D">
          <w:rPr>
            <w:sz w:val="24"/>
            <w:szCs w:val="24"/>
          </w:rPr>
          <w:fldChar w:fldCharType="separate"/>
        </w:r>
        <w:r w:rsidR="00837133" w:rsidRPr="0043038D">
          <w:rPr>
            <w:sz w:val="24"/>
            <w:szCs w:val="24"/>
          </w:rPr>
          <w:t>7</w:t>
        </w:r>
        <w:r w:rsidR="00837133" w:rsidRPr="0043038D">
          <w:rPr>
            <w:sz w:val="24"/>
            <w:szCs w:val="24"/>
          </w:rPr>
          <w:fldChar w:fldCharType="end"/>
        </w:r>
      </w:hyperlink>
    </w:p>
    <w:p w:rsidR="000E5655" w:rsidRPr="0043038D" w:rsidRDefault="004279E2">
      <w:pPr>
        <w:pStyle w:val="10"/>
        <w:rPr>
          <w:rFonts w:ascii="等线" w:eastAsia="等线" w:hAnsi="等线"/>
          <w:b w:val="0"/>
          <w:bCs w:val="0"/>
          <w:kern w:val="2"/>
          <w:sz w:val="24"/>
          <w:szCs w:val="24"/>
        </w:rPr>
      </w:pPr>
      <w:hyperlink w:anchor="_Toc155267085" w:history="1">
        <w:r w:rsidR="00837133" w:rsidRPr="0043038D">
          <w:rPr>
            <w:rStyle w:val="af5"/>
            <w:rFonts w:eastAsia="方正黑体简体"/>
            <w:sz w:val="24"/>
            <w:szCs w:val="24"/>
          </w:rPr>
          <w:t>估价结果报告</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_Toc155267085 \h </w:instrText>
        </w:r>
        <w:r w:rsidR="00837133" w:rsidRPr="0043038D">
          <w:rPr>
            <w:sz w:val="24"/>
            <w:szCs w:val="24"/>
          </w:rPr>
        </w:r>
        <w:r w:rsidR="00837133" w:rsidRPr="0043038D">
          <w:rPr>
            <w:sz w:val="24"/>
            <w:szCs w:val="24"/>
          </w:rPr>
          <w:fldChar w:fldCharType="separate"/>
        </w:r>
        <w:r w:rsidR="00837133" w:rsidRPr="0043038D">
          <w:rPr>
            <w:sz w:val="24"/>
            <w:szCs w:val="24"/>
          </w:rPr>
          <w:t>10</w:t>
        </w:r>
        <w:r w:rsidR="00837133" w:rsidRPr="0043038D">
          <w:rPr>
            <w:sz w:val="24"/>
            <w:szCs w:val="24"/>
          </w:rPr>
          <w:fldChar w:fldCharType="end"/>
        </w:r>
      </w:hyperlink>
    </w:p>
    <w:p w:rsidR="000E5655" w:rsidRPr="0043038D" w:rsidRDefault="004279E2">
      <w:pPr>
        <w:pStyle w:val="21"/>
        <w:rPr>
          <w:rFonts w:ascii="等线" w:eastAsia="等线" w:hAnsi="等线"/>
          <w:kern w:val="2"/>
          <w:sz w:val="21"/>
          <w:szCs w:val="21"/>
        </w:rPr>
      </w:pPr>
      <w:hyperlink w:anchor="_Toc155267086" w:history="1">
        <w:r w:rsidR="00837133" w:rsidRPr="0043038D">
          <w:rPr>
            <w:rStyle w:val="af5"/>
            <w:rFonts w:eastAsia="宋体"/>
            <w:sz w:val="21"/>
            <w:szCs w:val="21"/>
          </w:rPr>
          <w:t>一、估价委托人</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_Toc155267086 \h </w:instrText>
        </w:r>
        <w:r w:rsidR="00837133" w:rsidRPr="0043038D">
          <w:rPr>
            <w:sz w:val="21"/>
            <w:szCs w:val="21"/>
          </w:rPr>
        </w:r>
        <w:r w:rsidR="00837133" w:rsidRPr="0043038D">
          <w:rPr>
            <w:sz w:val="21"/>
            <w:szCs w:val="21"/>
          </w:rPr>
          <w:fldChar w:fldCharType="separate"/>
        </w:r>
        <w:r w:rsidR="00837133" w:rsidRPr="0043038D">
          <w:rPr>
            <w:sz w:val="21"/>
            <w:szCs w:val="21"/>
          </w:rPr>
          <w:t>10</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87" w:history="1">
        <w:r w:rsidR="00837133" w:rsidRPr="0043038D">
          <w:rPr>
            <w:rStyle w:val="af5"/>
            <w:rFonts w:eastAsia="宋体"/>
            <w:sz w:val="21"/>
            <w:szCs w:val="21"/>
          </w:rPr>
          <w:t>二、房地产估价机构</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_Toc155267087 \h </w:instrText>
        </w:r>
        <w:r w:rsidR="00837133" w:rsidRPr="0043038D">
          <w:rPr>
            <w:sz w:val="21"/>
            <w:szCs w:val="21"/>
          </w:rPr>
        </w:r>
        <w:r w:rsidR="00837133" w:rsidRPr="0043038D">
          <w:rPr>
            <w:sz w:val="21"/>
            <w:szCs w:val="21"/>
          </w:rPr>
          <w:fldChar w:fldCharType="separate"/>
        </w:r>
        <w:r w:rsidR="00837133" w:rsidRPr="0043038D">
          <w:rPr>
            <w:sz w:val="21"/>
            <w:szCs w:val="21"/>
          </w:rPr>
          <w:t>10</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88" w:history="1">
        <w:r w:rsidR="00837133" w:rsidRPr="0043038D">
          <w:rPr>
            <w:rStyle w:val="af5"/>
            <w:rFonts w:eastAsia="宋体"/>
            <w:sz w:val="21"/>
            <w:szCs w:val="21"/>
          </w:rPr>
          <w:t>三、估价目的</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_Toc155267088 \h </w:instrText>
        </w:r>
        <w:r w:rsidR="00837133" w:rsidRPr="0043038D">
          <w:rPr>
            <w:sz w:val="21"/>
            <w:szCs w:val="21"/>
          </w:rPr>
        </w:r>
        <w:r w:rsidR="00837133" w:rsidRPr="0043038D">
          <w:rPr>
            <w:sz w:val="21"/>
            <w:szCs w:val="21"/>
          </w:rPr>
          <w:fldChar w:fldCharType="separate"/>
        </w:r>
        <w:r w:rsidR="00837133" w:rsidRPr="0043038D">
          <w:rPr>
            <w:sz w:val="21"/>
            <w:szCs w:val="21"/>
          </w:rPr>
          <w:t>10</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89" w:history="1">
        <w:r w:rsidR="00837133" w:rsidRPr="0043038D">
          <w:rPr>
            <w:rStyle w:val="af5"/>
            <w:rFonts w:eastAsia="宋体"/>
            <w:sz w:val="21"/>
            <w:szCs w:val="21"/>
          </w:rPr>
          <w:t>四、估价对象</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_Toc155267089 \h </w:instrText>
        </w:r>
        <w:r w:rsidR="00837133" w:rsidRPr="0043038D">
          <w:rPr>
            <w:sz w:val="21"/>
            <w:szCs w:val="21"/>
          </w:rPr>
        </w:r>
        <w:r w:rsidR="00837133" w:rsidRPr="0043038D">
          <w:rPr>
            <w:sz w:val="21"/>
            <w:szCs w:val="21"/>
          </w:rPr>
          <w:fldChar w:fldCharType="separate"/>
        </w:r>
        <w:r w:rsidR="00837133" w:rsidRPr="0043038D">
          <w:rPr>
            <w:sz w:val="21"/>
            <w:szCs w:val="21"/>
          </w:rPr>
          <w:t>10</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90" w:history="1">
        <w:r w:rsidR="00837133" w:rsidRPr="0043038D">
          <w:rPr>
            <w:rStyle w:val="af5"/>
            <w:rFonts w:eastAsia="宋体"/>
            <w:sz w:val="21"/>
            <w:szCs w:val="21"/>
          </w:rPr>
          <w:t>五、价值时点</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_Toc155267090 \h </w:instrText>
        </w:r>
        <w:r w:rsidR="00837133" w:rsidRPr="0043038D">
          <w:rPr>
            <w:sz w:val="21"/>
            <w:szCs w:val="21"/>
          </w:rPr>
        </w:r>
        <w:r w:rsidR="00837133" w:rsidRPr="0043038D">
          <w:rPr>
            <w:sz w:val="21"/>
            <w:szCs w:val="21"/>
          </w:rPr>
          <w:fldChar w:fldCharType="separate"/>
        </w:r>
        <w:r w:rsidR="00837133" w:rsidRPr="0043038D">
          <w:rPr>
            <w:sz w:val="21"/>
            <w:szCs w:val="21"/>
          </w:rPr>
          <w:t>14</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91" w:history="1">
        <w:r w:rsidR="00837133" w:rsidRPr="0043038D">
          <w:rPr>
            <w:rStyle w:val="af5"/>
            <w:rFonts w:eastAsia="宋体"/>
            <w:sz w:val="21"/>
            <w:szCs w:val="21"/>
          </w:rPr>
          <w:t>六、价值类型</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_Toc155267091 \h </w:instrText>
        </w:r>
        <w:r w:rsidR="00837133" w:rsidRPr="0043038D">
          <w:rPr>
            <w:sz w:val="21"/>
            <w:szCs w:val="21"/>
          </w:rPr>
        </w:r>
        <w:r w:rsidR="00837133" w:rsidRPr="0043038D">
          <w:rPr>
            <w:sz w:val="21"/>
            <w:szCs w:val="21"/>
          </w:rPr>
          <w:fldChar w:fldCharType="separate"/>
        </w:r>
        <w:r w:rsidR="00837133" w:rsidRPr="0043038D">
          <w:rPr>
            <w:sz w:val="21"/>
            <w:szCs w:val="21"/>
          </w:rPr>
          <w:t>14</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92" w:history="1">
        <w:r w:rsidR="00837133" w:rsidRPr="0043038D">
          <w:rPr>
            <w:rStyle w:val="af5"/>
            <w:rFonts w:eastAsia="宋体"/>
            <w:sz w:val="21"/>
            <w:szCs w:val="21"/>
          </w:rPr>
          <w:t>七、估价原则</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_Toc155267092 \h </w:instrText>
        </w:r>
        <w:r w:rsidR="00837133" w:rsidRPr="0043038D">
          <w:rPr>
            <w:sz w:val="21"/>
            <w:szCs w:val="21"/>
          </w:rPr>
        </w:r>
        <w:r w:rsidR="00837133" w:rsidRPr="0043038D">
          <w:rPr>
            <w:sz w:val="21"/>
            <w:szCs w:val="21"/>
          </w:rPr>
          <w:fldChar w:fldCharType="separate"/>
        </w:r>
        <w:r w:rsidR="00837133" w:rsidRPr="0043038D">
          <w:rPr>
            <w:sz w:val="21"/>
            <w:szCs w:val="21"/>
          </w:rPr>
          <w:t>15</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93" w:history="1">
        <w:r w:rsidR="00837133" w:rsidRPr="0043038D">
          <w:rPr>
            <w:rStyle w:val="af5"/>
            <w:rFonts w:eastAsia="宋体"/>
            <w:sz w:val="21"/>
            <w:szCs w:val="21"/>
          </w:rPr>
          <w:t>八、估价依据</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_Toc155267093 \h </w:instrText>
        </w:r>
        <w:r w:rsidR="00837133" w:rsidRPr="0043038D">
          <w:rPr>
            <w:sz w:val="21"/>
            <w:szCs w:val="21"/>
          </w:rPr>
        </w:r>
        <w:r w:rsidR="00837133" w:rsidRPr="0043038D">
          <w:rPr>
            <w:sz w:val="21"/>
            <w:szCs w:val="21"/>
          </w:rPr>
          <w:fldChar w:fldCharType="separate"/>
        </w:r>
        <w:r w:rsidR="00837133" w:rsidRPr="0043038D">
          <w:rPr>
            <w:sz w:val="21"/>
            <w:szCs w:val="21"/>
          </w:rPr>
          <w:t>16</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94" w:history="1">
        <w:r w:rsidR="00837133" w:rsidRPr="0043038D">
          <w:rPr>
            <w:rStyle w:val="af5"/>
            <w:rFonts w:eastAsia="宋体"/>
            <w:sz w:val="21"/>
            <w:szCs w:val="21"/>
          </w:rPr>
          <w:t>九、估价方法</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_Toc155267094 \h </w:instrText>
        </w:r>
        <w:r w:rsidR="00837133" w:rsidRPr="0043038D">
          <w:rPr>
            <w:sz w:val="21"/>
            <w:szCs w:val="21"/>
          </w:rPr>
        </w:r>
        <w:r w:rsidR="00837133" w:rsidRPr="0043038D">
          <w:rPr>
            <w:sz w:val="21"/>
            <w:szCs w:val="21"/>
          </w:rPr>
          <w:fldChar w:fldCharType="separate"/>
        </w:r>
        <w:r w:rsidR="00837133" w:rsidRPr="0043038D">
          <w:rPr>
            <w:sz w:val="21"/>
            <w:szCs w:val="21"/>
          </w:rPr>
          <w:t>18</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95" w:history="1">
        <w:r w:rsidR="00837133" w:rsidRPr="0043038D">
          <w:rPr>
            <w:rStyle w:val="af5"/>
            <w:rFonts w:eastAsia="宋体"/>
            <w:sz w:val="21"/>
            <w:szCs w:val="21"/>
          </w:rPr>
          <w:t>十、估价结果</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_Toc155267095 \h </w:instrText>
        </w:r>
        <w:r w:rsidR="00837133" w:rsidRPr="0043038D">
          <w:rPr>
            <w:sz w:val="21"/>
            <w:szCs w:val="21"/>
          </w:rPr>
        </w:r>
        <w:r w:rsidR="00837133" w:rsidRPr="0043038D">
          <w:rPr>
            <w:sz w:val="21"/>
            <w:szCs w:val="21"/>
          </w:rPr>
          <w:fldChar w:fldCharType="separate"/>
        </w:r>
        <w:r w:rsidR="00837133" w:rsidRPr="0043038D">
          <w:rPr>
            <w:sz w:val="21"/>
            <w:szCs w:val="21"/>
          </w:rPr>
          <w:t>20</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96" w:history="1">
        <w:r w:rsidR="00837133" w:rsidRPr="0043038D">
          <w:rPr>
            <w:rStyle w:val="af5"/>
            <w:rFonts w:eastAsia="宋体"/>
            <w:sz w:val="21"/>
            <w:szCs w:val="21"/>
          </w:rPr>
          <w:t>十一、参与本次估价工作的评估专业人员</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_Toc155267096 \h </w:instrText>
        </w:r>
        <w:r w:rsidR="00837133" w:rsidRPr="0043038D">
          <w:rPr>
            <w:sz w:val="21"/>
            <w:szCs w:val="21"/>
          </w:rPr>
        </w:r>
        <w:r w:rsidR="00837133" w:rsidRPr="0043038D">
          <w:rPr>
            <w:sz w:val="21"/>
            <w:szCs w:val="21"/>
          </w:rPr>
          <w:fldChar w:fldCharType="separate"/>
        </w:r>
        <w:r w:rsidR="00837133" w:rsidRPr="0043038D">
          <w:rPr>
            <w:sz w:val="21"/>
            <w:szCs w:val="21"/>
          </w:rPr>
          <w:t>21</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97" w:history="1">
        <w:r w:rsidR="00837133" w:rsidRPr="0043038D">
          <w:rPr>
            <w:rStyle w:val="af5"/>
            <w:rFonts w:eastAsia="宋体"/>
            <w:sz w:val="21"/>
            <w:szCs w:val="21"/>
          </w:rPr>
          <w:t>十二、实地查勘期</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_Toc155267097 \h </w:instrText>
        </w:r>
        <w:r w:rsidR="00837133" w:rsidRPr="0043038D">
          <w:rPr>
            <w:sz w:val="21"/>
            <w:szCs w:val="21"/>
          </w:rPr>
        </w:r>
        <w:r w:rsidR="00837133" w:rsidRPr="0043038D">
          <w:rPr>
            <w:sz w:val="21"/>
            <w:szCs w:val="21"/>
          </w:rPr>
          <w:fldChar w:fldCharType="separate"/>
        </w:r>
        <w:r w:rsidR="00837133" w:rsidRPr="0043038D">
          <w:rPr>
            <w:sz w:val="21"/>
            <w:szCs w:val="21"/>
          </w:rPr>
          <w:t>21</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098" w:history="1">
        <w:r w:rsidR="00837133" w:rsidRPr="0043038D">
          <w:rPr>
            <w:rStyle w:val="af5"/>
            <w:rFonts w:eastAsia="宋体"/>
            <w:sz w:val="21"/>
            <w:szCs w:val="21"/>
          </w:rPr>
          <w:t>十三、估价作业期</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_Toc155267098 \h </w:instrText>
        </w:r>
        <w:r w:rsidR="00837133" w:rsidRPr="0043038D">
          <w:rPr>
            <w:sz w:val="21"/>
            <w:szCs w:val="21"/>
          </w:rPr>
        </w:r>
        <w:r w:rsidR="00837133" w:rsidRPr="0043038D">
          <w:rPr>
            <w:sz w:val="21"/>
            <w:szCs w:val="21"/>
          </w:rPr>
          <w:fldChar w:fldCharType="separate"/>
        </w:r>
        <w:r w:rsidR="00837133" w:rsidRPr="0043038D">
          <w:rPr>
            <w:sz w:val="21"/>
            <w:szCs w:val="21"/>
          </w:rPr>
          <w:t>21</w:t>
        </w:r>
        <w:r w:rsidR="00837133" w:rsidRPr="0043038D">
          <w:rPr>
            <w:sz w:val="21"/>
            <w:szCs w:val="21"/>
          </w:rPr>
          <w:fldChar w:fldCharType="end"/>
        </w:r>
      </w:hyperlink>
    </w:p>
    <w:p w:rsidR="000E5655" w:rsidRPr="0043038D" w:rsidRDefault="004279E2">
      <w:pPr>
        <w:pStyle w:val="10"/>
        <w:rPr>
          <w:rFonts w:ascii="等线" w:eastAsia="等线" w:hAnsi="等线"/>
          <w:b w:val="0"/>
          <w:bCs w:val="0"/>
          <w:kern w:val="2"/>
          <w:sz w:val="24"/>
          <w:szCs w:val="24"/>
        </w:rPr>
      </w:pPr>
      <w:hyperlink w:anchor="_Toc155267099" w:history="1">
        <w:r w:rsidR="00837133" w:rsidRPr="0043038D">
          <w:rPr>
            <w:rStyle w:val="af5"/>
            <w:rFonts w:eastAsia="方正黑体简体"/>
            <w:sz w:val="24"/>
            <w:szCs w:val="24"/>
          </w:rPr>
          <w:t>估价技术报告</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_Toc155267099 \h </w:instrText>
        </w:r>
        <w:r w:rsidR="00837133" w:rsidRPr="0043038D">
          <w:rPr>
            <w:sz w:val="24"/>
            <w:szCs w:val="24"/>
          </w:rPr>
        </w:r>
        <w:r w:rsidR="00837133" w:rsidRPr="0043038D">
          <w:rPr>
            <w:sz w:val="24"/>
            <w:szCs w:val="24"/>
          </w:rPr>
          <w:fldChar w:fldCharType="separate"/>
        </w:r>
        <w:r w:rsidR="00837133" w:rsidRPr="0043038D">
          <w:rPr>
            <w:sz w:val="24"/>
            <w:szCs w:val="24"/>
          </w:rPr>
          <w:t>22</w:t>
        </w:r>
        <w:r w:rsidR="00837133" w:rsidRPr="0043038D">
          <w:rPr>
            <w:sz w:val="24"/>
            <w:szCs w:val="24"/>
          </w:rPr>
          <w:fldChar w:fldCharType="end"/>
        </w:r>
      </w:hyperlink>
    </w:p>
    <w:p w:rsidR="000E5655" w:rsidRPr="0043038D" w:rsidRDefault="004279E2">
      <w:pPr>
        <w:pStyle w:val="21"/>
        <w:rPr>
          <w:rFonts w:ascii="等线" w:eastAsia="等线" w:hAnsi="等线"/>
          <w:kern w:val="2"/>
          <w:sz w:val="21"/>
          <w:szCs w:val="21"/>
        </w:rPr>
      </w:pPr>
      <w:hyperlink w:anchor="_Toc155267100" w:history="1">
        <w:r w:rsidR="00837133" w:rsidRPr="0043038D">
          <w:rPr>
            <w:rStyle w:val="af5"/>
            <w:rFonts w:eastAsia="宋体"/>
            <w:sz w:val="21"/>
            <w:szCs w:val="21"/>
          </w:rPr>
          <w:t>一、估价对象描述与分析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_Toc155267100 \h </w:instrText>
        </w:r>
        <w:r w:rsidR="00837133" w:rsidRPr="0043038D">
          <w:rPr>
            <w:sz w:val="21"/>
            <w:szCs w:val="21"/>
          </w:rPr>
        </w:r>
        <w:r w:rsidR="00837133" w:rsidRPr="0043038D">
          <w:rPr>
            <w:sz w:val="21"/>
            <w:szCs w:val="21"/>
          </w:rPr>
          <w:fldChar w:fldCharType="separate"/>
        </w:r>
        <w:r w:rsidR="00837133" w:rsidRPr="0043038D">
          <w:rPr>
            <w:sz w:val="21"/>
            <w:szCs w:val="21"/>
          </w:rPr>
          <w:t>22</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101" w:history="1">
        <w:r w:rsidR="00837133" w:rsidRPr="0043038D">
          <w:rPr>
            <w:rStyle w:val="af5"/>
            <w:rFonts w:eastAsia="宋体"/>
            <w:sz w:val="21"/>
            <w:szCs w:val="21"/>
          </w:rPr>
          <w:t>（一）区位状况分析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_Toc155267101 \h </w:instrText>
        </w:r>
        <w:r w:rsidR="00837133" w:rsidRPr="0043038D">
          <w:rPr>
            <w:sz w:val="21"/>
            <w:szCs w:val="21"/>
          </w:rPr>
        </w:r>
        <w:r w:rsidR="00837133" w:rsidRPr="0043038D">
          <w:rPr>
            <w:sz w:val="21"/>
            <w:szCs w:val="21"/>
          </w:rPr>
          <w:fldChar w:fldCharType="separate"/>
        </w:r>
        <w:r w:rsidR="00837133" w:rsidRPr="0043038D">
          <w:rPr>
            <w:sz w:val="21"/>
            <w:szCs w:val="21"/>
          </w:rPr>
          <w:t>22</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102" w:history="1">
        <w:r w:rsidR="00837133" w:rsidRPr="0043038D">
          <w:rPr>
            <w:rStyle w:val="af5"/>
            <w:rFonts w:eastAsia="宋体"/>
            <w:sz w:val="21"/>
            <w:szCs w:val="21"/>
          </w:rPr>
          <w:t>（二）实物状况分析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_Toc155267102 \h </w:instrText>
        </w:r>
        <w:r w:rsidR="00837133" w:rsidRPr="0043038D">
          <w:rPr>
            <w:sz w:val="21"/>
            <w:szCs w:val="21"/>
          </w:rPr>
        </w:r>
        <w:r w:rsidR="00837133" w:rsidRPr="0043038D">
          <w:rPr>
            <w:sz w:val="21"/>
            <w:szCs w:val="21"/>
          </w:rPr>
          <w:fldChar w:fldCharType="separate"/>
        </w:r>
        <w:r w:rsidR="00837133" w:rsidRPr="0043038D">
          <w:rPr>
            <w:sz w:val="21"/>
            <w:szCs w:val="21"/>
          </w:rPr>
          <w:t>23</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103" w:history="1">
        <w:r w:rsidR="00837133" w:rsidRPr="0043038D">
          <w:rPr>
            <w:rStyle w:val="af5"/>
            <w:rFonts w:eastAsia="宋体"/>
            <w:sz w:val="21"/>
            <w:szCs w:val="21"/>
          </w:rPr>
          <w:t>（三）权益状况分析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_Toc155267103 \h </w:instrText>
        </w:r>
        <w:r w:rsidR="00837133" w:rsidRPr="0043038D">
          <w:rPr>
            <w:sz w:val="21"/>
            <w:szCs w:val="21"/>
          </w:rPr>
        </w:r>
        <w:r w:rsidR="00837133" w:rsidRPr="0043038D">
          <w:rPr>
            <w:sz w:val="21"/>
            <w:szCs w:val="21"/>
          </w:rPr>
          <w:fldChar w:fldCharType="separate"/>
        </w:r>
        <w:r w:rsidR="00837133" w:rsidRPr="0043038D">
          <w:rPr>
            <w:sz w:val="21"/>
            <w:szCs w:val="21"/>
          </w:rPr>
          <w:t>25</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104" w:history="1">
        <w:r w:rsidR="00837133" w:rsidRPr="0043038D">
          <w:rPr>
            <w:rStyle w:val="af5"/>
            <w:rFonts w:eastAsia="宋体"/>
            <w:sz w:val="21"/>
            <w:szCs w:val="21"/>
          </w:rPr>
          <w:t>二、市场背景描述与分析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_Toc155267104 \h </w:instrText>
        </w:r>
        <w:r w:rsidR="00837133" w:rsidRPr="0043038D">
          <w:rPr>
            <w:sz w:val="21"/>
            <w:szCs w:val="21"/>
          </w:rPr>
        </w:r>
        <w:r w:rsidR="00837133" w:rsidRPr="0043038D">
          <w:rPr>
            <w:sz w:val="21"/>
            <w:szCs w:val="21"/>
          </w:rPr>
          <w:fldChar w:fldCharType="separate"/>
        </w:r>
        <w:r w:rsidR="00837133" w:rsidRPr="0043038D">
          <w:rPr>
            <w:sz w:val="21"/>
            <w:szCs w:val="21"/>
          </w:rPr>
          <w:t>25</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105" w:history="1">
        <w:r w:rsidR="00837133" w:rsidRPr="0043038D">
          <w:rPr>
            <w:rStyle w:val="af5"/>
            <w:rFonts w:eastAsia="宋体"/>
            <w:sz w:val="21"/>
            <w:szCs w:val="21"/>
          </w:rPr>
          <w:t>三、最高最佳利用分析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_Toc155267105 \h </w:instrText>
        </w:r>
        <w:r w:rsidR="00837133" w:rsidRPr="0043038D">
          <w:rPr>
            <w:sz w:val="21"/>
            <w:szCs w:val="21"/>
          </w:rPr>
        </w:r>
        <w:r w:rsidR="00837133" w:rsidRPr="0043038D">
          <w:rPr>
            <w:sz w:val="21"/>
            <w:szCs w:val="21"/>
          </w:rPr>
          <w:fldChar w:fldCharType="separate"/>
        </w:r>
        <w:r w:rsidR="00837133" w:rsidRPr="0043038D">
          <w:rPr>
            <w:sz w:val="21"/>
            <w:szCs w:val="21"/>
          </w:rPr>
          <w:t>44</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106" w:history="1">
        <w:r w:rsidR="00837133" w:rsidRPr="0043038D">
          <w:rPr>
            <w:rStyle w:val="af5"/>
            <w:rFonts w:eastAsia="宋体"/>
            <w:sz w:val="21"/>
            <w:szCs w:val="21"/>
          </w:rPr>
          <w:t>四、估价方法适用性分析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_Toc155267106 \h </w:instrText>
        </w:r>
        <w:r w:rsidR="00837133" w:rsidRPr="0043038D">
          <w:rPr>
            <w:sz w:val="21"/>
            <w:szCs w:val="21"/>
          </w:rPr>
        </w:r>
        <w:r w:rsidR="00837133" w:rsidRPr="0043038D">
          <w:rPr>
            <w:sz w:val="21"/>
            <w:szCs w:val="21"/>
          </w:rPr>
          <w:fldChar w:fldCharType="separate"/>
        </w:r>
        <w:r w:rsidR="00837133" w:rsidRPr="0043038D">
          <w:rPr>
            <w:sz w:val="21"/>
            <w:szCs w:val="21"/>
          </w:rPr>
          <w:t>46</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107" w:history="1">
        <w:r w:rsidR="00837133" w:rsidRPr="0043038D">
          <w:rPr>
            <w:rStyle w:val="af5"/>
            <w:rFonts w:eastAsia="宋体"/>
            <w:sz w:val="21"/>
            <w:szCs w:val="21"/>
          </w:rPr>
          <w:t>五、估价测算过程</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_Toc155267107 \h </w:instrText>
        </w:r>
        <w:r w:rsidR="00837133" w:rsidRPr="0043038D">
          <w:rPr>
            <w:sz w:val="21"/>
            <w:szCs w:val="21"/>
          </w:rPr>
        </w:r>
        <w:r w:rsidR="00837133" w:rsidRPr="0043038D">
          <w:rPr>
            <w:sz w:val="21"/>
            <w:szCs w:val="21"/>
          </w:rPr>
          <w:fldChar w:fldCharType="separate"/>
        </w:r>
        <w:r w:rsidR="00837133" w:rsidRPr="0043038D">
          <w:rPr>
            <w:sz w:val="21"/>
            <w:szCs w:val="21"/>
          </w:rPr>
          <w:t>49</w:t>
        </w:r>
        <w:r w:rsidR="00837133" w:rsidRPr="0043038D">
          <w:rPr>
            <w:sz w:val="21"/>
            <w:szCs w:val="21"/>
          </w:rPr>
          <w:fldChar w:fldCharType="end"/>
        </w:r>
      </w:hyperlink>
    </w:p>
    <w:p w:rsidR="000E5655" w:rsidRPr="0043038D" w:rsidRDefault="004279E2">
      <w:pPr>
        <w:pStyle w:val="21"/>
        <w:rPr>
          <w:rFonts w:ascii="等线" w:eastAsia="等线" w:hAnsi="等线"/>
          <w:kern w:val="2"/>
          <w:sz w:val="21"/>
          <w:szCs w:val="21"/>
        </w:rPr>
      </w:pPr>
      <w:hyperlink w:anchor="_Toc155267108" w:history="1">
        <w:r w:rsidR="00837133" w:rsidRPr="0043038D">
          <w:rPr>
            <w:rStyle w:val="af5"/>
            <w:rFonts w:eastAsia="宋体"/>
            <w:sz w:val="21"/>
            <w:szCs w:val="21"/>
          </w:rPr>
          <w:t>六、估价结果确定</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_Toc155267108 \h </w:instrText>
        </w:r>
        <w:r w:rsidR="00837133" w:rsidRPr="0043038D">
          <w:rPr>
            <w:sz w:val="21"/>
            <w:szCs w:val="21"/>
          </w:rPr>
        </w:r>
        <w:r w:rsidR="00837133" w:rsidRPr="0043038D">
          <w:rPr>
            <w:sz w:val="21"/>
            <w:szCs w:val="21"/>
          </w:rPr>
          <w:fldChar w:fldCharType="separate"/>
        </w:r>
        <w:r w:rsidR="00837133" w:rsidRPr="0043038D">
          <w:rPr>
            <w:sz w:val="21"/>
            <w:szCs w:val="21"/>
          </w:rPr>
          <w:t>78</w:t>
        </w:r>
        <w:r w:rsidR="00837133" w:rsidRPr="0043038D">
          <w:rPr>
            <w:sz w:val="21"/>
            <w:szCs w:val="21"/>
          </w:rPr>
          <w:fldChar w:fldCharType="end"/>
        </w:r>
      </w:hyperlink>
    </w:p>
    <w:p w:rsidR="000E5655" w:rsidRPr="0043038D" w:rsidRDefault="004279E2">
      <w:pPr>
        <w:pStyle w:val="10"/>
        <w:rPr>
          <w:rFonts w:ascii="等线" w:eastAsia="等线" w:hAnsi="等线"/>
          <w:b w:val="0"/>
          <w:bCs w:val="0"/>
          <w:kern w:val="2"/>
          <w:sz w:val="24"/>
          <w:szCs w:val="24"/>
        </w:rPr>
      </w:pPr>
      <w:hyperlink w:anchor="_Toc155267109" w:history="1">
        <w:r w:rsidR="00837133" w:rsidRPr="0043038D">
          <w:rPr>
            <w:rStyle w:val="af5"/>
            <w:rFonts w:eastAsia="方正黑体简体"/>
            <w:sz w:val="24"/>
            <w:szCs w:val="24"/>
          </w:rPr>
          <w:t>附</w:t>
        </w:r>
        <w:r w:rsidR="00837133" w:rsidRPr="0043038D">
          <w:rPr>
            <w:rStyle w:val="af5"/>
            <w:rFonts w:eastAsia="方正黑体简体"/>
            <w:sz w:val="24"/>
            <w:szCs w:val="24"/>
          </w:rPr>
          <w:t xml:space="preserve">   </w:t>
        </w:r>
        <w:r w:rsidR="00837133" w:rsidRPr="0043038D">
          <w:rPr>
            <w:rStyle w:val="af5"/>
            <w:rFonts w:eastAsia="方正黑体简体"/>
            <w:sz w:val="24"/>
            <w:szCs w:val="24"/>
          </w:rPr>
          <w:t>件</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_Toc155267109 \h </w:instrText>
        </w:r>
        <w:r w:rsidR="00837133" w:rsidRPr="0043038D">
          <w:rPr>
            <w:sz w:val="24"/>
            <w:szCs w:val="24"/>
          </w:rPr>
        </w:r>
        <w:r w:rsidR="00837133" w:rsidRPr="0043038D">
          <w:rPr>
            <w:sz w:val="24"/>
            <w:szCs w:val="24"/>
          </w:rPr>
          <w:fldChar w:fldCharType="separate"/>
        </w:r>
        <w:r w:rsidR="00837133" w:rsidRPr="0043038D">
          <w:rPr>
            <w:sz w:val="24"/>
            <w:szCs w:val="24"/>
          </w:rPr>
          <w:t>79</w:t>
        </w:r>
        <w:r w:rsidR="00837133" w:rsidRPr="0043038D">
          <w:rPr>
            <w:sz w:val="24"/>
            <w:szCs w:val="24"/>
          </w:rPr>
          <w:fldChar w:fldCharType="end"/>
        </w:r>
      </w:hyperlink>
    </w:p>
    <w:p w:rsidR="000E5655" w:rsidRPr="0043038D" w:rsidRDefault="00837133">
      <w:pPr>
        <w:numPr>
          <w:ilvl w:val="0"/>
          <w:numId w:val="5"/>
        </w:numPr>
        <w:spacing w:line="360" w:lineRule="auto"/>
        <w:jc w:val="both"/>
        <w:rPr>
          <w:rFonts w:ascii="Arial" w:hAnsi="Arial" w:cs="Arial"/>
          <w:sz w:val="21"/>
          <w:szCs w:val="21"/>
        </w:rPr>
      </w:pPr>
      <w:r w:rsidRPr="0043038D">
        <w:rPr>
          <w:rFonts w:ascii="宋体" w:hAnsi="宋体" w:cs="Arial"/>
          <w:szCs w:val="24"/>
        </w:rPr>
        <w:lastRenderedPageBreak/>
        <w:fldChar w:fldCharType="end"/>
      </w:r>
      <w:r w:rsidRPr="0043038D">
        <w:rPr>
          <w:rFonts w:ascii="Arial" w:hAnsi="Arial" w:cs="Arial" w:hint="eastAsia"/>
          <w:sz w:val="21"/>
          <w:szCs w:val="21"/>
        </w:rPr>
        <w:t>《估价委托书》复印件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估价对象所在位置示意图</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估价对象现状照片</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《建设工程规划许可证》</w:t>
      </w:r>
      <w:r w:rsidRPr="0043038D">
        <w:rPr>
          <w:rFonts w:ascii="Arial" w:hAnsi="Arial" w:cs="Arial" w:hint="eastAsia"/>
          <w:sz w:val="21"/>
          <w:szCs w:val="21"/>
        </w:rPr>
        <w:t>[2022</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proofErr w:type="gramStart"/>
      <w:r w:rsidRPr="0043038D">
        <w:rPr>
          <w:rFonts w:ascii="Arial" w:hAnsi="Arial" w:cs="Arial" w:hint="eastAsia"/>
          <w:sz w:val="21"/>
          <w:szCs w:val="21"/>
        </w:rPr>
        <w:t>大竣</w:t>
      </w:r>
      <w:proofErr w:type="gramEnd"/>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估价委托人《营业执照（副本）》复印件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房地产估价机构《营业执照（副本）》复印件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房地产估价机构资质证书复印件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评估专业人员执业证书复印件</w:t>
      </w:r>
    </w:p>
    <w:p w:rsidR="000E5655" w:rsidRPr="0043038D" w:rsidRDefault="000E5655">
      <w:pPr>
        <w:spacing w:line="240" w:lineRule="auto"/>
        <w:jc w:val="both"/>
        <w:outlineLvl w:val="0"/>
        <w:rPr>
          <w:rFonts w:ascii="Arial" w:eastAsia="楷体_GB2312" w:hAnsi="Arial" w:cs="Arial"/>
          <w:i/>
          <w:kern w:val="2"/>
          <w:sz w:val="28"/>
          <w:szCs w:val="28"/>
        </w:rPr>
        <w:sectPr w:rsidR="000E5655" w:rsidRPr="0043038D">
          <w:headerReference w:type="even" r:id="rId18"/>
          <w:headerReference w:type="default" r:id="rId19"/>
          <w:headerReference w:type="first" r:id="rId20"/>
          <w:pgSz w:w="11907" w:h="16840"/>
          <w:pgMar w:top="1843" w:right="1134" w:bottom="1134" w:left="1134" w:header="1134" w:footer="907" w:gutter="340"/>
          <w:cols w:space="720"/>
          <w:docGrid w:linePitch="326"/>
        </w:sectPr>
      </w:pPr>
    </w:p>
    <w:p w:rsidR="000E5655" w:rsidRPr="0043038D" w:rsidRDefault="00837133">
      <w:pPr>
        <w:pStyle w:val="1"/>
        <w:spacing w:line="480" w:lineRule="auto"/>
        <w:jc w:val="center"/>
        <w:rPr>
          <w:rFonts w:eastAsia="方正黑体简体"/>
          <w:b w:val="0"/>
          <w:kern w:val="2"/>
          <w:sz w:val="32"/>
          <w:szCs w:val="32"/>
        </w:rPr>
      </w:pPr>
      <w:bookmarkStart w:id="6" w:name="_Toc379795041"/>
      <w:bookmarkStart w:id="7" w:name="_Toc155267083"/>
      <w:r w:rsidRPr="0043038D">
        <w:rPr>
          <w:rFonts w:eastAsia="方正黑体简体" w:hint="eastAsia"/>
          <w:b w:val="0"/>
          <w:kern w:val="2"/>
          <w:sz w:val="32"/>
          <w:szCs w:val="32"/>
        </w:rPr>
        <w:lastRenderedPageBreak/>
        <w:t>估价师声明</w:t>
      </w:r>
      <w:bookmarkEnd w:id="6"/>
      <w:bookmarkEnd w:id="7"/>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注册房地产估价师郑重声明：</w:t>
      </w:r>
    </w:p>
    <w:p w:rsidR="000E5655" w:rsidRPr="0043038D" w:rsidRDefault="00837133">
      <w:pPr>
        <w:spacing w:line="480" w:lineRule="auto"/>
        <w:jc w:val="both"/>
        <w:outlineLvl w:val="0"/>
        <w:rPr>
          <w:rFonts w:ascii="Arial" w:hAnsi="Arial" w:cs="Arial"/>
          <w:kern w:val="2"/>
          <w:sz w:val="21"/>
          <w:szCs w:val="21"/>
        </w:rPr>
      </w:pPr>
      <w:bookmarkStart w:id="8" w:name="_Toc168225811"/>
      <w:r w:rsidRPr="0043038D">
        <w:rPr>
          <w:rFonts w:ascii="Arial" w:hAnsi="Arial" w:cs="Arial"/>
          <w:kern w:val="2"/>
          <w:sz w:val="21"/>
          <w:szCs w:val="21"/>
        </w:rPr>
        <w:t>（一）注册房地产估价师在本估价报告中对事实的说明是真实的和准确的，没有虚假记载、误导性陈述和重大遗漏。</w:t>
      </w:r>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（三）</w:t>
      </w:r>
      <w:r w:rsidRPr="0043038D">
        <w:rPr>
          <w:rFonts w:ascii="Arial" w:hAnsi="Arial" w:cs="Arial" w:hint="eastAsia"/>
          <w:kern w:val="2"/>
          <w:sz w:val="21"/>
          <w:szCs w:val="21"/>
        </w:rPr>
        <w:t>评估专业人员已于</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Pr="0043038D">
        <w:rPr>
          <w:rFonts w:ascii="Arial" w:hAnsi="Arial" w:cs="Arial"/>
          <w:kern w:val="2"/>
          <w:sz w:val="21"/>
          <w:szCs w:val="21"/>
        </w:rPr>
        <w:t>7</w:t>
      </w:r>
      <w:r w:rsidRPr="0043038D">
        <w:rPr>
          <w:rFonts w:ascii="Arial" w:hAnsi="Arial" w:cs="Arial" w:hint="eastAsia"/>
          <w:kern w:val="2"/>
          <w:sz w:val="21"/>
          <w:szCs w:val="21"/>
        </w:rPr>
        <w:t>月</w:t>
      </w:r>
      <w:r w:rsidRPr="0043038D">
        <w:rPr>
          <w:rFonts w:ascii="Arial" w:hAnsi="Arial" w:cs="Arial"/>
          <w:kern w:val="2"/>
          <w:sz w:val="21"/>
          <w:szCs w:val="21"/>
        </w:rPr>
        <w:t>11</w:t>
      </w:r>
      <w:r w:rsidRPr="0043038D">
        <w:rPr>
          <w:rFonts w:ascii="Arial" w:hAnsi="Arial" w:cs="Arial" w:hint="eastAsia"/>
          <w:kern w:val="2"/>
          <w:sz w:val="21"/>
          <w:szCs w:val="21"/>
        </w:rPr>
        <w:t>日对估价对象进行了实地查勘。我们</w:t>
      </w:r>
      <w:r w:rsidRPr="0043038D">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（四）注册房地产估价师依照中华人民共和国国家标准《房地产估价规范》</w:t>
      </w:r>
      <w:bookmarkStart w:id="9" w:name="_Hlk130229083"/>
      <w:r w:rsidRPr="0043038D">
        <w:rPr>
          <w:rFonts w:ascii="Arial" w:hAnsi="Arial" w:cs="Arial"/>
          <w:kern w:val="2"/>
          <w:sz w:val="21"/>
          <w:szCs w:val="21"/>
        </w:rPr>
        <w:t>[GB/T</w:t>
      </w:r>
      <w:r w:rsidRPr="0043038D">
        <w:rPr>
          <w:rFonts w:ascii="Arial" w:hAnsi="Arial" w:cs="Arial" w:hint="eastAsia"/>
          <w:kern w:val="2"/>
          <w:sz w:val="21"/>
          <w:szCs w:val="21"/>
        </w:rPr>
        <w:t xml:space="preserve"> </w:t>
      </w:r>
      <w:r w:rsidRPr="0043038D">
        <w:rPr>
          <w:rFonts w:ascii="Arial" w:hAnsi="Arial" w:cs="Arial"/>
          <w:kern w:val="2"/>
          <w:sz w:val="21"/>
          <w:szCs w:val="21"/>
        </w:rPr>
        <w:t>50291-2015]</w:t>
      </w:r>
      <w:bookmarkEnd w:id="9"/>
      <w:r w:rsidRPr="0043038D">
        <w:rPr>
          <w:rFonts w:ascii="Arial" w:hAnsi="Arial" w:cs="Arial" w:hint="eastAsia"/>
          <w:kern w:val="2"/>
          <w:sz w:val="21"/>
          <w:szCs w:val="21"/>
        </w:rPr>
        <w:t>、《</w:t>
      </w:r>
      <w:r w:rsidRPr="0043038D">
        <w:rPr>
          <w:rFonts w:ascii="Arial" w:hAnsi="Arial" w:cs="Arial"/>
          <w:kern w:val="2"/>
          <w:sz w:val="21"/>
          <w:szCs w:val="21"/>
        </w:rPr>
        <w:t>房地产估价基本术语标</w:t>
      </w:r>
      <w:r w:rsidRPr="0043038D">
        <w:rPr>
          <w:rFonts w:ascii="Arial" w:hAnsi="Arial" w:cs="Arial" w:hint="eastAsia"/>
          <w:kern w:val="2"/>
          <w:sz w:val="21"/>
          <w:szCs w:val="21"/>
        </w:rPr>
        <w:t>准》</w:t>
      </w:r>
      <w:bookmarkStart w:id="10" w:name="_Hlk130229088"/>
      <w:r w:rsidRPr="0043038D">
        <w:rPr>
          <w:rFonts w:ascii="Arial" w:hAnsi="Arial" w:cs="Arial"/>
          <w:kern w:val="2"/>
          <w:sz w:val="21"/>
          <w:szCs w:val="21"/>
        </w:rPr>
        <w:t>[GB/T</w:t>
      </w:r>
      <w:r w:rsidRPr="0043038D">
        <w:rPr>
          <w:rFonts w:ascii="Arial" w:hAnsi="Arial" w:cs="Arial" w:hint="eastAsia"/>
          <w:kern w:val="2"/>
          <w:sz w:val="21"/>
          <w:szCs w:val="21"/>
        </w:rPr>
        <w:t xml:space="preserve"> </w:t>
      </w:r>
      <w:r w:rsidRPr="0043038D">
        <w:rPr>
          <w:rFonts w:ascii="Arial" w:hAnsi="Arial" w:cs="Arial"/>
          <w:kern w:val="2"/>
          <w:sz w:val="21"/>
          <w:szCs w:val="21"/>
        </w:rPr>
        <w:t>50899-2013]</w:t>
      </w:r>
      <w:bookmarkEnd w:id="10"/>
      <w:r w:rsidRPr="0043038D">
        <w:rPr>
          <w:rFonts w:ascii="Arial" w:hAnsi="Arial" w:cs="Arial"/>
          <w:kern w:val="2"/>
          <w:sz w:val="21"/>
          <w:szCs w:val="21"/>
        </w:rPr>
        <w:t>以及相关房地产估价专项标准，撰写本估价报告。</w:t>
      </w:r>
    </w:p>
    <w:p w:rsidR="000E5655" w:rsidRPr="0043038D" w:rsidRDefault="000E5655">
      <w:pPr>
        <w:rPr>
          <w:rFonts w:ascii="Arial" w:eastAsia="楷体_GB2312" w:hAnsi="Arial" w:cs="Arial"/>
          <w:kern w:val="2"/>
          <w:sz w:val="28"/>
        </w:rPr>
        <w:sectPr w:rsidR="000E5655" w:rsidRPr="0043038D">
          <w:headerReference w:type="even" r:id="rId21"/>
          <w:headerReference w:type="default" r:id="rId22"/>
          <w:headerReference w:type="first" r:id="rId23"/>
          <w:footerReference w:type="first" r:id="rId24"/>
          <w:pgSz w:w="11907" w:h="16840"/>
          <w:pgMar w:top="1843" w:right="1134" w:bottom="1134" w:left="1134" w:header="1134" w:footer="907" w:gutter="340"/>
          <w:cols w:space="720"/>
          <w:docGrid w:linePitch="326"/>
        </w:sectPr>
      </w:pPr>
    </w:p>
    <w:p w:rsidR="000E5655" w:rsidRPr="0043038D" w:rsidRDefault="00837133">
      <w:pPr>
        <w:pStyle w:val="1"/>
        <w:spacing w:line="480" w:lineRule="auto"/>
        <w:jc w:val="center"/>
        <w:rPr>
          <w:rFonts w:eastAsia="方正黑体简体"/>
          <w:b w:val="0"/>
          <w:kern w:val="2"/>
          <w:sz w:val="32"/>
          <w:szCs w:val="32"/>
        </w:rPr>
      </w:pPr>
      <w:bookmarkStart w:id="11" w:name="_Toc155267084"/>
      <w:bookmarkStart w:id="12" w:name="_Toc379795042"/>
      <w:r w:rsidRPr="0043038D">
        <w:rPr>
          <w:rFonts w:eastAsia="方正黑体简体" w:hint="eastAsia"/>
          <w:b w:val="0"/>
          <w:kern w:val="2"/>
          <w:sz w:val="32"/>
          <w:szCs w:val="32"/>
        </w:rPr>
        <w:lastRenderedPageBreak/>
        <w:t>估价假设和限制条件</w:t>
      </w:r>
      <w:bookmarkEnd w:id="11"/>
      <w:bookmarkEnd w:id="12"/>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（一）</w:t>
      </w:r>
      <w:r w:rsidRPr="0043038D">
        <w:rPr>
          <w:rFonts w:ascii="Arial" w:hAnsi="Arial" w:cs="Arial" w:hint="eastAsia"/>
          <w:b/>
          <w:kern w:val="2"/>
          <w:sz w:val="21"/>
          <w:szCs w:val="21"/>
        </w:rPr>
        <w:t>本次估价的一般假设</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1.</w:t>
      </w:r>
      <w:r w:rsidRPr="0043038D">
        <w:rPr>
          <w:rFonts w:ascii="Arial" w:hAnsi="Arial" w:cs="Arial"/>
          <w:kern w:val="2"/>
          <w:sz w:val="21"/>
          <w:szCs w:val="21"/>
        </w:rPr>
        <w:t>在</w:t>
      </w:r>
      <w:r w:rsidRPr="0043038D">
        <w:rPr>
          <w:rFonts w:ascii="Arial" w:hAnsi="Arial" w:cs="Arial" w:hint="eastAsia"/>
          <w:kern w:val="2"/>
          <w:sz w:val="21"/>
          <w:szCs w:val="21"/>
        </w:rPr>
        <w:t>估价时段</w:t>
      </w:r>
      <w:r w:rsidRPr="0043038D">
        <w:rPr>
          <w:rFonts w:ascii="Arial" w:hAnsi="Arial" w:cs="Arial"/>
          <w:kern w:val="2"/>
          <w:sz w:val="21"/>
          <w:szCs w:val="21"/>
        </w:rPr>
        <w:t>的房地产</w:t>
      </w:r>
      <w:r w:rsidRPr="0043038D">
        <w:rPr>
          <w:rFonts w:ascii="Arial" w:hAnsi="Arial" w:cs="Arial" w:hint="eastAsia"/>
          <w:kern w:val="2"/>
          <w:sz w:val="21"/>
          <w:szCs w:val="21"/>
        </w:rPr>
        <w:t>租赁</w:t>
      </w:r>
      <w:r w:rsidRPr="0043038D">
        <w:rPr>
          <w:rFonts w:ascii="Arial" w:hAnsi="Arial" w:cs="Arial"/>
          <w:kern w:val="2"/>
          <w:sz w:val="21"/>
          <w:szCs w:val="21"/>
        </w:rPr>
        <w:t>市场为公开、平等、自愿的交易市场。</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2.</w:t>
      </w:r>
      <w:r w:rsidRPr="0043038D">
        <w:rPr>
          <w:rFonts w:ascii="Arial" w:hAnsi="Arial" w:cs="Arial"/>
          <w:kern w:val="2"/>
          <w:sz w:val="21"/>
        </w:rPr>
        <w:t>以估价对象为符合法律、法规规定，在市场上可进行出租的房地产为假设前提。</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rPr>
        <w:t>3</w:t>
      </w:r>
      <w:r w:rsidRPr="0043038D">
        <w:rPr>
          <w:rFonts w:ascii="Arial" w:hAnsi="Arial" w:cs="Arial"/>
          <w:kern w:val="2"/>
          <w:sz w:val="21"/>
        </w:rPr>
        <w:t>.</w:t>
      </w:r>
      <w:r w:rsidRPr="0043038D">
        <w:rPr>
          <w:rFonts w:ascii="Arial" w:hAnsi="Arial" w:cs="Arial"/>
          <w:kern w:val="2"/>
          <w:sz w:val="21"/>
        </w:rPr>
        <w:t>以</w:t>
      </w:r>
      <w:r w:rsidRPr="0043038D">
        <w:rPr>
          <w:rFonts w:ascii="Arial" w:hAnsi="Arial" w:cs="Arial" w:hint="eastAsia"/>
          <w:kern w:val="2"/>
          <w:sz w:val="21"/>
        </w:rPr>
        <w:t>估价委托人</w:t>
      </w:r>
      <w:r w:rsidRPr="0043038D">
        <w:rPr>
          <w:rFonts w:ascii="Arial" w:hAnsi="Arial" w:cs="Arial"/>
          <w:kern w:val="2"/>
          <w:sz w:val="21"/>
        </w:rPr>
        <w:t>能按照设定用途</w:t>
      </w:r>
      <w:r w:rsidRPr="0043038D">
        <w:rPr>
          <w:rFonts w:ascii="宋体" w:hAnsi="宋体" w:hint="eastAsia"/>
          <w:kern w:val="2"/>
          <w:sz w:val="21"/>
        </w:rPr>
        <w:t>正常使用并可持续对外出租</w:t>
      </w:r>
      <w:r w:rsidRPr="0043038D">
        <w:rPr>
          <w:rFonts w:ascii="Arial" w:hAnsi="Arial" w:cs="Arial"/>
          <w:kern w:val="2"/>
          <w:sz w:val="21"/>
        </w:rPr>
        <w:t>为假设前提。</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4.</w:t>
      </w:r>
      <w:r w:rsidRPr="0043038D">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5</w:t>
      </w:r>
      <w:r w:rsidRPr="0043038D">
        <w:rPr>
          <w:rFonts w:ascii="Arial" w:hAnsi="Arial" w:cs="Arial" w:hint="eastAsia"/>
          <w:kern w:val="2"/>
          <w:sz w:val="21"/>
          <w:szCs w:val="21"/>
        </w:rPr>
        <w:t>.</w:t>
      </w:r>
      <w:r w:rsidRPr="0043038D">
        <w:rPr>
          <w:rFonts w:ascii="Arial" w:hAnsi="Arial" w:cs="Arial" w:hint="eastAsia"/>
          <w:kern w:val="2"/>
          <w:sz w:val="21"/>
          <w:szCs w:val="21"/>
        </w:rPr>
        <w:t>本次估价结果是在满足全部假设与限制条件下，于价值时点</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00C81EDB">
        <w:rPr>
          <w:rFonts w:ascii="Arial" w:hAnsi="Arial" w:cs="Arial" w:hint="eastAsia"/>
          <w:kern w:val="2"/>
          <w:sz w:val="21"/>
          <w:szCs w:val="21"/>
        </w:rPr>
        <w:t>10</w:t>
      </w:r>
      <w:r w:rsidR="00C81EDB">
        <w:rPr>
          <w:rFonts w:ascii="Arial" w:hAnsi="Arial" w:cs="Arial" w:hint="eastAsia"/>
          <w:kern w:val="2"/>
          <w:sz w:val="21"/>
          <w:szCs w:val="21"/>
        </w:rPr>
        <w:t>月</w:t>
      </w:r>
      <w:r w:rsidR="00C81EDB">
        <w:rPr>
          <w:rFonts w:ascii="Arial" w:hAnsi="Arial" w:cs="Arial" w:hint="eastAsia"/>
          <w:kern w:val="2"/>
          <w:sz w:val="21"/>
          <w:szCs w:val="21"/>
        </w:rPr>
        <w:t>14</w:t>
      </w:r>
      <w:r w:rsidRPr="0043038D">
        <w:rPr>
          <w:rFonts w:ascii="Arial" w:hAnsi="Arial" w:cs="Arial" w:hint="eastAsia"/>
          <w:kern w:val="2"/>
          <w:sz w:val="21"/>
          <w:szCs w:val="21"/>
        </w:rPr>
        <w:t>日，</w:t>
      </w:r>
      <w:r w:rsidRPr="0043038D">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6</w:t>
      </w:r>
      <w:r w:rsidRPr="0043038D">
        <w:rPr>
          <w:rFonts w:ascii="Arial" w:hAnsi="Arial" w:cs="Arial" w:hint="eastAsia"/>
          <w:kern w:val="2"/>
          <w:sz w:val="21"/>
          <w:szCs w:val="21"/>
        </w:rPr>
        <w:t>.</w:t>
      </w:r>
      <w:r w:rsidRPr="0043038D">
        <w:rPr>
          <w:rFonts w:ascii="Arial" w:hAnsi="Arial" w:cs="Arial" w:hint="eastAsia"/>
          <w:kern w:val="2"/>
          <w:sz w:val="21"/>
          <w:szCs w:val="21"/>
        </w:rPr>
        <w:t>本次估价所涉及</w:t>
      </w:r>
      <w:r w:rsidRPr="0043038D">
        <w:rPr>
          <w:rFonts w:ascii="Arial" w:hAnsi="Arial" w:cs="Arial"/>
          <w:kern w:val="2"/>
          <w:sz w:val="21"/>
          <w:szCs w:val="21"/>
        </w:rPr>
        <w:t>估价对象</w:t>
      </w:r>
      <w:r w:rsidRPr="0043038D">
        <w:rPr>
          <w:rFonts w:ascii="Arial" w:hAnsi="Arial" w:cs="Arial" w:hint="eastAsia"/>
          <w:kern w:val="2"/>
          <w:sz w:val="21"/>
          <w:szCs w:val="21"/>
        </w:rPr>
        <w:t>坐落、户型、建筑面积、朝向、套数、装修及设备等情况均以估价委托人提供的《估价委托书》</w:t>
      </w:r>
      <w:r w:rsidRPr="0043038D">
        <w:rPr>
          <w:rFonts w:ascii="Arial" w:hAnsi="Arial" w:cs="Arial"/>
          <w:kern w:val="2"/>
          <w:sz w:val="21"/>
          <w:szCs w:val="21"/>
        </w:rPr>
        <w:t>为</w:t>
      </w:r>
      <w:r w:rsidRPr="0043038D">
        <w:rPr>
          <w:rFonts w:ascii="Arial" w:hAnsi="Arial" w:cs="Arial"/>
          <w:sz w:val="21"/>
          <w:szCs w:val="21"/>
        </w:rPr>
        <w:t>依据。</w:t>
      </w:r>
      <w:r w:rsidRPr="0043038D">
        <w:rPr>
          <w:rFonts w:ascii="Arial" w:hAnsi="Arial" w:cs="Arial"/>
          <w:kern w:val="2"/>
          <w:sz w:val="21"/>
        </w:rPr>
        <w:t>如上述情况发生变化，估价结果需做相应调整，在此提请报告使用者注意。</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sz w:val="21"/>
          <w:szCs w:val="21"/>
        </w:rPr>
        <w:t>7.</w:t>
      </w:r>
      <w:r w:rsidRPr="0043038D">
        <w:rPr>
          <w:rFonts w:ascii="Arial" w:hAnsi="Arial" w:cs="Arial"/>
          <w:kern w:val="2"/>
          <w:sz w:val="21"/>
          <w:szCs w:val="21"/>
        </w:rPr>
        <w:t>评估专业人员</w:t>
      </w:r>
      <w:r w:rsidRPr="0043038D">
        <w:rPr>
          <w:rFonts w:ascii="Arial" w:hAnsi="Arial" w:cs="Arial" w:hint="eastAsia"/>
          <w:kern w:val="2"/>
          <w:sz w:val="21"/>
          <w:szCs w:val="21"/>
        </w:rPr>
        <w:t>仅</w:t>
      </w:r>
      <w:r w:rsidRPr="0043038D">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8.</w:t>
      </w:r>
      <w:r w:rsidRPr="0043038D">
        <w:rPr>
          <w:rFonts w:ascii="Arial" w:hAnsi="Arial" w:cs="Arial"/>
          <w:kern w:val="2"/>
          <w:sz w:val="21"/>
          <w:szCs w:val="21"/>
        </w:rPr>
        <w:t>任何有关估价对象的运作方式、程序符合国家、地方的有关法律、法规。</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9.</w:t>
      </w:r>
      <w:r w:rsidRPr="0043038D">
        <w:rPr>
          <w:rFonts w:ascii="Arial" w:hAnsi="Arial" w:cs="Arial"/>
          <w:kern w:val="2"/>
          <w:sz w:val="21"/>
          <w:szCs w:val="21"/>
        </w:rPr>
        <w:t>本次估价结果未考虑国家宏观政策发生重大变化以及遇有自然力和其他不可抗力对估价结果的影响。</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10</w:t>
      </w:r>
      <w:r w:rsidRPr="0043038D">
        <w:rPr>
          <w:rFonts w:ascii="Arial" w:hAnsi="Arial" w:cs="Arial" w:hint="eastAsia"/>
          <w:kern w:val="2"/>
          <w:sz w:val="21"/>
          <w:szCs w:val="21"/>
        </w:rPr>
        <w:t>.</w:t>
      </w:r>
      <w:r w:rsidRPr="0043038D">
        <w:rPr>
          <w:rFonts w:ascii="Arial" w:hAnsi="Arial" w:cs="Arial"/>
          <w:kern w:val="2"/>
          <w:sz w:val="21"/>
          <w:szCs w:val="21"/>
        </w:rPr>
        <w:t>估价结果未考虑估价对象及其运营企业已承担的债务、或有债务及经营决策失误或市场运作失</w:t>
      </w:r>
      <w:r w:rsidRPr="0043038D">
        <w:rPr>
          <w:rFonts w:ascii="Arial" w:hAnsi="Arial" w:cs="Arial"/>
          <w:kern w:val="2"/>
          <w:sz w:val="21"/>
          <w:szCs w:val="21"/>
        </w:rPr>
        <w:lastRenderedPageBreak/>
        <w:t>当对其</w:t>
      </w:r>
      <w:bookmarkStart w:id="13" w:name="_Hlk130229376"/>
      <w:r w:rsidRPr="0043038D">
        <w:rPr>
          <w:rFonts w:ascii="Arial" w:hAnsi="Arial" w:cs="Arial" w:hint="eastAsia"/>
          <w:kern w:val="2"/>
          <w:sz w:val="21"/>
          <w:szCs w:val="21"/>
        </w:rPr>
        <w:t>租赁价格水平</w:t>
      </w:r>
      <w:bookmarkEnd w:id="13"/>
      <w:r w:rsidRPr="0043038D">
        <w:rPr>
          <w:rFonts w:ascii="Arial" w:hAnsi="Arial" w:cs="Arial"/>
          <w:kern w:val="2"/>
          <w:sz w:val="21"/>
          <w:szCs w:val="21"/>
        </w:rPr>
        <w:t>的影响。</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hint="eastAsia"/>
          <w:kern w:val="2"/>
          <w:sz w:val="21"/>
          <w:szCs w:val="21"/>
        </w:rPr>
        <w:t>.</w:t>
      </w:r>
      <w:r w:rsidRPr="0043038D">
        <w:rPr>
          <w:rFonts w:ascii="Arial" w:hAnsi="Arial" w:cs="Arial" w:hint="eastAsia"/>
          <w:kern w:val="2"/>
          <w:sz w:val="21"/>
          <w:szCs w:val="21"/>
        </w:rPr>
        <w:t>评估专业人员于</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Pr="0043038D">
        <w:rPr>
          <w:rFonts w:ascii="Arial" w:hAnsi="Arial" w:cs="Arial"/>
          <w:kern w:val="2"/>
          <w:sz w:val="21"/>
          <w:szCs w:val="21"/>
        </w:rPr>
        <w:t>7</w:t>
      </w:r>
      <w:r w:rsidRPr="0043038D">
        <w:rPr>
          <w:rFonts w:ascii="Arial" w:hAnsi="Arial" w:cs="Arial" w:hint="eastAsia"/>
          <w:kern w:val="2"/>
          <w:sz w:val="21"/>
          <w:szCs w:val="21"/>
        </w:rPr>
        <w:t>月</w:t>
      </w:r>
      <w:r w:rsidRPr="0043038D">
        <w:rPr>
          <w:rFonts w:ascii="Arial" w:hAnsi="Arial" w:cs="Arial"/>
          <w:kern w:val="2"/>
          <w:sz w:val="21"/>
          <w:szCs w:val="21"/>
        </w:rPr>
        <w:t>11</w:t>
      </w:r>
      <w:r w:rsidRPr="0043038D">
        <w:rPr>
          <w:rFonts w:ascii="Arial" w:hAnsi="Arial" w:cs="Arial" w:hint="eastAsia"/>
          <w:kern w:val="2"/>
          <w:sz w:val="21"/>
          <w:szCs w:val="21"/>
        </w:rPr>
        <w:t>日对估价对象现状利用状况进行了实地查勘</w:t>
      </w:r>
      <w:r w:rsidRPr="0043038D">
        <w:rPr>
          <w:rFonts w:ascii="Arial" w:hAnsi="Arial" w:cs="Arial"/>
          <w:kern w:val="2"/>
          <w:sz w:val="21"/>
          <w:szCs w:val="21"/>
        </w:rPr>
        <w:t>.</w:t>
      </w:r>
      <w:r w:rsidRPr="0043038D">
        <w:rPr>
          <w:rFonts w:ascii="Arial" w:hAnsi="Arial" w:cs="Arial" w:hint="eastAsia"/>
          <w:kern w:val="2"/>
          <w:sz w:val="21"/>
          <w:szCs w:val="21"/>
        </w:rPr>
        <w:t>本次评估设定估价对象在价值时点</w:t>
      </w:r>
      <w:r w:rsidRPr="0043038D">
        <w:rPr>
          <w:rFonts w:ascii="Arial" w:hAnsi="Arial" w:cs="Arial" w:hint="eastAsia"/>
          <w:kern w:val="2"/>
          <w:sz w:val="21"/>
          <w:szCs w:val="21"/>
        </w:rPr>
        <w:t>202</w:t>
      </w:r>
      <w:r w:rsidRPr="0043038D">
        <w:rPr>
          <w:rFonts w:ascii="Arial" w:hAnsi="Arial" w:cs="Arial"/>
          <w:kern w:val="2"/>
          <w:sz w:val="21"/>
          <w:szCs w:val="21"/>
        </w:rPr>
        <w:t>4</w:t>
      </w:r>
      <w:r w:rsidRPr="0043038D">
        <w:rPr>
          <w:rFonts w:ascii="Arial" w:hAnsi="Arial" w:cs="Arial" w:hint="eastAsia"/>
          <w:kern w:val="2"/>
          <w:sz w:val="21"/>
          <w:szCs w:val="21"/>
        </w:rPr>
        <w:t>年</w:t>
      </w:r>
      <w:r w:rsidR="00C81EDB">
        <w:rPr>
          <w:rFonts w:ascii="Arial" w:hAnsi="Arial" w:cs="Arial" w:hint="eastAsia"/>
          <w:kern w:val="2"/>
          <w:sz w:val="21"/>
          <w:szCs w:val="21"/>
        </w:rPr>
        <w:t>10</w:t>
      </w:r>
      <w:r w:rsidR="00C81EDB">
        <w:rPr>
          <w:rFonts w:ascii="Arial" w:hAnsi="Arial" w:cs="Arial" w:hint="eastAsia"/>
          <w:kern w:val="2"/>
          <w:sz w:val="21"/>
          <w:szCs w:val="21"/>
        </w:rPr>
        <w:t>月</w:t>
      </w:r>
      <w:r w:rsidR="00C81EDB">
        <w:rPr>
          <w:rFonts w:ascii="Arial" w:hAnsi="Arial" w:cs="Arial" w:hint="eastAsia"/>
          <w:kern w:val="2"/>
          <w:sz w:val="21"/>
          <w:szCs w:val="21"/>
        </w:rPr>
        <w:t>14</w:t>
      </w:r>
      <w:r w:rsidRPr="0043038D">
        <w:rPr>
          <w:rFonts w:ascii="Arial" w:hAnsi="Arial" w:cs="Arial" w:hint="eastAsia"/>
          <w:kern w:val="2"/>
          <w:sz w:val="21"/>
          <w:szCs w:val="21"/>
        </w:rPr>
        <w:t>日的现状利用状况同实地</w:t>
      </w:r>
      <w:proofErr w:type="gramStart"/>
      <w:r w:rsidRPr="0043038D">
        <w:rPr>
          <w:rFonts w:ascii="Arial" w:hAnsi="Arial" w:cs="Arial" w:hint="eastAsia"/>
          <w:kern w:val="2"/>
          <w:sz w:val="21"/>
          <w:szCs w:val="21"/>
        </w:rPr>
        <w:t>勘察日</w:t>
      </w:r>
      <w:proofErr w:type="gramEnd"/>
      <w:r w:rsidRPr="0043038D">
        <w:rPr>
          <w:rFonts w:ascii="Arial" w:hAnsi="Arial" w:cs="Arial" w:hint="eastAsia"/>
          <w:kern w:val="2"/>
          <w:sz w:val="21"/>
          <w:szCs w:val="21"/>
        </w:rPr>
        <w:t>利用状况相同。</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w:t>
      </w:r>
      <w:r w:rsidRPr="0043038D">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二</w:t>
      </w:r>
      <w:r w:rsidRPr="0043038D">
        <w:rPr>
          <w:rFonts w:ascii="Arial" w:hAnsi="Arial" w:cs="Arial"/>
          <w:b/>
          <w:kern w:val="2"/>
          <w:sz w:val="21"/>
          <w:szCs w:val="21"/>
        </w:rPr>
        <w:t>）</w:t>
      </w:r>
      <w:r w:rsidRPr="0043038D">
        <w:rPr>
          <w:rFonts w:ascii="Arial" w:hAnsi="Arial" w:cs="Arial" w:hint="eastAsia"/>
          <w:b/>
          <w:kern w:val="2"/>
          <w:sz w:val="21"/>
          <w:szCs w:val="21"/>
        </w:rPr>
        <w:t>本次估价的未定事项假设</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无。</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三</w:t>
      </w:r>
      <w:r w:rsidRPr="0043038D">
        <w:rPr>
          <w:rFonts w:ascii="Arial" w:hAnsi="Arial" w:cs="Arial"/>
          <w:b/>
          <w:kern w:val="2"/>
          <w:sz w:val="21"/>
          <w:szCs w:val="21"/>
        </w:rPr>
        <w:t>）</w:t>
      </w:r>
      <w:r w:rsidRPr="0043038D">
        <w:rPr>
          <w:rFonts w:ascii="Arial" w:hAnsi="Arial" w:cs="Arial" w:hint="eastAsia"/>
          <w:b/>
          <w:kern w:val="2"/>
          <w:sz w:val="21"/>
          <w:szCs w:val="21"/>
        </w:rPr>
        <w:t>本次估价的</w:t>
      </w:r>
      <w:bookmarkStart w:id="14" w:name="_Hlk118391731"/>
      <w:r w:rsidRPr="0043038D">
        <w:rPr>
          <w:rFonts w:ascii="Arial" w:hAnsi="Arial" w:cs="Arial" w:hint="eastAsia"/>
          <w:b/>
          <w:kern w:val="2"/>
          <w:sz w:val="21"/>
          <w:szCs w:val="21"/>
        </w:rPr>
        <w:t>背离事实假设</w:t>
      </w:r>
      <w:bookmarkEnd w:id="14"/>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无。</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四</w:t>
      </w:r>
      <w:r w:rsidRPr="0043038D">
        <w:rPr>
          <w:rFonts w:ascii="Arial" w:hAnsi="Arial" w:cs="Arial"/>
          <w:b/>
          <w:kern w:val="2"/>
          <w:sz w:val="21"/>
          <w:szCs w:val="21"/>
        </w:rPr>
        <w:t>）</w:t>
      </w:r>
      <w:r w:rsidRPr="0043038D">
        <w:rPr>
          <w:rFonts w:ascii="Arial" w:hAnsi="Arial" w:cs="Arial" w:hint="eastAsia"/>
          <w:b/>
          <w:kern w:val="2"/>
          <w:sz w:val="21"/>
          <w:szCs w:val="21"/>
        </w:rPr>
        <w:t>本次估价的</w:t>
      </w:r>
      <w:bookmarkStart w:id="15" w:name="_Hlk124791168"/>
      <w:r w:rsidRPr="0043038D">
        <w:rPr>
          <w:rFonts w:ascii="Arial" w:hAnsi="Arial" w:cs="Arial" w:hint="eastAsia"/>
          <w:b/>
          <w:kern w:val="2"/>
          <w:sz w:val="21"/>
          <w:szCs w:val="21"/>
        </w:rPr>
        <w:t>不相一致假设</w:t>
      </w:r>
      <w:bookmarkEnd w:id="15"/>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无。</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五</w:t>
      </w:r>
      <w:r w:rsidRPr="0043038D">
        <w:rPr>
          <w:rFonts w:ascii="Arial" w:hAnsi="Arial" w:cs="Arial"/>
          <w:b/>
          <w:kern w:val="2"/>
          <w:sz w:val="21"/>
          <w:szCs w:val="21"/>
        </w:rPr>
        <w:t>）</w:t>
      </w:r>
      <w:r w:rsidRPr="0043038D">
        <w:rPr>
          <w:rFonts w:ascii="Arial" w:hAnsi="Arial" w:cs="Arial" w:hint="eastAsia"/>
          <w:b/>
          <w:kern w:val="2"/>
          <w:sz w:val="21"/>
          <w:szCs w:val="21"/>
        </w:rPr>
        <w:t>本次估价的依据不足假设</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截至价值时点，估价对象尚未取得《不动产权证书》，本次评估建筑面积以委托人提供的《估价委托书》为依据，并以估价对象可正常取得《不动产权证书》为前提，如上述情况有变动，估价结果应做相应调整，提请报告使用者注意。</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六</w:t>
      </w:r>
      <w:r w:rsidRPr="0043038D">
        <w:rPr>
          <w:rFonts w:ascii="Arial" w:hAnsi="Arial" w:cs="Arial"/>
          <w:b/>
          <w:kern w:val="2"/>
          <w:sz w:val="21"/>
          <w:szCs w:val="21"/>
        </w:rPr>
        <w:t>）</w:t>
      </w:r>
      <w:r w:rsidRPr="0043038D">
        <w:rPr>
          <w:rFonts w:ascii="Arial" w:hAnsi="Arial" w:cs="Arial" w:hint="eastAsia"/>
          <w:b/>
          <w:kern w:val="2"/>
          <w:sz w:val="21"/>
          <w:szCs w:val="21"/>
        </w:rPr>
        <w:t>估价报告使用限制</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hint="eastAsia"/>
          <w:kern w:val="2"/>
          <w:sz w:val="21"/>
          <w:szCs w:val="21"/>
        </w:rPr>
        <w:t>使用范围：本估价报告只能由估价报告载明的报告使用者使用，且只能用于本报告载明的唯一估价目的和用途。</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2.</w:t>
      </w:r>
      <w:r w:rsidRPr="0043038D">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3.</w:t>
      </w:r>
      <w:r w:rsidRPr="0043038D">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4.</w:t>
      </w:r>
      <w:r w:rsidRPr="0043038D">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lastRenderedPageBreak/>
        <w:t>5.</w:t>
      </w:r>
      <w:r w:rsidRPr="0043038D">
        <w:rPr>
          <w:rFonts w:ascii="Arial" w:hAnsi="Arial" w:cs="Arial"/>
          <w:kern w:val="2"/>
          <w:sz w:val="21"/>
          <w:szCs w:val="21"/>
        </w:rPr>
        <w:t>本</w:t>
      </w:r>
      <w:r w:rsidRPr="0043038D">
        <w:rPr>
          <w:rFonts w:ascii="Arial" w:hAnsi="Arial" w:cs="Arial"/>
          <w:sz w:val="21"/>
          <w:szCs w:val="21"/>
        </w:rPr>
        <w:t>估价报告</w:t>
      </w:r>
      <w:r w:rsidRPr="0043038D">
        <w:rPr>
          <w:rFonts w:ascii="Arial" w:hAnsi="Arial" w:cs="Arial"/>
          <w:kern w:val="2"/>
          <w:sz w:val="21"/>
          <w:szCs w:val="21"/>
        </w:rPr>
        <w:t>评估目的是</w:t>
      </w:r>
      <w:r w:rsidRPr="0043038D">
        <w:rPr>
          <w:rFonts w:ascii="Arial" w:hAnsi="Arial" w:cs="Arial" w:hint="eastAsia"/>
          <w:sz w:val="21"/>
          <w:szCs w:val="21"/>
        </w:rPr>
        <w:t>为有关单位合理确定或调整保障性租赁住房项目租金提供参考依据</w:t>
      </w:r>
      <w:r w:rsidRPr="0043038D">
        <w:rPr>
          <w:rFonts w:ascii="Arial" w:hAnsi="Arial" w:cs="Arial"/>
          <w:kern w:val="2"/>
          <w:sz w:val="21"/>
          <w:szCs w:val="21"/>
        </w:rPr>
        <w:t>，不做其他评估目的之用。如果估价对象的评估条件或目的发生变化，需重新进行评估。</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sz w:val="21"/>
          <w:szCs w:val="21"/>
        </w:rPr>
        <w:t>6</w:t>
      </w:r>
      <w:r w:rsidRPr="0043038D">
        <w:rPr>
          <w:rFonts w:ascii="Arial" w:hAnsi="Arial" w:cs="Arial"/>
          <w:sz w:val="21"/>
          <w:szCs w:val="21"/>
        </w:rPr>
        <w:t>.</w:t>
      </w:r>
      <w:r w:rsidRPr="0043038D">
        <w:rPr>
          <w:rFonts w:ascii="Arial" w:hAnsi="Arial" w:cs="Arial" w:hint="eastAsia"/>
          <w:kern w:val="2"/>
          <w:sz w:val="21"/>
          <w:szCs w:val="21"/>
        </w:rPr>
        <w:t>估价委托人应对其提供的评估相关资料的真实性、完整性和合法性负责</w:t>
      </w:r>
      <w:r w:rsidRPr="0043038D">
        <w:rPr>
          <w:rFonts w:ascii="Arial" w:hAnsi="Arial" w:cs="Arial"/>
          <w:kern w:val="2"/>
          <w:sz w:val="21"/>
          <w:szCs w:val="21"/>
        </w:rPr>
        <w:t>。如因资料失实或资料提供人有所隐匿而导致估价结果失真，估价机构不承担相应的责任。</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7.</w:t>
      </w:r>
      <w:r w:rsidRPr="0043038D">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9</w:t>
      </w:r>
      <w:r w:rsidRPr="0043038D">
        <w:rPr>
          <w:rFonts w:ascii="Arial" w:hAnsi="Arial" w:cs="Arial"/>
          <w:sz w:val="21"/>
          <w:szCs w:val="21"/>
        </w:rPr>
        <w:t>.</w:t>
      </w:r>
      <w:r w:rsidRPr="0043038D">
        <w:rPr>
          <w:rFonts w:ascii="Arial" w:hAnsi="Arial" w:cs="Arial"/>
          <w:sz w:val="21"/>
          <w:szCs w:val="21"/>
        </w:rPr>
        <w:t>本估价报告在估价机构盖章和注册房地产估价师签字</w:t>
      </w:r>
      <w:r w:rsidRPr="0043038D">
        <w:rPr>
          <w:rFonts w:ascii="Arial" w:hAnsi="Arial" w:cs="Arial" w:hint="eastAsia"/>
          <w:sz w:val="21"/>
          <w:szCs w:val="21"/>
        </w:rPr>
        <w:t>或盖章</w:t>
      </w:r>
      <w:r w:rsidRPr="0043038D">
        <w:rPr>
          <w:rFonts w:ascii="Arial" w:hAnsi="Arial" w:cs="Arial"/>
          <w:sz w:val="21"/>
          <w:szCs w:val="21"/>
        </w:rPr>
        <w:t>的条件下有效。</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10</w:t>
      </w:r>
      <w:r w:rsidRPr="0043038D">
        <w:rPr>
          <w:rFonts w:ascii="Arial" w:hAnsi="Arial" w:cs="Arial"/>
          <w:kern w:val="2"/>
          <w:sz w:val="21"/>
          <w:szCs w:val="21"/>
        </w:rPr>
        <w:t>.</w:t>
      </w:r>
      <w:r w:rsidRPr="0043038D">
        <w:rPr>
          <w:rFonts w:ascii="Arial" w:hAnsi="Arial" w:cs="Arial"/>
          <w:sz w:val="21"/>
          <w:szCs w:val="21"/>
        </w:rPr>
        <w:t>价值时点后，估价报告有效期内估价对象的质量及价格标准发生变化，并对估价对象租赁价值产生明显影响时，不能直接使用本次估价结论</w:t>
      </w:r>
      <w:r w:rsidRPr="0043038D">
        <w:rPr>
          <w:rFonts w:ascii="Arial" w:hAnsi="Arial" w:cs="Arial" w:hint="eastAsia"/>
          <w:sz w:val="21"/>
          <w:szCs w:val="21"/>
        </w:rPr>
        <w:t>。</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11.</w:t>
      </w:r>
      <w:r w:rsidRPr="0043038D">
        <w:rPr>
          <w:rFonts w:ascii="Arial" w:hAnsi="Arial" w:cs="Arial"/>
          <w:sz w:val="21"/>
          <w:szCs w:val="21"/>
        </w:rPr>
        <w:t>本次估价未考虑特殊交易方式对估价结果的影响。</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12.</w:t>
      </w:r>
      <w:r w:rsidRPr="0043038D">
        <w:rPr>
          <w:rFonts w:ascii="Arial" w:hAnsi="Arial" w:cs="Arial" w:hint="eastAsia"/>
          <w:sz w:val="21"/>
          <w:szCs w:val="21"/>
        </w:rPr>
        <w:t>根据评估专业人员调查，于价值时点，估价对象存在抵押情况，根据本次估价目的，不考虑抵押权对估价结果的影响。</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13</w:t>
      </w:r>
      <w:r w:rsidRPr="0043038D">
        <w:rPr>
          <w:rFonts w:ascii="Arial" w:hAnsi="Arial" w:cs="Arial"/>
          <w:kern w:val="2"/>
          <w:sz w:val="21"/>
          <w:szCs w:val="21"/>
        </w:rPr>
        <w:t>.</w:t>
      </w:r>
      <w:r w:rsidRPr="0043038D">
        <w:rPr>
          <w:rFonts w:ascii="Arial" w:hAnsi="Arial" w:cs="Arial"/>
          <w:kern w:val="2"/>
          <w:sz w:val="21"/>
          <w:szCs w:val="21"/>
        </w:rPr>
        <w:t>本估价</w:t>
      </w:r>
      <w:proofErr w:type="gramStart"/>
      <w:r w:rsidRPr="0043038D">
        <w:rPr>
          <w:rFonts w:ascii="Arial" w:hAnsi="Arial" w:cs="Arial"/>
          <w:kern w:val="2"/>
          <w:sz w:val="21"/>
          <w:szCs w:val="21"/>
        </w:rPr>
        <w:t>报告</w:t>
      </w:r>
      <w:r w:rsidRPr="0043038D">
        <w:rPr>
          <w:rFonts w:ascii="Arial" w:hAnsi="Arial" w:cs="Arial" w:hint="eastAsia"/>
          <w:kern w:val="2"/>
          <w:sz w:val="21"/>
          <w:szCs w:val="21"/>
        </w:rPr>
        <w:t>自报告</w:t>
      </w:r>
      <w:proofErr w:type="gramEnd"/>
      <w:r w:rsidRPr="0043038D">
        <w:rPr>
          <w:rFonts w:ascii="Arial" w:hAnsi="Arial" w:cs="Arial" w:hint="eastAsia"/>
          <w:kern w:val="2"/>
          <w:sz w:val="21"/>
          <w:szCs w:val="21"/>
        </w:rPr>
        <w:t>出具日起计算，自</w:t>
      </w:r>
      <w:r w:rsidRPr="0043038D">
        <w:rPr>
          <w:rFonts w:ascii="Arial" w:hAnsi="Arial" w:cs="Arial"/>
          <w:kern w:val="2"/>
          <w:sz w:val="21"/>
          <w:szCs w:val="21"/>
        </w:rPr>
        <w:t>2024</w:t>
      </w:r>
      <w:r w:rsidRPr="0043038D">
        <w:rPr>
          <w:rFonts w:ascii="Arial" w:hAnsi="Arial" w:cs="Arial"/>
          <w:kern w:val="2"/>
          <w:sz w:val="21"/>
          <w:szCs w:val="21"/>
        </w:rPr>
        <w:t>年</w:t>
      </w:r>
      <w:r w:rsidR="00D6006C" w:rsidRPr="0043038D">
        <w:rPr>
          <w:rFonts w:ascii="Arial" w:hAnsi="Arial" w:cs="Arial"/>
          <w:kern w:val="2"/>
          <w:sz w:val="21"/>
          <w:szCs w:val="21"/>
        </w:rPr>
        <w:t>11</w:t>
      </w:r>
      <w:r w:rsidRPr="0043038D">
        <w:rPr>
          <w:rFonts w:ascii="Arial" w:hAnsi="Arial" w:cs="Arial"/>
          <w:kern w:val="2"/>
          <w:sz w:val="21"/>
          <w:szCs w:val="21"/>
        </w:rPr>
        <w:t>月</w:t>
      </w:r>
      <w:r w:rsidR="00D6006C" w:rsidRPr="0043038D">
        <w:rPr>
          <w:rFonts w:ascii="Arial" w:hAnsi="Arial" w:cs="Arial"/>
          <w:kern w:val="2"/>
          <w:sz w:val="21"/>
          <w:szCs w:val="21"/>
        </w:rPr>
        <w:t>5</w:t>
      </w:r>
      <w:r w:rsidRPr="0043038D">
        <w:rPr>
          <w:rFonts w:ascii="Arial" w:hAnsi="Arial" w:cs="Arial"/>
          <w:kern w:val="2"/>
          <w:sz w:val="21"/>
          <w:szCs w:val="21"/>
        </w:rPr>
        <w:t>日</w:t>
      </w:r>
      <w:r w:rsidRPr="0043038D">
        <w:rPr>
          <w:rFonts w:ascii="Arial" w:hAnsi="Arial" w:cs="Arial" w:hint="eastAsia"/>
          <w:kern w:val="2"/>
          <w:sz w:val="21"/>
          <w:szCs w:val="21"/>
        </w:rPr>
        <w:t>至</w:t>
      </w:r>
      <w:r w:rsidRPr="0043038D">
        <w:rPr>
          <w:rFonts w:ascii="Arial" w:hAnsi="Arial" w:cs="Arial"/>
          <w:kern w:val="2"/>
          <w:sz w:val="21"/>
          <w:szCs w:val="21"/>
        </w:rPr>
        <w:t>2025</w:t>
      </w:r>
      <w:r w:rsidRPr="0043038D">
        <w:rPr>
          <w:rFonts w:ascii="Arial" w:hAnsi="Arial" w:cs="Arial" w:hint="eastAsia"/>
          <w:kern w:val="2"/>
          <w:sz w:val="21"/>
          <w:szCs w:val="21"/>
        </w:rPr>
        <w:t>年</w:t>
      </w:r>
      <w:r w:rsidR="00D6006C" w:rsidRPr="0043038D">
        <w:rPr>
          <w:rFonts w:ascii="Arial" w:hAnsi="Arial" w:cs="Arial"/>
          <w:kern w:val="2"/>
          <w:sz w:val="21"/>
          <w:szCs w:val="21"/>
        </w:rPr>
        <w:t>11</w:t>
      </w:r>
      <w:r w:rsidRPr="0043038D">
        <w:rPr>
          <w:rFonts w:ascii="Arial" w:hAnsi="Arial" w:cs="Arial" w:hint="eastAsia"/>
          <w:kern w:val="2"/>
          <w:sz w:val="21"/>
          <w:szCs w:val="21"/>
        </w:rPr>
        <w:t>月</w:t>
      </w:r>
      <w:r w:rsidR="00D6006C" w:rsidRPr="0043038D">
        <w:rPr>
          <w:rFonts w:ascii="Arial" w:hAnsi="Arial" w:cs="Arial"/>
          <w:kern w:val="2"/>
          <w:sz w:val="21"/>
          <w:szCs w:val="21"/>
        </w:rPr>
        <w:t>4</w:t>
      </w:r>
      <w:r w:rsidRPr="0043038D">
        <w:rPr>
          <w:rFonts w:ascii="Arial" w:hAnsi="Arial" w:cs="Arial" w:hint="eastAsia"/>
          <w:kern w:val="2"/>
          <w:sz w:val="21"/>
          <w:szCs w:val="21"/>
        </w:rPr>
        <w:t>日有效</w:t>
      </w:r>
      <w:r w:rsidRPr="0043038D">
        <w:rPr>
          <w:rFonts w:ascii="Arial" w:hAnsi="Arial" w:cs="Arial"/>
          <w:kern w:val="2"/>
          <w:sz w:val="21"/>
          <w:szCs w:val="21"/>
        </w:rPr>
        <w:t>。</w:t>
      </w:r>
    </w:p>
    <w:bookmarkEnd w:id="8"/>
    <w:p w:rsidR="000E5655" w:rsidRPr="0043038D" w:rsidRDefault="000E5655" w:rsidP="00D6006C">
      <w:pPr>
        <w:spacing w:line="480" w:lineRule="auto"/>
        <w:jc w:val="both"/>
        <w:rPr>
          <w:rFonts w:ascii="Arial" w:hAnsi="Arial" w:cs="Arial"/>
          <w:kern w:val="2"/>
          <w:sz w:val="21"/>
          <w:szCs w:val="21"/>
        </w:rPr>
        <w:sectPr w:rsidR="000E5655" w:rsidRPr="0043038D">
          <w:pgSz w:w="11907" w:h="16840"/>
          <w:pgMar w:top="1843" w:right="1134" w:bottom="1134" w:left="1134" w:header="1134" w:footer="907" w:gutter="340"/>
          <w:cols w:space="720"/>
          <w:docGrid w:linePitch="326"/>
        </w:sectPr>
      </w:pPr>
    </w:p>
    <w:p w:rsidR="000E5655" w:rsidRPr="0043038D" w:rsidRDefault="00837133">
      <w:pPr>
        <w:pStyle w:val="1"/>
        <w:spacing w:line="360" w:lineRule="auto"/>
        <w:jc w:val="center"/>
        <w:rPr>
          <w:rFonts w:eastAsia="方正黑体简体"/>
          <w:b w:val="0"/>
          <w:kern w:val="2"/>
          <w:sz w:val="32"/>
          <w:szCs w:val="32"/>
        </w:rPr>
      </w:pPr>
      <w:bookmarkStart w:id="16" w:name="_Toc155267085"/>
      <w:bookmarkStart w:id="17" w:name="_Toc168225812"/>
      <w:r w:rsidRPr="0043038D">
        <w:rPr>
          <w:rFonts w:eastAsia="方正黑体简体" w:hint="eastAsia"/>
          <w:b w:val="0"/>
          <w:kern w:val="2"/>
          <w:sz w:val="32"/>
          <w:szCs w:val="32"/>
        </w:rPr>
        <w:lastRenderedPageBreak/>
        <w:t>估价结果报告</w:t>
      </w:r>
      <w:bookmarkEnd w:id="16"/>
      <w:bookmarkEnd w:id="17"/>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155267086"/>
      <w:r w:rsidRPr="0043038D">
        <w:rPr>
          <w:rFonts w:eastAsia="宋体"/>
          <w:kern w:val="2"/>
          <w:sz w:val="21"/>
          <w:szCs w:val="21"/>
        </w:rPr>
        <w:t>一</w:t>
      </w:r>
      <w:bookmarkEnd w:id="18"/>
      <w:r w:rsidRPr="0043038D">
        <w:rPr>
          <w:rFonts w:eastAsia="宋体"/>
          <w:kern w:val="2"/>
          <w:sz w:val="21"/>
          <w:szCs w:val="21"/>
        </w:rPr>
        <w:t>、估价委托人</w:t>
      </w:r>
      <w:bookmarkEnd w:id="19"/>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估价委托人为</w:t>
      </w:r>
      <w:r w:rsidRPr="0043038D">
        <w:rPr>
          <w:rFonts w:ascii="Arial" w:hAnsi="Arial" w:cs="Arial" w:hint="eastAsia"/>
          <w:sz w:val="21"/>
          <w:szCs w:val="21"/>
        </w:rPr>
        <w:t>北京市燕</w:t>
      </w:r>
      <w:proofErr w:type="gramStart"/>
      <w:r w:rsidRPr="0043038D">
        <w:rPr>
          <w:rFonts w:ascii="Arial" w:hAnsi="Arial" w:cs="Arial" w:hint="eastAsia"/>
          <w:sz w:val="21"/>
          <w:szCs w:val="21"/>
        </w:rPr>
        <w:t>兴保障</w:t>
      </w:r>
      <w:proofErr w:type="gramEnd"/>
      <w:r w:rsidRPr="0043038D">
        <w:rPr>
          <w:rFonts w:ascii="Arial" w:hAnsi="Arial" w:cs="Arial" w:hint="eastAsia"/>
          <w:sz w:val="21"/>
          <w:szCs w:val="21"/>
        </w:rPr>
        <w:t>性住房建设投资有限公司</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单位名称：</w:t>
      </w:r>
      <w:r w:rsidRPr="0043038D">
        <w:rPr>
          <w:rFonts w:ascii="Arial" w:hAnsi="Arial" w:cs="Arial" w:hint="eastAsia"/>
          <w:sz w:val="21"/>
          <w:szCs w:val="21"/>
        </w:rPr>
        <w:t>北京市燕</w:t>
      </w:r>
      <w:proofErr w:type="gramStart"/>
      <w:r w:rsidRPr="0043038D">
        <w:rPr>
          <w:rFonts w:ascii="Arial" w:hAnsi="Arial" w:cs="Arial" w:hint="eastAsia"/>
          <w:sz w:val="21"/>
          <w:szCs w:val="21"/>
        </w:rPr>
        <w:t>兴保障</w:t>
      </w:r>
      <w:proofErr w:type="gramEnd"/>
      <w:r w:rsidRPr="0043038D">
        <w:rPr>
          <w:rFonts w:ascii="Arial" w:hAnsi="Arial" w:cs="Arial" w:hint="eastAsia"/>
          <w:sz w:val="21"/>
          <w:szCs w:val="21"/>
        </w:rPr>
        <w:t>性住房建设投资有限公司</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地</w:t>
      </w:r>
      <w:r w:rsidRPr="0043038D">
        <w:rPr>
          <w:rFonts w:ascii="Arial" w:hAnsi="Arial" w:cs="Arial" w:hint="eastAsia"/>
          <w:sz w:val="21"/>
          <w:szCs w:val="21"/>
        </w:rPr>
        <w:t xml:space="preserve">    </w:t>
      </w:r>
      <w:r w:rsidRPr="0043038D">
        <w:rPr>
          <w:rFonts w:ascii="Arial" w:hAnsi="Arial" w:cs="Arial" w:hint="eastAsia"/>
          <w:sz w:val="21"/>
          <w:szCs w:val="21"/>
        </w:rPr>
        <w:t>址：北京市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欣雅街</w:t>
      </w:r>
      <w:r w:rsidRPr="0043038D">
        <w:rPr>
          <w:rFonts w:ascii="Arial" w:hAnsi="Arial" w:cs="Arial" w:hint="eastAsia"/>
          <w:sz w:val="21"/>
          <w:szCs w:val="21"/>
        </w:rPr>
        <w:t>15</w:t>
      </w:r>
      <w:r w:rsidRPr="0043038D">
        <w:rPr>
          <w:rFonts w:ascii="Arial" w:hAnsi="Arial" w:cs="Arial" w:hint="eastAsia"/>
          <w:sz w:val="21"/>
          <w:szCs w:val="21"/>
        </w:rPr>
        <w:t>号院</w:t>
      </w:r>
      <w:r w:rsidRPr="0043038D">
        <w:rPr>
          <w:rFonts w:ascii="Arial" w:hAnsi="Arial" w:cs="Arial" w:hint="eastAsia"/>
          <w:sz w:val="21"/>
          <w:szCs w:val="21"/>
        </w:rPr>
        <w:t>1</w:t>
      </w:r>
      <w:r w:rsidRPr="0043038D">
        <w:rPr>
          <w:rFonts w:ascii="Arial" w:hAnsi="Arial" w:cs="Arial" w:hint="eastAsia"/>
          <w:sz w:val="21"/>
          <w:szCs w:val="21"/>
        </w:rPr>
        <w:t>号楼</w:t>
      </w:r>
      <w:r w:rsidRPr="0043038D">
        <w:rPr>
          <w:rFonts w:ascii="Arial" w:hAnsi="Arial" w:cs="Arial" w:hint="eastAsia"/>
          <w:sz w:val="21"/>
          <w:szCs w:val="21"/>
        </w:rPr>
        <w:t>6</w:t>
      </w:r>
      <w:r w:rsidRPr="0043038D">
        <w:rPr>
          <w:rFonts w:ascii="Arial" w:hAnsi="Arial" w:cs="Arial" w:hint="eastAsia"/>
          <w:sz w:val="21"/>
          <w:szCs w:val="21"/>
        </w:rPr>
        <w:t>层</w:t>
      </w:r>
      <w:r w:rsidRPr="0043038D">
        <w:rPr>
          <w:rFonts w:ascii="Arial" w:hAnsi="Arial" w:cs="Arial" w:hint="eastAsia"/>
          <w:sz w:val="21"/>
          <w:szCs w:val="21"/>
        </w:rPr>
        <w:t>606</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4"/>
      <w:bookmarkStart w:id="21" w:name="_Toc155267087"/>
      <w:r w:rsidRPr="0043038D">
        <w:rPr>
          <w:rFonts w:eastAsia="宋体"/>
          <w:kern w:val="2"/>
          <w:sz w:val="21"/>
          <w:szCs w:val="21"/>
        </w:rPr>
        <w:t>二、房地产估价机构</w:t>
      </w:r>
      <w:bookmarkEnd w:id="20"/>
      <w:bookmarkEnd w:id="21"/>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受托机构：</w:t>
      </w:r>
      <w:proofErr w:type="gramStart"/>
      <w:r w:rsidRPr="0043038D">
        <w:rPr>
          <w:rFonts w:ascii="Arial" w:hAnsi="Arial" w:cs="Arial" w:hint="eastAsia"/>
          <w:sz w:val="21"/>
          <w:szCs w:val="21"/>
        </w:rPr>
        <w:t>北京康正宏</w:t>
      </w:r>
      <w:proofErr w:type="gramEnd"/>
      <w:r w:rsidRPr="0043038D">
        <w:rPr>
          <w:rFonts w:ascii="Arial" w:hAnsi="Arial" w:cs="Arial" w:hint="eastAsia"/>
          <w:sz w:val="21"/>
          <w:szCs w:val="21"/>
        </w:rPr>
        <w:t>基房地产评估有限公司</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资质级别：壹级</w:t>
      </w:r>
    </w:p>
    <w:p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资格证书号：</w:t>
      </w:r>
      <w:proofErr w:type="gramStart"/>
      <w:r w:rsidRPr="0043038D">
        <w:rPr>
          <w:rFonts w:ascii="Arial" w:hAnsi="Arial" w:hint="eastAsia"/>
          <w:sz w:val="21"/>
          <w:szCs w:val="21"/>
        </w:rPr>
        <w:t>建房估备字</w:t>
      </w:r>
      <w:proofErr w:type="gramEnd"/>
      <w:r w:rsidRPr="0043038D">
        <w:rPr>
          <w:rFonts w:ascii="Arial" w:hAnsi="Arial" w:hint="eastAsia"/>
          <w:sz w:val="21"/>
          <w:szCs w:val="21"/>
        </w:rPr>
        <w:t>[2013</w:t>
      </w:r>
      <w:r w:rsidRPr="0043038D">
        <w:rPr>
          <w:rFonts w:ascii="Arial" w:hAnsi="Arial" w:hint="eastAsia"/>
          <w:sz w:val="21"/>
          <w:szCs w:val="21"/>
        </w:rPr>
        <w:t>第</w:t>
      </w:r>
      <w:r w:rsidRPr="0043038D">
        <w:rPr>
          <w:rFonts w:ascii="Arial" w:hAnsi="Arial" w:hint="eastAsia"/>
          <w:sz w:val="21"/>
          <w:szCs w:val="21"/>
        </w:rPr>
        <w:t>]081</w:t>
      </w:r>
      <w:r w:rsidRPr="0043038D">
        <w:rPr>
          <w:rFonts w:ascii="Arial" w:hAnsi="Arial" w:hint="eastAsia"/>
          <w:sz w:val="21"/>
          <w:szCs w:val="21"/>
        </w:rPr>
        <w:t>号</w:t>
      </w:r>
    </w:p>
    <w:p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有效期限：</w:t>
      </w:r>
      <w:r w:rsidRPr="0043038D">
        <w:rPr>
          <w:rFonts w:ascii="Arial" w:hAnsi="Arial"/>
          <w:sz w:val="21"/>
          <w:szCs w:val="21"/>
        </w:rPr>
        <w:t>2022</w:t>
      </w:r>
      <w:r w:rsidRPr="0043038D">
        <w:rPr>
          <w:rFonts w:ascii="Arial" w:hAnsi="Arial" w:hint="eastAsia"/>
          <w:sz w:val="21"/>
          <w:szCs w:val="21"/>
        </w:rPr>
        <w:t>年</w:t>
      </w:r>
      <w:r w:rsidRPr="0043038D">
        <w:rPr>
          <w:rFonts w:ascii="Arial" w:hAnsi="Arial"/>
          <w:sz w:val="21"/>
          <w:szCs w:val="21"/>
        </w:rPr>
        <w:t>8</w:t>
      </w:r>
      <w:r w:rsidRPr="0043038D">
        <w:rPr>
          <w:rFonts w:ascii="Arial" w:hAnsi="Arial" w:hint="eastAsia"/>
          <w:sz w:val="21"/>
          <w:szCs w:val="21"/>
        </w:rPr>
        <w:t>月</w:t>
      </w:r>
      <w:r w:rsidRPr="0043038D">
        <w:rPr>
          <w:rFonts w:ascii="Arial" w:hAnsi="Arial"/>
          <w:sz w:val="21"/>
          <w:szCs w:val="21"/>
        </w:rPr>
        <w:t>30</w:t>
      </w:r>
      <w:r w:rsidRPr="0043038D">
        <w:rPr>
          <w:rFonts w:ascii="Arial" w:hAnsi="Arial" w:hint="eastAsia"/>
          <w:sz w:val="21"/>
          <w:szCs w:val="21"/>
        </w:rPr>
        <w:t>日至</w:t>
      </w:r>
      <w:r w:rsidRPr="0043038D">
        <w:rPr>
          <w:rFonts w:ascii="Arial" w:hAnsi="Arial"/>
          <w:sz w:val="21"/>
          <w:szCs w:val="21"/>
        </w:rPr>
        <w:t>2025</w:t>
      </w:r>
      <w:r w:rsidRPr="0043038D">
        <w:rPr>
          <w:rFonts w:ascii="Arial" w:hAnsi="Arial" w:hint="eastAsia"/>
          <w:sz w:val="21"/>
          <w:szCs w:val="21"/>
        </w:rPr>
        <w:t>年</w:t>
      </w:r>
      <w:r w:rsidRPr="0043038D">
        <w:rPr>
          <w:rFonts w:ascii="Arial" w:hAnsi="Arial"/>
          <w:sz w:val="21"/>
          <w:szCs w:val="21"/>
        </w:rPr>
        <w:t>8</w:t>
      </w:r>
      <w:r w:rsidRPr="0043038D">
        <w:rPr>
          <w:rFonts w:ascii="Arial" w:hAnsi="Arial" w:hint="eastAsia"/>
          <w:sz w:val="21"/>
          <w:szCs w:val="21"/>
        </w:rPr>
        <w:t>月</w:t>
      </w:r>
      <w:r w:rsidRPr="0043038D">
        <w:rPr>
          <w:rFonts w:ascii="Arial" w:hAnsi="Arial"/>
          <w:sz w:val="21"/>
          <w:szCs w:val="21"/>
        </w:rPr>
        <w:t>29</w:t>
      </w:r>
      <w:r w:rsidRPr="0043038D">
        <w:rPr>
          <w:rFonts w:ascii="Arial" w:hAnsi="Arial" w:hint="eastAsia"/>
          <w:sz w:val="21"/>
          <w:szCs w:val="21"/>
        </w:rPr>
        <w:t>日</w:t>
      </w:r>
    </w:p>
    <w:p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注册地址：北京市丰台</w:t>
      </w:r>
      <w:proofErr w:type="gramStart"/>
      <w:r w:rsidRPr="0043038D">
        <w:rPr>
          <w:rFonts w:ascii="Arial" w:hAnsi="Arial" w:hint="eastAsia"/>
          <w:sz w:val="21"/>
          <w:szCs w:val="21"/>
        </w:rPr>
        <w:t>区芳城园</w:t>
      </w:r>
      <w:proofErr w:type="gramEnd"/>
      <w:r w:rsidRPr="0043038D">
        <w:rPr>
          <w:rFonts w:ascii="Arial" w:hAnsi="Arial" w:hint="eastAsia"/>
          <w:sz w:val="21"/>
          <w:szCs w:val="21"/>
        </w:rPr>
        <w:t>一区</w:t>
      </w:r>
      <w:r w:rsidRPr="0043038D">
        <w:rPr>
          <w:rFonts w:ascii="Arial" w:hAnsi="Arial" w:hint="eastAsia"/>
          <w:sz w:val="21"/>
          <w:szCs w:val="21"/>
        </w:rPr>
        <w:t>16</w:t>
      </w:r>
      <w:r w:rsidRPr="0043038D">
        <w:rPr>
          <w:rFonts w:ascii="Arial" w:hAnsi="Arial" w:hint="eastAsia"/>
          <w:sz w:val="21"/>
          <w:szCs w:val="21"/>
        </w:rPr>
        <w:t>号楼</w:t>
      </w:r>
      <w:r w:rsidRPr="0043038D">
        <w:rPr>
          <w:rFonts w:ascii="Arial" w:hAnsi="Arial" w:hint="eastAsia"/>
          <w:sz w:val="21"/>
          <w:szCs w:val="21"/>
        </w:rPr>
        <w:t>2</w:t>
      </w:r>
      <w:r w:rsidRPr="0043038D">
        <w:rPr>
          <w:rFonts w:ascii="Arial" w:hAnsi="Arial" w:hint="eastAsia"/>
          <w:sz w:val="21"/>
          <w:szCs w:val="21"/>
        </w:rPr>
        <w:t>层</w:t>
      </w:r>
      <w:r w:rsidRPr="0043038D">
        <w:rPr>
          <w:rFonts w:ascii="Arial" w:hAnsi="Arial" w:hint="eastAsia"/>
          <w:sz w:val="21"/>
          <w:szCs w:val="21"/>
        </w:rPr>
        <w:t>2</w:t>
      </w:r>
      <w:r w:rsidRPr="0043038D">
        <w:rPr>
          <w:rFonts w:ascii="Arial" w:hAnsi="Arial" w:hint="eastAsia"/>
          <w:sz w:val="21"/>
          <w:szCs w:val="21"/>
        </w:rPr>
        <w:t>门配套公建</w:t>
      </w:r>
      <w:r w:rsidRPr="0043038D">
        <w:rPr>
          <w:rFonts w:ascii="Arial" w:hAnsi="Arial" w:hint="eastAsia"/>
          <w:sz w:val="21"/>
          <w:szCs w:val="21"/>
        </w:rPr>
        <w:t>01</w:t>
      </w:r>
    </w:p>
    <w:p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法定代表人：齐宏</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联</w:t>
      </w:r>
      <w:r w:rsidRPr="0043038D">
        <w:rPr>
          <w:rFonts w:ascii="Arial" w:hAnsi="Arial" w:cs="Arial" w:hint="eastAsia"/>
          <w:sz w:val="21"/>
          <w:szCs w:val="21"/>
        </w:rPr>
        <w:t xml:space="preserve"> </w:t>
      </w:r>
      <w:r w:rsidRPr="0043038D">
        <w:rPr>
          <w:rFonts w:ascii="Arial" w:hAnsi="Arial" w:cs="Arial"/>
          <w:sz w:val="21"/>
          <w:szCs w:val="21"/>
        </w:rPr>
        <w:t>系</w:t>
      </w:r>
      <w:r w:rsidRPr="0043038D">
        <w:rPr>
          <w:rFonts w:ascii="Arial" w:hAnsi="Arial" w:cs="Arial" w:hint="eastAsia"/>
          <w:sz w:val="21"/>
          <w:szCs w:val="21"/>
        </w:rPr>
        <w:t xml:space="preserve"> </w:t>
      </w:r>
      <w:r w:rsidRPr="0043038D">
        <w:rPr>
          <w:rFonts w:ascii="Arial" w:hAnsi="Arial" w:cs="Arial"/>
          <w:sz w:val="21"/>
          <w:szCs w:val="21"/>
        </w:rPr>
        <w:t>人：</w:t>
      </w:r>
      <w:r w:rsidRPr="0043038D">
        <w:rPr>
          <w:rFonts w:ascii="Arial" w:hAnsi="Arial" w:cs="Arial" w:hint="eastAsia"/>
          <w:sz w:val="21"/>
          <w:szCs w:val="21"/>
        </w:rPr>
        <w:t>李诗霖</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联系电话：</w:t>
      </w:r>
      <w:r w:rsidRPr="0043038D">
        <w:rPr>
          <w:rFonts w:ascii="Arial" w:hAnsi="Arial" w:cs="Arial"/>
          <w:sz w:val="21"/>
          <w:szCs w:val="21"/>
        </w:rPr>
        <w:t>010-82253558</w:t>
      </w:r>
    </w:p>
    <w:p w:rsidR="000E5655" w:rsidRPr="0043038D" w:rsidRDefault="000E5655">
      <w:pPr>
        <w:wordWrap w:val="0"/>
        <w:overflowPunct w:val="0"/>
        <w:spacing w:line="480" w:lineRule="auto"/>
        <w:ind w:firstLineChars="200" w:firstLine="420"/>
        <w:jc w:val="both"/>
        <w:textAlignment w:val="auto"/>
        <w:rPr>
          <w:rFonts w:ascii="Arial" w:hAnsi="Arial" w:cs="Arial"/>
          <w:kern w:val="2"/>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5"/>
      <w:bookmarkStart w:id="23" w:name="_Toc155267088"/>
      <w:r w:rsidRPr="0043038D">
        <w:rPr>
          <w:rFonts w:eastAsia="宋体"/>
          <w:kern w:val="2"/>
          <w:sz w:val="21"/>
          <w:szCs w:val="21"/>
        </w:rPr>
        <w:t>三、估价目的</w:t>
      </w:r>
      <w:bookmarkEnd w:id="22"/>
      <w:bookmarkEnd w:id="23"/>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sz w:val="21"/>
          <w:szCs w:val="21"/>
        </w:rPr>
        <w:t>评估保障性租赁住房项目同地段同品质市场租赁住房租金，为有关单位合理确定保障性租赁住房项目租金提供参考依据</w:t>
      </w:r>
      <w:r w:rsidRPr="0043038D">
        <w:rPr>
          <w:rFonts w:ascii="Arial" w:hAnsi="Arial" w:cs="Arial" w:hint="eastAsia"/>
          <w:kern w:val="2"/>
          <w:sz w:val="21"/>
          <w:szCs w:val="21"/>
        </w:rPr>
        <w:t>。</w:t>
      </w:r>
      <w:r w:rsidRPr="0043038D">
        <w:rPr>
          <w:rFonts w:ascii="Arial" w:hAnsi="Arial" w:cs="Arial"/>
          <w:kern w:val="2"/>
          <w:sz w:val="21"/>
          <w:szCs w:val="21"/>
        </w:rPr>
        <w:t xml:space="preserve"> </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55267089"/>
      <w:bookmarkStart w:id="25" w:name="_Toc168225816"/>
      <w:r w:rsidRPr="0043038D">
        <w:rPr>
          <w:rFonts w:eastAsia="宋体"/>
          <w:kern w:val="2"/>
          <w:sz w:val="21"/>
          <w:szCs w:val="21"/>
        </w:rPr>
        <w:t>四、估价对象</w:t>
      </w:r>
      <w:bookmarkEnd w:id="24"/>
      <w:bookmarkEnd w:id="25"/>
    </w:p>
    <w:p w:rsidR="000E5655" w:rsidRPr="0043038D" w:rsidRDefault="00837133">
      <w:pPr>
        <w:wordWrap w:val="0"/>
        <w:overflowPunct w:val="0"/>
        <w:spacing w:line="480" w:lineRule="auto"/>
        <w:jc w:val="both"/>
        <w:textAlignment w:val="auto"/>
        <w:rPr>
          <w:rFonts w:ascii="Arial" w:hAnsi="Arial" w:cs="Arial"/>
          <w:b/>
          <w:kern w:val="2"/>
          <w:sz w:val="21"/>
          <w:szCs w:val="21"/>
        </w:rPr>
      </w:pPr>
      <w:r w:rsidRPr="0043038D">
        <w:rPr>
          <w:rFonts w:ascii="Arial" w:hAnsi="Arial" w:cs="Arial"/>
          <w:b/>
          <w:kern w:val="2"/>
          <w:sz w:val="21"/>
          <w:szCs w:val="21"/>
        </w:rPr>
        <w:t>（一）估价对象范围</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根据估价委托人提供的《估价委托书》、《北京市保障性住房收购合同》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w:t>
      </w:r>
      <w:r w:rsidRPr="0043038D">
        <w:rPr>
          <w:rFonts w:ascii="Arial" w:hAnsi="Arial" w:cs="Arial" w:hint="eastAsia"/>
          <w:sz w:val="21"/>
          <w:szCs w:val="21"/>
        </w:rPr>
        <w:t>。估价对象收购方为北京市燕</w:t>
      </w:r>
      <w:proofErr w:type="gramStart"/>
      <w:r w:rsidRPr="0043038D">
        <w:rPr>
          <w:rFonts w:ascii="Arial" w:hAnsi="Arial" w:cs="Arial" w:hint="eastAsia"/>
          <w:sz w:val="21"/>
          <w:szCs w:val="21"/>
        </w:rPr>
        <w:t>兴保障</w:t>
      </w:r>
      <w:proofErr w:type="gramEnd"/>
      <w:r w:rsidRPr="0043038D">
        <w:rPr>
          <w:rFonts w:ascii="Arial" w:hAnsi="Arial" w:cs="Arial" w:hint="eastAsia"/>
          <w:sz w:val="21"/>
          <w:szCs w:val="21"/>
        </w:rPr>
        <w:t>性住</w:t>
      </w:r>
      <w:r w:rsidRPr="0043038D">
        <w:rPr>
          <w:rFonts w:ascii="Arial" w:hAnsi="Arial" w:cs="Arial" w:hint="eastAsia"/>
          <w:sz w:val="21"/>
          <w:szCs w:val="21"/>
        </w:rPr>
        <w:lastRenderedPageBreak/>
        <w:t>房建设投资有限公司，所在项目现状四至为</w:t>
      </w:r>
      <w:proofErr w:type="gramStart"/>
      <w:r w:rsidRPr="0043038D">
        <w:rPr>
          <w:rFonts w:ascii="Arial" w:hAnsi="Arial" w:cs="Arial" w:hint="eastAsia"/>
          <w:sz w:val="21"/>
          <w:szCs w:val="21"/>
        </w:rPr>
        <w:t>东至欣顺街</w:t>
      </w:r>
      <w:proofErr w:type="gramEnd"/>
      <w:r w:rsidRPr="0043038D">
        <w:rPr>
          <w:rFonts w:ascii="Arial" w:hAnsi="Arial" w:cs="Arial" w:hint="eastAsia"/>
          <w:sz w:val="21"/>
          <w:szCs w:val="21"/>
        </w:rPr>
        <w:t>，南至</w:t>
      </w:r>
      <w:r w:rsidRPr="0043038D">
        <w:rPr>
          <w:rFonts w:ascii="Arial" w:hAnsi="Arial" w:cs="Arial" w:hint="eastAsia"/>
          <w:sz w:val="21"/>
          <w:szCs w:val="21"/>
        </w:rPr>
        <w:t>DX04-0102-6012</w:t>
      </w:r>
      <w:proofErr w:type="gramStart"/>
      <w:r w:rsidRPr="0043038D">
        <w:rPr>
          <w:rFonts w:ascii="Arial" w:hAnsi="Arial" w:cs="Arial" w:hint="eastAsia"/>
          <w:sz w:val="21"/>
          <w:szCs w:val="21"/>
        </w:rPr>
        <w:t>地块北</w:t>
      </w:r>
      <w:proofErr w:type="gramEnd"/>
      <w:r w:rsidRPr="0043038D">
        <w:rPr>
          <w:rFonts w:ascii="Arial" w:hAnsi="Arial" w:cs="Arial" w:hint="eastAsia"/>
          <w:sz w:val="21"/>
          <w:szCs w:val="21"/>
        </w:rPr>
        <w:t>用地红线，西</w:t>
      </w:r>
      <w:proofErr w:type="gramStart"/>
      <w:r w:rsidRPr="0043038D">
        <w:rPr>
          <w:rFonts w:ascii="Arial" w:hAnsi="Arial" w:cs="Arial" w:hint="eastAsia"/>
          <w:sz w:val="21"/>
          <w:szCs w:val="21"/>
        </w:rPr>
        <w:t>至欣业巷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北至宏旭东路</w:t>
      </w:r>
      <w:proofErr w:type="gramEnd"/>
      <w:r w:rsidRPr="0043038D">
        <w:rPr>
          <w:rFonts w:ascii="Arial" w:hAnsi="Arial" w:cs="Arial" w:hint="eastAsia"/>
          <w:sz w:val="21"/>
          <w:szCs w:val="21"/>
        </w:rPr>
        <w:t>，估价对象用途为保障性租赁住房（住宅型），建筑面积为</w:t>
      </w:r>
      <w:r w:rsidRPr="0043038D">
        <w:rPr>
          <w:rFonts w:ascii="Arial" w:hAnsi="Arial" w:cs="Arial" w:hint="eastAsia"/>
          <w:sz w:val="21"/>
          <w:szCs w:val="21"/>
        </w:rPr>
        <w:t>17833.86</w:t>
      </w:r>
      <w:r w:rsidRPr="0043038D">
        <w:rPr>
          <w:rFonts w:ascii="Arial" w:hAnsi="Arial" w:cs="Arial" w:hint="eastAsia"/>
          <w:sz w:val="21"/>
          <w:szCs w:val="21"/>
        </w:rPr>
        <w:t>平方米。具体情况如下：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837133">
      <w:pPr>
        <w:overflowPunct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于价值时点，估价对象已竣工，根据现场勘查及委托人介绍，室内装修情况均为精装修。</w:t>
      </w:r>
    </w:p>
    <w:p w:rsidR="000E5655" w:rsidRPr="0043038D" w:rsidRDefault="00837133">
      <w:pPr>
        <w:overflowPunct w:val="0"/>
        <w:spacing w:line="480" w:lineRule="auto"/>
        <w:jc w:val="center"/>
        <w:textAlignment w:val="auto"/>
        <w:rPr>
          <w:rFonts w:ascii="Arial" w:hAnsi="Arial" w:cs="Arial"/>
          <w:kern w:val="2"/>
          <w:sz w:val="21"/>
          <w:szCs w:val="21"/>
        </w:rPr>
      </w:pPr>
      <w:r w:rsidRPr="0043038D">
        <w:rPr>
          <w:noProof/>
        </w:rPr>
        <mc:AlternateContent>
          <mc:Choice Requires="wps">
            <w:drawing>
              <wp:anchor distT="0" distB="0" distL="114300" distR="114300" simplePos="0" relativeHeight="251659264" behindDoc="0" locked="0" layoutInCell="1" allowOverlap="1">
                <wp:simplePos x="0" y="0"/>
                <wp:positionH relativeFrom="column">
                  <wp:posOffset>3754120</wp:posOffset>
                </wp:positionH>
                <wp:positionV relativeFrom="paragraph">
                  <wp:posOffset>1859280</wp:posOffset>
                </wp:positionV>
                <wp:extent cx="1057275" cy="390525"/>
                <wp:effectExtent l="0" t="0" r="0" b="0"/>
                <wp:wrapNone/>
                <wp:docPr id="559770231"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54866"/>
                            <a:gd name="adj2" fmla="val 180407"/>
                            <a:gd name="adj3" fmla="val 16667"/>
                          </a:avLst>
                        </a:prstGeom>
                        <a:solidFill>
                          <a:srgbClr val="FF0000"/>
                        </a:solidFill>
                        <a:ln w="9525">
                          <a:solidFill>
                            <a:srgbClr val="000000"/>
                          </a:solidFill>
                          <a:miter lim="800000"/>
                        </a:ln>
                      </wps:spPr>
                      <wps:txbx>
                        <w:txbxContent>
                          <w:p w:rsidR="000E5655" w:rsidRDefault="00837133">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自选图形 2" o:spid="_x0000_s1026" o:spt="62" type="#_x0000_t62" style="position:absolute;left:0pt;margin-left:295.6pt;margin-top:146.4pt;height:30.75pt;width:83.25pt;z-index:251659264;mso-width-relative:page;mso-height-relative:page;" fillcolor="#FF0000" filled="t" stroked="t" coordsize="21600,21600" o:gfxdata="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w1bSzbAAAACwEAAA8AAAAAAAAA&#10;AQAgAAAAIgAAAGRycy9kb3ducmV2LnhtbFBLAQIUABQAAAAIAIdO4kBHntiogAIAABAFAAAOAAAA&#10;AAAAAAEAIAAAACoBAABkcnMvZTJvRG9jLnhtbFBLBQYAAAAABgAGAFkBAAAcBgAAAAA=&#10;" adj="-1051,49768,14400">
                <v:fill on="t" focussize="0,0"/>
                <v:stroke color="#000000" miterlimit="8" joinstyle="miter"/>
                <v:imagedata o:title=""/>
                <o:lock v:ext="edit" aspectratio="f"/>
                <v:textbox>
                  <w:txbxContent>
                    <w:p w14:paraId="1D37DE43">
                      <w:pPr>
                        <w:jc w:val="center"/>
                        <w:rPr>
                          <w:color w:val="FFFFFF"/>
                        </w:rPr>
                      </w:pPr>
                      <w:r>
                        <w:rPr>
                          <w:rFonts w:hint="eastAsia"/>
                          <w:color w:val="FFFFFF"/>
                        </w:rPr>
                        <w:t>估价对象</w:t>
                      </w:r>
                    </w:p>
                  </w:txbxContent>
                </v:textbox>
              </v:shape>
            </w:pict>
          </mc:Fallback>
        </mc:AlternateContent>
      </w:r>
      <w:r w:rsidRPr="0043038D">
        <w:rPr>
          <w:rFonts w:ascii="Arial" w:hAnsi="Arial" w:cs="Arial" w:hint="eastAsia"/>
          <w:kern w:val="2"/>
          <w:sz w:val="21"/>
          <w:szCs w:val="21"/>
        </w:rPr>
        <w:t>估价对象位置示意图</w:t>
      </w:r>
      <w:r w:rsidRPr="0043038D">
        <w:t xml:space="preserve"> </w:t>
      </w:r>
      <w:r w:rsidRPr="0043038D">
        <w:rPr>
          <w:noProof/>
        </w:rPr>
        <w:drawing>
          <wp:inline distT="0" distB="0" distL="0" distR="0">
            <wp:extent cx="5459095" cy="346265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59095" cy="3462655"/>
                    </a:xfrm>
                    <a:prstGeom prst="rect">
                      <a:avLst/>
                    </a:prstGeom>
                    <a:noFill/>
                    <a:ln>
                      <a:noFill/>
                    </a:ln>
                  </pic:spPr>
                </pic:pic>
              </a:graphicData>
            </a:graphic>
          </wp:inline>
        </w:drawing>
      </w:r>
    </w:p>
    <w:p w:rsidR="000E5655" w:rsidRPr="0043038D" w:rsidRDefault="00837133">
      <w:pPr>
        <w:wordWrap w:val="0"/>
        <w:overflowPunct w:val="0"/>
        <w:spacing w:line="480" w:lineRule="auto"/>
        <w:jc w:val="both"/>
        <w:textAlignment w:val="auto"/>
        <w:rPr>
          <w:rFonts w:ascii="Arial" w:hAnsi="Arial" w:cs="Arial"/>
          <w:b/>
          <w:kern w:val="2"/>
          <w:sz w:val="21"/>
          <w:szCs w:val="21"/>
        </w:rPr>
      </w:pPr>
      <w:r w:rsidRPr="0043038D">
        <w:rPr>
          <w:rFonts w:ascii="Arial" w:hAnsi="Arial" w:cs="Arial"/>
          <w:b/>
          <w:kern w:val="2"/>
          <w:sz w:val="21"/>
          <w:szCs w:val="21"/>
        </w:rPr>
        <w:lastRenderedPageBreak/>
        <w:t>（二）土地基本状况</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sz w:val="21"/>
          <w:szCs w:val="21"/>
        </w:rPr>
        <w:t>1.</w:t>
      </w:r>
      <w:r w:rsidRPr="0043038D">
        <w:rPr>
          <w:rFonts w:ascii="Arial" w:hAnsi="Arial" w:cs="Arial" w:hint="eastAsia"/>
          <w:kern w:val="2"/>
          <w:sz w:val="21"/>
          <w:szCs w:val="21"/>
        </w:rPr>
        <w:t>根据估价委托人提供的</w:t>
      </w: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，估价对象北京市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类居住用地（配建“保障性租赁住房”）为国有建设用地，权利性质为出让，用途为</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类住宅用地，宗地总面积为</w:t>
      </w:r>
      <w:r w:rsidRPr="0043038D">
        <w:rPr>
          <w:rFonts w:ascii="Arial" w:hAnsi="Arial" w:cs="Arial"/>
          <w:kern w:val="2"/>
          <w:sz w:val="21"/>
          <w:szCs w:val="21"/>
        </w:rPr>
        <w:t>71316.898</w:t>
      </w:r>
      <w:r w:rsidRPr="0043038D">
        <w:rPr>
          <w:rFonts w:ascii="Arial" w:hAnsi="Arial" w:cs="Arial" w:hint="eastAsia"/>
          <w:kern w:val="2"/>
          <w:sz w:val="21"/>
          <w:szCs w:val="21"/>
        </w:rPr>
        <w:t>平方米，使用期限为：住宅：</w:t>
      </w:r>
      <w:r w:rsidRPr="0043038D">
        <w:rPr>
          <w:rFonts w:ascii="Arial" w:hAnsi="Arial" w:cs="Arial" w:hint="eastAsia"/>
          <w:kern w:val="2"/>
          <w:sz w:val="21"/>
          <w:szCs w:val="21"/>
        </w:rPr>
        <w:t>2021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kern w:val="2"/>
          <w:sz w:val="21"/>
          <w:szCs w:val="21"/>
        </w:rPr>
        <w:t>13</w:t>
      </w:r>
      <w:r w:rsidRPr="0043038D">
        <w:rPr>
          <w:rFonts w:ascii="Arial" w:hAnsi="Arial" w:cs="Arial" w:hint="eastAsia"/>
          <w:kern w:val="2"/>
          <w:sz w:val="21"/>
          <w:szCs w:val="21"/>
        </w:rPr>
        <w:t>日起</w:t>
      </w:r>
      <w:r w:rsidRPr="0043038D">
        <w:rPr>
          <w:rFonts w:ascii="Arial" w:hAnsi="Arial" w:cs="Arial" w:hint="eastAsia"/>
          <w:kern w:val="2"/>
          <w:sz w:val="21"/>
          <w:szCs w:val="21"/>
        </w:rPr>
        <w:t>2091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日止。</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w:t>
      </w:r>
      <w:r w:rsidRPr="0043038D">
        <w:rPr>
          <w:rFonts w:ascii="Arial" w:hAnsi="Arial" w:cs="Arial"/>
          <w:sz w:val="21"/>
          <w:szCs w:val="21"/>
        </w:rPr>
        <w:t>估价对象所属项目</w:t>
      </w:r>
      <w:r w:rsidRPr="0043038D">
        <w:rPr>
          <w:rFonts w:ascii="Arial" w:hAnsi="Arial" w:cs="Arial" w:hint="eastAsia"/>
          <w:sz w:val="21"/>
          <w:szCs w:val="21"/>
        </w:rPr>
        <w:t>现状</w:t>
      </w:r>
      <w:r w:rsidRPr="0043038D">
        <w:rPr>
          <w:rFonts w:ascii="Arial" w:hAnsi="Arial" w:cs="Arial"/>
          <w:sz w:val="21"/>
          <w:szCs w:val="21"/>
        </w:rPr>
        <w:t>四至：</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DX04-0102-6012</w:t>
      </w:r>
      <w:proofErr w:type="gramStart"/>
      <w:r w:rsidRPr="0043038D">
        <w:rPr>
          <w:rFonts w:ascii="Arial" w:hAnsi="Arial" w:cs="Arial" w:hint="eastAsia"/>
          <w:kern w:val="2"/>
          <w:sz w:val="21"/>
          <w:szCs w:val="21"/>
        </w:rPr>
        <w:t>地块北</w:t>
      </w:r>
      <w:proofErr w:type="gramEnd"/>
      <w:r w:rsidRPr="0043038D">
        <w:rPr>
          <w:rFonts w:ascii="Arial" w:hAnsi="Arial" w:cs="Arial" w:hint="eastAsia"/>
          <w:kern w:val="2"/>
          <w:sz w:val="21"/>
          <w:szCs w:val="21"/>
        </w:rPr>
        <w:t>用地红线，西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sz w:val="21"/>
          <w:szCs w:val="21"/>
        </w:rPr>
        <w:t>.</w:t>
      </w:r>
      <w:r w:rsidRPr="0043038D">
        <w:rPr>
          <w:rFonts w:ascii="Arial" w:hAnsi="Arial" w:cs="Arial"/>
          <w:sz w:val="21"/>
          <w:szCs w:val="21"/>
        </w:rPr>
        <w:t>估价对象所属项目用地呈</w:t>
      </w:r>
      <w:r w:rsidRPr="0043038D">
        <w:rPr>
          <w:rFonts w:ascii="Arial" w:hAnsi="Arial" w:cs="Arial" w:hint="eastAsia"/>
          <w:sz w:val="21"/>
          <w:szCs w:val="21"/>
        </w:rPr>
        <w:t>较</w:t>
      </w:r>
      <w:r w:rsidRPr="0043038D">
        <w:rPr>
          <w:rFonts w:ascii="Arial" w:hAnsi="Arial" w:cs="Arial"/>
          <w:sz w:val="21"/>
          <w:szCs w:val="21"/>
        </w:rPr>
        <w:t>规则形状，</w:t>
      </w:r>
      <w:r w:rsidRPr="0043038D">
        <w:rPr>
          <w:rFonts w:ascii="Arial" w:hAnsi="Arial" w:cs="Arial" w:hint="eastAsia"/>
          <w:sz w:val="21"/>
          <w:szCs w:val="21"/>
        </w:rPr>
        <w:t>对利用无不良影响，</w:t>
      </w:r>
      <w:r w:rsidRPr="0043038D">
        <w:rPr>
          <w:rFonts w:ascii="Arial" w:hAnsi="Arial" w:cs="Arial"/>
          <w:sz w:val="21"/>
          <w:szCs w:val="21"/>
        </w:rPr>
        <w:t>场地</w:t>
      </w:r>
      <w:r w:rsidRPr="0043038D">
        <w:rPr>
          <w:rFonts w:ascii="Arial" w:hAnsi="Arial" w:cs="Arial" w:hint="eastAsia"/>
          <w:sz w:val="21"/>
          <w:szCs w:val="21"/>
        </w:rPr>
        <w:t>呈</w:t>
      </w:r>
      <w:r w:rsidRPr="0043038D">
        <w:rPr>
          <w:rFonts w:ascii="Arial" w:hAnsi="Arial" w:cs="Arial"/>
          <w:sz w:val="21"/>
          <w:szCs w:val="21"/>
        </w:rPr>
        <w:t>较平坦地势</w:t>
      </w:r>
      <w:r w:rsidRPr="0043038D">
        <w:rPr>
          <w:rFonts w:ascii="Arial" w:hAnsi="Arial" w:cs="Arial" w:hint="eastAsia"/>
          <w:sz w:val="21"/>
          <w:szCs w:val="21"/>
        </w:rPr>
        <w:t>，工程地质条件良好，无不良地质现象</w:t>
      </w:r>
      <w:r w:rsidRPr="0043038D">
        <w:rPr>
          <w:rFonts w:ascii="Arial" w:hAnsi="Arial" w:cs="Arial"/>
          <w:sz w:val="21"/>
          <w:szCs w:val="21"/>
        </w:rPr>
        <w:t>。</w:t>
      </w:r>
      <w:r w:rsidRPr="0043038D">
        <w:rPr>
          <w:rFonts w:ascii="Arial" w:hAnsi="Arial" w:cs="Arial" w:hint="eastAsia"/>
          <w:sz w:val="21"/>
          <w:szCs w:val="21"/>
        </w:rPr>
        <w:t>估价对象现状已完成开发建设，土地利用程度高。</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sz w:val="21"/>
          <w:szCs w:val="21"/>
        </w:rPr>
        <w:t>.</w:t>
      </w:r>
      <w:r w:rsidRPr="0043038D">
        <w:rPr>
          <w:rFonts w:ascii="Arial" w:hAnsi="Arial" w:cs="Arial" w:hint="eastAsia"/>
          <w:sz w:val="21"/>
          <w:szCs w:val="21"/>
        </w:rPr>
        <w:t>开发程度</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kern w:val="2"/>
          <w:sz w:val="21"/>
          <w:szCs w:val="21"/>
        </w:rPr>
        <w:t>估价对象所在区域市政基础设施完备，为</w:t>
      </w:r>
      <w:r w:rsidRPr="0043038D">
        <w:rPr>
          <w:rFonts w:ascii="Arial" w:hAnsi="Arial" w:cs="Arial"/>
          <w:kern w:val="2"/>
          <w:sz w:val="21"/>
          <w:szCs w:val="21"/>
        </w:rPr>
        <w:t>“</w:t>
      </w:r>
      <w:r w:rsidRPr="0043038D">
        <w:rPr>
          <w:rFonts w:ascii="Arial" w:hAnsi="Arial" w:cs="Arial" w:hint="eastAsia"/>
          <w:kern w:val="2"/>
          <w:sz w:val="21"/>
          <w:szCs w:val="21"/>
        </w:rPr>
        <w:t>七</w:t>
      </w:r>
      <w:r w:rsidRPr="0043038D">
        <w:rPr>
          <w:rFonts w:ascii="Arial" w:hAnsi="Arial" w:cs="Arial"/>
          <w:kern w:val="2"/>
          <w:sz w:val="21"/>
          <w:szCs w:val="21"/>
        </w:rPr>
        <w:t>通</w:t>
      </w:r>
      <w:r w:rsidRPr="0043038D">
        <w:rPr>
          <w:rFonts w:ascii="Arial" w:hAnsi="Arial" w:cs="Arial"/>
          <w:kern w:val="2"/>
          <w:sz w:val="21"/>
          <w:szCs w:val="21"/>
        </w:rPr>
        <w:t>”</w:t>
      </w:r>
      <w:r w:rsidRPr="0043038D">
        <w:rPr>
          <w:rFonts w:ascii="Arial" w:hAnsi="Arial" w:cs="Arial"/>
          <w:kern w:val="2"/>
          <w:sz w:val="21"/>
          <w:szCs w:val="21"/>
        </w:rPr>
        <w:t>（即通路、通电、通讯</w:t>
      </w:r>
      <w:r w:rsidRPr="0043038D">
        <w:rPr>
          <w:rFonts w:ascii="Arial" w:hAnsi="Arial" w:cs="Arial" w:hint="eastAsia"/>
          <w:kern w:val="2"/>
          <w:sz w:val="21"/>
          <w:szCs w:val="21"/>
        </w:rPr>
        <w:t>、</w:t>
      </w:r>
      <w:r w:rsidRPr="0043038D">
        <w:rPr>
          <w:rFonts w:ascii="Arial" w:hAnsi="Arial" w:cs="Arial"/>
          <w:kern w:val="2"/>
          <w:sz w:val="21"/>
          <w:szCs w:val="21"/>
        </w:rPr>
        <w:t>通上水、通下水、通燃气、通热力），且保证程度高。</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综上所述，</w:t>
      </w:r>
      <w:r w:rsidRPr="0043038D">
        <w:rPr>
          <w:rFonts w:ascii="Arial" w:hAnsi="Arial" w:cs="Arial"/>
          <w:kern w:val="2"/>
          <w:sz w:val="21"/>
          <w:szCs w:val="21"/>
        </w:rPr>
        <w:t>估价对象</w:t>
      </w:r>
      <w:r w:rsidRPr="0043038D">
        <w:rPr>
          <w:rFonts w:ascii="Arial" w:hAnsi="Arial" w:cs="Arial" w:hint="eastAsia"/>
          <w:kern w:val="2"/>
          <w:sz w:val="21"/>
          <w:szCs w:val="21"/>
        </w:rPr>
        <w:t>所在区域</w:t>
      </w:r>
      <w:r w:rsidRPr="0043038D">
        <w:rPr>
          <w:rFonts w:ascii="Arial" w:hAnsi="Arial" w:cs="Arial"/>
          <w:kern w:val="2"/>
          <w:sz w:val="21"/>
          <w:szCs w:val="21"/>
        </w:rPr>
        <w:t>土地实物状况较好，场地地势平坦，地质条件良好，基础设施完备，宗地条件有利于估价对象利用，对估价对象租赁价格无不良影响</w:t>
      </w:r>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2"/>
        <w:jc w:val="both"/>
        <w:textAlignment w:val="auto"/>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三</w:t>
      </w:r>
      <w:r w:rsidRPr="0043038D">
        <w:rPr>
          <w:rFonts w:ascii="Arial" w:hAnsi="Arial" w:cs="Arial"/>
          <w:b/>
          <w:kern w:val="2"/>
          <w:sz w:val="21"/>
          <w:szCs w:val="21"/>
        </w:rPr>
        <w:t>）建筑物基本状况</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hint="eastAsia"/>
          <w:sz w:val="21"/>
          <w:szCs w:val="21"/>
        </w:rPr>
        <w:t>．建设规模：根据估价委托人提供的《估价委托书》、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性租赁住房。估价对象收购方为北京市燕</w:t>
      </w:r>
      <w:proofErr w:type="gramStart"/>
      <w:r w:rsidRPr="0043038D">
        <w:rPr>
          <w:rFonts w:ascii="Arial" w:hAnsi="Arial" w:cs="Arial" w:hint="eastAsia"/>
          <w:kern w:val="2"/>
          <w:sz w:val="21"/>
          <w:szCs w:val="21"/>
        </w:rPr>
        <w:t>兴保障</w:t>
      </w:r>
      <w:proofErr w:type="gramEnd"/>
      <w:r w:rsidRPr="0043038D">
        <w:rPr>
          <w:rFonts w:ascii="Arial" w:hAnsi="Arial" w:cs="Arial" w:hint="eastAsia"/>
          <w:kern w:val="2"/>
          <w:sz w:val="21"/>
          <w:szCs w:val="21"/>
        </w:rPr>
        <w:t>性住房建设投资有限公司，所在项目现状四至为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w:t>
      </w:r>
      <w:r w:rsidRPr="0043038D">
        <w:rPr>
          <w:rFonts w:ascii="Arial" w:hAnsi="Arial" w:cs="Arial"/>
          <w:kern w:val="2"/>
          <w:sz w:val="21"/>
          <w:szCs w:val="21"/>
        </w:rPr>
        <w:t>04-0102-6012</w:t>
      </w:r>
      <w:proofErr w:type="gramStart"/>
      <w:r w:rsidRPr="0043038D">
        <w:rPr>
          <w:rFonts w:ascii="Arial" w:hAnsi="Arial" w:cs="Arial"/>
          <w:kern w:val="2"/>
          <w:sz w:val="21"/>
          <w:szCs w:val="21"/>
        </w:rPr>
        <w:t>地块北</w:t>
      </w:r>
      <w:proofErr w:type="gramEnd"/>
      <w:r w:rsidRPr="0043038D">
        <w:rPr>
          <w:rFonts w:ascii="Arial" w:hAnsi="Arial" w:cs="Arial"/>
          <w:kern w:val="2"/>
          <w:sz w:val="21"/>
          <w:szCs w:val="21"/>
        </w:rPr>
        <w:t>用地红线</w:t>
      </w:r>
      <w:r w:rsidRPr="0043038D">
        <w:rPr>
          <w:rFonts w:ascii="Arial" w:hAnsi="Arial" w:cs="Arial" w:hint="eastAsia"/>
          <w:kern w:val="2"/>
          <w:sz w:val="21"/>
          <w:szCs w:val="21"/>
        </w:rPr>
        <w:t>，西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，估价对象用途为保障性租赁住房（住宅型），建筑面积为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blHead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hint="eastAsia"/>
          <w:sz w:val="21"/>
          <w:szCs w:val="21"/>
        </w:rPr>
        <w:t>建筑结构：估价对象所属楼宇建筑结构为</w:t>
      </w:r>
      <w:r w:rsidRPr="0043038D">
        <w:rPr>
          <w:rFonts w:ascii="Arial" w:hAnsi="Arial" w:cs="Arial" w:hint="eastAsia"/>
          <w:kern w:val="2"/>
          <w:sz w:val="21"/>
          <w:szCs w:val="21"/>
        </w:rPr>
        <w:t>钢筋混凝土结构</w:t>
      </w:r>
      <w:r w:rsidRPr="0043038D">
        <w:rPr>
          <w:rFonts w:ascii="Arial" w:hAnsi="Arial" w:cs="Arial" w:hint="eastAsia"/>
          <w:sz w:val="21"/>
          <w:szCs w:val="21"/>
        </w:rPr>
        <w:t>。</w:t>
      </w:r>
      <w:bookmarkStart w:id="26" w:name="OLE_LINK3"/>
      <w:bookmarkStart w:id="27" w:name="OLE_LINK2"/>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hint="eastAsia"/>
          <w:sz w:val="21"/>
          <w:szCs w:val="21"/>
        </w:rPr>
        <w:t>建筑外观：</w:t>
      </w:r>
      <w:r w:rsidRPr="0043038D">
        <w:rPr>
          <w:rFonts w:ascii="Arial" w:hAnsi="Arial" w:cs="Arial" w:hint="eastAsia"/>
          <w:kern w:val="2"/>
          <w:sz w:val="21"/>
          <w:szCs w:val="21"/>
        </w:rPr>
        <w:t>估价对象</w:t>
      </w:r>
      <w:proofErr w:type="gramStart"/>
      <w:r w:rsidRPr="0043038D">
        <w:rPr>
          <w:rFonts w:ascii="Arial" w:hAnsi="Arial" w:cs="Arial" w:hint="eastAsia"/>
          <w:kern w:val="2"/>
          <w:sz w:val="21"/>
          <w:szCs w:val="21"/>
        </w:rPr>
        <w:t>为板塔结合</w:t>
      </w:r>
      <w:proofErr w:type="gramEnd"/>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hint="eastAsia"/>
          <w:sz w:val="21"/>
          <w:szCs w:val="21"/>
        </w:rPr>
        <w:t>设施设备及家具家电：估价对象所在项目配套设施完备，给排水、电力、电讯、暖通等齐全；防火</w:t>
      </w:r>
      <w:proofErr w:type="gramStart"/>
      <w:r w:rsidRPr="0043038D">
        <w:rPr>
          <w:rFonts w:ascii="Arial" w:hAnsi="Arial" w:cs="Arial" w:hint="eastAsia"/>
          <w:sz w:val="21"/>
          <w:szCs w:val="21"/>
        </w:rPr>
        <w:t>栓</w:t>
      </w:r>
      <w:proofErr w:type="gramEnd"/>
      <w:r w:rsidRPr="0043038D">
        <w:rPr>
          <w:rFonts w:ascii="Arial" w:hAnsi="Arial" w:cs="Arial" w:hint="eastAsia"/>
          <w:sz w:val="21"/>
          <w:szCs w:val="21"/>
        </w:rPr>
        <w:t>、安防系统等设备齐全；估价对象内部配备客厅、卧室、厨卫等基本家具家电，铺设地暖。估价对象作为保障性租赁住房（住宅型）出租使用。</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5.</w:t>
      </w:r>
      <w:r w:rsidRPr="0043038D">
        <w:rPr>
          <w:rFonts w:ascii="Arial" w:hAnsi="Arial" w:cs="Arial" w:hint="eastAsia"/>
          <w:sz w:val="21"/>
          <w:szCs w:val="21"/>
        </w:rPr>
        <w:t>装饰装修：根据估价委托人介绍及估价人员实地查勘，估价对象均为精装修，外立面为涂料、墙砖，公共部分首层地面贴砖，顶棚为石膏吊顶，墙面为墙砖。室内地面铺设木地板，墙面为涂料，顶棚为涂料；卫生间有陶瓷洗手池、坐便器，地面铺设地砖，墙面为墙砖，顶棚为铝扣板；厨房有整体橱柜、不锈钢洗菜池，地面铺设地砖，墙面为墙砖，顶棚为铝扣板。</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6.</w:t>
      </w:r>
      <w:r w:rsidRPr="0043038D">
        <w:rPr>
          <w:rFonts w:ascii="Arial" w:hAnsi="Arial" w:cs="Arial" w:hint="eastAsia"/>
          <w:sz w:val="21"/>
          <w:szCs w:val="21"/>
        </w:rPr>
        <w:t>新旧程度：根据估价专业人员现场勘查，截至价值时点，估价对象已完成竣工验收工作，竣工验收时间为</w:t>
      </w:r>
      <w:r w:rsidRPr="0043038D">
        <w:rPr>
          <w:rFonts w:ascii="Arial" w:hAnsi="Arial" w:cs="Arial" w:hint="eastAsia"/>
          <w:sz w:val="21"/>
          <w:szCs w:val="21"/>
        </w:rPr>
        <w:t>2</w:t>
      </w:r>
      <w:r w:rsidRPr="0043038D">
        <w:rPr>
          <w:rFonts w:ascii="Arial" w:hAnsi="Arial" w:cs="Arial"/>
          <w:sz w:val="21"/>
          <w:szCs w:val="21"/>
        </w:rPr>
        <w:t>023</w:t>
      </w:r>
      <w:r w:rsidRPr="0043038D">
        <w:rPr>
          <w:rFonts w:ascii="Arial" w:hAnsi="Arial" w:cs="Arial"/>
          <w:sz w:val="21"/>
          <w:szCs w:val="21"/>
        </w:rPr>
        <w:t>年</w:t>
      </w:r>
      <w:r w:rsidRPr="0043038D">
        <w:rPr>
          <w:rFonts w:ascii="Arial" w:hAnsi="Arial" w:cs="Arial" w:hint="eastAsia"/>
          <w:sz w:val="21"/>
          <w:szCs w:val="21"/>
        </w:rPr>
        <w:t>1</w:t>
      </w:r>
      <w:r w:rsidRPr="0043038D">
        <w:rPr>
          <w:rFonts w:ascii="Arial" w:hAnsi="Arial" w:cs="Arial"/>
          <w:sz w:val="21"/>
          <w:szCs w:val="21"/>
        </w:rPr>
        <w:t>2</w:t>
      </w:r>
      <w:r w:rsidRPr="0043038D">
        <w:rPr>
          <w:rFonts w:ascii="Arial" w:hAnsi="Arial" w:cs="Arial"/>
          <w:sz w:val="21"/>
          <w:szCs w:val="21"/>
        </w:rPr>
        <w:t>月</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sz w:val="21"/>
          <w:szCs w:val="21"/>
        </w:rPr>
        <w:t>日</w:t>
      </w:r>
      <w:r w:rsidRPr="0043038D">
        <w:rPr>
          <w:rFonts w:ascii="Arial" w:hAnsi="Arial" w:cs="Arial" w:hint="eastAsia"/>
          <w:sz w:val="21"/>
          <w:szCs w:val="21"/>
        </w:rPr>
        <w:t>，估价对象观察成新度较高，综合成新度为</w:t>
      </w:r>
      <w:r w:rsidRPr="0043038D">
        <w:rPr>
          <w:rFonts w:ascii="Arial" w:hAnsi="Arial" w:cs="Arial" w:hint="eastAsia"/>
          <w:sz w:val="21"/>
          <w:szCs w:val="21"/>
        </w:rPr>
        <w:t>9</w:t>
      </w:r>
      <w:r w:rsidRPr="0043038D">
        <w:rPr>
          <w:rFonts w:ascii="Arial" w:hAnsi="Arial" w:cs="Arial"/>
          <w:sz w:val="21"/>
          <w:szCs w:val="21"/>
        </w:rPr>
        <w:t>9%</w:t>
      </w:r>
      <w:r w:rsidRPr="0043038D">
        <w:rPr>
          <w:rFonts w:ascii="Arial" w:hAnsi="Arial" w:cs="Arial" w:hint="eastAsia"/>
          <w:sz w:val="21"/>
          <w:szCs w:val="21"/>
        </w:rPr>
        <w:t>。</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7.</w:t>
      </w:r>
      <w:r w:rsidRPr="0043038D">
        <w:rPr>
          <w:rFonts w:ascii="Arial" w:hAnsi="Arial" w:cs="Arial" w:hint="eastAsia"/>
          <w:sz w:val="21"/>
          <w:szCs w:val="21"/>
        </w:rPr>
        <w:t>户型设计：估价对象均为平层结构，分为四种户型，分别为零居室、</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居室、小两居、两居室。其中零居室</w:t>
      </w:r>
      <w:r w:rsidRPr="0043038D">
        <w:rPr>
          <w:rFonts w:ascii="Arial" w:hAnsi="Arial" w:cs="Arial"/>
          <w:sz w:val="21"/>
          <w:szCs w:val="21"/>
        </w:rPr>
        <w:t>60</w:t>
      </w:r>
      <w:r w:rsidRPr="0043038D">
        <w:rPr>
          <w:rFonts w:ascii="Arial" w:hAnsi="Arial" w:cs="Arial" w:hint="eastAsia"/>
          <w:sz w:val="21"/>
          <w:szCs w:val="21"/>
        </w:rPr>
        <w:t>套、</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w:t>
      </w:r>
      <w:r w:rsidRPr="0043038D">
        <w:rPr>
          <w:rFonts w:ascii="Arial" w:hAnsi="Arial" w:cs="Arial"/>
          <w:sz w:val="21"/>
          <w:szCs w:val="21"/>
        </w:rPr>
        <w:t>3</w:t>
      </w:r>
      <w:r w:rsidRPr="0043038D">
        <w:rPr>
          <w:rFonts w:ascii="Arial" w:hAnsi="Arial" w:cs="Arial" w:hint="eastAsia"/>
          <w:sz w:val="21"/>
          <w:szCs w:val="21"/>
        </w:rPr>
        <w:t>套、小两居</w:t>
      </w:r>
      <w:r w:rsidRPr="0043038D">
        <w:rPr>
          <w:rFonts w:ascii="Arial" w:hAnsi="Arial" w:cs="Arial"/>
          <w:sz w:val="21"/>
          <w:szCs w:val="21"/>
        </w:rPr>
        <w:t>166</w:t>
      </w:r>
      <w:r w:rsidRPr="0043038D">
        <w:rPr>
          <w:rFonts w:ascii="Arial" w:hAnsi="Arial" w:cs="Arial" w:hint="eastAsia"/>
          <w:sz w:val="21"/>
          <w:szCs w:val="21"/>
        </w:rPr>
        <w:t>套、两居室</w:t>
      </w:r>
      <w:r w:rsidRPr="0043038D">
        <w:rPr>
          <w:rFonts w:ascii="Arial" w:hAnsi="Arial" w:cs="Arial"/>
          <w:sz w:val="21"/>
          <w:szCs w:val="21"/>
        </w:rPr>
        <w:t>59</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ascii="Arial" w:hAnsi="Arial" w:cs="Arial" w:hint="eastAsia"/>
          <w:sz w:val="21"/>
          <w:szCs w:val="21"/>
        </w:rPr>
        <w:t>朝向：估价对象零居室主要以东、西朝向为主，其中东朝向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套、西朝向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w:t>
      </w:r>
      <w:r w:rsidRPr="0043038D">
        <w:rPr>
          <w:rFonts w:ascii="Arial" w:hAnsi="Arial" w:cs="Arial" w:hint="eastAsia"/>
          <w:sz w:val="21"/>
          <w:szCs w:val="21"/>
        </w:rPr>
        <w:t>；</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居室有南北、东西朝向，其中南北朝向</w:t>
      </w:r>
      <w:r w:rsidRPr="0043038D">
        <w:rPr>
          <w:rFonts w:ascii="Arial" w:hAnsi="Arial" w:cs="Arial" w:hint="eastAsia"/>
          <w:sz w:val="21"/>
          <w:szCs w:val="21"/>
        </w:rPr>
        <w:t>2</w:t>
      </w:r>
      <w:r w:rsidRPr="0043038D">
        <w:rPr>
          <w:rFonts w:ascii="Arial" w:hAnsi="Arial" w:cs="Arial" w:hint="eastAsia"/>
          <w:sz w:val="21"/>
          <w:szCs w:val="21"/>
        </w:rPr>
        <w:t>套、东西朝向</w:t>
      </w:r>
      <w:r w:rsidRPr="0043038D">
        <w:rPr>
          <w:rFonts w:ascii="Arial" w:hAnsi="Arial" w:cs="Arial" w:hint="eastAsia"/>
          <w:sz w:val="21"/>
          <w:szCs w:val="21"/>
        </w:rPr>
        <w:t>1</w:t>
      </w:r>
      <w:r w:rsidRPr="0043038D">
        <w:rPr>
          <w:rFonts w:ascii="Arial" w:hAnsi="Arial" w:cs="Arial" w:hint="eastAsia"/>
          <w:sz w:val="21"/>
          <w:szCs w:val="21"/>
        </w:rPr>
        <w:t>套；小两居有南北、南、西北东、东西、西北朝向，其中南北朝向</w:t>
      </w:r>
      <w:r w:rsidRPr="0043038D">
        <w:rPr>
          <w:rFonts w:ascii="Arial" w:hAnsi="Arial" w:cs="Arial" w:hint="eastAsia"/>
          <w:sz w:val="21"/>
          <w:szCs w:val="21"/>
        </w:rPr>
        <w:t>2</w:t>
      </w:r>
      <w:r w:rsidRPr="0043038D">
        <w:rPr>
          <w:rFonts w:ascii="Arial" w:hAnsi="Arial" w:cs="Arial"/>
          <w:sz w:val="21"/>
          <w:szCs w:val="21"/>
        </w:rPr>
        <w:t>8</w:t>
      </w:r>
      <w:r w:rsidRPr="0043038D">
        <w:rPr>
          <w:rFonts w:ascii="Arial" w:hAnsi="Arial" w:cs="Arial" w:hint="eastAsia"/>
          <w:sz w:val="21"/>
          <w:szCs w:val="21"/>
        </w:rPr>
        <w:t>套、</w:t>
      </w:r>
      <w:proofErr w:type="gramStart"/>
      <w:r w:rsidRPr="0043038D">
        <w:rPr>
          <w:rFonts w:ascii="Arial" w:hAnsi="Arial" w:cs="Arial" w:hint="eastAsia"/>
          <w:sz w:val="21"/>
          <w:szCs w:val="21"/>
        </w:rPr>
        <w:t>南朝向</w:t>
      </w:r>
      <w:proofErr w:type="gramEnd"/>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hint="eastAsia"/>
          <w:sz w:val="21"/>
          <w:szCs w:val="21"/>
        </w:rPr>
        <w:t>套、西北东朝向</w:t>
      </w:r>
      <w:r w:rsidRPr="0043038D">
        <w:rPr>
          <w:rFonts w:ascii="Arial" w:hAnsi="Arial" w:cs="Arial"/>
          <w:sz w:val="21"/>
          <w:szCs w:val="21"/>
        </w:rPr>
        <w:t>19</w:t>
      </w:r>
      <w:r w:rsidRPr="0043038D">
        <w:rPr>
          <w:rFonts w:ascii="Arial" w:hAnsi="Arial" w:cs="Arial" w:hint="eastAsia"/>
          <w:sz w:val="21"/>
          <w:szCs w:val="21"/>
        </w:rPr>
        <w:t>套、东西朝向</w:t>
      </w:r>
      <w:r w:rsidRPr="0043038D">
        <w:rPr>
          <w:rFonts w:ascii="Arial" w:hAnsi="Arial" w:cs="Arial"/>
          <w:sz w:val="21"/>
          <w:szCs w:val="21"/>
        </w:rPr>
        <w:t>15</w:t>
      </w:r>
      <w:r w:rsidRPr="0043038D">
        <w:rPr>
          <w:rFonts w:ascii="Arial" w:hAnsi="Arial" w:cs="Arial" w:hint="eastAsia"/>
          <w:sz w:val="21"/>
          <w:szCs w:val="21"/>
        </w:rPr>
        <w:t>套、西北朝向</w:t>
      </w:r>
      <w:r w:rsidRPr="0043038D">
        <w:rPr>
          <w:rFonts w:ascii="Arial" w:hAnsi="Arial" w:cs="Arial"/>
          <w:sz w:val="21"/>
          <w:szCs w:val="21"/>
        </w:rPr>
        <w:t>15</w:t>
      </w:r>
      <w:r w:rsidRPr="0043038D">
        <w:rPr>
          <w:rFonts w:ascii="Arial" w:hAnsi="Arial" w:cs="Arial" w:hint="eastAsia"/>
          <w:sz w:val="21"/>
          <w:szCs w:val="21"/>
        </w:rPr>
        <w:t>套；两居室有东南、西南朝向，其中东南朝向</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套、西南朝向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9.</w:t>
      </w:r>
      <w:r w:rsidRPr="0043038D">
        <w:rPr>
          <w:rFonts w:ascii="Arial" w:hAnsi="Arial" w:cs="Arial" w:hint="eastAsia"/>
          <w:sz w:val="21"/>
          <w:szCs w:val="21"/>
        </w:rPr>
        <w:t>综合服务管理设施：估价对象所属小区为封闭式管理，门口设有快递柜、小区内设有垃圾分类收集点。估价对象为住宅配建保障性租赁住房，与商品房享有同样的配套设施，估价对象所在楼栋一</w:t>
      </w:r>
      <w:r w:rsidRPr="0043038D">
        <w:rPr>
          <w:rFonts w:ascii="Arial" w:hAnsi="Arial" w:cs="Arial" w:hint="eastAsia"/>
          <w:sz w:val="21"/>
          <w:szCs w:val="21"/>
        </w:rPr>
        <w:lastRenderedPageBreak/>
        <w:t>层配备保障性租赁住房管理用房等。</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10</w:t>
      </w:r>
      <w:r w:rsidRPr="0043038D">
        <w:rPr>
          <w:rFonts w:ascii="Arial" w:hAnsi="Arial" w:cs="Arial" w:hint="eastAsia"/>
          <w:sz w:val="21"/>
          <w:szCs w:val="21"/>
        </w:rPr>
        <w:t>：水电气</w:t>
      </w:r>
      <w:proofErr w:type="gramStart"/>
      <w:r w:rsidRPr="0043038D">
        <w:rPr>
          <w:rFonts w:ascii="Arial" w:hAnsi="Arial" w:cs="Arial" w:hint="eastAsia"/>
          <w:sz w:val="21"/>
          <w:szCs w:val="21"/>
        </w:rPr>
        <w:t>费执行</w:t>
      </w:r>
      <w:proofErr w:type="gramEnd"/>
      <w:r w:rsidRPr="0043038D">
        <w:rPr>
          <w:rFonts w:ascii="Arial" w:hAnsi="Arial" w:cs="Arial" w:hint="eastAsia"/>
          <w:sz w:val="21"/>
          <w:szCs w:val="21"/>
        </w:rPr>
        <w:t>标准：估价对象</w:t>
      </w:r>
      <w:proofErr w:type="gramStart"/>
      <w:r w:rsidRPr="0043038D">
        <w:rPr>
          <w:rFonts w:ascii="Arial" w:hAnsi="Arial" w:cs="Arial" w:hint="eastAsia"/>
          <w:sz w:val="21"/>
          <w:szCs w:val="21"/>
        </w:rPr>
        <w:t>执行民水民</w:t>
      </w:r>
      <w:proofErr w:type="gramEnd"/>
      <w:r w:rsidRPr="0043038D">
        <w:rPr>
          <w:rFonts w:ascii="Arial" w:hAnsi="Arial" w:cs="Arial" w:hint="eastAsia"/>
          <w:sz w:val="21"/>
          <w:szCs w:val="21"/>
        </w:rPr>
        <w:t>电标准。</w:t>
      </w:r>
    </w:p>
    <w:bookmarkEnd w:id="26"/>
    <w:bookmarkEnd w:id="27"/>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（四）对价格影响的分析</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估价对象作为</w:t>
      </w:r>
      <w:r w:rsidRPr="0043038D">
        <w:rPr>
          <w:rFonts w:ascii="Arial" w:hAnsi="Arial" w:cs="Arial" w:hint="eastAsia"/>
          <w:sz w:val="21"/>
          <w:szCs w:val="21"/>
        </w:rPr>
        <w:t>保障性租赁住房（住宅型）</w:t>
      </w:r>
      <w:r w:rsidRPr="0043038D">
        <w:rPr>
          <w:rFonts w:ascii="Arial" w:hAnsi="Arial" w:cs="Arial"/>
          <w:sz w:val="21"/>
          <w:szCs w:val="21"/>
        </w:rPr>
        <w:t>使用，通用性相对较好，能完全满足大部分</w:t>
      </w:r>
      <w:r w:rsidRPr="0043038D">
        <w:rPr>
          <w:rFonts w:ascii="Arial" w:hAnsi="Arial" w:cs="Arial" w:hint="eastAsia"/>
          <w:sz w:val="21"/>
          <w:szCs w:val="21"/>
        </w:rPr>
        <w:t>承</w:t>
      </w:r>
      <w:r w:rsidRPr="0043038D">
        <w:rPr>
          <w:rFonts w:ascii="Arial" w:hAnsi="Arial" w:cs="Arial"/>
          <w:sz w:val="21"/>
          <w:szCs w:val="21"/>
        </w:rPr>
        <w:t>租者的需求，因此</w:t>
      </w:r>
      <w:r w:rsidRPr="0043038D">
        <w:rPr>
          <w:rFonts w:ascii="Arial" w:hAnsi="Arial" w:cs="Arial" w:hint="eastAsia"/>
          <w:sz w:val="21"/>
          <w:szCs w:val="21"/>
        </w:rPr>
        <w:t>不会</w:t>
      </w:r>
      <w:r w:rsidRPr="0043038D">
        <w:rPr>
          <w:rFonts w:ascii="Arial" w:hAnsi="Arial" w:cs="Arial"/>
          <w:sz w:val="21"/>
          <w:szCs w:val="21"/>
        </w:rPr>
        <w:t>影响其租金价格水平。</w:t>
      </w:r>
    </w:p>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（五）他项权利状况</w:t>
      </w:r>
    </w:p>
    <w:p w:rsidR="000E5655" w:rsidRPr="0043038D" w:rsidRDefault="00837133">
      <w:pPr>
        <w:spacing w:line="480" w:lineRule="auto"/>
        <w:ind w:firstLineChars="200" w:firstLine="420"/>
        <w:rPr>
          <w:rFonts w:ascii="Arial" w:hAnsi="Arial" w:cs="Arial"/>
          <w:kern w:val="2"/>
          <w:sz w:val="21"/>
          <w:szCs w:val="21"/>
        </w:rPr>
      </w:pPr>
      <w:r w:rsidRPr="0043038D">
        <w:rPr>
          <w:rFonts w:ascii="Arial" w:hAnsi="Arial" w:cs="Arial" w:hint="eastAsia"/>
          <w:sz w:val="21"/>
          <w:szCs w:val="21"/>
        </w:rPr>
        <w:t>根据估价委托人提供的资料及评估专业人员实地查勘，于价值时点，未发现估价对象存在抵押、</w:t>
      </w:r>
      <w:r w:rsidRPr="0043038D">
        <w:rPr>
          <w:rFonts w:ascii="Arial" w:hAnsi="Arial" w:cs="Arial" w:hint="eastAsia"/>
          <w:kern w:val="2"/>
          <w:sz w:val="21"/>
          <w:szCs w:val="21"/>
        </w:rPr>
        <w:t>租赁、地役、查封等他项权利</w:t>
      </w:r>
      <w:r w:rsidRPr="0043038D">
        <w:rPr>
          <w:rFonts w:ascii="Arial" w:hAnsi="Arial" w:cs="Arial" w:hint="eastAsia"/>
          <w:sz w:val="21"/>
          <w:szCs w:val="21"/>
        </w:rPr>
        <w:t>。</w:t>
      </w:r>
      <w:r w:rsidRPr="0043038D">
        <w:rPr>
          <w:rFonts w:ascii="Arial" w:hAnsi="Arial" w:cs="Arial" w:hint="eastAsia"/>
          <w:kern w:val="2"/>
          <w:sz w:val="21"/>
          <w:szCs w:val="21"/>
        </w:rPr>
        <w:t>根据估价目的，本次估价未考虑租赁、地役、查封等他项权利影响，故设定估价对象于价值时点不存在抵押、租赁、地役、查封等他项权利限制。</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155267090"/>
      <w:r w:rsidRPr="0043038D">
        <w:rPr>
          <w:rFonts w:eastAsia="宋体"/>
          <w:kern w:val="2"/>
          <w:sz w:val="21"/>
          <w:szCs w:val="21"/>
        </w:rPr>
        <w:t>五</w:t>
      </w:r>
      <w:bookmarkEnd w:id="28"/>
      <w:r w:rsidRPr="0043038D">
        <w:rPr>
          <w:rFonts w:eastAsia="宋体"/>
          <w:kern w:val="2"/>
          <w:sz w:val="21"/>
          <w:szCs w:val="21"/>
        </w:rPr>
        <w:t>、价值时点</w:t>
      </w:r>
      <w:bookmarkEnd w:id="29"/>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00C81EDB">
        <w:rPr>
          <w:rFonts w:ascii="Arial" w:hAnsi="Arial" w:cs="Arial"/>
          <w:sz w:val="21"/>
          <w:szCs w:val="21"/>
        </w:rPr>
        <w:t>10</w:t>
      </w:r>
      <w:r w:rsidR="00C81EDB">
        <w:rPr>
          <w:rFonts w:ascii="Arial" w:hAnsi="Arial" w:cs="Arial"/>
          <w:sz w:val="21"/>
          <w:szCs w:val="21"/>
        </w:rPr>
        <w:t>月</w:t>
      </w:r>
      <w:r w:rsidR="00C81EDB">
        <w:rPr>
          <w:rFonts w:ascii="Arial" w:hAnsi="Arial" w:cs="Arial"/>
          <w:sz w:val="21"/>
          <w:szCs w:val="21"/>
        </w:rPr>
        <w:t>14</w:t>
      </w:r>
      <w:r w:rsidRPr="0043038D">
        <w:rPr>
          <w:rFonts w:ascii="Arial" w:hAnsi="Arial" w:cs="Arial"/>
          <w:sz w:val="21"/>
          <w:szCs w:val="21"/>
        </w:rPr>
        <w:t>日（</w:t>
      </w:r>
      <w:r w:rsidRPr="0043038D">
        <w:rPr>
          <w:rFonts w:ascii="Arial" w:hAnsi="Arial" w:cs="Arial" w:hint="eastAsia"/>
          <w:sz w:val="21"/>
          <w:szCs w:val="21"/>
        </w:rPr>
        <w:t>根据《估价委托书》确定</w:t>
      </w:r>
      <w:r w:rsidRPr="0043038D">
        <w:rPr>
          <w:rFonts w:ascii="Arial" w:hAnsi="Arial" w:cs="Arial"/>
          <w:sz w:val="21"/>
          <w:szCs w:val="21"/>
        </w:rPr>
        <w:t>）</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0" w:name="_Toc168225818"/>
      <w:bookmarkStart w:id="31" w:name="_Toc155267091"/>
      <w:r w:rsidRPr="0043038D">
        <w:rPr>
          <w:rFonts w:eastAsia="宋体"/>
          <w:kern w:val="2"/>
          <w:sz w:val="21"/>
          <w:szCs w:val="21"/>
        </w:rPr>
        <w:t>六</w:t>
      </w:r>
      <w:bookmarkEnd w:id="30"/>
      <w:r w:rsidRPr="0043038D">
        <w:rPr>
          <w:rFonts w:eastAsia="宋体"/>
          <w:kern w:val="2"/>
          <w:sz w:val="21"/>
          <w:szCs w:val="21"/>
        </w:rPr>
        <w:t>、价值类型</w:t>
      </w:r>
      <w:bookmarkEnd w:id="31"/>
    </w:p>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（一）价值类型</w:t>
      </w:r>
    </w:p>
    <w:p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r w:rsidRPr="0043038D">
        <w:rPr>
          <w:rFonts w:ascii="Arial" w:hAnsi="Arial" w:cs="Arial"/>
          <w:sz w:val="21"/>
          <w:szCs w:val="21"/>
        </w:rPr>
        <w:t xml:space="preserve"> </w:t>
      </w:r>
    </w:p>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（二）设定条件</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估价结果中的房地产租金价格是指估价对象</w:t>
      </w:r>
      <w:r w:rsidRPr="0043038D">
        <w:rPr>
          <w:rFonts w:ascii="Arial" w:hAnsi="Arial" w:cs="Arial" w:hint="eastAsia"/>
          <w:sz w:val="21"/>
          <w:szCs w:val="21"/>
        </w:rPr>
        <w:t>房地产于价值时点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w:t>
      </w:r>
      <w:r w:rsidRPr="0043038D">
        <w:rPr>
          <w:rFonts w:ascii="Arial" w:hAnsi="Arial" w:cs="Arial"/>
          <w:sz w:val="21"/>
          <w:szCs w:val="21"/>
        </w:rPr>
        <w:t>估价对象在规划利用条件及下述设定条件</w:t>
      </w:r>
      <w:proofErr w:type="gramStart"/>
      <w:r w:rsidRPr="0043038D">
        <w:rPr>
          <w:rFonts w:ascii="Arial" w:hAnsi="Arial" w:cs="Arial"/>
          <w:sz w:val="21"/>
          <w:szCs w:val="21"/>
        </w:rPr>
        <w:t>下</w:t>
      </w:r>
      <w:r w:rsidRPr="0043038D">
        <w:rPr>
          <w:rFonts w:ascii="Arial" w:hAnsi="Arial" w:cs="Arial" w:hint="eastAsia"/>
          <w:sz w:val="21"/>
          <w:szCs w:val="21"/>
        </w:rPr>
        <w:t>项目</w:t>
      </w:r>
      <w:proofErr w:type="gramEnd"/>
      <w:r w:rsidRPr="0043038D">
        <w:rPr>
          <w:rFonts w:ascii="Arial" w:hAnsi="Arial" w:cs="Arial" w:hint="eastAsia"/>
          <w:sz w:val="21"/>
          <w:szCs w:val="21"/>
        </w:rPr>
        <w:t>同地段、同品质住宅（住宅型）房地产</w:t>
      </w:r>
      <w:r w:rsidRPr="0043038D">
        <w:rPr>
          <w:rFonts w:ascii="Arial" w:hAnsi="Arial" w:cs="Arial"/>
          <w:sz w:val="21"/>
          <w:szCs w:val="21"/>
        </w:rPr>
        <w:t>的市场租金价格：</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租金估价结果</w:t>
      </w:r>
      <w:r w:rsidRPr="0043038D">
        <w:rPr>
          <w:rFonts w:ascii="Arial" w:hAnsi="Arial" w:cs="Arial" w:hint="eastAsia"/>
          <w:sz w:val="21"/>
          <w:szCs w:val="21"/>
        </w:rPr>
        <w:t>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w:t>
      </w:r>
      <w:r w:rsidRPr="0043038D">
        <w:rPr>
          <w:rFonts w:ascii="Arial" w:hAnsi="Arial" w:cs="Arial" w:hint="eastAsia"/>
          <w:sz w:val="21"/>
          <w:szCs w:val="21"/>
        </w:rPr>
        <w:lastRenderedPageBreak/>
        <w:t>维修等费用）、增值服务费（例如室内保洁、室内人为损坏维修、洗衣、送餐等费用）、能源费（包括公区能源费及室内能源费，例如水、电、气、暖、中央空调、网络等费用）、车位使用费等费用。</w:t>
      </w:r>
    </w:p>
    <w:p w:rsidR="000E5655" w:rsidRPr="0043038D" w:rsidRDefault="000E5655">
      <w:pPr>
        <w:spacing w:line="480" w:lineRule="auto"/>
        <w:ind w:firstLineChars="200" w:firstLine="420"/>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8225819"/>
      <w:bookmarkStart w:id="33" w:name="_Toc155267092"/>
      <w:r w:rsidRPr="0043038D">
        <w:rPr>
          <w:rFonts w:eastAsia="宋体"/>
          <w:kern w:val="2"/>
          <w:sz w:val="21"/>
          <w:szCs w:val="21"/>
        </w:rPr>
        <w:t>七、估价原则</w:t>
      </w:r>
      <w:bookmarkEnd w:id="32"/>
      <w:bookmarkEnd w:id="33"/>
    </w:p>
    <w:p w:rsidR="000E5655" w:rsidRPr="0043038D" w:rsidRDefault="00837133">
      <w:pPr>
        <w:wordWrap w:val="0"/>
        <w:overflowPunct w:val="0"/>
        <w:spacing w:line="480" w:lineRule="auto"/>
        <w:ind w:firstLineChars="202" w:firstLine="424"/>
        <w:jc w:val="both"/>
        <w:textAlignment w:val="auto"/>
        <w:rPr>
          <w:rFonts w:ascii="Arial" w:hAnsi="Arial" w:cs="Arial"/>
          <w:sz w:val="21"/>
          <w:szCs w:val="21"/>
        </w:rPr>
      </w:pPr>
      <w:r w:rsidRPr="0043038D">
        <w:rPr>
          <w:rFonts w:ascii="Arial" w:hAnsi="Arial" w:cs="Arial"/>
          <w:sz w:val="21"/>
          <w:szCs w:val="21"/>
        </w:rPr>
        <w:t>我们在本次估价时遵循了以下原则：</w:t>
      </w:r>
      <w:r w:rsidRPr="0043038D">
        <w:rPr>
          <w:rFonts w:ascii="Arial" w:hAnsi="Arial" w:cs="Arial"/>
          <w:sz w:val="21"/>
          <w:szCs w:val="21"/>
        </w:rPr>
        <w:t xml:space="preserve"> </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（一）独立、客观、公正原则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独立、客观、公正原则要求</w:t>
      </w:r>
      <w:r w:rsidRPr="0043038D">
        <w:rPr>
          <w:rFonts w:ascii="Arial" w:hAnsi="Arial" w:cs="Arial" w:hint="eastAsia"/>
          <w:sz w:val="21"/>
          <w:szCs w:val="21"/>
        </w:rPr>
        <w:t>评估专业人员</w:t>
      </w:r>
      <w:r w:rsidRPr="0043038D">
        <w:rPr>
          <w:rFonts w:ascii="Arial" w:hAnsi="Arial" w:cs="Arial"/>
          <w:sz w:val="21"/>
          <w:szCs w:val="21"/>
        </w:rPr>
        <w:t>站在中立的立场上，评估出对各方当事人来说均是公平合理的价格。独立、客观、公正原则是房地产估价的基本原则，也是房地产估价中的最高行为准则。</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（二）</w:t>
      </w:r>
      <w:r w:rsidRPr="0043038D">
        <w:rPr>
          <w:rFonts w:ascii="Arial" w:hAnsi="Arial" w:cs="Arial" w:hint="eastAsia"/>
          <w:b/>
          <w:sz w:val="21"/>
          <w:szCs w:val="21"/>
        </w:rPr>
        <w:t>合法原则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43038D">
        <w:rPr>
          <w:rFonts w:ascii="Arial" w:hAnsi="Arial" w:cs="Arial" w:hint="eastAsia"/>
          <w:sz w:val="21"/>
          <w:szCs w:val="21"/>
        </w:rPr>
        <w:t>等允许</w:t>
      </w:r>
      <w:proofErr w:type="gramEnd"/>
      <w:r w:rsidRPr="0043038D">
        <w:rPr>
          <w:rFonts w:ascii="Arial" w:hAnsi="Arial" w:cs="Arial" w:hint="eastAsia"/>
          <w:sz w:val="21"/>
          <w:szCs w:val="21"/>
        </w:rPr>
        <w:t>的处分方式为依据；在其他方面，如评估出的价格必须符合国家的价格政策。</w:t>
      </w:r>
    </w:p>
    <w:p w:rsidR="000E5655" w:rsidRPr="0043038D" w:rsidRDefault="00837133">
      <w:pPr>
        <w:wordWrap w:val="0"/>
        <w:overflowPunct w:val="0"/>
        <w:spacing w:line="480" w:lineRule="auto"/>
        <w:ind w:firstLineChars="200" w:firstLine="420"/>
        <w:jc w:val="both"/>
        <w:textAlignment w:val="auto"/>
        <w:rPr>
          <w:rFonts w:ascii="Arial" w:hAnsi="Arial" w:cs="Arial"/>
          <w:b/>
          <w:sz w:val="21"/>
          <w:szCs w:val="21"/>
        </w:rPr>
      </w:pPr>
      <w:r w:rsidRPr="0043038D">
        <w:rPr>
          <w:rFonts w:ascii="Arial" w:hAnsi="Arial" w:cs="Arial" w:hint="eastAsia"/>
          <w:sz w:val="21"/>
          <w:szCs w:val="21"/>
        </w:rPr>
        <w:t>估价对象已取得《国有建设用地使用权出让合同（正文）》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w:t>
      </w: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、《建设工程规划许可证》</w:t>
      </w:r>
      <w:r w:rsidRPr="0043038D">
        <w:rPr>
          <w:rFonts w:ascii="Arial" w:hAnsi="Arial" w:cs="Arial" w:hint="eastAsia"/>
          <w:sz w:val="21"/>
          <w:szCs w:val="21"/>
        </w:rPr>
        <w:t>[2022</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w:t>
      </w:r>
      <w:r w:rsidRPr="0043038D">
        <w:rPr>
          <w:rFonts w:ascii="Arial" w:hAnsi="Arial" w:cs="Arial" w:hint="eastAsia"/>
          <w:kern w:val="2"/>
          <w:sz w:val="21"/>
          <w:szCs w:val="21"/>
        </w:rPr>
        <w:t>、</w:t>
      </w: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proofErr w:type="gramStart"/>
      <w:r w:rsidRPr="0043038D">
        <w:rPr>
          <w:rFonts w:ascii="Arial" w:hAnsi="Arial" w:cs="Arial" w:hint="eastAsia"/>
          <w:sz w:val="21"/>
          <w:szCs w:val="21"/>
        </w:rPr>
        <w:t>大竣</w:t>
      </w:r>
      <w:proofErr w:type="gramEnd"/>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kern w:val="2"/>
          <w:sz w:val="21"/>
          <w:szCs w:val="21"/>
        </w:rPr>
        <w:t>，产权合法，使用合法。</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hint="eastAsia"/>
          <w:b/>
          <w:sz w:val="21"/>
          <w:szCs w:val="21"/>
        </w:rPr>
        <w:t>（三）</w:t>
      </w:r>
      <w:r w:rsidRPr="0043038D">
        <w:rPr>
          <w:rFonts w:ascii="Arial" w:hAnsi="Arial" w:cs="Arial"/>
          <w:b/>
          <w:sz w:val="21"/>
          <w:szCs w:val="21"/>
        </w:rPr>
        <w:t>最高</w:t>
      </w:r>
      <w:proofErr w:type="gramStart"/>
      <w:r w:rsidRPr="0043038D">
        <w:rPr>
          <w:rFonts w:ascii="Arial" w:hAnsi="Arial" w:cs="Arial"/>
          <w:b/>
          <w:sz w:val="21"/>
          <w:szCs w:val="21"/>
        </w:rPr>
        <w:t>最佳利用</w:t>
      </w:r>
      <w:proofErr w:type="gramEnd"/>
      <w:r w:rsidRPr="0043038D">
        <w:rPr>
          <w:rFonts w:ascii="Arial" w:hAnsi="Arial" w:cs="Arial"/>
          <w:b/>
          <w:sz w:val="21"/>
          <w:szCs w:val="21"/>
        </w:rPr>
        <w:t>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43038D">
        <w:rPr>
          <w:rFonts w:ascii="Arial" w:hAnsi="Arial" w:cs="Arial"/>
          <w:sz w:val="21"/>
          <w:szCs w:val="21"/>
        </w:rPr>
        <w:t>最佳利用</w:t>
      </w:r>
      <w:proofErr w:type="gramEnd"/>
      <w:r w:rsidRPr="0043038D">
        <w:rPr>
          <w:rFonts w:ascii="Arial" w:hAnsi="Arial" w:cs="Arial"/>
          <w:sz w:val="21"/>
          <w:szCs w:val="21"/>
        </w:rPr>
        <w:t>是在法律上可行、技术上可能、经济上可行，经过充分合理的论证，能使估价对象价值达到最大、最可能的使用。</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lastRenderedPageBreak/>
        <w:t>（</w:t>
      </w:r>
      <w:r w:rsidRPr="0043038D">
        <w:rPr>
          <w:rFonts w:ascii="Arial" w:hAnsi="Arial" w:cs="Arial" w:hint="eastAsia"/>
          <w:b/>
          <w:sz w:val="21"/>
          <w:szCs w:val="21"/>
        </w:rPr>
        <w:t>四</w:t>
      </w:r>
      <w:r w:rsidRPr="0043038D">
        <w:rPr>
          <w:rFonts w:ascii="Arial" w:hAnsi="Arial" w:cs="Arial"/>
          <w:b/>
          <w:sz w:val="21"/>
          <w:szCs w:val="21"/>
        </w:rPr>
        <w:t>）替代原则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43038D">
        <w:rPr>
          <w:rFonts w:ascii="Arial" w:hAnsi="Arial" w:cs="Arial"/>
          <w:sz w:val="21"/>
          <w:szCs w:val="21"/>
        </w:rPr>
        <w:t>该客观</w:t>
      </w:r>
      <w:proofErr w:type="gramEnd"/>
      <w:r w:rsidRPr="0043038D">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五</w:t>
      </w:r>
      <w:r w:rsidRPr="0043038D">
        <w:rPr>
          <w:rFonts w:ascii="Arial" w:hAnsi="Arial" w:cs="Arial"/>
          <w:b/>
          <w:sz w:val="21"/>
          <w:szCs w:val="21"/>
        </w:rPr>
        <w:t>）价值时点原则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hint="eastAsia"/>
          <w:b/>
          <w:sz w:val="21"/>
          <w:szCs w:val="21"/>
        </w:rPr>
        <w:t>（六）一贯性原则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在不同时间为了同一估价目的对同一或同类房地产再次或多次进行估价时，应采用相同的估价方法或对待方式。</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155267093"/>
      <w:r w:rsidRPr="0043038D">
        <w:rPr>
          <w:rFonts w:eastAsia="宋体"/>
          <w:kern w:val="2"/>
          <w:sz w:val="21"/>
          <w:szCs w:val="21"/>
        </w:rPr>
        <w:t>八、估价</w:t>
      </w:r>
      <w:bookmarkEnd w:id="34"/>
      <w:r w:rsidRPr="0043038D">
        <w:rPr>
          <w:rFonts w:eastAsia="宋体"/>
          <w:kern w:val="2"/>
          <w:sz w:val="21"/>
          <w:szCs w:val="21"/>
        </w:rPr>
        <w:t>依据</w:t>
      </w:r>
      <w:bookmarkEnd w:id="35"/>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（一）有关的法律、法规</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 xml:space="preserve">1. </w:t>
      </w:r>
      <w:r w:rsidRPr="0043038D">
        <w:rPr>
          <w:rFonts w:ascii="Arial" w:hAnsi="Arial" w:cs="Arial" w:hint="eastAsia"/>
          <w:sz w:val="21"/>
          <w:szCs w:val="21"/>
        </w:rPr>
        <w:t>《中华人民共和国土地管理法》（</w:t>
      </w:r>
      <w:r w:rsidRPr="0043038D">
        <w:rPr>
          <w:rFonts w:ascii="Arial" w:hAnsi="Arial" w:cs="Arial" w:hint="eastAsia"/>
          <w:sz w:val="21"/>
          <w:szCs w:val="21"/>
        </w:rPr>
        <w:t>1986</w:t>
      </w:r>
      <w:r w:rsidRPr="0043038D">
        <w:rPr>
          <w:rFonts w:ascii="Arial" w:hAnsi="Arial" w:cs="Arial" w:hint="eastAsia"/>
          <w:sz w:val="21"/>
          <w:szCs w:val="21"/>
        </w:rPr>
        <w:t>年</w:t>
      </w:r>
      <w:r w:rsidRPr="0043038D">
        <w:rPr>
          <w:rFonts w:ascii="Arial" w:hAnsi="Arial" w:cs="Arial" w:hint="eastAsia"/>
          <w:sz w:val="21"/>
          <w:szCs w:val="21"/>
        </w:rPr>
        <w:t>6</w:t>
      </w:r>
      <w:r w:rsidRPr="0043038D">
        <w:rPr>
          <w:rFonts w:ascii="Arial" w:hAnsi="Arial" w:cs="Arial" w:hint="eastAsia"/>
          <w:sz w:val="21"/>
          <w:szCs w:val="21"/>
        </w:rPr>
        <w:t>月</w:t>
      </w:r>
      <w:r w:rsidRPr="0043038D">
        <w:rPr>
          <w:rFonts w:ascii="Arial" w:hAnsi="Arial" w:cs="Arial" w:hint="eastAsia"/>
          <w:sz w:val="21"/>
          <w:szCs w:val="21"/>
        </w:rPr>
        <w:t>25</w:t>
      </w:r>
      <w:r w:rsidRPr="0043038D">
        <w:rPr>
          <w:rFonts w:ascii="Arial" w:hAnsi="Arial" w:cs="Arial" w:hint="eastAsia"/>
          <w:sz w:val="21"/>
          <w:szCs w:val="21"/>
        </w:rPr>
        <w:t>日第六届全国人民代表大会常务委员会第十六次会议通过，中华人民共和国主席令第</w:t>
      </w:r>
      <w:r w:rsidRPr="0043038D">
        <w:rPr>
          <w:rFonts w:ascii="Arial" w:hAnsi="Arial" w:cs="Arial" w:hint="eastAsia"/>
          <w:sz w:val="21"/>
          <w:szCs w:val="21"/>
        </w:rPr>
        <w:t>41</w:t>
      </w:r>
      <w:r w:rsidRPr="0043038D">
        <w:rPr>
          <w:rFonts w:ascii="Arial" w:hAnsi="Arial" w:cs="Arial" w:hint="eastAsia"/>
          <w:sz w:val="21"/>
          <w:szCs w:val="21"/>
        </w:rPr>
        <w:t>号公布，</w:t>
      </w:r>
      <w:r w:rsidRPr="0043038D">
        <w:rPr>
          <w:rFonts w:ascii="Arial" w:hAnsi="Arial" w:cs="Arial" w:hint="eastAsia"/>
          <w:sz w:val="21"/>
          <w:szCs w:val="21"/>
        </w:rPr>
        <w:t>1987</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1988</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日第七届全国人民代表大会常务委员会第五次会议第一次修正通过，自</w:t>
      </w:r>
      <w:r w:rsidRPr="0043038D">
        <w:rPr>
          <w:rFonts w:ascii="Arial" w:hAnsi="Arial" w:cs="Arial" w:hint="eastAsia"/>
          <w:sz w:val="21"/>
          <w:szCs w:val="21"/>
        </w:rPr>
        <w:t>1988</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日起施行；</w:t>
      </w:r>
      <w:r w:rsidRPr="0043038D">
        <w:rPr>
          <w:rFonts w:ascii="Arial" w:hAnsi="Arial" w:cs="Arial" w:hint="eastAsia"/>
          <w:sz w:val="21"/>
          <w:szCs w:val="21"/>
        </w:rPr>
        <w:t>1998</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日第九届全国人民代表大会常务委员会第四次会议修订通过，中华人民共和国主席令第</w:t>
      </w:r>
      <w:r w:rsidRPr="0043038D">
        <w:rPr>
          <w:rFonts w:ascii="Arial" w:hAnsi="Arial" w:cs="Arial" w:hint="eastAsia"/>
          <w:sz w:val="21"/>
          <w:szCs w:val="21"/>
        </w:rPr>
        <w:t>8</w:t>
      </w:r>
      <w:r w:rsidRPr="0043038D">
        <w:rPr>
          <w:rFonts w:ascii="Arial" w:hAnsi="Arial" w:cs="Arial" w:hint="eastAsia"/>
          <w:sz w:val="21"/>
          <w:szCs w:val="21"/>
        </w:rPr>
        <w:t>号公</w:t>
      </w:r>
      <w:r w:rsidRPr="0043038D">
        <w:rPr>
          <w:rFonts w:ascii="Arial" w:hAnsi="Arial" w:cs="Arial" w:hint="eastAsia"/>
          <w:sz w:val="21"/>
          <w:szCs w:val="21"/>
        </w:rPr>
        <w:lastRenderedPageBreak/>
        <w:t>布，自</w:t>
      </w:r>
      <w:r w:rsidRPr="0043038D">
        <w:rPr>
          <w:rFonts w:ascii="Arial" w:hAnsi="Arial" w:cs="Arial" w:hint="eastAsia"/>
          <w:sz w:val="21"/>
          <w:szCs w:val="21"/>
        </w:rPr>
        <w:t>1999</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2004</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28</w:t>
      </w:r>
      <w:r w:rsidRPr="0043038D">
        <w:rPr>
          <w:rFonts w:ascii="Arial" w:hAnsi="Arial" w:cs="Arial" w:hint="eastAsia"/>
          <w:sz w:val="21"/>
          <w:szCs w:val="21"/>
        </w:rPr>
        <w:t>日第十届全国人民代表大会常务委员会第十一次会议第二次修正通过，中华人民共和国主席令第</w:t>
      </w:r>
      <w:r w:rsidRPr="0043038D">
        <w:rPr>
          <w:rFonts w:ascii="Arial" w:hAnsi="Arial" w:cs="Arial" w:hint="eastAsia"/>
          <w:sz w:val="21"/>
          <w:szCs w:val="21"/>
        </w:rPr>
        <w:t>28</w:t>
      </w:r>
      <w:r w:rsidRPr="0043038D">
        <w:rPr>
          <w:rFonts w:ascii="Arial" w:hAnsi="Arial" w:cs="Arial" w:hint="eastAsia"/>
          <w:sz w:val="21"/>
          <w:szCs w:val="21"/>
        </w:rPr>
        <w:t>号公布，自公布起日起施行；</w:t>
      </w:r>
      <w:r w:rsidRPr="0043038D">
        <w:rPr>
          <w:rFonts w:ascii="Arial" w:hAnsi="Arial" w:cs="Arial" w:hint="eastAsia"/>
          <w:sz w:val="21"/>
          <w:szCs w:val="21"/>
        </w:rPr>
        <w:t>2019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26</w:t>
      </w:r>
      <w:r w:rsidRPr="0043038D">
        <w:rPr>
          <w:rFonts w:ascii="Arial" w:hAnsi="Arial" w:cs="Arial" w:hint="eastAsia"/>
          <w:sz w:val="21"/>
          <w:szCs w:val="21"/>
        </w:rPr>
        <w:t>日第十三届全国人民代表大会常务委员会第十二次会议第三次修正通过，自</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hint="eastAsia"/>
          <w:sz w:val="21"/>
          <w:szCs w:val="21"/>
        </w:rPr>
        <w:t>《中华人民共和国资产评估法》（</w:t>
      </w:r>
      <w:r w:rsidRPr="0043038D">
        <w:rPr>
          <w:rFonts w:ascii="Arial" w:hAnsi="Arial" w:cs="Arial" w:hint="eastAsia"/>
          <w:sz w:val="21"/>
          <w:szCs w:val="21"/>
        </w:rPr>
        <w:t>2016</w:t>
      </w:r>
      <w:r w:rsidRPr="0043038D">
        <w:rPr>
          <w:rFonts w:ascii="Arial" w:hAnsi="Arial" w:cs="Arial" w:hint="eastAsia"/>
          <w:sz w:val="21"/>
          <w:szCs w:val="21"/>
        </w:rPr>
        <w:t>年</w:t>
      </w:r>
      <w:r w:rsidRPr="0043038D">
        <w:rPr>
          <w:rFonts w:ascii="Arial" w:hAnsi="Arial" w:cs="Arial" w:hint="eastAsia"/>
          <w:sz w:val="21"/>
          <w:szCs w:val="21"/>
        </w:rPr>
        <w:t>7</w:t>
      </w:r>
      <w:r w:rsidRPr="0043038D">
        <w:rPr>
          <w:rFonts w:ascii="Arial" w:hAnsi="Arial" w:cs="Arial" w:hint="eastAsia"/>
          <w:sz w:val="21"/>
          <w:szCs w:val="21"/>
        </w:rPr>
        <w:t>月</w:t>
      </w:r>
      <w:r w:rsidRPr="0043038D">
        <w:rPr>
          <w:rFonts w:ascii="Arial" w:hAnsi="Arial" w:cs="Arial" w:hint="eastAsia"/>
          <w:sz w:val="21"/>
          <w:szCs w:val="21"/>
        </w:rPr>
        <w:t>2</w:t>
      </w:r>
      <w:r w:rsidRPr="0043038D">
        <w:rPr>
          <w:rFonts w:ascii="Arial" w:hAnsi="Arial" w:cs="Arial" w:hint="eastAsia"/>
          <w:sz w:val="21"/>
          <w:szCs w:val="21"/>
        </w:rPr>
        <w:t>日第十二届全国人民代表大会常务委员会第二十一次会议通过</w:t>
      </w:r>
      <w:r w:rsidRPr="0043038D">
        <w:rPr>
          <w:rFonts w:ascii="Arial" w:hAnsi="Arial" w:cs="Arial" w:hint="eastAsia"/>
          <w:sz w:val="21"/>
          <w:szCs w:val="21"/>
        </w:rPr>
        <w:t xml:space="preserve"> 2016</w:t>
      </w:r>
      <w:r w:rsidRPr="0043038D">
        <w:rPr>
          <w:rFonts w:ascii="Arial" w:hAnsi="Arial" w:cs="Arial" w:hint="eastAsia"/>
          <w:sz w:val="21"/>
          <w:szCs w:val="21"/>
        </w:rPr>
        <w:t>年</w:t>
      </w:r>
      <w:r w:rsidRPr="0043038D">
        <w:rPr>
          <w:rFonts w:ascii="Arial" w:hAnsi="Arial" w:cs="Arial" w:hint="eastAsia"/>
          <w:sz w:val="21"/>
          <w:szCs w:val="21"/>
        </w:rPr>
        <w:t>3</w:t>
      </w:r>
      <w:r w:rsidRPr="0043038D">
        <w:rPr>
          <w:rFonts w:ascii="Arial" w:hAnsi="Arial" w:cs="Arial" w:hint="eastAsia"/>
          <w:sz w:val="21"/>
          <w:szCs w:val="21"/>
        </w:rPr>
        <w:t>月</w:t>
      </w:r>
      <w:r w:rsidRPr="0043038D">
        <w:rPr>
          <w:rFonts w:ascii="Arial" w:hAnsi="Arial" w:cs="Arial" w:hint="eastAsia"/>
          <w:sz w:val="21"/>
          <w:szCs w:val="21"/>
        </w:rPr>
        <w:t>16</w:t>
      </w:r>
      <w:r w:rsidRPr="0043038D">
        <w:rPr>
          <w:rFonts w:ascii="Arial" w:hAnsi="Arial" w:cs="Arial" w:hint="eastAsia"/>
          <w:sz w:val="21"/>
          <w:szCs w:val="21"/>
        </w:rPr>
        <w:t>日中华人民共和国主席令第</w:t>
      </w:r>
      <w:r w:rsidRPr="0043038D">
        <w:rPr>
          <w:rFonts w:ascii="Arial" w:hAnsi="Arial" w:cs="Arial" w:hint="eastAsia"/>
          <w:sz w:val="21"/>
          <w:szCs w:val="21"/>
        </w:rPr>
        <w:t>46</w:t>
      </w:r>
      <w:r w:rsidRPr="0043038D">
        <w:rPr>
          <w:rFonts w:ascii="Arial" w:hAnsi="Arial" w:cs="Arial" w:hint="eastAsia"/>
          <w:sz w:val="21"/>
          <w:szCs w:val="21"/>
        </w:rPr>
        <w:t>号公布</w:t>
      </w:r>
      <w:r w:rsidRPr="0043038D">
        <w:rPr>
          <w:rFonts w:ascii="Arial" w:hAnsi="Arial" w:cs="Arial" w:hint="eastAsia"/>
          <w:sz w:val="21"/>
          <w:szCs w:val="21"/>
        </w:rPr>
        <w:t xml:space="preserve"> </w:t>
      </w:r>
      <w:r w:rsidRPr="0043038D">
        <w:rPr>
          <w:rFonts w:ascii="Arial" w:hAnsi="Arial" w:cs="Arial" w:hint="eastAsia"/>
          <w:sz w:val="21"/>
          <w:szCs w:val="21"/>
        </w:rPr>
        <w:t>自</w:t>
      </w:r>
      <w:r w:rsidRPr="0043038D">
        <w:rPr>
          <w:rFonts w:ascii="Arial" w:hAnsi="Arial" w:cs="Arial" w:hint="eastAsia"/>
          <w:sz w:val="21"/>
          <w:szCs w:val="21"/>
        </w:rPr>
        <w:t>2016</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hint="eastAsia"/>
          <w:sz w:val="21"/>
          <w:szCs w:val="21"/>
        </w:rPr>
        <w:t>《中华人民共和国城镇国有土地使用权出让和转让暂行条例》（</w:t>
      </w:r>
      <w:r w:rsidRPr="0043038D">
        <w:rPr>
          <w:rFonts w:ascii="Arial" w:hAnsi="Arial" w:cs="Arial" w:hint="eastAsia"/>
          <w:sz w:val="21"/>
          <w:szCs w:val="21"/>
        </w:rPr>
        <w:t>1</w:t>
      </w:r>
      <w:r w:rsidRPr="0043038D">
        <w:rPr>
          <w:rFonts w:ascii="Arial" w:hAnsi="Arial" w:cs="Arial"/>
          <w:sz w:val="21"/>
          <w:szCs w:val="21"/>
        </w:rPr>
        <w:t>990</w:t>
      </w:r>
      <w:r w:rsidRPr="0043038D">
        <w:rPr>
          <w:rFonts w:ascii="Arial" w:hAnsi="Arial" w:cs="Arial" w:hint="eastAsia"/>
          <w:sz w:val="21"/>
          <w:szCs w:val="21"/>
        </w:rPr>
        <w:t>年</w:t>
      </w:r>
      <w:r w:rsidRPr="0043038D">
        <w:rPr>
          <w:rFonts w:ascii="Arial" w:hAnsi="Arial" w:cs="Arial" w:hint="eastAsia"/>
          <w:sz w:val="21"/>
          <w:szCs w:val="21"/>
        </w:rPr>
        <w:t>5</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sz w:val="21"/>
          <w:szCs w:val="21"/>
        </w:rPr>
        <w:t>9</w:t>
      </w:r>
      <w:r w:rsidRPr="0043038D">
        <w:rPr>
          <w:rFonts w:ascii="Arial" w:hAnsi="Arial" w:cs="Arial" w:hint="eastAsia"/>
          <w:sz w:val="21"/>
          <w:szCs w:val="21"/>
        </w:rPr>
        <w:t>日中华人民共和国国务院令第</w:t>
      </w:r>
      <w:r w:rsidRPr="0043038D">
        <w:rPr>
          <w:rFonts w:ascii="Arial" w:hAnsi="Arial" w:cs="Arial" w:hint="eastAsia"/>
          <w:sz w:val="21"/>
          <w:szCs w:val="21"/>
        </w:rPr>
        <w:t>5</w:t>
      </w:r>
      <w:r w:rsidRPr="0043038D">
        <w:rPr>
          <w:rFonts w:ascii="Arial" w:hAnsi="Arial" w:cs="Arial"/>
          <w:sz w:val="21"/>
          <w:szCs w:val="21"/>
        </w:rPr>
        <w:t>5</w:t>
      </w:r>
      <w:r w:rsidRPr="0043038D">
        <w:rPr>
          <w:rFonts w:ascii="Arial" w:hAnsi="Arial" w:cs="Arial" w:hint="eastAsia"/>
          <w:sz w:val="21"/>
          <w:szCs w:val="21"/>
        </w:rPr>
        <w:t>号发布　根据</w:t>
      </w:r>
      <w:r w:rsidRPr="0043038D">
        <w:rPr>
          <w:rFonts w:ascii="Arial" w:hAnsi="Arial" w:cs="Arial" w:hint="eastAsia"/>
          <w:sz w:val="21"/>
          <w:szCs w:val="21"/>
        </w:rPr>
        <w:t>2</w:t>
      </w:r>
      <w:r w:rsidRPr="0043038D">
        <w:rPr>
          <w:rFonts w:ascii="Arial" w:hAnsi="Arial" w:cs="Arial"/>
          <w:sz w:val="21"/>
          <w:szCs w:val="21"/>
        </w:rPr>
        <w:t>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sz w:val="21"/>
          <w:szCs w:val="21"/>
        </w:rPr>
        <w:t>1</w:t>
      </w:r>
      <w:r w:rsidRPr="0043038D">
        <w:rPr>
          <w:rFonts w:ascii="Arial" w:hAnsi="Arial" w:cs="Arial" w:hint="eastAsia"/>
          <w:sz w:val="21"/>
          <w:szCs w:val="21"/>
        </w:rPr>
        <w:t>月</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日《国务院关于修改和废止部分行政法规的决定》修订）</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hint="eastAsia"/>
          <w:sz w:val="21"/>
          <w:szCs w:val="21"/>
        </w:rPr>
        <w:t>《中华人民共和国民法典》（</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5</w:t>
      </w:r>
      <w:r w:rsidRPr="0043038D">
        <w:rPr>
          <w:rFonts w:ascii="Arial" w:hAnsi="Arial" w:cs="Arial" w:hint="eastAsia"/>
          <w:sz w:val="21"/>
          <w:szCs w:val="21"/>
        </w:rPr>
        <w:t>月</w:t>
      </w:r>
      <w:r w:rsidRPr="0043038D">
        <w:rPr>
          <w:rFonts w:ascii="Arial" w:hAnsi="Arial" w:cs="Arial" w:hint="eastAsia"/>
          <w:sz w:val="21"/>
          <w:szCs w:val="21"/>
        </w:rPr>
        <w:t>28</w:t>
      </w:r>
      <w:r w:rsidRPr="0043038D">
        <w:rPr>
          <w:rFonts w:ascii="Arial" w:hAnsi="Arial" w:cs="Arial" w:hint="eastAsia"/>
          <w:sz w:val="21"/>
          <w:szCs w:val="21"/>
        </w:rPr>
        <w:t>日第十三届全国人大三次会议表决通过，自</w:t>
      </w:r>
      <w:r w:rsidRPr="0043038D">
        <w:rPr>
          <w:rFonts w:ascii="Arial" w:hAnsi="Arial" w:cs="Arial" w:hint="eastAsia"/>
          <w:sz w:val="21"/>
          <w:szCs w:val="21"/>
        </w:rPr>
        <w:t>2021</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5.</w:t>
      </w:r>
      <w:r w:rsidRPr="0043038D">
        <w:rPr>
          <w:rFonts w:ascii="Arial" w:hAnsi="Arial" w:cs="Arial" w:hint="eastAsia"/>
          <w:sz w:val="21"/>
          <w:szCs w:val="21"/>
        </w:rPr>
        <w:t>《中华人民共和国城市房地产管理法》（</w:t>
      </w:r>
      <w:r w:rsidRPr="0043038D">
        <w:rPr>
          <w:rFonts w:ascii="Arial" w:hAnsi="Arial" w:cs="Arial" w:hint="eastAsia"/>
          <w:sz w:val="21"/>
          <w:szCs w:val="21"/>
        </w:rPr>
        <w:t>1994</w:t>
      </w:r>
      <w:r w:rsidRPr="0043038D">
        <w:rPr>
          <w:rFonts w:ascii="Arial" w:hAnsi="Arial" w:cs="Arial" w:hint="eastAsia"/>
          <w:sz w:val="21"/>
          <w:szCs w:val="21"/>
        </w:rPr>
        <w:t>年</w:t>
      </w:r>
      <w:r w:rsidRPr="0043038D">
        <w:rPr>
          <w:rFonts w:ascii="Arial" w:hAnsi="Arial" w:cs="Arial" w:hint="eastAsia"/>
          <w:sz w:val="21"/>
          <w:szCs w:val="21"/>
        </w:rPr>
        <w:t>7</w:t>
      </w:r>
      <w:r w:rsidRPr="0043038D">
        <w:rPr>
          <w:rFonts w:ascii="Arial" w:hAnsi="Arial" w:cs="Arial" w:hint="eastAsia"/>
          <w:sz w:val="21"/>
          <w:szCs w:val="21"/>
        </w:rPr>
        <w:t>月</w:t>
      </w:r>
      <w:r w:rsidRPr="0043038D">
        <w:rPr>
          <w:rFonts w:ascii="Arial" w:hAnsi="Arial" w:cs="Arial" w:hint="eastAsia"/>
          <w:sz w:val="21"/>
          <w:szCs w:val="21"/>
        </w:rPr>
        <w:t>5</w:t>
      </w:r>
      <w:r w:rsidRPr="0043038D">
        <w:rPr>
          <w:rFonts w:ascii="Arial" w:hAnsi="Arial" w:cs="Arial" w:hint="eastAsia"/>
          <w:sz w:val="21"/>
          <w:szCs w:val="21"/>
        </w:rPr>
        <w:t>日第八届全国人民代表大会常务委员会第八次会议通过，中华人民共和国主席令第</w:t>
      </w:r>
      <w:r w:rsidRPr="0043038D">
        <w:rPr>
          <w:rFonts w:ascii="Arial" w:hAnsi="Arial" w:cs="Arial" w:hint="eastAsia"/>
          <w:sz w:val="21"/>
          <w:szCs w:val="21"/>
        </w:rPr>
        <w:t>29</w:t>
      </w:r>
      <w:r w:rsidRPr="0043038D">
        <w:rPr>
          <w:rFonts w:ascii="Arial" w:hAnsi="Arial" w:cs="Arial" w:hint="eastAsia"/>
          <w:sz w:val="21"/>
          <w:szCs w:val="21"/>
        </w:rPr>
        <w:t>号公布，自</w:t>
      </w:r>
      <w:r w:rsidRPr="0043038D">
        <w:rPr>
          <w:rFonts w:ascii="Arial" w:hAnsi="Arial" w:cs="Arial" w:hint="eastAsia"/>
          <w:sz w:val="21"/>
          <w:szCs w:val="21"/>
        </w:rPr>
        <w:t>1995</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2007</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30</w:t>
      </w:r>
      <w:r w:rsidRPr="0043038D">
        <w:rPr>
          <w:rFonts w:ascii="Arial" w:hAnsi="Arial" w:cs="Arial" w:hint="eastAsia"/>
          <w:sz w:val="21"/>
          <w:szCs w:val="21"/>
        </w:rPr>
        <w:t>日第十届全国人民代表大会常务委员会第二十九次会议通过第一次修正通过，中华人民共和国主席令第</w:t>
      </w:r>
      <w:r w:rsidRPr="0043038D">
        <w:rPr>
          <w:rFonts w:ascii="Arial" w:hAnsi="Arial" w:cs="Arial" w:hint="eastAsia"/>
          <w:sz w:val="21"/>
          <w:szCs w:val="21"/>
        </w:rPr>
        <w:t>72</w:t>
      </w:r>
      <w:r w:rsidRPr="0043038D">
        <w:rPr>
          <w:rFonts w:ascii="Arial" w:hAnsi="Arial" w:cs="Arial" w:hint="eastAsia"/>
          <w:sz w:val="21"/>
          <w:szCs w:val="21"/>
        </w:rPr>
        <w:t>号公布，自公布之日起施行；</w:t>
      </w:r>
      <w:r w:rsidRPr="0043038D">
        <w:rPr>
          <w:rFonts w:ascii="Arial" w:hAnsi="Arial" w:cs="Arial" w:hint="eastAsia"/>
          <w:sz w:val="21"/>
          <w:szCs w:val="21"/>
        </w:rPr>
        <w:t>2009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27</w:t>
      </w:r>
      <w:r w:rsidRPr="0043038D">
        <w:rPr>
          <w:rFonts w:ascii="Arial" w:hAnsi="Arial" w:cs="Arial" w:hint="eastAsia"/>
          <w:sz w:val="21"/>
          <w:szCs w:val="21"/>
        </w:rPr>
        <w:t>日第十一届全国人民代表大会常务委员会第十次会议第二次修正通过，中华人民共和国主席令第</w:t>
      </w:r>
      <w:r w:rsidRPr="0043038D">
        <w:rPr>
          <w:rFonts w:ascii="Arial" w:hAnsi="Arial" w:cs="Arial" w:hint="eastAsia"/>
          <w:sz w:val="21"/>
          <w:szCs w:val="21"/>
        </w:rPr>
        <w:t>18</w:t>
      </w:r>
      <w:r w:rsidRPr="0043038D">
        <w:rPr>
          <w:rFonts w:ascii="Arial" w:hAnsi="Arial" w:cs="Arial" w:hint="eastAsia"/>
          <w:sz w:val="21"/>
          <w:szCs w:val="21"/>
        </w:rPr>
        <w:t>号公布，自公布之日起施行；</w:t>
      </w:r>
      <w:r w:rsidRPr="0043038D">
        <w:rPr>
          <w:rFonts w:ascii="Arial" w:hAnsi="Arial" w:cs="Arial" w:hint="eastAsia"/>
          <w:sz w:val="21"/>
          <w:szCs w:val="21"/>
        </w:rPr>
        <w:t>2019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26</w:t>
      </w:r>
      <w:r w:rsidRPr="0043038D">
        <w:rPr>
          <w:rFonts w:ascii="Arial" w:hAnsi="Arial" w:cs="Arial" w:hint="eastAsia"/>
          <w:sz w:val="21"/>
          <w:szCs w:val="21"/>
        </w:rPr>
        <w:t>日第十三届全国人大常委会第十二次会议通过第三次修正，自</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6</w:t>
      </w:r>
      <w:r w:rsidRPr="0043038D">
        <w:rPr>
          <w:rFonts w:ascii="Arial" w:hAnsi="Arial" w:cs="Arial"/>
          <w:sz w:val="21"/>
          <w:szCs w:val="21"/>
        </w:rPr>
        <w:t>.</w:t>
      </w:r>
      <w:r w:rsidRPr="0043038D">
        <w:rPr>
          <w:rFonts w:ascii="Arial" w:hAnsi="Arial" w:cs="Arial" w:hint="eastAsia"/>
          <w:sz w:val="21"/>
          <w:szCs w:val="21"/>
        </w:rPr>
        <w:t>《关于完善住房租赁有关税收政策的公告》（财务部</w:t>
      </w:r>
      <w:r w:rsidRPr="0043038D">
        <w:rPr>
          <w:rFonts w:ascii="Arial" w:hAnsi="Arial" w:cs="Arial" w:hint="eastAsia"/>
          <w:sz w:val="21"/>
          <w:szCs w:val="21"/>
        </w:rPr>
        <w:t xml:space="preserve"> </w:t>
      </w:r>
      <w:r w:rsidRPr="0043038D">
        <w:rPr>
          <w:rFonts w:ascii="Arial" w:hAnsi="Arial" w:cs="Arial" w:hint="eastAsia"/>
          <w:sz w:val="21"/>
          <w:szCs w:val="21"/>
        </w:rPr>
        <w:t>税务总局</w:t>
      </w:r>
      <w:r w:rsidRPr="0043038D">
        <w:rPr>
          <w:rFonts w:ascii="Arial" w:hAnsi="Arial" w:cs="Arial" w:hint="eastAsia"/>
          <w:sz w:val="21"/>
          <w:szCs w:val="21"/>
        </w:rPr>
        <w:t xml:space="preserve"> </w:t>
      </w:r>
      <w:r w:rsidRPr="0043038D">
        <w:rPr>
          <w:rFonts w:ascii="Arial" w:hAnsi="Arial" w:cs="Arial" w:hint="eastAsia"/>
          <w:sz w:val="21"/>
          <w:szCs w:val="21"/>
        </w:rPr>
        <w:t>住房城乡建设部公告</w:t>
      </w:r>
      <w:r w:rsidRPr="0043038D">
        <w:rPr>
          <w:rFonts w:ascii="Arial" w:hAnsi="Arial" w:cs="Arial" w:hint="eastAsia"/>
          <w:sz w:val="21"/>
          <w:szCs w:val="21"/>
        </w:rPr>
        <w:t>2</w:t>
      </w:r>
      <w:r w:rsidRPr="0043038D">
        <w:rPr>
          <w:rFonts w:ascii="Arial" w:hAnsi="Arial" w:cs="Arial"/>
          <w:sz w:val="21"/>
          <w:szCs w:val="21"/>
        </w:rPr>
        <w:t>021</w:t>
      </w:r>
      <w:r w:rsidRPr="0043038D">
        <w:rPr>
          <w:rFonts w:ascii="Arial" w:hAnsi="Arial" w:cs="Arial" w:hint="eastAsia"/>
          <w:sz w:val="21"/>
          <w:szCs w:val="21"/>
        </w:rPr>
        <w:t>年第</w:t>
      </w:r>
      <w:r w:rsidRPr="0043038D">
        <w:rPr>
          <w:rFonts w:ascii="Arial" w:hAnsi="Arial" w:cs="Arial" w:hint="eastAsia"/>
          <w:sz w:val="21"/>
          <w:szCs w:val="21"/>
        </w:rPr>
        <w:t>2</w:t>
      </w:r>
      <w:r w:rsidRPr="0043038D">
        <w:rPr>
          <w:rFonts w:ascii="Arial" w:hAnsi="Arial" w:cs="Arial"/>
          <w:sz w:val="21"/>
          <w:szCs w:val="21"/>
        </w:rPr>
        <w:t>4</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7</w:t>
      </w:r>
      <w:r w:rsidRPr="0043038D">
        <w:rPr>
          <w:rFonts w:ascii="Arial" w:hAnsi="Arial" w:cs="Arial"/>
          <w:sz w:val="21"/>
          <w:szCs w:val="21"/>
        </w:rPr>
        <w:t>.</w:t>
      </w:r>
      <w:r w:rsidRPr="0043038D">
        <w:rPr>
          <w:rFonts w:hint="eastAsia"/>
        </w:rPr>
        <w:t xml:space="preserve"> </w:t>
      </w:r>
      <w:r w:rsidRPr="0043038D">
        <w:rPr>
          <w:rFonts w:hint="eastAsia"/>
        </w:rPr>
        <w:t>《</w:t>
      </w:r>
      <w:r w:rsidRPr="0043038D">
        <w:rPr>
          <w:rFonts w:ascii="Arial" w:hAnsi="Arial" w:cs="Arial" w:hint="eastAsia"/>
          <w:sz w:val="21"/>
          <w:szCs w:val="21"/>
        </w:rPr>
        <w:t>国务院办公厅关于加快发展保障性租赁住房的意见</w:t>
      </w:r>
      <w:r w:rsidRPr="0043038D">
        <w:rPr>
          <w:rFonts w:hint="eastAsia"/>
        </w:rPr>
        <w:t>》</w:t>
      </w:r>
      <w:r w:rsidRPr="0043038D">
        <w:rPr>
          <w:rFonts w:ascii="Arial" w:hAnsi="Arial" w:cs="Arial" w:hint="eastAsia"/>
          <w:sz w:val="21"/>
          <w:szCs w:val="21"/>
        </w:rPr>
        <w:t>（国办发〔</w:t>
      </w:r>
      <w:r w:rsidRPr="0043038D">
        <w:rPr>
          <w:rFonts w:ascii="Arial" w:hAnsi="Arial" w:cs="Arial" w:hint="eastAsia"/>
          <w:sz w:val="21"/>
          <w:szCs w:val="21"/>
        </w:rPr>
        <w:t>2021</w:t>
      </w:r>
      <w:r w:rsidRPr="0043038D">
        <w:rPr>
          <w:rFonts w:ascii="Arial" w:hAnsi="Arial" w:cs="Arial" w:hint="eastAsia"/>
          <w:sz w:val="21"/>
          <w:szCs w:val="21"/>
        </w:rPr>
        <w:t>〕</w:t>
      </w:r>
      <w:r w:rsidRPr="0043038D">
        <w:rPr>
          <w:rFonts w:ascii="Arial" w:hAnsi="Arial" w:cs="Arial" w:hint="eastAsia"/>
          <w:sz w:val="21"/>
          <w:szCs w:val="21"/>
        </w:rPr>
        <w:t>22</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hint="eastAsia"/>
        </w:rPr>
        <w:t xml:space="preserve"> </w:t>
      </w:r>
      <w:r w:rsidRPr="0043038D">
        <w:rPr>
          <w:rFonts w:ascii="Arial" w:hAnsi="Arial" w:cs="Arial" w:hint="eastAsia"/>
          <w:sz w:val="21"/>
          <w:szCs w:val="21"/>
        </w:rPr>
        <w:t>《北京市住房和城乡建设委员会等四部门关于进一步规范本市新供住宅项目配建公租房、保障性租赁住房工作的通知》（京建发〔</w:t>
      </w:r>
      <w:r w:rsidRPr="0043038D">
        <w:rPr>
          <w:rFonts w:ascii="Arial" w:hAnsi="Arial" w:cs="Arial" w:hint="eastAsia"/>
          <w:sz w:val="21"/>
          <w:szCs w:val="21"/>
        </w:rPr>
        <w:t>2021</w:t>
      </w:r>
      <w:r w:rsidRPr="0043038D">
        <w:rPr>
          <w:rFonts w:ascii="Arial" w:hAnsi="Arial" w:cs="Arial" w:hint="eastAsia"/>
          <w:sz w:val="21"/>
          <w:szCs w:val="21"/>
        </w:rPr>
        <w:t>〕</w:t>
      </w:r>
      <w:r w:rsidRPr="0043038D">
        <w:rPr>
          <w:rFonts w:ascii="Arial" w:hAnsi="Arial" w:cs="Arial" w:hint="eastAsia"/>
          <w:sz w:val="21"/>
          <w:szCs w:val="21"/>
        </w:rPr>
        <w:t>389</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9</w:t>
      </w:r>
      <w:r w:rsidRPr="0043038D">
        <w:rPr>
          <w:rFonts w:ascii="Arial" w:hAnsi="Arial" w:cs="Arial"/>
          <w:sz w:val="21"/>
          <w:szCs w:val="21"/>
        </w:rPr>
        <w:t>.</w:t>
      </w:r>
      <w:r w:rsidRPr="0043038D">
        <w:rPr>
          <w:rFonts w:ascii="Arial" w:hAnsi="Arial" w:cs="Arial" w:hint="eastAsia"/>
          <w:sz w:val="21"/>
          <w:szCs w:val="21"/>
        </w:rPr>
        <w:t xml:space="preserve"> </w:t>
      </w:r>
      <w:r w:rsidRPr="0043038D">
        <w:rPr>
          <w:rFonts w:ascii="Arial" w:hAnsi="Arial" w:cs="Arial" w:hint="eastAsia"/>
          <w:sz w:val="21"/>
          <w:szCs w:val="21"/>
        </w:rPr>
        <w:t>《北京市人民政府办公厅印发〈北京市关于加快发展保障性租赁住房的实施方案〉的通知》（京政办发〔</w:t>
      </w:r>
      <w:r w:rsidRPr="0043038D">
        <w:rPr>
          <w:rFonts w:ascii="Arial" w:hAnsi="Arial" w:cs="Arial" w:hint="eastAsia"/>
          <w:sz w:val="21"/>
          <w:szCs w:val="21"/>
        </w:rPr>
        <w:t>2022</w:t>
      </w:r>
      <w:r w:rsidRPr="0043038D">
        <w:rPr>
          <w:rFonts w:ascii="Arial" w:hAnsi="Arial" w:cs="Arial" w:hint="eastAsia"/>
          <w:sz w:val="21"/>
          <w:szCs w:val="21"/>
        </w:rPr>
        <w:t>〕</w:t>
      </w:r>
      <w:r w:rsidRPr="0043038D">
        <w:rPr>
          <w:rFonts w:ascii="Arial" w:hAnsi="Arial" w:cs="Arial" w:hint="eastAsia"/>
          <w:sz w:val="21"/>
          <w:szCs w:val="21"/>
        </w:rPr>
        <w:t>9</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sz w:val="21"/>
          <w:szCs w:val="21"/>
        </w:rPr>
        <w:t>10.</w:t>
      </w:r>
      <w:r w:rsidRPr="0043038D">
        <w:rPr>
          <w:rFonts w:ascii="Arial" w:hAnsi="Arial" w:cs="Arial" w:hint="eastAsia"/>
          <w:sz w:val="21"/>
          <w:szCs w:val="21"/>
        </w:rPr>
        <w:t>《北京市住房和城乡建设委员会</w:t>
      </w:r>
      <w:r w:rsidRPr="0043038D">
        <w:rPr>
          <w:rFonts w:ascii="Arial" w:hAnsi="Arial" w:cs="Arial" w:hint="eastAsia"/>
          <w:sz w:val="21"/>
          <w:szCs w:val="21"/>
        </w:rPr>
        <w:t xml:space="preserve"> </w:t>
      </w: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北京市规划和自然资源委员会关于印发</w:t>
      </w:r>
      <w:r w:rsidRPr="0043038D">
        <w:rPr>
          <w:rFonts w:ascii="Arial" w:hAnsi="Arial" w:cs="Arial" w:hint="eastAsia"/>
          <w:sz w:val="21"/>
          <w:szCs w:val="21"/>
        </w:rPr>
        <w:t>2022</w:t>
      </w:r>
      <w:r w:rsidRPr="0043038D">
        <w:rPr>
          <w:rFonts w:ascii="Arial" w:hAnsi="Arial" w:cs="Arial" w:hint="eastAsia"/>
          <w:sz w:val="21"/>
          <w:szCs w:val="21"/>
        </w:rPr>
        <w:t>年全市首批保障性住房开竣工项目建设计划的通知》（京建发</w:t>
      </w:r>
      <w:r w:rsidRPr="0043038D">
        <w:rPr>
          <w:rFonts w:ascii="Arial" w:hAnsi="Arial" w:cs="Arial" w:hint="eastAsia"/>
          <w:sz w:val="21"/>
          <w:szCs w:val="21"/>
        </w:rPr>
        <w:t>[2022]121</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11.</w:t>
      </w:r>
      <w:r w:rsidRPr="0043038D">
        <w:rPr>
          <w:rFonts w:ascii="Arial" w:hAnsi="Arial" w:cs="Arial" w:hint="eastAsia"/>
          <w:sz w:val="21"/>
          <w:szCs w:val="21"/>
        </w:rPr>
        <w:t>《北京市保障性租赁住房建设导则（试行）》（京建发〔</w:t>
      </w:r>
      <w:r w:rsidRPr="0043038D">
        <w:rPr>
          <w:rFonts w:ascii="Arial" w:hAnsi="Arial" w:cs="Arial" w:hint="eastAsia"/>
          <w:sz w:val="21"/>
          <w:szCs w:val="21"/>
        </w:rPr>
        <w:t>2022</w:t>
      </w:r>
      <w:r w:rsidRPr="0043038D">
        <w:rPr>
          <w:rFonts w:ascii="Arial" w:hAnsi="Arial" w:cs="Arial" w:hint="eastAsia"/>
          <w:sz w:val="21"/>
          <w:szCs w:val="21"/>
        </w:rPr>
        <w:t>〕</w:t>
      </w:r>
      <w:r w:rsidRPr="0043038D">
        <w:rPr>
          <w:rFonts w:ascii="Arial" w:hAnsi="Arial" w:cs="Arial" w:hint="eastAsia"/>
          <w:sz w:val="21"/>
          <w:szCs w:val="21"/>
        </w:rPr>
        <w:t>105</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b/>
          <w:sz w:val="21"/>
          <w:szCs w:val="21"/>
        </w:rPr>
        <w:lastRenderedPageBreak/>
        <w:t>（</w:t>
      </w:r>
      <w:r w:rsidRPr="0043038D">
        <w:rPr>
          <w:rFonts w:ascii="Arial" w:hAnsi="Arial" w:cs="Arial" w:hint="eastAsia"/>
          <w:b/>
          <w:sz w:val="21"/>
          <w:szCs w:val="21"/>
        </w:rPr>
        <w:t>二</w:t>
      </w:r>
      <w:r w:rsidRPr="0043038D">
        <w:rPr>
          <w:rFonts w:ascii="Arial" w:hAnsi="Arial" w:cs="Arial"/>
          <w:b/>
          <w:sz w:val="21"/>
          <w:szCs w:val="21"/>
        </w:rPr>
        <w:t>）</w:t>
      </w:r>
      <w:r w:rsidRPr="0043038D">
        <w:rPr>
          <w:rFonts w:ascii="Arial" w:hAnsi="Arial" w:cs="Arial" w:hint="eastAsia"/>
          <w:b/>
          <w:sz w:val="21"/>
          <w:szCs w:val="21"/>
        </w:rPr>
        <w:t>技术标准</w:t>
      </w:r>
    </w:p>
    <w:p w:rsidR="000E5655" w:rsidRPr="0043038D" w:rsidRDefault="00837133">
      <w:pPr>
        <w:numPr>
          <w:ilvl w:val="0"/>
          <w:numId w:val="6"/>
        </w:numPr>
        <w:wordWrap w:val="0"/>
        <w:overflowPunct w:val="0"/>
        <w:spacing w:line="480" w:lineRule="auto"/>
        <w:ind w:left="0" w:firstLine="0"/>
        <w:jc w:val="both"/>
        <w:textAlignment w:val="auto"/>
        <w:rPr>
          <w:rFonts w:ascii="Arial" w:hAnsi="Arial" w:cs="Arial"/>
          <w:sz w:val="21"/>
          <w:szCs w:val="21"/>
        </w:rPr>
      </w:pPr>
      <w:r w:rsidRPr="0043038D">
        <w:rPr>
          <w:rFonts w:ascii="Arial" w:hAnsi="Arial" w:cs="Arial"/>
          <w:sz w:val="21"/>
          <w:szCs w:val="21"/>
        </w:rPr>
        <w:t>《房地产估价规范》</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p>
    <w:p w:rsidR="000E5655" w:rsidRPr="0043038D" w:rsidRDefault="00837133">
      <w:pPr>
        <w:numPr>
          <w:ilvl w:val="0"/>
          <w:numId w:val="6"/>
        </w:numPr>
        <w:wordWrap w:val="0"/>
        <w:overflowPunct w:val="0"/>
        <w:spacing w:line="480" w:lineRule="auto"/>
        <w:ind w:left="0" w:firstLine="0"/>
        <w:jc w:val="both"/>
        <w:textAlignment w:val="auto"/>
        <w:rPr>
          <w:rFonts w:ascii="Arial" w:hAnsi="Arial" w:cs="Arial"/>
          <w:b/>
          <w:sz w:val="21"/>
          <w:szCs w:val="21"/>
        </w:rPr>
      </w:pPr>
      <w:r w:rsidRPr="0043038D">
        <w:rPr>
          <w:rFonts w:ascii="Arial" w:hAnsi="Arial" w:cs="Arial" w:hint="eastAsia"/>
          <w:sz w:val="21"/>
          <w:szCs w:val="21"/>
        </w:rPr>
        <w:t>《</w:t>
      </w:r>
      <w:r w:rsidRPr="0043038D">
        <w:rPr>
          <w:rFonts w:ascii="Arial" w:hAnsi="Arial" w:cs="Arial"/>
          <w:sz w:val="21"/>
          <w:szCs w:val="21"/>
        </w:rPr>
        <w:t>房地产估价基本术语标</w:t>
      </w:r>
      <w:r w:rsidRPr="0043038D">
        <w:rPr>
          <w:rFonts w:ascii="Arial" w:hAnsi="Arial" w:cs="Arial" w:hint="eastAsia"/>
          <w:sz w:val="21"/>
          <w:szCs w:val="21"/>
        </w:rPr>
        <w:t>准》</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50899-2013]</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三</w:t>
      </w:r>
      <w:r w:rsidRPr="0043038D">
        <w:rPr>
          <w:rFonts w:ascii="Arial" w:hAnsi="Arial" w:cs="Arial"/>
          <w:b/>
          <w:sz w:val="21"/>
          <w:szCs w:val="21"/>
        </w:rPr>
        <w:t>）估价委托人提供的资料</w:t>
      </w:r>
    </w:p>
    <w:p w:rsidR="000E5655" w:rsidRPr="0043038D" w:rsidRDefault="00837133">
      <w:pPr>
        <w:numPr>
          <w:ilvl w:val="0"/>
          <w:numId w:val="7"/>
        </w:numPr>
        <w:overflowPunct w:val="0"/>
        <w:spacing w:line="480" w:lineRule="auto"/>
        <w:ind w:left="0" w:firstLine="0"/>
        <w:jc w:val="both"/>
        <w:textAlignment w:val="auto"/>
        <w:rPr>
          <w:rFonts w:ascii="Arial" w:hAnsi="Arial" w:cs="Arial"/>
          <w:sz w:val="21"/>
          <w:szCs w:val="21"/>
        </w:rPr>
      </w:pPr>
      <w:r w:rsidRPr="0043038D">
        <w:rPr>
          <w:rFonts w:ascii="Arial" w:hAnsi="Arial" w:cs="Arial" w:hint="eastAsia"/>
          <w:sz w:val="21"/>
          <w:szCs w:val="21"/>
        </w:rPr>
        <w:t>《估价委托书》</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《建设工程规划许可证》</w:t>
      </w:r>
      <w:r w:rsidRPr="0043038D">
        <w:rPr>
          <w:rFonts w:ascii="Arial" w:hAnsi="Arial" w:cs="Arial" w:hint="eastAsia"/>
          <w:sz w:val="21"/>
          <w:szCs w:val="21"/>
        </w:rPr>
        <w:t>[2022</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proofErr w:type="gramStart"/>
      <w:r w:rsidRPr="0043038D">
        <w:rPr>
          <w:rFonts w:ascii="Arial" w:hAnsi="Arial" w:cs="Arial" w:hint="eastAsia"/>
          <w:sz w:val="21"/>
          <w:szCs w:val="21"/>
        </w:rPr>
        <w:t>大竣</w:t>
      </w:r>
      <w:proofErr w:type="gramEnd"/>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估价委托人《营业执照（副本）》复印件</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（四）评估专业人员实地查勘的有关资料</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（五）</w:t>
      </w:r>
      <w:r w:rsidRPr="0043038D">
        <w:rPr>
          <w:rFonts w:ascii="Arial" w:hAnsi="Arial" w:cs="Arial" w:hint="eastAsia"/>
          <w:b/>
          <w:sz w:val="21"/>
          <w:szCs w:val="21"/>
        </w:rPr>
        <w:t>房地产</w:t>
      </w:r>
      <w:r w:rsidRPr="0043038D">
        <w:rPr>
          <w:rFonts w:ascii="Arial" w:hAnsi="Arial" w:cs="Arial"/>
          <w:b/>
          <w:sz w:val="21"/>
          <w:szCs w:val="21"/>
        </w:rPr>
        <w:t>估价机构资质证书</w:t>
      </w:r>
    </w:p>
    <w:p w:rsidR="000E5655" w:rsidRPr="0043038D" w:rsidRDefault="000E5655">
      <w:pPr>
        <w:wordWrap w:val="0"/>
        <w:overflowPunct w:val="0"/>
        <w:spacing w:line="360" w:lineRule="auto"/>
        <w:ind w:firstLineChars="200" w:firstLine="420"/>
        <w:jc w:val="both"/>
        <w:textAlignment w:val="auto"/>
        <w:rPr>
          <w:rFonts w:ascii="Arial" w:hAnsi="Arial" w:cs="Arial"/>
          <w:sz w:val="21"/>
          <w:szCs w:val="21"/>
        </w:rPr>
      </w:pPr>
      <w:bookmarkStart w:id="36" w:name="_Toc168225821"/>
    </w:p>
    <w:p w:rsidR="000E5655" w:rsidRPr="0043038D" w:rsidRDefault="00837133">
      <w:pPr>
        <w:pStyle w:val="2"/>
        <w:numPr>
          <w:ilvl w:val="0"/>
          <w:numId w:val="8"/>
        </w:numPr>
        <w:wordWrap w:val="0"/>
        <w:overflowPunct w:val="0"/>
        <w:spacing w:line="480" w:lineRule="auto"/>
        <w:ind w:left="358" w:hanging="358"/>
        <w:jc w:val="both"/>
        <w:textAlignment w:val="auto"/>
        <w:rPr>
          <w:rFonts w:eastAsia="宋体"/>
          <w:kern w:val="2"/>
          <w:sz w:val="21"/>
          <w:szCs w:val="21"/>
        </w:rPr>
      </w:pPr>
      <w:bookmarkStart w:id="37" w:name="_Toc155267094"/>
      <w:r w:rsidRPr="0043038D">
        <w:rPr>
          <w:rFonts w:eastAsia="宋体"/>
          <w:kern w:val="2"/>
          <w:sz w:val="21"/>
          <w:szCs w:val="21"/>
        </w:rPr>
        <w:t>估价方法</w:t>
      </w:r>
      <w:bookmarkEnd w:id="36"/>
      <w:bookmarkEnd w:id="37"/>
    </w:p>
    <w:p w:rsidR="000E5655" w:rsidRPr="0043038D" w:rsidRDefault="00837133">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由于本次评估是</w:t>
      </w:r>
      <w:r w:rsidRPr="0043038D">
        <w:rPr>
          <w:rFonts w:ascii="Arial" w:hAnsi="Arial" w:cs="Arial" w:hint="eastAsia"/>
          <w:sz w:val="21"/>
          <w:szCs w:val="21"/>
        </w:rPr>
        <w:t>为估价委托人了解估价对象项目市场租金水平提供参考依据</w:t>
      </w:r>
      <w:r w:rsidRPr="0043038D">
        <w:rPr>
          <w:rFonts w:ascii="Arial" w:hAnsi="Arial" w:cs="Arial"/>
          <w:sz w:val="21"/>
          <w:szCs w:val="21"/>
        </w:rPr>
        <w:t>，因此我们在认真分析研究估价对象的相关资料，并通过对邻近地区同类物业调查的基础上，根据《房地产估价规范》</w:t>
      </w:r>
      <w:r w:rsidRPr="0043038D">
        <w:rPr>
          <w:rFonts w:ascii="Arial" w:hAnsi="Arial" w:cs="Arial" w:hint="eastAsia"/>
          <w:sz w:val="21"/>
          <w:szCs w:val="21"/>
        </w:rPr>
        <w:t>（</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r w:rsidRPr="0043038D">
        <w:rPr>
          <w:rFonts w:ascii="Arial" w:hAnsi="Arial" w:cs="Arial" w:hint="eastAsia"/>
          <w:sz w:val="21"/>
          <w:szCs w:val="21"/>
        </w:rPr>
        <w:t>）</w:t>
      </w:r>
      <w:r w:rsidRPr="0043038D">
        <w:rPr>
          <w:rFonts w:ascii="Arial" w:hAnsi="Arial" w:cs="Arial"/>
          <w:sz w:val="21"/>
          <w:szCs w:val="21"/>
        </w:rPr>
        <w:t>的估价程序，选用</w:t>
      </w:r>
      <w:r w:rsidRPr="0043038D">
        <w:rPr>
          <w:rFonts w:ascii="Arial" w:hAnsi="Arial" w:cs="Arial" w:hint="eastAsia"/>
          <w:sz w:val="21"/>
          <w:szCs w:val="21"/>
        </w:rPr>
        <w:t>比较法</w:t>
      </w:r>
      <w:r w:rsidRPr="0043038D">
        <w:rPr>
          <w:rFonts w:ascii="Arial" w:hAnsi="Arial" w:cs="Arial"/>
          <w:sz w:val="21"/>
          <w:szCs w:val="21"/>
        </w:rPr>
        <w:t>为主方法进行估价</w:t>
      </w:r>
      <w:r w:rsidRPr="0043038D">
        <w:rPr>
          <w:rFonts w:ascii="Arial" w:hAnsi="Arial" w:cs="Arial" w:hint="eastAsia"/>
          <w:sz w:val="21"/>
          <w:szCs w:val="21"/>
        </w:rPr>
        <w:t>，进而确定</w:t>
      </w:r>
      <w:r w:rsidRPr="0043038D">
        <w:rPr>
          <w:rFonts w:ascii="Arial" w:hAnsi="Arial" w:hint="eastAsia"/>
          <w:sz w:val="21"/>
          <w:szCs w:val="21"/>
        </w:rPr>
        <w:t>估价对象</w:t>
      </w:r>
      <w:r w:rsidRPr="0043038D">
        <w:rPr>
          <w:rFonts w:ascii="Arial" w:hAnsi="Arial" w:cs="Arial" w:hint="eastAsia"/>
          <w:sz w:val="21"/>
          <w:szCs w:val="21"/>
        </w:rPr>
        <w:t>市场租金价格水平。</w:t>
      </w:r>
    </w:p>
    <w:p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（一）估价思路</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首先，根据估价委托人提供的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w:t>
      </w:r>
      <w:r w:rsidRPr="0043038D">
        <w:rPr>
          <w:rFonts w:ascii="Arial" w:hAnsi="Arial" w:cs="Arial" w:hint="eastAsia"/>
          <w:sz w:val="21"/>
          <w:szCs w:val="21"/>
        </w:rPr>
        <w:lastRenderedPageBreak/>
        <w:t>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w:t>
            </w:r>
            <w:proofErr w:type="gramStart"/>
            <w:r w:rsidRPr="0043038D">
              <w:rPr>
                <w:rFonts w:ascii="Arial" w:eastAsia="华文细黑" w:hAnsi="Arial" w:cs="Arial"/>
                <w:sz w:val="18"/>
                <w:szCs w:val="18"/>
              </w:rPr>
              <w:t>一</w:t>
            </w:r>
            <w:proofErr w:type="gramEnd"/>
            <w:r w:rsidRPr="0043038D">
              <w:rPr>
                <w:rFonts w:ascii="Arial" w:eastAsia="华文细黑" w:hAnsi="Arial" w:cs="Arial"/>
                <w:sz w:val="18"/>
                <w:szCs w:val="18"/>
              </w:rPr>
              <w:t>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rsidR="000E5655" w:rsidRPr="0043038D" w:rsidRDefault="00837133">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在估价对象周边区域选取适当数量</w:t>
      </w:r>
      <w:r w:rsidRPr="0043038D">
        <w:rPr>
          <w:rFonts w:ascii="Arial" w:hAnsi="Arial" w:cs="Arial" w:hint="eastAsia"/>
          <w:sz w:val="21"/>
          <w:szCs w:val="21"/>
        </w:rPr>
        <w:t>住宅项目</w:t>
      </w:r>
      <w:r w:rsidRPr="0043038D">
        <w:rPr>
          <w:rFonts w:ascii="Arial" w:hAnsi="Arial" w:cs="Arial"/>
          <w:sz w:val="21"/>
          <w:szCs w:val="21"/>
        </w:rPr>
        <w:t>，结合估价机构市场调查，选取可比小区。</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3.</w:t>
      </w:r>
      <w:r w:rsidRPr="0043038D">
        <w:rPr>
          <w:rFonts w:ascii="Arial" w:hAnsi="Arial" w:cs="Arial"/>
          <w:sz w:val="21"/>
          <w:szCs w:val="21"/>
        </w:rPr>
        <w:t>将所选可比小区与评估对象标准房进行比较，进行区位状况调整和实物状况调整，计算各可比实例比准租金，得到</w:t>
      </w:r>
      <w:r w:rsidRPr="0043038D">
        <w:rPr>
          <w:rFonts w:ascii="Arial" w:hAnsi="Arial" w:cs="Arial" w:hint="eastAsia"/>
          <w:sz w:val="21"/>
          <w:szCs w:val="21"/>
        </w:rPr>
        <w:t>估价对象标准房</w:t>
      </w:r>
      <w:r w:rsidRPr="0043038D">
        <w:rPr>
          <w:rFonts w:ascii="Arial" w:hAnsi="Arial" w:cs="Arial"/>
          <w:sz w:val="21"/>
          <w:szCs w:val="21"/>
        </w:rPr>
        <w:t>租金水平。</w:t>
      </w:r>
    </w:p>
    <w:p w:rsidR="000E5655" w:rsidRPr="0043038D" w:rsidRDefault="00837133">
      <w:pPr>
        <w:pStyle w:val="12"/>
        <w:wordWrap w:val="0"/>
        <w:overflowPunct w:val="0"/>
        <w:autoSpaceDE w:val="0"/>
        <w:autoSpaceDN w:val="0"/>
        <w:spacing w:line="480" w:lineRule="auto"/>
        <w:jc w:val="both"/>
        <w:textAlignment w:val="auto"/>
        <w:rPr>
          <w:rFonts w:ascii="Arial" w:hAnsi="Arial" w:cs="Arial"/>
          <w:b/>
          <w:sz w:val="21"/>
          <w:szCs w:val="21"/>
        </w:rPr>
      </w:pPr>
      <w:r w:rsidRPr="0043038D">
        <w:rPr>
          <w:rFonts w:ascii="Arial" w:hAnsi="Arial" w:cs="Arial" w:hint="eastAsia"/>
          <w:b/>
          <w:sz w:val="21"/>
          <w:szCs w:val="21"/>
        </w:rPr>
        <w:t>（二）估价方法</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比较法，是在求取估价对象房地产</w:t>
      </w:r>
      <w:r w:rsidRPr="0043038D">
        <w:rPr>
          <w:rFonts w:ascii="Arial" w:hAnsi="Arial" w:cs="Arial" w:hint="eastAsia"/>
          <w:sz w:val="21"/>
          <w:szCs w:val="21"/>
        </w:rPr>
        <w:t>市场租金水平</w:t>
      </w:r>
      <w:r w:rsidRPr="0043038D">
        <w:rPr>
          <w:rFonts w:ascii="Arial" w:hAnsi="Arial" w:cs="Arial"/>
          <w:sz w:val="21"/>
          <w:szCs w:val="21"/>
        </w:rPr>
        <w:t>时，根据替代原则，将估价对象与在较近时期内已发生交易的类似房地产</w:t>
      </w:r>
      <w:r w:rsidRPr="0043038D">
        <w:rPr>
          <w:rFonts w:ascii="Arial" w:hAnsi="Arial" w:cs="Arial" w:hint="eastAsia"/>
          <w:sz w:val="21"/>
          <w:szCs w:val="21"/>
        </w:rPr>
        <w:t>租赁</w:t>
      </w:r>
      <w:r w:rsidRPr="0043038D">
        <w:rPr>
          <w:rFonts w:ascii="Arial" w:hAnsi="Arial" w:cs="Arial"/>
          <w:sz w:val="21"/>
          <w:szCs w:val="21"/>
        </w:rPr>
        <w:t>交易实例进行对照比较，并依据后者已知的价格，参照该房地产的交易情况、期日、区域及实物状况的差别，修正得出估价对象房地产</w:t>
      </w:r>
      <w:r w:rsidRPr="0043038D">
        <w:rPr>
          <w:rFonts w:ascii="Arial" w:hAnsi="Arial" w:cs="Arial" w:hint="eastAsia"/>
          <w:sz w:val="21"/>
          <w:szCs w:val="21"/>
        </w:rPr>
        <w:t>市场租金水平</w:t>
      </w:r>
      <w:r w:rsidRPr="0043038D">
        <w:rPr>
          <w:rFonts w:ascii="Arial" w:hAnsi="Arial" w:cs="Arial"/>
          <w:sz w:val="21"/>
          <w:szCs w:val="21"/>
        </w:rPr>
        <w:t>的方法。本次估价采用比较法思路评估租金价格水平。</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sz w:val="21"/>
          <w:szCs w:val="21"/>
        </w:rPr>
        <w:t>采用</w:t>
      </w:r>
      <w:r w:rsidRPr="0043038D">
        <w:rPr>
          <w:rFonts w:ascii="Arial" w:hAnsi="Arial" w:cs="Arial" w:hint="eastAsia"/>
          <w:sz w:val="21"/>
          <w:szCs w:val="21"/>
        </w:rPr>
        <w:t>比较法</w:t>
      </w:r>
      <w:r w:rsidRPr="0043038D">
        <w:rPr>
          <w:rFonts w:ascii="Arial" w:hAnsi="Arial" w:cs="Arial"/>
          <w:sz w:val="21"/>
          <w:szCs w:val="21"/>
        </w:rPr>
        <w:t>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估价对象所处区域近期有较多的相同用途物业的出租案例，且交易时间与价值时点接近，故适宜采用比较法进行租赁价格评估；同时有所在区域</w:t>
      </w:r>
      <w:r w:rsidRPr="0043038D">
        <w:rPr>
          <w:rFonts w:ascii="Arial" w:hAnsi="Arial" w:cs="Arial" w:hint="eastAsia"/>
          <w:sz w:val="21"/>
          <w:szCs w:val="21"/>
        </w:rPr>
        <w:t>住宅</w:t>
      </w:r>
      <w:r w:rsidRPr="0043038D">
        <w:rPr>
          <w:rFonts w:ascii="Arial" w:hAnsi="Arial" w:cs="Arial"/>
          <w:sz w:val="21"/>
          <w:szCs w:val="21"/>
        </w:rPr>
        <w:t>出租的公开信息，可通过因素修正得出估价对象所在区域</w:t>
      </w:r>
      <w:r w:rsidRPr="0043038D">
        <w:rPr>
          <w:rFonts w:ascii="Arial" w:hAnsi="Arial" w:cs="Arial" w:hint="eastAsia"/>
          <w:sz w:val="21"/>
          <w:szCs w:val="21"/>
        </w:rPr>
        <w:t>住宅</w:t>
      </w:r>
      <w:r w:rsidRPr="0043038D">
        <w:rPr>
          <w:rFonts w:ascii="Arial" w:hAnsi="Arial" w:cs="Arial"/>
          <w:sz w:val="21"/>
          <w:szCs w:val="21"/>
        </w:rPr>
        <w:t>租赁价格水平</w:t>
      </w:r>
      <w:r w:rsidRPr="0043038D">
        <w:rPr>
          <w:rFonts w:ascii="Arial" w:hAnsi="Arial" w:cs="Arial" w:hint="eastAsia"/>
          <w:sz w:val="21"/>
          <w:szCs w:val="21"/>
        </w:rPr>
        <w:t>。</w:t>
      </w:r>
      <w:r w:rsidRPr="0043038D">
        <w:rPr>
          <w:rFonts w:ascii="Arial" w:hAnsi="Arial" w:cs="Arial"/>
          <w:sz w:val="21"/>
          <w:szCs w:val="21"/>
        </w:rPr>
        <w:t>同时</w:t>
      </w:r>
      <w:r w:rsidRPr="0043038D">
        <w:rPr>
          <w:rFonts w:ascii="Arial" w:hAnsi="Arial" w:cs="Arial" w:hint="eastAsia"/>
          <w:sz w:val="21"/>
          <w:szCs w:val="21"/>
        </w:rPr>
        <w:t>，</w:t>
      </w:r>
      <w:r w:rsidRPr="0043038D">
        <w:rPr>
          <w:rFonts w:ascii="Arial" w:hAnsi="Arial" w:cs="Arial"/>
          <w:sz w:val="21"/>
          <w:szCs w:val="21"/>
        </w:rPr>
        <w:t>通过区域因素修正得出估价对象相邻或相似区域</w:t>
      </w:r>
      <w:r w:rsidRPr="0043038D">
        <w:rPr>
          <w:rFonts w:ascii="Arial" w:hAnsi="Arial" w:cs="Arial" w:hint="eastAsia"/>
          <w:sz w:val="21"/>
          <w:szCs w:val="21"/>
        </w:rPr>
        <w:t>住宅</w:t>
      </w:r>
      <w:r w:rsidRPr="0043038D">
        <w:rPr>
          <w:rFonts w:ascii="Arial" w:hAnsi="Arial" w:cs="Arial"/>
          <w:sz w:val="21"/>
          <w:szCs w:val="21"/>
        </w:rPr>
        <w:t>租赁价格水平</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不采用成本法、假设开发法、收益法的理由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420"/>
        <w:jc w:val="both"/>
        <w:textAlignment w:val="auto"/>
        <w:rPr>
          <w:rFonts w:ascii="Arial" w:hAnsi="Arial" w:cs="Arial"/>
          <w:sz w:val="21"/>
          <w:szCs w:val="21"/>
        </w:rPr>
      </w:pPr>
      <w:r w:rsidRPr="0043038D">
        <w:rPr>
          <w:rFonts w:hAnsi="宋体" w:cs="Arial" w:hint="eastAsia"/>
          <w:sz w:val="21"/>
          <w:szCs w:val="21"/>
        </w:rPr>
        <w:t>（1）估价对象适用比较法，且已优先采用比较法进行评估，故不再采用成本法进行测算。</w:t>
      </w:r>
    </w:p>
    <w:p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（2）假设开发法可评估房地产市场价值，但不适于租赁价格的评估。</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hAnsi="宋体" w:cs="Arial" w:hint="eastAsia"/>
          <w:sz w:val="21"/>
          <w:szCs w:val="21"/>
        </w:rPr>
        <w:t>（3）</w:t>
      </w:r>
      <w:r w:rsidRPr="0043038D">
        <w:rPr>
          <w:rFonts w:ascii="Arial" w:hAnsi="Arial" w:cs="Arial"/>
          <w:sz w:val="21"/>
          <w:szCs w:val="21"/>
        </w:rPr>
        <w:t>收益法适用于有现实收益或潜在收益的土地或房地产估价。估价对象用途</w:t>
      </w:r>
      <w:r w:rsidRPr="0043038D">
        <w:rPr>
          <w:rFonts w:ascii="Arial" w:hAnsi="Arial" w:cs="Arial" w:hint="eastAsia"/>
          <w:kern w:val="2"/>
          <w:sz w:val="21"/>
          <w:szCs w:val="21"/>
        </w:rPr>
        <w:t>设定为保障性租赁住房</w:t>
      </w:r>
      <w:r w:rsidRPr="0043038D">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43038D">
        <w:rPr>
          <w:rFonts w:ascii="Arial" w:hAnsi="Arial" w:cs="Arial" w:hint="eastAsia"/>
          <w:sz w:val="21"/>
          <w:szCs w:val="21"/>
        </w:rPr>
        <w:t>公寓</w:t>
      </w:r>
      <w:r w:rsidRPr="0043038D">
        <w:rPr>
          <w:rFonts w:ascii="Arial" w:hAnsi="Arial" w:cs="Arial"/>
          <w:sz w:val="21"/>
          <w:szCs w:val="21"/>
        </w:rPr>
        <w:t>业态租售比差距较大，采用房屋交易价格测算出的房屋租金不能反映正常的市场租金水平，故未采</w:t>
      </w:r>
      <w:r w:rsidRPr="0043038D">
        <w:rPr>
          <w:rFonts w:ascii="Arial" w:hAnsi="Arial" w:cs="Arial"/>
          <w:sz w:val="21"/>
          <w:szCs w:val="21"/>
        </w:rPr>
        <w:lastRenderedPageBreak/>
        <w:t>用收益法</w:t>
      </w:r>
      <w:r w:rsidRPr="0043038D">
        <w:rPr>
          <w:rFonts w:ascii="Arial" w:hAnsi="Arial" w:cs="Arial" w:hint="eastAsia"/>
          <w:sz w:val="21"/>
          <w:szCs w:val="21"/>
        </w:rPr>
        <w:t>。</w:t>
      </w:r>
      <w:r w:rsidRPr="0043038D">
        <w:rPr>
          <w:rFonts w:ascii="Arial" w:hAnsi="Arial" w:cs="Arial"/>
          <w:sz w:val="21"/>
          <w:szCs w:val="21"/>
        </w:rPr>
        <w:t xml:space="preserve"> </w:t>
      </w:r>
    </w:p>
    <w:p w:rsidR="000E5655" w:rsidRPr="0043038D" w:rsidRDefault="000E5655">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8" w:name="_Toc168225822"/>
      <w:bookmarkStart w:id="39" w:name="_Toc155267095"/>
      <w:r w:rsidRPr="0043038D">
        <w:rPr>
          <w:rFonts w:eastAsia="宋体"/>
          <w:kern w:val="2"/>
          <w:sz w:val="21"/>
          <w:szCs w:val="21"/>
        </w:rPr>
        <w:t>十、估价结果</w:t>
      </w:r>
      <w:bookmarkEnd w:id="38"/>
      <w:bookmarkEnd w:id="39"/>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w:t>
      </w:r>
      <w:r w:rsidRPr="0043038D">
        <w:rPr>
          <w:rFonts w:ascii="Arial" w:hAnsi="Arial" w:cs="Arial" w:hint="eastAsia"/>
          <w:sz w:val="21"/>
          <w:szCs w:val="21"/>
        </w:rPr>
        <w:t>（橡树湾）保障性租赁住房（住宅型）项目于价值时点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日同地段、同品质市场租赁住房租金为：</w:t>
      </w:r>
      <w:r w:rsidRPr="0043038D">
        <w:rPr>
          <w:rFonts w:ascii="Arial" w:hAnsi="Arial" w:cs="Arial" w:hint="eastAsia"/>
          <w:sz w:val="21"/>
          <w:szCs w:val="21"/>
        </w:rPr>
        <w:t xml:space="preserve"> </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w:t>
      </w:r>
      <w:proofErr w:type="gramStart"/>
      <w:r w:rsidRPr="0043038D">
        <w:rPr>
          <w:rFonts w:ascii="Arial" w:hAnsi="Arial" w:cs="Arial" w:hint="eastAsia"/>
          <w:b/>
          <w:bCs/>
          <w:sz w:val="21"/>
          <w:szCs w:val="21"/>
        </w:rPr>
        <w:t>一</w:t>
      </w:r>
      <w:proofErr w:type="gramEnd"/>
      <w:r w:rsidRPr="0043038D">
        <w:rPr>
          <w:rFonts w:ascii="Arial" w:hAnsi="Arial" w:cs="Arial" w:hint="eastAsia"/>
          <w:b/>
          <w:bCs/>
          <w:sz w:val="21"/>
          <w:szCs w:val="21"/>
        </w:rPr>
        <w:t>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Pr="0043038D">
        <w:rPr>
          <w:rFonts w:ascii="Arial" w:hAnsi="Arial" w:cs="Arial" w:hint="eastAsia"/>
          <w:b/>
          <w:bCs/>
          <w:sz w:val="21"/>
          <w:szCs w:val="21"/>
        </w:rPr>
        <w:t>4.15</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8"/>
          <w:szCs w:val="18"/>
        </w:rPr>
        <w:t>区维保</w:t>
      </w:r>
      <w:proofErr w:type="gramEnd"/>
      <w:r w:rsidRPr="0043038D">
        <w:rPr>
          <w:rFonts w:ascii="Arial" w:hAnsi="Arial" w:cs="Arial" w:hint="eastAsia"/>
          <w:sz w:val="18"/>
          <w:szCs w:val="18"/>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p>
    <w:p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0" w:name="_Toc168225824"/>
      <w:bookmarkStart w:id="41" w:name="_Toc155267096"/>
      <w:r w:rsidRPr="0043038D">
        <w:rPr>
          <w:rFonts w:eastAsia="宋体"/>
          <w:kern w:val="2"/>
          <w:sz w:val="21"/>
          <w:szCs w:val="21"/>
        </w:rPr>
        <w:br w:type="page"/>
      </w:r>
      <w:r w:rsidRPr="0043038D">
        <w:rPr>
          <w:rFonts w:eastAsia="宋体"/>
          <w:kern w:val="2"/>
          <w:sz w:val="21"/>
          <w:szCs w:val="21"/>
        </w:rPr>
        <w:lastRenderedPageBreak/>
        <w:t>十</w:t>
      </w:r>
      <w:bookmarkEnd w:id="40"/>
      <w:r w:rsidRPr="0043038D">
        <w:rPr>
          <w:rFonts w:eastAsia="宋体"/>
          <w:kern w:val="2"/>
          <w:sz w:val="21"/>
          <w:szCs w:val="21"/>
        </w:rPr>
        <w:t>一、参与本次估价工作的</w:t>
      </w:r>
      <w:r w:rsidRPr="0043038D">
        <w:rPr>
          <w:rFonts w:eastAsia="宋体" w:hint="eastAsia"/>
          <w:kern w:val="2"/>
          <w:sz w:val="21"/>
          <w:szCs w:val="21"/>
        </w:rPr>
        <w:t>评估专业</w:t>
      </w:r>
      <w:r w:rsidRPr="0043038D">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0E5655" w:rsidRPr="0043038D">
        <w:trPr>
          <w:cantSplit/>
          <w:trHeight w:hRule="exact" w:val="454"/>
          <w:jc w:val="center"/>
        </w:trPr>
        <w:tc>
          <w:tcPr>
            <w:tcW w:w="9299" w:type="dxa"/>
            <w:gridSpan w:val="4"/>
            <w:tcBorders>
              <w:bottom w:val="single" w:sz="2" w:space="0" w:color="404040"/>
            </w:tcBorders>
            <w:vAlign w:val="center"/>
          </w:tcPr>
          <w:p w:rsidR="000E5655" w:rsidRPr="0043038D" w:rsidRDefault="00837133">
            <w:pPr>
              <w:tabs>
                <w:tab w:val="left" w:pos="5160"/>
              </w:tabs>
              <w:overflowPunct w:val="0"/>
              <w:spacing w:line="240" w:lineRule="auto"/>
              <w:rPr>
                <w:rFonts w:ascii="Arial" w:hAnsi="Arial" w:cs="Arial"/>
                <w:b/>
                <w:sz w:val="21"/>
                <w:szCs w:val="21"/>
              </w:rPr>
            </w:pPr>
            <w:r w:rsidRPr="0043038D">
              <w:rPr>
                <w:rFonts w:ascii="Arial" w:hAnsi="Arial" w:cs="Arial"/>
                <w:b/>
                <w:kern w:val="2"/>
                <w:sz w:val="21"/>
                <w:szCs w:val="21"/>
              </w:rPr>
              <w:t>注册房地产估价师</w:t>
            </w:r>
          </w:p>
        </w:tc>
      </w:tr>
      <w:tr w:rsidR="000E5655" w:rsidRPr="0043038D">
        <w:trPr>
          <w:cantSplit/>
          <w:trHeight w:hRule="exact" w:val="45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姓</w:t>
            </w:r>
            <w:r w:rsidRPr="0043038D">
              <w:rPr>
                <w:rFonts w:ascii="Arial" w:hAnsi="Arial" w:cs="Arial" w:hint="eastAsia"/>
                <w:sz w:val="21"/>
                <w:szCs w:val="21"/>
              </w:rPr>
              <w:t xml:space="preserve">  </w:t>
            </w:r>
            <w:r w:rsidRPr="0043038D">
              <w:rPr>
                <w:rFonts w:ascii="Arial" w:hAnsi="Arial" w:cs="Arial"/>
                <w:sz w:val="21"/>
                <w:szCs w:val="21"/>
              </w:rPr>
              <w:t>名</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注册号</w:t>
            </w:r>
          </w:p>
        </w:tc>
        <w:tc>
          <w:tcPr>
            <w:tcW w:w="2774"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w:t>
            </w:r>
          </w:p>
        </w:tc>
        <w:tc>
          <w:tcPr>
            <w:tcW w:w="2582"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签名日期</w:t>
            </w:r>
          </w:p>
        </w:tc>
      </w:tr>
      <w:tr w:rsidR="000E5655" w:rsidRPr="0043038D">
        <w:trPr>
          <w:cantSplit/>
          <w:trHeight w:hRule="exact" w:val="113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高</w:t>
            </w:r>
            <w:r w:rsidRPr="0043038D">
              <w:rPr>
                <w:rFonts w:ascii="Arial" w:hAnsi="Arial" w:cs="Arial" w:hint="eastAsia"/>
                <w:sz w:val="21"/>
                <w:szCs w:val="21"/>
              </w:rPr>
              <w:t xml:space="preserve"> </w:t>
            </w:r>
            <w:r w:rsidRPr="0043038D">
              <w:rPr>
                <w:rFonts w:ascii="Arial" w:hAnsi="Arial" w:cs="Arial"/>
                <w:sz w:val="21"/>
                <w:szCs w:val="21"/>
              </w:rPr>
              <w:t xml:space="preserve"> </w:t>
            </w:r>
            <w:r w:rsidRPr="0043038D">
              <w:rPr>
                <w:rFonts w:ascii="Arial" w:hAnsi="Arial" w:cs="Arial" w:hint="eastAsia"/>
                <w:sz w:val="21"/>
                <w:szCs w:val="21"/>
              </w:rPr>
              <w:t>鹏</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eastAsia="方正黑体简体" w:hAnsi="Arial" w:cs="Arial"/>
                <w:sz w:val="21"/>
                <w:szCs w:val="21"/>
              </w:rPr>
              <w:t>1120140024</w:t>
            </w:r>
          </w:p>
        </w:tc>
        <w:tc>
          <w:tcPr>
            <w:tcW w:w="2774" w:type="dxa"/>
            <w:vAlign w:val="center"/>
          </w:tcPr>
          <w:p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r w:rsidR="000E5655" w:rsidRPr="0043038D">
        <w:trPr>
          <w:cantSplit/>
          <w:trHeight w:hRule="exact" w:val="113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许皓源</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eastAsia="方正黑体简体" w:hAnsi="Arial"/>
                <w:sz w:val="21"/>
                <w:szCs w:val="21"/>
              </w:rPr>
              <w:t>1119980019</w:t>
            </w:r>
          </w:p>
        </w:tc>
        <w:tc>
          <w:tcPr>
            <w:tcW w:w="2774" w:type="dxa"/>
            <w:vAlign w:val="center"/>
          </w:tcPr>
          <w:p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r w:rsidR="000E5655" w:rsidRPr="0043038D">
        <w:trPr>
          <w:cantSplit/>
          <w:trHeight w:hRule="exact" w:val="454"/>
          <w:jc w:val="center"/>
        </w:trPr>
        <w:tc>
          <w:tcPr>
            <w:tcW w:w="9299" w:type="dxa"/>
            <w:gridSpan w:val="4"/>
            <w:vAlign w:val="center"/>
          </w:tcPr>
          <w:p w:rsidR="000E5655" w:rsidRPr="0043038D" w:rsidRDefault="00837133">
            <w:pPr>
              <w:tabs>
                <w:tab w:val="left" w:pos="5160"/>
              </w:tabs>
              <w:overflowPunct w:val="0"/>
              <w:spacing w:line="240" w:lineRule="auto"/>
              <w:rPr>
                <w:rFonts w:ascii="Arial" w:hAnsi="Arial" w:cs="Arial"/>
                <w:b/>
                <w:kern w:val="2"/>
                <w:sz w:val="21"/>
                <w:szCs w:val="21"/>
              </w:rPr>
            </w:pPr>
            <w:r w:rsidRPr="0043038D">
              <w:rPr>
                <w:rFonts w:ascii="Arial" w:hAnsi="Arial" w:cs="Arial" w:hint="eastAsia"/>
                <w:b/>
                <w:kern w:val="2"/>
                <w:sz w:val="21"/>
                <w:szCs w:val="21"/>
              </w:rPr>
              <w:t>其他评估专业</w:t>
            </w:r>
            <w:r w:rsidRPr="0043038D">
              <w:rPr>
                <w:rFonts w:ascii="Arial" w:hAnsi="Arial" w:cs="Arial"/>
                <w:b/>
                <w:kern w:val="2"/>
                <w:sz w:val="21"/>
                <w:szCs w:val="21"/>
              </w:rPr>
              <w:t>人员</w:t>
            </w:r>
            <w:r w:rsidRPr="0043038D">
              <w:rPr>
                <w:rFonts w:ascii="Arial" w:hAnsi="Arial" w:cs="Arial" w:hint="eastAsia"/>
                <w:b/>
                <w:kern w:val="2"/>
                <w:sz w:val="21"/>
                <w:szCs w:val="21"/>
              </w:rPr>
              <w:t xml:space="preserve"> </w:t>
            </w:r>
          </w:p>
        </w:tc>
      </w:tr>
      <w:tr w:rsidR="000E5655" w:rsidRPr="0043038D">
        <w:trPr>
          <w:cantSplit/>
          <w:trHeight w:hRule="exact" w:val="45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姓</w:t>
            </w:r>
            <w:r w:rsidRPr="0043038D">
              <w:rPr>
                <w:rFonts w:ascii="Arial" w:hAnsi="Arial" w:cs="Arial" w:hint="eastAsia"/>
                <w:sz w:val="21"/>
                <w:szCs w:val="21"/>
              </w:rPr>
              <w:t xml:space="preserve">  </w:t>
            </w:r>
            <w:r w:rsidRPr="0043038D">
              <w:rPr>
                <w:rFonts w:ascii="Arial" w:hAnsi="Arial" w:cs="Arial"/>
                <w:sz w:val="21"/>
                <w:szCs w:val="21"/>
              </w:rPr>
              <w:t>名</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kern w:val="2"/>
                <w:sz w:val="21"/>
                <w:szCs w:val="21"/>
              </w:rPr>
              <w:t>相关资格或职称</w:t>
            </w:r>
          </w:p>
        </w:tc>
        <w:tc>
          <w:tcPr>
            <w:tcW w:w="2774"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w:t>
            </w:r>
          </w:p>
        </w:tc>
        <w:tc>
          <w:tcPr>
            <w:tcW w:w="2582"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签名日期</w:t>
            </w:r>
          </w:p>
        </w:tc>
      </w:tr>
      <w:tr w:rsidR="000E5655" w:rsidRPr="0043038D">
        <w:trPr>
          <w:cantSplit/>
          <w:trHeight w:hRule="exact" w:val="113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李诗霖</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w:t>
            </w:r>
          </w:p>
        </w:tc>
        <w:tc>
          <w:tcPr>
            <w:tcW w:w="2774" w:type="dxa"/>
            <w:vAlign w:val="center"/>
          </w:tcPr>
          <w:p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bl>
    <w:p w:rsidR="000E5655" w:rsidRPr="0043038D" w:rsidRDefault="000E5655">
      <w:pPr>
        <w:overflowPunct w:val="0"/>
        <w:spacing w:line="480" w:lineRule="auto"/>
        <w:jc w:val="both"/>
        <w:textAlignment w:val="auto"/>
        <w:rPr>
          <w:rFonts w:ascii="Arial" w:hAnsi="Arial" w:cs="Arial"/>
          <w:kern w:val="2"/>
          <w:sz w:val="21"/>
          <w:szCs w:val="21"/>
        </w:rPr>
      </w:pPr>
    </w:p>
    <w:p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2" w:name="_Toc155267097"/>
      <w:r w:rsidRPr="0043038D">
        <w:rPr>
          <w:rFonts w:eastAsia="宋体"/>
          <w:kern w:val="2"/>
          <w:sz w:val="21"/>
          <w:szCs w:val="21"/>
        </w:rPr>
        <w:t>十二、实地查勘期</w:t>
      </w:r>
      <w:bookmarkEnd w:id="42"/>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7</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w:t>
      </w:r>
    </w:p>
    <w:p w:rsidR="000E5655" w:rsidRPr="0043038D" w:rsidRDefault="000E5655">
      <w:pPr>
        <w:overflowPunct w:val="0"/>
        <w:spacing w:line="480" w:lineRule="auto"/>
        <w:jc w:val="both"/>
        <w:textAlignment w:val="auto"/>
        <w:rPr>
          <w:rFonts w:ascii="Arial" w:hAnsi="Arial" w:cs="Arial"/>
          <w:kern w:val="2"/>
          <w:sz w:val="21"/>
          <w:szCs w:val="21"/>
        </w:rPr>
      </w:pPr>
    </w:p>
    <w:p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3" w:name="_Toc168225825"/>
      <w:bookmarkStart w:id="44" w:name="_Toc155267098"/>
      <w:r w:rsidRPr="0043038D">
        <w:rPr>
          <w:rFonts w:eastAsia="宋体"/>
          <w:kern w:val="2"/>
          <w:sz w:val="21"/>
          <w:szCs w:val="21"/>
        </w:rPr>
        <w:t>十三、估价作业期</w:t>
      </w:r>
      <w:bookmarkEnd w:id="43"/>
      <w:bookmarkEnd w:id="44"/>
      <w:r w:rsidRPr="0043038D">
        <w:rPr>
          <w:rFonts w:eastAsia="宋体" w:hint="eastAsia"/>
          <w:kern w:val="2"/>
          <w:sz w:val="21"/>
          <w:szCs w:val="21"/>
        </w:rPr>
        <w:t xml:space="preserve">  </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7</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日至</w:t>
      </w:r>
      <w:r w:rsidRPr="0043038D">
        <w:rPr>
          <w:rFonts w:ascii="Arial" w:hAnsi="Arial" w:cs="Arial"/>
          <w:sz w:val="21"/>
          <w:szCs w:val="21"/>
        </w:rPr>
        <w:t>2024</w:t>
      </w:r>
      <w:r w:rsidRPr="0043038D">
        <w:rPr>
          <w:rFonts w:ascii="Arial" w:hAnsi="Arial" w:cs="Arial"/>
          <w:sz w:val="21"/>
          <w:szCs w:val="21"/>
        </w:rPr>
        <w:t>年</w:t>
      </w:r>
      <w:r w:rsidR="00D6006C" w:rsidRPr="0043038D">
        <w:rPr>
          <w:rFonts w:ascii="Arial" w:hAnsi="Arial" w:cs="Arial"/>
          <w:sz w:val="21"/>
          <w:szCs w:val="21"/>
        </w:rPr>
        <w:t>11</w:t>
      </w:r>
      <w:r w:rsidRPr="0043038D">
        <w:rPr>
          <w:rFonts w:ascii="Arial" w:hAnsi="Arial" w:cs="Arial"/>
          <w:sz w:val="21"/>
          <w:szCs w:val="21"/>
        </w:rPr>
        <w:t>月</w:t>
      </w:r>
      <w:r w:rsidR="00D6006C" w:rsidRPr="0043038D">
        <w:rPr>
          <w:rFonts w:ascii="Arial" w:hAnsi="Arial" w:cs="Arial"/>
          <w:sz w:val="21"/>
          <w:szCs w:val="21"/>
        </w:rPr>
        <w:t>5</w:t>
      </w:r>
      <w:r w:rsidRPr="0043038D">
        <w:rPr>
          <w:rFonts w:ascii="Arial" w:hAnsi="Arial" w:cs="Arial"/>
          <w:sz w:val="21"/>
          <w:szCs w:val="21"/>
        </w:rPr>
        <w:t>日</w:t>
      </w:r>
    </w:p>
    <w:p w:rsidR="000E5655" w:rsidRPr="0043038D" w:rsidRDefault="000E5655">
      <w:pPr>
        <w:overflowPunct w:val="0"/>
        <w:spacing w:line="480" w:lineRule="auto"/>
        <w:jc w:val="both"/>
        <w:textAlignment w:val="auto"/>
        <w:outlineLvl w:val="0"/>
        <w:rPr>
          <w:rFonts w:ascii="Arial" w:hAnsi="Arial" w:cs="Arial"/>
          <w:b/>
          <w:kern w:val="2"/>
          <w:sz w:val="21"/>
          <w:szCs w:val="21"/>
        </w:rPr>
        <w:sectPr w:rsidR="000E5655" w:rsidRPr="0043038D">
          <w:headerReference w:type="even" r:id="rId26"/>
          <w:headerReference w:type="default" r:id="rId27"/>
          <w:footerReference w:type="even" r:id="rId28"/>
          <w:footerReference w:type="default" r:id="rId29"/>
          <w:headerReference w:type="first" r:id="rId30"/>
          <w:pgSz w:w="11907" w:h="16840"/>
          <w:pgMar w:top="1843" w:right="1134" w:bottom="1134" w:left="1134" w:header="1134" w:footer="907" w:gutter="340"/>
          <w:cols w:space="720"/>
          <w:docGrid w:linePitch="326"/>
        </w:sectPr>
      </w:pPr>
    </w:p>
    <w:p w:rsidR="000E5655" w:rsidRPr="0043038D" w:rsidRDefault="00837133">
      <w:pPr>
        <w:pStyle w:val="1"/>
        <w:spacing w:line="480" w:lineRule="auto"/>
        <w:jc w:val="center"/>
        <w:rPr>
          <w:rFonts w:eastAsia="方正黑体简体"/>
          <w:b w:val="0"/>
          <w:kern w:val="2"/>
          <w:sz w:val="32"/>
          <w:szCs w:val="32"/>
        </w:rPr>
      </w:pPr>
      <w:bookmarkStart w:id="45" w:name="_Toc525655431"/>
      <w:bookmarkStart w:id="46" w:name="_Toc155267099"/>
      <w:r w:rsidRPr="0043038D">
        <w:rPr>
          <w:rFonts w:eastAsia="方正黑体简体" w:hint="eastAsia"/>
          <w:b w:val="0"/>
          <w:kern w:val="2"/>
          <w:sz w:val="32"/>
          <w:szCs w:val="32"/>
        </w:rPr>
        <w:lastRenderedPageBreak/>
        <w:t>估价技术报告</w:t>
      </w:r>
      <w:bookmarkEnd w:id="45"/>
      <w:bookmarkEnd w:id="46"/>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47" w:name="_Toc525655432"/>
      <w:bookmarkStart w:id="48" w:name="_Toc155267100"/>
      <w:r w:rsidRPr="0043038D">
        <w:rPr>
          <w:rFonts w:eastAsia="宋体"/>
          <w:kern w:val="2"/>
          <w:sz w:val="21"/>
          <w:szCs w:val="21"/>
        </w:rPr>
        <w:t>一、估价对象描述与分析</w:t>
      </w:r>
      <w:bookmarkEnd w:id="47"/>
      <w:bookmarkEnd w:id="48"/>
    </w:p>
    <w:p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49" w:name="_Toc525655433"/>
      <w:bookmarkStart w:id="50" w:name="_Toc155267101"/>
      <w:r w:rsidRPr="0043038D">
        <w:rPr>
          <w:rFonts w:eastAsia="宋体"/>
          <w:kern w:val="2"/>
          <w:sz w:val="21"/>
          <w:szCs w:val="21"/>
        </w:rPr>
        <w:t>（</w:t>
      </w:r>
      <w:r w:rsidRPr="0043038D">
        <w:rPr>
          <w:rFonts w:eastAsia="宋体" w:hint="eastAsia"/>
          <w:kern w:val="2"/>
          <w:sz w:val="21"/>
          <w:szCs w:val="21"/>
        </w:rPr>
        <w:t>一</w:t>
      </w:r>
      <w:r w:rsidRPr="0043038D">
        <w:rPr>
          <w:rFonts w:eastAsia="宋体"/>
          <w:kern w:val="2"/>
          <w:sz w:val="21"/>
          <w:szCs w:val="21"/>
        </w:rPr>
        <w:t>）区位状况分析</w:t>
      </w:r>
      <w:bookmarkEnd w:id="49"/>
      <w:bookmarkEnd w:id="50"/>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sz w:val="21"/>
          <w:szCs w:val="21"/>
        </w:rPr>
        <w:t>1.</w:t>
      </w:r>
      <w:r w:rsidRPr="0043038D">
        <w:rPr>
          <w:rFonts w:ascii="Arial" w:hAnsi="Arial" w:cs="Arial"/>
          <w:sz w:val="21"/>
          <w:szCs w:val="21"/>
        </w:rPr>
        <w:t>位置状况</w:t>
      </w:r>
      <w:r w:rsidRPr="0043038D">
        <w:rPr>
          <w:rFonts w:ascii="Arial" w:hAnsi="Arial" w:cs="Arial" w:hint="eastAsia"/>
          <w:sz w:val="21"/>
          <w:szCs w:val="21"/>
        </w:rPr>
        <w:t xml:space="preserve">  </w:t>
      </w:r>
      <w:r w:rsidRPr="0043038D">
        <w:rPr>
          <w:rFonts w:ascii="Arial" w:hAnsi="Arial" w:cs="Arial" w:hint="eastAsia"/>
          <w:kern w:val="2"/>
          <w:sz w:val="21"/>
          <w:szCs w:val="21"/>
        </w:rPr>
        <w:t xml:space="preserve">  </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估价对象位于北京市</w:t>
      </w:r>
      <w:r w:rsidRPr="0043038D">
        <w:rPr>
          <w:rFonts w:ascii="Arial" w:hAnsi="Arial" w:cs="Arial" w:hint="eastAsia"/>
          <w:kern w:val="2"/>
          <w:sz w:val="21"/>
          <w:szCs w:val="21"/>
        </w:rPr>
        <w:t>大兴区</w:t>
      </w:r>
      <w:r w:rsidRPr="0043038D">
        <w:rPr>
          <w:rFonts w:ascii="Arial" w:hAnsi="Arial" w:cs="Arial"/>
          <w:kern w:val="2"/>
          <w:sz w:val="21"/>
          <w:szCs w:val="21"/>
        </w:rPr>
        <w:t>，</w:t>
      </w:r>
      <w:proofErr w:type="gramStart"/>
      <w:r w:rsidRPr="0043038D">
        <w:rPr>
          <w:rFonts w:ascii="Arial" w:hAnsi="Arial" w:cs="Arial"/>
          <w:kern w:val="2"/>
          <w:sz w:val="21"/>
          <w:szCs w:val="21"/>
        </w:rPr>
        <w:t>临近京开高速</w:t>
      </w:r>
      <w:proofErr w:type="gramEnd"/>
      <w:r w:rsidRPr="0043038D">
        <w:rPr>
          <w:rFonts w:ascii="Arial" w:hAnsi="Arial" w:cs="Arial"/>
          <w:kern w:val="2"/>
          <w:sz w:val="21"/>
          <w:szCs w:val="21"/>
        </w:rPr>
        <w:t>、南五环，土地级别属于北京市基准地价</w:t>
      </w:r>
      <w:r w:rsidRPr="0043038D">
        <w:rPr>
          <w:rFonts w:ascii="Arial" w:hAnsi="Arial" w:cs="Arial" w:hint="eastAsia"/>
          <w:kern w:val="2"/>
          <w:sz w:val="21"/>
          <w:szCs w:val="21"/>
        </w:rPr>
        <w:t>住宅</w:t>
      </w:r>
      <w:r w:rsidRPr="0043038D">
        <w:rPr>
          <w:rFonts w:ascii="Arial" w:hAnsi="Arial" w:cs="Arial"/>
          <w:kern w:val="2"/>
          <w:sz w:val="21"/>
          <w:szCs w:val="21"/>
        </w:rPr>
        <w:t>类</w:t>
      </w:r>
      <w:r w:rsidRPr="0043038D">
        <w:rPr>
          <w:rFonts w:ascii="Arial" w:hAnsi="Arial" w:cs="Arial" w:hint="eastAsia"/>
          <w:kern w:val="2"/>
          <w:sz w:val="21"/>
          <w:szCs w:val="21"/>
        </w:rPr>
        <w:t>六</w:t>
      </w:r>
      <w:r w:rsidRPr="0043038D">
        <w:rPr>
          <w:rFonts w:ascii="Arial" w:hAnsi="Arial" w:cs="Arial"/>
          <w:kern w:val="2"/>
          <w:sz w:val="21"/>
          <w:szCs w:val="21"/>
        </w:rPr>
        <w:t>级，</w:t>
      </w:r>
      <w:r w:rsidRPr="0043038D">
        <w:rPr>
          <w:rFonts w:ascii="Arial" w:hAnsi="Arial" w:cs="Arial"/>
          <w:kern w:val="2"/>
          <w:sz w:val="21"/>
          <w:szCs w:val="21"/>
        </w:rPr>
        <w:t>VI-</w:t>
      </w:r>
      <w:r w:rsidRPr="0043038D">
        <w:rPr>
          <w:rFonts w:ascii="Arial" w:hAnsi="Arial" w:cs="Arial" w:hint="eastAsia"/>
          <w:kern w:val="2"/>
          <w:sz w:val="21"/>
          <w:szCs w:val="21"/>
        </w:rPr>
        <w:t>兴</w:t>
      </w:r>
      <w:r w:rsidRPr="0043038D">
        <w:rPr>
          <w:rFonts w:ascii="Arial" w:hAnsi="Arial" w:cs="Arial"/>
          <w:kern w:val="2"/>
          <w:sz w:val="21"/>
          <w:szCs w:val="21"/>
        </w:rPr>
        <w:t>2</w:t>
      </w:r>
      <w:r w:rsidRPr="0043038D">
        <w:rPr>
          <w:rFonts w:ascii="Arial" w:hAnsi="Arial" w:cs="Arial"/>
          <w:kern w:val="2"/>
          <w:sz w:val="21"/>
          <w:szCs w:val="21"/>
        </w:rPr>
        <w:t>区片，地理位置状况</w:t>
      </w:r>
      <w:r w:rsidRPr="0043038D">
        <w:rPr>
          <w:rFonts w:ascii="Arial" w:hAnsi="Arial" w:cs="Arial" w:hint="eastAsia"/>
          <w:kern w:val="2"/>
          <w:sz w:val="21"/>
          <w:szCs w:val="21"/>
        </w:rPr>
        <w:t>一般</w:t>
      </w:r>
      <w:r w:rsidRPr="0043038D">
        <w:rPr>
          <w:rFonts w:ascii="Arial" w:hAnsi="Arial" w:cs="Arial"/>
          <w:kern w:val="2"/>
          <w:sz w:val="21"/>
          <w:szCs w:val="21"/>
        </w:rPr>
        <w:t>。</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居住社区成熟度</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估价对象周边</w:t>
      </w:r>
      <w:r w:rsidRPr="0043038D">
        <w:rPr>
          <w:rFonts w:ascii="Arial" w:hAnsi="Arial" w:cs="Arial" w:hint="eastAsia"/>
          <w:kern w:val="2"/>
          <w:sz w:val="21"/>
          <w:szCs w:val="21"/>
        </w:rPr>
        <w:t>2</w:t>
      </w:r>
      <w:r w:rsidRPr="0043038D">
        <w:rPr>
          <w:rFonts w:ascii="Arial" w:hAnsi="Arial" w:cs="Arial" w:hint="eastAsia"/>
          <w:kern w:val="2"/>
          <w:sz w:val="21"/>
          <w:szCs w:val="21"/>
        </w:rPr>
        <w:t>公里内有福星花园、宏大中园、宏盛家园、</w:t>
      </w:r>
      <w:proofErr w:type="gramStart"/>
      <w:r w:rsidRPr="0043038D">
        <w:rPr>
          <w:rFonts w:ascii="Arial" w:hAnsi="Arial" w:cs="Arial" w:hint="eastAsia"/>
          <w:kern w:val="2"/>
          <w:sz w:val="21"/>
          <w:szCs w:val="21"/>
        </w:rPr>
        <w:t>鸿坤理想城</w:t>
      </w:r>
      <w:proofErr w:type="gramEnd"/>
      <w:r w:rsidRPr="0043038D">
        <w:rPr>
          <w:rFonts w:ascii="Arial" w:hAnsi="Arial" w:cs="Arial" w:hint="eastAsia"/>
          <w:kern w:val="2"/>
          <w:sz w:val="21"/>
          <w:szCs w:val="21"/>
        </w:rPr>
        <w:t>、九龙家园、九龙山庄、瑞海家园、同兴园、熙红印、兴都苑、兴海家园、月桂庄园等，居住小区规模较大，入住率较好，综合评价居住区成熟度较好。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3.</w:t>
      </w:r>
      <w:r w:rsidRPr="0043038D">
        <w:rPr>
          <w:rFonts w:ascii="Arial" w:hAnsi="Arial" w:cs="Arial" w:hint="eastAsia"/>
          <w:sz w:val="21"/>
          <w:szCs w:val="21"/>
        </w:rPr>
        <w:t>交</w:t>
      </w:r>
      <w:r w:rsidRPr="0043038D">
        <w:rPr>
          <w:rFonts w:ascii="Arial" w:hAnsi="Arial" w:cs="Arial"/>
          <w:sz w:val="21"/>
          <w:szCs w:val="21"/>
        </w:rPr>
        <w:t>通状况</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估价对象距离城市主干道—南四路直线距离约</w:t>
      </w:r>
      <w:r w:rsidRPr="0043038D">
        <w:rPr>
          <w:rFonts w:ascii="Arial" w:hAnsi="Arial" w:cs="Arial" w:hint="eastAsia"/>
          <w:kern w:val="2"/>
          <w:sz w:val="21"/>
          <w:szCs w:val="21"/>
        </w:rPr>
        <w:t>3</w:t>
      </w:r>
      <w:r w:rsidRPr="0043038D">
        <w:rPr>
          <w:rFonts w:ascii="Arial" w:hAnsi="Arial" w:cs="Arial"/>
          <w:kern w:val="2"/>
          <w:sz w:val="21"/>
          <w:szCs w:val="21"/>
        </w:rPr>
        <w:t>50</w:t>
      </w:r>
      <w:r w:rsidRPr="0043038D">
        <w:rPr>
          <w:rFonts w:ascii="Arial" w:hAnsi="Arial" w:cs="Arial" w:hint="eastAsia"/>
          <w:kern w:val="2"/>
          <w:sz w:val="21"/>
          <w:szCs w:val="21"/>
        </w:rPr>
        <w:t>米，周边路网较密集；距离地铁</w:t>
      </w:r>
      <w:r w:rsidRPr="0043038D">
        <w:rPr>
          <w:rFonts w:ascii="Arial" w:hAnsi="Arial" w:cs="Arial" w:hint="eastAsia"/>
          <w:kern w:val="2"/>
          <w:sz w:val="21"/>
          <w:szCs w:val="21"/>
        </w:rPr>
        <w:t>4</w:t>
      </w:r>
      <w:r w:rsidRPr="0043038D">
        <w:rPr>
          <w:rFonts w:ascii="Arial" w:hAnsi="Arial" w:cs="Arial" w:hint="eastAsia"/>
          <w:kern w:val="2"/>
          <w:sz w:val="21"/>
          <w:szCs w:val="21"/>
        </w:rPr>
        <w:t>号线西红门站约</w:t>
      </w:r>
      <w:r w:rsidRPr="0043038D">
        <w:rPr>
          <w:rFonts w:ascii="Arial" w:hAnsi="Arial" w:cs="Arial" w:hint="eastAsia"/>
          <w:kern w:val="2"/>
          <w:sz w:val="21"/>
          <w:szCs w:val="21"/>
        </w:rPr>
        <w:t>2</w:t>
      </w:r>
      <w:r w:rsidRPr="0043038D">
        <w:rPr>
          <w:rFonts w:ascii="Arial" w:hAnsi="Arial" w:cs="Arial" w:hint="eastAsia"/>
          <w:kern w:val="2"/>
          <w:sz w:val="21"/>
          <w:szCs w:val="21"/>
        </w:rPr>
        <w:t>公里，周边</w:t>
      </w:r>
      <w:r w:rsidRPr="0043038D">
        <w:rPr>
          <w:rFonts w:ascii="Arial" w:hAnsi="Arial" w:cs="Arial" w:hint="eastAsia"/>
          <w:kern w:val="2"/>
          <w:sz w:val="21"/>
          <w:szCs w:val="21"/>
        </w:rPr>
        <w:t>1</w:t>
      </w:r>
      <w:r w:rsidRPr="0043038D">
        <w:rPr>
          <w:rFonts w:ascii="Arial" w:hAnsi="Arial" w:cs="Arial" w:hint="eastAsia"/>
          <w:kern w:val="2"/>
          <w:sz w:val="21"/>
          <w:szCs w:val="21"/>
        </w:rPr>
        <w:t>公里内有</w:t>
      </w:r>
      <w:r w:rsidRPr="0043038D">
        <w:rPr>
          <w:rFonts w:ascii="Arial" w:hAnsi="Arial" w:cs="Arial" w:hint="eastAsia"/>
          <w:kern w:val="2"/>
          <w:sz w:val="21"/>
          <w:szCs w:val="21"/>
        </w:rPr>
        <w:t>366</w:t>
      </w:r>
      <w:r w:rsidRPr="0043038D">
        <w:rPr>
          <w:rFonts w:ascii="Arial" w:hAnsi="Arial" w:cs="Arial" w:hint="eastAsia"/>
          <w:kern w:val="2"/>
          <w:sz w:val="21"/>
          <w:szCs w:val="21"/>
        </w:rPr>
        <w:t>路、</w:t>
      </w:r>
      <w:r w:rsidRPr="0043038D">
        <w:rPr>
          <w:rFonts w:ascii="Arial" w:hAnsi="Arial" w:cs="Arial" w:hint="eastAsia"/>
          <w:kern w:val="2"/>
          <w:sz w:val="21"/>
          <w:szCs w:val="21"/>
        </w:rPr>
        <w:t>377</w:t>
      </w:r>
      <w:r w:rsidRPr="0043038D">
        <w:rPr>
          <w:rFonts w:ascii="Arial" w:hAnsi="Arial" w:cs="Arial" w:hint="eastAsia"/>
          <w:kern w:val="2"/>
          <w:sz w:val="21"/>
          <w:szCs w:val="21"/>
        </w:rPr>
        <w:t>路、</w:t>
      </w:r>
      <w:r w:rsidRPr="0043038D">
        <w:rPr>
          <w:rFonts w:ascii="Arial" w:hAnsi="Arial" w:cs="Arial" w:hint="eastAsia"/>
          <w:kern w:val="2"/>
          <w:sz w:val="21"/>
          <w:szCs w:val="21"/>
        </w:rPr>
        <w:t>410</w:t>
      </w:r>
      <w:r w:rsidRPr="0043038D">
        <w:rPr>
          <w:rFonts w:ascii="Arial" w:hAnsi="Arial" w:cs="Arial" w:hint="eastAsia"/>
          <w:kern w:val="2"/>
          <w:sz w:val="21"/>
          <w:szCs w:val="21"/>
        </w:rPr>
        <w:t>路、</w:t>
      </w:r>
      <w:r w:rsidRPr="0043038D">
        <w:rPr>
          <w:rFonts w:ascii="Arial" w:hAnsi="Arial" w:cs="Arial" w:hint="eastAsia"/>
          <w:kern w:val="2"/>
          <w:sz w:val="21"/>
          <w:szCs w:val="21"/>
        </w:rPr>
        <w:t>679</w:t>
      </w:r>
      <w:r w:rsidRPr="0043038D">
        <w:rPr>
          <w:rFonts w:ascii="Arial" w:hAnsi="Arial" w:cs="Arial" w:hint="eastAsia"/>
          <w:kern w:val="2"/>
          <w:sz w:val="21"/>
          <w:szCs w:val="21"/>
        </w:rPr>
        <w:t>路、</w:t>
      </w:r>
      <w:r w:rsidRPr="0043038D">
        <w:rPr>
          <w:rFonts w:ascii="Arial" w:hAnsi="Arial" w:cs="Arial" w:hint="eastAsia"/>
          <w:kern w:val="2"/>
          <w:sz w:val="21"/>
          <w:szCs w:val="21"/>
        </w:rPr>
        <w:t>827</w:t>
      </w:r>
      <w:r w:rsidRPr="0043038D">
        <w:rPr>
          <w:rFonts w:ascii="Arial" w:hAnsi="Arial" w:cs="Arial" w:hint="eastAsia"/>
          <w:kern w:val="2"/>
          <w:sz w:val="21"/>
          <w:szCs w:val="21"/>
        </w:rPr>
        <w:t>路、兴</w:t>
      </w:r>
      <w:r w:rsidRPr="0043038D">
        <w:rPr>
          <w:rFonts w:ascii="Arial" w:hAnsi="Arial" w:cs="Arial" w:hint="eastAsia"/>
          <w:kern w:val="2"/>
          <w:sz w:val="21"/>
          <w:szCs w:val="21"/>
        </w:rPr>
        <w:t>12</w:t>
      </w:r>
      <w:r w:rsidRPr="0043038D">
        <w:rPr>
          <w:rFonts w:ascii="Arial" w:hAnsi="Arial" w:cs="Arial" w:hint="eastAsia"/>
          <w:kern w:val="2"/>
          <w:sz w:val="21"/>
          <w:szCs w:val="21"/>
        </w:rPr>
        <w:t>路、兴</w:t>
      </w:r>
      <w:r w:rsidRPr="0043038D">
        <w:rPr>
          <w:rFonts w:ascii="Arial" w:hAnsi="Arial" w:cs="Arial" w:hint="eastAsia"/>
          <w:kern w:val="2"/>
          <w:sz w:val="21"/>
          <w:szCs w:val="21"/>
        </w:rPr>
        <w:t>13</w:t>
      </w:r>
      <w:r w:rsidRPr="0043038D">
        <w:rPr>
          <w:rFonts w:ascii="Arial" w:hAnsi="Arial" w:cs="Arial" w:hint="eastAsia"/>
          <w:kern w:val="2"/>
          <w:sz w:val="21"/>
          <w:szCs w:val="21"/>
        </w:rPr>
        <w:t>路等公交线路途径并设立站点，综合评价交通便捷度较好。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4.</w:t>
      </w:r>
      <w:r w:rsidRPr="0043038D">
        <w:rPr>
          <w:rFonts w:ascii="Arial" w:hAnsi="Arial" w:cs="Arial" w:hint="eastAsia"/>
          <w:sz w:val="21"/>
          <w:szCs w:val="21"/>
        </w:rPr>
        <w:t>商业繁华度</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估价对象周边</w:t>
      </w:r>
      <w:proofErr w:type="gramStart"/>
      <w:r w:rsidRPr="0043038D">
        <w:rPr>
          <w:rFonts w:ascii="Arial" w:hAnsi="Arial" w:cs="Arial" w:hint="eastAsia"/>
          <w:kern w:val="2"/>
          <w:sz w:val="21"/>
          <w:szCs w:val="21"/>
        </w:rPr>
        <w:t>有鸿坤广场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新光界等</w:t>
      </w:r>
      <w:proofErr w:type="gramEnd"/>
      <w:r w:rsidRPr="0043038D">
        <w:rPr>
          <w:rFonts w:ascii="Arial" w:hAnsi="Arial" w:cs="Arial" w:hint="eastAsia"/>
          <w:kern w:val="2"/>
          <w:sz w:val="21"/>
          <w:szCs w:val="21"/>
        </w:rPr>
        <w:t>商业场所，综合商业繁华度较好。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5.</w:t>
      </w:r>
      <w:r w:rsidRPr="0043038D">
        <w:rPr>
          <w:rFonts w:ascii="Arial" w:hAnsi="Arial" w:cs="Arial"/>
          <w:sz w:val="21"/>
          <w:szCs w:val="21"/>
        </w:rPr>
        <w:t>环境状况</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w:t>
      </w:r>
      <w:r w:rsidRPr="0043038D">
        <w:rPr>
          <w:rFonts w:ascii="Arial" w:hAnsi="Arial" w:cs="Arial" w:hint="eastAsia"/>
          <w:kern w:val="2"/>
          <w:sz w:val="21"/>
          <w:szCs w:val="21"/>
        </w:rPr>
        <w:t>2</w:t>
      </w:r>
      <w:r w:rsidRPr="0043038D">
        <w:rPr>
          <w:rFonts w:ascii="Arial" w:hAnsi="Arial" w:cs="Arial" w:hint="eastAsia"/>
          <w:kern w:val="2"/>
          <w:sz w:val="21"/>
          <w:szCs w:val="21"/>
        </w:rPr>
        <w:t>公里周边有兴海公园、大兴生态文明教育公园等自然景观，自然与人文环境较好</w:t>
      </w:r>
      <w:r w:rsidRPr="0043038D">
        <w:rPr>
          <w:rFonts w:ascii="Arial" w:hAnsi="Arial" w:cs="Arial" w:hint="eastAsia"/>
          <w:sz w:val="21"/>
          <w:szCs w:val="21"/>
        </w:rPr>
        <w:t>。</w:t>
      </w:r>
    </w:p>
    <w:p w:rsidR="000E5655" w:rsidRPr="0043038D" w:rsidRDefault="00837133">
      <w:pPr>
        <w:spacing w:line="480" w:lineRule="auto"/>
        <w:ind w:firstLineChars="200" w:firstLine="420"/>
        <w:jc w:val="both"/>
        <w:rPr>
          <w:rFonts w:ascii="Arial" w:hAnsi="Arial" w:cs="Arial"/>
          <w:i/>
          <w:sz w:val="21"/>
          <w:szCs w:val="21"/>
        </w:rPr>
      </w:pPr>
      <w:r w:rsidRPr="0043038D">
        <w:rPr>
          <w:rFonts w:ascii="Arial" w:hAnsi="Arial" w:cs="Arial" w:hint="eastAsia"/>
          <w:sz w:val="21"/>
          <w:szCs w:val="21"/>
        </w:rPr>
        <w:t>6.</w:t>
      </w:r>
      <w:r w:rsidRPr="0043038D">
        <w:rPr>
          <w:rFonts w:ascii="Arial" w:hAnsi="Arial" w:cs="Arial"/>
          <w:sz w:val="21"/>
          <w:szCs w:val="21"/>
        </w:rPr>
        <w:t>外部配套设施状况</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估价对象</w:t>
      </w:r>
      <w:r w:rsidRPr="0043038D">
        <w:rPr>
          <w:rFonts w:ascii="Arial" w:hAnsi="Arial" w:cs="Arial"/>
          <w:sz w:val="21"/>
          <w:szCs w:val="21"/>
        </w:rPr>
        <w:t>所处区域目前已拥有完善的基础设施配套保障，区内大部分区域基础设施配套目前可达到</w:t>
      </w:r>
      <w:r w:rsidRPr="0043038D">
        <w:rPr>
          <w:rFonts w:ascii="Arial" w:hAnsi="Arial" w:cs="Arial" w:hint="eastAsia"/>
          <w:sz w:val="21"/>
          <w:szCs w:val="21"/>
        </w:rPr>
        <w:t>“七</w:t>
      </w:r>
      <w:r w:rsidRPr="0043038D">
        <w:rPr>
          <w:rFonts w:ascii="Arial" w:hAnsi="Arial" w:cs="Arial"/>
          <w:sz w:val="21"/>
          <w:szCs w:val="21"/>
        </w:rPr>
        <w:t>通</w:t>
      </w:r>
      <w:r w:rsidRPr="0043038D">
        <w:rPr>
          <w:rFonts w:ascii="Arial" w:hAnsi="Arial" w:cs="Arial" w:hint="eastAsia"/>
          <w:sz w:val="21"/>
          <w:szCs w:val="21"/>
        </w:rPr>
        <w:t>”</w:t>
      </w:r>
      <w:r w:rsidRPr="0043038D">
        <w:rPr>
          <w:rFonts w:ascii="Arial" w:hAnsi="Arial" w:cs="Arial"/>
          <w:sz w:val="21"/>
          <w:szCs w:val="21"/>
        </w:rPr>
        <w:t>（通路、通电、通讯、供水、排水</w:t>
      </w:r>
      <w:r w:rsidRPr="0043038D">
        <w:rPr>
          <w:rFonts w:ascii="Arial" w:hAnsi="Arial" w:cs="Arial" w:hint="eastAsia"/>
          <w:sz w:val="21"/>
          <w:szCs w:val="21"/>
        </w:rPr>
        <w:t>、通暖、通燃气</w:t>
      </w:r>
      <w:r w:rsidRPr="0043038D">
        <w:rPr>
          <w:rFonts w:ascii="Arial" w:hAnsi="Arial" w:cs="Arial"/>
          <w:sz w:val="21"/>
          <w:szCs w:val="21"/>
        </w:rPr>
        <w:t>）条件，且保证程度高。</w:t>
      </w:r>
    </w:p>
    <w:p w:rsidR="000E5655" w:rsidRPr="0043038D" w:rsidRDefault="00837133">
      <w:pPr>
        <w:spacing w:line="480" w:lineRule="auto"/>
        <w:ind w:firstLineChars="200" w:firstLine="420"/>
        <w:jc w:val="both"/>
        <w:rPr>
          <w:rFonts w:ascii="Arial" w:hAnsi="Arial" w:cs="Arial"/>
          <w:kern w:val="2"/>
          <w:sz w:val="21"/>
          <w:szCs w:val="21"/>
        </w:rPr>
      </w:pPr>
      <w:bookmarkStart w:id="51" w:name="_Toc525655434"/>
      <w:r w:rsidRPr="0043038D">
        <w:rPr>
          <w:rFonts w:ascii="Arial" w:hAnsi="Arial" w:cs="Arial" w:hint="eastAsia"/>
          <w:kern w:val="2"/>
          <w:sz w:val="21"/>
          <w:szCs w:val="21"/>
        </w:rPr>
        <w:t>估价对象所在区域周边</w:t>
      </w:r>
      <w:r w:rsidRPr="0043038D">
        <w:rPr>
          <w:rFonts w:ascii="Arial" w:hAnsi="Arial" w:cs="Arial" w:hint="eastAsia"/>
          <w:kern w:val="2"/>
          <w:sz w:val="21"/>
          <w:szCs w:val="21"/>
        </w:rPr>
        <w:t>2</w:t>
      </w:r>
      <w:r w:rsidRPr="0043038D">
        <w:rPr>
          <w:rFonts w:ascii="Arial" w:hAnsi="Arial" w:cs="Arial" w:hint="eastAsia"/>
          <w:kern w:val="2"/>
          <w:sz w:val="21"/>
          <w:szCs w:val="21"/>
        </w:rPr>
        <w:t>公里范围内</w:t>
      </w:r>
      <w:proofErr w:type="gramStart"/>
      <w:r w:rsidRPr="0043038D">
        <w:rPr>
          <w:rFonts w:ascii="Arial" w:hAnsi="Arial" w:cs="Arial" w:hint="eastAsia"/>
          <w:kern w:val="2"/>
          <w:sz w:val="21"/>
          <w:szCs w:val="21"/>
        </w:rPr>
        <w:t>有鸿坤广场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新光界等</w:t>
      </w:r>
      <w:proofErr w:type="gramEnd"/>
      <w:r w:rsidRPr="0043038D">
        <w:rPr>
          <w:rFonts w:ascii="Arial" w:hAnsi="Arial" w:cs="Arial" w:hint="eastAsia"/>
          <w:kern w:val="2"/>
          <w:sz w:val="21"/>
          <w:szCs w:val="21"/>
        </w:rPr>
        <w:t>商业场所；兴海学校、北京第二实验小学大兴实验学校、北京商贸学校、理想蓝天幼儿园等教育机构，北京南郊肿瘤医院、西红门社区卫生服务中心等医疗机构；有北京农商银行（西红门支行）、浦发银行（北京西红门</w:t>
      </w:r>
      <w:r w:rsidRPr="0043038D">
        <w:rPr>
          <w:rFonts w:ascii="Arial" w:hAnsi="Arial" w:cs="Arial" w:hint="eastAsia"/>
          <w:kern w:val="2"/>
          <w:sz w:val="21"/>
          <w:szCs w:val="21"/>
        </w:rPr>
        <w:lastRenderedPageBreak/>
        <w:t>支行）、中国银行（北京大兴欣荣大街支行）等金融网点，公共配套设施状况较好。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6.</w:t>
      </w:r>
      <w:r w:rsidRPr="0043038D">
        <w:rPr>
          <w:rFonts w:ascii="Arial" w:hAnsi="Arial" w:cs="Arial" w:hint="eastAsia"/>
          <w:sz w:val="21"/>
          <w:szCs w:val="21"/>
        </w:rPr>
        <w:t>总体评价</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sz w:val="21"/>
          <w:szCs w:val="21"/>
        </w:rPr>
        <w:t>估价对象地理位置状况一般，居住社区成熟度较好，交通便捷度较好，商业繁华度较好，环境状况较好</w:t>
      </w:r>
      <w:r w:rsidRPr="0043038D">
        <w:rPr>
          <w:rFonts w:ascii="Arial" w:hAnsi="Arial" w:cs="Arial"/>
          <w:sz w:val="21"/>
          <w:szCs w:val="21"/>
        </w:rPr>
        <w:t>，区内大部分区域基础设施配套目前可达到</w:t>
      </w:r>
      <w:r w:rsidRPr="0043038D">
        <w:rPr>
          <w:rFonts w:ascii="Arial" w:hAnsi="Arial" w:cs="Arial" w:hint="eastAsia"/>
          <w:sz w:val="21"/>
          <w:szCs w:val="21"/>
        </w:rPr>
        <w:t>“七</w:t>
      </w:r>
      <w:r w:rsidRPr="0043038D">
        <w:rPr>
          <w:rFonts w:ascii="Arial" w:hAnsi="Arial" w:cs="Arial"/>
          <w:sz w:val="21"/>
          <w:szCs w:val="21"/>
        </w:rPr>
        <w:t>通</w:t>
      </w:r>
      <w:r w:rsidRPr="0043038D">
        <w:rPr>
          <w:rFonts w:ascii="Arial" w:hAnsi="Arial" w:cs="Arial" w:hint="eastAsia"/>
          <w:sz w:val="21"/>
          <w:szCs w:val="21"/>
        </w:rPr>
        <w:t>”，公共配套设施状况较好。</w:t>
      </w:r>
      <w:r w:rsidRPr="0043038D">
        <w:rPr>
          <w:rFonts w:ascii="Arial" w:hAnsi="Arial" w:cs="Arial"/>
          <w:sz w:val="21"/>
          <w:szCs w:val="21"/>
        </w:rPr>
        <w:t>区域规划</w:t>
      </w:r>
      <w:r w:rsidRPr="0043038D">
        <w:rPr>
          <w:rFonts w:ascii="Arial" w:hAnsi="Arial" w:cs="Arial" w:hint="eastAsia"/>
          <w:sz w:val="21"/>
          <w:szCs w:val="21"/>
        </w:rPr>
        <w:t>无特殊限制</w:t>
      </w:r>
      <w:r w:rsidRPr="0043038D">
        <w:rPr>
          <w:rFonts w:ascii="Arial" w:hAnsi="Arial" w:cs="Arial"/>
          <w:sz w:val="21"/>
          <w:szCs w:val="21"/>
        </w:rPr>
        <w:t>。</w:t>
      </w:r>
      <w:bookmarkEnd w:id="51"/>
      <w:r w:rsidRPr="0043038D">
        <w:rPr>
          <w:rFonts w:ascii="Arial" w:hAnsi="Arial" w:cs="Arial"/>
          <w:sz w:val="21"/>
          <w:szCs w:val="21"/>
        </w:rPr>
        <w:t>总体评价影响估价对象的</w:t>
      </w:r>
      <w:r w:rsidRPr="0043038D">
        <w:rPr>
          <w:rFonts w:ascii="Arial" w:hAnsi="Arial" w:cs="Arial" w:hint="eastAsia"/>
          <w:sz w:val="21"/>
          <w:szCs w:val="21"/>
        </w:rPr>
        <w:t>区位条件较好</w:t>
      </w:r>
      <w:r w:rsidRPr="0043038D">
        <w:rPr>
          <w:rFonts w:ascii="Arial" w:hAnsi="Arial" w:cs="Arial"/>
          <w:sz w:val="21"/>
          <w:szCs w:val="21"/>
        </w:rPr>
        <w:t>。</w:t>
      </w:r>
    </w:p>
    <w:p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52" w:name="_Toc155267102"/>
      <w:bookmarkStart w:id="53" w:name="_Toc525655435"/>
      <w:r w:rsidRPr="0043038D">
        <w:rPr>
          <w:rFonts w:eastAsia="宋体"/>
          <w:kern w:val="2"/>
          <w:sz w:val="21"/>
          <w:szCs w:val="21"/>
        </w:rPr>
        <w:t>（</w:t>
      </w:r>
      <w:r w:rsidRPr="0043038D">
        <w:rPr>
          <w:rFonts w:eastAsia="宋体" w:hint="eastAsia"/>
          <w:kern w:val="2"/>
          <w:sz w:val="21"/>
          <w:szCs w:val="21"/>
        </w:rPr>
        <w:t>二</w:t>
      </w:r>
      <w:r w:rsidRPr="0043038D">
        <w:rPr>
          <w:rFonts w:eastAsia="宋体"/>
          <w:kern w:val="2"/>
          <w:sz w:val="21"/>
          <w:szCs w:val="21"/>
        </w:rPr>
        <w:t>）实物状况分析</w:t>
      </w:r>
      <w:bookmarkEnd w:id="52"/>
      <w:bookmarkEnd w:id="53"/>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土地实物状况</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hint="eastAsia"/>
          <w:kern w:val="2"/>
          <w:sz w:val="21"/>
          <w:szCs w:val="21"/>
        </w:rPr>
        <w:t>）根据估价委托人提供的</w:t>
      </w: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，估价对象北京市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类居住用地（配建“保障性租赁住房”）为国有建设用地，权利性质为出让，用途为</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类住宅用地，宗地总面积为</w:t>
      </w:r>
      <w:r w:rsidRPr="0043038D">
        <w:rPr>
          <w:rFonts w:ascii="Arial" w:hAnsi="Arial" w:cs="Arial"/>
          <w:kern w:val="2"/>
          <w:sz w:val="21"/>
          <w:szCs w:val="21"/>
        </w:rPr>
        <w:t>71316.898</w:t>
      </w:r>
      <w:r w:rsidRPr="0043038D">
        <w:rPr>
          <w:rFonts w:ascii="Arial" w:hAnsi="Arial" w:cs="Arial" w:hint="eastAsia"/>
          <w:kern w:val="2"/>
          <w:sz w:val="21"/>
          <w:szCs w:val="21"/>
        </w:rPr>
        <w:t>平方米，使用期限为：住宅：</w:t>
      </w:r>
      <w:r w:rsidRPr="0043038D">
        <w:rPr>
          <w:rFonts w:ascii="Arial" w:hAnsi="Arial" w:cs="Arial" w:hint="eastAsia"/>
          <w:kern w:val="2"/>
          <w:sz w:val="21"/>
          <w:szCs w:val="21"/>
        </w:rPr>
        <w:t>2021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kern w:val="2"/>
          <w:sz w:val="21"/>
          <w:szCs w:val="21"/>
        </w:rPr>
        <w:t>13</w:t>
      </w:r>
      <w:r w:rsidRPr="0043038D">
        <w:rPr>
          <w:rFonts w:ascii="Arial" w:hAnsi="Arial" w:cs="Arial" w:hint="eastAsia"/>
          <w:kern w:val="2"/>
          <w:sz w:val="21"/>
          <w:szCs w:val="21"/>
        </w:rPr>
        <w:t>日起</w:t>
      </w:r>
      <w:r w:rsidRPr="0043038D">
        <w:rPr>
          <w:rFonts w:ascii="Arial" w:hAnsi="Arial" w:cs="Arial" w:hint="eastAsia"/>
          <w:kern w:val="2"/>
          <w:sz w:val="21"/>
          <w:szCs w:val="21"/>
        </w:rPr>
        <w:t>2091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日止。</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2</w:t>
      </w:r>
      <w:r w:rsidRPr="0043038D">
        <w:rPr>
          <w:rFonts w:ascii="Arial" w:hAnsi="Arial" w:cs="Arial" w:hint="eastAsia"/>
          <w:sz w:val="21"/>
          <w:szCs w:val="21"/>
        </w:rPr>
        <w:t>）</w:t>
      </w:r>
      <w:r w:rsidRPr="0043038D">
        <w:rPr>
          <w:rFonts w:ascii="Arial" w:hAnsi="Arial" w:cs="Arial"/>
          <w:sz w:val="21"/>
          <w:szCs w:val="21"/>
        </w:rPr>
        <w:t>估价对象所属项目用地四至：</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DX04-0102-6012</w:t>
      </w:r>
      <w:proofErr w:type="gramStart"/>
      <w:r w:rsidRPr="0043038D">
        <w:rPr>
          <w:rFonts w:ascii="Arial" w:hAnsi="Arial" w:cs="Arial" w:hint="eastAsia"/>
          <w:kern w:val="2"/>
          <w:sz w:val="21"/>
          <w:szCs w:val="21"/>
        </w:rPr>
        <w:t>地块北</w:t>
      </w:r>
      <w:proofErr w:type="gramEnd"/>
      <w:r w:rsidRPr="0043038D">
        <w:rPr>
          <w:rFonts w:ascii="Arial" w:hAnsi="Arial" w:cs="Arial" w:hint="eastAsia"/>
          <w:kern w:val="2"/>
          <w:sz w:val="21"/>
          <w:szCs w:val="21"/>
        </w:rPr>
        <w:t>用地红线，西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3</w:t>
      </w:r>
      <w:r w:rsidRPr="0043038D">
        <w:rPr>
          <w:rFonts w:ascii="Arial" w:hAnsi="Arial" w:cs="Arial" w:hint="eastAsia"/>
          <w:sz w:val="21"/>
          <w:szCs w:val="21"/>
        </w:rPr>
        <w:t>）</w:t>
      </w:r>
      <w:r w:rsidRPr="0043038D">
        <w:rPr>
          <w:rFonts w:ascii="Arial" w:hAnsi="Arial" w:cs="Arial"/>
          <w:sz w:val="21"/>
          <w:szCs w:val="21"/>
        </w:rPr>
        <w:t>估价对象所属项目用地呈</w:t>
      </w:r>
      <w:r w:rsidRPr="0043038D">
        <w:rPr>
          <w:rFonts w:ascii="Arial" w:hAnsi="Arial" w:cs="Arial" w:hint="eastAsia"/>
          <w:sz w:val="21"/>
          <w:szCs w:val="21"/>
        </w:rPr>
        <w:t>较</w:t>
      </w:r>
      <w:r w:rsidRPr="0043038D">
        <w:rPr>
          <w:rFonts w:ascii="Arial" w:hAnsi="Arial" w:cs="Arial"/>
          <w:sz w:val="21"/>
          <w:szCs w:val="21"/>
        </w:rPr>
        <w:t>规则形状，</w:t>
      </w:r>
      <w:r w:rsidRPr="0043038D">
        <w:rPr>
          <w:rFonts w:ascii="Arial" w:hAnsi="Arial" w:cs="Arial" w:hint="eastAsia"/>
          <w:sz w:val="21"/>
          <w:szCs w:val="21"/>
        </w:rPr>
        <w:t>对利用无不良影响，</w:t>
      </w:r>
      <w:r w:rsidRPr="0043038D">
        <w:rPr>
          <w:rFonts w:ascii="Arial" w:hAnsi="Arial" w:cs="Arial"/>
          <w:sz w:val="21"/>
          <w:szCs w:val="21"/>
        </w:rPr>
        <w:t>场地</w:t>
      </w:r>
      <w:r w:rsidRPr="0043038D">
        <w:rPr>
          <w:rFonts w:ascii="Arial" w:hAnsi="Arial" w:cs="Arial" w:hint="eastAsia"/>
          <w:sz w:val="21"/>
          <w:szCs w:val="21"/>
        </w:rPr>
        <w:t>呈</w:t>
      </w:r>
      <w:r w:rsidRPr="0043038D">
        <w:rPr>
          <w:rFonts w:ascii="Arial" w:hAnsi="Arial" w:cs="Arial"/>
          <w:sz w:val="21"/>
          <w:szCs w:val="21"/>
        </w:rPr>
        <w:t>较平坦地势</w:t>
      </w:r>
      <w:r w:rsidRPr="0043038D">
        <w:rPr>
          <w:rFonts w:ascii="Arial" w:hAnsi="Arial" w:cs="Arial" w:hint="eastAsia"/>
          <w:sz w:val="21"/>
          <w:szCs w:val="21"/>
        </w:rPr>
        <w:t>，工程地质条件良好，无不良地质现象</w:t>
      </w:r>
      <w:r w:rsidRPr="0043038D">
        <w:rPr>
          <w:rFonts w:ascii="Arial" w:hAnsi="Arial" w:cs="Arial"/>
          <w:sz w:val="21"/>
          <w:szCs w:val="21"/>
        </w:rPr>
        <w:t>。</w:t>
      </w:r>
      <w:r w:rsidRPr="0043038D">
        <w:rPr>
          <w:rFonts w:ascii="Arial" w:hAnsi="Arial" w:cs="Arial" w:hint="eastAsia"/>
          <w:sz w:val="21"/>
          <w:szCs w:val="21"/>
        </w:rPr>
        <w:t>估价对象现状已完成开发建设，土地利用程度高。</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4</w:t>
      </w:r>
      <w:r w:rsidRPr="0043038D">
        <w:rPr>
          <w:rFonts w:ascii="Arial" w:hAnsi="Arial" w:cs="Arial" w:hint="eastAsia"/>
          <w:sz w:val="21"/>
          <w:szCs w:val="21"/>
        </w:rPr>
        <w:t>）开发程度</w:t>
      </w:r>
      <w:r w:rsidRPr="0043038D">
        <w:rPr>
          <w:rFonts w:ascii="Arial" w:hAnsi="Arial" w:cs="Arial"/>
          <w:sz w:val="21"/>
          <w:szCs w:val="21"/>
        </w:rPr>
        <w:t>：</w:t>
      </w:r>
    </w:p>
    <w:p w:rsidR="000E5655" w:rsidRPr="0043038D" w:rsidRDefault="00837133">
      <w:pPr>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kern w:val="2"/>
          <w:sz w:val="21"/>
          <w:szCs w:val="21"/>
        </w:rPr>
        <w:t>估价对象所在区域市政基础设施完备，为</w:t>
      </w:r>
      <w:r w:rsidRPr="0043038D">
        <w:rPr>
          <w:rFonts w:ascii="Arial" w:hAnsi="Arial" w:cs="Arial"/>
          <w:kern w:val="2"/>
          <w:sz w:val="21"/>
          <w:szCs w:val="21"/>
        </w:rPr>
        <w:t>“</w:t>
      </w:r>
      <w:r w:rsidRPr="0043038D">
        <w:rPr>
          <w:rFonts w:ascii="Arial" w:hAnsi="Arial" w:cs="Arial" w:hint="eastAsia"/>
          <w:kern w:val="2"/>
          <w:sz w:val="21"/>
          <w:szCs w:val="21"/>
        </w:rPr>
        <w:t>七</w:t>
      </w:r>
      <w:r w:rsidRPr="0043038D">
        <w:rPr>
          <w:rFonts w:ascii="Arial" w:hAnsi="Arial" w:cs="Arial"/>
          <w:kern w:val="2"/>
          <w:sz w:val="21"/>
          <w:szCs w:val="21"/>
        </w:rPr>
        <w:t>通</w:t>
      </w:r>
      <w:r w:rsidRPr="0043038D">
        <w:rPr>
          <w:rFonts w:ascii="Arial" w:hAnsi="Arial" w:cs="Arial"/>
          <w:kern w:val="2"/>
          <w:sz w:val="21"/>
          <w:szCs w:val="21"/>
        </w:rPr>
        <w:t>”</w:t>
      </w:r>
      <w:r w:rsidRPr="0043038D">
        <w:rPr>
          <w:rFonts w:ascii="Arial" w:hAnsi="Arial" w:cs="Arial"/>
          <w:kern w:val="2"/>
          <w:sz w:val="21"/>
          <w:szCs w:val="21"/>
        </w:rPr>
        <w:t>（即通路、通电、通讯</w:t>
      </w:r>
      <w:r w:rsidRPr="0043038D">
        <w:rPr>
          <w:rFonts w:ascii="Arial" w:hAnsi="Arial" w:cs="Arial" w:hint="eastAsia"/>
          <w:kern w:val="2"/>
          <w:sz w:val="21"/>
          <w:szCs w:val="21"/>
        </w:rPr>
        <w:t>、</w:t>
      </w:r>
      <w:r w:rsidRPr="0043038D">
        <w:rPr>
          <w:rFonts w:ascii="Arial" w:hAnsi="Arial" w:cs="Arial"/>
          <w:kern w:val="2"/>
          <w:sz w:val="21"/>
          <w:szCs w:val="21"/>
        </w:rPr>
        <w:t>通上水、通下水、通燃气、通热力），且保证程度高。</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综上所述，</w:t>
      </w:r>
      <w:r w:rsidRPr="0043038D">
        <w:rPr>
          <w:rFonts w:ascii="Arial" w:hAnsi="Arial" w:cs="Arial"/>
          <w:kern w:val="2"/>
          <w:sz w:val="21"/>
          <w:szCs w:val="21"/>
        </w:rPr>
        <w:t>估价对象</w:t>
      </w:r>
      <w:r w:rsidRPr="0043038D">
        <w:rPr>
          <w:rFonts w:ascii="Arial" w:hAnsi="Arial" w:cs="Arial" w:hint="eastAsia"/>
          <w:kern w:val="2"/>
          <w:sz w:val="21"/>
          <w:szCs w:val="21"/>
        </w:rPr>
        <w:t>所在区域</w:t>
      </w:r>
      <w:r w:rsidRPr="0043038D">
        <w:rPr>
          <w:rFonts w:ascii="Arial" w:hAnsi="Arial" w:cs="Arial"/>
          <w:kern w:val="2"/>
          <w:sz w:val="21"/>
          <w:szCs w:val="21"/>
        </w:rPr>
        <w:t>土地实物状况较好，场地地势平坦，地质条件良好，基础设施完备，宗地条件有利于估价对象利用，对估价对象租赁价格无不良影响</w:t>
      </w:r>
      <w:r w:rsidRPr="0043038D">
        <w:rPr>
          <w:rFonts w:ascii="Arial" w:hAnsi="Arial" w:cs="Arial" w:hint="eastAsia"/>
          <w:sz w:val="21"/>
          <w:szCs w:val="21"/>
        </w:rPr>
        <w:t>。</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建筑物实物状况</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1</w:t>
      </w:r>
      <w:r w:rsidRPr="0043038D">
        <w:rPr>
          <w:rFonts w:ascii="Arial" w:hAnsi="Arial" w:cs="Arial" w:hint="eastAsia"/>
          <w:sz w:val="21"/>
          <w:szCs w:val="21"/>
        </w:rPr>
        <w:t>）建设规模：根据估价委托人提供的《估价委托书》、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性租赁住房。估价对象收购方为北京市</w:t>
      </w:r>
      <w:r w:rsidRPr="0043038D">
        <w:rPr>
          <w:rFonts w:ascii="Arial" w:hAnsi="Arial" w:cs="Arial" w:hint="eastAsia"/>
          <w:kern w:val="2"/>
          <w:sz w:val="21"/>
          <w:szCs w:val="21"/>
        </w:rPr>
        <w:lastRenderedPageBreak/>
        <w:t>燕</w:t>
      </w:r>
      <w:proofErr w:type="gramStart"/>
      <w:r w:rsidRPr="0043038D">
        <w:rPr>
          <w:rFonts w:ascii="Arial" w:hAnsi="Arial" w:cs="Arial" w:hint="eastAsia"/>
          <w:kern w:val="2"/>
          <w:sz w:val="21"/>
          <w:szCs w:val="21"/>
        </w:rPr>
        <w:t>兴保障</w:t>
      </w:r>
      <w:proofErr w:type="gramEnd"/>
      <w:r w:rsidRPr="0043038D">
        <w:rPr>
          <w:rFonts w:ascii="Arial" w:hAnsi="Arial" w:cs="Arial" w:hint="eastAsia"/>
          <w:kern w:val="2"/>
          <w:sz w:val="21"/>
          <w:szCs w:val="21"/>
        </w:rPr>
        <w:t>性住房建设投资有限公司，所在项目现状四至为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w:t>
      </w:r>
      <w:r w:rsidRPr="0043038D">
        <w:rPr>
          <w:rFonts w:ascii="Arial" w:hAnsi="Arial" w:cs="Arial"/>
          <w:kern w:val="2"/>
          <w:sz w:val="21"/>
          <w:szCs w:val="21"/>
        </w:rPr>
        <w:t>04-0102-6012</w:t>
      </w:r>
      <w:proofErr w:type="gramStart"/>
      <w:r w:rsidRPr="0043038D">
        <w:rPr>
          <w:rFonts w:ascii="Arial" w:hAnsi="Arial" w:cs="Arial"/>
          <w:kern w:val="2"/>
          <w:sz w:val="21"/>
          <w:szCs w:val="21"/>
        </w:rPr>
        <w:t>地块北</w:t>
      </w:r>
      <w:proofErr w:type="gramEnd"/>
      <w:r w:rsidRPr="0043038D">
        <w:rPr>
          <w:rFonts w:ascii="Arial" w:hAnsi="Arial" w:cs="Arial"/>
          <w:kern w:val="2"/>
          <w:sz w:val="21"/>
          <w:szCs w:val="21"/>
        </w:rPr>
        <w:t>用地红线</w:t>
      </w:r>
      <w:r w:rsidRPr="0043038D">
        <w:rPr>
          <w:rFonts w:ascii="Arial" w:hAnsi="Arial" w:cs="Arial" w:hint="eastAsia"/>
          <w:kern w:val="2"/>
          <w:sz w:val="21"/>
          <w:szCs w:val="21"/>
        </w:rPr>
        <w:t>，西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，估价对象用途为保障性租赁住房（住宅型），建筑面积为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blHead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2</w:t>
      </w:r>
      <w:r w:rsidRPr="0043038D">
        <w:rPr>
          <w:rFonts w:ascii="Arial" w:hAnsi="Arial" w:cs="Arial" w:hint="eastAsia"/>
          <w:sz w:val="21"/>
          <w:szCs w:val="21"/>
        </w:rPr>
        <w:t>）建筑结构：估价对象所属楼宇建筑结构为</w:t>
      </w:r>
      <w:r w:rsidRPr="0043038D">
        <w:rPr>
          <w:rFonts w:ascii="Arial" w:hAnsi="Arial" w:cs="Arial" w:hint="eastAsia"/>
          <w:kern w:val="2"/>
          <w:sz w:val="21"/>
          <w:szCs w:val="21"/>
        </w:rPr>
        <w:t>钢筋混凝土结构</w:t>
      </w:r>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3</w:t>
      </w:r>
      <w:r w:rsidRPr="0043038D">
        <w:rPr>
          <w:rFonts w:ascii="Arial" w:hAnsi="Arial" w:cs="Arial" w:hint="eastAsia"/>
          <w:sz w:val="21"/>
          <w:szCs w:val="21"/>
        </w:rPr>
        <w:t>）建筑外观：</w:t>
      </w:r>
      <w:r w:rsidRPr="0043038D">
        <w:rPr>
          <w:rFonts w:ascii="Arial" w:hAnsi="Arial" w:cs="Arial" w:hint="eastAsia"/>
          <w:kern w:val="2"/>
          <w:sz w:val="21"/>
          <w:szCs w:val="21"/>
        </w:rPr>
        <w:t>估价对象</w:t>
      </w:r>
      <w:proofErr w:type="gramStart"/>
      <w:r w:rsidRPr="0043038D">
        <w:rPr>
          <w:rFonts w:ascii="Arial" w:hAnsi="Arial" w:cs="Arial" w:hint="eastAsia"/>
          <w:kern w:val="2"/>
          <w:sz w:val="21"/>
          <w:szCs w:val="21"/>
        </w:rPr>
        <w:t>为板塔结合</w:t>
      </w:r>
      <w:proofErr w:type="gramEnd"/>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4</w:t>
      </w:r>
      <w:r w:rsidRPr="0043038D">
        <w:rPr>
          <w:rFonts w:ascii="Arial" w:hAnsi="Arial" w:cs="Arial" w:hint="eastAsia"/>
          <w:sz w:val="21"/>
          <w:szCs w:val="21"/>
        </w:rPr>
        <w:t>）设施设备及家具家电：估价对象所在项目配套设施完备，给排水、电力、电讯、暖通等齐全；防火</w:t>
      </w:r>
      <w:proofErr w:type="gramStart"/>
      <w:r w:rsidRPr="0043038D">
        <w:rPr>
          <w:rFonts w:ascii="Arial" w:hAnsi="Arial" w:cs="Arial" w:hint="eastAsia"/>
          <w:sz w:val="21"/>
          <w:szCs w:val="21"/>
        </w:rPr>
        <w:t>栓</w:t>
      </w:r>
      <w:proofErr w:type="gramEnd"/>
      <w:r w:rsidRPr="0043038D">
        <w:rPr>
          <w:rFonts w:ascii="Arial" w:hAnsi="Arial" w:cs="Arial" w:hint="eastAsia"/>
          <w:sz w:val="21"/>
          <w:szCs w:val="21"/>
        </w:rPr>
        <w:t>、安防系统等设备齐全；估价对象内部配备厨卫等基本家具家电，铺设地暖。估价对象作为保障性租赁住房（住宅型）出租使用。</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5</w:t>
      </w:r>
      <w:r w:rsidRPr="0043038D">
        <w:rPr>
          <w:rFonts w:ascii="Arial" w:hAnsi="Arial" w:cs="Arial" w:hint="eastAsia"/>
          <w:sz w:val="21"/>
          <w:szCs w:val="21"/>
        </w:rPr>
        <w:t>）装饰装修：根据估价委托人介绍及估价人员实地查勘，估价对象均为精装修，外立面为涂料、墙砖，公共部分首层地面贴砖，顶棚为石膏吊顶，墙面为墙砖。室内地面铺设木地板，墙面为涂料，顶棚为涂料；卫生间有陶瓷洗手池、坐便器，地面铺设地砖，墙面为墙砖，顶棚为铝扣板；厨房有整体橱柜、不锈钢洗菜池，地面铺设地砖，墙面为墙砖，顶棚为铝扣板。</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6</w:t>
      </w:r>
      <w:r w:rsidRPr="0043038D">
        <w:rPr>
          <w:rFonts w:ascii="Arial" w:hAnsi="Arial" w:cs="Arial" w:hint="eastAsia"/>
          <w:sz w:val="21"/>
          <w:szCs w:val="21"/>
        </w:rPr>
        <w:t>）新旧程度：根据估价专业人员现场勘查，截至价值时点，估价对象已完成竣工验收工作，竣工验收时间为</w:t>
      </w:r>
      <w:r w:rsidRPr="0043038D">
        <w:rPr>
          <w:rFonts w:ascii="Arial" w:hAnsi="Arial" w:cs="Arial" w:hint="eastAsia"/>
          <w:sz w:val="21"/>
          <w:szCs w:val="21"/>
        </w:rPr>
        <w:t>2</w:t>
      </w:r>
      <w:r w:rsidRPr="0043038D">
        <w:rPr>
          <w:rFonts w:ascii="Arial" w:hAnsi="Arial" w:cs="Arial"/>
          <w:sz w:val="21"/>
          <w:szCs w:val="21"/>
        </w:rPr>
        <w:t>023</w:t>
      </w:r>
      <w:r w:rsidRPr="0043038D">
        <w:rPr>
          <w:rFonts w:ascii="Arial" w:hAnsi="Arial" w:cs="Arial"/>
          <w:sz w:val="21"/>
          <w:szCs w:val="21"/>
        </w:rPr>
        <w:t>年</w:t>
      </w:r>
      <w:r w:rsidRPr="0043038D">
        <w:rPr>
          <w:rFonts w:ascii="Arial" w:hAnsi="Arial" w:cs="Arial" w:hint="eastAsia"/>
          <w:sz w:val="21"/>
          <w:szCs w:val="21"/>
        </w:rPr>
        <w:t>1</w:t>
      </w:r>
      <w:r w:rsidRPr="0043038D">
        <w:rPr>
          <w:rFonts w:ascii="Arial" w:hAnsi="Arial" w:cs="Arial"/>
          <w:sz w:val="21"/>
          <w:szCs w:val="21"/>
        </w:rPr>
        <w:t>2</w:t>
      </w:r>
      <w:r w:rsidRPr="0043038D">
        <w:rPr>
          <w:rFonts w:ascii="Arial" w:hAnsi="Arial" w:cs="Arial"/>
          <w:sz w:val="21"/>
          <w:szCs w:val="21"/>
        </w:rPr>
        <w:t>月</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sz w:val="21"/>
          <w:szCs w:val="21"/>
        </w:rPr>
        <w:t>日</w:t>
      </w:r>
      <w:r w:rsidRPr="0043038D">
        <w:rPr>
          <w:rFonts w:ascii="Arial" w:hAnsi="Arial" w:cs="Arial" w:hint="eastAsia"/>
          <w:sz w:val="21"/>
          <w:szCs w:val="21"/>
        </w:rPr>
        <w:t>，估价对象观察成新度较高，综合成新度为</w:t>
      </w:r>
      <w:r w:rsidRPr="0043038D">
        <w:rPr>
          <w:rFonts w:ascii="Arial" w:hAnsi="Arial" w:cs="Arial" w:hint="eastAsia"/>
          <w:sz w:val="21"/>
          <w:szCs w:val="21"/>
        </w:rPr>
        <w:t>9</w:t>
      </w:r>
      <w:r w:rsidRPr="0043038D">
        <w:rPr>
          <w:rFonts w:ascii="Arial" w:hAnsi="Arial" w:cs="Arial"/>
          <w:sz w:val="21"/>
          <w:szCs w:val="21"/>
        </w:rPr>
        <w:t>9%</w:t>
      </w:r>
      <w:r w:rsidRPr="0043038D">
        <w:rPr>
          <w:rFonts w:ascii="Arial" w:hAnsi="Arial" w:cs="Arial" w:hint="eastAsia"/>
          <w:sz w:val="21"/>
          <w:szCs w:val="21"/>
        </w:rPr>
        <w:t>。</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7</w:t>
      </w:r>
      <w:r w:rsidRPr="0043038D">
        <w:rPr>
          <w:rFonts w:ascii="Arial" w:hAnsi="Arial" w:cs="Arial" w:hint="eastAsia"/>
          <w:sz w:val="21"/>
          <w:szCs w:val="21"/>
        </w:rPr>
        <w:t>）户型设计：估价对象均为平层结构，分为四种户型，分别为零居室、</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居室、小两居、两居室。其中零居室</w:t>
      </w:r>
      <w:r w:rsidRPr="0043038D">
        <w:rPr>
          <w:rFonts w:ascii="Arial" w:hAnsi="Arial" w:cs="Arial"/>
          <w:sz w:val="21"/>
          <w:szCs w:val="21"/>
        </w:rPr>
        <w:t>60</w:t>
      </w:r>
      <w:r w:rsidRPr="0043038D">
        <w:rPr>
          <w:rFonts w:ascii="Arial" w:hAnsi="Arial" w:cs="Arial" w:hint="eastAsia"/>
          <w:sz w:val="21"/>
          <w:szCs w:val="21"/>
        </w:rPr>
        <w:t>套、</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w:t>
      </w:r>
      <w:r w:rsidRPr="0043038D">
        <w:rPr>
          <w:rFonts w:ascii="Arial" w:hAnsi="Arial" w:cs="Arial"/>
          <w:sz w:val="21"/>
          <w:szCs w:val="21"/>
        </w:rPr>
        <w:t>3</w:t>
      </w:r>
      <w:r w:rsidRPr="0043038D">
        <w:rPr>
          <w:rFonts w:ascii="Arial" w:hAnsi="Arial" w:cs="Arial" w:hint="eastAsia"/>
          <w:sz w:val="21"/>
          <w:szCs w:val="21"/>
        </w:rPr>
        <w:t>套、小两居</w:t>
      </w:r>
      <w:r w:rsidRPr="0043038D">
        <w:rPr>
          <w:rFonts w:ascii="Arial" w:hAnsi="Arial" w:cs="Arial"/>
          <w:sz w:val="21"/>
          <w:szCs w:val="21"/>
        </w:rPr>
        <w:t>166</w:t>
      </w:r>
      <w:r w:rsidRPr="0043038D">
        <w:rPr>
          <w:rFonts w:ascii="Arial" w:hAnsi="Arial" w:cs="Arial" w:hint="eastAsia"/>
          <w:sz w:val="21"/>
          <w:szCs w:val="21"/>
        </w:rPr>
        <w:t>套、两居室</w:t>
      </w:r>
      <w:r w:rsidRPr="0043038D">
        <w:rPr>
          <w:rFonts w:ascii="Arial" w:hAnsi="Arial" w:cs="Arial"/>
          <w:sz w:val="21"/>
          <w:szCs w:val="21"/>
        </w:rPr>
        <w:t>59</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lastRenderedPageBreak/>
        <w:t>（</w:t>
      </w:r>
      <w:r w:rsidRPr="0043038D">
        <w:rPr>
          <w:rFonts w:ascii="Arial" w:hAnsi="Arial" w:cs="Arial" w:hint="eastAsia"/>
          <w:sz w:val="21"/>
          <w:szCs w:val="21"/>
        </w:rPr>
        <w:t>8</w:t>
      </w:r>
      <w:r w:rsidRPr="0043038D">
        <w:rPr>
          <w:rFonts w:ascii="Arial" w:hAnsi="Arial" w:cs="Arial" w:hint="eastAsia"/>
          <w:sz w:val="21"/>
          <w:szCs w:val="21"/>
        </w:rPr>
        <w:t>）朝向：估价对象零居室主要以东、西朝向为主，其中东朝向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套、西朝向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w:t>
      </w:r>
      <w:r w:rsidRPr="0043038D">
        <w:rPr>
          <w:rFonts w:ascii="Arial" w:hAnsi="Arial" w:cs="Arial" w:hint="eastAsia"/>
          <w:sz w:val="21"/>
          <w:szCs w:val="21"/>
        </w:rPr>
        <w:t>；</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居室有南北、东西朝向，其中南北朝向</w:t>
      </w:r>
      <w:r w:rsidRPr="0043038D">
        <w:rPr>
          <w:rFonts w:ascii="Arial" w:hAnsi="Arial" w:cs="Arial" w:hint="eastAsia"/>
          <w:sz w:val="21"/>
          <w:szCs w:val="21"/>
        </w:rPr>
        <w:t>2</w:t>
      </w:r>
      <w:r w:rsidRPr="0043038D">
        <w:rPr>
          <w:rFonts w:ascii="Arial" w:hAnsi="Arial" w:cs="Arial" w:hint="eastAsia"/>
          <w:sz w:val="21"/>
          <w:szCs w:val="21"/>
        </w:rPr>
        <w:t>套、东西朝向</w:t>
      </w:r>
      <w:r w:rsidRPr="0043038D">
        <w:rPr>
          <w:rFonts w:ascii="Arial" w:hAnsi="Arial" w:cs="Arial" w:hint="eastAsia"/>
          <w:sz w:val="21"/>
          <w:szCs w:val="21"/>
        </w:rPr>
        <w:t>1</w:t>
      </w:r>
      <w:r w:rsidRPr="0043038D">
        <w:rPr>
          <w:rFonts w:ascii="Arial" w:hAnsi="Arial" w:cs="Arial" w:hint="eastAsia"/>
          <w:sz w:val="21"/>
          <w:szCs w:val="21"/>
        </w:rPr>
        <w:t>套；小两居有南北、南、西北东、东西、西北朝向，其中南北朝向</w:t>
      </w:r>
      <w:r w:rsidRPr="0043038D">
        <w:rPr>
          <w:rFonts w:ascii="Arial" w:hAnsi="Arial" w:cs="Arial" w:hint="eastAsia"/>
          <w:sz w:val="21"/>
          <w:szCs w:val="21"/>
        </w:rPr>
        <w:t>2</w:t>
      </w:r>
      <w:r w:rsidRPr="0043038D">
        <w:rPr>
          <w:rFonts w:ascii="Arial" w:hAnsi="Arial" w:cs="Arial"/>
          <w:sz w:val="21"/>
          <w:szCs w:val="21"/>
        </w:rPr>
        <w:t>8</w:t>
      </w:r>
      <w:r w:rsidRPr="0043038D">
        <w:rPr>
          <w:rFonts w:ascii="Arial" w:hAnsi="Arial" w:cs="Arial" w:hint="eastAsia"/>
          <w:sz w:val="21"/>
          <w:szCs w:val="21"/>
        </w:rPr>
        <w:t>套、</w:t>
      </w:r>
      <w:proofErr w:type="gramStart"/>
      <w:r w:rsidRPr="0043038D">
        <w:rPr>
          <w:rFonts w:ascii="Arial" w:hAnsi="Arial" w:cs="Arial" w:hint="eastAsia"/>
          <w:sz w:val="21"/>
          <w:szCs w:val="21"/>
        </w:rPr>
        <w:t>南朝向</w:t>
      </w:r>
      <w:proofErr w:type="gramEnd"/>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hint="eastAsia"/>
          <w:sz w:val="21"/>
          <w:szCs w:val="21"/>
        </w:rPr>
        <w:t>套、西北东朝向</w:t>
      </w:r>
      <w:r w:rsidRPr="0043038D">
        <w:rPr>
          <w:rFonts w:ascii="Arial" w:hAnsi="Arial" w:cs="Arial"/>
          <w:sz w:val="21"/>
          <w:szCs w:val="21"/>
        </w:rPr>
        <w:t>19</w:t>
      </w:r>
      <w:r w:rsidRPr="0043038D">
        <w:rPr>
          <w:rFonts w:ascii="Arial" w:hAnsi="Arial" w:cs="Arial" w:hint="eastAsia"/>
          <w:sz w:val="21"/>
          <w:szCs w:val="21"/>
        </w:rPr>
        <w:t>套、东西朝向</w:t>
      </w:r>
      <w:r w:rsidRPr="0043038D">
        <w:rPr>
          <w:rFonts w:ascii="Arial" w:hAnsi="Arial" w:cs="Arial"/>
          <w:sz w:val="21"/>
          <w:szCs w:val="21"/>
        </w:rPr>
        <w:t>15</w:t>
      </w:r>
      <w:r w:rsidRPr="0043038D">
        <w:rPr>
          <w:rFonts w:ascii="Arial" w:hAnsi="Arial" w:cs="Arial" w:hint="eastAsia"/>
          <w:sz w:val="21"/>
          <w:szCs w:val="21"/>
        </w:rPr>
        <w:t>套、西北朝向</w:t>
      </w:r>
      <w:r w:rsidRPr="0043038D">
        <w:rPr>
          <w:rFonts w:ascii="Arial" w:hAnsi="Arial" w:cs="Arial"/>
          <w:sz w:val="21"/>
          <w:szCs w:val="21"/>
        </w:rPr>
        <w:t>15</w:t>
      </w:r>
      <w:r w:rsidRPr="0043038D">
        <w:rPr>
          <w:rFonts w:ascii="Arial" w:hAnsi="Arial" w:cs="Arial" w:hint="eastAsia"/>
          <w:sz w:val="21"/>
          <w:szCs w:val="21"/>
        </w:rPr>
        <w:t>套；两居室有东南、西南朝向，其中东南朝向</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套、西南朝向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9</w:t>
      </w:r>
      <w:r w:rsidRPr="0043038D">
        <w:rPr>
          <w:rFonts w:ascii="Arial" w:hAnsi="Arial" w:cs="Arial" w:hint="eastAsia"/>
          <w:sz w:val="21"/>
          <w:szCs w:val="21"/>
        </w:rPr>
        <w:t>）综合服务管理设施：估价对象所属小区为封闭式管理，门口设有快递柜、小区内设有垃圾分类收集点。估价对象为住宅配建保障性租赁住房，与商品房享有同样的配套设施，估价对象所在楼栋一层配备保障性租赁住房管理用房等。</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10</w:t>
      </w:r>
      <w:r w:rsidRPr="0043038D">
        <w:rPr>
          <w:rFonts w:ascii="Arial" w:hAnsi="Arial" w:cs="Arial" w:hint="eastAsia"/>
          <w:sz w:val="21"/>
          <w:szCs w:val="21"/>
        </w:rPr>
        <w:t>）水电气</w:t>
      </w:r>
      <w:proofErr w:type="gramStart"/>
      <w:r w:rsidRPr="0043038D">
        <w:rPr>
          <w:rFonts w:ascii="Arial" w:hAnsi="Arial" w:cs="Arial" w:hint="eastAsia"/>
          <w:sz w:val="21"/>
          <w:szCs w:val="21"/>
        </w:rPr>
        <w:t>费执行</w:t>
      </w:r>
      <w:proofErr w:type="gramEnd"/>
      <w:r w:rsidRPr="0043038D">
        <w:rPr>
          <w:rFonts w:ascii="Arial" w:hAnsi="Arial" w:cs="Arial" w:hint="eastAsia"/>
          <w:sz w:val="21"/>
          <w:szCs w:val="21"/>
        </w:rPr>
        <w:t>标准：估价对象</w:t>
      </w:r>
      <w:proofErr w:type="gramStart"/>
      <w:r w:rsidRPr="0043038D">
        <w:rPr>
          <w:rFonts w:ascii="Arial" w:hAnsi="Arial" w:cs="Arial" w:hint="eastAsia"/>
          <w:sz w:val="21"/>
          <w:szCs w:val="21"/>
        </w:rPr>
        <w:t>执行民水民</w:t>
      </w:r>
      <w:proofErr w:type="gramEnd"/>
      <w:r w:rsidRPr="0043038D">
        <w:rPr>
          <w:rFonts w:ascii="Arial" w:hAnsi="Arial" w:cs="Arial" w:hint="eastAsia"/>
          <w:sz w:val="21"/>
          <w:szCs w:val="21"/>
        </w:rPr>
        <w:t>电标准。</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hint="eastAsia"/>
          <w:sz w:val="21"/>
          <w:szCs w:val="21"/>
        </w:rPr>
        <w:t>3</w:t>
      </w:r>
      <w:r w:rsidRPr="0043038D">
        <w:rPr>
          <w:rFonts w:ascii="Arial" w:hAnsi="Arial" w:cs="Arial"/>
          <w:sz w:val="21"/>
          <w:szCs w:val="21"/>
        </w:rPr>
        <w:t>.</w:t>
      </w:r>
      <w:r w:rsidRPr="0043038D">
        <w:rPr>
          <w:rFonts w:ascii="Arial" w:hAnsi="Arial" w:cs="Arial" w:hint="eastAsia"/>
          <w:sz w:val="21"/>
          <w:szCs w:val="21"/>
        </w:rPr>
        <w:t>对价格影响的分析</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估价对象作为</w:t>
      </w:r>
      <w:r w:rsidRPr="0043038D">
        <w:rPr>
          <w:rFonts w:ascii="Arial" w:hAnsi="Arial" w:cs="Arial" w:hint="eastAsia"/>
          <w:kern w:val="2"/>
          <w:sz w:val="21"/>
          <w:szCs w:val="21"/>
        </w:rPr>
        <w:t>保障性租赁住房（住宅型）</w:t>
      </w:r>
      <w:r w:rsidRPr="0043038D">
        <w:rPr>
          <w:rFonts w:ascii="Arial" w:hAnsi="Arial" w:cs="Arial"/>
          <w:sz w:val="21"/>
          <w:szCs w:val="21"/>
        </w:rPr>
        <w:t>使用，通用性相对较好，能完全满足大部分</w:t>
      </w:r>
      <w:r w:rsidRPr="0043038D">
        <w:rPr>
          <w:rFonts w:ascii="Arial" w:hAnsi="Arial" w:cs="Arial" w:hint="eastAsia"/>
          <w:sz w:val="21"/>
          <w:szCs w:val="21"/>
        </w:rPr>
        <w:t>承</w:t>
      </w:r>
      <w:r w:rsidRPr="0043038D">
        <w:rPr>
          <w:rFonts w:ascii="Arial" w:hAnsi="Arial" w:cs="Arial"/>
          <w:sz w:val="21"/>
          <w:szCs w:val="21"/>
        </w:rPr>
        <w:t>租者的需求，因此将会在一定程度上影响其租金价格水平。</w:t>
      </w:r>
    </w:p>
    <w:p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54" w:name="_Toc525655436"/>
      <w:bookmarkStart w:id="55" w:name="_Toc155267103"/>
      <w:r w:rsidRPr="0043038D">
        <w:rPr>
          <w:rFonts w:eastAsia="宋体"/>
          <w:kern w:val="2"/>
          <w:sz w:val="21"/>
          <w:szCs w:val="21"/>
        </w:rPr>
        <w:t>（</w:t>
      </w:r>
      <w:r w:rsidRPr="0043038D">
        <w:rPr>
          <w:rFonts w:eastAsia="宋体" w:hint="eastAsia"/>
          <w:kern w:val="2"/>
          <w:sz w:val="21"/>
          <w:szCs w:val="21"/>
        </w:rPr>
        <w:t>三</w:t>
      </w:r>
      <w:r w:rsidRPr="0043038D">
        <w:rPr>
          <w:rFonts w:eastAsia="宋体"/>
          <w:kern w:val="2"/>
          <w:sz w:val="21"/>
          <w:szCs w:val="21"/>
        </w:rPr>
        <w:t>）权益状况分析</w:t>
      </w:r>
      <w:bookmarkEnd w:id="54"/>
      <w:bookmarkEnd w:id="55"/>
    </w:p>
    <w:p w:rsidR="000E5655" w:rsidRPr="0043038D" w:rsidRDefault="00837133">
      <w:pPr>
        <w:spacing w:line="480" w:lineRule="auto"/>
        <w:ind w:firstLineChars="200" w:firstLine="420"/>
        <w:rPr>
          <w:rFonts w:ascii="Arial" w:hAnsi="Arial" w:cs="Arial"/>
          <w:kern w:val="2"/>
          <w:sz w:val="21"/>
          <w:szCs w:val="21"/>
        </w:rPr>
      </w:pPr>
      <w:bookmarkStart w:id="56" w:name="_Toc525655437"/>
      <w:r w:rsidRPr="0043038D">
        <w:rPr>
          <w:rFonts w:ascii="Arial" w:hAnsi="Arial" w:cs="Arial" w:hint="eastAsia"/>
          <w:sz w:val="21"/>
          <w:szCs w:val="21"/>
        </w:rPr>
        <w:t>根据估价委托人提供的资料及评估专业人员实地查勘，于价值时点，未发现估价对象存在抵押、</w:t>
      </w:r>
      <w:r w:rsidRPr="0043038D">
        <w:rPr>
          <w:rFonts w:ascii="Arial" w:hAnsi="Arial" w:cs="Arial" w:hint="eastAsia"/>
          <w:kern w:val="2"/>
          <w:sz w:val="21"/>
          <w:szCs w:val="21"/>
        </w:rPr>
        <w:t>租赁、地役、查封等他项权利</w:t>
      </w:r>
      <w:r w:rsidRPr="0043038D">
        <w:rPr>
          <w:rFonts w:ascii="Arial" w:hAnsi="Arial" w:cs="Arial" w:hint="eastAsia"/>
          <w:sz w:val="21"/>
          <w:szCs w:val="21"/>
        </w:rPr>
        <w:t>。</w:t>
      </w:r>
      <w:r w:rsidRPr="0043038D">
        <w:rPr>
          <w:rFonts w:ascii="Arial" w:hAnsi="Arial" w:cs="Arial" w:hint="eastAsia"/>
          <w:kern w:val="2"/>
          <w:sz w:val="21"/>
          <w:szCs w:val="21"/>
        </w:rPr>
        <w:t>根据估价目的，本次估价未考虑抵押、租赁、地役、查封等他项权利影响，故设定估价对象于价值时点不存在租赁、地役、查封等他项权利限制。</w:t>
      </w:r>
    </w:p>
    <w:p w:rsidR="000E5655" w:rsidRPr="0043038D" w:rsidRDefault="000E5655">
      <w:pPr>
        <w:pStyle w:val="2"/>
        <w:numPr>
          <w:ilvl w:val="0"/>
          <w:numId w:val="0"/>
        </w:numPr>
        <w:spacing w:line="480" w:lineRule="auto"/>
        <w:ind w:left="358" w:hangingChars="170" w:hanging="358"/>
        <w:jc w:val="both"/>
        <w:rPr>
          <w:rFonts w:eastAsia="宋体"/>
          <w:kern w:val="2"/>
          <w:sz w:val="21"/>
          <w:szCs w:val="21"/>
        </w:rPr>
      </w:pPr>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57" w:name="_Toc155267104"/>
      <w:r w:rsidRPr="0043038D">
        <w:rPr>
          <w:rFonts w:eastAsia="宋体"/>
          <w:kern w:val="2"/>
          <w:sz w:val="21"/>
          <w:szCs w:val="21"/>
        </w:rPr>
        <w:t>二、市场背景描述与分析</w:t>
      </w:r>
      <w:bookmarkEnd w:id="56"/>
      <w:bookmarkEnd w:id="57"/>
    </w:p>
    <w:p w:rsidR="000E5655" w:rsidRPr="0043038D" w:rsidRDefault="00837133">
      <w:pPr>
        <w:overflowPunct w:val="0"/>
        <w:spacing w:line="480" w:lineRule="auto"/>
        <w:ind w:right="205"/>
        <w:jc w:val="both"/>
        <w:rPr>
          <w:rFonts w:ascii="Arial" w:hAnsi="Arial"/>
          <w:b/>
          <w:bCs/>
          <w:sz w:val="21"/>
          <w:szCs w:val="21"/>
        </w:rPr>
      </w:pPr>
      <w:bookmarkStart w:id="58" w:name="_Toc525655438"/>
      <w:r w:rsidRPr="0043038D">
        <w:rPr>
          <w:rFonts w:ascii="Arial" w:hAnsi="Arial" w:hint="eastAsia"/>
          <w:b/>
          <w:bCs/>
          <w:sz w:val="21"/>
          <w:szCs w:val="21"/>
        </w:rPr>
        <w:t>（一）类似房地产市场状况</w:t>
      </w:r>
    </w:p>
    <w:p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宏观环境</w:t>
      </w:r>
    </w:p>
    <w:p w:rsidR="000E5655" w:rsidRPr="0043038D" w:rsidRDefault="00837133">
      <w:pPr>
        <w:widowControl/>
        <w:adjustRightInd/>
        <w:spacing w:line="480" w:lineRule="auto"/>
        <w:ind w:firstLineChars="250" w:firstLine="525"/>
        <w:jc w:val="both"/>
        <w:rPr>
          <w:rFonts w:ascii="Arial" w:hAnsi="Arial"/>
          <w:color w:val="000000"/>
          <w:sz w:val="21"/>
          <w:szCs w:val="21"/>
        </w:rPr>
      </w:pPr>
      <w:bookmarkStart w:id="59" w:name="OLE_LINK33"/>
      <w:bookmarkStart w:id="60" w:name="OLE_LINK34"/>
      <w:r w:rsidRPr="0043038D">
        <w:rPr>
          <w:rFonts w:ascii="Arial" w:hAnsi="Arial" w:hint="eastAsia"/>
          <w:color w:val="000000"/>
          <w:sz w:val="21"/>
          <w:szCs w:val="21"/>
        </w:rPr>
        <w:t>北京市位于北纬</w:t>
      </w:r>
      <w:r w:rsidRPr="0043038D">
        <w:rPr>
          <w:rFonts w:ascii="Arial" w:hAnsi="Arial"/>
          <w:color w:val="000000"/>
          <w:sz w:val="21"/>
          <w:szCs w:val="21"/>
        </w:rPr>
        <w:t>39</w:t>
      </w:r>
      <w:r w:rsidRPr="0043038D">
        <w:rPr>
          <w:rFonts w:ascii="Arial" w:hAnsi="Arial" w:hint="eastAsia"/>
          <w:color w:val="000000"/>
          <w:sz w:val="21"/>
          <w:szCs w:val="21"/>
        </w:rPr>
        <w:t>度</w:t>
      </w:r>
      <w:r w:rsidRPr="0043038D">
        <w:rPr>
          <w:rFonts w:ascii="Arial" w:hAnsi="Arial"/>
          <w:color w:val="000000"/>
          <w:sz w:val="21"/>
          <w:szCs w:val="21"/>
        </w:rPr>
        <w:t>56</w:t>
      </w:r>
      <w:r w:rsidRPr="0043038D">
        <w:rPr>
          <w:rFonts w:ascii="Arial" w:hAnsi="Arial" w:hint="eastAsia"/>
          <w:color w:val="000000"/>
          <w:sz w:val="21"/>
          <w:szCs w:val="21"/>
        </w:rPr>
        <w:t>分，东经</w:t>
      </w:r>
      <w:r w:rsidRPr="0043038D">
        <w:rPr>
          <w:rFonts w:ascii="Arial" w:hAnsi="Arial"/>
          <w:color w:val="000000"/>
          <w:sz w:val="21"/>
          <w:szCs w:val="21"/>
        </w:rPr>
        <w:t>116</w:t>
      </w:r>
      <w:r w:rsidRPr="0043038D">
        <w:rPr>
          <w:rFonts w:ascii="Arial" w:hAnsi="Arial" w:hint="eastAsia"/>
          <w:color w:val="000000"/>
          <w:sz w:val="21"/>
          <w:szCs w:val="21"/>
        </w:rPr>
        <w:t>度</w:t>
      </w:r>
      <w:r w:rsidRPr="0043038D">
        <w:rPr>
          <w:rFonts w:ascii="Arial" w:hAnsi="Arial"/>
          <w:color w:val="000000"/>
          <w:sz w:val="21"/>
          <w:szCs w:val="21"/>
        </w:rPr>
        <w:t>20</w:t>
      </w:r>
      <w:r w:rsidRPr="0043038D">
        <w:rPr>
          <w:rFonts w:ascii="Arial" w:hAnsi="Arial" w:hint="eastAsia"/>
          <w:color w:val="000000"/>
          <w:sz w:val="21"/>
          <w:szCs w:val="21"/>
        </w:rPr>
        <w:t>分，地处华北大平原的北部，北京市土地面积</w:t>
      </w:r>
      <w:r w:rsidRPr="0043038D">
        <w:rPr>
          <w:rFonts w:ascii="Arial" w:hAnsi="Arial"/>
          <w:color w:val="000000"/>
          <w:sz w:val="21"/>
          <w:szCs w:val="21"/>
        </w:rPr>
        <w:t>16410.54</w:t>
      </w:r>
      <w:r w:rsidRPr="0043038D">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43038D">
        <w:rPr>
          <w:rFonts w:ascii="Arial" w:hAnsi="Arial"/>
          <w:color w:val="000000"/>
          <w:sz w:val="21"/>
          <w:szCs w:val="21"/>
        </w:rPr>
        <w:t>16</w:t>
      </w:r>
      <w:r w:rsidRPr="0043038D">
        <w:rPr>
          <w:rFonts w:ascii="Arial" w:hAnsi="Arial" w:hint="eastAsia"/>
          <w:color w:val="000000"/>
          <w:sz w:val="21"/>
          <w:szCs w:val="21"/>
        </w:rPr>
        <w:t>区格局，即东城、西城、海淀、朝阳、丰台、石景山、顺义、昌平、通州、门头沟、房山、大兴、怀柔、平谷、密云、延庆。</w:t>
      </w:r>
    </w:p>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lastRenderedPageBreak/>
        <w:t>截至</w:t>
      </w:r>
      <w:r w:rsidRPr="0043038D">
        <w:rPr>
          <w:rFonts w:ascii="Arial" w:hAnsi="Arial"/>
          <w:color w:val="000000"/>
          <w:sz w:val="21"/>
          <w:szCs w:val="21"/>
        </w:rPr>
        <w:t>2023</w:t>
      </w:r>
      <w:r w:rsidRPr="0043038D">
        <w:rPr>
          <w:rFonts w:ascii="Arial" w:hAnsi="Arial" w:hint="eastAsia"/>
          <w:color w:val="000000"/>
          <w:sz w:val="21"/>
          <w:szCs w:val="21"/>
        </w:rPr>
        <w:t>年年末，北京市常住人口为</w:t>
      </w:r>
      <w:r w:rsidRPr="0043038D">
        <w:rPr>
          <w:rFonts w:ascii="Arial" w:hAnsi="Arial"/>
          <w:color w:val="000000"/>
          <w:sz w:val="21"/>
          <w:szCs w:val="21"/>
        </w:rPr>
        <w:t>2185.8</w:t>
      </w:r>
      <w:r w:rsidRPr="0043038D">
        <w:rPr>
          <w:rFonts w:ascii="Arial" w:hAnsi="Arial" w:hint="eastAsia"/>
          <w:color w:val="000000"/>
          <w:sz w:val="21"/>
          <w:szCs w:val="21"/>
        </w:rPr>
        <w:t>万人，从年龄构成看，</w:t>
      </w:r>
      <w:r w:rsidRPr="0043038D">
        <w:rPr>
          <w:rFonts w:ascii="Arial" w:hAnsi="Arial"/>
          <w:color w:val="000000"/>
          <w:sz w:val="21"/>
          <w:szCs w:val="21"/>
        </w:rPr>
        <w:t>0-14</w:t>
      </w:r>
      <w:r w:rsidRPr="0043038D">
        <w:rPr>
          <w:rFonts w:ascii="Arial" w:hAnsi="Arial" w:hint="eastAsia"/>
          <w:color w:val="000000"/>
          <w:sz w:val="21"/>
          <w:szCs w:val="21"/>
        </w:rPr>
        <w:t>岁常住人口</w:t>
      </w:r>
      <w:r w:rsidRPr="0043038D">
        <w:rPr>
          <w:rFonts w:ascii="Arial" w:hAnsi="Arial"/>
          <w:color w:val="000000"/>
          <w:sz w:val="21"/>
          <w:szCs w:val="21"/>
        </w:rPr>
        <w:t>262.5</w:t>
      </w:r>
      <w:r w:rsidRPr="0043038D">
        <w:rPr>
          <w:rFonts w:ascii="Arial" w:hAnsi="Arial" w:hint="eastAsia"/>
          <w:color w:val="000000"/>
          <w:sz w:val="21"/>
          <w:szCs w:val="21"/>
        </w:rPr>
        <w:t>万人，占全市常住人口的比重为</w:t>
      </w:r>
      <w:r w:rsidRPr="0043038D">
        <w:rPr>
          <w:rFonts w:ascii="Arial" w:hAnsi="Arial"/>
          <w:color w:val="000000"/>
          <w:sz w:val="21"/>
          <w:szCs w:val="21"/>
        </w:rPr>
        <w:t>12.0%</w:t>
      </w:r>
      <w:r w:rsidRPr="0043038D">
        <w:rPr>
          <w:rFonts w:ascii="Arial" w:hAnsi="Arial" w:hint="eastAsia"/>
          <w:color w:val="000000"/>
          <w:sz w:val="21"/>
          <w:szCs w:val="21"/>
        </w:rPr>
        <w:t>；</w:t>
      </w:r>
      <w:r w:rsidRPr="0043038D">
        <w:rPr>
          <w:rFonts w:ascii="Arial" w:hAnsi="Arial"/>
          <w:color w:val="000000"/>
          <w:sz w:val="21"/>
          <w:szCs w:val="21"/>
        </w:rPr>
        <w:t>15-59</w:t>
      </w:r>
      <w:r w:rsidRPr="0043038D">
        <w:rPr>
          <w:rFonts w:ascii="Arial" w:hAnsi="Arial" w:hint="eastAsia"/>
          <w:color w:val="000000"/>
          <w:sz w:val="21"/>
          <w:szCs w:val="21"/>
        </w:rPr>
        <w:t>岁常住人口</w:t>
      </w:r>
      <w:r w:rsidRPr="0043038D">
        <w:rPr>
          <w:rFonts w:ascii="Arial" w:hAnsi="Arial"/>
          <w:color w:val="000000"/>
          <w:sz w:val="21"/>
          <w:szCs w:val="21"/>
        </w:rPr>
        <w:t>1428.5</w:t>
      </w:r>
      <w:r w:rsidRPr="0043038D">
        <w:rPr>
          <w:rFonts w:ascii="Arial" w:hAnsi="Arial" w:hint="eastAsia"/>
          <w:color w:val="000000"/>
          <w:sz w:val="21"/>
          <w:szCs w:val="21"/>
        </w:rPr>
        <w:t>万人，占</w:t>
      </w:r>
      <w:r w:rsidRPr="0043038D">
        <w:rPr>
          <w:rFonts w:ascii="Arial" w:hAnsi="Arial"/>
          <w:color w:val="000000"/>
          <w:sz w:val="21"/>
          <w:szCs w:val="21"/>
        </w:rPr>
        <w:t>65.4%</w:t>
      </w:r>
      <w:r w:rsidRPr="0043038D">
        <w:rPr>
          <w:rFonts w:ascii="Arial" w:hAnsi="Arial" w:hint="eastAsia"/>
          <w:color w:val="000000"/>
          <w:sz w:val="21"/>
          <w:szCs w:val="21"/>
        </w:rPr>
        <w:t>；</w:t>
      </w:r>
      <w:r w:rsidRPr="0043038D">
        <w:rPr>
          <w:rFonts w:ascii="Arial" w:hAnsi="Arial"/>
          <w:color w:val="000000"/>
          <w:sz w:val="21"/>
          <w:szCs w:val="21"/>
        </w:rPr>
        <w:t>60</w:t>
      </w:r>
      <w:r w:rsidRPr="0043038D">
        <w:rPr>
          <w:rFonts w:ascii="Arial" w:hAnsi="Arial" w:hint="eastAsia"/>
          <w:color w:val="000000"/>
          <w:sz w:val="21"/>
          <w:szCs w:val="21"/>
        </w:rPr>
        <w:t>岁及以上常住人口</w:t>
      </w:r>
      <w:r w:rsidRPr="0043038D">
        <w:rPr>
          <w:rFonts w:ascii="Arial" w:hAnsi="Arial"/>
          <w:color w:val="000000"/>
          <w:sz w:val="21"/>
          <w:szCs w:val="21"/>
        </w:rPr>
        <w:t>494.8</w:t>
      </w:r>
      <w:r w:rsidRPr="0043038D">
        <w:rPr>
          <w:rFonts w:ascii="Arial" w:hAnsi="Arial" w:hint="eastAsia"/>
          <w:color w:val="000000"/>
          <w:sz w:val="21"/>
          <w:szCs w:val="21"/>
        </w:rPr>
        <w:t>万人，占</w:t>
      </w:r>
      <w:r w:rsidRPr="0043038D">
        <w:rPr>
          <w:rFonts w:ascii="Arial" w:hAnsi="Arial"/>
          <w:color w:val="000000"/>
          <w:sz w:val="21"/>
          <w:szCs w:val="21"/>
        </w:rPr>
        <w:t>22.6%</w:t>
      </w:r>
      <w:r w:rsidRPr="0043038D">
        <w:rPr>
          <w:rFonts w:ascii="Arial" w:hAnsi="Arial" w:hint="eastAsia"/>
          <w:color w:val="000000"/>
          <w:sz w:val="21"/>
          <w:szCs w:val="21"/>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bCs/>
          <w:color w:val="000000"/>
          <w:szCs w:val="24"/>
        </w:rPr>
        <w:t>2019-2023</w:t>
      </w:r>
      <w:r w:rsidRPr="0043038D">
        <w:rPr>
          <w:rFonts w:ascii="Arial" w:eastAsia="方正黑体简体" w:hAnsi="Arial" w:hint="eastAsia"/>
          <w:bCs/>
          <w:color w:val="000000"/>
          <w:szCs w:val="24"/>
        </w:rPr>
        <w:t>年常住人口增量及增长速度</w:t>
      </w:r>
    </w:p>
    <w:p w:rsidR="000E5655" w:rsidRPr="0043038D" w:rsidRDefault="00837133">
      <w:pPr>
        <w:widowControl/>
        <w:adjustRightInd/>
        <w:spacing w:line="480" w:lineRule="auto"/>
        <w:jc w:val="center"/>
        <w:rPr>
          <w:rFonts w:ascii="Arial" w:hAnsi="Arial"/>
          <w:color w:val="000000"/>
          <w:sz w:val="21"/>
          <w:szCs w:val="21"/>
        </w:rPr>
      </w:pPr>
      <w:r w:rsidRPr="0043038D">
        <w:rPr>
          <w:noProof/>
        </w:rPr>
        <w:drawing>
          <wp:inline distT="0" distB="0" distL="0" distR="0">
            <wp:extent cx="5907405" cy="2538095"/>
            <wp:effectExtent l="0" t="0" r="0"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bookmarkEnd w:id="59"/>
    <w:bookmarkEnd w:id="60"/>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根据北京市统计局地区生产总值统一核算结果，</w:t>
      </w:r>
      <w:r w:rsidRPr="0043038D">
        <w:rPr>
          <w:rFonts w:ascii="Arial" w:hAnsi="Arial"/>
          <w:color w:val="000000"/>
          <w:sz w:val="21"/>
          <w:szCs w:val="21"/>
        </w:rPr>
        <w:t>2024</w:t>
      </w:r>
      <w:r w:rsidRPr="0043038D">
        <w:rPr>
          <w:rFonts w:ascii="Arial" w:hAnsi="Arial" w:hint="eastAsia"/>
          <w:color w:val="000000"/>
          <w:sz w:val="21"/>
          <w:szCs w:val="21"/>
        </w:rPr>
        <w:t>年上半年，北京市实现地区生产总值</w:t>
      </w:r>
      <w:r w:rsidRPr="0043038D">
        <w:rPr>
          <w:rFonts w:ascii="Arial" w:hAnsi="Arial"/>
          <w:color w:val="000000"/>
          <w:sz w:val="21"/>
          <w:szCs w:val="21"/>
        </w:rPr>
        <w:t>21791.3</w:t>
      </w:r>
      <w:r w:rsidRPr="0043038D">
        <w:rPr>
          <w:rFonts w:ascii="Arial" w:hAnsi="Arial" w:hint="eastAsia"/>
          <w:color w:val="000000"/>
          <w:sz w:val="21"/>
          <w:szCs w:val="21"/>
        </w:rPr>
        <w:t>亿元，按不变价格计算，同比增长</w:t>
      </w:r>
      <w:r w:rsidRPr="0043038D">
        <w:rPr>
          <w:rFonts w:ascii="Arial" w:hAnsi="Arial"/>
          <w:color w:val="000000"/>
          <w:sz w:val="21"/>
          <w:szCs w:val="21"/>
        </w:rPr>
        <w:t>5.4%</w:t>
      </w:r>
      <w:r w:rsidRPr="0043038D">
        <w:rPr>
          <w:rFonts w:ascii="Arial" w:hAnsi="Arial" w:hint="eastAsia"/>
          <w:color w:val="000000"/>
          <w:sz w:val="21"/>
          <w:szCs w:val="21"/>
        </w:rPr>
        <w:t>。分产业看，第一产业实现增加值</w:t>
      </w:r>
      <w:r w:rsidRPr="0043038D">
        <w:rPr>
          <w:rFonts w:ascii="Arial" w:hAnsi="Arial"/>
          <w:color w:val="000000"/>
          <w:sz w:val="21"/>
          <w:szCs w:val="21"/>
        </w:rPr>
        <w:t>41.1</w:t>
      </w:r>
      <w:r w:rsidRPr="0043038D">
        <w:rPr>
          <w:rFonts w:ascii="Arial" w:hAnsi="Arial" w:hint="eastAsia"/>
          <w:color w:val="000000"/>
          <w:sz w:val="21"/>
          <w:szCs w:val="21"/>
        </w:rPr>
        <w:t>亿元，下降</w:t>
      </w:r>
      <w:r w:rsidRPr="0043038D">
        <w:rPr>
          <w:rFonts w:ascii="Arial" w:hAnsi="Arial"/>
          <w:color w:val="000000"/>
          <w:sz w:val="21"/>
          <w:szCs w:val="21"/>
        </w:rPr>
        <w:t>0.1%</w:t>
      </w:r>
      <w:r w:rsidRPr="0043038D">
        <w:rPr>
          <w:rFonts w:ascii="Arial" w:hAnsi="Arial" w:hint="eastAsia"/>
          <w:color w:val="000000"/>
          <w:sz w:val="21"/>
          <w:szCs w:val="21"/>
        </w:rPr>
        <w:t>；第二产业实现增加值</w:t>
      </w:r>
      <w:r w:rsidRPr="0043038D">
        <w:rPr>
          <w:rFonts w:ascii="Arial" w:hAnsi="Arial"/>
          <w:color w:val="000000"/>
          <w:sz w:val="21"/>
          <w:szCs w:val="21"/>
        </w:rPr>
        <w:t>3038.2</w:t>
      </w:r>
      <w:r w:rsidRPr="0043038D">
        <w:rPr>
          <w:rFonts w:ascii="Arial" w:hAnsi="Arial" w:hint="eastAsia"/>
          <w:color w:val="000000"/>
          <w:sz w:val="21"/>
          <w:szCs w:val="21"/>
        </w:rPr>
        <w:t>亿元，增长</w:t>
      </w:r>
      <w:r w:rsidRPr="0043038D">
        <w:rPr>
          <w:rFonts w:ascii="Arial" w:hAnsi="Arial"/>
          <w:color w:val="000000"/>
          <w:sz w:val="21"/>
          <w:szCs w:val="21"/>
        </w:rPr>
        <w:t>5.7%</w:t>
      </w:r>
      <w:r w:rsidRPr="0043038D">
        <w:rPr>
          <w:rFonts w:ascii="Arial" w:hAnsi="Arial" w:hint="eastAsia"/>
          <w:color w:val="000000"/>
          <w:sz w:val="21"/>
          <w:szCs w:val="21"/>
        </w:rPr>
        <w:t>；第三产业实现增加值</w:t>
      </w:r>
      <w:r w:rsidRPr="0043038D">
        <w:rPr>
          <w:rFonts w:ascii="Arial" w:hAnsi="Arial"/>
          <w:color w:val="000000"/>
          <w:sz w:val="21"/>
          <w:szCs w:val="21"/>
        </w:rPr>
        <w:t>18712.1</w:t>
      </w:r>
      <w:r w:rsidRPr="0043038D">
        <w:rPr>
          <w:rFonts w:ascii="Arial" w:hAnsi="Arial" w:hint="eastAsia"/>
          <w:color w:val="000000"/>
          <w:sz w:val="21"/>
          <w:szCs w:val="21"/>
        </w:rPr>
        <w:t>亿元，增长</w:t>
      </w:r>
      <w:r w:rsidRPr="0043038D">
        <w:rPr>
          <w:rFonts w:ascii="Arial" w:hAnsi="Arial"/>
          <w:color w:val="000000"/>
          <w:sz w:val="21"/>
          <w:szCs w:val="21"/>
        </w:rPr>
        <w:t>5.4%</w:t>
      </w:r>
      <w:r w:rsidRPr="0043038D">
        <w:rPr>
          <w:rFonts w:ascii="Arial" w:hAnsi="Arial" w:hint="eastAsia"/>
          <w:color w:val="000000"/>
          <w:sz w:val="21"/>
          <w:szCs w:val="21"/>
        </w:rPr>
        <w:t>。</w:t>
      </w:r>
    </w:p>
    <w:p w:rsidR="000E5655" w:rsidRPr="0043038D" w:rsidRDefault="00837133">
      <w:pPr>
        <w:widowControl/>
        <w:adjustRightInd/>
        <w:spacing w:line="480" w:lineRule="auto"/>
        <w:ind w:firstLineChars="250" w:firstLine="525"/>
        <w:jc w:val="both"/>
        <w:rPr>
          <w:rFonts w:ascii="Arial" w:hAnsi="Arial"/>
          <w:color w:val="000000"/>
          <w:sz w:val="21"/>
          <w:szCs w:val="21"/>
        </w:rPr>
      </w:pPr>
      <w:bookmarkStart w:id="61" w:name="OLE_LINK39"/>
      <w:r w:rsidRPr="0043038D">
        <w:rPr>
          <w:rFonts w:ascii="Arial" w:hAnsi="Arial" w:hint="eastAsia"/>
          <w:color w:val="000000"/>
          <w:sz w:val="21"/>
          <w:szCs w:val="21"/>
        </w:rPr>
        <w:t>上半年，北京市固定资产投资（不含农户）同比增长</w:t>
      </w:r>
      <w:r w:rsidRPr="0043038D">
        <w:rPr>
          <w:rFonts w:ascii="Arial" w:hAnsi="Arial"/>
          <w:color w:val="000000"/>
          <w:sz w:val="21"/>
          <w:szCs w:val="21"/>
        </w:rPr>
        <w:t>9.6%</w:t>
      </w:r>
      <w:r w:rsidRPr="0043038D">
        <w:rPr>
          <w:rFonts w:ascii="Arial" w:hAnsi="Arial" w:hint="eastAsia"/>
          <w:color w:val="000000"/>
          <w:sz w:val="21"/>
          <w:szCs w:val="21"/>
        </w:rPr>
        <w:t>。有效投资持续扩大，反映企业扩大生产能力的设备购置投资增长</w:t>
      </w:r>
      <w:r w:rsidRPr="0043038D">
        <w:rPr>
          <w:rFonts w:ascii="Arial" w:hAnsi="Arial"/>
          <w:color w:val="000000"/>
          <w:sz w:val="21"/>
          <w:szCs w:val="21"/>
        </w:rPr>
        <w:t>32.9%</w:t>
      </w:r>
      <w:r w:rsidRPr="0043038D">
        <w:rPr>
          <w:rFonts w:ascii="Arial" w:hAnsi="Arial" w:hint="eastAsia"/>
          <w:color w:val="000000"/>
          <w:sz w:val="21"/>
          <w:szCs w:val="21"/>
        </w:rPr>
        <w:t>，电子制造业、信息服务业带动作用明显，反映实物工作量的建筑安装工程投资增长</w:t>
      </w:r>
      <w:r w:rsidRPr="0043038D">
        <w:rPr>
          <w:rFonts w:ascii="Arial" w:hAnsi="Arial"/>
          <w:color w:val="000000"/>
          <w:sz w:val="21"/>
          <w:szCs w:val="21"/>
        </w:rPr>
        <w:t>4.0%</w:t>
      </w:r>
      <w:r w:rsidRPr="0043038D">
        <w:rPr>
          <w:rFonts w:ascii="Arial" w:hAnsi="Arial" w:hint="eastAsia"/>
          <w:color w:val="000000"/>
          <w:sz w:val="21"/>
          <w:szCs w:val="21"/>
        </w:rPr>
        <w:t>。分领域看，基础设施投资增长</w:t>
      </w:r>
      <w:r w:rsidRPr="0043038D">
        <w:rPr>
          <w:rFonts w:ascii="Arial" w:hAnsi="Arial"/>
          <w:color w:val="000000"/>
          <w:sz w:val="21"/>
          <w:szCs w:val="21"/>
        </w:rPr>
        <w:t>30.5%</w:t>
      </w:r>
      <w:r w:rsidRPr="0043038D">
        <w:rPr>
          <w:rFonts w:ascii="Arial" w:hAnsi="Arial" w:hint="eastAsia"/>
          <w:color w:val="000000"/>
          <w:sz w:val="21"/>
          <w:szCs w:val="21"/>
        </w:rPr>
        <w:t>，制造业投资增长</w:t>
      </w:r>
      <w:r w:rsidRPr="0043038D">
        <w:rPr>
          <w:rFonts w:ascii="Arial" w:hAnsi="Arial"/>
          <w:color w:val="000000"/>
          <w:sz w:val="21"/>
          <w:szCs w:val="21"/>
        </w:rPr>
        <w:t>33.9%</w:t>
      </w:r>
      <w:r w:rsidRPr="0043038D">
        <w:rPr>
          <w:rFonts w:ascii="Arial" w:hAnsi="Arial" w:hint="eastAsia"/>
          <w:color w:val="000000"/>
          <w:sz w:val="21"/>
          <w:szCs w:val="21"/>
        </w:rPr>
        <w:t>，房地产开发投资下降</w:t>
      </w:r>
      <w:r w:rsidRPr="0043038D">
        <w:rPr>
          <w:rFonts w:ascii="Arial" w:hAnsi="Arial"/>
          <w:color w:val="000000"/>
          <w:sz w:val="21"/>
          <w:szCs w:val="21"/>
        </w:rPr>
        <w:t>1.7%</w:t>
      </w:r>
      <w:r w:rsidRPr="0043038D">
        <w:rPr>
          <w:rFonts w:ascii="Arial" w:hAnsi="Arial" w:hint="eastAsia"/>
          <w:color w:val="000000"/>
          <w:sz w:val="21"/>
          <w:szCs w:val="21"/>
        </w:rPr>
        <w:t>。分产业看，第一产业投资下降</w:t>
      </w:r>
      <w:r w:rsidRPr="0043038D">
        <w:rPr>
          <w:rFonts w:ascii="Arial" w:hAnsi="Arial"/>
          <w:color w:val="000000"/>
          <w:sz w:val="21"/>
          <w:szCs w:val="21"/>
        </w:rPr>
        <w:t>6.4%</w:t>
      </w:r>
      <w:r w:rsidRPr="0043038D">
        <w:rPr>
          <w:rFonts w:ascii="Arial" w:hAnsi="Arial" w:hint="eastAsia"/>
          <w:color w:val="000000"/>
          <w:sz w:val="21"/>
          <w:szCs w:val="21"/>
        </w:rPr>
        <w:t>，第二产业投资增长</w:t>
      </w:r>
      <w:r w:rsidRPr="0043038D">
        <w:rPr>
          <w:rFonts w:ascii="Arial" w:hAnsi="Arial"/>
          <w:color w:val="000000"/>
          <w:sz w:val="21"/>
          <w:szCs w:val="21"/>
        </w:rPr>
        <w:t>25.3%</w:t>
      </w:r>
      <w:r w:rsidRPr="0043038D">
        <w:rPr>
          <w:rFonts w:ascii="Arial" w:hAnsi="Arial" w:hint="eastAsia"/>
          <w:color w:val="000000"/>
          <w:sz w:val="21"/>
          <w:szCs w:val="21"/>
        </w:rPr>
        <w:t>，第三产业投资增长</w:t>
      </w:r>
      <w:r w:rsidRPr="0043038D">
        <w:rPr>
          <w:rFonts w:ascii="Arial" w:hAnsi="Arial"/>
          <w:color w:val="000000"/>
          <w:sz w:val="21"/>
          <w:szCs w:val="21"/>
        </w:rPr>
        <w:t>8.1%</w:t>
      </w:r>
      <w:r w:rsidRPr="0043038D">
        <w:rPr>
          <w:rFonts w:ascii="Arial" w:hAnsi="Arial" w:hint="eastAsia"/>
          <w:color w:val="000000"/>
          <w:sz w:val="21"/>
          <w:szCs w:val="21"/>
        </w:rPr>
        <w:t>。高技术产业投资保持活跃，高技术制造业和高技术服务业投资分别增长</w:t>
      </w:r>
      <w:r w:rsidRPr="0043038D">
        <w:rPr>
          <w:rFonts w:ascii="Arial" w:hAnsi="Arial"/>
          <w:color w:val="000000"/>
          <w:sz w:val="21"/>
          <w:szCs w:val="21"/>
        </w:rPr>
        <w:t>53.5%</w:t>
      </w:r>
      <w:r w:rsidRPr="0043038D">
        <w:rPr>
          <w:rFonts w:ascii="Arial" w:hAnsi="Arial" w:hint="eastAsia"/>
          <w:color w:val="000000"/>
          <w:sz w:val="21"/>
          <w:szCs w:val="21"/>
        </w:rPr>
        <w:t>和</w:t>
      </w:r>
      <w:r w:rsidRPr="0043038D">
        <w:rPr>
          <w:rFonts w:ascii="Arial" w:hAnsi="Arial"/>
          <w:color w:val="000000"/>
          <w:sz w:val="21"/>
          <w:szCs w:val="21"/>
        </w:rPr>
        <w:t>13.6%</w:t>
      </w:r>
      <w:r w:rsidRPr="0043038D">
        <w:rPr>
          <w:rFonts w:ascii="Arial" w:hAnsi="Arial" w:hint="eastAsia"/>
          <w:color w:val="000000"/>
          <w:sz w:val="21"/>
          <w:szCs w:val="21"/>
        </w:rPr>
        <w:t>。</w:t>
      </w:r>
    </w:p>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上半年，北京市房屋施工面积</w:t>
      </w:r>
      <w:r w:rsidRPr="0043038D">
        <w:rPr>
          <w:rFonts w:ascii="Arial" w:hAnsi="Arial"/>
          <w:color w:val="000000"/>
          <w:sz w:val="21"/>
          <w:szCs w:val="21"/>
        </w:rPr>
        <w:t>10755.1</w:t>
      </w:r>
      <w:r w:rsidRPr="0043038D">
        <w:rPr>
          <w:rFonts w:ascii="Arial" w:hAnsi="Arial" w:hint="eastAsia"/>
          <w:color w:val="000000"/>
          <w:sz w:val="21"/>
          <w:szCs w:val="21"/>
        </w:rPr>
        <w:t>万平方米，同比下降</w:t>
      </w:r>
      <w:r w:rsidRPr="0043038D">
        <w:rPr>
          <w:rFonts w:ascii="Arial" w:hAnsi="Arial"/>
          <w:color w:val="000000"/>
          <w:sz w:val="21"/>
          <w:szCs w:val="21"/>
        </w:rPr>
        <w:t>9.3%</w:t>
      </w:r>
      <w:r w:rsidRPr="0043038D">
        <w:rPr>
          <w:rFonts w:ascii="Arial" w:hAnsi="Arial" w:hint="eastAsia"/>
          <w:color w:val="000000"/>
          <w:sz w:val="21"/>
          <w:szCs w:val="21"/>
        </w:rPr>
        <w:t>，其中住宅施工面积</w:t>
      </w:r>
      <w:r w:rsidRPr="0043038D">
        <w:rPr>
          <w:rFonts w:ascii="Arial" w:hAnsi="Arial"/>
          <w:color w:val="000000"/>
          <w:sz w:val="21"/>
          <w:szCs w:val="21"/>
        </w:rPr>
        <w:t>5377.4</w:t>
      </w:r>
      <w:r w:rsidRPr="0043038D">
        <w:rPr>
          <w:rFonts w:ascii="Arial" w:hAnsi="Arial" w:hint="eastAsia"/>
          <w:color w:val="000000"/>
          <w:sz w:val="21"/>
          <w:szCs w:val="21"/>
        </w:rPr>
        <w:t>万平方米，下降</w:t>
      </w:r>
      <w:r w:rsidRPr="0043038D">
        <w:rPr>
          <w:rFonts w:ascii="Arial" w:hAnsi="Arial"/>
          <w:color w:val="000000"/>
          <w:sz w:val="21"/>
          <w:szCs w:val="21"/>
        </w:rPr>
        <w:t>8.2%</w:t>
      </w:r>
      <w:r w:rsidRPr="0043038D">
        <w:rPr>
          <w:rFonts w:ascii="Arial" w:hAnsi="Arial" w:hint="eastAsia"/>
          <w:color w:val="000000"/>
          <w:sz w:val="21"/>
          <w:szCs w:val="21"/>
        </w:rPr>
        <w:t>。全市商品房销售面积</w:t>
      </w:r>
      <w:r w:rsidRPr="0043038D">
        <w:rPr>
          <w:rFonts w:ascii="Arial" w:hAnsi="Arial"/>
          <w:color w:val="000000"/>
          <w:sz w:val="21"/>
          <w:szCs w:val="21"/>
        </w:rPr>
        <w:t>509.9</w:t>
      </w:r>
      <w:r w:rsidRPr="0043038D">
        <w:rPr>
          <w:rFonts w:ascii="Arial" w:hAnsi="Arial" w:hint="eastAsia"/>
          <w:color w:val="000000"/>
          <w:sz w:val="21"/>
          <w:szCs w:val="21"/>
        </w:rPr>
        <w:t>万平方米，同比下降</w:t>
      </w:r>
      <w:r w:rsidRPr="0043038D">
        <w:rPr>
          <w:rFonts w:ascii="Arial" w:hAnsi="Arial"/>
          <w:color w:val="000000"/>
          <w:sz w:val="21"/>
          <w:szCs w:val="21"/>
        </w:rPr>
        <w:t>2.5%</w:t>
      </w:r>
      <w:r w:rsidRPr="0043038D">
        <w:rPr>
          <w:rFonts w:ascii="Arial" w:hAnsi="Arial" w:hint="eastAsia"/>
          <w:color w:val="000000"/>
          <w:sz w:val="21"/>
          <w:szCs w:val="21"/>
        </w:rPr>
        <w:t>，其中住宅销售面积</w:t>
      </w:r>
      <w:r w:rsidRPr="0043038D">
        <w:rPr>
          <w:rFonts w:ascii="Arial" w:hAnsi="Arial"/>
          <w:color w:val="000000"/>
          <w:sz w:val="21"/>
          <w:szCs w:val="21"/>
        </w:rPr>
        <w:t>355.3</w:t>
      </w:r>
      <w:r w:rsidRPr="0043038D">
        <w:rPr>
          <w:rFonts w:ascii="Arial" w:hAnsi="Arial" w:hint="eastAsia"/>
          <w:color w:val="000000"/>
          <w:sz w:val="21"/>
          <w:szCs w:val="21"/>
        </w:rPr>
        <w:t>万平方米，下降</w:t>
      </w:r>
      <w:r w:rsidRPr="0043038D">
        <w:rPr>
          <w:rFonts w:ascii="Arial" w:hAnsi="Arial"/>
          <w:color w:val="000000"/>
          <w:sz w:val="21"/>
          <w:szCs w:val="21"/>
        </w:rPr>
        <w:t>6.2%</w:t>
      </w:r>
      <w:r w:rsidRPr="0043038D">
        <w:rPr>
          <w:rFonts w:ascii="Arial" w:hAnsi="Arial" w:hint="eastAsia"/>
          <w:color w:val="000000"/>
          <w:sz w:val="21"/>
          <w:szCs w:val="21"/>
        </w:rPr>
        <w:t>。</w:t>
      </w:r>
    </w:p>
    <w:bookmarkEnd w:id="61"/>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总的来看，上半年北京市经济持续恢复，高质量发展扎实推进。在市委、市政府坚强领导下，全市上下坚决贯彻落实党中央、国务院决策部署和市委、市政府工作要求，坚持稳中求进工作总基调，</w:t>
      </w:r>
      <w:r w:rsidRPr="0043038D">
        <w:rPr>
          <w:rFonts w:ascii="Arial" w:hAnsi="Arial" w:hint="eastAsia"/>
          <w:color w:val="000000"/>
          <w:sz w:val="21"/>
          <w:szCs w:val="21"/>
        </w:rPr>
        <w:lastRenderedPageBreak/>
        <w:t>落实</w:t>
      </w:r>
      <w:proofErr w:type="gramStart"/>
      <w:r w:rsidRPr="0043038D">
        <w:rPr>
          <w:rFonts w:ascii="Arial" w:hAnsi="Arial" w:hint="eastAsia"/>
          <w:color w:val="000000"/>
          <w:sz w:val="21"/>
          <w:szCs w:val="21"/>
        </w:rPr>
        <w:t>落细各项</w:t>
      </w:r>
      <w:proofErr w:type="gramEnd"/>
      <w:r w:rsidRPr="0043038D">
        <w:rPr>
          <w:rFonts w:ascii="Arial" w:hAnsi="Arial" w:hint="eastAsia"/>
          <w:color w:val="000000"/>
          <w:sz w:val="21"/>
          <w:szCs w:val="21"/>
        </w:rPr>
        <w:t>政策措施，着力稳增长、扩需求、育动能，扎实推进首都经济高质量发展，生产需求持续恢复，就业物价保持稳定，居民收入继续增加，总体经济延续恢复向好态势。</w:t>
      </w:r>
    </w:p>
    <w:p w:rsidR="000E5655" w:rsidRPr="0043038D" w:rsidRDefault="00837133">
      <w:pPr>
        <w:widowControl/>
        <w:overflowPunct w:val="0"/>
        <w:adjustRightInd/>
        <w:spacing w:line="480" w:lineRule="auto"/>
        <w:ind w:firstLineChars="200" w:firstLine="420"/>
        <w:jc w:val="both"/>
        <w:rPr>
          <w:rFonts w:ascii="Arial" w:hAnsi="Arial"/>
          <w:color w:val="000000"/>
          <w:sz w:val="21"/>
          <w:szCs w:val="21"/>
        </w:rPr>
      </w:pPr>
      <w:r w:rsidRPr="0043038D">
        <w:rPr>
          <w:rFonts w:ascii="Arial" w:hAnsi="Arial"/>
          <w:color w:val="000000"/>
          <w:sz w:val="21"/>
          <w:szCs w:val="21"/>
        </w:rPr>
        <w:t>2.</w:t>
      </w:r>
      <w:r w:rsidRPr="0043038D">
        <w:rPr>
          <w:rFonts w:ascii="Arial" w:hAnsi="Arial" w:hint="eastAsia"/>
          <w:color w:val="000000"/>
          <w:sz w:val="21"/>
          <w:szCs w:val="21"/>
        </w:rPr>
        <w:t>土地市场</w:t>
      </w:r>
    </w:p>
    <w:p w:rsidR="000E5655" w:rsidRPr="0043038D" w:rsidRDefault="00837133">
      <w:pPr>
        <w:widowControl/>
        <w:overflowPunct w:val="0"/>
        <w:adjustRightInd/>
        <w:spacing w:line="480" w:lineRule="auto"/>
        <w:ind w:firstLineChars="200" w:firstLine="420"/>
        <w:jc w:val="both"/>
        <w:rPr>
          <w:rFonts w:ascii="Arial" w:hAnsi="Arial"/>
          <w:color w:val="000000"/>
          <w:sz w:val="21"/>
          <w:szCs w:val="21"/>
        </w:rPr>
      </w:pPr>
      <w:r w:rsidRPr="0043038D">
        <w:rPr>
          <w:rFonts w:ascii="Arial" w:hAnsi="Arial" w:hint="eastAsia"/>
          <w:color w:val="000000"/>
          <w:sz w:val="21"/>
          <w:szCs w:val="21"/>
        </w:rPr>
        <w:t>（</w:t>
      </w:r>
      <w:r w:rsidRPr="0043038D">
        <w:rPr>
          <w:rFonts w:ascii="Arial" w:hAnsi="Arial"/>
          <w:color w:val="000000"/>
          <w:sz w:val="21"/>
          <w:szCs w:val="21"/>
        </w:rPr>
        <w:t>1</w:t>
      </w:r>
      <w:r w:rsidRPr="0043038D">
        <w:rPr>
          <w:rFonts w:ascii="Arial" w:hAnsi="Arial" w:hint="eastAsia"/>
          <w:color w:val="000000"/>
          <w:sz w:val="21"/>
          <w:szCs w:val="21"/>
        </w:rPr>
        <w:t>）土地供求情况</w:t>
      </w:r>
    </w:p>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color w:val="000000"/>
          <w:sz w:val="21"/>
          <w:szCs w:val="21"/>
        </w:rPr>
        <w:t>2024</w:t>
      </w:r>
      <w:r w:rsidRPr="0043038D">
        <w:rPr>
          <w:rFonts w:ascii="Arial" w:hAnsi="Arial" w:hint="eastAsia"/>
          <w:color w:val="000000"/>
          <w:sz w:val="21"/>
          <w:szCs w:val="21"/>
        </w:rPr>
        <w:t>年上半年北京商品住宅用地共推出</w:t>
      </w:r>
      <w:r w:rsidRPr="0043038D">
        <w:rPr>
          <w:rFonts w:ascii="Arial" w:hAnsi="Arial"/>
          <w:color w:val="000000"/>
          <w:sz w:val="21"/>
          <w:szCs w:val="21"/>
        </w:rPr>
        <w:t>20</w:t>
      </w:r>
      <w:r w:rsidRPr="0043038D">
        <w:rPr>
          <w:rFonts w:ascii="Arial" w:hAnsi="Arial" w:hint="eastAsia"/>
          <w:color w:val="000000"/>
          <w:sz w:val="21"/>
          <w:szCs w:val="21"/>
        </w:rPr>
        <w:t>宗，累计供应</w:t>
      </w:r>
      <w:proofErr w:type="gramStart"/>
      <w:r w:rsidRPr="0043038D">
        <w:rPr>
          <w:rFonts w:ascii="Arial" w:hAnsi="Arial" w:hint="eastAsia"/>
          <w:color w:val="000000"/>
          <w:sz w:val="21"/>
          <w:szCs w:val="21"/>
        </w:rPr>
        <w:t>规划建面</w:t>
      </w:r>
      <w:proofErr w:type="gramEnd"/>
      <w:r w:rsidRPr="0043038D">
        <w:rPr>
          <w:rFonts w:ascii="Arial" w:hAnsi="Arial"/>
          <w:color w:val="000000"/>
          <w:sz w:val="21"/>
          <w:szCs w:val="21"/>
        </w:rPr>
        <w:t>236.45</w:t>
      </w:r>
      <w:r w:rsidRPr="0043038D">
        <w:rPr>
          <w:rFonts w:ascii="Arial" w:hAnsi="Arial" w:hint="eastAsia"/>
          <w:color w:val="000000"/>
          <w:sz w:val="21"/>
          <w:szCs w:val="21"/>
        </w:rPr>
        <w:t>万㎡，同比下降</w:t>
      </w:r>
      <w:r w:rsidRPr="0043038D">
        <w:rPr>
          <w:rFonts w:ascii="Arial" w:hAnsi="Arial"/>
          <w:color w:val="000000"/>
          <w:sz w:val="21"/>
          <w:szCs w:val="21"/>
        </w:rPr>
        <w:t>14.13%</w:t>
      </w:r>
      <w:r w:rsidRPr="0043038D">
        <w:rPr>
          <w:rFonts w:ascii="Arial" w:hAnsi="Arial" w:hint="eastAsia"/>
          <w:color w:val="000000"/>
          <w:sz w:val="21"/>
          <w:szCs w:val="21"/>
        </w:rPr>
        <w:t>。上半年，北京累计成交</w:t>
      </w:r>
      <w:r w:rsidRPr="0043038D">
        <w:rPr>
          <w:rFonts w:ascii="Arial" w:hAnsi="Arial"/>
          <w:color w:val="000000"/>
          <w:sz w:val="21"/>
          <w:szCs w:val="21"/>
        </w:rPr>
        <w:t>19</w:t>
      </w:r>
      <w:r w:rsidRPr="0043038D">
        <w:rPr>
          <w:rFonts w:ascii="Arial" w:hAnsi="Arial" w:hint="eastAsia"/>
          <w:color w:val="000000"/>
          <w:sz w:val="21"/>
          <w:szCs w:val="21"/>
        </w:rPr>
        <w:t>宗商品住宅用地，成交</w:t>
      </w:r>
      <w:proofErr w:type="gramStart"/>
      <w:r w:rsidRPr="0043038D">
        <w:rPr>
          <w:rFonts w:ascii="Arial" w:hAnsi="Arial" w:hint="eastAsia"/>
          <w:color w:val="000000"/>
          <w:sz w:val="21"/>
          <w:szCs w:val="21"/>
        </w:rPr>
        <w:t>规划建面</w:t>
      </w:r>
      <w:proofErr w:type="gramEnd"/>
      <w:r w:rsidRPr="0043038D">
        <w:rPr>
          <w:rFonts w:ascii="Arial" w:hAnsi="Arial"/>
          <w:color w:val="000000"/>
          <w:sz w:val="21"/>
          <w:szCs w:val="21"/>
        </w:rPr>
        <w:t>237.33</w:t>
      </w:r>
      <w:r w:rsidRPr="0043038D">
        <w:rPr>
          <w:rFonts w:ascii="Arial" w:hAnsi="Arial" w:hint="eastAsia"/>
          <w:color w:val="000000"/>
          <w:sz w:val="21"/>
          <w:szCs w:val="21"/>
        </w:rPr>
        <w:t>万㎡，同比略降</w:t>
      </w:r>
      <w:r w:rsidRPr="0043038D">
        <w:rPr>
          <w:rFonts w:ascii="Arial" w:hAnsi="Arial"/>
          <w:color w:val="000000"/>
          <w:sz w:val="21"/>
          <w:szCs w:val="21"/>
        </w:rPr>
        <w:t>4.36%</w:t>
      </w:r>
      <w:r w:rsidRPr="0043038D">
        <w:rPr>
          <w:rFonts w:ascii="Arial" w:hAnsi="Arial" w:hint="eastAsia"/>
          <w:color w:val="000000"/>
          <w:sz w:val="21"/>
          <w:szCs w:val="21"/>
        </w:rPr>
        <w:t>。北京宅地成交总地价款达</w:t>
      </w:r>
      <w:r w:rsidRPr="0043038D">
        <w:rPr>
          <w:rFonts w:ascii="Arial" w:hAnsi="Arial"/>
          <w:color w:val="000000"/>
          <w:sz w:val="21"/>
          <w:szCs w:val="21"/>
        </w:rPr>
        <w:t>732.4</w:t>
      </w:r>
      <w:r w:rsidRPr="0043038D">
        <w:rPr>
          <w:rFonts w:ascii="Arial" w:hAnsi="Arial" w:hint="eastAsia"/>
          <w:color w:val="000000"/>
          <w:sz w:val="21"/>
          <w:szCs w:val="21"/>
        </w:rPr>
        <w:t>亿元，同比下降</w:t>
      </w:r>
      <w:r w:rsidRPr="0043038D">
        <w:rPr>
          <w:rFonts w:ascii="Arial" w:hAnsi="Arial"/>
          <w:color w:val="000000"/>
          <w:sz w:val="21"/>
          <w:szCs w:val="21"/>
        </w:rPr>
        <w:t>14.65%</w:t>
      </w:r>
      <w:r w:rsidRPr="0043038D">
        <w:rPr>
          <w:rFonts w:ascii="Arial" w:hAnsi="Arial" w:hint="eastAsia"/>
          <w:color w:val="000000"/>
          <w:sz w:val="21"/>
          <w:szCs w:val="21"/>
        </w:rPr>
        <w:t>，仍领跑全国宅地成交地价排行榜。上半年，北京宅地成交楼面均价为</w:t>
      </w:r>
      <w:r w:rsidRPr="0043038D">
        <w:rPr>
          <w:rFonts w:ascii="Arial" w:hAnsi="Arial"/>
          <w:color w:val="000000"/>
          <w:sz w:val="21"/>
          <w:szCs w:val="21"/>
        </w:rPr>
        <w:t>30858</w:t>
      </w:r>
      <w:r w:rsidRPr="0043038D">
        <w:rPr>
          <w:rFonts w:ascii="Arial" w:hAnsi="Arial" w:hint="eastAsia"/>
          <w:color w:val="000000"/>
          <w:sz w:val="21"/>
          <w:szCs w:val="21"/>
        </w:rPr>
        <w:t>元</w:t>
      </w:r>
      <w:r w:rsidRPr="0043038D">
        <w:rPr>
          <w:rFonts w:ascii="Arial" w:hAnsi="Arial"/>
          <w:color w:val="000000"/>
          <w:sz w:val="21"/>
          <w:szCs w:val="21"/>
        </w:rPr>
        <w:t>/</w:t>
      </w:r>
      <w:r w:rsidRPr="0043038D">
        <w:rPr>
          <w:rFonts w:ascii="Arial" w:hAnsi="Arial" w:hint="eastAsia"/>
          <w:color w:val="000000"/>
          <w:sz w:val="21"/>
          <w:szCs w:val="21"/>
        </w:rPr>
        <w:t>㎡，同比下降</w:t>
      </w:r>
      <w:r w:rsidRPr="0043038D">
        <w:rPr>
          <w:rFonts w:ascii="Arial" w:hAnsi="Arial"/>
          <w:color w:val="000000"/>
          <w:sz w:val="21"/>
          <w:szCs w:val="21"/>
        </w:rPr>
        <w:t>10.76%</w:t>
      </w:r>
      <w:r w:rsidRPr="0043038D">
        <w:rPr>
          <w:rFonts w:ascii="Arial" w:hAnsi="Arial" w:hint="eastAsia"/>
          <w:color w:val="000000"/>
          <w:sz w:val="21"/>
          <w:szCs w:val="21"/>
        </w:rPr>
        <w:t>；平均溢价率为</w:t>
      </w:r>
      <w:r w:rsidRPr="0043038D">
        <w:rPr>
          <w:rFonts w:ascii="Arial" w:hAnsi="Arial"/>
          <w:color w:val="000000"/>
          <w:sz w:val="21"/>
          <w:szCs w:val="21"/>
        </w:rPr>
        <w:t>3.87%</w:t>
      </w:r>
      <w:r w:rsidRPr="0043038D">
        <w:rPr>
          <w:rFonts w:ascii="Arial" w:hAnsi="Arial" w:hint="eastAsia"/>
          <w:color w:val="000000"/>
          <w:sz w:val="21"/>
          <w:szCs w:val="21"/>
        </w:rPr>
        <w:t>，同比下降</w:t>
      </w:r>
      <w:r w:rsidRPr="0043038D">
        <w:rPr>
          <w:rFonts w:ascii="Arial" w:hAnsi="Arial"/>
          <w:color w:val="000000"/>
          <w:sz w:val="21"/>
          <w:szCs w:val="21"/>
        </w:rPr>
        <w:t>8.9%</w:t>
      </w:r>
      <w:r w:rsidRPr="0043038D">
        <w:rPr>
          <w:rFonts w:ascii="Arial" w:hAnsi="Arial" w:hint="eastAsia"/>
          <w:color w:val="000000"/>
          <w:sz w:val="21"/>
          <w:szCs w:val="21"/>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2022</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至今北京</w:t>
      </w:r>
      <w:proofErr w:type="gramStart"/>
      <w:r w:rsidRPr="0043038D">
        <w:rPr>
          <w:rFonts w:ascii="Arial" w:eastAsia="方正黑体简体" w:hAnsi="Arial" w:hint="eastAsia"/>
          <w:bCs/>
          <w:color w:val="000000"/>
          <w:szCs w:val="24"/>
        </w:rPr>
        <w:t>市区涉宅用地</w:t>
      </w:r>
      <w:proofErr w:type="gramEnd"/>
      <w:r w:rsidRPr="0043038D">
        <w:rPr>
          <w:rFonts w:ascii="Arial" w:eastAsia="方正黑体简体" w:hAnsi="Arial" w:hint="eastAsia"/>
          <w:bCs/>
          <w:color w:val="000000"/>
          <w:szCs w:val="24"/>
        </w:rPr>
        <w:t>楼面价和溢价率季度走势</w:t>
      </w:r>
    </w:p>
    <w:p w:rsidR="000E5655" w:rsidRPr="0043038D" w:rsidRDefault="00837133">
      <w:pPr>
        <w:widowControl/>
        <w:overflowPunct w:val="0"/>
        <w:adjustRightInd/>
        <w:spacing w:line="480" w:lineRule="auto"/>
        <w:jc w:val="center"/>
      </w:pPr>
      <w:r w:rsidRPr="0043038D">
        <w:rPr>
          <w:noProof/>
        </w:rPr>
        <w:drawing>
          <wp:inline distT="0" distB="0" distL="0" distR="0">
            <wp:extent cx="5907405" cy="240792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07405" cy="2407920"/>
                    </a:xfrm>
                    <a:prstGeom prst="rect">
                      <a:avLst/>
                    </a:prstGeom>
                    <a:noFill/>
                    <a:ln>
                      <a:noFill/>
                    </a:ln>
                  </pic:spPr>
                </pic:pic>
              </a:graphicData>
            </a:graphic>
          </wp:inline>
        </w:drawing>
      </w:r>
    </w:p>
    <w:p w:rsidR="000E5655" w:rsidRPr="0043038D" w:rsidRDefault="00837133">
      <w:pPr>
        <w:widowControl/>
        <w:overflowPunct w:val="0"/>
        <w:adjustRightInd/>
        <w:spacing w:line="480" w:lineRule="auto"/>
        <w:ind w:firstLineChars="200" w:firstLine="420"/>
        <w:jc w:val="both"/>
        <w:rPr>
          <w:rFonts w:ascii="Arial" w:hAnsi="Arial"/>
          <w:sz w:val="21"/>
          <w:szCs w:val="21"/>
        </w:rPr>
      </w:pPr>
      <w:r w:rsidRPr="0043038D">
        <w:rPr>
          <w:rFonts w:ascii="Arial" w:hAnsi="Arial" w:hint="eastAsia"/>
          <w:sz w:val="21"/>
          <w:szCs w:val="21"/>
        </w:rPr>
        <w:t>（</w:t>
      </w:r>
      <w:r w:rsidRPr="0043038D">
        <w:rPr>
          <w:rFonts w:ascii="Arial" w:hAnsi="Arial"/>
          <w:sz w:val="21"/>
          <w:szCs w:val="21"/>
        </w:rPr>
        <w:t>2</w:t>
      </w:r>
      <w:r w:rsidRPr="0043038D">
        <w:rPr>
          <w:rFonts w:ascii="Arial" w:hAnsi="Arial" w:hint="eastAsia"/>
          <w:sz w:val="21"/>
          <w:szCs w:val="21"/>
        </w:rPr>
        <w:t>）土地成交情况</w:t>
      </w:r>
    </w:p>
    <w:p w:rsidR="000E5655" w:rsidRPr="0043038D" w:rsidRDefault="00837133">
      <w:pPr>
        <w:widowControl/>
        <w:overflowPunct w:val="0"/>
        <w:adjustRightInd/>
        <w:spacing w:line="480" w:lineRule="auto"/>
        <w:ind w:firstLineChars="200" w:firstLine="420"/>
        <w:jc w:val="both"/>
        <w:rPr>
          <w:rFonts w:ascii="Arial" w:hAnsi="Arial"/>
          <w:sz w:val="21"/>
          <w:szCs w:val="21"/>
        </w:rPr>
      </w:pPr>
      <w:r w:rsidRPr="0043038D">
        <w:rPr>
          <w:rFonts w:ascii="Arial" w:hAnsi="Arial"/>
          <w:sz w:val="21"/>
          <w:szCs w:val="21"/>
        </w:rPr>
        <w:t>2024</w:t>
      </w:r>
      <w:r w:rsidRPr="0043038D">
        <w:rPr>
          <w:rFonts w:ascii="Arial" w:hAnsi="Arial" w:hint="eastAsia"/>
          <w:sz w:val="21"/>
          <w:szCs w:val="21"/>
        </w:rPr>
        <w:t>年上半年，北京市中心城区共成交</w:t>
      </w:r>
      <w:r w:rsidRPr="0043038D">
        <w:rPr>
          <w:rFonts w:ascii="Arial" w:hAnsi="Arial"/>
          <w:sz w:val="21"/>
          <w:szCs w:val="21"/>
        </w:rPr>
        <w:t>8</w:t>
      </w:r>
      <w:r w:rsidRPr="0043038D">
        <w:rPr>
          <w:rFonts w:ascii="Arial" w:hAnsi="Arial" w:hint="eastAsia"/>
          <w:sz w:val="21"/>
          <w:szCs w:val="21"/>
        </w:rPr>
        <w:t>宗宅地，成交</w:t>
      </w:r>
      <w:proofErr w:type="gramStart"/>
      <w:r w:rsidRPr="0043038D">
        <w:rPr>
          <w:rFonts w:ascii="Arial" w:hAnsi="Arial" w:hint="eastAsia"/>
          <w:sz w:val="21"/>
          <w:szCs w:val="21"/>
        </w:rPr>
        <w:t>规划建面</w:t>
      </w:r>
      <w:proofErr w:type="gramEnd"/>
      <w:r w:rsidRPr="0043038D">
        <w:rPr>
          <w:rFonts w:ascii="Arial" w:hAnsi="Arial"/>
          <w:sz w:val="21"/>
          <w:szCs w:val="21"/>
        </w:rPr>
        <w:t>109.87</w:t>
      </w:r>
      <w:r w:rsidRPr="0043038D">
        <w:rPr>
          <w:rFonts w:ascii="Arial" w:hAnsi="Arial" w:hint="eastAsia"/>
          <w:sz w:val="21"/>
          <w:szCs w:val="21"/>
        </w:rPr>
        <w:t>万㎡，占比</w:t>
      </w:r>
      <w:r w:rsidRPr="0043038D">
        <w:rPr>
          <w:rFonts w:ascii="Arial" w:hAnsi="Arial"/>
          <w:sz w:val="21"/>
          <w:szCs w:val="21"/>
        </w:rPr>
        <w:t>46.29%</w:t>
      </w:r>
      <w:r w:rsidRPr="0043038D">
        <w:rPr>
          <w:rFonts w:ascii="Arial" w:hAnsi="Arial" w:hint="eastAsia"/>
          <w:sz w:val="21"/>
          <w:szCs w:val="21"/>
        </w:rPr>
        <w:t>。其中朝阳为成交主力区域，累计成交规模超</w:t>
      </w:r>
      <w:r w:rsidRPr="0043038D">
        <w:rPr>
          <w:rFonts w:ascii="Arial" w:hAnsi="Arial"/>
          <w:sz w:val="21"/>
          <w:szCs w:val="21"/>
        </w:rPr>
        <w:t>40</w:t>
      </w:r>
      <w:r w:rsidRPr="0043038D">
        <w:rPr>
          <w:rFonts w:ascii="Arial" w:hAnsi="Arial" w:hint="eastAsia"/>
          <w:sz w:val="21"/>
          <w:szCs w:val="21"/>
        </w:rPr>
        <w:t>万㎡。近郊区与中心城区基本一致，累计成交</w:t>
      </w:r>
      <w:r w:rsidRPr="0043038D">
        <w:rPr>
          <w:rFonts w:ascii="Arial" w:hAnsi="Arial"/>
          <w:sz w:val="21"/>
          <w:szCs w:val="21"/>
        </w:rPr>
        <w:t>112.56</w:t>
      </w:r>
      <w:r w:rsidRPr="0043038D">
        <w:rPr>
          <w:rFonts w:ascii="Arial" w:hAnsi="Arial" w:hint="eastAsia"/>
          <w:sz w:val="21"/>
          <w:szCs w:val="21"/>
        </w:rPr>
        <w:t>万㎡，占比为</w:t>
      </w:r>
      <w:r w:rsidRPr="0043038D">
        <w:rPr>
          <w:rFonts w:ascii="Arial" w:hAnsi="Arial"/>
          <w:sz w:val="21"/>
          <w:szCs w:val="21"/>
        </w:rPr>
        <w:t>47.43%</w:t>
      </w:r>
      <w:r w:rsidRPr="0043038D">
        <w:rPr>
          <w:rFonts w:ascii="Arial" w:hAnsi="Arial" w:hint="eastAsia"/>
          <w:sz w:val="21"/>
          <w:szCs w:val="21"/>
        </w:rPr>
        <w:t>；其中大兴为主力成交区域，成交规模为</w:t>
      </w:r>
      <w:r w:rsidRPr="0043038D">
        <w:rPr>
          <w:rFonts w:ascii="Arial" w:hAnsi="Arial"/>
          <w:sz w:val="21"/>
          <w:szCs w:val="21"/>
        </w:rPr>
        <w:t>44.97</w:t>
      </w:r>
      <w:r w:rsidRPr="0043038D">
        <w:rPr>
          <w:rFonts w:ascii="Arial" w:hAnsi="Arial" w:hint="eastAsia"/>
          <w:sz w:val="21"/>
          <w:szCs w:val="21"/>
        </w:rPr>
        <w:t>万㎡，成交规模占比分别为</w:t>
      </w:r>
      <w:r w:rsidRPr="0043038D">
        <w:rPr>
          <w:rFonts w:ascii="Arial" w:hAnsi="Arial"/>
          <w:sz w:val="21"/>
          <w:szCs w:val="21"/>
        </w:rPr>
        <w:t>18.95%</w:t>
      </w:r>
      <w:r w:rsidRPr="0043038D">
        <w:rPr>
          <w:rFonts w:ascii="Arial" w:hAnsi="Arial" w:hint="eastAsia"/>
          <w:sz w:val="21"/>
          <w:szCs w:val="21"/>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至今三大圈</w:t>
      </w:r>
      <w:proofErr w:type="gramStart"/>
      <w:r w:rsidRPr="0043038D">
        <w:rPr>
          <w:rFonts w:ascii="Arial" w:eastAsia="方正黑体简体" w:hAnsi="Arial" w:hint="eastAsia"/>
          <w:bCs/>
          <w:color w:val="000000"/>
          <w:szCs w:val="24"/>
        </w:rPr>
        <w:t>层区域</w:t>
      </w:r>
      <w:proofErr w:type="gramEnd"/>
      <w:r w:rsidRPr="0043038D">
        <w:rPr>
          <w:rFonts w:ascii="Arial" w:eastAsia="方正黑体简体" w:hAnsi="Arial" w:hint="eastAsia"/>
          <w:bCs/>
          <w:color w:val="000000"/>
          <w:szCs w:val="24"/>
        </w:rPr>
        <w:t>成交规划</w:t>
      </w:r>
      <w:proofErr w:type="gramStart"/>
      <w:r w:rsidRPr="0043038D">
        <w:rPr>
          <w:rFonts w:ascii="Arial" w:eastAsia="方正黑体简体" w:hAnsi="Arial" w:hint="eastAsia"/>
          <w:bCs/>
          <w:color w:val="000000"/>
          <w:szCs w:val="24"/>
        </w:rPr>
        <w:t>总建面占</w:t>
      </w:r>
      <w:proofErr w:type="gramEnd"/>
      <w:r w:rsidRPr="0043038D">
        <w:rPr>
          <w:rFonts w:ascii="Arial" w:eastAsia="方正黑体简体" w:hAnsi="Arial" w:hint="eastAsia"/>
          <w:bCs/>
          <w:color w:val="000000"/>
          <w:szCs w:val="24"/>
        </w:rPr>
        <w:t>比季度走势</w:t>
      </w:r>
    </w:p>
    <w:p w:rsidR="000E5655" w:rsidRPr="0043038D" w:rsidRDefault="00837133">
      <w:pPr>
        <w:widowControl/>
        <w:overflowPunct w:val="0"/>
        <w:adjustRightInd/>
        <w:spacing w:line="480" w:lineRule="auto"/>
        <w:jc w:val="center"/>
      </w:pPr>
      <w:r w:rsidRPr="0043038D">
        <w:rPr>
          <w:noProof/>
        </w:rPr>
        <w:lastRenderedPageBreak/>
        <w:drawing>
          <wp:inline distT="0" distB="0" distL="0" distR="0">
            <wp:extent cx="4318635" cy="223139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18635" cy="2231390"/>
                    </a:xfrm>
                    <a:prstGeom prst="rect">
                      <a:avLst/>
                    </a:prstGeom>
                    <a:noFill/>
                    <a:ln>
                      <a:noFill/>
                    </a:ln>
                  </pic:spPr>
                </pic:pic>
              </a:graphicData>
            </a:graphic>
          </wp:inline>
        </w:drawing>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至今三大圈</w:t>
      </w:r>
      <w:proofErr w:type="gramStart"/>
      <w:r w:rsidRPr="0043038D">
        <w:rPr>
          <w:rFonts w:ascii="Arial" w:eastAsia="方正黑体简体" w:hAnsi="Arial" w:hint="eastAsia"/>
          <w:bCs/>
          <w:color w:val="000000"/>
          <w:szCs w:val="24"/>
        </w:rPr>
        <w:t>层区域</w:t>
      </w:r>
      <w:proofErr w:type="gramEnd"/>
      <w:r w:rsidRPr="0043038D">
        <w:rPr>
          <w:rFonts w:ascii="Arial" w:eastAsia="方正黑体简体" w:hAnsi="Arial" w:hint="eastAsia"/>
          <w:bCs/>
          <w:color w:val="000000"/>
          <w:szCs w:val="24"/>
        </w:rPr>
        <w:t>成交地价款占比季度走势</w:t>
      </w:r>
    </w:p>
    <w:p w:rsidR="000E5655" w:rsidRPr="0043038D" w:rsidRDefault="00837133">
      <w:pPr>
        <w:widowControl/>
        <w:overflowPunct w:val="0"/>
        <w:adjustRightInd/>
        <w:spacing w:line="480" w:lineRule="auto"/>
        <w:jc w:val="center"/>
      </w:pPr>
      <w:r w:rsidRPr="0043038D">
        <w:rPr>
          <w:noProof/>
        </w:rPr>
        <w:drawing>
          <wp:inline distT="0" distB="0" distL="0" distR="0">
            <wp:extent cx="4318635" cy="2353945"/>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318635" cy="2353945"/>
                    </a:xfrm>
                    <a:prstGeom prst="rect">
                      <a:avLst/>
                    </a:prstGeom>
                    <a:noFill/>
                    <a:ln>
                      <a:noFill/>
                    </a:ln>
                  </pic:spPr>
                </pic:pic>
              </a:graphicData>
            </a:graphic>
          </wp:inline>
        </w:drawing>
      </w:r>
    </w:p>
    <w:p w:rsidR="000E5655" w:rsidRPr="0043038D" w:rsidRDefault="00837133">
      <w:pPr>
        <w:overflowPunct w:val="0"/>
        <w:spacing w:line="480" w:lineRule="auto"/>
        <w:ind w:firstLineChars="200" w:firstLine="420"/>
        <w:jc w:val="both"/>
        <w:rPr>
          <w:rFonts w:ascii="Arial" w:hAnsi="Arial" w:cs="宋体"/>
          <w:sz w:val="21"/>
          <w:szCs w:val="21"/>
        </w:rPr>
      </w:pPr>
      <w:r w:rsidRPr="0043038D">
        <w:rPr>
          <w:rFonts w:ascii="Arial" w:hAnsi="Arial" w:cs="宋体" w:hint="eastAsia"/>
          <w:sz w:val="21"/>
          <w:szCs w:val="21"/>
        </w:rPr>
        <w:t>（</w:t>
      </w:r>
      <w:r w:rsidRPr="0043038D">
        <w:rPr>
          <w:rFonts w:ascii="Arial" w:hAnsi="Arial"/>
          <w:sz w:val="21"/>
        </w:rPr>
        <w:t>3</w:t>
      </w:r>
      <w:r w:rsidRPr="0043038D">
        <w:rPr>
          <w:rFonts w:ascii="Arial" w:hAnsi="Arial" w:cs="宋体" w:hint="eastAsia"/>
          <w:sz w:val="21"/>
          <w:szCs w:val="21"/>
        </w:rPr>
        <w:t>）土地成交价格</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年上半年，北京市成交总地价款达</w:t>
      </w:r>
      <w:r w:rsidRPr="0043038D">
        <w:rPr>
          <w:rFonts w:ascii="Arial" w:hAnsi="Arial"/>
          <w:sz w:val="21"/>
          <w:szCs w:val="28"/>
        </w:rPr>
        <w:t>732.4</w:t>
      </w:r>
      <w:r w:rsidRPr="0043038D">
        <w:rPr>
          <w:rFonts w:ascii="Arial" w:hAnsi="Arial" w:hint="eastAsia"/>
          <w:sz w:val="21"/>
          <w:szCs w:val="28"/>
        </w:rPr>
        <w:t>亿元，平均溢价率为</w:t>
      </w:r>
      <w:r w:rsidRPr="0043038D">
        <w:rPr>
          <w:rFonts w:ascii="Arial" w:hAnsi="Arial"/>
          <w:sz w:val="21"/>
          <w:szCs w:val="28"/>
        </w:rPr>
        <w:t>3.87%</w:t>
      </w:r>
      <w:r w:rsidRPr="0043038D">
        <w:rPr>
          <w:rFonts w:ascii="Arial" w:hAnsi="Arial" w:hint="eastAsia"/>
          <w:sz w:val="21"/>
          <w:szCs w:val="28"/>
        </w:rPr>
        <w:t>，呈“先扬后抑”趋势。</w:t>
      </w:r>
      <w:r w:rsidRPr="0043038D">
        <w:rPr>
          <w:rFonts w:ascii="Arial" w:hAnsi="Arial"/>
          <w:sz w:val="21"/>
          <w:szCs w:val="28"/>
        </w:rPr>
        <w:t>1-3</w:t>
      </w:r>
      <w:r w:rsidRPr="0043038D">
        <w:rPr>
          <w:rFonts w:ascii="Arial" w:hAnsi="Arial" w:hint="eastAsia"/>
          <w:sz w:val="21"/>
          <w:szCs w:val="28"/>
        </w:rPr>
        <w:t>月，受优质地块拍地节奏加快影响，成交地价款总额及楼面地价结构性上扬。企业投资继续聚焦城市核心区域，</w:t>
      </w:r>
      <w:proofErr w:type="gramStart"/>
      <w:r w:rsidRPr="0043038D">
        <w:rPr>
          <w:rFonts w:ascii="Arial" w:hAnsi="Arial" w:hint="eastAsia"/>
          <w:sz w:val="21"/>
          <w:szCs w:val="28"/>
        </w:rPr>
        <w:t>土拍热度</w:t>
      </w:r>
      <w:proofErr w:type="gramEnd"/>
      <w:r w:rsidRPr="0043038D">
        <w:rPr>
          <w:rFonts w:ascii="Arial" w:hAnsi="Arial" w:hint="eastAsia"/>
          <w:sz w:val="21"/>
          <w:szCs w:val="28"/>
        </w:rPr>
        <w:t>分化加剧。拿地企业方面，央</w:t>
      </w:r>
      <w:proofErr w:type="gramStart"/>
      <w:r w:rsidRPr="0043038D">
        <w:rPr>
          <w:rFonts w:ascii="Arial" w:hAnsi="Arial" w:hint="eastAsia"/>
          <w:sz w:val="21"/>
          <w:szCs w:val="28"/>
        </w:rPr>
        <w:t>国企拿</w:t>
      </w:r>
      <w:proofErr w:type="gramEnd"/>
      <w:r w:rsidRPr="0043038D">
        <w:rPr>
          <w:rFonts w:ascii="Arial" w:hAnsi="Arial" w:hint="eastAsia"/>
          <w:sz w:val="21"/>
          <w:szCs w:val="28"/>
        </w:rPr>
        <w:t>地意愿占比提升。</w:t>
      </w:r>
      <w:r w:rsidRPr="0043038D">
        <w:rPr>
          <w:rFonts w:ascii="Arial" w:hAnsi="Arial"/>
          <w:sz w:val="21"/>
          <w:szCs w:val="28"/>
        </w:rPr>
        <w:t>4-6</w:t>
      </w:r>
      <w:r w:rsidRPr="0043038D">
        <w:rPr>
          <w:rFonts w:ascii="Arial" w:hAnsi="Arial" w:hint="eastAsia"/>
          <w:sz w:val="21"/>
          <w:szCs w:val="28"/>
        </w:rPr>
        <w:t>月，地块热度低迷，均为国</w:t>
      </w:r>
      <w:proofErr w:type="gramStart"/>
      <w:r w:rsidRPr="0043038D">
        <w:rPr>
          <w:rFonts w:ascii="Arial" w:hAnsi="Arial" w:hint="eastAsia"/>
          <w:sz w:val="21"/>
          <w:szCs w:val="28"/>
        </w:rPr>
        <w:t>央企拿</w:t>
      </w:r>
      <w:proofErr w:type="gramEnd"/>
      <w:r w:rsidRPr="0043038D">
        <w:rPr>
          <w:rFonts w:ascii="Arial" w:hAnsi="Arial" w:hint="eastAsia"/>
          <w:sz w:val="21"/>
          <w:szCs w:val="28"/>
        </w:rPr>
        <w:t>地，除海淀西北旺溢价</w:t>
      </w:r>
      <w:r w:rsidRPr="0043038D">
        <w:rPr>
          <w:rFonts w:ascii="Arial" w:hAnsi="Arial"/>
          <w:sz w:val="21"/>
          <w:szCs w:val="28"/>
        </w:rPr>
        <w:t>1.5%</w:t>
      </w:r>
      <w:r w:rsidRPr="0043038D">
        <w:rPr>
          <w:rFonts w:ascii="Arial" w:hAnsi="Arial" w:hint="eastAsia"/>
          <w:sz w:val="21"/>
          <w:szCs w:val="28"/>
        </w:rPr>
        <w:t>外，全部底价成交。</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2021</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月北京住宅用地成交楼面均价及溢价率走势</w:t>
      </w:r>
    </w:p>
    <w:p w:rsidR="000E5655" w:rsidRPr="0043038D" w:rsidRDefault="00837133">
      <w:pPr>
        <w:spacing w:line="480" w:lineRule="auto"/>
        <w:jc w:val="center"/>
        <w:rPr>
          <w:rFonts w:ascii="Arial" w:hAnsi="Arial" w:cs="Arial"/>
          <w:sz w:val="21"/>
          <w:szCs w:val="21"/>
        </w:rPr>
      </w:pPr>
      <w:r w:rsidRPr="0043038D">
        <w:rPr>
          <w:rFonts w:ascii="Arial" w:eastAsia="仿宋_GB2312" w:hAnsi="Arial" w:cs="Arial"/>
          <w:bCs/>
          <w:noProof/>
          <w:color w:val="000000"/>
          <w:sz w:val="28"/>
          <w:szCs w:val="28"/>
        </w:rPr>
        <w:lastRenderedPageBreak/>
        <w:drawing>
          <wp:inline distT="0" distB="0" distL="0" distR="0">
            <wp:extent cx="5486400" cy="1981200"/>
            <wp:effectExtent l="0" t="0" r="0" b="0"/>
            <wp:docPr id="25" name="对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w:t>
      </w:r>
      <w:r w:rsidRPr="0043038D">
        <w:rPr>
          <w:rFonts w:ascii="Arial" w:hAnsi="Arial"/>
          <w:sz w:val="21"/>
          <w:szCs w:val="28"/>
        </w:rPr>
        <w:t>4</w:t>
      </w:r>
      <w:r w:rsidRPr="0043038D">
        <w:rPr>
          <w:rFonts w:ascii="Arial" w:hAnsi="Arial" w:hint="eastAsia"/>
          <w:sz w:val="21"/>
          <w:szCs w:val="28"/>
        </w:rPr>
        <w:t>）供应计划</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1</w:t>
      </w:r>
      <w:r w:rsidRPr="0043038D">
        <w:rPr>
          <w:rFonts w:ascii="Arial" w:hAnsi="Arial" w:hint="eastAsia"/>
          <w:sz w:val="21"/>
          <w:szCs w:val="28"/>
        </w:rPr>
        <w:t>月</w:t>
      </w:r>
      <w:r w:rsidRPr="0043038D">
        <w:rPr>
          <w:rFonts w:ascii="Arial" w:hAnsi="Arial"/>
          <w:sz w:val="21"/>
          <w:szCs w:val="28"/>
        </w:rPr>
        <w:t>17</w:t>
      </w:r>
      <w:r w:rsidRPr="0043038D">
        <w:rPr>
          <w:rFonts w:ascii="Arial" w:hAnsi="Arial" w:hint="eastAsia"/>
          <w:sz w:val="21"/>
          <w:szCs w:val="28"/>
        </w:rPr>
        <w:t>日，北京市规划和自然资源委员会、北京市发展和改革委员会联合发布《北京市</w:t>
      </w:r>
      <w:r w:rsidRPr="0043038D">
        <w:rPr>
          <w:rFonts w:ascii="Arial" w:hAnsi="Arial"/>
          <w:sz w:val="21"/>
          <w:szCs w:val="28"/>
        </w:rPr>
        <w:t>2024</w:t>
      </w:r>
      <w:r w:rsidRPr="0043038D">
        <w:rPr>
          <w:rFonts w:ascii="Arial" w:hAnsi="Arial" w:hint="eastAsia"/>
          <w:sz w:val="21"/>
          <w:szCs w:val="28"/>
        </w:rPr>
        <w:t>年度建设用地供应计划》，</w:t>
      </w:r>
      <w:r w:rsidRPr="0043038D">
        <w:rPr>
          <w:rFonts w:ascii="Arial" w:hAnsi="Arial"/>
          <w:sz w:val="21"/>
          <w:szCs w:val="28"/>
        </w:rPr>
        <w:t>2024</w:t>
      </w:r>
      <w:r w:rsidRPr="0043038D">
        <w:rPr>
          <w:rFonts w:ascii="Arial" w:hAnsi="Arial" w:hint="eastAsia"/>
          <w:sz w:val="21"/>
          <w:szCs w:val="28"/>
        </w:rPr>
        <w:t>年计划安排建设用地供应总量</w:t>
      </w:r>
      <w:r w:rsidRPr="0043038D">
        <w:rPr>
          <w:rFonts w:ascii="Arial" w:hAnsi="Arial"/>
          <w:sz w:val="21"/>
          <w:szCs w:val="28"/>
        </w:rPr>
        <w:t>3240</w:t>
      </w:r>
      <w:r w:rsidRPr="0043038D">
        <w:rPr>
          <w:rFonts w:ascii="Arial" w:hAnsi="Arial" w:hint="eastAsia"/>
          <w:sz w:val="21"/>
          <w:szCs w:val="28"/>
        </w:rPr>
        <w:t>至</w:t>
      </w:r>
      <w:r w:rsidRPr="0043038D">
        <w:rPr>
          <w:rFonts w:ascii="Arial" w:hAnsi="Arial"/>
          <w:sz w:val="21"/>
          <w:szCs w:val="28"/>
        </w:rPr>
        <w:t>3660</w:t>
      </w:r>
      <w:r w:rsidRPr="0043038D">
        <w:rPr>
          <w:rFonts w:ascii="Arial" w:hAnsi="Arial" w:hint="eastAsia"/>
          <w:sz w:val="21"/>
          <w:szCs w:val="28"/>
        </w:rPr>
        <w:t>公顷，较</w:t>
      </w:r>
      <w:r w:rsidRPr="0043038D">
        <w:rPr>
          <w:rFonts w:ascii="Arial" w:hAnsi="Arial"/>
          <w:sz w:val="21"/>
          <w:szCs w:val="28"/>
        </w:rPr>
        <w:t>2023</w:t>
      </w:r>
      <w:r w:rsidRPr="0043038D">
        <w:rPr>
          <w:rFonts w:ascii="Arial" w:hAnsi="Arial" w:hint="eastAsia"/>
          <w:sz w:val="21"/>
          <w:szCs w:val="28"/>
        </w:rPr>
        <w:t>年增加</w:t>
      </w:r>
      <w:r w:rsidRPr="0043038D">
        <w:rPr>
          <w:rFonts w:ascii="Arial" w:hAnsi="Arial"/>
          <w:sz w:val="21"/>
          <w:szCs w:val="28"/>
        </w:rPr>
        <w:t>30</w:t>
      </w:r>
      <w:r w:rsidRPr="0043038D">
        <w:rPr>
          <w:rFonts w:ascii="Arial" w:hAnsi="Arial" w:hint="eastAsia"/>
          <w:sz w:val="21"/>
          <w:szCs w:val="28"/>
        </w:rPr>
        <w:t>公顷（全部增加在特交水用地）。住宅用地安排</w:t>
      </w:r>
      <w:r w:rsidRPr="0043038D">
        <w:rPr>
          <w:rFonts w:ascii="Arial" w:hAnsi="Arial"/>
          <w:sz w:val="21"/>
          <w:szCs w:val="28"/>
        </w:rPr>
        <w:t>1060</w:t>
      </w:r>
      <w:r w:rsidRPr="0043038D">
        <w:rPr>
          <w:rFonts w:ascii="Arial" w:hAnsi="Arial" w:hint="eastAsia"/>
          <w:sz w:val="21"/>
          <w:szCs w:val="28"/>
        </w:rPr>
        <w:t>公顷，与去年持平。本次供地计划保持供应总量、生产生活结构基本稳定，重点在优空间、调结构、</w:t>
      </w:r>
      <w:proofErr w:type="gramStart"/>
      <w:r w:rsidRPr="0043038D">
        <w:rPr>
          <w:rFonts w:ascii="Arial" w:hAnsi="Arial" w:hint="eastAsia"/>
          <w:sz w:val="21"/>
          <w:szCs w:val="28"/>
        </w:rPr>
        <w:t>提质量</w:t>
      </w:r>
      <w:proofErr w:type="gramEnd"/>
      <w:r w:rsidRPr="0043038D">
        <w:rPr>
          <w:rFonts w:ascii="Arial" w:hAnsi="Arial" w:hint="eastAsia"/>
          <w:sz w:val="21"/>
          <w:szCs w:val="28"/>
        </w:rPr>
        <w:t>上积极进取，全力稳投资、保增长、稳预期。</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3</w:t>
      </w:r>
      <w:r w:rsidRPr="0043038D">
        <w:rPr>
          <w:rFonts w:ascii="Arial" w:hAnsi="Arial" w:hint="eastAsia"/>
          <w:sz w:val="21"/>
          <w:szCs w:val="28"/>
        </w:rPr>
        <w:t>月</w:t>
      </w:r>
      <w:r w:rsidRPr="0043038D">
        <w:rPr>
          <w:rFonts w:ascii="Arial" w:hAnsi="Arial"/>
          <w:sz w:val="21"/>
          <w:szCs w:val="28"/>
        </w:rPr>
        <w:t>28</w:t>
      </w:r>
      <w:r w:rsidRPr="0043038D">
        <w:rPr>
          <w:rFonts w:ascii="Arial" w:hAnsi="Arial" w:hint="eastAsia"/>
          <w:sz w:val="21"/>
          <w:szCs w:val="28"/>
        </w:rPr>
        <w:t>日北京市举办“</w:t>
      </w:r>
      <w:r w:rsidRPr="0043038D">
        <w:rPr>
          <w:rFonts w:ascii="Arial" w:hAnsi="Arial"/>
          <w:sz w:val="21"/>
          <w:szCs w:val="28"/>
        </w:rPr>
        <w:t>2024</w:t>
      </w:r>
      <w:r w:rsidRPr="0043038D">
        <w:rPr>
          <w:rFonts w:ascii="Arial" w:hAnsi="Arial" w:hint="eastAsia"/>
          <w:sz w:val="21"/>
          <w:szCs w:val="28"/>
        </w:rPr>
        <w:t>年北京商品住宅用地推介会”，会上北京对外推介了</w:t>
      </w:r>
      <w:r w:rsidRPr="0043038D">
        <w:rPr>
          <w:rFonts w:ascii="Arial" w:hAnsi="Arial"/>
          <w:sz w:val="21"/>
          <w:szCs w:val="28"/>
        </w:rPr>
        <w:t>87</w:t>
      </w:r>
      <w:r w:rsidRPr="0043038D">
        <w:rPr>
          <w:rFonts w:ascii="Arial" w:hAnsi="Arial" w:hint="eastAsia"/>
          <w:sz w:val="21"/>
          <w:szCs w:val="28"/>
        </w:rPr>
        <w:t>宗优质地块、建设用地面积</w:t>
      </w:r>
      <w:r w:rsidRPr="0043038D">
        <w:rPr>
          <w:rFonts w:ascii="Arial" w:hAnsi="Arial"/>
          <w:sz w:val="21"/>
          <w:szCs w:val="28"/>
        </w:rPr>
        <w:t>540</w:t>
      </w:r>
      <w:r w:rsidRPr="0043038D">
        <w:rPr>
          <w:rFonts w:ascii="Arial" w:hAnsi="Arial" w:hint="eastAsia"/>
          <w:sz w:val="21"/>
          <w:szCs w:val="28"/>
        </w:rPr>
        <w:t>公顷、建筑规模</w:t>
      </w:r>
      <w:r w:rsidRPr="0043038D">
        <w:rPr>
          <w:rFonts w:ascii="Arial" w:hAnsi="Arial"/>
          <w:sz w:val="21"/>
          <w:szCs w:val="28"/>
        </w:rPr>
        <w:t>1100</w:t>
      </w:r>
      <w:r w:rsidRPr="0043038D">
        <w:rPr>
          <w:rFonts w:ascii="Arial" w:hAnsi="Arial" w:hint="eastAsia"/>
          <w:sz w:val="21"/>
          <w:szCs w:val="28"/>
        </w:rPr>
        <w:t>万㎡。</w:t>
      </w:r>
      <w:r w:rsidRPr="0043038D">
        <w:rPr>
          <w:rFonts w:ascii="Arial" w:hAnsi="Arial"/>
          <w:sz w:val="21"/>
          <w:szCs w:val="28"/>
        </w:rPr>
        <w:t>87</w:t>
      </w:r>
      <w:r w:rsidRPr="0043038D">
        <w:rPr>
          <w:rFonts w:ascii="Arial" w:hAnsi="Arial" w:hint="eastAsia"/>
          <w:sz w:val="21"/>
          <w:szCs w:val="28"/>
        </w:rPr>
        <w:t>宗地块中，中心城区占其中</w:t>
      </w:r>
      <w:r w:rsidRPr="0043038D">
        <w:rPr>
          <w:rFonts w:ascii="Arial" w:hAnsi="Arial"/>
          <w:sz w:val="21"/>
          <w:szCs w:val="28"/>
        </w:rPr>
        <w:t>32</w:t>
      </w:r>
      <w:r w:rsidRPr="0043038D">
        <w:rPr>
          <w:rFonts w:ascii="Arial" w:hAnsi="Arial" w:hint="eastAsia"/>
          <w:sz w:val="21"/>
          <w:szCs w:val="28"/>
        </w:rPr>
        <w:t>宗住宅用地，分别为海淀区</w:t>
      </w:r>
      <w:r w:rsidRPr="0043038D">
        <w:rPr>
          <w:rFonts w:ascii="Arial" w:hAnsi="Arial"/>
          <w:sz w:val="21"/>
          <w:szCs w:val="28"/>
        </w:rPr>
        <w:t>4</w:t>
      </w:r>
      <w:r w:rsidRPr="0043038D">
        <w:rPr>
          <w:rFonts w:ascii="Arial" w:hAnsi="Arial" w:hint="eastAsia"/>
          <w:sz w:val="21"/>
          <w:szCs w:val="28"/>
        </w:rPr>
        <w:t>宗、朝阳区</w:t>
      </w:r>
      <w:r w:rsidRPr="0043038D">
        <w:rPr>
          <w:rFonts w:ascii="Arial" w:hAnsi="Arial"/>
          <w:sz w:val="21"/>
          <w:szCs w:val="28"/>
        </w:rPr>
        <w:t>10</w:t>
      </w:r>
      <w:r w:rsidRPr="0043038D">
        <w:rPr>
          <w:rFonts w:ascii="Arial" w:hAnsi="Arial" w:hint="eastAsia"/>
          <w:sz w:val="21"/>
          <w:szCs w:val="28"/>
        </w:rPr>
        <w:t>宗、丰台区</w:t>
      </w:r>
      <w:r w:rsidRPr="0043038D">
        <w:rPr>
          <w:rFonts w:ascii="Arial" w:hAnsi="Arial"/>
          <w:sz w:val="21"/>
          <w:szCs w:val="28"/>
        </w:rPr>
        <w:t>13</w:t>
      </w:r>
      <w:r w:rsidRPr="0043038D">
        <w:rPr>
          <w:rFonts w:ascii="Arial" w:hAnsi="Arial" w:hint="eastAsia"/>
          <w:sz w:val="21"/>
          <w:szCs w:val="28"/>
        </w:rPr>
        <w:t>宗、石景山区</w:t>
      </w:r>
      <w:r w:rsidRPr="0043038D">
        <w:rPr>
          <w:rFonts w:ascii="Arial" w:hAnsi="Arial"/>
          <w:sz w:val="21"/>
          <w:szCs w:val="28"/>
        </w:rPr>
        <w:t>5</w:t>
      </w:r>
      <w:r w:rsidRPr="0043038D">
        <w:rPr>
          <w:rFonts w:ascii="Arial" w:hAnsi="Arial" w:hint="eastAsia"/>
          <w:sz w:val="21"/>
          <w:szCs w:val="28"/>
        </w:rPr>
        <w:t>宗。</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6</w:t>
      </w:r>
      <w:r w:rsidRPr="0043038D">
        <w:rPr>
          <w:rFonts w:ascii="Arial" w:hAnsi="Arial" w:hint="eastAsia"/>
          <w:sz w:val="21"/>
          <w:szCs w:val="28"/>
        </w:rPr>
        <w:t>月初，北京市规划和自然资源委员会发布“</w:t>
      </w:r>
      <w:r w:rsidRPr="0043038D">
        <w:rPr>
          <w:rFonts w:ascii="Arial" w:hAnsi="Arial"/>
          <w:sz w:val="21"/>
          <w:szCs w:val="28"/>
        </w:rPr>
        <w:t>2024</w:t>
      </w:r>
      <w:r w:rsidRPr="0043038D">
        <w:rPr>
          <w:rFonts w:ascii="Arial" w:hAnsi="Arial" w:hint="eastAsia"/>
          <w:sz w:val="21"/>
          <w:szCs w:val="28"/>
        </w:rPr>
        <w:t>年度第二轮拟供应商品住宅用地清单”。该清单共涉及</w:t>
      </w:r>
      <w:r w:rsidRPr="0043038D">
        <w:rPr>
          <w:rFonts w:ascii="Arial" w:hAnsi="Arial"/>
          <w:sz w:val="21"/>
          <w:szCs w:val="28"/>
        </w:rPr>
        <w:t>23</w:t>
      </w:r>
      <w:r w:rsidRPr="0043038D">
        <w:rPr>
          <w:rFonts w:ascii="Arial" w:hAnsi="Arial" w:hint="eastAsia"/>
          <w:sz w:val="21"/>
          <w:szCs w:val="28"/>
        </w:rPr>
        <w:t>宗地，土地面积约</w:t>
      </w:r>
      <w:r w:rsidRPr="0043038D">
        <w:rPr>
          <w:rFonts w:ascii="Arial" w:hAnsi="Arial"/>
          <w:sz w:val="21"/>
          <w:szCs w:val="28"/>
        </w:rPr>
        <w:t>122</w:t>
      </w:r>
      <w:r w:rsidRPr="0043038D">
        <w:rPr>
          <w:rFonts w:ascii="Arial" w:hAnsi="Arial" w:hint="eastAsia"/>
          <w:sz w:val="21"/>
          <w:szCs w:val="28"/>
        </w:rPr>
        <w:t>万㎡，</w:t>
      </w:r>
      <w:proofErr w:type="gramStart"/>
      <w:r w:rsidRPr="0043038D">
        <w:rPr>
          <w:rFonts w:ascii="Arial" w:hAnsi="Arial" w:hint="eastAsia"/>
          <w:sz w:val="21"/>
          <w:szCs w:val="28"/>
        </w:rPr>
        <w:t>规划建面约</w:t>
      </w:r>
      <w:proofErr w:type="gramEnd"/>
      <w:r w:rsidRPr="0043038D">
        <w:rPr>
          <w:rFonts w:ascii="Arial" w:hAnsi="Arial"/>
          <w:sz w:val="21"/>
          <w:szCs w:val="28"/>
        </w:rPr>
        <w:t>243</w:t>
      </w:r>
      <w:r w:rsidRPr="0043038D">
        <w:rPr>
          <w:rFonts w:ascii="Arial" w:hAnsi="Arial" w:hint="eastAsia"/>
          <w:sz w:val="21"/>
          <w:szCs w:val="28"/>
        </w:rPr>
        <w:t>万㎡，清单内项目将于</w:t>
      </w: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6</w:t>
      </w:r>
      <w:r w:rsidRPr="0043038D">
        <w:rPr>
          <w:rFonts w:ascii="Arial" w:hAnsi="Arial" w:hint="eastAsia"/>
          <w:sz w:val="21"/>
          <w:szCs w:val="28"/>
        </w:rPr>
        <w:t>月</w:t>
      </w:r>
      <w:r w:rsidRPr="0043038D">
        <w:rPr>
          <w:rFonts w:ascii="Arial" w:hAnsi="Arial"/>
          <w:sz w:val="21"/>
          <w:szCs w:val="28"/>
        </w:rPr>
        <w:t>4</w:t>
      </w:r>
      <w:r w:rsidRPr="0043038D">
        <w:rPr>
          <w:rFonts w:ascii="Arial" w:hAnsi="Arial" w:hint="eastAsia"/>
          <w:sz w:val="21"/>
          <w:szCs w:val="28"/>
        </w:rPr>
        <w:t>日至</w:t>
      </w:r>
      <w:r w:rsidRPr="0043038D">
        <w:rPr>
          <w:rFonts w:ascii="Arial" w:hAnsi="Arial"/>
          <w:sz w:val="21"/>
          <w:szCs w:val="28"/>
        </w:rPr>
        <w:t>9</w:t>
      </w:r>
      <w:r w:rsidRPr="0043038D">
        <w:rPr>
          <w:rFonts w:ascii="Arial" w:hAnsi="Arial" w:hint="eastAsia"/>
          <w:sz w:val="21"/>
          <w:szCs w:val="28"/>
        </w:rPr>
        <w:t>月</w:t>
      </w:r>
      <w:r w:rsidRPr="0043038D">
        <w:rPr>
          <w:rFonts w:ascii="Arial" w:hAnsi="Arial"/>
          <w:sz w:val="21"/>
          <w:szCs w:val="28"/>
        </w:rPr>
        <w:t>6</w:t>
      </w:r>
      <w:r w:rsidRPr="0043038D">
        <w:rPr>
          <w:rFonts w:ascii="Arial" w:hAnsi="Arial" w:hint="eastAsia"/>
          <w:sz w:val="21"/>
          <w:szCs w:val="28"/>
        </w:rPr>
        <w:t>日进行供应。本轮供地主力为近郊区，共供应</w:t>
      </w:r>
      <w:r w:rsidRPr="0043038D">
        <w:rPr>
          <w:rFonts w:ascii="Arial" w:hAnsi="Arial"/>
          <w:sz w:val="21"/>
          <w:szCs w:val="28"/>
        </w:rPr>
        <w:t>15</w:t>
      </w:r>
      <w:r w:rsidRPr="0043038D">
        <w:rPr>
          <w:rFonts w:ascii="Arial" w:hAnsi="Arial" w:hint="eastAsia"/>
          <w:sz w:val="21"/>
          <w:szCs w:val="28"/>
        </w:rPr>
        <w:t>宗地，</w:t>
      </w:r>
      <w:proofErr w:type="gramStart"/>
      <w:r w:rsidRPr="0043038D">
        <w:rPr>
          <w:rFonts w:ascii="Arial" w:hAnsi="Arial" w:hint="eastAsia"/>
          <w:sz w:val="21"/>
          <w:szCs w:val="28"/>
        </w:rPr>
        <w:t>规划建面约</w:t>
      </w:r>
      <w:proofErr w:type="gramEnd"/>
      <w:r w:rsidRPr="0043038D">
        <w:rPr>
          <w:rFonts w:ascii="Arial" w:hAnsi="Arial"/>
          <w:sz w:val="21"/>
          <w:szCs w:val="28"/>
        </w:rPr>
        <w:t>161.6</w:t>
      </w:r>
      <w:r w:rsidRPr="0043038D">
        <w:rPr>
          <w:rFonts w:ascii="Arial" w:hAnsi="Arial" w:hint="eastAsia"/>
          <w:sz w:val="21"/>
          <w:szCs w:val="28"/>
        </w:rPr>
        <w:t>万㎡，占比达</w:t>
      </w:r>
      <w:r w:rsidRPr="0043038D">
        <w:rPr>
          <w:rFonts w:ascii="Arial" w:hAnsi="Arial"/>
          <w:sz w:val="21"/>
          <w:szCs w:val="28"/>
        </w:rPr>
        <w:t>65.2%</w:t>
      </w:r>
      <w:r w:rsidRPr="0043038D">
        <w:rPr>
          <w:rFonts w:ascii="Arial" w:hAnsi="Arial" w:hint="eastAsia"/>
          <w:sz w:val="21"/>
          <w:szCs w:val="28"/>
        </w:rPr>
        <w:t>。本轮中心城区共供地</w:t>
      </w:r>
      <w:r w:rsidRPr="0043038D">
        <w:rPr>
          <w:rFonts w:ascii="Arial" w:hAnsi="Arial"/>
          <w:sz w:val="21"/>
          <w:szCs w:val="28"/>
        </w:rPr>
        <w:t>7</w:t>
      </w:r>
      <w:r w:rsidRPr="0043038D">
        <w:rPr>
          <w:rFonts w:ascii="Arial" w:hAnsi="Arial" w:hint="eastAsia"/>
          <w:sz w:val="21"/>
          <w:szCs w:val="28"/>
        </w:rPr>
        <w:t>宗地，</w:t>
      </w:r>
      <w:proofErr w:type="gramStart"/>
      <w:r w:rsidRPr="0043038D">
        <w:rPr>
          <w:rFonts w:ascii="Arial" w:hAnsi="Arial" w:hint="eastAsia"/>
          <w:sz w:val="21"/>
          <w:szCs w:val="28"/>
        </w:rPr>
        <w:t>规划建面约</w:t>
      </w:r>
      <w:proofErr w:type="gramEnd"/>
      <w:r w:rsidRPr="0043038D">
        <w:rPr>
          <w:rFonts w:ascii="Arial" w:hAnsi="Arial"/>
          <w:sz w:val="21"/>
          <w:szCs w:val="28"/>
        </w:rPr>
        <w:t>79.2</w:t>
      </w:r>
      <w:r w:rsidRPr="0043038D">
        <w:rPr>
          <w:rFonts w:ascii="Arial" w:hAnsi="Arial" w:hint="eastAsia"/>
          <w:sz w:val="21"/>
          <w:szCs w:val="28"/>
        </w:rPr>
        <w:t>万㎡，占比</w:t>
      </w:r>
      <w:r w:rsidRPr="0043038D">
        <w:rPr>
          <w:rFonts w:ascii="Arial" w:hAnsi="Arial"/>
          <w:sz w:val="21"/>
          <w:szCs w:val="28"/>
        </w:rPr>
        <w:t>30.4%</w:t>
      </w:r>
      <w:r w:rsidRPr="0043038D">
        <w:rPr>
          <w:rFonts w:ascii="Arial" w:hAnsi="Arial" w:hint="eastAsia"/>
          <w:sz w:val="21"/>
          <w:szCs w:val="28"/>
        </w:rPr>
        <w:t>。</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3.</w:t>
      </w:r>
      <w:r w:rsidRPr="0043038D">
        <w:rPr>
          <w:rFonts w:ascii="Arial" w:hAnsi="Arial" w:hint="eastAsia"/>
          <w:sz w:val="21"/>
          <w:szCs w:val="28"/>
        </w:rPr>
        <w:t>商品房住宅市场</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w:t>
      </w:r>
      <w:r w:rsidRPr="0043038D">
        <w:rPr>
          <w:rFonts w:ascii="Arial" w:hAnsi="Arial"/>
          <w:sz w:val="21"/>
          <w:szCs w:val="28"/>
        </w:rPr>
        <w:t>1</w:t>
      </w:r>
      <w:r w:rsidRPr="0043038D">
        <w:rPr>
          <w:rFonts w:ascii="Arial" w:hAnsi="Arial" w:hint="eastAsia"/>
          <w:sz w:val="21"/>
          <w:szCs w:val="28"/>
        </w:rPr>
        <w:t>）商品住宅供给状况</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年上半年北京商品住宅（不含保障房）供应呈低位态势，月均新批上市建筑面积为</w:t>
      </w:r>
      <w:r w:rsidRPr="0043038D">
        <w:rPr>
          <w:rFonts w:ascii="Arial" w:hAnsi="Arial"/>
          <w:sz w:val="21"/>
          <w:szCs w:val="28"/>
        </w:rPr>
        <w:t>33.28</w:t>
      </w:r>
      <w:r w:rsidRPr="0043038D">
        <w:rPr>
          <w:rFonts w:ascii="Arial" w:hAnsi="Arial" w:hint="eastAsia"/>
          <w:sz w:val="21"/>
          <w:szCs w:val="28"/>
        </w:rPr>
        <w:t>万㎡，同比下降</w:t>
      </w:r>
      <w:r w:rsidRPr="0043038D">
        <w:rPr>
          <w:rFonts w:ascii="Arial" w:hAnsi="Arial"/>
          <w:sz w:val="21"/>
          <w:szCs w:val="28"/>
        </w:rPr>
        <w:t>9.3%</w:t>
      </w:r>
      <w:r w:rsidRPr="0043038D">
        <w:rPr>
          <w:rFonts w:ascii="Arial" w:hAnsi="Arial" w:hint="eastAsia"/>
          <w:sz w:val="21"/>
          <w:szCs w:val="28"/>
        </w:rPr>
        <w:t>，整体供应规模仍相对较低。</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2018</w:t>
      </w:r>
      <w:r w:rsidRPr="0043038D">
        <w:rPr>
          <w:rFonts w:ascii="Arial" w:eastAsia="方正黑体简体" w:hAnsi="Arial" w:hint="eastAsia"/>
          <w:bCs/>
          <w:color w:val="000000"/>
          <w:szCs w:val="24"/>
        </w:rPr>
        <w:t>年至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年北京商品住宅（不含保障性住房）</w:t>
      </w:r>
      <w:r w:rsidRPr="0043038D">
        <w:rPr>
          <w:rFonts w:ascii="Arial" w:eastAsia="方正黑体简体" w:hAnsi="Arial"/>
          <w:bCs/>
          <w:color w:val="000000"/>
          <w:szCs w:val="24"/>
        </w:rPr>
        <w:t>1-6</w:t>
      </w:r>
      <w:r w:rsidRPr="0043038D">
        <w:rPr>
          <w:rFonts w:ascii="Arial" w:eastAsia="方正黑体简体" w:hAnsi="Arial" w:hint="eastAsia"/>
          <w:bCs/>
          <w:color w:val="000000"/>
          <w:szCs w:val="24"/>
        </w:rPr>
        <w:t>月供应量及同比走势</w:t>
      </w:r>
    </w:p>
    <w:p w:rsidR="000E5655" w:rsidRPr="0043038D" w:rsidRDefault="00837133">
      <w:pPr>
        <w:overflowPunct w:val="0"/>
        <w:spacing w:line="480" w:lineRule="auto"/>
        <w:jc w:val="center"/>
        <w:rPr>
          <w:rFonts w:ascii="Arial" w:hAnsi="Arial"/>
          <w:sz w:val="21"/>
        </w:rPr>
      </w:pPr>
      <w:r w:rsidRPr="0043038D">
        <w:rPr>
          <w:noProof/>
        </w:rPr>
        <w:lastRenderedPageBreak/>
        <w:drawing>
          <wp:inline distT="0" distB="0" distL="0" distR="0">
            <wp:extent cx="4114800" cy="3505200"/>
            <wp:effectExtent l="0" t="0" r="0" b="0"/>
            <wp:docPr id="13" name="对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截至</w:t>
      </w:r>
      <w:r w:rsidRPr="0043038D">
        <w:rPr>
          <w:rFonts w:ascii="Arial" w:hAnsi="Arial"/>
          <w:sz w:val="21"/>
          <w:szCs w:val="28"/>
        </w:rPr>
        <w:t>6</w:t>
      </w:r>
      <w:r w:rsidRPr="0043038D">
        <w:rPr>
          <w:rFonts w:ascii="Arial" w:hAnsi="Arial" w:hint="eastAsia"/>
          <w:sz w:val="21"/>
          <w:szCs w:val="28"/>
        </w:rPr>
        <w:t>月底，北京商品住宅（不含保障性住房）可售面积约</w:t>
      </w:r>
      <w:r w:rsidRPr="0043038D">
        <w:rPr>
          <w:rFonts w:ascii="Arial" w:hAnsi="Arial"/>
          <w:sz w:val="21"/>
          <w:szCs w:val="28"/>
        </w:rPr>
        <w:t>942.18</w:t>
      </w:r>
      <w:r w:rsidRPr="0043038D">
        <w:rPr>
          <w:rFonts w:ascii="Arial" w:hAnsi="Arial" w:hint="eastAsia"/>
          <w:sz w:val="21"/>
          <w:szCs w:val="28"/>
        </w:rPr>
        <w:t>万㎡，环比下降</w:t>
      </w:r>
      <w:r w:rsidRPr="0043038D">
        <w:rPr>
          <w:rFonts w:ascii="Arial" w:hAnsi="Arial"/>
          <w:sz w:val="21"/>
          <w:szCs w:val="28"/>
        </w:rPr>
        <w:t>1.65%</w:t>
      </w:r>
      <w:r w:rsidRPr="0043038D">
        <w:rPr>
          <w:rFonts w:ascii="Arial" w:hAnsi="Arial" w:hint="eastAsia"/>
          <w:sz w:val="21"/>
          <w:szCs w:val="28"/>
        </w:rPr>
        <w:t>，同比下降</w:t>
      </w:r>
      <w:r w:rsidRPr="0043038D">
        <w:rPr>
          <w:rFonts w:ascii="Arial" w:hAnsi="Arial"/>
          <w:sz w:val="21"/>
          <w:szCs w:val="28"/>
        </w:rPr>
        <w:t>7.79%</w:t>
      </w:r>
      <w:r w:rsidRPr="0043038D">
        <w:rPr>
          <w:rFonts w:ascii="Arial" w:hAnsi="Arial" w:hint="eastAsia"/>
          <w:sz w:val="21"/>
          <w:szCs w:val="28"/>
        </w:rPr>
        <w:t>；短期库存去化时间为</w:t>
      </w:r>
      <w:r w:rsidRPr="0043038D">
        <w:rPr>
          <w:rFonts w:ascii="Arial" w:hAnsi="Arial"/>
          <w:sz w:val="21"/>
          <w:szCs w:val="28"/>
        </w:rPr>
        <w:t>28.9</w:t>
      </w:r>
      <w:r w:rsidRPr="0043038D">
        <w:rPr>
          <w:rFonts w:ascii="Arial" w:hAnsi="Arial" w:hint="eastAsia"/>
          <w:sz w:val="21"/>
          <w:szCs w:val="28"/>
        </w:rPr>
        <w:t>个月，环比延长</w:t>
      </w:r>
      <w:r w:rsidRPr="0043038D">
        <w:rPr>
          <w:rFonts w:ascii="Arial" w:hAnsi="Arial"/>
          <w:sz w:val="21"/>
          <w:szCs w:val="28"/>
        </w:rPr>
        <w:t>1.8</w:t>
      </w:r>
      <w:r w:rsidRPr="0043038D">
        <w:rPr>
          <w:rFonts w:ascii="Arial" w:hAnsi="Arial" w:hint="eastAsia"/>
          <w:sz w:val="21"/>
          <w:szCs w:val="28"/>
        </w:rPr>
        <w:t>个月，同比延长</w:t>
      </w:r>
      <w:r w:rsidRPr="0043038D">
        <w:rPr>
          <w:rFonts w:ascii="Arial" w:hAnsi="Arial"/>
          <w:sz w:val="21"/>
          <w:szCs w:val="28"/>
        </w:rPr>
        <w:t>10.7</w:t>
      </w:r>
      <w:r w:rsidRPr="0043038D">
        <w:rPr>
          <w:rFonts w:ascii="Arial" w:hAnsi="Arial" w:hint="eastAsia"/>
          <w:sz w:val="21"/>
          <w:szCs w:val="28"/>
        </w:rPr>
        <w:t>个月，市场去</w:t>
      </w:r>
      <w:proofErr w:type="gramStart"/>
      <w:r w:rsidRPr="0043038D">
        <w:rPr>
          <w:rFonts w:ascii="Arial" w:hAnsi="Arial" w:hint="eastAsia"/>
          <w:sz w:val="21"/>
          <w:szCs w:val="28"/>
        </w:rPr>
        <w:t>化压力</w:t>
      </w:r>
      <w:proofErr w:type="gramEnd"/>
      <w:r w:rsidRPr="0043038D">
        <w:rPr>
          <w:rFonts w:ascii="Arial" w:hAnsi="Arial" w:hint="eastAsia"/>
          <w:sz w:val="21"/>
          <w:szCs w:val="28"/>
        </w:rPr>
        <w:t>继续加大。</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2019</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月北京商品住宅（不含保障房）可售面积与库存去化时间</w:t>
      </w:r>
    </w:p>
    <w:p w:rsidR="000E5655" w:rsidRPr="0043038D" w:rsidRDefault="00837133">
      <w:pPr>
        <w:overflowPunct w:val="0"/>
        <w:spacing w:line="480" w:lineRule="auto"/>
        <w:jc w:val="center"/>
        <w:rPr>
          <w:rFonts w:ascii="Arial" w:hAnsi="Arial"/>
          <w:sz w:val="21"/>
          <w:szCs w:val="28"/>
        </w:rPr>
      </w:pPr>
      <w:r w:rsidRPr="0043038D">
        <w:rPr>
          <w:noProof/>
        </w:rPr>
        <w:drawing>
          <wp:inline distT="0" distB="0" distL="0" distR="0">
            <wp:extent cx="5907405" cy="2466975"/>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07405" cy="2466975"/>
                    </a:xfrm>
                    <a:prstGeom prst="rect">
                      <a:avLst/>
                    </a:prstGeom>
                    <a:noFill/>
                    <a:ln>
                      <a:noFill/>
                    </a:ln>
                  </pic:spPr>
                </pic:pic>
              </a:graphicData>
            </a:graphic>
          </wp:inline>
        </w:drawing>
      </w:r>
    </w:p>
    <w:p w:rsidR="000E5655" w:rsidRPr="0043038D" w:rsidRDefault="00837133">
      <w:pPr>
        <w:overflowPunct w:val="0"/>
        <w:spacing w:line="480" w:lineRule="auto"/>
        <w:ind w:firstLineChars="200" w:firstLine="420"/>
        <w:jc w:val="both"/>
        <w:rPr>
          <w:rFonts w:ascii="Arial" w:hAnsi="Arial"/>
          <w:bCs/>
          <w:sz w:val="21"/>
          <w:szCs w:val="28"/>
        </w:rPr>
      </w:pPr>
      <w:r w:rsidRPr="0043038D">
        <w:rPr>
          <w:rFonts w:ascii="Arial" w:hAnsi="Arial" w:hint="eastAsia"/>
          <w:sz w:val="21"/>
          <w:szCs w:val="28"/>
        </w:rPr>
        <w:t>（</w:t>
      </w:r>
      <w:r w:rsidRPr="0043038D">
        <w:rPr>
          <w:rFonts w:ascii="Arial" w:hAnsi="Arial"/>
          <w:sz w:val="21"/>
          <w:szCs w:val="28"/>
        </w:rPr>
        <w:t>2</w:t>
      </w:r>
      <w:r w:rsidRPr="0043038D">
        <w:rPr>
          <w:rFonts w:ascii="Arial" w:hAnsi="Arial" w:hint="eastAsia"/>
          <w:sz w:val="21"/>
          <w:szCs w:val="28"/>
        </w:rPr>
        <w:t>）商品</w:t>
      </w:r>
      <w:r w:rsidRPr="0043038D">
        <w:rPr>
          <w:rFonts w:ascii="Arial" w:hAnsi="Arial" w:hint="eastAsia"/>
          <w:bCs/>
          <w:sz w:val="21"/>
          <w:szCs w:val="28"/>
        </w:rPr>
        <w:t>住宅成交情况</w:t>
      </w:r>
    </w:p>
    <w:p w:rsidR="000E5655" w:rsidRPr="0043038D" w:rsidRDefault="00837133">
      <w:pPr>
        <w:tabs>
          <w:tab w:val="left" w:pos="426"/>
        </w:tabs>
        <w:overflowPunct w:val="0"/>
        <w:spacing w:line="480" w:lineRule="auto"/>
        <w:ind w:firstLineChars="200" w:firstLine="420"/>
        <w:jc w:val="both"/>
        <w:rPr>
          <w:rFonts w:ascii="Arial" w:hAnsi="Arial"/>
          <w:sz w:val="21"/>
        </w:rPr>
      </w:pPr>
      <w:r w:rsidRPr="0043038D">
        <w:rPr>
          <w:rFonts w:ascii="Arial" w:hAnsi="Arial"/>
          <w:sz w:val="21"/>
        </w:rPr>
        <w:t>1</w:t>
      </w:r>
      <w:r w:rsidRPr="0043038D">
        <w:rPr>
          <w:rFonts w:ascii="Arial" w:hAnsi="Arial" w:hint="eastAsia"/>
          <w:sz w:val="21"/>
        </w:rPr>
        <w:t>）成交量</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年上半年北京商品住宅（不含保障性住房）成交规模</w:t>
      </w:r>
      <w:r w:rsidRPr="0043038D">
        <w:rPr>
          <w:rFonts w:ascii="Arial" w:hAnsi="Arial"/>
          <w:sz w:val="21"/>
          <w:szCs w:val="28"/>
        </w:rPr>
        <w:t>195.5</w:t>
      </w:r>
      <w:r w:rsidRPr="0043038D">
        <w:rPr>
          <w:rFonts w:ascii="Arial" w:hAnsi="Arial" w:hint="eastAsia"/>
          <w:sz w:val="21"/>
          <w:szCs w:val="28"/>
        </w:rPr>
        <w:t>万㎡，同比下降</w:t>
      </w:r>
      <w:r w:rsidRPr="0043038D">
        <w:rPr>
          <w:rFonts w:ascii="Arial" w:hAnsi="Arial"/>
          <w:sz w:val="21"/>
          <w:szCs w:val="28"/>
        </w:rPr>
        <w:t>42.0%</w:t>
      </w:r>
      <w:r w:rsidRPr="0043038D">
        <w:rPr>
          <w:rFonts w:ascii="Arial" w:hAnsi="Arial" w:hint="eastAsia"/>
          <w:sz w:val="21"/>
          <w:szCs w:val="28"/>
        </w:rPr>
        <w:t>。分月度</w:t>
      </w:r>
      <w:r w:rsidRPr="0043038D">
        <w:rPr>
          <w:rFonts w:ascii="Arial" w:hAnsi="Arial" w:hint="eastAsia"/>
          <w:sz w:val="21"/>
          <w:szCs w:val="28"/>
        </w:rPr>
        <w:lastRenderedPageBreak/>
        <w:t>来看，</w:t>
      </w:r>
      <w:r w:rsidRPr="0043038D">
        <w:rPr>
          <w:rFonts w:ascii="Arial" w:hAnsi="Arial"/>
          <w:sz w:val="21"/>
          <w:szCs w:val="28"/>
        </w:rPr>
        <w:t>1-2</w:t>
      </w:r>
      <w:r w:rsidRPr="0043038D">
        <w:rPr>
          <w:rFonts w:ascii="Arial" w:hAnsi="Arial" w:hint="eastAsia"/>
          <w:sz w:val="21"/>
          <w:szCs w:val="28"/>
        </w:rPr>
        <w:t>月份正逢春节假期，叠加供应相对疲软，导致成交低迷；</w:t>
      </w:r>
      <w:r w:rsidRPr="0043038D">
        <w:rPr>
          <w:rFonts w:ascii="Arial" w:hAnsi="Arial"/>
          <w:sz w:val="21"/>
          <w:szCs w:val="28"/>
        </w:rPr>
        <w:t>3</w:t>
      </w:r>
      <w:r w:rsidRPr="0043038D">
        <w:rPr>
          <w:rFonts w:ascii="Arial" w:hAnsi="Arial" w:hint="eastAsia"/>
          <w:sz w:val="21"/>
          <w:szCs w:val="28"/>
        </w:rPr>
        <w:t>月新政落地后，市场热度无明显变化；</w:t>
      </w:r>
      <w:r w:rsidRPr="0043038D">
        <w:rPr>
          <w:rFonts w:ascii="Arial" w:hAnsi="Arial"/>
          <w:sz w:val="21"/>
          <w:szCs w:val="28"/>
        </w:rPr>
        <w:t>4</w:t>
      </w:r>
      <w:r w:rsidRPr="0043038D">
        <w:rPr>
          <w:rFonts w:ascii="Arial" w:hAnsi="Arial" w:hint="eastAsia"/>
          <w:sz w:val="21"/>
          <w:szCs w:val="28"/>
        </w:rPr>
        <w:t>月开局冷清，供应萎缩，成交量仅</w:t>
      </w:r>
      <w:r w:rsidRPr="0043038D">
        <w:rPr>
          <w:rFonts w:ascii="Arial" w:hAnsi="Arial"/>
          <w:sz w:val="21"/>
          <w:szCs w:val="28"/>
        </w:rPr>
        <w:t>34.8</w:t>
      </w:r>
      <w:r w:rsidRPr="0043038D">
        <w:rPr>
          <w:rFonts w:ascii="Arial" w:hAnsi="Arial" w:hint="eastAsia"/>
          <w:sz w:val="21"/>
          <w:szCs w:val="28"/>
        </w:rPr>
        <w:t>万㎡；</w:t>
      </w:r>
      <w:r w:rsidRPr="0043038D">
        <w:rPr>
          <w:rFonts w:ascii="Arial" w:hAnsi="Arial"/>
          <w:sz w:val="21"/>
          <w:szCs w:val="28"/>
        </w:rPr>
        <w:t>5</w:t>
      </w:r>
      <w:r w:rsidRPr="0043038D">
        <w:rPr>
          <w:rFonts w:ascii="Arial" w:hAnsi="Arial" w:hint="eastAsia"/>
          <w:sz w:val="21"/>
          <w:szCs w:val="28"/>
        </w:rPr>
        <w:t>月受新政影响，数据有所回升，市场成交量</w:t>
      </w:r>
      <w:r w:rsidRPr="0043038D">
        <w:rPr>
          <w:rFonts w:ascii="Arial" w:hAnsi="Arial"/>
          <w:sz w:val="21"/>
          <w:szCs w:val="28"/>
        </w:rPr>
        <w:t>34.9</w:t>
      </w:r>
      <w:r w:rsidRPr="0043038D">
        <w:rPr>
          <w:rFonts w:ascii="Arial" w:hAnsi="Arial" w:hint="eastAsia"/>
          <w:sz w:val="21"/>
          <w:szCs w:val="28"/>
        </w:rPr>
        <w:t>万㎡；</w:t>
      </w:r>
      <w:r w:rsidRPr="0043038D">
        <w:rPr>
          <w:rFonts w:ascii="Arial" w:hAnsi="Arial"/>
          <w:sz w:val="21"/>
          <w:szCs w:val="28"/>
        </w:rPr>
        <w:t>6</w:t>
      </w:r>
      <w:r w:rsidRPr="0043038D">
        <w:rPr>
          <w:rFonts w:ascii="Arial" w:hAnsi="Arial" w:hint="eastAsia"/>
          <w:sz w:val="21"/>
          <w:szCs w:val="28"/>
        </w:rPr>
        <w:t>月作为</w:t>
      </w:r>
      <w:proofErr w:type="gramStart"/>
      <w:r w:rsidRPr="0043038D">
        <w:rPr>
          <w:rFonts w:ascii="Arial" w:hAnsi="Arial" w:hint="eastAsia"/>
          <w:sz w:val="21"/>
          <w:szCs w:val="28"/>
        </w:rPr>
        <w:t>房企半</w:t>
      </w:r>
      <w:proofErr w:type="gramEnd"/>
      <w:r w:rsidRPr="0043038D">
        <w:rPr>
          <w:rFonts w:ascii="Arial" w:hAnsi="Arial" w:hint="eastAsia"/>
          <w:sz w:val="21"/>
          <w:szCs w:val="28"/>
        </w:rPr>
        <w:t>年度业绩冲刺阶段，叠加“央行</w:t>
      </w:r>
      <w:r w:rsidRPr="0043038D">
        <w:rPr>
          <w:rFonts w:ascii="Arial" w:hAnsi="Arial"/>
          <w:sz w:val="21"/>
          <w:szCs w:val="28"/>
        </w:rPr>
        <w:t>517</w:t>
      </w:r>
      <w:r w:rsidRPr="0043038D">
        <w:rPr>
          <w:rFonts w:ascii="Arial" w:hAnsi="Arial" w:hint="eastAsia"/>
          <w:sz w:val="21"/>
          <w:szCs w:val="28"/>
        </w:rPr>
        <w:t>”新政刺激，市场热度走高，全月成交</w:t>
      </w:r>
      <w:r w:rsidRPr="0043038D">
        <w:rPr>
          <w:rFonts w:ascii="Arial" w:hAnsi="Arial"/>
          <w:sz w:val="21"/>
          <w:szCs w:val="28"/>
        </w:rPr>
        <w:t>43.0</w:t>
      </w:r>
      <w:r w:rsidRPr="0043038D">
        <w:rPr>
          <w:rFonts w:ascii="Arial" w:hAnsi="Arial" w:hint="eastAsia"/>
          <w:sz w:val="21"/>
          <w:szCs w:val="28"/>
        </w:rPr>
        <w:t>万㎡，市场景气度有所提升。但受限于供应规模仍难解淡市，成交量</w:t>
      </w:r>
      <w:proofErr w:type="gramStart"/>
      <w:r w:rsidRPr="0043038D">
        <w:rPr>
          <w:rFonts w:ascii="Arial" w:hAnsi="Arial" w:hint="eastAsia"/>
          <w:sz w:val="21"/>
          <w:szCs w:val="28"/>
        </w:rPr>
        <w:t>同比仍</w:t>
      </w:r>
      <w:proofErr w:type="gramEnd"/>
      <w:r w:rsidRPr="0043038D">
        <w:rPr>
          <w:rFonts w:ascii="Arial" w:hAnsi="Arial" w:hint="eastAsia"/>
          <w:sz w:val="21"/>
          <w:szCs w:val="28"/>
        </w:rPr>
        <w:t>远低于去年同期</w:t>
      </w:r>
      <w:r w:rsidRPr="0043038D">
        <w:rPr>
          <w:rFonts w:ascii="Arial" w:hAnsi="Arial"/>
          <w:sz w:val="21"/>
          <w:szCs w:val="28"/>
        </w:rPr>
        <w:t>60</w:t>
      </w:r>
      <w:r w:rsidRPr="0043038D">
        <w:rPr>
          <w:rFonts w:ascii="Arial" w:hAnsi="Arial" w:hint="eastAsia"/>
          <w:sz w:val="21"/>
          <w:szCs w:val="28"/>
        </w:rPr>
        <w:t>万㎡的水平。</w:t>
      </w:r>
    </w:p>
    <w:p w:rsidR="000E5655" w:rsidRPr="0043038D" w:rsidRDefault="00837133">
      <w:pPr>
        <w:overflowPunct w:val="0"/>
        <w:spacing w:line="240" w:lineRule="auto"/>
        <w:jc w:val="center"/>
        <w:rPr>
          <w:rFonts w:ascii="Arial" w:eastAsia="方正黑体简体" w:hAnsi="Arial"/>
          <w:bCs/>
          <w:color w:val="000000"/>
          <w:szCs w:val="24"/>
        </w:rPr>
      </w:pPr>
      <w:r w:rsidRPr="0043038D">
        <w:rPr>
          <w:noProof/>
        </w:rPr>
        <w:drawing>
          <wp:anchor distT="0" distB="0" distL="114300" distR="114300" simplePos="0" relativeHeight="251660288" behindDoc="0" locked="0" layoutInCell="1" allowOverlap="1">
            <wp:simplePos x="0" y="0"/>
            <wp:positionH relativeFrom="column">
              <wp:align>center</wp:align>
            </wp:positionH>
            <wp:positionV relativeFrom="paragraph">
              <wp:posOffset>532765</wp:posOffset>
            </wp:positionV>
            <wp:extent cx="5760720" cy="1710055"/>
            <wp:effectExtent l="0" t="0" r="0" b="0"/>
            <wp:wrapSquare wrapText="bothSides"/>
            <wp:docPr id="11" name="图表 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760720" cy="1710055"/>
                    </a:xfrm>
                    <a:prstGeom prst="rect">
                      <a:avLst/>
                    </a:prstGeom>
                    <a:noFill/>
                  </pic:spPr>
                </pic:pic>
              </a:graphicData>
            </a:graphic>
          </wp:anchor>
        </w:drawing>
      </w: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2021</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4</w:t>
      </w:r>
      <w:r w:rsidRPr="0043038D">
        <w:rPr>
          <w:rFonts w:ascii="Arial" w:eastAsia="方正黑体简体" w:hAnsi="Arial" w:hint="eastAsia"/>
          <w:bCs/>
          <w:color w:val="000000"/>
          <w:szCs w:val="24"/>
        </w:rPr>
        <w:t>月至今北京市住宅</w:t>
      </w:r>
      <w:proofErr w:type="gramStart"/>
      <w:r w:rsidRPr="0043038D">
        <w:rPr>
          <w:rFonts w:ascii="Arial" w:eastAsia="方正黑体简体" w:hAnsi="Arial" w:hint="eastAsia"/>
          <w:bCs/>
          <w:color w:val="000000"/>
          <w:szCs w:val="24"/>
        </w:rPr>
        <w:t>供销价月度</w:t>
      </w:r>
      <w:proofErr w:type="gramEnd"/>
      <w:r w:rsidRPr="0043038D">
        <w:rPr>
          <w:rFonts w:ascii="Arial" w:eastAsia="方正黑体简体" w:hAnsi="Arial" w:hint="eastAsia"/>
          <w:bCs/>
          <w:color w:val="000000"/>
          <w:szCs w:val="24"/>
        </w:rPr>
        <w:t>走势</w:t>
      </w:r>
    </w:p>
    <w:p w:rsidR="000E5655" w:rsidRPr="0043038D" w:rsidRDefault="00837133">
      <w:pPr>
        <w:overflowPunct w:val="0"/>
        <w:spacing w:line="480" w:lineRule="auto"/>
        <w:ind w:firstLineChars="200" w:firstLine="420"/>
        <w:rPr>
          <w:rFonts w:ascii="Arial" w:hAnsi="Arial"/>
          <w:sz w:val="21"/>
        </w:rPr>
      </w:pPr>
      <w:r w:rsidRPr="0043038D">
        <w:rPr>
          <w:rFonts w:ascii="Arial" w:hAnsi="Arial"/>
          <w:sz w:val="21"/>
        </w:rPr>
        <w:t>2</w:t>
      </w:r>
      <w:r w:rsidRPr="0043038D">
        <w:rPr>
          <w:rFonts w:ascii="Arial" w:hAnsi="Arial" w:hint="eastAsia"/>
          <w:sz w:val="21"/>
        </w:rPr>
        <w:t>）成交价格</w:t>
      </w:r>
    </w:p>
    <w:p w:rsidR="000E5655" w:rsidRPr="0043038D" w:rsidRDefault="00837133">
      <w:pPr>
        <w:overflowPunct w:val="0"/>
        <w:spacing w:line="480" w:lineRule="auto"/>
        <w:ind w:firstLineChars="200" w:firstLine="420"/>
        <w:rPr>
          <w:rFonts w:ascii="Arial" w:hAnsi="Arial"/>
          <w:sz w:val="21"/>
          <w:szCs w:val="28"/>
        </w:rPr>
      </w:pPr>
      <w:r w:rsidRPr="0043038D">
        <w:rPr>
          <w:rFonts w:ascii="Arial" w:hAnsi="Arial"/>
          <w:sz w:val="21"/>
          <w:szCs w:val="28"/>
        </w:rPr>
        <w:t>A.</w:t>
      </w:r>
      <w:r w:rsidRPr="0043038D">
        <w:rPr>
          <w:rFonts w:ascii="Arial" w:hAnsi="Arial" w:hint="eastAsia"/>
          <w:sz w:val="21"/>
          <w:szCs w:val="28"/>
        </w:rPr>
        <w:t>成交价格</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年上半年北京商品住宅成交价格同比涨幅持续低位，累计涨幅低于去年同期。整体来看，上半年北京新建商品住宅价格为</w:t>
      </w:r>
      <w:r w:rsidRPr="0043038D">
        <w:rPr>
          <w:rFonts w:ascii="Arial" w:hAnsi="Arial"/>
          <w:sz w:val="21"/>
          <w:szCs w:val="28"/>
        </w:rPr>
        <w:t>59218</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㎡，涨幅处于</w:t>
      </w:r>
      <w:r w:rsidRPr="0043038D">
        <w:rPr>
          <w:rFonts w:ascii="Arial" w:hAnsi="Arial"/>
          <w:sz w:val="21"/>
          <w:szCs w:val="28"/>
        </w:rPr>
        <w:t>2021</w:t>
      </w:r>
      <w:r w:rsidRPr="0043038D">
        <w:rPr>
          <w:rFonts w:ascii="Arial" w:hAnsi="Arial" w:hint="eastAsia"/>
          <w:sz w:val="21"/>
          <w:szCs w:val="28"/>
        </w:rPr>
        <w:t>年以来低位水平。</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2019</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月北京新建商品住宅均价及环比变化</w:t>
      </w:r>
    </w:p>
    <w:p w:rsidR="000E5655" w:rsidRPr="0043038D" w:rsidRDefault="00837133">
      <w:pPr>
        <w:tabs>
          <w:tab w:val="left" w:pos="426"/>
        </w:tabs>
        <w:overflowPunct w:val="0"/>
        <w:spacing w:line="480" w:lineRule="auto"/>
        <w:jc w:val="center"/>
        <w:rPr>
          <w:rFonts w:ascii="Arial" w:hAnsi="Arial"/>
          <w:sz w:val="21"/>
          <w:szCs w:val="28"/>
        </w:rPr>
      </w:pPr>
      <w:r w:rsidRPr="0043038D">
        <w:rPr>
          <w:rFonts w:ascii="Arial" w:eastAsia="仿宋_GB2312" w:hAnsi="Arial" w:cs="Arial"/>
          <w:bCs/>
          <w:noProof/>
          <w:color w:val="000000"/>
          <w:sz w:val="28"/>
          <w:szCs w:val="28"/>
        </w:rPr>
        <w:lastRenderedPageBreak/>
        <w:drawing>
          <wp:inline distT="0" distB="0" distL="0" distR="0">
            <wp:extent cx="4114165" cy="3428365"/>
            <wp:effectExtent l="0" t="0" r="0" b="0"/>
            <wp:docPr id="10" name="对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E5655" w:rsidRPr="0043038D" w:rsidRDefault="00837133">
      <w:pPr>
        <w:overflowPunct w:val="0"/>
        <w:spacing w:line="480" w:lineRule="auto"/>
        <w:ind w:firstLineChars="200" w:firstLine="420"/>
        <w:rPr>
          <w:rFonts w:ascii="Arial" w:hAnsi="Arial"/>
          <w:sz w:val="21"/>
          <w:szCs w:val="28"/>
        </w:rPr>
      </w:pPr>
      <w:r w:rsidRPr="0043038D">
        <w:rPr>
          <w:rFonts w:ascii="Arial" w:hAnsi="Arial"/>
          <w:sz w:val="21"/>
          <w:szCs w:val="28"/>
        </w:rPr>
        <w:t>B.</w:t>
      </w:r>
      <w:r w:rsidRPr="0043038D">
        <w:t xml:space="preserve"> </w:t>
      </w:r>
      <w:r w:rsidRPr="0043038D">
        <w:rPr>
          <w:rFonts w:ascii="Arial" w:hAnsi="Arial" w:hint="eastAsia"/>
          <w:sz w:val="21"/>
          <w:szCs w:val="28"/>
        </w:rPr>
        <w:t>成交结构</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年二季度</w:t>
      </w:r>
      <w:r w:rsidRPr="0043038D">
        <w:rPr>
          <w:rFonts w:ascii="Arial" w:hAnsi="Arial"/>
          <w:sz w:val="21"/>
          <w:szCs w:val="28"/>
        </w:rPr>
        <w:t>90</w:t>
      </w:r>
      <w:r w:rsidRPr="0043038D">
        <w:rPr>
          <w:rFonts w:ascii="Arial" w:hAnsi="Arial" w:hint="eastAsia"/>
          <w:sz w:val="21"/>
          <w:szCs w:val="28"/>
        </w:rPr>
        <w:t>㎡以下的房源成交占比高达</w:t>
      </w:r>
      <w:r w:rsidRPr="0043038D">
        <w:rPr>
          <w:rFonts w:ascii="Arial" w:hAnsi="Arial"/>
          <w:sz w:val="21"/>
          <w:szCs w:val="28"/>
        </w:rPr>
        <w:t>28.3%</w:t>
      </w:r>
      <w:r w:rsidRPr="0043038D">
        <w:rPr>
          <w:rFonts w:ascii="Arial" w:hAnsi="Arial" w:hint="eastAsia"/>
          <w:sz w:val="21"/>
          <w:szCs w:val="28"/>
        </w:rPr>
        <w:t>，占比扩大了</w:t>
      </w:r>
      <w:r w:rsidRPr="0043038D">
        <w:rPr>
          <w:rFonts w:ascii="Arial" w:hAnsi="Arial"/>
          <w:sz w:val="21"/>
          <w:szCs w:val="28"/>
        </w:rPr>
        <w:t>1.7</w:t>
      </w:r>
      <w:r w:rsidRPr="0043038D">
        <w:rPr>
          <w:rFonts w:ascii="Arial" w:hAnsi="Arial" w:hint="eastAsia"/>
          <w:sz w:val="21"/>
          <w:szCs w:val="28"/>
        </w:rPr>
        <w:t>个百分点；其次，是</w:t>
      </w:r>
      <w:r w:rsidRPr="0043038D">
        <w:rPr>
          <w:rFonts w:ascii="Arial" w:hAnsi="Arial"/>
          <w:sz w:val="21"/>
          <w:szCs w:val="28"/>
        </w:rPr>
        <w:t>90-100</w:t>
      </w:r>
      <w:r w:rsidRPr="0043038D">
        <w:rPr>
          <w:rFonts w:ascii="Arial" w:hAnsi="Arial" w:hint="eastAsia"/>
          <w:sz w:val="21"/>
          <w:szCs w:val="28"/>
        </w:rPr>
        <w:t>㎡和</w:t>
      </w:r>
      <w:r w:rsidRPr="0043038D">
        <w:rPr>
          <w:rFonts w:ascii="Arial" w:hAnsi="Arial"/>
          <w:sz w:val="21"/>
          <w:szCs w:val="28"/>
        </w:rPr>
        <w:t>110-120</w:t>
      </w:r>
      <w:r w:rsidRPr="0043038D">
        <w:rPr>
          <w:rFonts w:ascii="Arial" w:hAnsi="Arial" w:hint="eastAsia"/>
          <w:sz w:val="21"/>
          <w:szCs w:val="28"/>
        </w:rPr>
        <w:t>㎡两个刚改面积</w:t>
      </w:r>
      <w:proofErr w:type="gramStart"/>
      <w:r w:rsidRPr="0043038D">
        <w:rPr>
          <w:rFonts w:ascii="Arial" w:hAnsi="Arial" w:hint="eastAsia"/>
          <w:sz w:val="21"/>
          <w:szCs w:val="28"/>
        </w:rPr>
        <w:t>段产品占比较</w:t>
      </w:r>
      <w:proofErr w:type="gramEnd"/>
      <w:r w:rsidRPr="0043038D">
        <w:rPr>
          <w:rFonts w:ascii="Arial" w:hAnsi="Arial" w:hint="eastAsia"/>
          <w:sz w:val="21"/>
          <w:szCs w:val="28"/>
        </w:rPr>
        <w:t>多。</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从供应端来看，当前市场可售房源主要集中在中小户型，尤其是</w:t>
      </w:r>
      <w:r w:rsidRPr="0043038D">
        <w:rPr>
          <w:rFonts w:ascii="Arial" w:hAnsi="Arial"/>
          <w:sz w:val="21"/>
          <w:szCs w:val="28"/>
        </w:rPr>
        <w:t>120-130</w:t>
      </w:r>
      <w:r w:rsidRPr="0043038D">
        <w:rPr>
          <w:rFonts w:ascii="Arial" w:hAnsi="Arial" w:hint="eastAsia"/>
          <w:sz w:val="21"/>
          <w:szCs w:val="28"/>
        </w:rPr>
        <w:t>㎡、</w:t>
      </w:r>
      <w:r w:rsidRPr="0043038D">
        <w:rPr>
          <w:rFonts w:ascii="Arial" w:hAnsi="Arial"/>
          <w:sz w:val="21"/>
          <w:szCs w:val="28"/>
        </w:rPr>
        <w:t>130-140</w:t>
      </w:r>
      <w:r w:rsidRPr="0043038D">
        <w:rPr>
          <w:rFonts w:ascii="Arial" w:hAnsi="Arial" w:hint="eastAsia"/>
          <w:sz w:val="21"/>
          <w:szCs w:val="28"/>
        </w:rPr>
        <w:t>㎡和</w:t>
      </w:r>
      <w:r w:rsidRPr="0043038D">
        <w:rPr>
          <w:rFonts w:ascii="Arial" w:hAnsi="Arial"/>
          <w:sz w:val="21"/>
          <w:szCs w:val="28"/>
        </w:rPr>
        <w:t>90-100</w:t>
      </w:r>
      <w:r w:rsidRPr="0043038D">
        <w:rPr>
          <w:rFonts w:ascii="Arial" w:hAnsi="Arial" w:hint="eastAsia"/>
          <w:sz w:val="21"/>
          <w:szCs w:val="28"/>
        </w:rPr>
        <w:t>㎡三个面积段。从去</w:t>
      </w:r>
      <w:proofErr w:type="gramStart"/>
      <w:r w:rsidRPr="0043038D">
        <w:rPr>
          <w:rFonts w:ascii="Arial" w:hAnsi="Arial" w:hint="eastAsia"/>
          <w:sz w:val="21"/>
          <w:szCs w:val="28"/>
        </w:rPr>
        <w:t>化压力</w:t>
      </w:r>
      <w:proofErr w:type="gramEnd"/>
      <w:r w:rsidRPr="0043038D">
        <w:rPr>
          <w:rFonts w:ascii="Arial" w:hAnsi="Arial" w:hint="eastAsia"/>
          <w:sz w:val="21"/>
          <w:szCs w:val="28"/>
        </w:rPr>
        <w:t>来看，</w:t>
      </w:r>
      <w:r w:rsidRPr="0043038D">
        <w:rPr>
          <w:rFonts w:ascii="Arial" w:hAnsi="Arial"/>
          <w:sz w:val="21"/>
          <w:szCs w:val="28"/>
        </w:rPr>
        <w:t>130-140</w:t>
      </w:r>
      <w:r w:rsidRPr="0043038D">
        <w:rPr>
          <w:rFonts w:ascii="Arial" w:hAnsi="Arial" w:hint="eastAsia"/>
          <w:sz w:val="21"/>
          <w:szCs w:val="28"/>
        </w:rPr>
        <w:t>㎡、</w:t>
      </w:r>
      <w:r w:rsidRPr="0043038D">
        <w:rPr>
          <w:rFonts w:ascii="Arial" w:hAnsi="Arial"/>
          <w:sz w:val="21"/>
          <w:szCs w:val="28"/>
        </w:rPr>
        <w:t>160-170</w:t>
      </w:r>
      <w:r w:rsidRPr="0043038D">
        <w:rPr>
          <w:rFonts w:ascii="Arial" w:hAnsi="Arial" w:hint="eastAsia"/>
          <w:sz w:val="21"/>
          <w:szCs w:val="28"/>
        </w:rPr>
        <w:t>㎡和</w:t>
      </w:r>
      <w:r w:rsidRPr="0043038D">
        <w:rPr>
          <w:rFonts w:ascii="Arial" w:hAnsi="Arial"/>
          <w:sz w:val="21"/>
          <w:szCs w:val="28"/>
        </w:rPr>
        <w:t>120-130</w:t>
      </w:r>
      <w:r w:rsidRPr="0043038D">
        <w:rPr>
          <w:rFonts w:ascii="Arial" w:hAnsi="Arial" w:hint="eastAsia"/>
          <w:sz w:val="21"/>
          <w:szCs w:val="28"/>
        </w:rPr>
        <w:t>㎡三个面积段的房源去</w:t>
      </w:r>
      <w:proofErr w:type="gramStart"/>
      <w:r w:rsidRPr="0043038D">
        <w:rPr>
          <w:rFonts w:ascii="Arial" w:hAnsi="Arial" w:hint="eastAsia"/>
          <w:sz w:val="21"/>
          <w:szCs w:val="28"/>
        </w:rPr>
        <w:t>化压力</w:t>
      </w:r>
      <w:proofErr w:type="gramEnd"/>
      <w:r w:rsidRPr="0043038D">
        <w:rPr>
          <w:rFonts w:ascii="Arial" w:hAnsi="Arial" w:hint="eastAsia"/>
          <w:sz w:val="21"/>
          <w:szCs w:val="28"/>
        </w:rPr>
        <w:t>较大，出清周期都在三年以上。</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年上半年北京</w:t>
      </w:r>
      <w:proofErr w:type="gramStart"/>
      <w:r w:rsidRPr="0043038D">
        <w:rPr>
          <w:rFonts w:ascii="Arial" w:eastAsia="方正黑体简体" w:hAnsi="Arial" w:hint="eastAsia"/>
          <w:bCs/>
          <w:color w:val="000000"/>
          <w:szCs w:val="24"/>
        </w:rPr>
        <w:t>各面积段</w:t>
      </w:r>
      <w:proofErr w:type="gramEnd"/>
      <w:r w:rsidRPr="0043038D">
        <w:rPr>
          <w:rFonts w:ascii="Arial" w:eastAsia="方正黑体简体" w:hAnsi="Arial" w:hint="eastAsia"/>
          <w:bCs/>
          <w:color w:val="000000"/>
          <w:szCs w:val="24"/>
        </w:rPr>
        <w:t>可售面积及出清周期</w:t>
      </w:r>
    </w:p>
    <w:p w:rsidR="000E5655" w:rsidRPr="0043038D" w:rsidRDefault="00837133">
      <w:pPr>
        <w:tabs>
          <w:tab w:val="left" w:pos="426"/>
        </w:tabs>
        <w:overflowPunct w:val="0"/>
        <w:spacing w:line="480" w:lineRule="auto"/>
        <w:jc w:val="center"/>
      </w:pPr>
      <w:r w:rsidRPr="0043038D">
        <w:rPr>
          <w:noProof/>
        </w:rPr>
        <w:drawing>
          <wp:inline distT="0" distB="0" distL="0" distR="0">
            <wp:extent cx="5377815" cy="2834005"/>
            <wp:effectExtent l="0" t="0" r="0" b="0"/>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377815" cy="2834005"/>
                    </a:xfrm>
                    <a:prstGeom prst="rect">
                      <a:avLst/>
                    </a:prstGeom>
                    <a:noFill/>
                    <a:ln>
                      <a:noFill/>
                    </a:ln>
                  </pic:spPr>
                </pic:pic>
              </a:graphicData>
            </a:graphic>
          </wp:inline>
        </w:drawing>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lastRenderedPageBreak/>
        <w:t>从成交楼面单价来看，</w:t>
      </w:r>
      <w:r w:rsidRPr="0043038D">
        <w:rPr>
          <w:rFonts w:ascii="Arial" w:hAnsi="Arial"/>
          <w:sz w:val="21"/>
          <w:szCs w:val="28"/>
        </w:rPr>
        <w:t>50000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㎡以下之间的房源成交占比</w:t>
      </w:r>
      <w:r w:rsidRPr="0043038D">
        <w:rPr>
          <w:rFonts w:ascii="Arial" w:hAnsi="Arial"/>
          <w:sz w:val="21"/>
          <w:szCs w:val="28"/>
        </w:rPr>
        <w:t>49.3%</w:t>
      </w:r>
      <w:r w:rsidRPr="0043038D">
        <w:rPr>
          <w:rFonts w:ascii="Arial" w:hAnsi="Arial" w:hint="eastAsia"/>
          <w:sz w:val="21"/>
          <w:szCs w:val="28"/>
        </w:rPr>
        <w:t>，环比上升了</w:t>
      </w:r>
      <w:r w:rsidRPr="0043038D">
        <w:rPr>
          <w:rFonts w:ascii="Arial" w:hAnsi="Arial"/>
          <w:sz w:val="21"/>
          <w:szCs w:val="28"/>
        </w:rPr>
        <w:t>5.6</w:t>
      </w:r>
      <w:r w:rsidRPr="0043038D">
        <w:rPr>
          <w:rFonts w:ascii="Arial" w:hAnsi="Arial" w:hint="eastAsia"/>
          <w:sz w:val="21"/>
          <w:szCs w:val="28"/>
        </w:rPr>
        <w:t>个百分点；</w:t>
      </w:r>
      <w:r w:rsidRPr="0043038D">
        <w:rPr>
          <w:rFonts w:ascii="Arial" w:hAnsi="Arial"/>
          <w:sz w:val="21"/>
          <w:szCs w:val="28"/>
        </w:rPr>
        <w:t>50000-70000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㎡房源成交占比</w:t>
      </w:r>
      <w:r w:rsidRPr="0043038D">
        <w:rPr>
          <w:rFonts w:ascii="Arial" w:hAnsi="Arial"/>
          <w:sz w:val="21"/>
          <w:szCs w:val="28"/>
        </w:rPr>
        <w:t>29.8%</w:t>
      </w:r>
      <w:r w:rsidRPr="0043038D">
        <w:rPr>
          <w:rFonts w:ascii="Arial" w:hAnsi="Arial" w:hint="eastAsia"/>
          <w:sz w:val="21"/>
          <w:szCs w:val="28"/>
        </w:rPr>
        <w:t>，环比减少了</w:t>
      </w:r>
      <w:r w:rsidRPr="0043038D">
        <w:rPr>
          <w:rFonts w:ascii="Arial" w:hAnsi="Arial"/>
          <w:sz w:val="21"/>
          <w:szCs w:val="28"/>
        </w:rPr>
        <w:t>3.4</w:t>
      </w:r>
      <w:r w:rsidRPr="0043038D">
        <w:rPr>
          <w:rFonts w:ascii="Arial" w:hAnsi="Arial" w:hint="eastAsia"/>
          <w:sz w:val="21"/>
          <w:szCs w:val="28"/>
        </w:rPr>
        <w:t>个百分点；</w:t>
      </w:r>
      <w:r w:rsidRPr="0043038D">
        <w:rPr>
          <w:rFonts w:ascii="Arial" w:hAnsi="Arial"/>
          <w:sz w:val="21"/>
          <w:szCs w:val="28"/>
        </w:rPr>
        <w:t>70000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㎡以上单价的高端产品成交占比</w:t>
      </w:r>
      <w:r w:rsidRPr="0043038D">
        <w:rPr>
          <w:rFonts w:ascii="Arial" w:hAnsi="Arial"/>
          <w:sz w:val="21"/>
          <w:szCs w:val="28"/>
        </w:rPr>
        <w:t>20.9%</w:t>
      </w:r>
      <w:r w:rsidRPr="0043038D">
        <w:rPr>
          <w:rFonts w:ascii="Arial" w:hAnsi="Arial" w:hint="eastAsia"/>
          <w:sz w:val="21"/>
          <w:szCs w:val="28"/>
        </w:rPr>
        <w:t>，环比缩减了</w:t>
      </w:r>
      <w:r w:rsidRPr="0043038D">
        <w:rPr>
          <w:rFonts w:ascii="Arial" w:hAnsi="Arial"/>
          <w:sz w:val="21"/>
          <w:szCs w:val="28"/>
        </w:rPr>
        <w:t>2.3</w:t>
      </w:r>
      <w:r w:rsidRPr="0043038D">
        <w:rPr>
          <w:rFonts w:ascii="Arial" w:hAnsi="Arial" w:hint="eastAsia"/>
          <w:sz w:val="21"/>
          <w:szCs w:val="28"/>
        </w:rPr>
        <w:t>个百分点。</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图：北京市</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w:t>
      </w:r>
      <w:proofErr w:type="gramStart"/>
      <w:r w:rsidRPr="0043038D">
        <w:rPr>
          <w:rFonts w:ascii="Arial" w:eastAsia="方正黑体简体" w:hAnsi="Arial" w:hint="eastAsia"/>
          <w:bCs/>
          <w:color w:val="000000"/>
          <w:szCs w:val="24"/>
        </w:rPr>
        <w:t>各成交</w:t>
      </w:r>
      <w:proofErr w:type="gramEnd"/>
      <w:r w:rsidRPr="0043038D">
        <w:rPr>
          <w:rFonts w:ascii="Arial" w:eastAsia="方正黑体简体" w:hAnsi="Arial" w:hint="eastAsia"/>
          <w:bCs/>
          <w:color w:val="000000"/>
          <w:szCs w:val="24"/>
        </w:rPr>
        <w:t>楼面单价</w:t>
      </w:r>
      <w:proofErr w:type="gramStart"/>
      <w:r w:rsidRPr="0043038D">
        <w:rPr>
          <w:rFonts w:ascii="Arial" w:eastAsia="方正黑体简体" w:hAnsi="Arial" w:hint="eastAsia"/>
          <w:bCs/>
          <w:color w:val="000000"/>
          <w:szCs w:val="24"/>
        </w:rPr>
        <w:t>段成交</w:t>
      </w:r>
      <w:proofErr w:type="gramEnd"/>
      <w:r w:rsidRPr="0043038D">
        <w:rPr>
          <w:rFonts w:ascii="Arial" w:eastAsia="方正黑体简体" w:hAnsi="Arial" w:hint="eastAsia"/>
          <w:bCs/>
          <w:color w:val="000000"/>
          <w:szCs w:val="24"/>
        </w:rPr>
        <w:t>套数分布季度变化</w:t>
      </w:r>
    </w:p>
    <w:p w:rsidR="000E5655" w:rsidRPr="0043038D" w:rsidRDefault="00837133">
      <w:pPr>
        <w:tabs>
          <w:tab w:val="left" w:pos="426"/>
        </w:tabs>
        <w:overflowPunct w:val="0"/>
        <w:spacing w:line="480" w:lineRule="auto"/>
        <w:rPr>
          <w:rFonts w:ascii="Arial" w:hAnsi="Arial"/>
          <w:sz w:val="21"/>
          <w:szCs w:val="28"/>
        </w:rPr>
      </w:pPr>
      <w:r w:rsidRPr="0043038D">
        <w:rPr>
          <w:noProof/>
        </w:rPr>
        <w:drawing>
          <wp:inline distT="0" distB="0" distL="0" distR="0">
            <wp:extent cx="5898515" cy="369379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98515" cy="3693795"/>
                    </a:xfrm>
                    <a:prstGeom prst="rect">
                      <a:avLst/>
                    </a:prstGeom>
                    <a:noFill/>
                    <a:ln>
                      <a:noFill/>
                    </a:ln>
                  </pic:spPr>
                </pic:pic>
              </a:graphicData>
            </a:graphic>
          </wp:inline>
        </w:drawing>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从成交总价来看，成交房源总价集中</w:t>
      </w:r>
      <w:r w:rsidRPr="0043038D">
        <w:rPr>
          <w:rFonts w:ascii="Arial" w:hAnsi="Arial"/>
          <w:sz w:val="21"/>
          <w:szCs w:val="28"/>
        </w:rPr>
        <w:t>600</w:t>
      </w:r>
      <w:r w:rsidRPr="0043038D">
        <w:rPr>
          <w:rFonts w:ascii="Arial" w:hAnsi="Arial" w:hint="eastAsia"/>
          <w:sz w:val="21"/>
          <w:szCs w:val="28"/>
        </w:rPr>
        <w:t>万以下，合计占比</w:t>
      </w:r>
      <w:r w:rsidRPr="0043038D">
        <w:rPr>
          <w:rFonts w:ascii="Arial" w:hAnsi="Arial"/>
          <w:sz w:val="21"/>
          <w:szCs w:val="28"/>
        </w:rPr>
        <w:t>54.8%</w:t>
      </w:r>
      <w:r w:rsidRPr="0043038D">
        <w:rPr>
          <w:rFonts w:ascii="Arial" w:hAnsi="Arial" w:hint="eastAsia"/>
          <w:sz w:val="21"/>
          <w:szCs w:val="28"/>
        </w:rPr>
        <w:t>，较</w:t>
      </w:r>
      <w:r w:rsidRPr="0043038D">
        <w:rPr>
          <w:rFonts w:ascii="Arial" w:hAnsi="Arial"/>
          <w:sz w:val="21"/>
          <w:szCs w:val="28"/>
        </w:rPr>
        <w:t>24</w:t>
      </w:r>
      <w:r w:rsidRPr="0043038D">
        <w:rPr>
          <w:rFonts w:ascii="Arial" w:hAnsi="Arial" w:hint="eastAsia"/>
          <w:sz w:val="21"/>
          <w:szCs w:val="28"/>
        </w:rPr>
        <w:t>年一季度扩大了</w:t>
      </w:r>
      <w:r w:rsidRPr="0043038D">
        <w:rPr>
          <w:rFonts w:ascii="Arial" w:hAnsi="Arial"/>
          <w:sz w:val="21"/>
          <w:szCs w:val="28"/>
        </w:rPr>
        <w:t>1.7</w:t>
      </w:r>
      <w:r w:rsidRPr="0043038D">
        <w:rPr>
          <w:rFonts w:ascii="Arial" w:hAnsi="Arial" w:hint="eastAsia"/>
          <w:sz w:val="21"/>
          <w:szCs w:val="28"/>
        </w:rPr>
        <w:t>个百分点。总价</w:t>
      </w:r>
      <w:r w:rsidRPr="0043038D">
        <w:rPr>
          <w:rFonts w:ascii="Arial" w:hAnsi="Arial"/>
          <w:sz w:val="21"/>
          <w:szCs w:val="28"/>
        </w:rPr>
        <w:t>600</w:t>
      </w:r>
      <w:r w:rsidRPr="0043038D">
        <w:rPr>
          <w:rFonts w:ascii="Arial" w:hAnsi="Arial" w:hint="eastAsia"/>
          <w:sz w:val="21"/>
          <w:szCs w:val="28"/>
        </w:rPr>
        <w:t>万以上的中高端改善房源成交占比</w:t>
      </w:r>
      <w:r w:rsidRPr="0043038D">
        <w:rPr>
          <w:rFonts w:ascii="Arial" w:hAnsi="Arial"/>
          <w:sz w:val="21"/>
          <w:szCs w:val="28"/>
        </w:rPr>
        <w:t>45.2%</w:t>
      </w:r>
      <w:r w:rsidRPr="0043038D">
        <w:rPr>
          <w:rFonts w:ascii="Arial" w:hAnsi="Arial" w:hint="eastAsia"/>
          <w:sz w:val="21"/>
          <w:szCs w:val="28"/>
        </w:rPr>
        <w:t>，环比缩减</w:t>
      </w:r>
      <w:r w:rsidRPr="0043038D">
        <w:rPr>
          <w:rFonts w:ascii="Arial" w:hAnsi="Arial"/>
          <w:sz w:val="21"/>
          <w:szCs w:val="28"/>
        </w:rPr>
        <w:t>1.7</w:t>
      </w:r>
      <w:r w:rsidRPr="0043038D">
        <w:rPr>
          <w:rFonts w:ascii="Arial" w:hAnsi="Arial" w:hint="eastAsia"/>
          <w:sz w:val="21"/>
          <w:szCs w:val="28"/>
        </w:rPr>
        <w:t>个百分点。</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图：北京市</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w:t>
      </w:r>
      <w:proofErr w:type="gramStart"/>
      <w:r w:rsidRPr="0043038D">
        <w:rPr>
          <w:rFonts w:ascii="Arial" w:eastAsia="方正黑体简体" w:hAnsi="Arial" w:hint="eastAsia"/>
          <w:bCs/>
          <w:color w:val="000000"/>
          <w:szCs w:val="24"/>
        </w:rPr>
        <w:t>各成交总价段成交</w:t>
      </w:r>
      <w:proofErr w:type="gramEnd"/>
      <w:r w:rsidRPr="0043038D">
        <w:rPr>
          <w:rFonts w:ascii="Arial" w:eastAsia="方正黑体简体" w:hAnsi="Arial" w:hint="eastAsia"/>
          <w:bCs/>
          <w:color w:val="000000"/>
          <w:szCs w:val="24"/>
        </w:rPr>
        <w:t>套数分布季度变化</w:t>
      </w:r>
    </w:p>
    <w:p w:rsidR="000E5655" w:rsidRPr="0043038D" w:rsidRDefault="00837133">
      <w:pPr>
        <w:tabs>
          <w:tab w:val="left" w:pos="426"/>
        </w:tabs>
        <w:overflowPunct w:val="0"/>
        <w:spacing w:line="480" w:lineRule="auto"/>
        <w:jc w:val="both"/>
        <w:rPr>
          <w:rFonts w:ascii="Arial" w:hAnsi="Arial"/>
          <w:sz w:val="21"/>
          <w:szCs w:val="28"/>
        </w:rPr>
      </w:pPr>
      <w:r w:rsidRPr="0043038D">
        <w:rPr>
          <w:noProof/>
        </w:rPr>
        <w:lastRenderedPageBreak/>
        <w:drawing>
          <wp:inline distT="0" distB="0" distL="0" distR="0">
            <wp:extent cx="5907405" cy="391541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7405" cy="3915410"/>
                    </a:xfrm>
                    <a:prstGeom prst="rect">
                      <a:avLst/>
                    </a:prstGeom>
                    <a:noFill/>
                    <a:ln>
                      <a:noFill/>
                    </a:ln>
                  </pic:spPr>
                </pic:pic>
              </a:graphicData>
            </a:graphic>
          </wp:inline>
        </w:drawing>
      </w:r>
    </w:p>
    <w:p w:rsidR="000E5655" w:rsidRPr="0043038D" w:rsidRDefault="00837133">
      <w:pPr>
        <w:overflowPunct w:val="0"/>
        <w:spacing w:line="480" w:lineRule="auto"/>
        <w:ind w:firstLineChars="200" w:firstLine="420"/>
        <w:rPr>
          <w:rFonts w:ascii="Arial" w:hAnsi="Arial"/>
          <w:sz w:val="21"/>
        </w:rPr>
      </w:pPr>
      <w:r w:rsidRPr="0043038D">
        <w:rPr>
          <w:rFonts w:ascii="Arial" w:hAnsi="Arial"/>
          <w:sz w:val="21"/>
        </w:rPr>
        <w:t>3</w:t>
      </w:r>
      <w:r w:rsidRPr="0043038D">
        <w:rPr>
          <w:rFonts w:ascii="Arial" w:hAnsi="Arial" w:hint="eastAsia"/>
          <w:sz w:val="21"/>
        </w:rPr>
        <w:t>）区域成交</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年上半年，北京市区成交主力依旧是近郊六区，成交总规模超</w:t>
      </w:r>
      <w:r w:rsidRPr="0043038D">
        <w:rPr>
          <w:rFonts w:ascii="Arial" w:hAnsi="Arial"/>
          <w:sz w:val="21"/>
          <w:szCs w:val="28"/>
        </w:rPr>
        <w:t>117.3</w:t>
      </w:r>
      <w:r w:rsidRPr="0043038D">
        <w:rPr>
          <w:rFonts w:ascii="Arial" w:hAnsi="Arial" w:hint="eastAsia"/>
          <w:sz w:val="21"/>
          <w:szCs w:val="28"/>
        </w:rPr>
        <w:t>万㎡</w:t>
      </w:r>
      <w:r w:rsidRPr="0043038D">
        <w:rPr>
          <w:rFonts w:ascii="Arial" w:hAnsi="Arial"/>
          <w:sz w:val="21"/>
          <w:szCs w:val="28"/>
        </w:rPr>
        <w:t>,</w:t>
      </w:r>
      <w:r w:rsidRPr="0043038D">
        <w:rPr>
          <w:rFonts w:ascii="Arial" w:hAnsi="Arial" w:hint="eastAsia"/>
          <w:sz w:val="21"/>
          <w:szCs w:val="28"/>
        </w:rPr>
        <w:t>中心城区中朝阳</w:t>
      </w:r>
      <w:proofErr w:type="gramStart"/>
      <w:r w:rsidRPr="0043038D">
        <w:rPr>
          <w:rFonts w:ascii="Arial" w:hAnsi="Arial" w:hint="eastAsia"/>
          <w:sz w:val="21"/>
          <w:szCs w:val="28"/>
        </w:rPr>
        <w:t>区成交</w:t>
      </w:r>
      <w:proofErr w:type="gramEnd"/>
      <w:r w:rsidRPr="0043038D">
        <w:rPr>
          <w:rFonts w:ascii="Arial" w:hAnsi="Arial" w:hint="eastAsia"/>
          <w:sz w:val="21"/>
          <w:szCs w:val="28"/>
        </w:rPr>
        <w:t>规模为</w:t>
      </w:r>
      <w:r w:rsidRPr="0043038D">
        <w:rPr>
          <w:rFonts w:ascii="Arial" w:hAnsi="Arial"/>
          <w:sz w:val="21"/>
          <w:szCs w:val="28"/>
        </w:rPr>
        <w:t>28.0</w:t>
      </w:r>
      <w:r w:rsidRPr="0043038D">
        <w:rPr>
          <w:rFonts w:ascii="Arial" w:hAnsi="Arial" w:hint="eastAsia"/>
          <w:sz w:val="21"/>
          <w:szCs w:val="28"/>
        </w:rPr>
        <w:t>万㎡，领跑市场；远郊</w:t>
      </w:r>
      <w:proofErr w:type="gramStart"/>
      <w:r w:rsidRPr="0043038D">
        <w:rPr>
          <w:rFonts w:ascii="Arial" w:hAnsi="Arial" w:hint="eastAsia"/>
          <w:sz w:val="21"/>
          <w:szCs w:val="28"/>
        </w:rPr>
        <w:t>区成交</w:t>
      </w:r>
      <w:proofErr w:type="gramEnd"/>
      <w:r w:rsidRPr="0043038D">
        <w:rPr>
          <w:rFonts w:ascii="Arial" w:hAnsi="Arial" w:hint="eastAsia"/>
          <w:sz w:val="21"/>
          <w:szCs w:val="28"/>
        </w:rPr>
        <w:t>规模小，占比仅有</w:t>
      </w:r>
      <w:r w:rsidRPr="0043038D">
        <w:rPr>
          <w:rFonts w:ascii="Arial" w:hAnsi="Arial"/>
          <w:sz w:val="21"/>
          <w:szCs w:val="28"/>
        </w:rPr>
        <w:t>6.3%</w:t>
      </w:r>
      <w:r w:rsidRPr="0043038D">
        <w:rPr>
          <w:rFonts w:ascii="Arial" w:hAnsi="Arial" w:hint="eastAsia"/>
          <w:sz w:val="21"/>
          <w:szCs w:val="28"/>
        </w:rPr>
        <w:t>。</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同比来看，三大圈层成交全线下降。中心城区成交降幅最大（下降</w:t>
      </w:r>
      <w:r w:rsidRPr="0043038D">
        <w:rPr>
          <w:rFonts w:ascii="Arial" w:hAnsi="Arial"/>
          <w:sz w:val="21"/>
          <w:szCs w:val="28"/>
        </w:rPr>
        <w:t>46.0%</w:t>
      </w:r>
      <w:r w:rsidRPr="0043038D">
        <w:rPr>
          <w:rFonts w:ascii="Arial" w:hAnsi="Arial" w:hint="eastAsia"/>
          <w:sz w:val="21"/>
          <w:szCs w:val="28"/>
        </w:rPr>
        <w:t>），供应不足叠加观望情绪浓重，三大圈层成交规模或将持续磨底。近郊</w:t>
      </w:r>
      <w:proofErr w:type="gramStart"/>
      <w:r w:rsidRPr="0043038D">
        <w:rPr>
          <w:rFonts w:ascii="Arial" w:hAnsi="Arial" w:hint="eastAsia"/>
          <w:sz w:val="21"/>
          <w:szCs w:val="28"/>
        </w:rPr>
        <w:t>区成交</w:t>
      </w:r>
      <w:proofErr w:type="gramEnd"/>
      <w:r w:rsidRPr="0043038D">
        <w:rPr>
          <w:rFonts w:ascii="Arial" w:hAnsi="Arial" w:hint="eastAsia"/>
          <w:sz w:val="21"/>
          <w:szCs w:val="28"/>
        </w:rPr>
        <w:t>降幅为</w:t>
      </w:r>
      <w:r w:rsidRPr="0043038D">
        <w:rPr>
          <w:rFonts w:ascii="Arial" w:hAnsi="Arial"/>
          <w:sz w:val="21"/>
          <w:szCs w:val="28"/>
        </w:rPr>
        <w:t>37.1%</w:t>
      </w:r>
      <w:r w:rsidRPr="0043038D">
        <w:rPr>
          <w:rFonts w:ascii="Arial" w:hAnsi="Arial" w:hint="eastAsia"/>
          <w:sz w:val="21"/>
          <w:szCs w:val="28"/>
        </w:rPr>
        <w:t>，区域成交波动下行；远郊</w:t>
      </w:r>
      <w:proofErr w:type="gramStart"/>
      <w:r w:rsidRPr="0043038D">
        <w:rPr>
          <w:rFonts w:ascii="Arial" w:hAnsi="Arial" w:hint="eastAsia"/>
          <w:sz w:val="21"/>
          <w:szCs w:val="28"/>
        </w:rPr>
        <w:t>区成交</w:t>
      </w:r>
      <w:proofErr w:type="gramEnd"/>
      <w:r w:rsidRPr="0043038D">
        <w:rPr>
          <w:rFonts w:ascii="Arial" w:hAnsi="Arial" w:hint="eastAsia"/>
          <w:sz w:val="21"/>
          <w:szCs w:val="28"/>
        </w:rPr>
        <w:t>同比下降</w:t>
      </w:r>
      <w:r w:rsidRPr="0043038D">
        <w:rPr>
          <w:rFonts w:ascii="Arial" w:hAnsi="Arial"/>
          <w:sz w:val="21"/>
          <w:szCs w:val="28"/>
        </w:rPr>
        <w:t>30.6%</w:t>
      </w:r>
      <w:r w:rsidRPr="0043038D">
        <w:rPr>
          <w:rFonts w:ascii="Arial" w:hAnsi="Arial" w:hint="eastAsia"/>
          <w:sz w:val="21"/>
          <w:szCs w:val="28"/>
        </w:rPr>
        <w:t>，降幅最小，区域成交保持低位运行。</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 xml:space="preserve"> 2022</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以来历季度北京三大圈</w:t>
      </w:r>
      <w:proofErr w:type="gramStart"/>
      <w:r w:rsidRPr="0043038D">
        <w:rPr>
          <w:rFonts w:ascii="Arial" w:eastAsia="方正黑体简体" w:hAnsi="Arial" w:hint="eastAsia"/>
          <w:bCs/>
          <w:color w:val="000000"/>
          <w:szCs w:val="24"/>
        </w:rPr>
        <w:t>层区域</w:t>
      </w:r>
      <w:proofErr w:type="gramEnd"/>
      <w:r w:rsidRPr="0043038D">
        <w:rPr>
          <w:rFonts w:ascii="Arial" w:eastAsia="方正黑体简体" w:hAnsi="Arial" w:hint="eastAsia"/>
          <w:bCs/>
          <w:color w:val="000000"/>
          <w:szCs w:val="24"/>
        </w:rPr>
        <w:t>住宅成交走势</w:t>
      </w:r>
    </w:p>
    <w:p w:rsidR="000E5655" w:rsidRPr="0043038D" w:rsidRDefault="00837133">
      <w:pPr>
        <w:tabs>
          <w:tab w:val="left" w:pos="426"/>
        </w:tabs>
        <w:overflowPunct w:val="0"/>
        <w:spacing w:line="480" w:lineRule="auto"/>
        <w:jc w:val="center"/>
        <w:rPr>
          <w:rFonts w:ascii="Arial" w:hAnsi="Arial"/>
          <w:sz w:val="21"/>
        </w:rPr>
      </w:pPr>
      <w:r w:rsidRPr="0043038D">
        <w:rPr>
          <w:rFonts w:ascii="Arial" w:eastAsia="仿宋_GB2312" w:hAnsi="Arial" w:cs="Arial"/>
          <w:bCs/>
          <w:noProof/>
          <w:color w:val="000000"/>
          <w:sz w:val="28"/>
          <w:szCs w:val="28"/>
        </w:rPr>
        <w:lastRenderedPageBreak/>
        <w:drawing>
          <wp:inline distT="0" distB="0" distL="0" distR="0">
            <wp:extent cx="5029200" cy="4006215"/>
            <wp:effectExtent l="0" t="0" r="0" b="0"/>
            <wp:docPr id="17" name="图片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5655" w:rsidRPr="0043038D" w:rsidRDefault="00837133">
      <w:pPr>
        <w:widowControl/>
        <w:overflowPunct w:val="0"/>
        <w:adjustRightInd/>
        <w:spacing w:line="480" w:lineRule="auto"/>
        <w:ind w:firstLineChars="200" w:firstLine="420"/>
        <w:jc w:val="both"/>
        <w:rPr>
          <w:rFonts w:ascii="Arial" w:hAnsi="Arial"/>
          <w:bCs/>
          <w:sz w:val="21"/>
          <w:szCs w:val="28"/>
        </w:rPr>
      </w:pPr>
      <w:r w:rsidRPr="0043038D">
        <w:rPr>
          <w:rFonts w:ascii="Arial" w:hAnsi="Arial" w:hint="eastAsia"/>
          <w:bCs/>
          <w:sz w:val="21"/>
          <w:szCs w:val="28"/>
        </w:rPr>
        <w:t>（</w:t>
      </w:r>
      <w:r w:rsidRPr="0043038D">
        <w:rPr>
          <w:rFonts w:ascii="Arial" w:hAnsi="Arial"/>
          <w:bCs/>
          <w:sz w:val="21"/>
          <w:szCs w:val="28"/>
        </w:rPr>
        <w:t>3</w:t>
      </w:r>
      <w:r w:rsidRPr="0043038D">
        <w:rPr>
          <w:rFonts w:ascii="Arial" w:hAnsi="Arial" w:hint="eastAsia"/>
          <w:bCs/>
          <w:sz w:val="21"/>
          <w:szCs w:val="28"/>
        </w:rPr>
        <w:t>）存量房住宅市场</w:t>
      </w:r>
    </w:p>
    <w:p w:rsidR="000E5655" w:rsidRPr="0043038D" w:rsidRDefault="00837133">
      <w:pPr>
        <w:overflowPunct w:val="0"/>
        <w:spacing w:line="480" w:lineRule="auto"/>
        <w:ind w:firstLineChars="200" w:firstLine="420"/>
        <w:jc w:val="both"/>
        <w:rPr>
          <w:rFonts w:ascii="Arial" w:hAnsi="Arial"/>
          <w:sz w:val="21"/>
        </w:rPr>
      </w:pPr>
      <w:r w:rsidRPr="0043038D">
        <w:rPr>
          <w:rFonts w:ascii="Arial" w:hAnsi="Arial"/>
          <w:sz w:val="21"/>
        </w:rPr>
        <w:t>1</w:t>
      </w:r>
      <w:r w:rsidRPr="0043038D">
        <w:rPr>
          <w:rFonts w:ascii="Arial" w:hAnsi="Arial" w:hint="eastAsia"/>
          <w:sz w:val="21"/>
        </w:rPr>
        <w:t>）市场运行状况</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年上半年北京存量房市场成交套数为</w:t>
      </w:r>
      <w:r w:rsidRPr="0043038D">
        <w:rPr>
          <w:rFonts w:ascii="Arial" w:hAnsi="Arial"/>
          <w:sz w:val="21"/>
          <w:szCs w:val="28"/>
        </w:rPr>
        <w:t>74124</w:t>
      </w:r>
      <w:r w:rsidRPr="0043038D">
        <w:rPr>
          <w:rFonts w:ascii="Arial" w:hAnsi="Arial" w:hint="eastAsia"/>
          <w:sz w:val="21"/>
          <w:szCs w:val="28"/>
        </w:rPr>
        <w:t>套，月均成交套数略高于</w:t>
      </w:r>
      <w:r w:rsidRPr="0043038D">
        <w:rPr>
          <w:rFonts w:ascii="Arial" w:hAnsi="Arial"/>
          <w:sz w:val="21"/>
          <w:szCs w:val="28"/>
        </w:rPr>
        <w:t>1.2</w:t>
      </w:r>
      <w:r w:rsidRPr="0043038D">
        <w:rPr>
          <w:rFonts w:ascii="Arial" w:hAnsi="Arial" w:hint="eastAsia"/>
          <w:sz w:val="21"/>
          <w:szCs w:val="28"/>
        </w:rPr>
        <w:t>万套“荣枯线”，在近三年中处于中等规模水平。</w:t>
      </w:r>
      <w:r w:rsidRPr="0043038D">
        <w:rPr>
          <w:rFonts w:ascii="Arial" w:hAnsi="Arial"/>
          <w:sz w:val="21"/>
          <w:szCs w:val="28"/>
        </w:rPr>
        <w:t>4-5</w:t>
      </w:r>
      <w:r w:rsidRPr="0043038D">
        <w:rPr>
          <w:rFonts w:ascii="Arial" w:hAnsi="Arial" w:hint="eastAsia"/>
          <w:sz w:val="21"/>
          <w:szCs w:val="28"/>
        </w:rPr>
        <w:t>月一连串利好政策出台，</w:t>
      </w:r>
      <w:r w:rsidRPr="0043038D">
        <w:rPr>
          <w:rFonts w:ascii="Arial" w:hAnsi="Arial"/>
          <w:sz w:val="21"/>
          <w:szCs w:val="28"/>
        </w:rPr>
        <w:t>4</w:t>
      </w:r>
      <w:r w:rsidRPr="0043038D">
        <w:rPr>
          <w:rFonts w:ascii="Arial" w:hAnsi="Arial" w:hint="eastAsia"/>
          <w:sz w:val="21"/>
          <w:szCs w:val="28"/>
        </w:rPr>
        <w:t>月二手房成交规模恢复正常水平，环比小幅下降，</w:t>
      </w:r>
      <w:r w:rsidRPr="0043038D">
        <w:rPr>
          <w:rFonts w:ascii="Arial" w:hAnsi="Arial"/>
          <w:sz w:val="21"/>
          <w:szCs w:val="28"/>
        </w:rPr>
        <w:t>5</w:t>
      </w:r>
      <w:r w:rsidRPr="0043038D">
        <w:rPr>
          <w:rFonts w:ascii="Arial" w:hAnsi="Arial" w:hint="eastAsia"/>
          <w:sz w:val="21"/>
          <w:szCs w:val="28"/>
        </w:rPr>
        <w:t>月受“</w:t>
      </w:r>
      <w:r w:rsidRPr="0043038D">
        <w:rPr>
          <w:rFonts w:ascii="Arial" w:hAnsi="Arial"/>
          <w:sz w:val="21"/>
          <w:szCs w:val="28"/>
        </w:rPr>
        <w:t>430</w:t>
      </w:r>
      <w:r w:rsidRPr="0043038D">
        <w:rPr>
          <w:rFonts w:ascii="Arial" w:hAnsi="Arial" w:hint="eastAsia"/>
          <w:sz w:val="21"/>
          <w:szCs w:val="28"/>
        </w:rPr>
        <w:t>新政”影响，成交量环比小幅上涨，</w:t>
      </w:r>
      <w:r w:rsidRPr="0043038D">
        <w:rPr>
          <w:rFonts w:ascii="Arial" w:hAnsi="Arial"/>
          <w:sz w:val="21"/>
          <w:szCs w:val="28"/>
        </w:rPr>
        <w:t>6</w:t>
      </w:r>
      <w:r w:rsidRPr="0043038D">
        <w:rPr>
          <w:rFonts w:ascii="Arial" w:hAnsi="Arial" w:hint="eastAsia"/>
          <w:sz w:val="21"/>
          <w:szCs w:val="28"/>
        </w:rPr>
        <w:t>月，二手房市场受“</w:t>
      </w:r>
      <w:r w:rsidRPr="0043038D">
        <w:rPr>
          <w:rFonts w:ascii="Arial" w:hAnsi="Arial"/>
          <w:sz w:val="21"/>
          <w:szCs w:val="28"/>
        </w:rPr>
        <w:t>517</w:t>
      </w:r>
      <w:r w:rsidRPr="0043038D">
        <w:rPr>
          <w:rFonts w:ascii="Arial" w:hAnsi="Arial" w:hint="eastAsia"/>
          <w:sz w:val="21"/>
          <w:szCs w:val="28"/>
        </w:rPr>
        <w:t>楼市新政”影响，市场信心增强，成交量增长显著，为上半年最高，近</w:t>
      </w:r>
      <w:r w:rsidRPr="0043038D">
        <w:rPr>
          <w:rFonts w:ascii="Arial" w:hAnsi="Arial"/>
          <w:sz w:val="21"/>
          <w:szCs w:val="28"/>
        </w:rPr>
        <w:t>1.5</w:t>
      </w:r>
      <w:r w:rsidRPr="0043038D">
        <w:rPr>
          <w:rFonts w:ascii="Arial" w:hAnsi="Arial" w:hint="eastAsia"/>
          <w:sz w:val="21"/>
          <w:szCs w:val="28"/>
        </w:rPr>
        <w:t>万套，环比上涨</w:t>
      </w:r>
      <w:r w:rsidRPr="0043038D">
        <w:rPr>
          <w:rFonts w:ascii="Arial" w:hAnsi="Arial"/>
          <w:sz w:val="21"/>
          <w:szCs w:val="28"/>
        </w:rPr>
        <w:t>12.8%</w:t>
      </w:r>
      <w:r w:rsidRPr="0043038D">
        <w:rPr>
          <w:rFonts w:ascii="Arial" w:hAnsi="Arial" w:hint="eastAsia"/>
          <w:sz w:val="21"/>
          <w:szCs w:val="28"/>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 xml:space="preserve"> 2021</w:t>
      </w:r>
      <w:r w:rsidRPr="0043038D">
        <w:rPr>
          <w:rFonts w:ascii="Arial" w:eastAsia="方正黑体简体" w:hAnsi="Arial" w:hint="eastAsia"/>
          <w:bCs/>
          <w:color w:val="000000"/>
          <w:szCs w:val="24"/>
        </w:rPr>
        <w:t>年以来北京市</w:t>
      </w:r>
      <w:proofErr w:type="gramStart"/>
      <w:r w:rsidRPr="0043038D">
        <w:rPr>
          <w:rFonts w:ascii="Arial" w:eastAsia="方正黑体简体" w:hAnsi="Arial" w:hint="eastAsia"/>
          <w:bCs/>
          <w:color w:val="000000"/>
          <w:szCs w:val="24"/>
        </w:rPr>
        <w:t>二手住宅</w:t>
      </w:r>
      <w:proofErr w:type="gramEnd"/>
      <w:r w:rsidRPr="0043038D">
        <w:rPr>
          <w:rFonts w:ascii="Arial" w:eastAsia="方正黑体简体" w:hAnsi="Arial" w:hint="eastAsia"/>
          <w:bCs/>
          <w:color w:val="000000"/>
          <w:szCs w:val="24"/>
        </w:rPr>
        <w:t>成交套数季度走势</w:t>
      </w:r>
    </w:p>
    <w:p w:rsidR="000E5655" w:rsidRPr="0043038D" w:rsidRDefault="00837133">
      <w:pPr>
        <w:tabs>
          <w:tab w:val="left" w:pos="426"/>
        </w:tabs>
        <w:overflowPunct w:val="0"/>
        <w:spacing w:line="480" w:lineRule="auto"/>
        <w:jc w:val="center"/>
        <w:rPr>
          <w:rFonts w:ascii="Arial" w:hAnsi="Arial"/>
          <w:sz w:val="21"/>
        </w:rPr>
      </w:pPr>
      <w:r w:rsidRPr="0043038D">
        <w:rPr>
          <w:rFonts w:ascii="Arial" w:eastAsia="仿宋_GB2312" w:hAnsi="Arial" w:cs="Arial"/>
          <w:bCs/>
          <w:noProof/>
          <w:color w:val="000000"/>
          <w:sz w:val="28"/>
          <w:szCs w:val="28"/>
        </w:rPr>
        <w:lastRenderedPageBreak/>
        <w:drawing>
          <wp:inline distT="0" distB="0" distL="0" distR="0">
            <wp:extent cx="5486400" cy="2444750"/>
            <wp:effectExtent l="0" t="0" r="0" b="0"/>
            <wp:docPr id="18" name="图片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E5655" w:rsidRPr="0043038D" w:rsidRDefault="00837133">
      <w:pPr>
        <w:overflowPunct w:val="0"/>
        <w:spacing w:line="480" w:lineRule="auto"/>
        <w:ind w:firstLineChars="200" w:firstLine="420"/>
        <w:jc w:val="both"/>
        <w:rPr>
          <w:rFonts w:ascii="Arial" w:hAnsi="Arial"/>
          <w:sz w:val="21"/>
        </w:rPr>
      </w:pPr>
      <w:r w:rsidRPr="0043038D">
        <w:rPr>
          <w:rFonts w:ascii="Arial" w:hAnsi="Arial"/>
          <w:sz w:val="21"/>
        </w:rPr>
        <w:t>2</w:t>
      </w:r>
      <w:r w:rsidRPr="0043038D">
        <w:rPr>
          <w:rFonts w:ascii="Arial" w:hAnsi="Arial" w:hint="eastAsia"/>
          <w:sz w:val="21"/>
        </w:rPr>
        <w:t>）各区县统计</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年上半年，朝阳区、海淀区、丰台区等区域为北京</w:t>
      </w:r>
      <w:proofErr w:type="gramStart"/>
      <w:r w:rsidRPr="0043038D">
        <w:rPr>
          <w:rFonts w:ascii="Arial" w:hAnsi="Arial" w:hint="eastAsia"/>
          <w:sz w:val="21"/>
          <w:szCs w:val="28"/>
        </w:rPr>
        <w:t>二手住宅</w:t>
      </w:r>
      <w:proofErr w:type="gramEnd"/>
      <w:r w:rsidRPr="0043038D">
        <w:rPr>
          <w:rFonts w:ascii="Arial" w:hAnsi="Arial" w:hint="eastAsia"/>
          <w:sz w:val="21"/>
          <w:szCs w:val="28"/>
        </w:rPr>
        <w:t>成交主力区域，共成交</w:t>
      </w:r>
      <w:r w:rsidRPr="0043038D">
        <w:rPr>
          <w:rFonts w:ascii="Arial" w:hAnsi="Arial"/>
          <w:sz w:val="21"/>
          <w:szCs w:val="28"/>
        </w:rPr>
        <w:t>33313</w:t>
      </w:r>
      <w:r w:rsidRPr="0043038D">
        <w:rPr>
          <w:rFonts w:ascii="Arial" w:hAnsi="Arial" w:hint="eastAsia"/>
          <w:sz w:val="21"/>
          <w:szCs w:val="28"/>
        </w:rPr>
        <w:t>套，占城市成交套数的</w:t>
      </w:r>
      <w:r w:rsidRPr="0043038D">
        <w:rPr>
          <w:rFonts w:ascii="Arial" w:hAnsi="Arial"/>
          <w:sz w:val="21"/>
          <w:szCs w:val="28"/>
        </w:rPr>
        <w:t>44.9%</w:t>
      </w:r>
      <w:r w:rsidRPr="0043038D">
        <w:rPr>
          <w:rFonts w:ascii="Arial" w:hAnsi="Arial" w:hint="eastAsia"/>
          <w:sz w:val="21"/>
          <w:szCs w:val="28"/>
        </w:rPr>
        <w:t>。其中，成交套数同比增长的区域有怀柔区、延庆区、密云区等，同比分别增长</w:t>
      </w:r>
      <w:r w:rsidRPr="0043038D">
        <w:rPr>
          <w:rFonts w:ascii="Arial" w:hAnsi="Arial"/>
          <w:sz w:val="21"/>
          <w:szCs w:val="28"/>
        </w:rPr>
        <w:t>40.4%</w:t>
      </w:r>
      <w:r w:rsidRPr="0043038D">
        <w:rPr>
          <w:rFonts w:ascii="Arial" w:hAnsi="Arial" w:hint="eastAsia"/>
          <w:sz w:val="21"/>
          <w:szCs w:val="28"/>
        </w:rPr>
        <w:t>、</w:t>
      </w:r>
      <w:r w:rsidRPr="0043038D">
        <w:rPr>
          <w:rFonts w:ascii="Arial" w:hAnsi="Arial"/>
          <w:sz w:val="21"/>
          <w:szCs w:val="28"/>
        </w:rPr>
        <w:t>8.1%</w:t>
      </w:r>
      <w:r w:rsidRPr="0043038D">
        <w:rPr>
          <w:rFonts w:ascii="Arial" w:hAnsi="Arial" w:hint="eastAsia"/>
          <w:sz w:val="21"/>
          <w:szCs w:val="28"/>
        </w:rPr>
        <w:t>、</w:t>
      </w:r>
      <w:r w:rsidRPr="0043038D">
        <w:rPr>
          <w:rFonts w:ascii="Arial" w:hAnsi="Arial"/>
          <w:sz w:val="21"/>
          <w:szCs w:val="28"/>
        </w:rPr>
        <w:t>6.5%</w:t>
      </w:r>
      <w:r w:rsidRPr="0043038D">
        <w:rPr>
          <w:rFonts w:ascii="Arial" w:hAnsi="Arial" w:hint="eastAsia"/>
          <w:sz w:val="21"/>
          <w:szCs w:val="28"/>
        </w:rPr>
        <w:t>；成交套数同比下降的区域有大兴区、朝阳区、</w:t>
      </w:r>
      <w:proofErr w:type="gramStart"/>
      <w:r w:rsidRPr="0043038D">
        <w:rPr>
          <w:rFonts w:ascii="Arial" w:hAnsi="Arial" w:hint="eastAsia"/>
          <w:sz w:val="21"/>
          <w:szCs w:val="28"/>
        </w:rPr>
        <w:t>平谷区</w:t>
      </w:r>
      <w:proofErr w:type="gramEnd"/>
      <w:r w:rsidRPr="0043038D">
        <w:rPr>
          <w:rFonts w:ascii="Arial" w:hAnsi="Arial" w:hint="eastAsia"/>
          <w:sz w:val="21"/>
          <w:szCs w:val="28"/>
        </w:rPr>
        <w:t>等，同比分别下降</w:t>
      </w:r>
      <w:r w:rsidRPr="0043038D">
        <w:rPr>
          <w:rFonts w:ascii="Arial" w:hAnsi="Arial"/>
          <w:sz w:val="21"/>
          <w:szCs w:val="28"/>
        </w:rPr>
        <w:t>27.1%</w:t>
      </w:r>
      <w:r w:rsidRPr="0043038D">
        <w:rPr>
          <w:rFonts w:ascii="Arial" w:hAnsi="Arial" w:hint="eastAsia"/>
          <w:sz w:val="21"/>
          <w:szCs w:val="28"/>
        </w:rPr>
        <w:t>、</w:t>
      </w:r>
      <w:r w:rsidRPr="0043038D">
        <w:rPr>
          <w:rFonts w:ascii="Arial" w:hAnsi="Arial"/>
          <w:sz w:val="21"/>
          <w:szCs w:val="28"/>
        </w:rPr>
        <w:t>16.8%</w:t>
      </w:r>
      <w:r w:rsidRPr="0043038D">
        <w:rPr>
          <w:rFonts w:ascii="Arial" w:hAnsi="Arial" w:hint="eastAsia"/>
          <w:sz w:val="21"/>
          <w:szCs w:val="28"/>
        </w:rPr>
        <w:t>、</w:t>
      </w:r>
      <w:r w:rsidRPr="0043038D">
        <w:rPr>
          <w:rFonts w:ascii="Arial" w:hAnsi="Arial"/>
          <w:sz w:val="21"/>
          <w:szCs w:val="28"/>
        </w:rPr>
        <w:t>15.4%</w:t>
      </w:r>
      <w:r w:rsidRPr="0043038D">
        <w:rPr>
          <w:rFonts w:ascii="Arial" w:hAnsi="Arial" w:hint="eastAsia"/>
          <w:sz w:val="21"/>
          <w:szCs w:val="28"/>
        </w:rPr>
        <w:t>。</w:t>
      </w:r>
    </w:p>
    <w:p w:rsidR="000E5655" w:rsidRPr="0043038D" w:rsidRDefault="00837133">
      <w:pPr>
        <w:widowControl/>
        <w:spacing w:line="360" w:lineRule="auto"/>
        <w:ind w:firstLineChars="200" w:firstLine="420"/>
        <w:jc w:val="both"/>
        <w:rPr>
          <w:rFonts w:ascii="Arial" w:eastAsia="仿宋_GB2312" w:hAnsi="Arial" w:cs="Arial"/>
          <w:sz w:val="28"/>
        </w:rPr>
      </w:pPr>
      <w:r w:rsidRPr="0043038D">
        <w:rPr>
          <w:rFonts w:ascii="Arial" w:hAnsi="Arial"/>
          <w:sz w:val="21"/>
          <w:szCs w:val="28"/>
        </w:rPr>
        <w:t>2024</w:t>
      </w:r>
      <w:r w:rsidRPr="0043038D">
        <w:rPr>
          <w:rFonts w:ascii="Arial" w:hAnsi="Arial" w:hint="eastAsia"/>
          <w:sz w:val="21"/>
          <w:szCs w:val="28"/>
        </w:rPr>
        <w:t>年上半年各区县</w:t>
      </w:r>
      <w:proofErr w:type="gramStart"/>
      <w:r w:rsidRPr="0043038D">
        <w:rPr>
          <w:rFonts w:ascii="Arial" w:hAnsi="Arial" w:hint="eastAsia"/>
          <w:sz w:val="21"/>
          <w:szCs w:val="28"/>
        </w:rPr>
        <w:t>二手住宅</w:t>
      </w:r>
      <w:proofErr w:type="gramEnd"/>
      <w:r w:rsidRPr="0043038D">
        <w:rPr>
          <w:rFonts w:ascii="Arial" w:hAnsi="Arial" w:hint="eastAsia"/>
          <w:sz w:val="21"/>
          <w:szCs w:val="28"/>
        </w:rPr>
        <w:t>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17"/>
        <w:gridCol w:w="3191"/>
        <w:gridCol w:w="2097"/>
        <w:gridCol w:w="1595"/>
      </w:tblGrid>
      <w:tr w:rsidR="000E5655" w:rsidRPr="0043038D">
        <w:trPr>
          <w:cantSplit/>
          <w:tblHeader/>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区域</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w:t>
            </w:r>
            <w:r w:rsidRPr="0043038D">
              <w:rPr>
                <w:rFonts w:ascii="Arial" w:eastAsia="华文细黑" w:hAnsi="Arial" w:cs="Arial" w:hint="eastAsia"/>
                <w:sz w:val="18"/>
                <w:szCs w:val="18"/>
              </w:rPr>
              <w:t>月成交套数（套）</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占比</w:t>
            </w:r>
            <w:r w:rsidRPr="0043038D">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同比</w:t>
            </w:r>
            <w:r w:rsidRPr="0043038D">
              <w:rPr>
                <w:rFonts w:ascii="Arial" w:eastAsia="华文细黑" w:hAnsi="Arial" w:cs="Arial"/>
                <w:sz w:val="18"/>
                <w:szCs w:val="18"/>
              </w:rPr>
              <w:t>(%)</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朝阳区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16887</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22.8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-16.8</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海淀区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8286</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11.2</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-13.1</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丰台区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8140</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-10.9</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proofErr w:type="gramStart"/>
            <w:r w:rsidRPr="0043038D">
              <w:rPr>
                <w:rFonts w:ascii="Arial" w:eastAsia="华文细黑" w:hAnsi="Arial" w:cs="Arial" w:hint="eastAsia"/>
                <w:sz w:val="18"/>
                <w:szCs w:val="18"/>
              </w:rPr>
              <w:t>昌平区</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5816</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proofErr w:type="gramStart"/>
            <w:r w:rsidRPr="0043038D">
              <w:rPr>
                <w:rFonts w:ascii="Arial" w:eastAsia="华文细黑" w:hAnsi="Arial" w:cs="Arial" w:hint="eastAsia"/>
                <w:sz w:val="18"/>
                <w:szCs w:val="18"/>
              </w:rPr>
              <w:t>大兴区</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5718</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7.7</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-27.1</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通州区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4994</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6.7</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-11.8</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西城区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4795</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6.5</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-0.5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房山区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4324</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顺义区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3568</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-7.4</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东城区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3003</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4.1</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石景山区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2868</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3.9</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2.3</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密云区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1850</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怀柔区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1129</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40.4</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门头沟区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977</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延庆区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934</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8.1</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proofErr w:type="gramStart"/>
            <w:r w:rsidRPr="0043038D">
              <w:rPr>
                <w:rFonts w:ascii="Arial" w:eastAsia="华文细黑" w:hAnsi="Arial" w:cs="Arial" w:hint="eastAsia"/>
                <w:sz w:val="18"/>
                <w:szCs w:val="18"/>
              </w:rPr>
              <w:t>平谷区</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835</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-15.4</w:t>
            </w:r>
          </w:p>
        </w:tc>
      </w:tr>
    </w:tbl>
    <w:p w:rsidR="000E5655" w:rsidRPr="0043038D" w:rsidRDefault="000E5655">
      <w:pPr>
        <w:widowControl/>
        <w:kinsoku w:val="0"/>
        <w:overflowPunct w:val="0"/>
        <w:adjustRightInd/>
        <w:spacing w:line="240" w:lineRule="exact"/>
        <w:rPr>
          <w:rFonts w:ascii="Arial" w:eastAsia="华文细黑" w:hAnsi="Arial" w:cs="Arial"/>
          <w:sz w:val="18"/>
          <w:szCs w:val="18"/>
        </w:rPr>
      </w:pP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lastRenderedPageBreak/>
        <w:t>整体来看，上半年北京存量房市场表现持续好于新房市场。和去年相比，购房者拥有更多的选择和决策时间，购房节奏明显拉长。而从成交结构来看，</w:t>
      </w:r>
      <w:r w:rsidRPr="0043038D">
        <w:rPr>
          <w:rFonts w:ascii="Arial" w:hAnsi="Arial"/>
          <w:color w:val="000000"/>
          <w:sz w:val="21"/>
        </w:rPr>
        <w:t>600</w:t>
      </w:r>
      <w:r w:rsidRPr="0043038D">
        <w:rPr>
          <w:rFonts w:ascii="Arial" w:hAnsi="Arial" w:hint="eastAsia"/>
          <w:color w:val="000000"/>
          <w:sz w:val="21"/>
        </w:rPr>
        <w:t>万元以下房源成交占比上升，二手房市场呈现出“对价格更为敏感”</w:t>
      </w:r>
      <w:proofErr w:type="gramStart"/>
      <w:r w:rsidRPr="0043038D">
        <w:rPr>
          <w:rFonts w:ascii="Arial" w:hAnsi="Arial" w:hint="eastAsia"/>
          <w:color w:val="000000"/>
          <w:sz w:val="21"/>
        </w:rPr>
        <w:t>的刚需市场</w:t>
      </w:r>
      <w:proofErr w:type="gramEnd"/>
      <w:r w:rsidRPr="0043038D">
        <w:rPr>
          <w:rFonts w:ascii="Arial" w:hAnsi="Arial" w:hint="eastAsia"/>
          <w:color w:val="000000"/>
          <w:sz w:val="21"/>
        </w:rPr>
        <w:t>率先启动的规律</w:t>
      </w:r>
      <w:bookmarkStart w:id="62" w:name="OLE_LINK9"/>
      <w:bookmarkStart w:id="63" w:name="OLE_LINK8"/>
      <w:r w:rsidRPr="0043038D">
        <w:rPr>
          <w:rFonts w:ascii="Arial" w:hAnsi="Arial" w:hint="eastAsia"/>
          <w:color w:val="000000"/>
          <w:sz w:val="21"/>
        </w:rPr>
        <w:t>。</w:t>
      </w:r>
    </w:p>
    <w:p w:rsidR="000E5655" w:rsidRPr="0043038D" w:rsidRDefault="00837133">
      <w:pPr>
        <w:overflowPunct w:val="0"/>
        <w:spacing w:line="480" w:lineRule="auto"/>
        <w:ind w:firstLineChars="200" w:firstLine="420"/>
        <w:jc w:val="both"/>
        <w:rPr>
          <w:rFonts w:ascii="Arial" w:hAnsi="Arial"/>
          <w:color w:val="000000"/>
          <w:sz w:val="21"/>
          <w:szCs w:val="28"/>
        </w:rPr>
      </w:pPr>
      <w:r w:rsidRPr="0043038D">
        <w:rPr>
          <w:rFonts w:ascii="Arial" w:hAnsi="Arial"/>
          <w:color w:val="000000"/>
          <w:sz w:val="21"/>
          <w:szCs w:val="28"/>
        </w:rPr>
        <w:t>4.</w:t>
      </w:r>
      <w:r w:rsidRPr="0043038D">
        <w:rPr>
          <w:rFonts w:ascii="Arial" w:hAnsi="Arial" w:hint="eastAsia"/>
          <w:color w:val="000000"/>
          <w:sz w:val="21"/>
          <w:szCs w:val="28"/>
        </w:rPr>
        <w:t>产业政策</w:t>
      </w:r>
    </w:p>
    <w:p w:rsidR="000E5655" w:rsidRPr="0043038D" w:rsidRDefault="00837133">
      <w:pPr>
        <w:overflowPunct w:val="0"/>
        <w:spacing w:line="480" w:lineRule="auto"/>
        <w:ind w:firstLine="420"/>
        <w:jc w:val="both"/>
        <w:rPr>
          <w:rFonts w:ascii="Arial" w:hAnsi="Arial"/>
          <w:b/>
          <w:color w:val="000000"/>
          <w:sz w:val="21"/>
        </w:rPr>
      </w:pPr>
      <w:r w:rsidRPr="0043038D">
        <w:rPr>
          <w:rFonts w:ascii="Arial" w:hAnsi="Arial" w:hint="eastAsia"/>
          <w:b/>
          <w:color w:val="000000"/>
          <w:sz w:val="21"/>
        </w:rPr>
        <w:t>全国：</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21</w:t>
      </w:r>
      <w:r w:rsidRPr="0043038D">
        <w:rPr>
          <w:rFonts w:ascii="Arial" w:hAnsi="Arial" w:hint="eastAsia"/>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24</w:t>
      </w:r>
      <w:r w:rsidRPr="0043038D">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10</w:t>
      </w:r>
      <w:r w:rsidRPr="0043038D">
        <w:rPr>
          <w:rFonts w:ascii="Arial" w:hAnsi="Arial" w:hint="eastAsia"/>
          <w:color w:val="000000"/>
          <w:sz w:val="21"/>
        </w:rPr>
        <w:t>月</w:t>
      </w:r>
      <w:r w:rsidRPr="0043038D">
        <w:rPr>
          <w:rFonts w:ascii="Arial" w:hAnsi="Arial"/>
          <w:color w:val="000000"/>
          <w:sz w:val="21"/>
        </w:rPr>
        <w:t>30</w:t>
      </w:r>
      <w:r w:rsidRPr="0043038D">
        <w:rPr>
          <w:rFonts w:ascii="Arial" w:hAnsi="Arial" w:hint="eastAsia"/>
          <w:color w:val="000000"/>
          <w:sz w:val="21"/>
        </w:rPr>
        <w:t>日中央金融工作会议召开。会议强调要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三大工程”建设，构建房地产发展新模式。</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11</w:t>
      </w:r>
      <w:r w:rsidRPr="0043038D">
        <w:rPr>
          <w:rFonts w:ascii="Arial" w:hAnsi="Arial" w:hint="eastAsia"/>
          <w:color w:val="000000"/>
          <w:sz w:val="21"/>
        </w:rPr>
        <w:t>月</w:t>
      </w:r>
      <w:r w:rsidRPr="0043038D">
        <w:rPr>
          <w:rFonts w:ascii="Arial" w:hAnsi="Arial"/>
          <w:color w:val="000000"/>
          <w:sz w:val="21"/>
        </w:rPr>
        <w:t>17</w:t>
      </w:r>
      <w:r w:rsidRPr="0043038D">
        <w:rPr>
          <w:rFonts w:ascii="Arial" w:hAnsi="Arial" w:hint="eastAsia"/>
          <w:color w:val="000000"/>
          <w:sz w:val="21"/>
        </w:rPr>
        <w:t>日，中国人民银行、金融监管总局、中国证监会联合召开金融机构座谈会。会议提出三个“不低于”，分别是：一、各银行房地产贷款增速不低于行业平均贷款增速；二、对非国有</w:t>
      </w:r>
      <w:proofErr w:type="gramStart"/>
      <w:r w:rsidRPr="0043038D">
        <w:rPr>
          <w:rFonts w:ascii="Arial" w:hAnsi="Arial" w:hint="eastAsia"/>
          <w:color w:val="000000"/>
          <w:sz w:val="21"/>
        </w:rPr>
        <w:t>房企贷款</w:t>
      </w:r>
      <w:proofErr w:type="gramEnd"/>
      <w:r w:rsidRPr="0043038D">
        <w:rPr>
          <w:rFonts w:ascii="Arial" w:hAnsi="Arial" w:hint="eastAsia"/>
          <w:color w:val="000000"/>
          <w:sz w:val="21"/>
        </w:rPr>
        <w:t>增速不低于本行增速；三、对非国有</w:t>
      </w:r>
      <w:proofErr w:type="gramStart"/>
      <w:r w:rsidRPr="0043038D">
        <w:rPr>
          <w:rFonts w:ascii="Arial" w:hAnsi="Arial" w:hint="eastAsia"/>
          <w:color w:val="000000"/>
          <w:sz w:val="21"/>
        </w:rPr>
        <w:t>房企个人</w:t>
      </w:r>
      <w:proofErr w:type="gramEnd"/>
      <w:r w:rsidRPr="0043038D">
        <w:rPr>
          <w:rFonts w:ascii="Arial" w:hAnsi="Arial" w:hint="eastAsia"/>
          <w:color w:val="000000"/>
          <w:sz w:val="21"/>
        </w:rPr>
        <w:t>按揭增速不低于本行按揭增速。此外，会议还</w:t>
      </w:r>
      <w:r w:rsidRPr="0043038D">
        <w:rPr>
          <w:rFonts w:ascii="Arial" w:hAnsi="Arial" w:hint="eastAsia"/>
          <w:color w:val="000000"/>
          <w:sz w:val="21"/>
        </w:rPr>
        <w:lastRenderedPageBreak/>
        <w:t>提出拟修改开发贷、经营性物业贷、个人住房贷款办法等。另外将起草一份</w:t>
      </w:r>
      <w:proofErr w:type="gramStart"/>
      <w:r w:rsidRPr="0043038D">
        <w:rPr>
          <w:rFonts w:ascii="Arial" w:hAnsi="Arial" w:hint="eastAsia"/>
          <w:color w:val="000000"/>
          <w:sz w:val="21"/>
        </w:rPr>
        <w:t>房企白</w:t>
      </w:r>
      <w:proofErr w:type="gramEnd"/>
      <w:r w:rsidRPr="0043038D">
        <w:rPr>
          <w:rFonts w:ascii="Arial" w:hAnsi="Arial" w:hint="eastAsia"/>
          <w:color w:val="000000"/>
          <w:sz w:val="21"/>
        </w:rPr>
        <w:t>名单，在列的企业将获得包括</w:t>
      </w:r>
      <w:proofErr w:type="gramStart"/>
      <w:r w:rsidRPr="0043038D">
        <w:rPr>
          <w:rFonts w:ascii="Arial" w:hAnsi="Arial" w:hint="eastAsia"/>
          <w:color w:val="000000"/>
          <w:sz w:val="21"/>
        </w:rPr>
        <w:t>信货</w:t>
      </w:r>
      <w:proofErr w:type="gramEnd"/>
      <w:r w:rsidRPr="0043038D">
        <w:rPr>
          <w:rFonts w:ascii="Arial" w:hAnsi="Arial" w:hint="eastAsia"/>
          <w:color w:val="000000"/>
          <w:sz w:val="21"/>
        </w:rPr>
        <w:t>、债券和股权融资等多方面的支持。</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11</w:t>
      </w:r>
      <w:r w:rsidRPr="0043038D">
        <w:rPr>
          <w:rFonts w:ascii="Arial" w:hAnsi="Arial" w:hint="eastAsia"/>
          <w:color w:val="000000"/>
          <w:sz w:val="21"/>
        </w:rPr>
        <w:t>日至</w:t>
      </w:r>
      <w:r w:rsidRPr="0043038D">
        <w:rPr>
          <w:rFonts w:ascii="Arial" w:hAnsi="Arial"/>
          <w:color w:val="000000"/>
          <w:sz w:val="21"/>
        </w:rPr>
        <w:t>12</w:t>
      </w:r>
      <w:r w:rsidRPr="0043038D">
        <w:rPr>
          <w:rFonts w:ascii="Arial" w:hAnsi="Arial" w:hint="eastAsia"/>
          <w:color w:val="000000"/>
          <w:sz w:val="21"/>
        </w:rPr>
        <w:t>日，</w:t>
      </w:r>
      <w:r w:rsidRPr="0043038D">
        <w:rPr>
          <w:rFonts w:ascii="Arial" w:hAnsi="Arial"/>
          <w:color w:val="000000"/>
          <w:sz w:val="21"/>
        </w:rPr>
        <w:t>2023</w:t>
      </w:r>
      <w:r w:rsidRPr="0043038D">
        <w:rPr>
          <w:rFonts w:ascii="Arial" w:hAnsi="Arial" w:hint="eastAsia"/>
          <w:color w:val="000000"/>
          <w:sz w:val="21"/>
        </w:rPr>
        <w:t>年中央经济工作会议举行。会议提出“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平急两用’公共基础设施建设、城中村改造等‘三大工程’。完善相关基础性制度，加快构建房地产发展新模式。统筹好地方债务风险化解和稳定发展，经济大省要真正挑起大梁，为稳定全国经济</w:t>
      </w:r>
      <w:proofErr w:type="gramStart"/>
      <w:r w:rsidRPr="0043038D">
        <w:rPr>
          <w:rFonts w:ascii="Arial" w:hAnsi="Arial" w:hint="eastAsia"/>
          <w:color w:val="000000"/>
          <w:sz w:val="21"/>
        </w:rPr>
        <w:t>作出</w:t>
      </w:r>
      <w:proofErr w:type="gramEnd"/>
      <w:r w:rsidRPr="0043038D">
        <w:rPr>
          <w:rFonts w:ascii="Arial" w:hAnsi="Arial" w:hint="eastAsia"/>
          <w:color w:val="000000"/>
          <w:sz w:val="21"/>
        </w:rPr>
        <w:t>更大贡献”。在房地产发展新模式形成过程中，当务之急是打破负反馈链条，阻断市场下滑，避免房地产市场风险蔓延。因此近期的政策重点在“保交楼”之外新增了“保主体”，无论是白名单制度还是“三个不低于”，目的都是打破市场的惯性下滑，疏通“金融与房地产的良性循环”，以实现“先立后破”。后续随着房地产政策“组合拳”效力愈发显现，市场预期有望逐步修复，房地产行业也有望筑底企稳。</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21</w:t>
      </w:r>
      <w:r w:rsidRPr="0043038D">
        <w:rPr>
          <w:rFonts w:ascii="Arial" w:hAnsi="Arial" w:hint="eastAsia"/>
          <w:color w:val="000000"/>
          <w:sz w:val="21"/>
        </w:rPr>
        <w:t>日至</w:t>
      </w:r>
      <w:r w:rsidRPr="0043038D">
        <w:rPr>
          <w:rFonts w:ascii="Arial" w:hAnsi="Arial"/>
          <w:color w:val="000000"/>
          <w:sz w:val="21"/>
        </w:rPr>
        <w:t>22</w:t>
      </w:r>
      <w:r w:rsidRPr="0043038D">
        <w:rPr>
          <w:rFonts w:ascii="Arial" w:hAnsi="Arial" w:hint="eastAsia"/>
          <w:color w:val="000000"/>
          <w:sz w:val="21"/>
        </w:rPr>
        <w:t>日，全国住房和城乡建设工作会议在北京召开。会议强调，</w:t>
      </w:r>
      <w:r w:rsidRPr="0043038D">
        <w:rPr>
          <w:rFonts w:ascii="Arial" w:hAnsi="Arial"/>
          <w:color w:val="000000"/>
          <w:sz w:val="21"/>
        </w:rPr>
        <w:t>2024</w:t>
      </w:r>
      <w:r w:rsidRPr="0043038D">
        <w:rPr>
          <w:rFonts w:ascii="Arial" w:hAnsi="Arial" w:hint="eastAsia"/>
          <w:color w:val="000000"/>
          <w:sz w:val="21"/>
        </w:rPr>
        <w:t>年的工作要坚持稳中求进、以</w:t>
      </w:r>
      <w:proofErr w:type="gramStart"/>
      <w:r w:rsidRPr="0043038D">
        <w:rPr>
          <w:rFonts w:ascii="Arial" w:hAnsi="Arial" w:hint="eastAsia"/>
          <w:color w:val="000000"/>
          <w:sz w:val="21"/>
        </w:rPr>
        <w:t>进促稳</w:t>
      </w:r>
      <w:proofErr w:type="gramEnd"/>
      <w:r w:rsidRPr="0043038D">
        <w:rPr>
          <w:rFonts w:ascii="Arial" w:hAnsi="Arial" w:hint="eastAsia"/>
          <w:color w:val="000000"/>
          <w:sz w:val="21"/>
        </w:rPr>
        <w:t>、先立后破，重点抓好</w:t>
      </w:r>
      <w:r w:rsidRPr="0043038D">
        <w:rPr>
          <w:rFonts w:ascii="Arial" w:hAnsi="Arial"/>
          <w:color w:val="000000"/>
          <w:sz w:val="21"/>
        </w:rPr>
        <w:t>4</w:t>
      </w:r>
      <w:r w:rsidRPr="0043038D">
        <w:rPr>
          <w:rFonts w:ascii="Arial" w:hAnsi="Arial" w:hint="eastAsia"/>
          <w:color w:val="000000"/>
          <w:sz w:val="21"/>
        </w:rPr>
        <w:t>大板块</w:t>
      </w:r>
      <w:r w:rsidRPr="0043038D">
        <w:rPr>
          <w:rFonts w:ascii="Arial" w:hAnsi="Arial"/>
          <w:color w:val="000000"/>
          <w:sz w:val="21"/>
        </w:rPr>
        <w:t>18</w:t>
      </w:r>
      <w:r w:rsidRPr="0043038D">
        <w:rPr>
          <w:rFonts w:ascii="Arial" w:hAnsi="Arial" w:hint="eastAsia"/>
          <w:color w:val="000000"/>
          <w:sz w:val="21"/>
        </w:rPr>
        <w:t>个方面工作。一、住房和房地产板块，要坚持房子是用来住的、不是用来炒的定位，适应房地产市场供求关系发生重大变化新形势。二、城乡建设板块，要深入</w:t>
      </w:r>
      <w:proofErr w:type="gramStart"/>
      <w:r w:rsidRPr="0043038D">
        <w:rPr>
          <w:rFonts w:ascii="Arial" w:hAnsi="Arial" w:hint="eastAsia"/>
          <w:color w:val="000000"/>
          <w:sz w:val="21"/>
        </w:rPr>
        <w:t>践行</w:t>
      </w:r>
      <w:proofErr w:type="gramEnd"/>
      <w:r w:rsidRPr="0043038D">
        <w:rPr>
          <w:rFonts w:ascii="Arial" w:hAnsi="Arial" w:hint="eastAsia"/>
          <w:color w:val="000000"/>
          <w:sz w:val="21"/>
        </w:rPr>
        <w:t>人民城市理念，把增进民生福祉、推进共同富裕作为出发点和落脚点，打造宜居韧性智慧城市，建设宜</w:t>
      </w:r>
      <w:proofErr w:type="gramStart"/>
      <w:r w:rsidRPr="0043038D">
        <w:rPr>
          <w:rFonts w:ascii="Arial" w:hAnsi="Arial" w:hint="eastAsia"/>
          <w:color w:val="000000"/>
          <w:sz w:val="21"/>
        </w:rPr>
        <w:t>居宜业</w:t>
      </w:r>
      <w:proofErr w:type="gramEnd"/>
      <w:r w:rsidRPr="0043038D">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3</w:t>
      </w:r>
      <w:r w:rsidRPr="0043038D">
        <w:rPr>
          <w:rFonts w:ascii="Arial" w:hAnsi="Arial" w:hint="eastAsia"/>
          <w:color w:val="000000"/>
          <w:sz w:val="21"/>
        </w:rPr>
        <w:t>月</w:t>
      </w:r>
      <w:r w:rsidRPr="0043038D">
        <w:rPr>
          <w:rFonts w:ascii="Arial" w:hAnsi="Arial"/>
          <w:color w:val="000000"/>
          <w:sz w:val="21"/>
        </w:rPr>
        <w:t>5</w:t>
      </w:r>
      <w:r w:rsidRPr="0043038D">
        <w:rPr>
          <w:rFonts w:ascii="Arial" w:hAnsi="Arial" w:hint="eastAsia"/>
          <w:color w:val="000000"/>
          <w:sz w:val="21"/>
        </w:rPr>
        <w:t>日全国两会召开。关于房地产的定调，政府工作报告延续了去年底中央经济工作会议基调，聚焦在标本兼治化解房地产风险，积极向发展新模式转型过渡。政府工作报告关于房地产的提法主要集中在“更好统筹发展和安全，有效防范化解重点领域风险”部分，具体表述为“标本兼治化解房地产、地方债务、中小金融机构等风险，维护经济金融大局稳定”。</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30</w:t>
      </w:r>
      <w:r w:rsidRPr="0043038D">
        <w:rPr>
          <w:rFonts w:ascii="Arial" w:hAnsi="Arial" w:hint="eastAsia"/>
          <w:color w:val="000000"/>
          <w:sz w:val="21"/>
        </w:rPr>
        <w:t>日中共中央政治局召开会议。会议分析研究当前经济形势和经济工作。在房地产</w:t>
      </w:r>
      <w:r w:rsidRPr="0043038D">
        <w:rPr>
          <w:rFonts w:ascii="Arial" w:hAnsi="Arial" w:hint="eastAsia"/>
          <w:color w:val="000000"/>
          <w:sz w:val="21"/>
        </w:rPr>
        <w:lastRenderedPageBreak/>
        <w:t>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43038D">
        <w:rPr>
          <w:rFonts w:ascii="Arial" w:hAnsi="Arial" w:hint="eastAsia"/>
          <w:color w:val="000000"/>
          <w:sz w:val="21"/>
        </w:rPr>
        <w:t>措</w:t>
      </w:r>
      <w:proofErr w:type="gramEnd"/>
      <w:r w:rsidRPr="0043038D">
        <w:rPr>
          <w:rFonts w:ascii="Arial" w:hAnsi="Arial" w:hint="eastAsia"/>
          <w:color w:val="000000"/>
          <w:sz w:val="21"/>
        </w:rPr>
        <w:t>并举促进资本市场健康发展。</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20</w:t>
      </w:r>
      <w:r w:rsidRPr="0043038D">
        <w:rPr>
          <w:rFonts w:ascii="Arial" w:hAnsi="Arial" w:hint="eastAsia"/>
          <w:color w:val="000000"/>
          <w:sz w:val="21"/>
        </w:rPr>
        <w:t>日，住房城乡建设部召开收购已建成存量商品房用作保障性住房工作视频会议。会议</w:t>
      </w:r>
      <w:proofErr w:type="gramStart"/>
      <w:r w:rsidRPr="0043038D">
        <w:rPr>
          <w:rFonts w:ascii="Arial" w:hAnsi="Arial" w:hint="eastAsia"/>
          <w:color w:val="000000"/>
          <w:sz w:val="21"/>
        </w:rPr>
        <w:t>作出</w:t>
      </w:r>
      <w:proofErr w:type="gramEnd"/>
      <w:r w:rsidRPr="0043038D">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rsidR="000E5655" w:rsidRPr="0043038D" w:rsidRDefault="00837133">
      <w:pPr>
        <w:overflowPunct w:val="0"/>
        <w:spacing w:line="480" w:lineRule="auto"/>
        <w:ind w:firstLine="420"/>
        <w:jc w:val="both"/>
        <w:rPr>
          <w:rFonts w:ascii="Arial" w:hAnsi="Arial"/>
          <w:b/>
          <w:color w:val="000000"/>
          <w:sz w:val="21"/>
        </w:rPr>
      </w:pPr>
      <w:r w:rsidRPr="0043038D">
        <w:rPr>
          <w:rFonts w:ascii="Arial" w:hAnsi="Arial" w:hint="eastAsia"/>
          <w:b/>
          <w:color w:val="000000"/>
          <w:sz w:val="21"/>
        </w:rPr>
        <w:t>北京：</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10</w:t>
      </w:r>
      <w:r w:rsidRPr="0043038D">
        <w:rPr>
          <w:rFonts w:ascii="Arial" w:hAnsi="Arial" w:hint="eastAsia"/>
          <w:color w:val="000000"/>
          <w:sz w:val="21"/>
        </w:rPr>
        <w:t>日，北京市住</w:t>
      </w:r>
      <w:proofErr w:type="gramStart"/>
      <w:r w:rsidRPr="0043038D">
        <w:rPr>
          <w:rFonts w:ascii="Arial" w:hAnsi="Arial" w:hint="eastAsia"/>
          <w:color w:val="000000"/>
          <w:sz w:val="21"/>
        </w:rPr>
        <w:t>建委官网发布</w:t>
      </w:r>
      <w:proofErr w:type="gramEnd"/>
      <w:r w:rsidRPr="0043038D">
        <w:rPr>
          <w:rFonts w:ascii="Arial" w:hAnsi="Arial" w:hint="eastAsia"/>
          <w:color w:val="000000"/>
          <w:sz w:val="21"/>
        </w:rPr>
        <w:t>《</w:t>
      </w:r>
      <w:r w:rsidRPr="0043038D">
        <w:rPr>
          <w:rFonts w:ascii="Arial" w:hAnsi="Arial"/>
          <w:color w:val="000000"/>
          <w:sz w:val="21"/>
        </w:rPr>
        <w:t>2023</w:t>
      </w:r>
      <w:r w:rsidRPr="0043038D">
        <w:rPr>
          <w:rFonts w:ascii="Arial" w:hAnsi="Arial" w:hint="eastAsia"/>
          <w:color w:val="000000"/>
          <w:sz w:val="21"/>
        </w:rPr>
        <w:t>年市政府工作报告重点任务清单及实事事项一季度工作进展情况》，其中提到，多子女家庭和</w:t>
      </w:r>
      <w:proofErr w:type="gramStart"/>
      <w:r w:rsidRPr="0043038D">
        <w:rPr>
          <w:rFonts w:ascii="Arial" w:hAnsi="Arial" w:hint="eastAsia"/>
          <w:color w:val="000000"/>
          <w:sz w:val="21"/>
        </w:rPr>
        <w:t>职住</w:t>
      </w:r>
      <w:proofErr w:type="gramEnd"/>
      <w:r w:rsidRPr="0043038D">
        <w:rPr>
          <w:rFonts w:ascii="Arial" w:hAnsi="Arial" w:hint="eastAsia"/>
          <w:color w:val="000000"/>
          <w:sz w:val="21"/>
        </w:rPr>
        <w:t>平衡家庭购房支持政策按照“一区</w:t>
      </w:r>
      <w:proofErr w:type="gramStart"/>
      <w:r w:rsidRPr="0043038D">
        <w:rPr>
          <w:rFonts w:ascii="Arial" w:hAnsi="Arial" w:hint="eastAsia"/>
          <w:color w:val="000000"/>
          <w:sz w:val="21"/>
        </w:rPr>
        <w:t>一</w:t>
      </w:r>
      <w:proofErr w:type="gramEnd"/>
      <w:r w:rsidRPr="0043038D">
        <w:rPr>
          <w:rFonts w:ascii="Arial" w:hAnsi="Arial" w:hint="eastAsia"/>
          <w:color w:val="000000"/>
          <w:sz w:val="21"/>
        </w:rPr>
        <w:t>策”的方式由房山区试点。</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20</w:t>
      </w:r>
      <w:r w:rsidRPr="0043038D">
        <w:rPr>
          <w:rFonts w:ascii="Arial" w:hAnsi="Arial" w:hint="eastAsia"/>
          <w:color w:val="000000"/>
          <w:sz w:val="21"/>
        </w:rPr>
        <w:t>日，房山区正式发布了《房山区实施“聚源计划”引才聚才支持办法》，推出“房山聚源计划”引才聚才十一条，涵盖资金奖励、引进落户、住房保障、子女教育、医疗健康等</w:t>
      </w:r>
      <w:r w:rsidRPr="0043038D">
        <w:rPr>
          <w:rFonts w:ascii="Arial" w:hAnsi="Arial"/>
          <w:color w:val="000000"/>
          <w:sz w:val="21"/>
        </w:rPr>
        <w:t>11</w:t>
      </w:r>
      <w:r w:rsidRPr="0043038D">
        <w:rPr>
          <w:rFonts w:ascii="Arial" w:hAnsi="Arial" w:hint="eastAsia"/>
          <w:color w:val="000000"/>
          <w:sz w:val="21"/>
        </w:rPr>
        <w:t>个方面的利好举措。其中，针对战略人才和领军人才将最高一次性给予</w:t>
      </w:r>
      <w:r w:rsidRPr="0043038D">
        <w:rPr>
          <w:rFonts w:ascii="Arial" w:hAnsi="Arial"/>
          <w:color w:val="000000"/>
          <w:sz w:val="21"/>
        </w:rPr>
        <w:t>100</w:t>
      </w:r>
      <w:r w:rsidRPr="0043038D">
        <w:rPr>
          <w:rFonts w:ascii="Arial" w:hAnsi="Arial" w:hint="eastAsia"/>
          <w:color w:val="000000"/>
          <w:sz w:val="21"/>
        </w:rPr>
        <w:t>万元和</w:t>
      </w:r>
      <w:r w:rsidRPr="0043038D">
        <w:rPr>
          <w:rFonts w:ascii="Arial" w:hAnsi="Arial"/>
          <w:color w:val="000000"/>
          <w:sz w:val="21"/>
        </w:rPr>
        <w:t>50</w:t>
      </w:r>
      <w:r w:rsidRPr="0043038D">
        <w:rPr>
          <w:rFonts w:ascii="Arial" w:hAnsi="Arial" w:hint="eastAsia"/>
          <w:color w:val="000000"/>
          <w:sz w:val="21"/>
        </w:rPr>
        <w:t>万元资金奖励，提供最高</w:t>
      </w:r>
      <w:r w:rsidRPr="0043038D">
        <w:rPr>
          <w:rFonts w:ascii="Arial" w:hAnsi="Arial"/>
          <w:color w:val="000000"/>
          <w:sz w:val="21"/>
        </w:rPr>
        <w:t>100</w:t>
      </w:r>
      <w:r w:rsidRPr="0043038D">
        <w:rPr>
          <w:rFonts w:ascii="Arial" w:hAnsi="Arial" w:hint="eastAsia"/>
          <w:color w:val="000000"/>
          <w:sz w:val="21"/>
        </w:rPr>
        <w:t>万元和</w:t>
      </w:r>
      <w:r w:rsidRPr="0043038D">
        <w:rPr>
          <w:rFonts w:ascii="Arial" w:hAnsi="Arial"/>
          <w:color w:val="000000"/>
          <w:sz w:val="21"/>
        </w:rPr>
        <w:t>50</w:t>
      </w:r>
      <w:r w:rsidRPr="0043038D">
        <w:rPr>
          <w:rFonts w:ascii="Arial" w:hAnsi="Arial" w:hint="eastAsia"/>
          <w:color w:val="000000"/>
          <w:sz w:val="21"/>
        </w:rPr>
        <w:t>万元购房补贴或最高</w:t>
      </w:r>
      <w:r w:rsidRPr="0043038D">
        <w:rPr>
          <w:rFonts w:ascii="Arial" w:hAnsi="Arial"/>
          <w:color w:val="000000"/>
          <w:sz w:val="21"/>
        </w:rPr>
        <w:t>100%</w:t>
      </w:r>
      <w:r w:rsidRPr="0043038D">
        <w:rPr>
          <w:rFonts w:ascii="Arial" w:hAnsi="Arial" w:hint="eastAsia"/>
          <w:color w:val="000000"/>
          <w:sz w:val="21"/>
        </w:rPr>
        <w:t>、</w:t>
      </w:r>
      <w:r w:rsidRPr="0043038D">
        <w:rPr>
          <w:rFonts w:ascii="Arial" w:hAnsi="Arial"/>
          <w:color w:val="000000"/>
          <w:sz w:val="21"/>
        </w:rPr>
        <w:t>50%</w:t>
      </w:r>
      <w:r w:rsidRPr="0043038D">
        <w:rPr>
          <w:rFonts w:ascii="Arial" w:hAnsi="Arial" w:hint="eastAsia"/>
          <w:color w:val="000000"/>
          <w:sz w:val="21"/>
        </w:rPr>
        <w:t>租金补贴，优先推荐办理北京市户口，并提供子女教育、医疗健康、出入境便利及机场服务等。</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5</w:t>
      </w:r>
      <w:r w:rsidRPr="0043038D">
        <w:rPr>
          <w:rFonts w:ascii="Arial" w:hAnsi="Arial" w:hint="eastAsia"/>
          <w:color w:val="000000"/>
          <w:sz w:val="21"/>
        </w:rPr>
        <w:t>日，北京住房公积金管理中心发布《关于进一步优化租房提取业务的通知》表示，租住北京市商品住房，未提供租房发票的，经告知承诺后，每人每月提取额度由</w:t>
      </w:r>
      <w:r w:rsidRPr="0043038D">
        <w:rPr>
          <w:rFonts w:ascii="Arial" w:hAnsi="Arial"/>
          <w:color w:val="000000"/>
          <w:sz w:val="21"/>
        </w:rPr>
        <w:t>1500</w:t>
      </w:r>
      <w:r w:rsidRPr="0043038D">
        <w:rPr>
          <w:rFonts w:ascii="Arial" w:hAnsi="Arial" w:hint="eastAsia"/>
          <w:color w:val="000000"/>
          <w:sz w:val="21"/>
        </w:rPr>
        <w:t>元调整为</w:t>
      </w:r>
      <w:r w:rsidRPr="0043038D">
        <w:rPr>
          <w:rFonts w:ascii="Arial" w:hAnsi="Arial"/>
          <w:color w:val="000000"/>
          <w:sz w:val="21"/>
        </w:rPr>
        <w:t>2000</w:t>
      </w:r>
      <w:r w:rsidRPr="0043038D">
        <w:rPr>
          <w:rFonts w:ascii="Arial" w:hAnsi="Arial" w:hint="eastAsia"/>
          <w:color w:val="000000"/>
          <w:sz w:val="21"/>
        </w:rPr>
        <w:t>元。其中，存在多子女家庭、租住公共租赁住房或保障性租赁住房等情况的，可按照实际月租金提取，</w:t>
      </w:r>
      <w:r w:rsidRPr="0043038D">
        <w:rPr>
          <w:rFonts w:ascii="Arial" w:hAnsi="Arial" w:hint="eastAsia"/>
          <w:color w:val="000000"/>
          <w:sz w:val="21"/>
        </w:rPr>
        <w:lastRenderedPageBreak/>
        <w:t>不受月缴存额限制。</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10</w:t>
      </w:r>
      <w:r w:rsidRPr="0043038D">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43038D">
        <w:rPr>
          <w:rFonts w:ascii="Arial" w:hAnsi="Arial" w:hint="eastAsia"/>
          <w:color w:val="000000"/>
          <w:sz w:val="21"/>
        </w:rPr>
        <w:t>这次保租房</w:t>
      </w:r>
      <w:proofErr w:type="gramEnd"/>
      <w:r w:rsidRPr="0043038D">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1</w:t>
      </w:r>
      <w:r w:rsidRPr="0043038D">
        <w:rPr>
          <w:rFonts w:ascii="Arial" w:hAnsi="Arial" w:hint="eastAsia"/>
          <w:color w:val="000000"/>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14</w:t>
      </w:r>
      <w:r w:rsidRPr="0043038D">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住房贷款最低首付款比例统一下调为</w:t>
      </w:r>
      <w:r w:rsidRPr="0043038D">
        <w:rPr>
          <w:rFonts w:ascii="Arial" w:hAnsi="Arial"/>
          <w:color w:val="000000"/>
          <w:sz w:val="21"/>
        </w:rPr>
        <w:t>30%</w:t>
      </w:r>
      <w:r w:rsidRPr="0043038D">
        <w:rPr>
          <w:rFonts w:ascii="Arial" w:hAnsi="Arial" w:hint="eastAsia"/>
          <w:color w:val="000000"/>
          <w:sz w:val="21"/>
        </w:rPr>
        <w:t>；二套住房个人住房贷款最低首付款比例下调为城六区</w:t>
      </w:r>
      <w:r w:rsidRPr="0043038D">
        <w:rPr>
          <w:rFonts w:ascii="Arial" w:hAnsi="Arial"/>
          <w:color w:val="000000"/>
          <w:sz w:val="21"/>
        </w:rPr>
        <w:t>50%</w:t>
      </w:r>
      <w:r w:rsidRPr="0043038D">
        <w:rPr>
          <w:rFonts w:ascii="Arial" w:hAnsi="Arial" w:hint="eastAsia"/>
          <w:color w:val="000000"/>
          <w:sz w:val="21"/>
        </w:rPr>
        <w:t>、</w:t>
      </w:r>
      <w:proofErr w:type="gramStart"/>
      <w:r w:rsidRPr="0043038D">
        <w:rPr>
          <w:rFonts w:ascii="Arial" w:hAnsi="Arial" w:hint="eastAsia"/>
          <w:color w:val="000000"/>
          <w:sz w:val="21"/>
        </w:rPr>
        <w:t>非城六区</w:t>
      </w:r>
      <w:proofErr w:type="gramEnd"/>
      <w:r w:rsidRPr="0043038D">
        <w:rPr>
          <w:rFonts w:ascii="Arial" w:hAnsi="Arial"/>
          <w:color w:val="000000"/>
          <w:sz w:val="21"/>
        </w:rPr>
        <w:t>40%</w:t>
      </w:r>
      <w:r w:rsidRPr="0043038D">
        <w:rPr>
          <w:rFonts w:ascii="Arial" w:hAnsi="Arial" w:hint="eastAsia"/>
          <w:color w:val="000000"/>
          <w:sz w:val="21"/>
        </w:rPr>
        <w:t>。下调最低首付款比例降低了居民购买住房的资金门槛，有利于更好满足刚性和改善性住房需求。同时，此次调整取消了房价过快上行阶段对房贷年限的从严管控，由目前最长</w:t>
      </w:r>
      <w:r w:rsidRPr="0043038D">
        <w:rPr>
          <w:rFonts w:ascii="Arial" w:hAnsi="Arial"/>
          <w:color w:val="000000"/>
          <w:sz w:val="21"/>
        </w:rPr>
        <w:t>25</w:t>
      </w:r>
      <w:r w:rsidRPr="0043038D">
        <w:rPr>
          <w:rFonts w:ascii="Arial" w:hAnsi="Arial" w:hint="eastAsia"/>
          <w:color w:val="000000"/>
          <w:sz w:val="21"/>
        </w:rPr>
        <w:t>年恢复至</w:t>
      </w:r>
      <w:r w:rsidRPr="0043038D">
        <w:rPr>
          <w:rFonts w:ascii="Arial" w:hAnsi="Arial"/>
          <w:color w:val="000000"/>
          <w:sz w:val="21"/>
        </w:rPr>
        <w:lastRenderedPageBreak/>
        <w:t>30</w:t>
      </w:r>
      <w:r w:rsidRPr="0043038D">
        <w:rPr>
          <w:rFonts w:ascii="Arial" w:hAnsi="Arial" w:hint="eastAsia"/>
          <w:color w:val="000000"/>
          <w:sz w:val="21"/>
        </w:rPr>
        <w:t>年。</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19</w:t>
      </w:r>
      <w:r w:rsidRPr="0043038D">
        <w:rPr>
          <w:rFonts w:ascii="Arial" w:hAnsi="Arial" w:hint="eastAsia"/>
          <w:color w:val="000000"/>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43038D">
        <w:rPr>
          <w:rFonts w:ascii="Arial" w:hAnsi="Arial"/>
          <w:color w:val="000000"/>
          <w:sz w:val="21"/>
        </w:rPr>
        <w:t>2021</w:t>
      </w:r>
      <w:r w:rsidRPr="0043038D">
        <w:rPr>
          <w:rFonts w:ascii="Arial" w:hAnsi="Arial" w:hint="eastAsia"/>
          <w:color w:val="000000"/>
          <w:sz w:val="21"/>
        </w:rPr>
        <w:t>年以来已成交且尚未全部办理</w:t>
      </w:r>
      <w:proofErr w:type="gramStart"/>
      <w:r w:rsidRPr="0043038D">
        <w:rPr>
          <w:rFonts w:ascii="Arial" w:hAnsi="Arial" w:hint="eastAsia"/>
          <w:color w:val="000000"/>
          <w:sz w:val="21"/>
        </w:rPr>
        <w:t>完成网签</w:t>
      </w:r>
      <w:proofErr w:type="gramEnd"/>
      <w:r w:rsidRPr="0043038D">
        <w:rPr>
          <w:rFonts w:ascii="Arial" w:hAnsi="Arial" w:hint="eastAsia"/>
          <w:color w:val="000000"/>
          <w:sz w:val="21"/>
        </w:rPr>
        <w:t>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2</w:t>
      </w:r>
      <w:r w:rsidRPr="0043038D">
        <w:rPr>
          <w:rFonts w:ascii="Arial" w:hAnsi="Arial" w:hint="eastAsia"/>
          <w:color w:val="000000"/>
          <w:sz w:val="21"/>
        </w:rPr>
        <w:t>月</w:t>
      </w:r>
      <w:r w:rsidRPr="0043038D">
        <w:rPr>
          <w:rFonts w:ascii="Arial" w:hAnsi="Arial"/>
          <w:color w:val="000000"/>
          <w:sz w:val="21"/>
        </w:rPr>
        <w:t>6</w:t>
      </w:r>
      <w:r w:rsidRPr="0043038D">
        <w:rPr>
          <w:rFonts w:ascii="Arial" w:hAnsi="Arial" w:hint="eastAsia"/>
          <w:color w:val="000000"/>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43038D">
        <w:rPr>
          <w:rFonts w:ascii="Arial" w:hAnsi="Arial" w:hint="eastAsia"/>
          <w:color w:val="000000"/>
          <w:sz w:val="21"/>
        </w:rPr>
        <w:t>现职住</w:t>
      </w:r>
      <w:proofErr w:type="gramEnd"/>
      <w:r w:rsidRPr="0043038D">
        <w:rPr>
          <w:rFonts w:ascii="Arial" w:hAnsi="Arial" w:hint="eastAsia"/>
          <w:color w:val="000000"/>
          <w:sz w:val="21"/>
        </w:rPr>
        <w:t>平衡。</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3</w:t>
      </w:r>
      <w:r w:rsidRPr="0043038D">
        <w:rPr>
          <w:rFonts w:ascii="Arial" w:hAnsi="Arial" w:hint="eastAsia"/>
          <w:color w:val="000000"/>
          <w:sz w:val="21"/>
        </w:rPr>
        <w:t>月</w:t>
      </w:r>
      <w:r w:rsidRPr="0043038D">
        <w:rPr>
          <w:rFonts w:ascii="Arial" w:hAnsi="Arial"/>
          <w:color w:val="000000"/>
          <w:sz w:val="21"/>
        </w:rPr>
        <w:t>27</w:t>
      </w:r>
      <w:r w:rsidRPr="0043038D">
        <w:rPr>
          <w:rFonts w:ascii="Arial" w:hAnsi="Arial" w:hint="eastAsia"/>
          <w:color w:val="000000"/>
          <w:sz w:val="21"/>
        </w:rPr>
        <w:t>日，北京市住房和城乡建设委员会废止了《北京市住房和城乡建设委员会关于进一步完善商品住房限购政策的公告》文件。该文件内容主要包括，夫妻离异的，</w:t>
      </w:r>
      <w:proofErr w:type="gramStart"/>
      <w:r w:rsidRPr="0043038D">
        <w:rPr>
          <w:rFonts w:ascii="Arial" w:hAnsi="Arial" w:hint="eastAsia"/>
          <w:color w:val="000000"/>
          <w:sz w:val="21"/>
        </w:rPr>
        <w:t>原家庭</w:t>
      </w:r>
      <w:proofErr w:type="gramEnd"/>
      <w:r w:rsidRPr="0043038D">
        <w:rPr>
          <w:rFonts w:ascii="Arial" w:hAnsi="Arial" w:hint="eastAsia"/>
          <w:color w:val="000000"/>
          <w:sz w:val="21"/>
        </w:rPr>
        <w:t>在离异前拥有住房套数不符合本市商品住房限购政策规定的，自离异之日起</w:t>
      </w:r>
      <w:r w:rsidRPr="0043038D">
        <w:rPr>
          <w:rFonts w:ascii="Arial" w:hAnsi="Arial"/>
          <w:color w:val="000000"/>
          <w:sz w:val="21"/>
        </w:rPr>
        <w:t>3</w:t>
      </w:r>
      <w:r w:rsidRPr="0043038D">
        <w:rPr>
          <w:rFonts w:ascii="Arial" w:hAnsi="Arial" w:hint="eastAsia"/>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26</w:t>
      </w:r>
      <w:r w:rsidRPr="0043038D">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lastRenderedPageBreak/>
        <w:t>2024</w:t>
      </w:r>
      <w:r w:rsidRPr="0043038D">
        <w:rPr>
          <w:rFonts w:ascii="Arial" w:hAnsi="Arial"/>
          <w:color w:val="000000"/>
          <w:sz w:val="21"/>
        </w:rPr>
        <w:t>年</w:t>
      </w:r>
      <w:r w:rsidRPr="0043038D">
        <w:rPr>
          <w:rFonts w:ascii="Arial" w:hAnsi="Arial" w:hint="eastAsia"/>
          <w:color w:val="000000"/>
          <w:sz w:val="21"/>
        </w:rPr>
        <w:t>7</w:t>
      </w:r>
      <w:r w:rsidRPr="0043038D">
        <w:rPr>
          <w:rFonts w:ascii="Arial" w:hAnsi="Arial" w:hint="eastAsia"/>
          <w:color w:val="000000"/>
          <w:sz w:val="21"/>
        </w:rPr>
        <w:t>月</w:t>
      </w:r>
      <w:r w:rsidRPr="0043038D">
        <w:rPr>
          <w:rFonts w:ascii="Arial" w:hAnsi="Arial" w:hint="eastAsia"/>
          <w:color w:val="000000"/>
          <w:sz w:val="21"/>
        </w:rPr>
        <w:t>30</w:t>
      </w:r>
      <w:r w:rsidRPr="0043038D">
        <w:rPr>
          <w:rFonts w:ascii="Arial" w:hAnsi="Arial" w:hint="eastAsia"/>
          <w:color w:val="000000"/>
          <w:sz w:val="21"/>
        </w:rPr>
        <w:t>日，政治局会议部署存量住房收储、新政策落实等工作。要落实好促进房地产市场平稳健康发展的新政策，坚持消化存量和优化增量相结合，积极支持收购存量商品房用作保障性住房，进一步做好保交房工作，加快构建房地产发展新模式。</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31</w:t>
      </w:r>
      <w:r w:rsidRPr="0043038D">
        <w:rPr>
          <w:rFonts w:ascii="Arial" w:hAnsi="Arial" w:hint="eastAsia"/>
          <w:color w:val="000000"/>
          <w:sz w:val="21"/>
        </w:rPr>
        <w:t>日，国务院印发新型城镇化战略五年行动计划。要经过</w:t>
      </w:r>
      <w:r w:rsidRPr="0043038D">
        <w:rPr>
          <w:rFonts w:ascii="Arial" w:hAnsi="Arial"/>
          <w:color w:val="000000"/>
          <w:sz w:val="21"/>
        </w:rPr>
        <w:t>5</w:t>
      </w:r>
      <w:r w:rsidRPr="0043038D">
        <w:rPr>
          <w:rFonts w:ascii="Arial" w:hAnsi="Arial" w:hint="eastAsia"/>
          <w:color w:val="000000"/>
          <w:sz w:val="21"/>
        </w:rPr>
        <w:t>年努力，使农业转移人口落户城市渠道进一步畅通，常住人口城镇化率提升至接近</w:t>
      </w:r>
      <w:r w:rsidRPr="0043038D">
        <w:rPr>
          <w:rFonts w:ascii="Arial" w:hAnsi="Arial"/>
          <w:color w:val="000000"/>
          <w:sz w:val="21"/>
        </w:rPr>
        <w:t>70%</w:t>
      </w:r>
      <w:r w:rsidRPr="0043038D">
        <w:rPr>
          <w:rFonts w:ascii="Arial" w:hAnsi="Arial" w:hint="eastAsia"/>
          <w:color w:val="000000"/>
          <w:sz w:val="21"/>
        </w:rPr>
        <w:t>。鼓励有条件的城市逐步将稳定就业生活的农业转移人口纳入城市住房保障政策范围。</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8</w:t>
      </w:r>
      <w:r w:rsidRPr="0043038D">
        <w:rPr>
          <w:rFonts w:ascii="Arial" w:hAnsi="Arial" w:hint="eastAsia"/>
          <w:color w:val="000000"/>
          <w:sz w:val="21"/>
        </w:rPr>
        <w:t>月</w:t>
      </w:r>
      <w:r w:rsidRPr="0043038D">
        <w:rPr>
          <w:rFonts w:ascii="Arial" w:hAnsi="Arial"/>
          <w:color w:val="000000"/>
          <w:sz w:val="21"/>
        </w:rPr>
        <w:t>23</w:t>
      </w:r>
      <w:r w:rsidRPr="0043038D">
        <w:rPr>
          <w:rFonts w:ascii="Arial" w:hAnsi="Arial" w:hint="eastAsia"/>
          <w:color w:val="000000"/>
          <w:sz w:val="21"/>
        </w:rPr>
        <w:t>日，住建部宣布开展住房养老金试点。住建部副部长董建国表示，研究建立房屋体检、房屋养老金、房屋保险制度，</w:t>
      </w:r>
      <w:proofErr w:type="gramStart"/>
      <w:r w:rsidRPr="0043038D">
        <w:rPr>
          <w:rFonts w:ascii="Arial" w:hAnsi="Arial" w:hint="eastAsia"/>
          <w:color w:val="000000"/>
          <w:sz w:val="21"/>
        </w:rPr>
        <w:t>构建全</w:t>
      </w:r>
      <w:proofErr w:type="gramEnd"/>
      <w:r w:rsidRPr="0043038D">
        <w:rPr>
          <w:rFonts w:ascii="Arial" w:hAnsi="Arial" w:hint="eastAsia"/>
          <w:color w:val="000000"/>
          <w:sz w:val="21"/>
        </w:rPr>
        <w:t>生命周期房屋安全管理长效机制。目前，上海等</w:t>
      </w:r>
      <w:r w:rsidRPr="0043038D">
        <w:rPr>
          <w:rFonts w:ascii="Arial" w:hAnsi="Arial"/>
          <w:color w:val="000000"/>
          <w:sz w:val="21"/>
        </w:rPr>
        <w:t>22</w:t>
      </w:r>
      <w:r w:rsidRPr="0043038D">
        <w:rPr>
          <w:rFonts w:ascii="Arial" w:hAnsi="Arial" w:hint="eastAsia"/>
          <w:color w:val="000000"/>
          <w:sz w:val="21"/>
        </w:rPr>
        <w:t>个城市正在试点，个人账户通过缴纳住宅专项维修资金已经有了，试点的重点是政府把公共账户建立起来。</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24</w:t>
      </w:r>
      <w:r w:rsidRPr="0043038D">
        <w:rPr>
          <w:rFonts w:ascii="Arial" w:hAnsi="Arial" w:hint="eastAsia"/>
          <w:color w:val="000000"/>
          <w:sz w:val="21"/>
        </w:rPr>
        <w:t>日，央行推出多项</w:t>
      </w:r>
      <w:proofErr w:type="gramStart"/>
      <w:r w:rsidRPr="0043038D">
        <w:rPr>
          <w:rFonts w:ascii="Arial" w:hAnsi="Arial" w:hint="eastAsia"/>
          <w:color w:val="000000"/>
          <w:sz w:val="21"/>
        </w:rPr>
        <w:t>重磅涉房政策</w:t>
      </w:r>
      <w:proofErr w:type="gramEnd"/>
      <w:r w:rsidRPr="0043038D">
        <w:rPr>
          <w:rFonts w:ascii="Arial" w:hAnsi="Arial" w:hint="eastAsia"/>
          <w:color w:val="000000"/>
          <w:sz w:val="21"/>
        </w:rPr>
        <w:t>。主要</w:t>
      </w:r>
      <w:proofErr w:type="gramStart"/>
      <w:r w:rsidRPr="0043038D">
        <w:rPr>
          <w:rFonts w:ascii="Arial" w:hAnsi="Arial" w:hint="eastAsia"/>
          <w:color w:val="000000"/>
          <w:sz w:val="21"/>
        </w:rPr>
        <w:t>包括降准</w:t>
      </w:r>
      <w:proofErr w:type="gramEnd"/>
      <w:r w:rsidRPr="0043038D">
        <w:rPr>
          <w:rFonts w:ascii="Arial" w:hAnsi="Arial"/>
          <w:color w:val="000000"/>
          <w:sz w:val="21"/>
        </w:rPr>
        <w:t>0.5</w:t>
      </w:r>
      <w:r w:rsidRPr="0043038D">
        <w:rPr>
          <w:rFonts w:ascii="Arial" w:hAnsi="Arial" w:hint="eastAsia"/>
          <w:color w:val="000000"/>
          <w:sz w:val="21"/>
        </w:rPr>
        <w:t>个百分点，下调</w:t>
      </w:r>
      <w:r w:rsidRPr="0043038D">
        <w:rPr>
          <w:rFonts w:ascii="Arial" w:hAnsi="Arial"/>
          <w:color w:val="000000"/>
          <w:sz w:val="21"/>
        </w:rPr>
        <w:t>7</w:t>
      </w:r>
      <w:r w:rsidRPr="0043038D">
        <w:rPr>
          <w:rFonts w:ascii="Arial" w:hAnsi="Arial" w:hint="eastAsia"/>
          <w:color w:val="000000"/>
          <w:sz w:val="21"/>
        </w:rPr>
        <w:t>天逆回购利率</w:t>
      </w:r>
      <w:r w:rsidRPr="0043038D">
        <w:rPr>
          <w:rFonts w:ascii="Arial" w:hAnsi="Arial"/>
          <w:color w:val="000000"/>
          <w:sz w:val="21"/>
        </w:rPr>
        <w:t>0.2</w:t>
      </w:r>
      <w:r w:rsidRPr="0043038D">
        <w:rPr>
          <w:rFonts w:ascii="Arial" w:hAnsi="Arial" w:hint="eastAsia"/>
          <w:color w:val="000000"/>
          <w:sz w:val="21"/>
        </w:rPr>
        <w:t>个百分点并引导贷款市场报价利率和存款利率同步下行，落地存量房贷降息预计平均降幅</w:t>
      </w:r>
      <w:r w:rsidRPr="0043038D">
        <w:rPr>
          <w:rFonts w:ascii="Arial" w:hAnsi="Arial"/>
          <w:color w:val="000000"/>
          <w:sz w:val="21"/>
        </w:rPr>
        <w:t>0.5</w:t>
      </w:r>
      <w:r w:rsidRPr="0043038D">
        <w:rPr>
          <w:rFonts w:ascii="Arial" w:hAnsi="Arial" w:hint="eastAsia"/>
          <w:color w:val="000000"/>
          <w:sz w:val="21"/>
        </w:rPr>
        <w:t>个百分点，二套房最低首付比例降至</w:t>
      </w:r>
      <w:r w:rsidRPr="0043038D">
        <w:rPr>
          <w:rFonts w:ascii="Arial" w:hAnsi="Arial"/>
          <w:color w:val="000000"/>
          <w:sz w:val="21"/>
        </w:rPr>
        <w:t>15%</w:t>
      </w:r>
      <w:r w:rsidRPr="0043038D">
        <w:rPr>
          <w:rFonts w:ascii="Arial" w:hAnsi="Arial" w:hint="eastAsia"/>
          <w:color w:val="000000"/>
          <w:sz w:val="21"/>
        </w:rPr>
        <w:t>，将保障性住房再贷款中的央行资金支持比例将由</w:t>
      </w:r>
      <w:r w:rsidRPr="0043038D">
        <w:rPr>
          <w:rFonts w:ascii="Arial" w:hAnsi="Arial"/>
          <w:color w:val="000000"/>
          <w:sz w:val="21"/>
        </w:rPr>
        <w:t>60%</w:t>
      </w:r>
      <w:r w:rsidRPr="0043038D">
        <w:rPr>
          <w:rFonts w:ascii="Arial" w:hAnsi="Arial" w:hint="eastAsia"/>
          <w:color w:val="000000"/>
          <w:sz w:val="21"/>
        </w:rPr>
        <w:t>提高至</w:t>
      </w:r>
      <w:r w:rsidRPr="0043038D">
        <w:rPr>
          <w:rFonts w:ascii="Arial" w:hAnsi="Arial"/>
          <w:color w:val="000000"/>
          <w:sz w:val="21"/>
        </w:rPr>
        <w:t>100%</w:t>
      </w:r>
      <w:r w:rsidRPr="0043038D">
        <w:rPr>
          <w:rFonts w:ascii="Arial" w:hAnsi="Arial" w:hint="eastAsia"/>
          <w:color w:val="000000"/>
          <w:sz w:val="21"/>
        </w:rPr>
        <w:t>，延长“金融</w:t>
      </w:r>
      <w:r w:rsidRPr="0043038D">
        <w:rPr>
          <w:rFonts w:ascii="Arial" w:hAnsi="Arial"/>
          <w:color w:val="000000"/>
          <w:sz w:val="21"/>
        </w:rPr>
        <w:t>16</w:t>
      </w:r>
      <w:r w:rsidRPr="0043038D">
        <w:rPr>
          <w:rFonts w:ascii="Arial" w:hAnsi="Arial" w:hint="eastAsia"/>
          <w:color w:val="000000"/>
          <w:sz w:val="21"/>
        </w:rPr>
        <w:t>条”、经营性物业贷款支持两项房地产金融政策文件的期限。</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26</w:t>
      </w:r>
      <w:r w:rsidRPr="0043038D">
        <w:rPr>
          <w:rFonts w:ascii="Arial" w:hAnsi="Arial" w:hint="eastAsia"/>
          <w:color w:val="000000"/>
          <w:sz w:val="21"/>
        </w:rPr>
        <w:t>日，政治局会议定调“促进市场止跌回稳”。要促进房地产市场止跌回稳，对商品房建设要严控增量、优化存量、提高质量，加大“白名单”项目贷款投放力度，支持盘活存量闲置土地。要回应群众关切，调整住房限购政策，降低存量房贷利率，抓紧完善土地、财税、金融等政策，推动构建房地产发展新模式。</w:t>
      </w:r>
    </w:p>
    <w:bookmarkEnd w:id="62"/>
    <w:bookmarkEnd w:id="63"/>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5.</w:t>
      </w:r>
      <w:r w:rsidRPr="0043038D">
        <w:rPr>
          <w:rFonts w:ascii="Arial" w:hAnsi="Arial" w:hint="eastAsia"/>
          <w:color w:val="000000"/>
          <w:sz w:val="21"/>
        </w:rPr>
        <w:t>未来市场预期</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目前，市场整体延续调整态势，新房、二手房互相拉扯，“</w:t>
      </w:r>
      <w:r w:rsidRPr="0043038D">
        <w:rPr>
          <w:rFonts w:ascii="Arial" w:hAnsi="Arial"/>
          <w:color w:val="000000"/>
          <w:sz w:val="21"/>
        </w:rPr>
        <w:t>517</w:t>
      </w:r>
      <w:r w:rsidRPr="0043038D">
        <w:rPr>
          <w:rFonts w:ascii="Arial" w:hAnsi="Arial" w:hint="eastAsia"/>
          <w:color w:val="000000"/>
          <w:sz w:val="21"/>
        </w:rPr>
        <w:t>楼市新政”后，二手房市场持续“以价换量”，购房者入市节奏加快，受到</w:t>
      </w:r>
      <w:proofErr w:type="gramStart"/>
      <w:r w:rsidRPr="0043038D">
        <w:rPr>
          <w:rFonts w:ascii="Arial" w:hAnsi="Arial" w:hint="eastAsia"/>
          <w:color w:val="000000"/>
          <w:sz w:val="21"/>
        </w:rPr>
        <w:t>二手次</w:t>
      </w:r>
      <w:proofErr w:type="gramEnd"/>
      <w:r w:rsidRPr="0043038D">
        <w:rPr>
          <w:rFonts w:ascii="Arial" w:hAnsi="Arial" w:hint="eastAsia"/>
          <w:color w:val="000000"/>
          <w:sz w:val="21"/>
        </w:rPr>
        <w:t>新房对需求的持续分流，新房成交则无明显改善，购房者观望情绪浓重，个别楼盘甚至出现超低的开盘价现象。在二季度低基数下，三季度成交</w:t>
      </w:r>
      <w:proofErr w:type="gramStart"/>
      <w:r w:rsidRPr="0043038D">
        <w:rPr>
          <w:rFonts w:ascii="Arial" w:hAnsi="Arial" w:hint="eastAsia"/>
          <w:color w:val="000000"/>
          <w:sz w:val="21"/>
        </w:rPr>
        <w:t>规模环</w:t>
      </w:r>
      <w:proofErr w:type="gramEnd"/>
      <w:r w:rsidRPr="0043038D">
        <w:rPr>
          <w:rFonts w:ascii="Arial" w:hAnsi="Arial" w:hint="eastAsia"/>
          <w:color w:val="000000"/>
          <w:sz w:val="21"/>
        </w:rPr>
        <w:t>比增长毋庸置疑。但整体</w:t>
      </w:r>
      <w:proofErr w:type="gramStart"/>
      <w:r w:rsidRPr="0043038D">
        <w:rPr>
          <w:rFonts w:ascii="Arial" w:hAnsi="Arial" w:hint="eastAsia"/>
          <w:color w:val="000000"/>
          <w:sz w:val="21"/>
        </w:rPr>
        <w:t>成交量难超去年</w:t>
      </w:r>
      <w:proofErr w:type="gramEnd"/>
      <w:r w:rsidRPr="0043038D">
        <w:rPr>
          <w:rFonts w:ascii="Arial" w:hAnsi="Arial" w:hint="eastAsia"/>
          <w:color w:val="000000"/>
          <w:sz w:val="21"/>
        </w:rPr>
        <w:t>同期，楼市趋势走向继续磨底。二手房市场持续好于新房。当前市场观望形态难改，受制于购房者对未来收入预期的悲观态度，新政发挥作用或将低于预期。二手房预计将持续“以价换量”，成交规模占比将继续提升。同时，部分楼</w:t>
      </w:r>
      <w:proofErr w:type="gramStart"/>
      <w:r w:rsidRPr="0043038D">
        <w:rPr>
          <w:rFonts w:ascii="Arial" w:hAnsi="Arial" w:hint="eastAsia"/>
          <w:color w:val="000000"/>
          <w:sz w:val="21"/>
        </w:rPr>
        <w:t>龄较高</w:t>
      </w:r>
      <w:proofErr w:type="gramEnd"/>
      <w:r w:rsidRPr="0043038D">
        <w:rPr>
          <w:rFonts w:ascii="Arial" w:hAnsi="Arial" w:hint="eastAsia"/>
          <w:color w:val="000000"/>
          <w:sz w:val="21"/>
        </w:rPr>
        <w:t>的“老破小”租售比已超过定期存款利率，价格</w:t>
      </w:r>
      <w:proofErr w:type="gramStart"/>
      <w:r w:rsidRPr="0043038D">
        <w:rPr>
          <w:rFonts w:ascii="Arial" w:hAnsi="Arial" w:hint="eastAsia"/>
          <w:color w:val="000000"/>
          <w:sz w:val="21"/>
        </w:rPr>
        <w:t>底逐渐</w:t>
      </w:r>
      <w:proofErr w:type="gramEnd"/>
      <w:r w:rsidRPr="0043038D">
        <w:rPr>
          <w:rFonts w:ascii="Arial" w:hAnsi="Arial" w:hint="eastAsia"/>
          <w:color w:val="000000"/>
          <w:sz w:val="21"/>
        </w:rPr>
        <w:t>呈现。</w:t>
      </w:r>
    </w:p>
    <w:p w:rsidR="000E5655" w:rsidRPr="0043038D" w:rsidRDefault="00837133">
      <w:pPr>
        <w:spacing w:line="360" w:lineRule="auto"/>
        <w:rPr>
          <w:rFonts w:ascii="Arial" w:hAnsi="Arial"/>
          <w:b/>
          <w:kern w:val="2"/>
          <w:sz w:val="21"/>
          <w:szCs w:val="21"/>
        </w:rPr>
      </w:pPr>
      <w:r w:rsidRPr="0043038D">
        <w:rPr>
          <w:rFonts w:ascii="Arial" w:hAnsi="Arial"/>
          <w:b/>
          <w:kern w:val="2"/>
          <w:sz w:val="21"/>
          <w:szCs w:val="21"/>
        </w:rPr>
        <w:lastRenderedPageBreak/>
        <w:t>（二）估价对象所在区域相应用途房地产市场状况</w:t>
      </w:r>
    </w:p>
    <w:p w:rsidR="000E5655" w:rsidRPr="0043038D" w:rsidRDefault="00837133">
      <w:pPr>
        <w:widowControl/>
        <w:overflowPunct w:val="0"/>
        <w:adjustRightInd/>
        <w:spacing w:line="480" w:lineRule="auto"/>
        <w:ind w:firstLineChars="200" w:firstLine="420"/>
        <w:jc w:val="both"/>
        <w:textAlignment w:val="auto"/>
        <w:rPr>
          <w:rFonts w:ascii="Arial" w:hAnsi="Arial"/>
          <w:sz w:val="21"/>
          <w:szCs w:val="28"/>
        </w:rPr>
      </w:pPr>
      <w:r w:rsidRPr="0043038D">
        <w:rPr>
          <w:rFonts w:ascii="Arial" w:hAnsi="Arial" w:hint="eastAsia"/>
          <w:sz w:val="21"/>
          <w:szCs w:val="28"/>
        </w:rPr>
        <w:t>1.</w:t>
      </w:r>
      <w:r w:rsidRPr="0043038D">
        <w:rPr>
          <w:rFonts w:ascii="Arial" w:hAnsi="Arial" w:hint="eastAsia"/>
          <w:sz w:val="21"/>
          <w:szCs w:val="28"/>
        </w:rPr>
        <w:t>区域概况</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估价对象位于北京市</w:t>
      </w:r>
      <w:r w:rsidRPr="0043038D">
        <w:rPr>
          <w:rFonts w:ascii="Arial" w:hAnsi="Arial"/>
          <w:bCs/>
          <w:sz w:val="21"/>
          <w:szCs w:val="28"/>
        </w:rPr>
        <w:t>大兴区，大兴区位于北京市南部，全区南北长</w:t>
      </w:r>
      <w:r w:rsidRPr="0043038D">
        <w:rPr>
          <w:rFonts w:ascii="Arial" w:hAnsi="Arial"/>
          <w:bCs/>
          <w:sz w:val="21"/>
          <w:szCs w:val="28"/>
        </w:rPr>
        <w:t>42.70km</w:t>
      </w:r>
      <w:r w:rsidRPr="0043038D">
        <w:rPr>
          <w:rFonts w:ascii="Arial" w:hAnsi="Arial"/>
          <w:bCs/>
          <w:sz w:val="21"/>
          <w:szCs w:val="28"/>
        </w:rPr>
        <w:t>，东西宽</w:t>
      </w:r>
      <w:r w:rsidRPr="0043038D">
        <w:rPr>
          <w:rFonts w:ascii="Arial" w:hAnsi="Arial"/>
          <w:bCs/>
          <w:sz w:val="21"/>
          <w:szCs w:val="28"/>
        </w:rPr>
        <w:t>45.00km</w:t>
      </w:r>
      <w:r w:rsidRPr="0043038D">
        <w:rPr>
          <w:rFonts w:ascii="Arial" w:hAnsi="Arial"/>
          <w:bCs/>
          <w:sz w:val="21"/>
          <w:szCs w:val="28"/>
        </w:rPr>
        <w:t>，</w:t>
      </w:r>
      <w:proofErr w:type="gramStart"/>
      <w:r w:rsidRPr="0043038D">
        <w:rPr>
          <w:rFonts w:ascii="Arial" w:hAnsi="Arial"/>
          <w:bCs/>
          <w:sz w:val="21"/>
          <w:szCs w:val="28"/>
        </w:rPr>
        <w:t>大兴区</w:t>
      </w:r>
      <w:proofErr w:type="gramEnd"/>
      <w:r w:rsidRPr="0043038D">
        <w:rPr>
          <w:rFonts w:ascii="Arial" w:hAnsi="Arial"/>
          <w:bCs/>
          <w:sz w:val="21"/>
          <w:szCs w:val="28"/>
        </w:rPr>
        <w:t>总面积</w:t>
      </w:r>
      <w:r w:rsidRPr="0043038D">
        <w:rPr>
          <w:rFonts w:ascii="Arial" w:hAnsi="Arial"/>
          <w:bCs/>
          <w:sz w:val="21"/>
          <w:szCs w:val="28"/>
        </w:rPr>
        <w:t>1036.33</w:t>
      </w:r>
      <w:r w:rsidRPr="0043038D">
        <w:rPr>
          <w:rFonts w:ascii="Arial" w:hAnsi="Arial"/>
          <w:bCs/>
          <w:sz w:val="21"/>
          <w:szCs w:val="28"/>
        </w:rPr>
        <w:t>平方公里，下辖黄村、西红门、旧宫、亦庄、瀛海、青云店等</w:t>
      </w:r>
      <w:r w:rsidRPr="0043038D">
        <w:rPr>
          <w:rFonts w:ascii="Arial" w:hAnsi="Arial"/>
          <w:bCs/>
          <w:sz w:val="21"/>
          <w:szCs w:val="28"/>
        </w:rPr>
        <w:t xml:space="preserve"> 14 </w:t>
      </w:r>
      <w:proofErr w:type="gramStart"/>
      <w:r w:rsidRPr="0043038D">
        <w:rPr>
          <w:rFonts w:ascii="Arial" w:hAnsi="Arial"/>
          <w:bCs/>
          <w:sz w:val="21"/>
          <w:szCs w:val="28"/>
        </w:rPr>
        <w:t>个</w:t>
      </w:r>
      <w:proofErr w:type="gramEnd"/>
      <w:r w:rsidRPr="0043038D">
        <w:rPr>
          <w:rFonts w:ascii="Arial" w:hAnsi="Arial"/>
          <w:bCs/>
          <w:sz w:val="21"/>
          <w:szCs w:val="28"/>
        </w:rPr>
        <w:t>镇和清源、兴丰等</w:t>
      </w:r>
      <w:r w:rsidRPr="0043038D">
        <w:rPr>
          <w:rFonts w:ascii="Arial" w:hAnsi="Arial"/>
          <w:bCs/>
          <w:sz w:val="21"/>
          <w:szCs w:val="28"/>
        </w:rPr>
        <w:t>8</w:t>
      </w:r>
      <w:r w:rsidRPr="0043038D">
        <w:rPr>
          <w:rFonts w:ascii="Arial" w:hAnsi="Arial"/>
          <w:bCs/>
          <w:sz w:val="21"/>
          <w:szCs w:val="28"/>
        </w:rPr>
        <w:t>个街道办事处。</w:t>
      </w:r>
      <w:proofErr w:type="gramStart"/>
      <w:r w:rsidRPr="0043038D">
        <w:rPr>
          <w:rFonts w:ascii="Arial" w:hAnsi="Arial"/>
          <w:bCs/>
          <w:sz w:val="21"/>
          <w:szCs w:val="28"/>
        </w:rPr>
        <w:t>大兴区</w:t>
      </w:r>
      <w:proofErr w:type="gramEnd"/>
      <w:r w:rsidRPr="0043038D">
        <w:rPr>
          <w:rFonts w:ascii="Arial" w:hAnsi="Arial"/>
          <w:bCs/>
          <w:sz w:val="21"/>
          <w:szCs w:val="28"/>
        </w:rPr>
        <w:t>东临通州区，南临河北省固安县、霸州市等，西与房山区隔永定河为邻，北接丰台区、朝阳区。</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2024</w:t>
      </w:r>
      <w:r w:rsidRPr="0043038D">
        <w:rPr>
          <w:rFonts w:ascii="Arial" w:hAnsi="Arial" w:hint="eastAsia"/>
          <w:bCs/>
          <w:sz w:val="21"/>
          <w:szCs w:val="28"/>
        </w:rPr>
        <w:t>年上半年，</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经济持续保持向好态势，多项指标均排名全市前列，圆满实现了经济增长“双过半”的既定目标，一系列亮眼数据展现了强劲的发展势头。</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政府高位统筹，实施精准调度策略，每月专题研究产业发展情况，分领域、分区域深入剖析，确保政策精准对接企业需求。通过点对点下发“重点工作提示函”，建立综合经济部门信息共享机制，全区上下一盘棋，形成强大合力。这一系列举措有效推动了指标调度与数据归集工作的高效开展，使得二季度</w:t>
      </w:r>
      <w:r w:rsidRPr="0043038D">
        <w:rPr>
          <w:rFonts w:ascii="Arial" w:hAnsi="Arial" w:hint="eastAsia"/>
          <w:bCs/>
          <w:sz w:val="21"/>
          <w:szCs w:val="28"/>
        </w:rPr>
        <w:t>GDP</w:t>
      </w:r>
      <w:r w:rsidRPr="0043038D">
        <w:rPr>
          <w:rFonts w:ascii="Arial" w:hAnsi="Arial" w:hint="eastAsia"/>
          <w:bCs/>
          <w:sz w:val="21"/>
          <w:szCs w:val="28"/>
        </w:rPr>
        <w:t>增长率达到</w:t>
      </w:r>
      <w:r w:rsidRPr="0043038D">
        <w:rPr>
          <w:rFonts w:ascii="Arial" w:hAnsi="Arial" w:hint="eastAsia"/>
          <w:bCs/>
          <w:sz w:val="21"/>
          <w:szCs w:val="28"/>
        </w:rPr>
        <w:t>5.7%</w:t>
      </w:r>
      <w:r w:rsidRPr="0043038D">
        <w:rPr>
          <w:rFonts w:ascii="Arial" w:hAnsi="Arial" w:hint="eastAsia"/>
          <w:bCs/>
          <w:sz w:val="21"/>
          <w:szCs w:val="28"/>
        </w:rPr>
        <w:t>，</w:t>
      </w:r>
      <w:r w:rsidRPr="0043038D">
        <w:rPr>
          <w:rFonts w:ascii="Arial" w:hAnsi="Arial" w:hint="eastAsia"/>
          <w:bCs/>
          <w:sz w:val="21"/>
          <w:szCs w:val="28"/>
        </w:rPr>
        <w:t>2024</w:t>
      </w:r>
      <w:r w:rsidRPr="0043038D">
        <w:rPr>
          <w:rFonts w:ascii="Arial" w:hAnsi="Arial" w:hint="eastAsia"/>
          <w:bCs/>
          <w:sz w:val="21"/>
          <w:szCs w:val="28"/>
        </w:rPr>
        <w:t>年上半年整体增长率达到</w:t>
      </w:r>
      <w:r w:rsidRPr="0043038D">
        <w:rPr>
          <w:rFonts w:ascii="Arial" w:hAnsi="Arial" w:hint="eastAsia"/>
          <w:bCs/>
          <w:sz w:val="21"/>
          <w:szCs w:val="28"/>
        </w:rPr>
        <w:t>5.6%</w:t>
      </w:r>
      <w:r w:rsidRPr="0043038D">
        <w:rPr>
          <w:rFonts w:ascii="Arial" w:hAnsi="Arial" w:hint="eastAsia"/>
          <w:bCs/>
          <w:sz w:val="21"/>
          <w:szCs w:val="28"/>
        </w:rPr>
        <w:t>，高出市级</w:t>
      </w:r>
      <w:r w:rsidRPr="0043038D">
        <w:rPr>
          <w:rFonts w:ascii="Arial" w:hAnsi="Arial" w:hint="eastAsia"/>
          <w:bCs/>
          <w:sz w:val="21"/>
          <w:szCs w:val="28"/>
        </w:rPr>
        <w:t>0.2</w:t>
      </w:r>
      <w:r w:rsidRPr="0043038D">
        <w:rPr>
          <w:rFonts w:ascii="Arial" w:hAnsi="Arial" w:hint="eastAsia"/>
          <w:bCs/>
          <w:sz w:val="21"/>
          <w:szCs w:val="28"/>
        </w:rPr>
        <w:t>个百分点，均超额完成了市级下达的任务，成功实现“时间过半、任务过半”的奋斗目标。</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为进一步提升经济总量，</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出台了全行业升</w:t>
      </w:r>
      <w:proofErr w:type="gramStart"/>
      <w:r w:rsidRPr="0043038D">
        <w:rPr>
          <w:rFonts w:ascii="Arial" w:hAnsi="Arial" w:hint="eastAsia"/>
          <w:bCs/>
          <w:sz w:val="21"/>
          <w:szCs w:val="28"/>
        </w:rPr>
        <w:t>规入统</w:t>
      </w:r>
      <w:proofErr w:type="gramEnd"/>
      <w:r w:rsidRPr="0043038D">
        <w:rPr>
          <w:rFonts w:ascii="Arial" w:hAnsi="Arial" w:hint="eastAsia"/>
          <w:bCs/>
          <w:sz w:val="21"/>
          <w:szCs w:val="28"/>
        </w:rPr>
        <w:t>政策，并将升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工作纳入区级绩效考核体系，创新性地制定了</w:t>
      </w:r>
      <w:r w:rsidRPr="0043038D">
        <w:rPr>
          <w:rFonts w:ascii="Arial" w:hAnsi="Arial" w:hint="eastAsia"/>
          <w:bCs/>
          <w:sz w:val="21"/>
          <w:szCs w:val="28"/>
        </w:rPr>
        <w:t>3</w:t>
      </w:r>
      <w:r w:rsidRPr="0043038D">
        <w:rPr>
          <w:rFonts w:ascii="Arial" w:hAnsi="Arial" w:hint="eastAsia"/>
          <w:bCs/>
          <w:sz w:val="21"/>
          <w:szCs w:val="28"/>
        </w:rPr>
        <w:t>套目标清单，精准施策，靶向发力。经过不懈努力，</w:t>
      </w:r>
      <w:r w:rsidRPr="0043038D">
        <w:rPr>
          <w:rFonts w:ascii="Arial" w:hAnsi="Arial" w:hint="eastAsia"/>
          <w:bCs/>
          <w:sz w:val="21"/>
          <w:szCs w:val="28"/>
        </w:rPr>
        <w:t>2023</w:t>
      </w:r>
      <w:r w:rsidRPr="0043038D">
        <w:rPr>
          <w:rFonts w:ascii="Arial" w:hAnsi="Arial" w:hint="eastAsia"/>
          <w:bCs/>
          <w:sz w:val="21"/>
          <w:szCs w:val="28"/>
        </w:rPr>
        <w:t>年年度及</w:t>
      </w:r>
      <w:r w:rsidRPr="0043038D">
        <w:rPr>
          <w:rFonts w:ascii="Arial" w:hAnsi="Arial" w:hint="eastAsia"/>
          <w:bCs/>
          <w:sz w:val="21"/>
          <w:szCs w:val="28"/>
        </w:rPr>
        <w:t>2024</w:t>
      </w:r>
      <w:r w:rsidRPr="0043038D">
        <w:rPr>
          <w:rFonts w:ascii="Arial" w:hAnsi="Arial" w:hint="eastAsia"/>
          <w:bCs/>
          <w:sz w:val="21"/>
          <w:szCs w:val="28"/>
        </w:rPr>
        <w:t>年新增升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企业数量突破</w:t>
      </w:r>
      <w:r w:rsidRPr="0043038D">
        <w:rPr>
          <w:rFonts w:ascii="Arial" w:hAnsi="Arial" w:hint="eastAsia"/>
          <w:bCs/>
          <w:sz w:val="21"/>
          <w:szCs w:val="28"/>
        </w:rPr>
        <w:t>200</w:t>
      </w:r>
      <w:r w:rsidRPr="0043038D">
        <w:rPr>
          <w:rFonts w:ascii="Arial" w:hAnsi="Arial" w:hint="eastAsia"/>
          <w:bCs/>
          <w:sz w:val="21"/>
          <w:szCs w:val="28"/>
        </w:rPr>
        <w:t>家，远超近</w:t>
      </w:r>
      <w:r w:rsidRPr="0043038D">
        <w:rPr>
          <w:rFonts w:ascii="Arial" w:hAnsi="Arial" w:hint="eastAsia"/>
          <w:bCs/>
          <w:sz w:val="21"/>
          <w:szCs w:val="28"/>
        </w:rPr>
        <w:t>4</w:t>
      </w:r>
      <w:r w:rsidRPr="0043038D">
        <w:rPr>
          <w:rFonts w:ascii="Arial" w:hAnsi="Arial" w:hint="eastAsia"/>
          <w:bCs/>
          <w:sz w:val="21"/>
          <w:szCs w:val="28"/>
        </w:rPr>
        <w:t>年同期水平，其中工业升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企业达到</w:t>
      </w:r>
      <w:r w:rsidRPr="0043038D">
        <w:rPr>
          <w:rFonts w:ascii="Arial" w:hAnsi="Arial" w:hint="eastAsia"/>
          <w:bCs/>
          <w:sz w:val="21"/>
          <w:szCs w:val="28"/>
        </w:rPr>
        <w:t>29</w:t>
      </w:r>
      <w:r w:rsidRPr="0043038D">
        <w:rPr>
          <w:rFonts w:ascii="Arial" w:hAnsi="Arial" w:hint="eastAsia"/>
          <w:bCs/>
          <w:sz w:val="21"/>
          <w:szCs w:val="28"/>
        </w:rPr>
        <w:t>家，位居全市之首。这些新升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企业不仅为区域经济发展注入了新鲜血液，还带动了重点行业工资水平提升超</w:t>
      </w:r>
      <w:r w:rsidRPr="0043038D">
        <w:rPr>
          <w:rFonts w:ascii="Arial" w:hAnsi="Arial" w:hint="eastAsia"/>
          <w:bCs/>
          <w:sz w:val="21"/>
          <w:szCs w:val="28"/>
        </w:rPr>
        <w:t>30%</w:t>
      </w:r>
      <w:r w:rsidRPr="0043038D">
        <w:rPr>
          <w:rFonts w:ascii="Arial" w:hAnsi="Arial" w:hint="eastAsia"/>
          <w:bCs/>
          <w:sz w:val="21"/>
          <w:szCs w:val="28"/>
        </w:rPr>
        <w:t>，直接拉动</w:t>
      </w:r>
      <w:r w:rsidRPr="0043038D">
        <w:rPr>
          <w:rFonts w:ascii="Arial" w:hAnsi="Arial" w:hint="eastAsia"/>
          <w:bCs/>
          <w:sz w:val="21"/>
          <w:szCs w:val="28"/>
        </w:rPr>
        <w:t>GDP</w:t>
      </w:r>
      <w:r w:rsidRPr="0043038D">
        <w:rPr>
          <w:rFonts w:ascii="Arial" w:hAnsi="Arial" w:hint="eastAsia"/>
          <w:bCs/>
          <w:sz w:val="21"/>
          <w:szCs w:val="28"/>
        </w:rPr>
        <w:t>增长超过</w:t>
      </w:r>
      <w:r w:rsidRPr="0043038D">
        <w:rPr>
          <w:rFonts w:ascii="Arial" w:hAnsi="Arial" w:hint="eastAsia"/>
          <w:bCs/>
          <w:sz w:val="21"/>
          <w:szCs w:val="28"/>
        </w:rPr>
        <w:t>1</w:t>
      </w:r>
      <w:r w:rsidRPr="0043038D">
        <w:rPr>
          <w:rFonts w:ascii="Arial" w:hAnsi="Arial" w:hint="eastAsia"/>
          <w:bCs/>
          <w:sz w:val="21"/>
          <w:szCs w:val="28"/>
        </w:rPr>
        <w:t>个百分点，成为经济增长的重要驱动力。</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在投资促进方面，</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全力以赴抓项目、促建设，对支撑性项目手续及进度进行全覆盖梳理，特别是对国企自有资金建设项目以及水、电、气、热等领域的增量项目实施重点推进，确保</w:t>
      </w:r>
      <w:proofErr w:type="gramStart"/>
      <w:r w:rsidRPr="0043038D">
        <w:rPr>
          <w:rFonts w:ascii="Arial" w:hAnsi="Arial" w:hint="eastAsia"/>
          <w:bCs/>
          <w:sz w:val="21"/>
          <w:szCs w:val="28"/>
        </w:rPr>
        <w:t>应统尽统</w:t>
      </w:r>
      <w:proofErr w:type="gramEnd"/>
      <w:r w:rsidRPr="0043038D">
        <w:rPr>
          <w:rFonts w:ascii="Arial" w:hAnsi="Arial" w:hint="eastAsia"/>
          <w:bCs/>
          <w:sz w:val="21"/>
          <w:szCs w:val="28"/>
        </w:rPr>
        <w:t>。</w:t>
      </w:r>
      <w:r w:rsidRPr="0043038D">
        <w:rPr>
          <w:rFonts w:ascii="Arial" w:hAnsi="Arial" w:hint="eastAsia"/>
          <w:bCs/>
          <w:sz w:val="21"/>
          <w:szCs w:val="28"/>
        </w:rPr>
        <w:t>2024</w:t>
      </w:r>
      <w:r w:rsidRPr="0043038D">
        <w:rPr>
          <w:rFonts w:ascii="Arial" w:hAnsi="Arial" w:hint="eastAsia"/>
          <w:bCs/>
          <w:sz w:val="21"/>
          <w:szCs w:val="28"/>
        </w:rPr>
        <w:t>年上半年，固定资产投资完成额达到</w:t>
      </w:r>
      <w:r w:rsidRPr="0043038D">
        <w:rPr>
          <w:rFonts w:ascii="Arial" w:hAnsi="Arial" w:hint="eastAsia"/>
          <w:bCs/>
          <w:sz w:val="21"/>
          <w:szCs w:val="28"/>
        </w:rPr>
        <w:t>510.1</w:t>
      </w:r>
      <w:r w:rsidRPr="0043038D">
        <w:rPr>
          <w:rFonts w:ascii="Arial" w:hAnsi="Arial" w:hint="eastAsia"/>
          <w:bCs/>
          <w:sz w:val="21"/>
          <w:szCs w:val="28"/>
        </w:rPr>
        <w:t>亿元，位列全市第四；建安投资完成额达到</w:t>
      </w:r>
      <w:r w:rsidRPr="0043038D">
        <w:rPr>
          <w:rFonts w:ascii="Arial" w:hAnsi="Arial" w:hint="eastAsia"/>
          <w:bCs/>
          <w:sz w:val="21"/>
          <w:szCs w:val="28"/>
        </w:rPr>
        <w:t>191.6</w:t>
      </w:r>
      <w:r w:rsidRPr="0043038D">
        <w:rPr>
          <w:rFonts w:ascii="Arial" w:hAnsi="Arial" w:hint="eastAsia"/>
          <w:bCs/>
          <w:sz w:val="21"/>
          <w:szCs w:val="28"/>
        </w:rPr>
        <w:t>亿元，排名全市第二，均圆满达成“双过半”目标，为区域经济的长远发展奠定了坚实基础。</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未来，</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将继续坚持高质量发展道路，持续优化营商环境，加大投资力度，推动产业升级，为首都经济发展贡献更大力量。</w:t>
      </w:r>
    </w:p>
    <w:p w:rsidR="000E5655" w:rsidRPr="0043038D" w:rsidRDefault="00837133">
      <w:pPr>
        <w:widowControl/>
        <w:overflowPunct w:val="0"/>
        <w:adjustRightInd/>
        <w:spacing w:line="480" w:lineRule="auto"/>
        <w:ind w:firstLineChars="200" w:firstLine="420"/>
        <w:jc w:val="both"/>
        <w:textAlignment w:val="auto"/>
        <w:rPr>
          <w:rFonts w:ascii="Arial" w:hAnsi="Arial"/>
          <w:sz w:val="21"/>
          <w:szCs w:val="28"/>
        </w:rPr>
      </w:pPr>
      <w:r w:rsidRPr="0043038D">
        <w:rPr>
          <w:rFonts w:ascii="Arial" w:hAnsi="Arial" w:hint="eastAsia"/>
          <w:sz w:val="21"/>
          <w:szCs w:val="28"/>
        </w:rPr>
        <w:t>2.</w:t>
      </w:r>
      <w:r w:rsidRPr="0043038D">
        <w:rPr>
          <w:rFonts w:ascii="Arial" w:hAnsi="Arial" w:hint="eastAsia"/>
          <w:sz w:val="21"/>
          <w:szCs w:val="28"/>
        </w:rPr>
        <w:t>区域</w:t>
      </w:r>
      <w:r w:rsidRPr="0043038D">
        <w:rPr>
          <w:rFonts w:ascii="Arial" w:hAnsi="Arial"/>
          <w:bCs/>
          <w:sz w:val="21"/>
          <w:szCs w:val="28"/>
        </w:rPr>
        <w:t>保障性租赁住房</w:t>
      </w:r>
      <w:r w:rsidRPr="0043038D">
        <w:rPr>
          <w:rFonts w:ascii="Arial" w:hAnsi="Arial" w:hint="eastAsia"/>
          <w:sz w:val="21"/>
          <w:szCs w:val="28"/>
        </w:rPr>
        <w:t>房地产市场状况</w:t>
      </w:r>
    </w:p>
    <w:p w:rsidR="000E5655" w:rsidRPr="0043038D" w:rsidRDefault="00837133">
      <w:pPr>
        <w:widowControl/>
        <w:overflowPunct w:val="0"/>
        <w:adjustRightInd/>
        <w:spacing w:line="480" w:lineRule="auto"/>
        <w:ind w:firstLineChars="200" w:firstLine="420"/>
        <w:jc w:val="both"/>
        <w:textAlignment w:val="auto"/>
        <w:rPr>
          <w:rFonts w:ascii="Arial" w:hAnsi="Arial"/>
          <w:bCs/>
          <w:sz w:val="21"/>
          <w:szCs w:val="28"/>
        </w:rPr>
      </w:pPr>
      <w:r w:rsidRPr="0043038D">
        <w:rPr>
          <w:rFonts w:ascii="Arial" w:hAnsi="Arial"/>
          <w:bCs/>
          <w:sz w:val="21"/>
          <w:szCs w:val="28"/>
        </w:rPr>
        <w:lastRenderedPageBreak/>
        <w:t>2022</w:t>
      </w:r>
      <w:r w:rsidRPr="0043038D">
        <w:rPr>
          <w:rFonts w:ascii="Arial" w:hAnsi="Arial"/>
          <w:bCs/>
          <w:sz w:val="21"/>
          <w:szCs w:val="28"/>
        </w:rPr>
        <w:t>年</w:t>
      </w:r>
      <w:r w:rsidRPr="0043038D">
        <w:rPr>
          <w:rFonts w:ascii="Arial" w:hAnsi="Arial"/>
          <w:bCs/>
          <w:sz w:val="21"/>
          <w:szCs w:val="28"/>
        </w:rPr>
        <w:t>3</w:t>
      </w:r>
      <w:r w:rsidRPr="0043038D">
        <w:rPr>
          <w:rFonts w:ascii="Arial" w:hAnsi="Arial"/>
          <w:bCs/>
          <w:sz w:val="21"/>
          <w:szCs w:val="28"/>
        </w:rPr>
        <w:t>月，北京市人民政府发布《北京市关于加快发展保障性租赁住房的实施方案》（下称《方案》），提出争取在</w:t>
      </w:r>
      <w:r w:rsidRPr="0043038D">
        <w:rPr>
          <w:rFonts w:ascii="Arial" w:hAnsi="Arial"/>
          <w:bCs/>
          <w:sz w:val="21"/>
          <w:szCs w:val="28"/>
        </w:rPr>
        <w:t>“</w:t>
      </w:r>
      <w:r w:rsidRPr="0043038D">
        <w:rPr>
          <w:rFonts w:ascii="Arial" w:hAnsi="Arial"/>
          <w:bCs/>
          <w:sz w:val="21"/>
          <w:szCs w:val="28"/>
        </w:rPr>
        <w:t>十四五</w:t>
      </w:r>
      <w:r w:rsidRPr="0043038D">
        <w:rPr>
          <w:rFonts w:ascii="Arial" w:hAnsi="Arial"/>
          <w:bCs/>
          <w:sz w:val="21"/>
          <w:szCs w:val="28"/>
        </w:rPr>
        <w:t>”</w:t>
      </w:r>
      <w:r w:rsidRPr="0043038D">
        <w:rPr>
          <w:rFonts w:ascii="Arial" w:hAnsi="Arial"/>
          <w:bCs/>
          <w:sz w:val="21"/>
          <w:szCs w:val="28"/>
        </w:rPr>
        <w:t>期间建设筹集保障性租赁住房</w:t>
      </w:r>
      <w:r w:rsidRPr="0043038D">
        <w:rPr>
          <w:rFonts w:ascii="Arial" w:hAnsi="Arial"/>
          <w:bCs/>
          <w:sz w:val="21"/>
          <w:szCs w:val="28"/>
        </w:rPr>
        <w:t>40</w:t>
      </w:r>
      <w:r w:rsidRPr="0043038D">
        <w:rPr>
          <w:rFonts w:ascii="Arial" w:hAnsi="Arial"/>
          <w:bCs/>
          <w:sz w:val="21"/>
          <w:szCs w:val="28"/>
        </w:rPr>
        <w:t>万套（间），占新增住房供应总量的比例达</w:t>
      </w:r>
      <w:r w:rsidRPr="0043038D">
        <w:rPr>
          <w:rFonts w:ascii="Arial" w:hAnsi="Arial"/>
          <w:bCs/>
          <w:sz w:val="21"/>
          <w:szCs w:val="28"/>
        </w:rPr>
        <w:t>40%</w:t>
      </w:r>
      <w:r w:rsidRPr="0043038D">
        <w:rPr>
          <w:rFonts w:ascii="Arial" w:hAnsi="Arial"/>
          <w:bCs/>
          <w:sz w:val="21"/>
          <w:szCs w:val="28"/>
        </w:rPr>
        <w:t>的目标。</w:t>
      </w:r>
    </w:p>
    <w:p w:rsidR="000E5655" w:rsidRPr="0043038D" w:rsidRDefault="00837133">
      <w:pPr>
        <w:overflowPunct w:val="0"/>
        <w:adjustRightInd/>
        <w:spacing w:line="480" w:lineRule="auto"/>
        <w:ind w:firstLineChars="200" w:firstLine="420"/>
        <w:jc w:val="both"/>
        <w:textAlignment w:val="auto"/>
        <w:rPr>
          <w:rFonts w:ascii="Arial" w:hAnsi="Arial"/>
          <w:bCs/>
          <w:sz w:val="21"/>
          <w:szCs w:val="28"/>
        </w:rPr>
      </w:pPr>
      <w:r w:rsidRPr="0043038D">
        <w:rPr>
          <w:rFonts w:ascii="Arial" w:hAnsi="Arial" w:hint="eastAsia"/>
          <w:bCs/>
          <w:sz w:val="21"/>
          <w:szCs w:val="28"/>
        </w:rPr>
        <w:t>截至</w:t>
      </w:r>
      <w:r w:rsidRPr="0043038D">
        <w:rPr>
          <w:rFonts w:ascii="Arial" w:hAnsi="Arial" w:hint="eastAsia"/>
          <w:bCs/>
          <w:sz w:val="21"/>
          <w:szCs w:val="28"/>
        </w:rPr>
        <w:t>2023</w:t>
      </w:r>
      <w:r w:rsidRPr="0043038D">
        <w:rPr>
          <w:rFonts w:ascii="Arial" w:hAnsi="Arial" w:hint="eastAsia"/>
          <w:bCs/>
          <w:sz w:val="21"/>
          <w:szCs w:val="28"/>
        </w:rPr>
        <w:t>年</w:t>
      </w:r>
      <w:r w:rsidRPr="0043038D">
        <w:rPr>
          <w:rFonts w:ascii="Arial" w:hAnsi="Arial" w:hint="eastAsia"/>
          <w:bCs/>
          <w:sz w:val="21"/>
          <w:szCs w:val="28"/>
        </w:rPr>
        <w:t>12</w:t>
      </w:r>
      <w:r w:rsidRPr="0043038D">
        <w:rPr>
          <w:rFonts w:ascii="Arial" w:hAnsi="Arial" w:hint="eastAsia"/>
          <w:bCs/>
          <w:sz w:val="21"/>
          <w:szCs w:val="28"/>
        </w:rPr>
        <w:t>月，北京市保障性租赁住房（简称“保租房”）已有</w:t>
      </w:r>
      <w:r w:rsidRPr="0043038D">
        <w:rPr>
          <w:rFonts w:ascii="Arial" w:hAnsi="Arial" w:hint="eastAsia"/>
          <w:bCs/>
          <w:sz w:val="21"/>
          <w:szCs w:val="28"/>
        </w:rPr>
        <w:t>26</w:t>
      </w:r>
      <w:r w:rsidRPr="0043038D">
        <w:rPr>
          <w:rFonts w:ascii="Arial" w:hAnsi="Arial" w:hint="eastAsia"/>
          <w:bCs/>
          <w:sz w:val="21"/>
          <w:szCs w:val="28"/>
        </w:rPr>
        <w:t>个项目开业并投入使用，共提供约</w:t>
      </w:r>
      <w:r w:rsidRPr="0043038D">
        <w:rPr>
          <w:rFonts w:ascii="Arial" w:hAnsi="Arial" w:hint="eastAsia"/>
          <w:bCs/>
          <w:sz w:val="21"/>
          <w:szCs w:val="28"/>
        </w:rPr>
        <w:t>2.7</w:t>
      </w:r>
      <w:r w:rsidRPr="0043038D">
        <w:rPr>
          <w:rFonts w:ascii="Arial" w:hAnsi="Arial" w:hint="eastAsia"/>
          <w:bCs/>
          <w:sz w:val="21"/>
          <w:szCs w:val="28"/>
        </w:rPr>
        <w:t>万间房源。在这些项目中，丰台区占据了主导地位，拥有</w:t>
      </w:r>
      <w:r w:rsidRPr="0043038D">
        <w:rPr>
          <w:rFonts w:ascii="Arial" w:hAnsi="Arial" w:hint="eastAsia"/>
          <w:bCs/>
          <w:sz w:val="21"/>
          <w:szCs w:val="28"/>
        </w:rPr>
        <w:t>4</w:t>
      </w:r>
      <w:r w:rsidRPr="0043038D">
        <w:rPr>
          <w:rFonts w:ascii="Arial" w:hAnsi="Arial" w:hint="eastAsia"/>
          <w:bCs/>
          <w:sz w:val="21"/>
          <w:szCs w:val="28"/>
        </w:rPr>
        <w:t>个项目，合计约</w:t>
      </w:r>
      <w:r w:rsidRPr="0043038D">
        <w:rPr>
          <w:rFonts w:ascii="Arial" w:hAnsi="Arial" w:hint="eastAsia"/>
          <w:bCs/>
          <w:sz w:val="21"/>
          <w:szCs w:val="28"/>
        </w:rPr>
        <w:t>9980</w:t>
      </w:r>
      <w:r w:rsidRPr="0043038D">
        <w:rPr>
          <w:rFonts w:ascii="Arial" w:hAnsi="Arial" w:hint="eastAsia"/>
          <w:bCs/>
          <w:sz w:val="21"/>
          <w:szCs w:val="28"/>
        </w:rPr>
        <w:t>间房源；其次为</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有</w:t>
      </w:r>
      <w:r w:rsidRPr="0043038D">
        <w:rPr>
          <w:rFonts w:ascii="Arial" w:hAnsi="Arial" w:hint="eastAsia"/>
          <w:bCs/>
          <w:sz w:val="21"/>
          <w:szCs w:val="28"/>
        </w:rPr>
        <w:t>4</w:t>
      </w:r>
      <w:r w:rsidRPr="0043038D">
        <w:rPr>
          <w:rFonts w:ascii="Arial" w:hAnsi="Arial" w:hint="eastAsia"/>
          <w:bCs/>
          <w:sz w:val="21"/>
          <w:szCs w:val="28"/>
        </w:rPr>
        <w:t>个项目，提供</w:t>
      </w:r>
      <w:r w:rsidRPr="0043038D">
        <w:rPr>
          <w:rFonts w:ascii="Arial" w:hAnsi="Arial" w:hint="eastAsia"/>
          <w:bCs/>
          <w:sz w:val="21"/>
          <w:szCs w:val="28"/>
        </w:rPr>
        <w:t>5729</w:t>
      </w:r>
      <w:r w:rsidRPr="0043038D">
        <w:rPr>
          <w:rFonts w:ascii="Arial" w:hAnsi="Arial" w:hint="eastAsia"/>
          <w:bCs/>
          <w:sz w:val="21"/>
          <w:szCs w:val="28"/>
        </w:rPr>
        <w:t>间房源；朝阳区有</w:t>
      </w:r>
      <w:r w:rsidRPr="0043038D">
        <w:rPr>
          <w:rFonts w:ascii="Arial" w:hAnsi="Arial" w:hint="eastAsia"/>
          <w:bCs/>
          <w:sz w:val="21"/>
          <w:szCs w:val="28"/>
        </w:rPr>
        <w:t>6</w:t>
      </w:r>
      <w:r w:rsidRPr="0043038D">
        <w:rPr>
          <w:rFonts w:ascii="Arial" w:hAnsi="Arial" w:hint="eastAsia"/>
          <w:bCs/>
          <w:sz w:val="21"/>
          <w:szCs w:val="28"/>
        </w:rPr>
        <w:t>个项目，提供</w:t>
      </w:r>
      <w:r w:rsidRPr="0043038D">
        <w:rPr>
          <w:rFonts w:ascii="Arial" w:hAnsi="Arial" w:hint="eastAsia"/>
          <w:bCs/>
          <w:sz w:val="21"/>
          <w:szCs w:val="28"/>
        </w:rPr>
        <w:t>4272</w:t>
      </w:r>
      <w:r w:rsidRPr="0043038D">
        <w:rPr>
          <w:rFonts w:ascii="Arial" w:hAnsi="Arial" w:hint="eastAsia"/>
          <w:bCs/>
          <w:sz w:val="21"/>
          <w:szCs w:val="28"/>
        </w:rPr>
        <w:t>间房源。</w:t>
      </w:r>
    </w:p>
    <w:p w:rsidR="000E5655" w:rsidRPr="0043038D" w:rsidRDefault="00837133">
      <w:pPr>
        <w:overflowPunct w:val="0"/>
        <w:adjustRightInd/>
        <w:spacing w:line="480" w:lineRule="auto"/>
        <w:ind w:firstLineChars="200" w:firstLine="420"/>
        <w:jc w:val="both"/>
        <w:textAlignment w:val="auto"/>
        <w:rPr>
          <w:rFonts w:ascii="Arial" w:hAnsi="Arial"/>
          <w:bCs/>
          <w:sz w:val="21"/>
          <w:szCs w:val="28"/>
        </w:rPr>
      </w:pPr>
      <w:r w:rsidRPr="0043038D">
        <w:rPr>
          <w:rFonts w:ascii="Arial" w:hAnsi="Arial" w:hint="eastAsia"/>
          <w:bCs/>
          <w:sz w:val="21"/>
          <w:szCs w:val="28"/>
        </w:rPr>
        <w:t>在已经开业的保租房项目中，租赁式社区的占比最高，达到</w:t>
      </w:r>
      <w:r w:rsidRPr="0043038D">
        <w:rPr>
          <w:rFonts w:ascii="Arial" w:hAnsi="Arial" w:hint="eastAsia"/>
          <w:bCs/>
          <w:sz w:val="21"/>
          <w:szCs w:val="28"/>
        </w:rPr>
        <w:t>81.6%</w:t>
      </w:r>
      <w:r w:rsidRPr="0043038D">
        <w:rPr>
          <w:rFonts w:ascii="Arial" w:hAnsi="Arial" w:hint="eastAsia"/>
          <w:bCs/>
          <w:sz w:val="21"/>
          <w:szCs w:val="28"/>
        </w:rPr>
        <w:t>，其次为青年公寓占比</w:t>
      </w:r>
      <w:r w:rsidRPr="0043038D">
        <w:rPr>
          <w:rFonts w:ascii="Arial" w:hAnsi="Arial" w:hint="eastAsia"/>
          <w:bCs/>
          <w:sz w:val="21"/>
          <w:szCs w:val="28"/>
        </w:rPr>
        <w:t>14.9%</w:t>
      </w:r>
      <w:r w:rsidRPr="0043038D">
        <w:rPr>
          <w:rFonts w:ascii="Arial" w:hAnsi="Arial" w:hint="eastAsia"/>
          <w:bCs/>
          <w:sz w:val="21"/>
          <w:szCs w:val="28"/>
        </w:rPr>
        <w:t>。在租赁式社区中，</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的润</w:t>
      </w:r>
      <w:proofErr w:type="gramStart"/>
      <w:r w:rsidRPr="0043038D">
        <w:rPr>
          <w:rFonts w:ascii="Arial" w:hAnsi="Arial" w:hint="eastAsia"/>
          <w:bCs/>
          <w:sz w:val="21"/>
          <w:szCs w:val="28"/>
        </w:rPr>
        <w:t>棠</w:t>
      </w:r>
      <w:proofErr w:type="gramEnd"/>
      <w:r w:rsidRPr="0043038D">
        <w:rPr>
          <w:rFonts w:ascii="Arial" w:hAnsi="Arial" w:hint="eastAsia"/>
          <w:bCs/>
          <w:sz w:val="21"/>
          <w:szCs w:val="28"/>
        </w:rPr>
        <w:t>·瀛海、丰台区的</w:t>
      </w:r>
      <w:proofErr w:type="gramStart"/>
      <w:r w:rsidRPr="0043038D">
        <w:rPr>
          <w:rFonts w:ascii="Arial" w:hAnsi="Arial" w:hint="eastAsia"/>
          <w:bCs/>
          <w:sz w:val="21"/>
          <w:szCs w:val="28"/>
        </w:rPr>
        <w:t>泊寓</w:t>
      </w:r>
      <w:r w:rsidRPr="0043038D">
        <w:rPr>
          <w:rFonts w:ascii="Arial" w:hAnsi="Arial" w:hint="eastAsia"/>
          <w:bCs/>
          <w:sz w:val="21"/>
          <w:szCs w:val="28"/>
        </w:rPr>
        <w:t>|</w:t>
      </w:r>
      <w:proofErr w:type="gramEnd"/>
      <w:r w:rsidRPr="0043038D">
        <w:rPr>
          <w:rFonts w:ascii="Arial" w:hAnsi="Arial" w:hint="eastAsia"/>
          <w:bCs/>
          <w:sz w:val="21"/>
          <w:szCs w:val="28"/>
        </w:rPr>
        <w:t>院</w:t>
      </w:r>
      <w:r w:rsidRPr="0043038D">
        <w:rPr>
          <w:rFonts w:ascii="Arial" w:hAnsi="Arial" w:hint="eastAsia"/>
          <w:bCs/>
          <w:sz w:val="21"/>
          <w:szCs w:val="28"/>
        </w:rPr>
        <w:t>-</w:t>
      </w:r>
      <w:r w:rsidRPr="0043038D">
        <w:rPr>
          <w:rFonts w:ascii="Arial" w:hAnsi="Arial" w:hint="eastAsia"/>
          <w:bCs/>
          <w:sz w:val="21"/>
          <w:szCs w:val="28"/>
        </w:rPr>
        <w:t>草桥社区、高立庄社区等三个租赁式社区项目体量都超过了</w:t>
      </w:r>
      <w:r w:rsidRPr="0043038D">
        <w:rPr>
          <w:rFonts w:ascii="Arial" w:hAnsi="Arial" w:hint="eastAsia"/>
          <w:bCs/>
          <w:sz w:val="21"/>
          <w:szCs w:val="28"/>
        </w:rPr>
        <w:t>3000</w:t>
      </w:r>
      <w:r w:rsidRPr="0043038D">
        <w:rPr>
          <w:rFonts w:ascii="Arial" w:hAnsi="Arial" w:hint="eastAsia"/>
          <w:bCs/>
          <w:sz w:val="21"/>
          <w:szCs w:val="28"/>
        </w:rPr>
        <w:t>套，它们合计占据了约</w:t>
      </w:r>
      <w:r w:rsidRPr="0043038D">
        <w:rPr>
          <w:rFonts w:ascii="Arial" w:hAnsi="Arial" w:hint="eastAsia"/>
          <w:bCs/>
          <w:sz w:val="21"/>
          <w:szCs w:val="28"/>
        </w:rPr>
        <w:t>37%</w:t>
      </w:r>
      <w:r w:rsidRPr="0043038D">
        <w:rPr>
          <w:rFonts w:ascii="Arial" w:hAnsi="Arial" w:hint="eastAsia"/>
          <w:bCs/>
          <w:sz w:val="21"/>
          <w:szCs w:val="28"/>
        </w:rPr>
        <w:t>的房间规模。</w:t>
      </w:r>
    </w:p>
    <w:p w:rsidR="000E5655" w:rsidRPr="0043038D" w:rsidRDefault="00837133">
      <w:pPr>
        <w:spacing w:line="480" w:lineRule="auto"/>
        <w:ind w:firstLineChars="200" w:firstLine="420"/>
        <w:jc w:val="both"/>
        <w:rPr>
          <w:rFonts w:ascii="Arial" w:hAnsi="Arial"/>
          <w:bCs/>
          <w:sz w:val="21"/>
          <w:szCs w:val="28"/>
        </w:rPr>
      </w:pPr>
      <w:r w:rsidRPr="0043038D">
        <w:rPr>
          <w:rFonts w:ascii="Arial" w:hAnsi="Arial" w:hint="eastAsia"/>
          <w:bCs/>
          <w:sz w:val="21"/>
          <w:szCs w:val="28"/>
        </w:rPr>
        <w:t>26</w:t>
      </w:r>
      <w:r w:rsidRPr="0043038D">
        <w:rPr>
          <w:rFonts w:ascii="Arial" w:hAnsi="Arial" w:hint="eastAsia"/>
          <w:bCs/>
          <w:sz w:val="21"/>
          <w:szCs w:val="28"/>
        </w:rPr>
        <w:t>个保租房项目在</w:t>
      </w:r>
      <w:r w:rsidRPr="0043038D">
        <w:rPr>
          <w:rFonts w:ascii="Arial" w:hAnsi="Arial" w:hint="eastAsia"/>
          <w:bCs/>
          <w:sz w:val="21"/>
          <w:szCs w:val="28"/>
        </w:rPr>
        <w:t>2023</w:t>
      </w:r>
      <w:r w:rsidRPr="0043038D">
        <w:rPr>
          <w:rFonts w:ascii="Arial" w:hAnsi="Arial" w:hint="eastAsia"/>
          <w:bCs/>
          <w:sz w:val="21"/>
          <w:szCs w:val="28"/>
        </w:rPr>
        <w:t>年的平均出租率为</w:t>
      </w:r>
      <w:r w:rsidRPr="0043038D">
        <w:rPr>
          <w:rFonts w:ascii="Arial" w:hAnsi="Arial" w:hint="eastAsia"/>
          <w:bCs/>
          <w:sz w:val="21"/>
          <w:szCs w:val="28"/>
        </w:rPr>
        <w:t xml:space="preserve">89.6% </w:t>
      </w:r>
      <w:r w:rsidRPr="0043038D">
        <w:rPr>
          <w:rFonts w:ascii="Arial" w:hAnsi="Arial" w:hint="eastAsia"/>
          <w:bCs/>
          <w:sz w:val="21"/>
          <w:szCs w:val="28"/>
        </w:rPr>
        <w:t>，与北京集中式公寓整体的出租率水平（</w:t>
      </w:r>
      <w:r w:rsidRPr="0043038D">
        <w:rPr>
          <w:rFonts w:ascii="Arial" w:hAnsi="Arial" w:hint="eastAsia"/>
          <w:bCs/>
          <w:sz w:val="21"/>
          <w:szCs w:val="28"/>
        </w:rPr>
        <w:t>87%</w:t>
      </w:r>
      <w:r w:rsidRPr="0043038D">
        <w:rPr>
          <w:rFonts w:ascii="Arial" w:hAnsi="Arial" w:hint="eastAsia"/>
          <w:bCs/>
          <w:sz w:val="21"/>
          <w:szCs w:val="28"/>
        </w:rPr>
        <w:t>）相比，高出</w:t>
      </w:r>
      <w:r w:rsidRPr="0043038D">
        <w:rPr>
          <w:rFonts w:ascii="Arial" w:hAnsi="Arial" w:hint="eastAsia"/>
          <w:bCs/>
          <w:sz w:val="21"/>
          <w:szCs w:val="28"/>
        </w:rPr>
        <w:t>2.6</w:t>
      </w:r>
      <w:r w:rsidRPr="0043038D">
        <w:rPr>
          <w:rFonts w:ascii="Arial" w:hAnsi="Arial" w:hint="eastAsia"/>
          <w:bCs/>
          <w:sz w:val="21"/>
          <w:szCs w:val="28"/>
        </w:rPr>
        <w:t>个百分点，体现了保租房项目在市场上的强劲需求，也说明了保租房项目在满足市场需求方面的高效性。</w:t>
      </w:r>
    </w:p>
    <w:p w:rsidR="000E5655" w:rsidRPr="0043038D" w:rsidRDefault="00837133">
      <w:pPr>
        <w:spacing w:line="480" w:lineRule="auto"/>
        <w:ind w:firstLineChars="200" w:firstLine="420"/>
        <w:jc w:val="both"/>
        <w:rPr>
          <w:rFonts w:ascii="Arial" w:hAnsi="Arial"/>
          <w:bCs/>
          <w:sz w:val="21"/>
          <w:szCs w:val="28"/>
        </w:rPr>
      </w:pPr>
      <w:r w:rsidRPr="0043038D">
        <w:rPr>
          <w:rFonts w:ascii="Arial" w:hAnsi="Arial" w:hint="eastAsia"/>
          <w:bCs/>
          <w:sz w:val="21"/>
          <w:szCs w:val="28"/>
        </w:rPr>
        <w:t>根据《</w:t>
      </w:r>
      <w:r w:rsidRPr="0043038D">
        <w:rPr>
          <w:rFonts w:ascii="Arial" w:hAnsi="Arial" w:hint="eastAsia"/>
          <w:bCs/>
          <w:sz w:val="21"/>
          <w:szCs w:val="28"/>
        </w:rPr>
        <w:t>2024</w:t>
      </w:r>
      <w:r w:rsidRPr="0043038D">
        <w:rPr>
          <w:rFonts w:ascii="Arial" w:hAnsi="Arial" w:hint="eastAsia"/>
          <w:bCs/>
          <w:sz w:val="21"/>
          <w:szCs w:val="28"/>
        </w:rPr>
        <w:t>年北京市住房发展年度计划》，北京市今年将保持住房用地供应总量稳定，安排各类住房用地</w:t>
      </w:r>
      <w:r w:rsidRPr="0043038D">
        <w:rPr>
          <w:rFonts w:ascii="Arial" w:hAnsi="Arial" w:hint="eastAsia"/>
          <w:bCs/>
          <w:sz w:val="21"/>
          <w:szCs w:val="28"/>
        </w:rPr>
        <w:t>1060</w:t>
      </w:r>
      <w:r w:rsidRPr="0043038D">
        <w:rPr>
          <w:rFonts w:ascii="Arial" w:hAnsi="Arial" w:hint="eastAsia"/>
          <w:bCs/>
          <w:sz w:val="21"/>
          <w:szCs w:val="28"/>
        </w:rPr>
        <w:t>公顷。其中，计划安排保障性住房用地</w:t>
      </w:r>
      <w:r w:rsidRPr="0043038D">
        <w:rPr>
          <w:rFonts w:ascii="Arial" w:hAnsi="Arial" w:hint="eastAsia"/>
          <w:bCs/>
          <w:sz w:val="21"/>
          <w:szCs w:val="28"/>
        </w:rPr>
        <w:t>460</w:t>
      </w:r>
      <w:r w:rsidRPr="0043038D">
        <w:rPr>
          <w:rFonts w:ascii="Arial" w:hAnsi="Arial" w:hint="eastAsia"/>
          <w:bCs/>
          <w:sz w:val="21"/>
          <w:szCs w:val="28"/>
        </w:rPr>
        <w:t>公顷，包括</w:t>
      </w:r>
      <w:proofErr w:type="gramStart"/>
      <w:r w:rsidRPr="0043038D">
        <w:rPr>
          <w:rFonts w:ascii="Arial" w:hAnsi="Arial" w:hint="eastAsia"/>
          <w:bCs/>
          <w:sz w:val="21"/>
          <w:szCs w:val="28"/>
        </w:rPr>
        <w:t>配租型和</w:t>
      </w:r>
      <w:proofErr w:type="gramEnd"/>
      <w:r w:rsidRPr="0043038D">
        <w:rPr>
          <w:rFonts w:ascii="Arial" w:hAnsi="Arial" w:hint="eastAsia"/>
          <w:bCs/>
          <w:sz w:val="21"/>
          <w:szCs w:val="28"/>
        </w:rPr>
        <w:t>配售</w:t>
      </w:r>
      <w:proofErr w:type="gramStart"/>
      <w:r w:rsidRPr="0043038D">
        <w:rPr>
          <w:rFonts w:ascii="Arial" w:hAnsi="Arial" w:hint="eastAsia"/>
          <w:bCs/>
          <w:sz w:val="21"/>
          <w:szCs w:val="28"/>
        </w:rPr>
        <w:t>型保障</w:t>
      </w:r>
      <w:proofErr w:type="gramEnd"/>
      <w:r w:rsidRPr="0043038D">
        <w:rPr>
          <w:rFonts w:ascii="Arial" w:hAnsi="Arial" w:hint="eastAsia"/>
          <w:bCs/>
          <w:sz w:val="21"/>
          <w:szCs w:val="28"/>
        </w:rPr>
        <w:t>性住房用地</w:t>
      </w:r>
      <w:r w:rsidRPr="0043038D">
        <w:rPr>
          <w:rFonts w:ascii="Arial" w:hAnsi="Arial" w:hint="eastAsia"/>
          <w:bCs/>
          <w:sz w:val="21"/>
          <w:szCs w:val="28"/>
        </w:rPr>
        <w:t>200</w:t>
      </w:r>
      <w:r w:rsidRPr="0043038D">
        <w:rPr>
          <w:rFonts w:ascii="Arial" w:hAnsi="Arial" w:hint="eastAsia"/>
          <w:bCs/>
          <w:sz w:val="21"/>
          <w:szCs w:val="28"/>
        </w:rPr>
        <w:t>公顷，积极引导保障性住房用地向重点功能区、轨道站点周边布局，明确地块清单，加快供地进度，有力支撑保障性住房建设和供给。持续建设筹集保障性住房，计划建设筹集保障性租赁住房</w:t>
      </w:r>
      <w:r w:rsidRPr="0043038D">
        <w:rPr>
          <w:rFonts w:ascii="Arial" w:hAnsi="Arial" w:hint="eastAsia"/>
          <w:bCs/>
          <w:sz w:val="21"/>
          <w:szCs w:val="28"/>
        </w:rPr>
        <w:t>7</w:t>
      </w:r>
      <w:r w:rsidRPr="0043038D">
        <w:rPr>
          <w:rFonts w:ascii="Arial" w:hAnsi="Arial" w:hint="eastAsia"/>
          <w:bCs/>
          <w:sz w:val="21"/>
          <w:szCs w:val="28"/>
        </w:rPr>
        <w:t>万套（间），竣工各类保障性住房</w:t>
      </w:r>
      <w:r w:rsidRPr="0043038D">
        <w:rPr>
          <w:rFonts w:ascii="Arial" w:hAnsi="Arial" w:hint="eastAsia"/>
          <w:bCs/>
          <w:sz w:val="21"/>
          <w:szCs w:val="28"/>
        </w:rPr>
        <w:t>8</w:t>
      </w:r>
      <w:r w:rsidRPr="0043038D">
        <w:rPr>
          <w:rFonts w:ascii="Arial" w:hAnsi="Arial" w:hint="eastAsia"/>
          <w:bCs/>
          <w:sz w:val="21"/>
          <w:szCs w:val="28"/>
        </w:rPr>
        <w:t>万套（间）。</w:t>
      </w:r>
    </w:p>
    <w:p w:rsidR="000E5655" w:rsidRPr="0043038D" w:rsidRDefault="00837133">
      <w:pPr>
        <w:spacing w:line="480" w:lineRule="auto"/>
        <w:ind w:firstLineChars="200" w:firstLine="420"/>
        <w:jc w:val="both"/>
        <w:rPr>
          <w:rFonts w:ascii="Arial" w:hAnsi="Arial"/>
          <w:sz w:val="21"/>
          <w:szCs w:val="28"/>
        </w:rPr>
      </w:pPr>
      <w:r w:rsidRPr="0043038D">
        <w:rPr>
          <w:rFonts w:ascii="Arial" w:hAnsi="Arial" w:hint="eastAsia"/>
          <w:sz w:val="21"/>
          <w:szCs w:val="28"/>
        </w:rPr>
        <w:t>3.</w:t>
      </w:r>
      <w:r w:rsidRPr="0043038D">
        <w:rPr>
          <w:rFonts w:ascii="Arial" w:hAnsi="Arial" w:hint="eastAsia"/>
          <w:sz w:val="21"/>
          <w:szCs w:val="28"/>
        </w:rPr>
        <w:t>区域住宅用房房地产市场状况</w:t>
      </w:r>
    </w:p>
    <w:p w:rsidR="000E5655" w:rsidRPr="0043038D" w:rsidRDefault="00837133">
      <w:pPr>
        <w:spacing w:line="480" w:lineRule="auto"/>
        <w:ind w:firstLineChars="200" w:firstLine="420"/>
        <w:jc w:val="both"/>
        <w:rPr>
          <w:rFonts w:ascii="Arial" w:hAnsi="Arial"/>
          <w:sz w:val="21"/>
          <w:szCs w:val="28"/>
        </w:rPr>
      </w:pPr>
      <w:r w:rsidRPr="0043038D">
        <w:rPr>
          <w:rFonts w:ascii="Arial" w:hAnsi="Arial" w:cs="Arial" w:hint="eastAsia"/>
          <w:kern w:val="2"/>
          <w:sz w:val="21"/>
          <w:szCs w:val="21"/>
        </w:rPr>
        <w:t>估价对象位于北京市大兴区，估价对象周边</w:t>
      </w:r>
      <w:r w:rsidRPr="0043038D">
        <w:rPr>
          <w:rFonts w:ascii="Arial" w:hAnsi="Arial" w:cs="Arial" w:hint="eastAsia"/>
          <w:kern w:val="2"/>
          <w:sz w:val="21"/>
          <w:szCs w:val="21"/>
        </w:rPr>
        <w:t>2</w:t>
      </w:r>
      <w:r w:rsidRPr="0043038D">
        <w:rPr>
          <w:rFonts w:ascii="Arial" w:hAnsi="Arial" w:cs="Arial" w:hint="eastAsia"/>
          <w:kern w:val="2"/>
          <w:sz w:val="21"/>
          <w:szCs w:val="21"/>
        </w:rPr>
        <w:t>公里内有福星花园、宏大中园、宏盛家园、</w:t>
      </w:r>
      <w:proofErr w:type="gramStart"/>
      <w:r w:rsidRPr="0043038D">
        <w:rPr>
          <w:rFonts w:ascii="Arial" w:hAnsi="Arial" w:cs="Arial" w:hint="eastAsia"/>
          <w:kern w:val="2"/>
          <w:sz w:val="21"/>
          <w:szCs w:val="21"/>
        </w:rPr>
        <w:t>鸿坤理想城</w:t>
      </w:r>
      <w:proofErr w:type="gramEnd"/>
      <w:r w:rsidRPr="0043038D">
        <w:rPr>
          <w:rFonts w:ascii="Arial" w:hAnsi="Arial" w:cs="Arial" w:hint="eastAsia"/>
          <w:kern w:val="2"/>
          <w:sz w:val="21"/>
          <w:szCs w:val="21"/>
        </w:rPr>
        <w:t>、九龙家园、九龙山庄、瑞海家园、同兴园、熙红印、兴都苑、兴海家园、月桂庄园等，居住小区规模较大，入住率较好，综合评价居住区成熟度较好。</w:t>
      </w:r>
      <w:r w:rsidRPr="0043038D">
        <w:rPr>
          <w:rFonts w:ascii="Arial" w:hAnsi="Arial" w:hint="eastAsia"/>
          <w:sz w:val="21"/>
          <w:szCs w:val="28"/>
        </w:rPr>
        <w:t>据调查，估价对象周边同类型住宅租金约为</w:t>
      </w:r>
      <w:r w:rsidRPr="0043038D">
        <w:rPr>
          <w:rFonts w:ascii="Arial" w:hAnsi="Arial"/>
          <w:sz w:val="21"/>
          <w:szCs w:val="28"/>
        </w:rPr>
        <w:t>65</w:t>
      </w:r>
      <w:r w:rsidRPr="0043038D">
        <w:rPr>
          <w:rFonts w:ascii="Arial" w:hAnsi="Arial" w:hint="eastAsia"/>
          <w:sz w:val="21"/>
          <w:szCs w:val="28"/>
        </w:rPr>
        <w:t>-8</w:t>
      </w:r>
      <w:r w:rsidRPr="0043038D">
        <w:rPr>
          <w:rFonts w:ascii="Arial" w:hAnsi="Arial"/>
          <w:sz w:val="21"/>
          <w:szCs w:val="28"/>
        </w:rPr>
        <w:t>5</w:t>
      </w:r>
      <w:r w:rsidRPr="0043038D">
        <w:rPr>
          <w:rFonts w:ascii="Arial" w:hAnsi="Arial" w:hint="eastAsia"/>
          <w:sz w:val="21"/>
          <w:szCs w:val="28"/>
        </w:rPr>
        <w:t>元</w:t>
      </w:r>
      <w:r w:rsidRPr="0043038D">
        <w:rPr>
          <w:rFonts w:ascii="Arial" w:hAnsi="Arial" w:hint="eastAsia"/>
          <w:sz w:val="21"/>
          <w:szCs w:val="28"/>
        </w:rPr>
        <w:t>/</w:t>
      </w:r>
      <w:r w:rsidRPr="0043038D">
        <w:rPr>
          <w:rFonts w:ascii="Arial" w:hAnsi="Arial" w:hint="eastAsia"/>
          <w:sz w:val="21"/>
          <w:szCs w:val="28"/>
        </w:rPr>
        <w:t>平方米·月。</w:t>
      </w:r>
    </w:p>
    <w:p w:rsidR="000E5655" w:rsidRPr="0043038D" w:rsidRDefault="000E5655">
      <w:pPr>
        <w:spacing w:line="480" w:lineRule="auto"/>
        <w:ind w:firstLineChars="200" w:firstLine="420"/>
        <w:jc w:val="both"/>
        <w:rPr>
          <w:rFonts w:ascii="Arial" w:hAnsi="Arial"/>
          <w:sz w:val="21"/>
          <w:szCs w:val="28"/>
        </w:rPr>
      </w:pPr>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64" w:name="_Toc155267105"/>
      <w:r w:rsidRPr="0043038D">
        <w:rPr>
          <w:rFonts w:eastAsia="宋体"/>
          <w:kern w:val="2"/>
          <w:sz w:val="21"/>
          <w:szCs w:val="21"/>
        </w:rPr>
        <w:t>三、最高</w:t>
      </w:r>
      <w:proofErr w:type="gramStart"/>
      <w:r w:rsidRPr="0043038D">
        <w:rPr>
          <w:rFonts w:eastAsia="宋体"/>
          <w:kern w:val="2"/>
          <w:sz w:val="21"/>
          <w:szCs w:val="21"/>
        </w:rPr>
        <w:t>最佳利用</w:t>
      </w:r>
      <w:proofErr w:type="gramEnd"/>
      <w:r w:rsidRPr="0043038D">
        <w:rPr>
          <w:rFonts w:eastAsia="宋体"/>
          <w:kern w:val="2"/>
          <w:sz w:val="21"/>
          <w:szCs w:val="21"/>
        </w:rPr>
        <w:t>分析</w:t>
      </w:r>
      <w:bookmarkEnd w:id="58"/>
      <w:bookmarkEnd w:id="64"/>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所谓最高最佳使用是指房地产估价要以房地产的最高最佳使用为前提。最高最佳使用是估价对象</w:t>
      </w:r>
      <w:r w:rsidRPr="0043038D">
        <w:rPr>
          <w:rFonts w:ascii="Arial" w:hAnsi="Arial" w:cs="Arial"/>
          <w:sz w:val="21"/>
          <w:szCs w:val="21"/>
        </w:rPr>
        <w:lastRenderedPageBreak/>
        <w:t>的一种最可能的使用</w:t>
      </w:r>
      <w:r w:rsidRPr="0043038D">
        <w:rPr>
          <w:rFonts w:ascii="Arial" w:hAnsi="Arial" w:cs="Arial" w:hint="eastAsia"/>
          <w:sz w:val="21"/>
          <w:szCs w:val="21"/>
        </w:rPr>
        <w:t>,</w:t>
      </w:r>
      <w:r w:rsidRPr="0043038D">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43038D">
        <w:rPr>
          <w:rFonts w:ascii="Arial" w:hAnsi="Arial" w:cs="Arial" w:hint="eastAsia"/>
          <w:sz w:val="21"/>
          <w:szCs w:val="21"/>
        </w:rPr>
        <w:t>:</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（一）法律上允许</w:t>
      </w:r>
      <w:r w:rsidRPr="0043038D">
        <w:rPr>
          <w:rFonts w:ascii="Arial" w:hAnsi="Arial" w:cs="Arial" w:hint="eastAsia"/>
          <w:b/>
          <w:sz w:val="21"/>
          <w:szCs w:val="21"/>
        </w:rPr>
        <w:t>（</w:t>
      </w:r>
      <w:r w:rsidRPr="0043038D">
        <w:rPr>
          <w:rFonts w:ascii="Arial" w:hAnsi="Arial" w:cs="Arial"/>
          <w:b/>
          <w:sz w:val="21"/>
          <w:szCs w:val="21"/>
        </w:rPr>
        <w:t>规划及相关政策法规许可</w:t>
      </w:r>
      <w:r w:rsidRPr="0043038D">
        <w:rPr>
          <w:rFonts w:ascii="Arial" w:hAnsi="Arial" w:cs="Arial" w:hint="eastAsia"/>
          <w:b/>
          <w:sz w:val="21"/>
          <w:szCs w:val="21"/>
        </w:rPr>
        <w:t>）</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法律上允许即不受现时使用状况的限制，而依照法律规章、规划发展方向，按照其可能的最优用途进行估价。</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bookmarkStart w:id="65" w:name="_Hlk130232101"/>
      <w:r w:rsidRPr="0043038D">
        <w:rPr>
          <w:rFonts w:ascii="Arial" w:hAnsi="Arial" w:cs="Arial" w:hint="eastAsia"/>
          <w:sz w:val="21"/>
          <w:szCs w:val="21"/>
        </w:rPr>
        <w:t>根据估价委托人介绍及《国有建设用地使用权出让合同（正文）》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，估价对象为</w:t>
      </w:r>
      <w:r w:rsidRPr="0043038D">
        <w:rPr>
          <w:rFonts w:ascii="Arial" w:hAnsi="Arial" w:cs="Arial" w:hint="eastAsia"/>
          <w:kern w:val="2"/>
          <w:sz w:val="21"/>
          <w:szCs w:val="21"/>
        </w:rPr>
        <w:t>保障性租赁住房（住宅型）</w:t>
      </w:r>
      <w:r w:rsidRPr="0043038D">
        <w:rPr>
          <w:rFonts w:ascii="Arial" w:hAnsi="Arial" w:cs="Arial" w:hint="eastAsia"/>
          <w:sz w:val="21"/>
          <w:szCs w:val="21"/>
        </w:rPr>
        <w:t>，法律上允许。</w:t>
      </w:r>
      <w:bookmarkEnd w:id="65"/>
    </w:p>
    <w:p w:rsidR="000E5655" w:rsidRPr="0043038D" w:rsidRDefault="00837133">
      <w:pPr>
        <w:pStyle w:val="12"/>
        <w:autoSpaceDE w:val="0"/>
        <w:autoSpaceDN w:val="0"/>
        <w:spacing w:line="480" w:lineRule="auto"/>
        <w:ind w:right="142"/>
        <w:jc w:val="both"/>
        <w:textAlignment w:val="bottom"/>
        <w:rPr>
          <w:rFonts w:ascii="Arial" w:hAnsi="Arial" w:cs="Arial"/>
          <w:b/>
          <w:sz w:val="21"/>
          <w:szCs w:val="21"/>
        </w:rPr>
      </w:pPr>
      <w:r w:rsidRPr="0043038D">
        <w:rPr>
          <w:rFonts w:ascii="Arial" w:hAnsi="Arial" w:cs="Arial"/>
          <w:b/>
          <w:sz w:val="21"/>
          <w:szCs w:val="21"/>
        </w:rPr>
        <w:t>（二）技术上可能</w:t>
      </w:r>
    </w:p>
    <w:p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技术上可能</w:t>
      </w:r>
      <w:r w:rsidRPr="0043038D">
        <w:rPr>
          <w:rFonts w:ascii="Arial" w:hAnsi="Arial" w:cs="Arial"/>
          <w:sz w:val="21"/>
          <w:szCs w:val="21"/>
        </w:rPr>
        <w:t>即不能把技术上无法做到的使用当作最高最佳使用，要按照房屋建筑工程方面的技术要求进行估价。</w:t>
      </w:r>
    </w:p>
    <w:p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估价对象为</w:t>
      </w:r>
      <w:r w:rsidRPr="0043038D">
        <w:rPr>
          <w:rFonts w:ascii="Arial" w:hAnsi="Arial" w:cs="Arial" w:hint="eastAsia"/>
          <w:kern w:val="2"/>
          <w:sz w:val="21"/>
          <w:szCs w:val="21"/>
        </w:rPr>
        <w:t>钢混</w:t>
      </w:r>
      <w:r w:rsidRPr="0043038D">
        <w:rPr>
          <w:rFonts w:ascii="Arial" w:hAnsi="Arial" w:cs="Arial" w:hint="eastAsia"/>
          <w:sz w:val="21"/>
          <w:szCs w:val="21"/>
        </w:rPr>
        <w:t>结构的高层建筑物。</w:t>
      </w:r>
      <w:r w:rsidRPr="0043038D">
        <w:rPr>
          <w:rFonts w:ascii="Arial" w:hAnsi="Arial" w:cs="Arial"/>
          <w:sz w:val="21"/>
          <w:szCs w:val="21"/>
        </w:rPr>
        <w:t>估价对象建筑结构、功能、造型、立面效果、建筑材料和设备选用、施工技术等方面，</w:t>
      </w:r>
      <w:r w:rsidRPr="0043038D">
        <w:rPr>
          <w:rFonts w:ascii="Arial" w:hAnsi="Arial" w:cs="Arial" w:hint="eastAsia"/>
          <w:sz w:val="21"/>
          <w:szCs w:val="21"/>
        </w:rPr>
        <w:t>在目前的施工</w:t>
      </w:r>
      <w:r w:rsidRPr="0043038D">
        <w:rPr>
          <w:rFonts w:ascii="Arial" w:hAnsi="Arial" w:cs="Arial"/>
          <w:sz w:val="21"/>
          <w:szCs w:val="21"/>
        </w:rPr>
        <w:t>技术上均能满足要求。</w:t>
      </w:r>
    </w:p>
    <w:p w:rsidR="000E5655" w:rsidRPr="0043038D" w:rsidRDefault="00837133">
      <w:pPr>
        <w:pStyle w:val="12"/>
        <w:autoSpaceDE w:val="0"/>
        <w:autoSpaceDN w:val="0"/>
        <w:spacing w:line="480" w:lineRule="auto"/>
        <w:ind w:right="142"/>
        <w:jc w:val="both"/>
        <w:textAlignment w:val="bottom"/>
        <w:rPr>
          <w:rFonts w:ascii="Arial" w:hAnsi="Arial" w:cs="Arial"/>
          <w:b/>
          <w:sz w:val="21"/>
          <w:szCs w:val="21"/>
        </w:rPr>
      </w:pPr>
      <w:r w:rsidRPr="0043038D">
        <w:rPr>
          <w:rFonts w:ascii="Arial" w:hAnsi="Arial" w:cs="Arial"/>
          <w:b/>
          <w:sz w:val="21"/>
          <w:szCs w:val="21"/>
        </w:rPr>
        <w:t>（三）经济上可行</w:t>
      </w:r>
    </w:p>
    <w:p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经济上可行</w:t>
      </w:r>
      <w:r w:rsidRPr="0043038D">
        <w:rPr>
          <w:rFonts w:ascii="Arial" w:hAnsi="Arial" w:cs="Arial"/>
          <w:sz w:val="21"/>
          <w:szCs w:val="21"/>
        </w:rPr>
        <w:t>即估价结果应是各种可能的使用方式中，以经济上有限的投入而能获得最大的收益的使用方式的估价结果。估价对象目前用途、</w:t>
      </w:r>
      <w:r w:rsidRPr="0043038D">
        <w:rPr>
          <w:rFonts w:ascii="Arial" w:hAnsi="Arial" w:cs="Arial" w:hint="eastAsia"/>
          <w:sz w:val="21"/>
          <w:szCs w:val="21"/>
        </w:rPr>
        <w:t>设定</w:t>
      </w:r>
      <w:r w:rsidRPr="0043038D">
        <w:rPr>
          <w:rFonts w:ascii="Arial" w:hAnsi="Arial" w:cs="Arial"/>
          <w:sz w:val="21"/>
          <w:szCs w:val="21"/>
        </w:rPr>
        <w:t>产权合法、建造标准技术上能满足要求，并且其收入现值大于支出现值，具有经济可行性。</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（四）价值最大化</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hint="eastAsia"/>
          <w:sz w:val="21"/>
          <w:szCs w:val="21"/>
        </w:rPr>
        <w:t>价值最大化</w:t>
      </w:r>
      <w:r w:rsidRPr="0043038D">
        <w:rPr>
          <w:rFonts w:ascii="Arial" w:hAnsi="Arial" w:cs="Arial"/>
          <w:sz w:val="21"/>
          <w:szCs w:val="21"/>
        </w:rPr>
        <w:t>即在所有具有经济可行性的使用方式中，能使估价对象价值达到最大的使用方式，才是最高最佳的使用方式。估价对象用途为</w:t>
      </w:r>
      <w:r w:rsidRPr="0043038D">
        <w:rPr>
          <w:rFonts w:ascii="Arial" w:hAnsi="Arial" w:cs="Arial" w:hint="eastAsia"/>
          <w:kern w:val="2"/>
          <w:sz w:val="21"/>
          <w:szCs w:val="21"/>
        </w:rPr>
        <w:t>保障性租赁住房（住宅型）</w:t>
      </w:r>
      <w:r w:rsidRPr="0043038D">
        <w:rPr>
          <w:rFonts w:ascii="Arial" w:hAnsi="Arial" w:cs="Arial" w:hint="eastAsia"/>
          <w:sz w:val="21"/>
          <w:szCs w:val="21"/>
        </w:rPr>
        <w:t>，</w:t>
      </w:r>
      <w:proofErr w:type="gramStart"/>
      <w:r w:rsidRPr="0043038D">
        <w:rPr>
          <w:rFonts w:ascii="Arial" w:hAnsi="Arial" w:cs="Arial" w:hint="eastAsia"/>
          <w:sz w:val="21"/>
          <w:szCs w:val="21"/>
        </w:rPr>
        <w:t>实际拟</w:t>
      </w:r>
      <w:proofErr w:type="gramEnd"/>
      <w:r w:rsidRPr="0043038D">
        <w:rPr>
          <w:rFonts w:ascii="Arial" w:hAnsi="Arial" w:cs="Arial" w:hint="eastAsia"/>
          <w:sz w:val="21"/>
          <w:szCs w:val="21"/>
        </w:rPr>
        <w:t>用作保障性租赁住房，</w:t>
      </w:r>
      <w:r w:rsidRPr="0043038D">
        <w:rPr>
          <w:rFonts w:ascii="Arial" w:hAnsi="Arial" w:cs="Arial"/>
          <w:sz w:val="21"/>
          <w:szCs w:val="21"/>
        </w:rPr>
        <w:t>其使用方式以满足法律上许可、技术上可能、经济上可行为前提条件，经过论证可使估价对象价值得到最大化。</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（五）使用前提说明与分析</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估价对象</w:t>
      </w:r>
      <w:r w:rsidRPr="0043038D">
        <w:rPr>
          <w:rFonts w:ascii="Arial" w:hAnsi="Arial" w:cs="Arial" w:hint="eastAsia"/>
          <w:sz w:val="21"/>
          <w:szCs w:val="21"/>
        </w:rPr>
        <w:t>设定</w:t>
      </w:r>
      <w:r w:rsidRPr="0043038D">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w:t>
      </w:r>
      <w:r w:rsidRPr="0043038D">
        <w:rPr>
          <w:rFonts w:ascii="Arial" w:hAnsi="Arial" w:cs="Arial"/>
          <w:sz w:val="21"/>
          <w:szCs w:val="21"/>
        </w:rPr>
        <w:lastRenderedPageBreak/>
        <w:t>减去拆除现有建筑物的费用及建造新建筑物的费用之后的余额。根据目前房地产市场状况并结合开发经验，以保持现状最为有利。</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综上所述，我们认为估价对象用途</w:t>
      </w:r>
      <w:r w:rsidRPr="0043038D">
        <w:rPr>
          <w:rFonts w:ascii="Arial" w:hAnsi="Arial" w:cs="Arial" w:hint="eastAsia"/>
          <w:sz w:val="21"/>
          <w:szCs w:val="21"/>
        </w:rPr>
        <w:t>为保障性租赁住房（住宅型）</w:t>
      </w:r>
      <w:r w:rsidRPr="0043038D">
        <w:rPr>
          <w:rFonts w:ascii="Arial" w:hAnsi="Arial" w:cs="Arial"/>
          <w:sz w:val="21"/>
          <w:szCs w:val="21"/>
        </w:rPr>
        <w:t>为其最高最佳使用途径。</w:t>
      </w:r>
    </w:p>
    <w:p w:rsidR="000E5655" w:rsidRPr="0043038D" w:rsidRDefault="000E5655">
      <w:pPr>
        <w:spacing w:line="480" w:lineRule="auto"/>
        <w:ind w:firstLineChars="200" w:firstLine="420"/>
        <w:jc w:val="both"/>
        <w:rPr>
          <w:rFonts w:ascii="Arial" w:hAnsi="Arial" w:cs="Arial"/>
          <w:sz w:val="21"/>
          <w:szCs w:val="21"/>
        </w:rPr>
      </w:pPr>
    </w:p>
    <w:p w:rsidR="000E5655" w:rsidRPr="0043038D" w:rsidRDefault="00837133">
      <w:pPr>
        <w:pStyle w:val="2"/>
        <w:numPr>
          <w:ilvl w:val="0"/>
          <w:numId w:val="9"/>
        </w:numPr>
        <w:spacing w:line="480" w:lineRule="auto"/>
        <w:jc w:val="both"/>
        <w:rPr>
          <w:rFonts w:eastAsia="宋体"/>
          <w:kern w:val="2"/>
          <w:sz w:val="21"/>
          <w:szCs w:val="21"/>
        </w:rPr>
      </w:pPr>
      <w:bookmarkStart w:id="66" w:name="_Toc155267106"/>
      <w:bookmarkStart w:id="67" w:name="_Toc525655439"/>
      <w:r w:rsidRPr="0043038D">
        <w:rPr>
          <w:rFonts w:eastAsia="宋体"/>
          <w:kern w:val="2"/>
          <w:sz w:val="21"/>
          <w:szCs w:val="21"/>
        </w:rPr>
        <w:t>估价方法适用性分析</w:t>
      </w:r>
      <w:bookmarkEnd w:id="66"/>
      <w:bookmarkEnd w:id="67"/>
    </w:p>
    <w:p w:rsidR="000E5655" w:rsidRPr="0043038D" w:rsidRDefault="00837133">
      <w:pPr>
        <w:wordWrap w:val="0"/>
        <w:overflowPunct w:val="0"/>
        <w:spacing w:line="480" w:lineRule="auto"/>
        <w:ind w:firstLineChars="200" w:firstLine="420"/>
        <w:jc w:val="both"/>
        <w:textAlignment w:val="auto"/>
        <w:rPr>
          <w:rFonts w:ascii="Arial" w:hAnsi="Arial" w:cs="Arial"/>
          <w:bCs/>
          <w:spacing w:val="10"/>
          <w:sz w:val="21"/>
          <w:szCs w:val="21"/>
        </w:rPr>
      </w:pPr>
      <w:r w:rsidRPr="0043038D">
        <w:rPr>
          <w:rFonts w:ascii="Arial" w:hAnsi="Arial" w:cs="Arial"/>
          <w:sz w:val="21"/>
          <w:szCs w:val="21"/>
        </w:rPr>
        <w:t>由于本次评估是</w:t>
      </w:r>
      <w:r w:rsidRPr="0043038D">
        <w:rPr>
          <w:rFonts w:ascii="Arial" w:hAnsi="Arial" w:cs="Arial" w:hint="eastAsia"/>
          <w:sz w:val="21"/>
          <w:szCs w:val="21"/>
        </w:rPr>
        <w:t>为估价委托人了解估价对象项目市场租金水平提供参考依据</w:t>
      </w:r>
      <w:r w:rsidRPr="0043038D">
        <w:rPr>
          <w:rFonts w:ascii="Arial" w:hAnsi="Arial" w:cs="Arial"/>
          <w:sz w:val="21"/>
          <w:szCs w:val="21"/>
        </w:rPr>
        <w:t>，因此我们在认真分析研究估价对象的相关资料，并通过对邻近地区同类物业调查的基础上，根据《房地产估价规范》</w:t>
      </w:r>
      <w:r w:rsidRPr="0043038D">
        <w:rPr>
          <w:rFonts w:ascii="Arial" w:hAnsi="Arial" w:cs="Arial" w:hint="eastAsia"/>
          <w:sz w:val="21"/>
          <w:szCs w:val="21"/>
        </w:rPr>
        <w:t>（</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r w:rsidRPr="0043038D">
        <w:rPr>
          <w:rFonts w:ascii="Arial" w:hAnsi="Arial" w:cs="Arial" w:hint="eastAsia"/>
          <w:sz w:val="21"/>
          <w:szCs w:val="21"/>
        </w:rPr>
        <w:t>）</w:t>
      </w:r>
      <w:r w:rsidRPr="0043038D">
        <w:rPr>
          <w:rFonts w:ascii="Arial" w:hAnsi="Arial" w:cs="Arial"/>
          <w:sz w:val="21"/>
          <w:szCs w:val="21"/>
        </w:rPr>
        <w:t>的估价程序，选用</w:t>
      </w:r>
      <w:r w:rsidRPr="0043038D">
        <w:rPr>
          <w:rFonts w:ascii="Arial" w:hAnsi="Arial" w:cs="Arial" w:hint="eastAsia"/>
          <w:sz w:val="21"/>
          <w:szCs w:val="21"/>
        </w:rPr>
        <w:t>比较法</w:t>
      </w:r>
      <w:r w:rsidRPr="0043038D">
        <w:rPr>
          <w:rFonts w:ascii="Arial" w:hAnsi="Arial" w:cs="Arial"/>
          <w:sz w:val="21"/>
          <w:szCs w:val="21"/>
        </w:rPr>
        <w:t>为主方法进行估价</w:t>
      </w:r>
      <w:r w:rsidRPr="0043038D">
        <w:rPr>
          <w:rFonts w:ascii="Arial" w:hAnsi="Arial" w:cs="Arial" w:hint="eastAsia"/>
          <w:sz w:val="21"/>
          <w:szCs w:val="21"/>
        </w:rPr>
        <w:t>，进而确定</w:t>
      </w:r>
      <w:r w:rsidRPr="0043038D">
        <w:rPr>
          <w:rFonts w:ascii="Arial" w:hAnsi="Arial" w:hint="eastAsia"/>
          <w:sz w:val="21"/>
          <w:szCs w:val="21"/>
        </w:rPr>
        <w:t>估价对象</w:t>
      </w:r>
      <w:r w:rsidRPr="0043038D">
        <w:rPr>
          <w:rFonts w:ascii="Arial" w:hAnsi="Arial" w:cs="Arial" w:hint="eastAsia"/>
          <w:sz w:val="21"/>
          <w:szCs w:val="21"/>
        </w:rPr>
        <w:t>市场租金价格水平</w:t>
      </w:r>
      <w:r w:rsidRPr="0043038D">
        <w:rPr>
          <w:rFonts w:ascii="Arial" w:hAnsi="Arial" w:cs="Arial"/>
          <w:sz w:val="21"/>
          <w:szCs w:val="21"/>
        </w:rPr>
        <w:t>。</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（一）</w:t>
      </w:r>
      <w:r w:rsidRPr="0043038D">
        <w:rPr>
          <w:rFonts w:ascii="Arial" w:hAnsi="Arial" w:cs="Arial" w:hint="eastAsia"/>
          <w:b/>
          <w:sz w:val="21"/>
          <w:szCs w:val="21"/>
        </w:rPr>
        <w:t>估价思路</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首先，根据估价委托人提供的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w:t>
            </w:r>
            <w:proofErr w:type="gramStart"/>
            <w:r w:rsidRPr="0043038D">
              <w:rPr>
                <w:rFonts w:ascii="Arial" w:eastAsia="华文细黑" w:hAnsi="Arial" w:cs="Arial"/>
                <w:sz w:val="18"/>
                <w:szCs w:val="18"/>
              </w:rPr>
              <w:t>一</w:t>
            </w:r>
            <w:proofErr w:type="gramEnd"/>
            <w:r w:rsidRPr="0043038D">
              <w:rPr>
                <w:rFonts w:ascii="Arial" w:eastAsia="华文细黑" w:hAnsi="Arial" w:cs="Arial"/>
                <w:sz w:val="18"/>
                <w:szCs w:val="18"/>
              </w:rPr>
              <w:t>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rsidR="000E5655" w:rsidRPr="0043038D" w:rsidRDefault="00837133">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在估价对象周边区域选取适当数量</w:t>
      </w:r>
      <w:r w:rsidRPr="0043038D">
        <w:rPr>
          <w:rFonts w:ascii="Arial" w:hAnsi="Arial" w:cs="Arial" w:hint="eastAsia"/>
          <w:sz w:val="21"/>
          <w:szCs w:val="21"/>
        </w:rPr>
        <w:t>住宅项目</w:t>
      </w:r>
      <w:r w:rsidRPr="0043038D">
        <w:rPr>
          <w:rFonts w:ascii="Arial" w:hAnsi="Arial" w:cs="Arial"/>
          <w:sz w:val="21"/>
          <w:szCs w:val="21"/>
        </w:rPr>
        <w:t>，结合估价机构市场调查，选取可比小区。</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3.</w:t>
      </w:r>
      <w:r w:rsidRPr="0043038D">
        <w:rPr>
          <w:rFonts w:ascii="Arial" w:hAnsi="Arial" w:cs="Arial"/>
          <w:sz w:val="21"/>
          <w:szCs w:val="21"/>
        </w:rPr>
        <w:t>将所选可比小区与评估对象标准房进行比较，进行区位状况调整和实物状况调整，计算各可比实例比准租金，得到</w:t>
      </w:r>
      <w:r w:rsidRPr="0043038D">
        <w:rPr>
          <w:rFonts w:ascii="Arial" w:hAnsi="Arial" w:cs="Arial" w:hint="eastAsia"/>
          <w:sz w:val="21"/>
          <w:szCs w:val="21"/>
        </w:rPr>
        <w:t>估价对象标准房</w:t>
      </w:r>
      <w:r w:rsidRPr="0043038D">
        <w:rPr>
          <w:rFonts w:ascii="Arial" w:hAnsi="Arial" w:cs="Arial"/>
          <w:sz w:val="21"/>
          <w:szCs w:val="21"/>
        </w:rPr>
        <w:t>租金水平</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（二）估价方法</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比较法，是在求取估价对象房地产</w:t>
      </w:r>
      <w:r w:rsidRPr="0043038D">
        <w:rPr>
          <w:rFonts w:ascii="Arial" w:hAnsi="Arial" w:cs="Arial" w:hint="eastAsia"/>
          <w:sz w:val="21"/>
          <w:szCs w:val="21"/>
        </w:rPr>
        <w:t>市场租金水平</w:t>
      </w:r>
      <w:r w:rsidRPr="0043038D">
        <w:rPr>
          <w:rFonts w:ascii="Arial" w:hAnsi="Arial" w:cs="Arial"/>
          <w:sz w:val="21"/>
          <w:szCs w:val="21"/>
        </w:rPr>
        <w:t>时，根据替代原则，将估价对象与在较近时期内已发生交易的类似房地产</w:t>
      </w:r>
      <w:r w:rsidRPr="0043038D">
        <w:rPr>
          <w:rFonts w:ascii="Arial" w:hAnsi="Arial" w:cs="Arial" w:hint="eastAsia"/>
          <w:sz w:val="21"/>
          <w:szCs w:val="21"/>
        </w:rPr>
        <w:t>租赁</w:t>
      </w:r>
      <w:r w:rsidRPr="0043038D">
        <w:rPr>
          <w:rFonts w:ascii="Arial" w:hAnsi="Arial" w:cs="Arial"/>
          <w:sz w:val="21"/>
          <w:szCs w:val="21"/>
        </w:rPr>
        <w:t>交易实例进行对照比较，并依据后者已知的价格，参照该房地产的交易情况、期日、区域及实物状况的差别，修正得出估价对象房地产</w:t>
      </w:r>
      <w:r w:rsidRPr="0043038D">
        <w:rPr>
          <w:rFonts w:ascii="Arial" w:hAnsi="Arial" w:cs="Arial" w:hint="eastAsia"/>
          <w:sz w:val="21"/>
          <w:szCs w:val="21"/>
        </w:rPr>
        <w:t>市场租金水平</w:t>
      </w:r>
      <w:r w:rsidRPr="0043038D">
        <w:rPr>
          <w:rFonts w:ascii="Arial" w:hAnsi="Arial" w:cs="Arial"/>
          <w:sz w:val="21"/>
          <w:szCs w:val="21"/>
        </w:rPr>
        <w:t>的方法。本次估价采用比较法思路评估租金价格水平。</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sz w:val="21"/>
          <w:szCs w:val="21"/>
        </w:rPr>
        <w:t>采用</w:t>
      </w:r>
      <w:r w:rsidRPr="0043038D">
        <w:rPr>
          <w:rFonts w:ascii="Arial" w:hAnsi="Arial" w:cs="Arial" w:hint="eastAsia"/>
          <w:sz w:val="21"/>
          <w:szCs w:val="21"/>
        </w:rPr>
        <w:t>比较法</w:t>
      </w:r>
      <w:r w:rsidRPr="0043038D">
        <w:rPr>
          <w:rFonts w:ascii="Arial" w:hAnsi="Arial" w:cs="Arial"/>
          <w:sz w:val="21"/>
          <w:szCs w:val="21"/>
        </w:rPr>
        <w:t>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w:t>
      </w:r>
      <w:r w:rsidRPr="0043038D">
        <w:rPr>
          <w:rFonts w:ascii="Arial" w:hAnsi="Arial" w:cs="Arial" w:hint="eastAsia"/>
          <w:sz w:val="21"/>
          <w:szCs w:val="21"/>
        </w:rPr>
        <w:t>公寓</w:t>
      </w:r>
      <w:r w:rsidRPr="0043038D">
        <w:rPr>
          <w:rFonts w:ascii="Arial" w:hAnsi="Arial" w:cs="Arial"/>
          <w:sz w:val="21"/>
          <w:szCs w:val="21"/>
        </w:rPr>
        <w:t>出租的公开信息，可通过因素修正得出估价对象所在区域</w:t>
      </w:r>
      <w:r w:rsidRPr="0043038D">
        <w:rPr>
          <w:rFonts w:ascii="Arial" w:hAnsi="Arial" w:cs="Arial" w:hint="eastAsia"/>
          <w:sz w:val="21"/>
          <w:szCs w:val="21"/>
        </w:rPr>
        <w:t>公寓</w:t>
      </w:r>
      <w:r w:rsidRPr="0043038D">
        <w:rPr>
          <w:rFonts w:ascii="Arial" w:hAnsi="Arial" w:cs="Arial"/>
          <w:sz w:val="21"/>
          <w:szCs w:val="21"/>
        </w:rPr>
        <w:t>租赁价格水平</w:t>
      </w:r>
      <w:r w:rsidRPr="0043038D">
        <w:rPr>
          <w:rFonts w:ascii="Arial" w:hAnsi="Arial" w:cs="Arial" w:hint="eastAsia"/>
          <w:sz w:val="21"/>
          <w:szCs w:val="21"/>
        </w:rPr>
        <w:t>。</w:t>
      </w:r>
      <w:r w:rsidRPr="0043038D">
        <w:rPr>
          <w:rFonts w:ascii="Arial" w:hAnsi="Arial" w:cs="Arial"/>
          <w:sz w:val="21"/>
          <w:szCs w:val="21"/>
        </w:rPr>
        <w:t xml:space="preserve"> </w:t>
      </w:r>
      <w:r w:rsidRPr="0043038D">
        <w:rPr>
          <w:rFonts w:ascii="Arial" w:hAnsi="Arial" w:cs="Arial"/>
          <w:sz w:val="21"/>
          <w:szCs w:val="21"/>
        </w:rPr>
        <w:t>同时</w:t>
      </w:r>
      <w:r w:rsidRPr="0043038D">
        <w:rPr>
          <w:rFonts w:ascii="Arial" w:hAnsi="Arial" w:cs="Arial" w:hint="eastAsia"/>
          <w:sz w:val="21"/>
          <w:szCs w:val="21"/>
        </w:rPr>
        <w:t>，</w:t>
      </w:r>
      <w:r w:rsidRPr="0043038D">
        <w:rPr>
          <w:rFonts w:ascii="Arial" w:hAnsi="Arial" w:cs="Arial"/>
          <w:sz w:val="21"/>
          <w:szCs w:val="21"/>
        </w:rPr>
        <w:t>通过区域因素修正得出估价对象相邻或相似区域</w:t>
      </w:r>
      <w:r w:rsidRPr="0043038D">
        <w:rPr>
          <w:rFonts w:ascii="Arial" w:hAnsi="Arial" w:cs="Arial" w:hint="eastAsia"/>
          <w:sz w:val="21"/>
          <w:szCs w:val="21"/>
        </w:rPr>
        <w:t>公寓</w:t>
      </w:r>
      <w:r w:rsidRPr="0043038D">
        <w:rPr>
          <w:rFonts w:ascii="Arial" w:hAnsi="Arial" w:cs="Arial"/>
          <w:sz w:val="21"/>
          <w:szCs w:val="21"/>
        </w:rPr>
        <w:t>租赁价格水平</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不采用成本法、假设开发法、收益法的理由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68" w:name="_Hlk155267600"/>
      <w:r w:rsidRPr="0043038D">
        <w:rPr>
          <w:rFonts w:hAnsi="宋体" w:cs="Arial" w:hint="eastAsia"/>
          <w:sz w:val="21"/>
          <w:szCs w:val="21"/>
        </w:rPr>
        <w:t>（1）估价对象适用比较法，且已优先采用比较法进行评估，故不再采用成本法进行测算。</w:t>
      </w:r>
    </w:p>
    <w:p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（2）假设开发法可评估房地产市场价值，但不适于租赁价格的评估。</w:t>
      </w:r>
    </w:p>
    <w:p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（3）</w:t>
      </w:r>
      <w:r w:rsidRPr="0043038D">
        <w:rPr>
          <w:rFonts w:hAnsi="宋体" w:cs="Arial"/>
          <w:sz w:val="21"/>
          <w:szCs w:val="21"/>
        </w:rPr>
        <w:t>收益法适用于有现实收益或潜在收益的土地或房地产估价。估价对象用途</w:t>
      </w:r>
      <w:r w:rsidRPr="0043038D">
        <w:rPr>
          <w:rFonts w:hAnsi="宋体" w:cs="Arial" w:hint="eastAsia"/>
          <w:sz w:val="21"/>
          <w:szCs w:val="21"/>
        </w:rPr>
        <w:t>设定为保障性租赁住房</w:t>
      </w:r>
      <w:r w:rsidRPr="0043038D">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43038D">
        <w:rPr>
          <w:rFonts w:hAnsi="宋体" w:cs="Arial" w:hint="eastAsia"/>
          <w:sz w:val="21"/>
          <w:szCs w:val="21"/>
        </w:rPr>
        <w:t>公寓</w:t>
      </w:r>
      <w:r w:rsidRPr="0043038D">
        <w:rPr>
          <w:rFonts w:hAnsi="宋体" w:cs="Arial"/>
          <w:sz w:val="21"/>
          <w:szCs w:val="21"/>
        </w:rPr>
        <w:t>业态租售比差距较大， 采用房屋交易价格测算出的房屋租金不能反映正常的市场租金水平，故未采用收益法</w:t>
      </w:r>
      <w:bookmarkEnd w:id="68"/>
      <w:r w:rsidRPr="0043038D">
        <w:rPr>
          <w:rFonts w:hAnsi="宋体" w:cs="Arial" w:hint="eastAsia"/>
          <w:sz w:val="21"/>
          <w:szCs w:val="21"/>
        </w:rPr>
        <w:t>。</w:t>
      </w:r>
    </w:p>
    <w:p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（三）估价方法公式</w:t>
      </w:r>
      <w:r w:rsidRPr="0043038D">
        <w:rPr>
          <w:rFonts w:ascii="Arial" w:hAnsi="Arial" w:cs="Arial"/>
          <w:b/>
          <w:sz w:val="21"/>
          <w:szCs w:val="21"/>
        </w:rPr>
        <w:t xml:space="preserve"> </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hint="eastAsia"/>
          <w:sz w:val="21"/>
          <w:szCs w:val="21"/>
        </w:rPr>
        <w:t>比较法计算公式为：</w:t>
      </w:r>
    </w:p>
    <w:p w:rsidR="000E5655" w:rsidRPr="0043038D" w:rsidRDefault="00837133">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43038D">
        <w:rPr>
          <w:rFonts w:ascii="Arial" w:hAnsi="Arial" w:cs="Arial"/>
          <w:sz w:val="21"/>
          <w:szCs w:val="21"/>
        </w:rPr>
        <w:t>待估房地产</w:t>
      </w:r>
      <w:proofErr w:type="gramEnd"/>
      <w:r w:rsidRPr="0043038D">
        <w:rPr>
          <w:rFonts w:ascii="Arial" w:hAnsi="Arial" w:cs="Arial"/>
          <w:sz w:val="21"/>
          <w:szCs w:val="21"/>
        </w:rPr>
        <w:t>租赁价格＝可比实例房地产租赁价格</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交易情况指数</w:t>
      </w:r>
      <w:r w:rsidRPr="0043038D">
        <w:rPr>
          <w:rFonts w:ascii="Arial" w:hAnsi="Arial" w:cs="Arial"/>
          <w:sz w:val="21"/>
          <w:szCs w:val="21"/>
        </w:rPr>
        <w:t>/</w:t>
      </w:r>
      <w:r w:rsidRPr="0043038D">
        <w:rPr>
          <w:rFonts w:ascii="Arial" w:hAnsi="Arial" w:cs="Arial"/>
          <w:sz w:val="21"/>
          <w:szCs w:val="21"/>
        </w:rPr>
        <w:t>可比实例交易情况指数）</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交易日期房</w:t>
      </w:r>
      <w:proofErr w:type="gramStart"/>
      <w:r w:rsidRPr="0043038D">
        <w:rPr>
          <w:rFonts w:ascii="Arial" w:hAnsi="Arial" w:cs="Arial"/>
          <w:sz w:val="21"/>
          <w:szCs w:val="21"/>
        </w:rPr>
        <w:t>地产价租赁</w:t>
      </w:r>
      <w:proofErr w:type="gramEnd"/>
      <w:r w:rsidRPr="0043038D">
        <w:rPr>
          <w:rFonts w:ascii="Arial" w:hAnsi="Arial" w:cs="Arial"/>
          <w:sz w:val="21"/>
          <w:szCs w:val="21"/>
        </w:rPr>
        <w:t>格指数</w:t>
      </w:r>
      <w:r w:rsidRPr="0043038D">
        <w:rPr>
          <w:rFonts w:ascii="Arial" w:hAnsi="Arial" w:cs="Arial"/>
          <w:sz w:val="21"/>
          <w:szCs w:val="21"/>
        </w:rPr>
        <w:t>/</w:t>
      </w:r>
      <w:r w:rsidRPr="0043038D">
        <w:rPr>
          <w:rFonts w:ascii="Arial" w:hAnsi="Arial" w:cs="Arial"/>
          <w:sz w:val="21"/>
          <w:szCs w:val="21"/>
        </w:rPr>
        <w:t>可比实例交易日期房地产租赁价格指数）</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hint="eastAsia"/>
          <w:sz w:val="21"/>
          <w:szCs w:val="21"/>
        </w:rPr>
        <w:t>项目</w:t>
      </w:r>
      <w:r w:rsidRPr="0043038D">
        <w:rPr>
          <w:rFonts w:ascii="Arial" w:hAnsi="Arial" w:cs="Arial"/>
          <w:sz w:val="21"/>
          <w:szCs w:val="21"/>
        </w:rPr>
        <w:t>类型指数</w:t>
      </w:r>
      <w:r w:rsidRPr="0043038D">
        <w:rPr>
          <w:rFonts w:ascii="Arial" w:hAnsi="Arial" w:cs="Arial"/>
          <w:sz w:val="21"/>
          <w:szCs w:val="21"/>
        </w:rPr>
        <w:t>/</w:t>
      </w:r>
      <w:r w:rsidRPr="0043038D">
        <w:rPr>
          <w:rFonts w:ascii="Arial" w:hAnsi="Arial" w:cs="Arial"/>
          <w:sz w:val="21"/>
          <w:szCs w:val="21"/>
        </w:rPr>
        <w:t>可比实例</w:t>
      </w:r>
      <w:r w:rsidRPr="0043038D">
        <w:rPr>
          <w:rFonts w:ascii="Arial" w:hAnsi="Arial" w:cs="Arial" w:hint="eastAsia"/>
          <w:sz w:val="21"/>
          <w:szCs w:val="21"/>
        </w:rPr>
        <w:t>项目</w:t>
      </w:r>
      <w:r w:rsidRPr="0043038D">
        <w:rPr>
          <w:rFonts w:ascii="Arial" w:hAnsi="Arial" w:cs="Arial"/>
          <w:sz w:val="21"/>
          <w:szCs w:val="21"/>
        </w:rPr>
        <w:t>类型指数</w:t>
      </w:r>
      <w:r w:rsidRPr="0043038D">
        <w:rPr>
          <w:rFonts w:ascii="Arial" w:hAnsi="Arial" w:cs="Arial" w:hint="eastAsia"/>
          <w:sz w:val="21"/>
          <w:szCs w:val="21"/>
        </w:rPr>
        <w:t>）</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区域状况条件指数</w:t>
      </w:r>
      <w:r w:rsidRPr="0043038D">
        <w:rPr>
          <w:rFonts w:ascii="Arial" w:hAnsi="Arial" w:cs="Arial"/>
          <w:sz w:val="21"/>
          <w:szCs w:val="21"/>
        </w:rPr>
        <w:t>/</w:t>
      </w:r>
      <w:r w:rsidRPr="0043038D">
        <w:rPr>
          <w:rFonts w:ascii="Arial" w:hAnsi="Arial" w:cs="Arial"/>
          <w:sz w:val="21"/>
          <w:szCs w:val="21"/>
        </w:rPr>
        <w:t>可比实例房地产区域状况条件指数）</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实物状况条件指数</w:t>
      </w:r>
      <w:r w:rsidRPr="0043038D">
        <w:rPr>
          <w:rFonts w:ascii="Arial" w:hAnsi="Arial" w:cs="Arial"/>
          <w:sz w:val="21"/>
          <w:szCs w:val="21"/>
        </w:rPr>
        <w:t>/</w:t>
      </w:r>
      <w:r w:rsidRPr="0043038D">
        <w:rPr>
          <w:rFonts w:ascii="Arial" w:hAnsi="Arial" w:cs="Arial"/>
          <w:sz w:val="21"/>
          <w:szCs w:val="21"/>
        </w:rPr>
        <w:t>可比实例房地产实物状况条件指数）</w:t>
      </w:r>
    </w:p>
    <w:p w:rsidR="000E5655" w:rsidRPr="0043038D" w:rsidRDefault="00837133">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43038D">
        <w:rPr>
          <w:rFonts w:ascii="Arial" w:hAnsi="Arial" w:cs="Arial" w:hint="eastAsia"/>
          <w:sz w:val="21"/>
          <w:szCs w:val="21"/>
        </w:rPr>
        <w:t>具体步骤如下：</w:t>
      </w:r>
    </w:p>
    <w:p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选择可比案例</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hint="eastAsia"/>
          <w:sz w:val="21"/>
          <w:szCs w:val="21"/>
        </w:rPr>
        <w:t>选择比较案例时，应符合以下要求（</w:t>
      </w:r>
      <w:proofErr w:type="gramStart"/>
      <w:r w:rsidRPr="0043038D">
        <w:rPr>
          <w:rFonts w:ascii="Arial" w:hAnsi="Arial" w:hint="eastAsia"/>
          <w:sz w:val="21"/>
          <w:szCs w:val="21"/>
        </w:rPr>
        <w:t>与待估房地产</w:t>
      </w:r>
      <w:proofErr w:type="gramEnd"/>
      <w:r w:rsidRPr="0043038D">
        <w:rPr>
          <w:rFonts w:ascii="Arial" w:hAnsi="Arial" w:hint="eastAsia"/>
          <w:sz w:val="21"/>
          <w:szCs w:val="21"/>
        </w:rPr>
        <w:t>比较）</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1</w:t>
      </w:r>
      <w:r w:rsidRPr="0043038D">
        <w:rPr>
          <w:rFonts w:ascii="Arial" w:hAnsi="Arial" w:hint="eastAsia"/>
          <w:sz w:val="21"/>
          <w:szCs w:val="21"/>
        </w:rPr>
        <w:t>）用途相同</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2</w:t>
      </w:r>
      <w:r w:rsidRPr="0043038D">
        <w:rPr>
          <w:rFonts w:ascii="Arial" w:hAnsi="Arial" w:hint="eastAsia"/>
          <w:sz w:val="21"/>
          <w:szCs w:val="21"/>
        </w:rPr>
        <w:t>）属于正常交易</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3</w:t>
      </w:r>
      <w:r w:rsidRPr="0043038D">
        <w:rPr>
          <w:rFonts w:ascii="Arial" w:hAnsi="Arial" w:hint="eastAsia"/>
          <w:sz w:val="21"/>
          <w:szCs w:val="21"/>
        </w:rPr>
        <w:t>）房地产状况各因素相近</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4</w:t>
      </w:r>
      <w:r w:rsidRPr="0043038D">
        <w:rPr>
          <w:rFonts w:ascii="Arial" w:hAnsi="Arial" w:hint="eastAsia"/>
          <w:sz w:val="21"/>
          <w:szCs w:val="21"/>
        </w:rPr>
        <w:t>）价值时点接近</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lastRenderedPageBreak/>
        <w:t>5</w:t>
      </w:r>
      <w:r w:rsidRPr="0043038D">
        <w:rPr>
          <w:rFonts w:ascii="Arial" w:hAnsi="Arial" w:hint="eastAsia"/>
          <w:sz w:val="21"/>
          <w:szCs w:val="21"/>
        </w:rPr>
        <w:t>）统一价格基础</w:t>
      </w:r>
    </w:p>
    <w:p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进行交易情况、交易日期、项目类型、房地产状况等因素修正</w:t>
      </w:r>
    </w:p>
    <w:p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求取估价对象比准价格</w:t>
      </w:r>
    </w:p>
    <w:p w:rsidR="000E5655" w:rsidRPr="0043038D" w:rsidRDefault="000E5655">
      <w:pPr>
        <w:pStyle w:val="2"/>
        <w:numPr>
          <w:ilvl w:val="0"/>
          <w:numId w:val="0"/>
        </w:numPr>
        <w:spacing w:line="480" w:lineRule="auto"/>
        <w:ind w:left="358" w:hangingChars="170" w:hanging="358"/>
        <w:jc w:val="both"/>
        <w:rPr>
          <w:rFonts w:eastAsia="宋体"/>
          <w:kern w:val="2"/>
          <w:sz w:val="21"/>
          <w:szCs w:val="21"/>
        </w:rPr>
      </w:pPr>
      <w:bookmarkStart w:id="69" w:name="_Toc525655440"/>
      <w:bookmarkStart w:id="70" w:name="_Toc155267107"/>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r w:rsidRPr="0043038D">
        <w:rPr>
          <w:rFonts w:eastAsia="宋体"/>
          <w:kern w:val="2"/>
          <w:sz w:val="21"/>
          <w:szCs w:val="21"/>
        </w:rPr>
        <w:t>五、估价测算过程</w:t>
      </w:r>
      <w:bookmarkEnd w:id="69"/>
      <w:bookmarkEnd w:id="70"/>
      <w:r w:rsidRPr="0043038D">
        <w:rPr>
          <w:rFonts w:eastAsia="宋体" w:hint="eastAsia"/>
          <w:kern w:val="2"/>
          <w:sz w:val="21"/>
          <w:szCs w:val="21"/>
        </w:rPr>
        <w:t xml:space="preserve">  </w:t>
      </w:r>
    </w:p>
    <w:p w:rsidR="000E5655" w:rsidRPr="0043038D" w:rsidRDefault="00837133">
      <w:pPr>
        <w:pStyle w:val="12"/>
        <w:autoSpaceDE w:val="0"/>
        <w:autoSpaceDN w:val="0"/>
        <w:spacing w:line="480" w:lineRule="auto"/>
        <w:ind w:right="140" w:firstLineChars="200" w:firstLine="422"/>
        <w:jc w:val="both"/>
        <w:textAlignment w:val="bottom"/>
        <w:rPr>
          <w:rFonts w:ascii="Arial" w:hAnsi="Arial" w:cs="Arial"/>
          <w:b/>
          <w:sz w:val="21"/>
          <w:szCs w:val="21"/>
        </w:rPr>
      </w:pPr>
      <w:r w:rsidRPr="0043038D">
        <w:rPr>
          <w:rFonts w:ascii="Arial" w:hAnsi="Arial" w:cs="Arial" w:hint="eastAsia"/>
          <w:b/>
          <w:sz w:val="21"/>
          <w:szCs w:val="21"/>
        </w:rPr>
        <w:t>（一）标准房选取</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w:t>
            </w:r>
            <w:proofErr w:type="gramStart"/>
            <w:r w:rsidRPr="0043038D">
              <w:rPr>
                <w:rFonts w:ascii="Arial" w:eastAsia="华文细黑" w:hAnsi="Arial" w:cs="Arial"/>
                <w:sz w:val="18"/>
                <w:szCs w:val="18"/>
              </w:rPr>
              <w:t>一</w:t>
            </w:r>
            <w:proofErr w:type="gramEnd"/>
            <w:r w:rsidRPr="0043038D">
              <w:rPr>
                <w:rFonts w:ascii="Arial" w:eastAsia="华文细黑" w:hAnsi="Arial" w:cs="Arial"/>
                <w:sz w:val="18"/>
                <w:szCs w:val="18"/>
              </w:rPr>
              <w:t>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rsidR="000E5655" w:rsidRPr="0043038D" w:rsidRDefault="00837133">
      <w:pPr>
        <w:pStyle w:val="aa"/>
        <w:spacing w:beforeLines="100" w:before="240" w:line="480" w:lineRule="auto"/>
        <w:ind w:firstLineChars="200" w:firstLine="422"/>
        <w:rPr>
          <w:rFonts w:ascii="Arial" w:eastAsia="宋体" w:hAnsi="Arial" w:cs="Arial"/>
          <w:sz w:val="21"/>
          <w:szCs w:val="21"/>
        </w:rPr>
      </w:pPr>
      <w:r w:rsidRPr="0043038D">
        <w:rPr>
          <w:rFonts w:ascii="Arial" w:eastAsia="宋体" w:hAnsi="Arial" w:cs="Arial"/>
          <w:sz w:val="21"/>
          <w:szCs w:val="21"/>
        </w:rPr>
        <w:t>（</w:t>
      </w:r>
      <w:r w:rsidRPr="0043038D">
        <w:rPr>
          <w:rFonts w:ascii="Arial" w:eastAsia="宋体" w:hAnsi="Arial" w:cs="Arial" w:hint="eastAsia"/>
          <w:sz w:val="21"/>
          <w:szCs w:val="21"/>
        </w:rPr>
        <w:t>二</w:t>
      </w:r>
      <w:r w:rsidRPr="0043038D">
        <w:rPr>
          <w:rFonts w:ascii="Arial" w:eastAsia="宋体" w:hAnsi="Arial" w:cs="Arial"/>
          <w:sz w:val="21"/>
          <w:szCs w:val="21"/>
        </w:rPr>
        <w:t>）</w:t>
      </w:r>
      <w:r w:rsidRPr="0043038D">
        <w:rPr>
          <w:rFonts w:ascii="Arial" w:eastAsia="宋体" w:hAnsi="Arial" w:cs="Arial" w:hint="eastAsia"/>
          <w:sz w:val="21"/>
          <w:szCs w:val="21"/>
        </w:rPr>
        <w:t>比较法测算过程</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A.</w:t>
      </w:r>
      <w:r w:rsidRPr="0043038D">
        <w:rPr>
          <w:rFonts w:ascii="Arial" w:hAnsi="Arial" w:cs="Arial" w:hint="eastAsia"/>
          <w:b/>
          <w:sz w:val="21"/>
          <w:szCs w:val="21"/>
        </w:rPr>
        <w:t>标准房</w:t>
      </w:r>
      <w:r w:rsidRPr="0043038D">
        <w:rPr>
          <w:rFonts w:ascii="Arial" w:hAnsi="Arial" w:cs="Arial" w:hint="eastAsia"/>
          <w:b/>
          <w:sz w:val="21"/>
          <w:szCs w:val="21"/>
        </w:rPr>
        <w:t>1</w:t>
      </w:r>
      <w:r w:rsidRPr="0043038D">
        <w:rPr>
          <w:rFonts w:ascii="Arial" w:hAnsi="Arial" w:cs="Arial" w:hint="eastAsia"/>
          <w:b/>
          <w:sz w:val="21"/>
          <w:szCs w:val="21"/>
        </w:rPr>
        <w:t>（</w:t>
      </w:r>
      <w:r w:rsidRPr="0043038D">
        <w:rPr>
          <w:rFonts w:ascii="宋体" w:hAnsi="宋体" w:hint="eastAsia"/>
          <w:b/>
          <w:sz w:val="21"/>
          <w:szCs w:val="21"/>
        </w:rPr>
        <w:t>零居室、</w:t>
      </w:r>
      <w:proofErr w:type="gramStart"/>
      <w:r w:rsidRPr="0043038D">
        <w:rPr>
          <w:rFonts w:ascii="宋体" w:hAnsi="宋体" w:hint="eastAsia"/>
          <w:b/>
          <w:sz w:val="21"/>
          <w:szCs w:val="21"/>
        </w:rPr>
        <w:t>一</w:t>
      </w:r>
      <w:proofErr w:type="gramEnd"/>
      <w:r w:rsidRPr="0043038D">
        <w:rPr>
          <w:rFonts w:ascii="宋体" w:hAnsi="宋体" w:hint="eastAsia"/>
          <w:b/>
          <w:sz w:val="21"/>
          <w:szCs w:val="21"/>
        </w:rPr>
        <w:t>居室标准房市场租金水平）</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w:t>
      </w:r>
      <w:proofErr w:type="gramStart"/>
      <w:r w:rsidRPr="0043038D">
        <w:rPr>
          <w:rFonts w:ascii="Arial" w:hAnsi="Arial" w:cs="Arial"/>
          <w:sz w:val="21"/>
          <w:szCs w:val="21"/>
        </w:rPr>
        <w:t>作因素</w:t>
      </w:r>
      <w:proofErr w:type="gramEnd"/>
      <w:r w:rsidRPr="0043038D">
        <w:rPr>
          <w:rFonts w:ascii="Arial" w:hAnsi="Arial" w:cs="Arial"/>
          <w:sz w:val="21"/>
          <w:szCs w:val="21"/>
        </w:rPr>
        <w:t>条件说明</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proofErr w:type="gramStart"/>
      <w:r w:rsidRPr="0043038D">
        <w:rPr>
          <w:rFonts w:ascii="Arial" w:hAnsi="Arial" w:cs="Arial" w:hint="eastAsia"/>
          <w:sz w:val="21"/>
          <w:szCs w:val="21"/>
        </w:rPr>
        <w:t>大兴</w:t>
      </w:r>
      <w:r w:rsidRPr="0043038D">
        <w:rPr>
          <w:rFonts w:ascii="Arial" w:hAnsi="Arial" w:cs="Arial"/>
          <w:sz w:val="21"/>
          <w:szCs w:val="21"/>
        </w:rPr>
        <w:t>区</w:t>
      </w:r>
      <w:proofErr w:type="gramEnd"/>
      <w:r w:rsidRPr="0043038D">
        <w:rPr>
          <w:rFonts w:ascii="Arial" w:hAnsi="Arial" w:cs="Arial"/>
          <w:sz w:val="21"/>
          <w:szCs w:val="21"/>
        </w:rPr>
        <w:t>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天</w:t>
      </w:r>
      <w:proofErr w:type="gramStart"/>
      <w:r w:rsidRPr="0043038D">
        <w:rPr>
          <w:rFonts w:ascii="Arial" w:hAnsi="Arial" w:cs="Arial" w:hint="eastAsia"/>
          <w:sz w:val="21"/>
          <w:szCs w:val="21"/>
        </w:rPr>
        <w:t>恒金融</w:t>
      </w:r>
      <w:proofErr w:type="gramEnd"/>
      <w:r w:rsidRPr="0043038D">
        <w:rPr>
          <w:rFonts w:ascii="Arial" w:hAnsi="Arial" w:cs="Arial" w:hint="eastAsia"/>
          <w:sz w:val="21"/>
          <w:szCs w:val="21"/>
        </w:rPr>
        <w:t>街公园</w:t>
      </w:r>
      <w:proofErr w:type="gramStart"/>
      <w:r w:rsidRPr="0043038D">
        <w:rPr>
          <w:rFonts w:ascii="Arial" w:hAnsi="Arial" w:cs="Arial" w:hint="eastAsia"/>
          <w:sz w:val="21"/>
          <w:szCs w:val="21"/>
        </w:rPr>
        <w:t>懿</w:t>
      </w:r>
      <w:proofErr w:type="gramEnd"/>
      <w:r w:rsidRPr="0043038D">
        <w:rPr>
          <w:rFonts w:ascii="Arial" w:hAnsi="Arial" w:cs="Arial" w:hint="eastAsia"/>
          <w:sz w:val="21"/>
          <w:szCs w:val="21"/>
        </w:rPr>
        <w:t>府</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北京市丰台区西红门路</w:t>
      </w:r>
      <w:proofErr w:type="gramStart"/>
      <w:r w:rsidRPr="0043038D">
        <w:rPr>
          <w:rFonts w:ascii="Arial" w:hAnsi="Arial" w:cs="Arial" w:hint="eastAsia"/>
          <w:sz w:val="21"/>
          <w:szCs w:val="21"/>
        </w:rPr>
        <w:t>与槐房</w:t>
      </w:r>
      <w:proofErr w:type="gramEnd"/>
      <w:r w:rsidRPr="0043038D">
        <w:rPr>
          <w:rFonts w:ascii="Arial" w:hAnsi="Arial" w:cs="Arial" w:hint="eastAsia"/>
          <w:sz w:val="21"/>
          <w:szCs w:val="21"/>
        </w:rPr>
        <w:t>西路交叉口</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lastRenderedPageBreak/>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hint="eastAsia"/>
          <w:sz w:val="21"/>
          <w:szCs w:val="21"/>
        </w:rPr>
        <w:t>周边有阳光星苑、南苑村、绿林苑、同兴园、南庭新苑、飞腾家园、南苑汇</w:t>
      </w:r>
      <w:proofErr w:type="gramStart"/>
      <w:r w:rsidRPr="0043038D">
        <w:rPr>
          <w:rFonts w:ascii="Arial" w:hAnsi="Arial" w:cs="Arial" w:hint="eastAsia"/>
          <w:sz w:val="21"/>
          <w:szCs w:val="21"/>
        </w:rPr>
        <w:t>睿</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里、翠海明苑、合顺家园居住小区规模较大，入住率较好，综合评价居住区成熟度较好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1.2</w:t>
      </w:r>
      <w:r w:rsidRPr="0043038D">
        <w:rPr>
          <w:rFonts w:ascii="Arial" w:hAnsi="Arial" w:cs="Arial" w:hint="eastAsia"/>
          <w:sz w:val="21"/>
          <w:szCs w:val="21"/>
        </w:rPr>
        <w:t>公里</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946</w:t>
      </w:r>
      <w:r w:rsidRPr="0043038D">
        <w:rPr>
          <w:rFonts w:ascii="Arial" w:hAnsi="Arial" w:cs="Arial" w:hint="eastAsia"/>
          <w:sz w:val="21"/>
          <w:szCs w:val="21"/>
        </w:rPr>
        <w:t>路、兴</w:t>
      </w:r>
      <w:r w:rsidRPr="0043038D">
        <w:rPr>
          <w:rFonts w:ascii="Arial" w:hAnsi="Arial" w:cs="Arial" w:hint="eastAsia"/>
          <w:sz w:val="21"/>
          <w:szCs w:val="21"/>
        </w:rPr>
        <w:t>12</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路、专</w:t>
      </w:r>
      <w:r w:rsidRPr="0043038D">
        <w:rPr>
          <w:rFonts w:ascii="Arial" w:hAnsi="Arial" w:cs="Arial" w:hint="eastAsia"/>
          <w:sz w:val="21"/>
          <w:szCs w:val="21"/>
        </w:rPr>
        <w:t>67</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，综合评价交通便捷度较好；周边有星光视</w:t>
      </w:r>
      <w:proofErr w:type="gramStart"/>
      <w:r w:rsidRPr="0043038D">
        <w:rPr>
          <w:rFonts w:ascii="Arial" w:hAnsi="Arial" w:cs="Arial"/>
          <w:sz w:val="21"/>
          <w:szCs w:val="21"/>
        </w:rPr>
        <w:t>界</w:t>
      </w:r>
      <w:proofErr w:type="gramEnd"/>
      <w:r w:rsidRPr="0043038D">
        <w:rPr>
          <w:rFonts w:ascii="Arial" w:hAnsi="Arial" w:cs="Arial"/>
          <w:sz w:val="21"/>
          <w:szCs w:val="21"/>
        </w:rPr>
        <w:t>公园、北京国际露营公园、南苑湿地公园等自然景观，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kern w:val="2"/>
          <w:sz w:val="21"/>
          <w:szCs w:val="21"/>
        </w:rPr>
        <w:t>京客隆</w:t>
      </w:r>
      <w:proofErr w:type="gramEnd"/>
      <w:r w:rsidRPr="0043038D">
        <w:rPr>
          <w:rFonts w:ascii="Arial" w:hAnsi="Arial" w:cs="Arial"/>
          <w:kern w:val="2"/>
          <w:sz w:val="21"/>
          <w:szCs w:val="21"/>
        </w:rPr>
        <w:t>（西红门店）等商业场所；有北京教育科学研究院丰台学校、北京商贸学校、北京新桥外国语高中学校、北京市丰台区南苑第一幼儿园等教育设施；有北京市丰台区南苑医院、北京市</w:t>
      </w:r>
      <w:proofErr w:type="gramStart"/>
      <w:r w:rsidRPr="0043038D">
        <w:rPr>
          <w:rFonts w:ascii="Arial" w:hAnsi="Arial" w:cs="Arial"/>
          <w:kern w:val="2"/>
          <w:sz w:val="21"/>
          <w:szCs w:val="21"/>
        </w:rPr>
        <w:t>大兴区</w:t>
      </w:r>
      <w:proofErr w:type="gramEnd"/>
      <w:r w:rsidRPr="0043038D">
        <w:rPr>
          <w:rFonts w:ascii="Arial" w:hAnsi="Arial" w:cs="Arial"/>
          <w:kern w:val="2"/>
          <w:sz w:val="21"/>
          <w:szCs w:val="21"/>
        </w:rPr>
        <w:t>城镇同兴园社区卫生服务站等医疗卫生机构；有北京农商银行（西红门支行）、中国光大银行（北京新宫社区支行）等金融服务机构，公共配套设施状况较好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居室户型，低楼层，</w:t>
      </w:r>
      <w:r w:rsidRPr="0043038D">
        <w:rPr>
          <w:rFonts w:ascii="Arial" w:hAnsi="Arial" w:cs="Arial" w:hint="eastAsia"/>
          <w:sz w:val="21"/>
          <w:szCs w:val="21"/>
        </w:rPr>
        <w:t>西</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017</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5</w:t>
      </w:r>
      <w:r w:rsidRPr="0043038D">
        <w:rPr>
          <w:rFonts w:ascii="Arial" w:hAnsi="Arial" w:cs="Arial"/>
          <w:sz w:val="21"/>
          <w:szCs w:val="21"/>
        </w:rPr>
        <w:t>3.78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90.93</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commentRangeStart w:id="71"/>
      <w:r w:rsidRPr="0043038D">
        <w:rPr>
          <w:rFonts w:ascii="Arial" w:hAnsi="Arial" w:cs="Arial" w:hint="eastAsia"/>
          <w:sz w:val="21"/>
          <w:szCs w:val="21"/>
        </w:rPr>
        <w:t>含</w:t>
      </w:r>
      <w:proofErr w:type="gramStart"/>
      <w:r w:rsidRPr="0043038D">
        <w:rPr>
          <w:rFonts w:ascii="Arial" w:hAnsi="Arial" w:cs="Arial" w:hint="eastAsia"/>
          <w:sz w:val="21"/>
          <w:szCs w:val="21"/>
        </w:rPr>
        <w:t>物业费</w:t>
      </w:r>
      <w:proofErr w:type="gramEnd"/>
      <w:r w:rsidRPr="0043038D">
        <w:rPr>
          <w:rFonts w:ascii="Arial" w:hAnsi="Arial" w:cs="Arial" w:hint="eastAsia"/>
          <w:sz w:val="21"/>
          <w:szCs w:val="21"/>
        </w:rPr>
        <w:t>3.9</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commentRangeEnd w:id="71"/>
      <w:r w:rsidR="007A668E">
        <w:rPr>
          <w:rStyle w:val="af6"/>
        </w:rPr>
        <w:commentReference w:id="71"/>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2</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里、翠海明苑、合顺家园、德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w:t>
      </w:r>
      <w:r w:rsidRPr="0043038D">
        <w:rPr>
          <w:rFonts w:ascii="Arial" w:hAnsi="Arial" w:cs="Arial" w:hint="eastAsia"/>
          <w:sz w:val="21"/>
          <w:szCs w:val="21"/>
        </w:rPr>
        <w:lastRenderedPageBreak/>
        <w:t>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居室户型，高楼层，</w:t>
      </w:r>
      <w:r w:rsidRPr="0043038D">
        <w:rPr>
          <w:rFonts w:ascii="Arial" w:hAnsi="Arial" w:cs="Arial" w:hint="eastAsia"/>
          <w:sz w:val="21"/>
          <w:szCs w:val="21"/>
        </w:rPr>
        <w:t>西</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5</w:t>
      </w:r>
      <w:r w:rsidRPr="0043038D">
        <w:rPr>
          <w:rFonts w:ascii="Arial" w:hAnsi="Arial" w:cs="Arial"/>
          <w:sz w:val="21"/>
          <w:szCs w:val="21"/>
        </w:rPr>
        <w:t>0.75</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84.73</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八期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大兴区宏业路</w:t>
      </w:r>
      <w:proofErr w:type="gramEnd"/>
      <w:r w:rsidRPr="0043038D">
        <w:rPr>
          <w:rFonts w:ascii="Arial" w:hAnsi="Arial" w:cs="Arial" w:hint="eastAsia"/>
          <w:sz w:val="21"/>
          <w:szCs w:val="21"/>
        </w:rPr>
        <w:t>5</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公里内有福星花园、宏大中园、宏盛家园、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、九龙家园、九龙山庄、瑞海家园、同兴园、熙红印、兴都苑、兴海家园、月桂庄园等，居住小区规模较大，入住率较好，综合评价居住区成熟度较好；东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欣荣北大街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sz w:val="21"/>
          <w:szCs w:val="21"/>
        </w:rPr>
        <w:t>2.3</w:t>
      </w:r>
      <w:r w:rsidRPr="0043038D">
        <w:rPr>
          <w:rFonts w:ascii="Arial" w:hAnsi="Arial" w:cs="Arial" w:hint="eastAsia"/>
          <w:sz w:val="21"/>
          <w:szCs w:val="21"/>
        </w:rPr>
        <w:t>公里</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米内有兴</w:t>
      </w:r>
      <w:r w:rsidRPr="0043038D">
        <w:rPr>
          <w:rFonts w:ascii="Arial" w:hAnsi="Arial" w:cs="Arial" w:hint="eastAsia"/>
          <w:sz w:val="21"/>
          <w:szCs w:val="21"/>
        </w:rPr>
        <w:t>71</w:t>
      </w:r>
      <w:r w:rsidRPr="0043038D">
        <w:rPr>
          <w:rFonts w:ascii="Arial" w:hAnsi="Arial" w:cs="Arial" w:hint="eastAsia"/>
          <w:sz w:val="21"/>
          <w:szCs w:val="21"/>
        </w:rPr>
        <w:t>路内环、兴</w:t>
      </w:r>
      <w:r w:rsidRPr="0043038D">
        <w:rPr>
          <w:rFonts w:ascii="Arial" w:hAnsi="Arial" w:cs="Arial" w:hint="eastAsia"/>
          <w:sz w:val="21"/>
          <w:szCs w:val="21"/>
        </w:rPr>
        <w:t>14</w:t>
      </w:r>
      <w:r w:rsidRPr="0043038D">
        <w:rPr>
          <w:rFonts w:ascii="Arial" w:hAnsi="Arial" w:cs="Arial" w:hint="eastAsia"/>
          <w:sz w:val="21"/>
          <w:szCs w:val="21"/>
        </w:rPr>
        <w:t>路、兴</w:t>
      </w:r>
      <w:r w:rsidRPr="0043038D">
        <w:rPr>
          <w:rFonts w:ascii="Arial" w:hAnsi="Arial" w:cs="Arial" w:hint="eastAsia"/>
          <w:sz w:val="21"/>
          <w:szCs w:val="21"/>
        </w:rPr>
        <w:t>66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周边有兴海公园、兴华公园、海子公园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w:t>
      </w:r>
      <w:r w:rsidRPr="0043038D">
        <w:rPr>
          <w:rFonts w:ascii="Arial" w:hAnsi="Arial" w:cs="Arial" w:hint="eastAsia"/>
          <w:kern w:val="2"/>
          <w:sz w:val="21"/>
          <w:szCs w:val="21"/>
        </w:rPr>
        <w:lastRenderedPageBreak/>
        <w:t>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居室户型，高楼层，</w:t>
      </w:r>
      <w:r w:rsidRPr="0043038D">
        <w:rPr>
          <w:rFonts w:ascii="Arial" w:hAnsi="Arial" w:cs="Arial" w:hint="eastAsia"/>
          <w:sz w:val="21"/>
          <w:szCs w:val="21"/>
        </w:rPr>
        <w:t>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019</w:t>
      </w:r>
      <w:r w:rsidRPr="0043038D">
        <w:rPr>
          <w:rFonts w:ascii="Arial" w:hAnsi="Arial" w:cs="Arial"/>
          <w:sz w:val="21"/>
          <w:szCs w:val="21"/>
        </w:rPr>
        <w:t>年，建筑结构为钢混结构，装修为精装修，建筑面积为</w:t>
      </w:r>
      <w:r w:rsidRPr="0043038D">
        <w:rPr>
          <w:rFonts w:ascii="Arial" w:hAnsi="Arial" w:cs="Arial"/>
          <w:sz w:val="21"/>
          <w:szCs w:val="21"/>
        </w:rPr>
        <w:t>48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85.21</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1.62</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2"/>
        <w:gridCol w:w="1812"/>
        <w:gridCol w:w="1812"/>
        <w:gridCol w:w="1815"/>
      </w:tblGrid>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3</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2"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1812"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5"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2"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90.93</w:t>
            </w:r>
          </w:p>
        </w:tc>
        <w:tc>
          <w:tcPr>
            <w:tcW w:w="1812"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84.73</w:t>
            </w:r>
          </w:p>
        </w:tc>
        <w:tc>
          <w:tcPr>
            <w:tcW w:w="1815"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85.21</w:t>
            </w:r>
          </w:p>
        </w:tc>
      </w:tr>
      <w:tr w:rsidR="000E5655" w:rsidRPr="0043038D">
        <w:trPr>
          <w:trHeight w:val="3402"/>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6"/>
                <w:szCs w:val="18"/>
              </w:rPr>
              <w:t>区维保</w:t>
            </w:r>
            <w:proofErr w:type="gramEnd"/>
            <w:r w:rsidRPr="0043038D">
              <w:rPr>
                <w:rFonts w:ascii="Arial" w:hAnsi="Arial" w:cs="Arial" w:hint="eastAsia"/>
                <w:sz w:val="16"/>
                <w:szCs w:val="18"/>
              </w:rPr>
              <w:t>、室内正常损耗维修等费用）、增值服务费（例如室内保洁、室内人为损坏维修、洗衣、送餐等费用）、能源费（包括公区能源费及室内能源费，例如水、电、气、暖、中央空调、网络等费用）、车位使用费等费用</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5"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6.40</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5"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4.12</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1815"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5"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1815"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bl>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sz w:val="21"/>
          <w:szCs w:val="21"/>
        </w:rPr>
        <w:br w:type="page"/>
      </w:r>
      <w:r w:rsidRPr="0043038D">
        <w:rPr>
          <w:rFonts w:ascii="宋体" w:hAnsi="宋体" w:hint="eastAsia"/>
          <w:sz w:val="21"/>
          <w:szCs w:val="21"/>
        </w:rPr>
        <w:lastRenderedPageBreak/>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trPr>
          <w:cantSplit/>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Calibri" w:hAnsi="Calibri"/>
              </w:rPr>
            </w:pPr>
            <w:r w:rsidRPr="0043038D">
              <w:rPr>
                <w:noProof/>
              </w:rPr>
              <w:drawing>
                <wp:inline distT="0" distB="0" distL="0" distR="0">
                  <wp:extent cx="5875655" cy="400621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875655" cy="4006215"/>
                          </a:xfrm>
                          <a:prstGeom prst="rect">
                            <a:avLst/>
                          </a:prstGeom>
                          <a:noFill/>
                          <a:ln>
                            <a:noFill/>
                          </a:ln>
                        </pic:spPr>
                      </pic:pic>
                    </a:graphicData>
                  </a:graphic>
                </wp:inline>
              </w:drawing>
            </w:r>
          </w:p>
        </w:tc>
      </w:tr>
    </w:tbl>
    <w:p w:rsidR="000E5655" w:rsidRPr="0043038D" w:rsidRDefault="000E5655"/>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lastRenderedPageBreak/>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94"/>
        <w:gridCol w:w="1441"/>
        <w:gridCol w:w="1844"/>
        <w:gridCol w:w="1844"/>
        <w:gridCol w:w="1844"/>
        <w:gridCol w:w="1848"/>
      </w:tblGrid>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3</w:t>
            </w:r>
          </w:p>
        </w:tc>
      </w:tr>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84.53</w:t>
            </w:r>
          </w:p>
        </w:tc>
        <w:tc>
          <w:tcPr>
            <w:tcW w:w="968" w:type="pct"/>
            <w:tcBorders>
              <w:top w:val="nil"/>
              <w:left w:val="nil"/>
              <w:bottom w:val="single" w:sz="4" w:space="0" w:color="auto"/>
              <w:right w:val="single" w:sz="4" w:space="0" w:color="auto"/>
            </w:tcBorders>
            <w:vAlign w:val="center"/>
          </w:tcPr>
          <w:p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80.48</w:t>
            </w:r>
          </w:p>
        </w:tc>
        <w:tc>
          <w:tcPr>
            <w:tcW w:w="970" w:type="pct"/>
            <w:tcBorders>
              <w:top w:val="nil"/>
              <w:left w:val="nil"/>
              <w:bottom w:val="single" w:sz="4" w:space="0" w:color="auto"/>
              <w:right w:val="single" w:sz="4" w:space="0" w:color="auto"/>
            </w:tcBorders>
            <w:vAlign w:val="center"/>
          </w:tcPr>
          <w:p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81.09</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00C81EDB">
              <w:rPr>
                <w:rFonts w:ascii="Arial" w:hAnsi="Arial" w:cs="Arial"/>
                <w:sz w:val="16"/>
                <w:szCs w:val="18"/>
              </w:rPr>
              <w:t>10</w:t>
            </w:r>
            <w:r w:rsidR="00C81EDB">
              <w:rPr>
                <w:rFonts w:ascii="Arial" w:hAnsi="Arial" w:cs="Arial"/>
                <w:sz w:val="16"/>
                <w:szCs w:val="18"/>
              </w:rPr>
              <w:t>月</w:t>
            </w:r>
            <w:r w:rsidR="00C81EDB">
              <w:rPr>
                <w:rFonts w:ascii="Arial" w:hAnsi="Arial" w:cs="Arial"/>
                <w:sz w:val="16"/>
                <w:szCs w:val="18"/>
              </w:rPr>
              <w:t>14</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8</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r>
      <w:tr w:rsidR="000E5655" w:rsidRPr="0043038D">
        <w:trPr>
          <w:trHeight w:val="397"/>
          <w:jc w:val="center"/>
        </w:trPr>
        <w:tc>
          <w:tcPr>
            <w:tcW w:w="365" w:type="pct"/>
            <w:vMerge w:val="restart"/>
            <w:tcBorders>
              <w:top w:val="nil"/>
              <w:left w:val="single" w:sz="4" w:space="0" w:color="auto"/>
              <w:bottom w:val="single" w:sz="4" w:space="0" w:color="000000"/>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w:t>
            </w:r>
            <w:proofErr w:type="gramStart"/>
            <w:r w:rsidRPr="0043038D">
              <w:rPr>
                <w:rFonts w:ascii="Arial" w:hAnsi="Arial" w:cs="Arial" w:hint="eastAsia"/>
                <w:sz w:val="16"/>
                <w:szCs w:val="18"/>
              </w:rPr>
              <w:t>鸿坤理想城</w:t>
            </w:r>
            <w:proofErr w:type="gramEnd"/>
            <w:r w:rsidRPr="0043038D">
              <w:rPr>
                <w:rFonts w:ascii="Arial" w:hAnsi="Arial" w:cs="Arial" w:hint="eastAsia"/>
                <w:sz w:val="16"/>
                <w:szCs w:val="18"/>
              </w:rPr>
              <w:t>、九龙家园、九龙山庄、瑞海家园、同兴园、熙红印、兴都苑、兴海家园、月桂庄园等，居住小区规模较大，入住率较好，综合评价居住区成熟度较好。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周边2公里内有阳光星苑、南苑村、绿林苑、同兴园、南庭新苑、飞腾家园、南苑汇</w:t>
            </w:r>
            <w:proofErr w:type="gramStart"/>
            <w:r w:rsidRPr="0043038D">
              <w:rPr>
                <w:rFonts w:ascii="宋体" w:hAnsi="宋体" w:cs="Arial" w:hint="eastAsia"/>
                <w:sz w:val="16"/>
                <w:szCs w:val="18"/>
              </w:rPr>
              <w:t>睿</w:t>
            </w:r>
            <w:proofErr w:type="gramEnd"/>
            <w:r w:rsidRPr="0043038D">
              <w:rPr>
                <w:rFonts w:ascii="宋体" w:hAnsi="宋体" w:cs="Arial" w:hint="eastAsia"/>
                <w:sz w:val="16"/>
                <w:szCs w:val="18"/>
              </w:rPr>
              <w:t>、</w:t>
            </w:r>
            <w:proofErr w:type="gramStart"/>
            <w:r w:rsidRPr="0043038D">
              <w:rPr>
                <w:rFonts w:ascii="宋体" w:hAnsi="宋体" w:cs="Arial" w:hint="eastAsia"/>
                <w:sz w:val="16"/>
                <w:szCs w:val="18"/>
              </w:rPr>
              <w:t>天悦壹号</w:t>
            </w:r>
            <w:proofErr w:type="gramEnd"/>
            <w:r w:rsidRPr="0043038D">
              <w:rPr>
                <w:rFonts w:ascii="宋体" w:hAnsi="宋体" w:cs="Arial" w:hint="eastAsia"/>
                <w:sz w:val="16"/>
                <w:szCs w:val="18"/>
              </w:rPr>
              <w:t>、</w:t>
            </w:r>
            <w:proofErr w:type="gramStart"/>
            <w:r w:rsidRPr="0043038D">
              <w:rPr>
                <w:rFonts w:ascii="宋体" w:hAnsi="宋体" w:cs="Arial" w:hint="eastAsia"/>
                <w:sz w:val="16"/>
                <w:szCs w:val="18"/>
              </w:rPr>
              <w:t>诚苑中</w:t>
            </w:r>
            <w:proofErr w:type="gramEnd"/>
            <w:r w:rsidRPr="0043038D">
              <w:rPr>
                <w:rFonts w:ascii="宋体" w:hAnsi="宋体" w:cs="Arial" w:hint="eastAsia"/>
                <w:sz w:val="16"/>
                <w:szCs w:val="18"/>
              </w:rPr>
              <w:t>里、翠海明苑、合顺家园居住小区规模较大，入住率较好，综合评价居住区成熟度较好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w:t>
            </w:r>
            <w:proofErr w:type="gramStart"/>
            <w:r w:rsidRPr="0043038D">
              <w:rPr>
                <w:rFonts w:ascii="Arial" w:hAnsi="Arial" w:cs="Arial" w:hint="eastAsia"/>
                <w:sz w:val="16"/>
                <w:szCs w:val="18"/>
              </w:rPr>
              <w:t>鸿坤理想城</w:t>
            </w:r>
            <w:proofErr w:type="gramEnd"/>
            <w:r w:rsidRPr="0043038D">
              <w:rPr>
                <w:rFonts w:ascii="Arial" w:hAnsi="Arial" w:cs="Arial" w:hint="eastAsia"/>
                <w:sz w:val="16"/>
                <w:szCs w:val="18"/>
              </w:rPr>
              <w:t>、九龙家园、九龙山庄、瑞海家园、同兴园、熙红印、兴都苑、兴海家园、月桂庄园等，居住小区规模较大，入住率较好，综合评价居住区成熟度较好。</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米内有主干道——南西路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周边500米内有主干道——槐房西路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米内有主干道——欣荣北大街</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1.2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2.3</w:t>
            </w:r>
            <w:r w:rsidRPr="0043038D">
              <w:rPr>
                <w:rFonts w:ascii="Arial" w:hAnsi="Arial" w:cs="Arial" w:hint="eastAsia"/>
                <w:sz w:val="16"/>
                <w:szCs w:val="18"/>
              </w:rPr>
              <w:t>公里</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1</w:t>
            </w:r>
            <w:r w:rsidRPr="0043038D">
              <w:rPr>
                <w:rFonts w:ascii="Arial" w:hAnsi="Arial" w:cs="Arial" w:hint="eastAsia"/>
                <w:sz w:val="16"/>
                <w:szCs w:val="18"/>
              </w:rPr>
              <w:t>公里内有</w:t>
            </w:r>
            <w:r w:rsidRPr="0043038D">
              <w:rPr>
                <w:rFonts w:ascii="Arial" w:hAnsi="Arial" w:cs="Arial" w:hint="eastAsia"/>
                <w:sz w:val="16"/>
                <w:szCs w:val="18"/>
              </w:rPr>
              <w:t>366</w:t>
            </w:r>
            <w:r w:rsidRPr="0043038D">
              <w:rPr>
                <w:rFonts w:ascii="Arial" w:hAnsi="Arial" w:cs="Arial" w:hint="eastAsia"/>
                <w:sz w:val="16"/>
                <w:szCs w:val="18"/>
              </w:rPr>
              <w:t>路、</w:t>
            </w:r>
            <w:r w:rsidRPr="0043038D">
              <w:rPr>
                <w:rFonts w:ascii="Arial" w:hAnsi="Arial" w:cs="Arial" w:hint="eastAsia"/>
                <w:sz w:val="16"/>
                <w:szCs w:val="18"/>
              </w:rPr>
              <w:t>377</w:t>
            </w:r>
            <w:r w:rsidRPr="0043038D">
              <w:rPr>
                <w:rFonts w:ascii="Arial" w:hAnsi="Arial" w:cs="Arial" w:hint="eastAsia"/>
                <w:sz w:val="16"/>
                <w:szCs w:val="18"/>
              </w:rPr>
              <w:t>路、</w:t>
            </w:r>
            <w:r w:rsidRPr="0043038D">
              <w:rPr>
                <w:rFonts w:ascii="Arial" w:hAnsi="Arial" w:cs="Arial" w:hint="eastAsia"/>
                <w:sz w:val="16"/>
                <w:szCs w:val="18"/>
              </w:rPr>
              <w:t>410</w:t>
            </w:r>
            <w:r w:rsidRPr="0043038D">
              <w:rPr>
                <w:rFonts w:ascii="Arial" w:hAnsi="Arial" w:cs="Arial" w:hint="eastAsia"/>
                <w:sz w:val="16"/>
                <w:szCs w:val="18"/>
              </w:rPr>
              <w:t>路、</w:t>
            </w:r>
            <w:r w:rsidRPr="0043038D">
              <w:rPr>
                <w:rFonts w:ascii="Arial" w:hAnsi="Arial" w:cs="Arial" w:hint="eastAsia"/>
                <w:sz w:val="16"/>
                <w:szCs w:val="18"/>
              </w:rPr>
              <w:t>679</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946</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路、专</w:t>
            </w:r>
            <w:r w:rsidRPr="0043038D">
              <w:rPr>
                <w:rFonts w:ascii="Arial" w:hAnsi="Arial" w:cs="Arial" w:hint="eastAsia"/>
                <w:sz w:val="16"/>
                <w:szCs w:val="18"/>
              </w:rPr>
              <w:t>67</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米内有兴</w:t>
            </w:r>
            <w:r w:rsidRPr="0043038D">
              <w:rPr>
                <w:rFonts w:ascii="Arial" w:hAnsi="Arial" w:cs="Arial" w:hint="eastAsia"/>
                <w:sz w:val="16"/>
                <w:szCs w:val="18"/>
              </w:rPr>
              <w:t>71</w:t>
            </w:r>
            <w:r w:rsidRPr="0043038D">
              <w:rPr>
                <w:rFonts w:ascii="Arial" w:hAnsi="Arial" w:cs="Arial" w:hint="eastAsia"/>
                <w:sz w:val="16"/>
                <w:szCs w:val="18"/>
              </w:rPr>
              <w:t>路内环、兴</w:t>
            </w:r>
            <w:r w:rsidRPr="0043038D">
              <w:rPr>
                <w:rFonts w:ascii="Arial" w:hAnsi="Arial" w:cs="Arial" w:hint="eastAsia"/>
                <w:sz w:val="16"/>
                <w:szCs w:val="18"/>
              </w:rPr>
              <w:t>14</w:t>
            </w:r>
            <w:r w:rsidRPr="0043038D">
              <w:rPr>
                <w:rFonts w:ascii="Arial" w:hAnsi="Arial" w:cs="Arial" w:hint="eastAsia"/>
                <w:sz w:val="16"/>
                <w:szCs w:val="18"/>
              </w:rPr>
              <w:t>路、兴</w:t>
            </w:r>
            <w:r w:rsidRPr="0043038D">
              <w:rPr>
                <w:rFonts w:ascii="Arial" w:hAnsi="Arial" w:cs="Arial" w:hint="eastAsia"/>
                <w:sz w:val="16"/>
                <w:szCs w:val="18"/>
              </w:rPr>
              <w:t>66</w:t>
            </w:r>
            <w:r w:rsidRPr="0043038D">
              <w:rPr>
                <w:rFonts w:ascii="Arial" w:hAnsi="Arial" w:cs="Arial" w:hint="eastAsia"/>
                <w:sz w:val="16"/>
                <w:szCs w:val="18"/>
              </w:rPr>
              <w:t>路等公交线路途径并设立站点</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环境质量优劣度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周边5km内无污染源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自然及人文环境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w:t>
            </w:r>
            <w:r w:rsidRPr="0043038D">
              <w:rPr>
                <w:rFonts w:ascii="Arial" w:hAnsi="Arial" w:cs="Arial" w:hint="eastAsia"/>
                <w:sz w:val="16"/>
                <w:szCs w:val="18"/>
              </w:rPr>
              <w:t>2</w:t>
            </w:r>
            <w:r w:rsidRPr="0043038D">
              <w:rPr>
                <w:rFonts w:ascii="Arial" w:hAnsi="Arial" w:cs="Arial" w:hint="eastAsia"/>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周边2公里周边有星光视界公园、北京国际露营公园、南苑湿地公园等自然景观，自然与人文环境较好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公里有兴海公园、兴华公园、海子公园等自然景观，自然与人文环境较好</w:t>
            </w:r>
            <w:r w:rsidRPr="0043038D">
              <w:rPr>
                <w:rFonts w:ascii="Arial" w:hAnsi="Arial" w:cs="Arial"/>
                <w:sz w:val="16"/>
                <w:szCs w:val="18"/>
              </w:rPr>
              <w:t>。</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小区道路整洁、绿化率高、有景观设计、人车分</w:t>
            </w:r>
            <w:r w:rsidRPr="0043038D">
              <w:rPr>
                <w:rFonts w:ascii="Arial" w:hAnsi="Arial" w:cs="Arial" w:hint="eastAsia"/>
                <w:sz w:val="16"/>
                <w:szCs w:val="18"/>
              </w:rPr>
              <w:t>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公共服务设施状况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估价对象所在区域周边</w:t>
            </w:r>
            <w:r w:rsidRPr="0043038D">
              <w:rPr>
                <w:rFonts w:ascii="Arial" w:hAnsi="Arial" w:cs="Arial" w:hint="eastAsia"/>
                <w:sz w:val="16"/>
                <w:szCs w:val="18"/>
              </w:rPr>
              <w:t>2</w:t>
            </w:r>
            <w:r w:rsidRPr="0043038D">
              <w:rPr>
                <w:rFonts w:ascii="Arial" w:hAnsi="Arial" w:cs="Arial" w:hint="eastAsia"/>
                <w:sz w:val="16"/>
                <w:szCs w:val="18"/>
              </w:rPr>
              <w:t>公里范围内</w:t>
            </w:r>
            <w:proofErr w:type="gramStart"/>
            <w:r w:rsidRPr="0043038D">
              <w:rPr>
                <w:rFonts w:ascii="Arial" w:hAnsi="Arial" w:cs="Arial" w:hint="eastAsia"/>
                <w:sz w:val="16"/>
                <w:szCs w:val="18"/>
              </w:rPr>
              <w:t>有鸿坤广场</w:t>
            </w:r>
            <w:proofErr w:type="gramEnd"/>
            <w:r w:rsidRPr="0043038D">
              <w:rPr>
                <w:rFonts w:ascii="Arial" w:hAnsi="Arial" w:cs="Arial" w:hint="eastAsia"/>
                <w:sz w:val="16"/>
                <w:szCs w:val="18"/>
              </w:rPr>
              <w:t>、北京</w:t>
            </w:r>
            <w:proofErr w:type="gramStart"/>
            <w:r w:rsidRPr="0043038D">
              <w:rPr>
                <w:rFonts w:ascii="Arial" w:hAnsi="Arial" w:cs="Arial" w:hint="eastAsia"/>
                <w:sz w:val="16"/>
                <w:szCs w:val="18"/>
              </w:rPr>
              <w:t>荟</w:t>
            </w:r>
            <w:proofErr w:type="gramEnd"/>
            <w:r w:rsidRPr="0043038D">
              <w:rPr>
                <w:rFonts w:ascii="Arial" w:hAnsi="Arial" w:cs="Arial" w:hint="eastAsia"/>
                <w:sz w:val="16"/>
                <w:szCs w:val="18"/>
              </w:rPr>
              <w:t>聚、西红门</w:t>
            </w:r>
            <w:proofErr w:type="gramStart"/>
            <w:r w:rsidRPr="0043038D">
              <w:rPr>
                <w:rFonts w:ascii="Arial" w:hAnsi="Arial" w:cs="Arial" w:hint="eastAsia"/>
                <w:sz w:val="16"/>
                <w:szCs w:val="18"/>
              </w:rPr>
              <w:t>新光界等</w:t>
            </w:r>
            <w:proofErr w:type="gramEnd"/>
            <w:r w:rsidRPr="0043038D">
              <w:rPr>
                <w:rFonts w:ascii="Arial" w:hAnsi="Arial" w:cs="Arial" w:hint="eastAsia"/>
                <w:sz w:val="16"/>
                <w:szCs w:val="18"/>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w:t>
            </w:r>
            <w:r w:rsidRPr="0043038D">
              <w:rPr>
                <w:rFonts w:ascii="Arial" w:hAnsi="Arial" w:cs="Arial" w:hint="eastAsia"/>
                <w:sz w:val="16"/>
                <w:szCs w:val="18"/>
              </w:rPr>
              <w:lastRenderedPageBreak/>
              <w:t>京大兴欣荣大街支行）等金融网点，公共配套设施状况较好。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lastRenderedPageBreak/>
              <w:t>周边2公里范围内</w:t>
            </w:r>
            <w:proofErr w:type="gramStart"/>
            <w:r w:rsidRPr="0043038D">
              <w:rPr>
                <w:rFonts w:ascii="宋体" w:hAnsi="宋体" w:cs="Arial" w:hint="eastAsia"/>
                <w:sz w:val="16"/>
                <w:szCs w:val="18"/>
              </w:rPr>
              <w:t>有京客隆</w:t>
            </w:r>
            <w:proofErr w:type="gramEnd"/>
            <w:r w:rsidRPr="0043038D">
              <w:rPr>
                <w:rFonts w:ascii="宋体" w:hAnsi="宋体" w:cs="Arial" w:hint="eastAsia"/>
                <w:sz w:val="16"/>
                <w:szCs w:val="18"/>
              </w:rPr>
              <w:t>（西红门店）等商业场所；有北京教育科学研究院丰台学校、北京商贸学校、北京新桥外国语高中学校、北京市丰台区南苑第一幼儿园等教育设施；有北京市丰台区南苑医院、北京市</w:t>
            </w:r>
            <w:proofErr w:type="gramStart"/>
            <w:r w:rsidRPr="0043038D">
              <w:rPr>
                <w:rFonts w:ascii="宋体" w:hAnsi="宋体" w:cs="Arial" w:hint="eastAsia"/>
                <w:sz w:val="16"/>
                <w:szCs w:val="18"/>
              </w:rPr>
              <w:t>大兴区</w:t>
            </w:r>
            <w:proofErr w:type="gramEnd"/>
            <w:r w:rsidRPr="0043038D">
              <w:rPr>
                <w:rFonts w:ascii="宋体" w:hAnsi="宋体" w:cs="Arial" w:hint="eastAsia"/>
                <w:sz w:val="16"/>
                <w:szCs w:val="18"/>
              </w:rPr>
              <w:t>城镇同兴园社区卫生服务站等医疗卫生机构；有北京农商银行（西红门支行）、中国光大银行（北京新</w:t>
            </w:r>
            <w:r w:rsidRPr="0043038D">
              <w:rPr>
                <w:rFonts w:ascii="宋体" w:hAnsi="宋体" w:cs="Arial" w:hint="eastAsia"/>
                <w:sz w:val="16"/>
                <w:szCs w:val="18"/>
              </w:rPr>
              <w:lastRenderedPageBreak/>
              <w:t>宫社区支行）等金融服务机构，公共配套设施状况较好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lastRenderedPageBreak/>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w:t>
            </w:r>
            <w:r w:rsidRPr="0043038D">
              <w:rPr>
                <w:rFonts w:ascii="Arial" w:hAnsi="Arial" w:cs="Arial" w:hint="eastAsia"/>
                <w:sz w:val="16"/>
                <w:szCs w:val="18"/>
              </w:rPr>
              <w:lastRenderedPageBreak/>
              <w:t>配套设施状况较好。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lastRenderedPageBreak/>
              <w:t>周边</w:t>
            </w:r>
            <w:r w:rsidRPr="0043038D">
              <w:rPr>
                <w:rFonts w:ascii="Arial" w:hAnsi="Arial" w:cs="Arial" w:hint="eastAsia"/>
                <w:sz w:val="16"/>
                <w:szCs w:val="18"/>
              </w:rPr>
              <w:t>2</w:t>
            </w:r>
            <w:r w:rsidRPr="0043038D">
              <w:rPr>
                <w:rFonts w:ascii="Arial" w:hAnsi="Arial" w:cs="Arial" w:hint="eastAsia"/>
                <w:sz w:val="16"/>
                <w:szCs w:val="18"/>
              </w:rPr>
              <w:t>公里范围内</w:t>
            </w:r>
            <w:proofErr w:type="gramStart"/>
            <w:r w:rsidRPr="0043038D">
              <w:rPr>
                <w:rFonts w:ascii="Arial" w:hAnsi="Arial" w:cs="Arial" w:hint="eastAsia"/>
                <w:sz w:val="16"/>
                <w:szCs w:val="18"/>
              </w:rPr>
              <w:t>有鸿坤广场</w:t>
            </w:r>
            <w:proofErr w:type="gramEnd"/>
            <w:r w:rsidRPr="0043038D">
              <w:rPr>
                <w:rFonts w:ascii="Arial" w:hAnsi="Arial" w:cs="Arial" w:hint="eastAsia"/>
                <w:sz w:val="16"/>
                <w:szCs w:val="18"/>
              </w:rPr>
              <w:t>、北京</w:t>
            </w:r>
            <w:proofErr w:type="gramStart"/>
            <w:r w:rsidRPr="0043038D">
              <w:rPr>
                <w:rFonts w:ascii="Arial" w:hAnsi="Arial" w:cs="Arial" w:hint="eastAsia"/>
                <w:sz w:val="16"/>
                <w:szCs w:val="18"/>
              </w:rPr>
              <w:t>荟</w:t>
            </w:r>
            <w:proofErr w:type="gramEnd"/>
            <w:r w:rsidRPr="0043038D">
              <w:rPr>
                <w:rFonts w:ascii="Arial" w:hAnsi="Arial" w:cs="Arial" w:hint="eastAsia"/>
                <w:sz w:val="16"/>
                <w:szCs w:val="18"/>
              </w:rPr>
              <w:t>聚、西红门</w:t>
            </w:r>
            <w:proofErr w:type="gramStart"/>
            <w:r w:rsidRPr="0043038D">
              <w:rPr>
                <w:rFonts w:ascii="Arial" w:hAnsi="Arial" w:cs="Arial" w:hint="eastAsia"/>
                <w:sz w:val="16"/>
                <w:szCs w:val="18"/>
              </w:rPr>
              <w:t>新光界等</w:t>
            </w:r>
            <w:proofErr w:type="gramEnd"/>
            <w:r w:rsidRPr="0043038D">
              <w:rPr>
                <w:rFonts w:ascii="Arial" w:hAnsi="Arial" w:cs="Arial" w:hint="eastAsia"/>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w:t>
            </w:r>
            <w:r w:rsidRPr="0043038D">
              <w:rPr>
                <w:rFonts w:ascii="Arial" w:hAnsi="Arial" w:cs="Arial" w:hint="eastAsia"/>
                <w:sz w:val="16"/>
                <w:szCs w:val="18"/>
              </w:rPr>
              <w:lastRenderedPageBreak/>
              <w:t>荣大街支行）等金融服务机构，公共配套设施状况较好。</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r>
      <w:tr w:rsidR="000E5655" w:rsidRPr="0043038D">
        <w:trPr>
          <w:trHeight w:val="397"/>
          <w:jc w:val="center"/>
        </w:trPr>
        <w:tc>
          <w:tcPr>
            <w:tcW w:w="365"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w:t>
            </w:r>
          </w:p>
        </w:tc>
      </w:tr>
      <w:tr w:rsidR="000E5655" w:rsidRPr="0043038D">
        <w:trPr>
          <w:trHeight w:val="397"/>
          <w:jc w:val="center"/>
        </w:trPr>
        <w:tc>
          <w:tcPr>
            <w:tcW w:w="365"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w:t>
            </w:r>
            <w:r w:rsidRPr="0043038D">
              <w:rPr>
                <w:rFonts w:ascii="Arial" w:hAnsi="Arial" w:cs="Arial" w:hint="eastAsia"/>
                <w:sz w:val="16"/>
                <w:szCs w:val="18"/>
              </w:rPr>
              <w:t>100</w:t>
            </w:r>
            <w:r w:rsidRPr="0043038D">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80-90</w:t>
            </w:r>
            <w:r w:rsidRPr="0043038D">
              <w:rPr>
                <w:rFonts w:ascii="Arial" w:hAnsi="Arial" w:cs="Arial" w:hint="eastAsia"/>
                <w:sz w:val="16"/>
                <w:szCs w:val="18"/>
              </w:rPr>
              <w:t>%</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r w:rsidRPr="0043038D">
              <w:rPr>
                <w:rFonts w:ascii="Arial" w:hAnsi="Arial" w:cs="Arial" w:hint="eastAsia"/>
                <w:sz w:val="16"/>
                <w:szCs w:val="18"/>
              </w:rPr>
              <w:t>%</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90-100</w:t>
            </w:r>
            <w:r w:rsidRPr="0043038D">
              <w:rPr>
                <w:rFonts w:ascii="Arial" w:hAnsi="Arial" w:cs="Arial" w:hint="eastAsia"/>
                <w:sz w:val="16"/>
                <w:szCs w:val="18"/>
              </w:rPr>
              <w:t>%</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commentRangeStart w:id="73"/>
            <w:r w:rsidRPr="0043038D">
              <w:rPr>
                <w:rFonts w:ascii="Arial" w:hAnsi="Arial" w:cs="Arial" w:hint="eastAsia"/>
                <w:sz w:val="16"/>
                <w:szCs w:val="18"/>
              </w:rPr>
              <w:t>零</w:t>
            </w:r>
            <w:r w:rsidRPr="0043038D">
              <w:rPr>
                <w:rFonts w:ascii="Arial" w:hAnsi="Arial" w:cs="Arial"/>
                <w:sz w:val="16"/>
                <w:szCs w:val="18"/>
              </w:rPr>
              <w:t>居室</w:t>
            </w:r>
            <w:commentRangeEnd w:id="73"/>
            <w:r w:rsidR="007A668E">
              <w:rPr>
                <w:rStyle w:val="af6"/>
              </w:rPr>
              <w:commentReference w:id="73"/>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一</w:t>
            </w:r>
            <w:proofErr w:type="gramEnd"/>
            <w:r w:rsidRPr="0043038D">
              <w:rPr>
                <w:rFonts w:ascii="Arial" w:hAnsi="Arial" w:cs="Arial" w:hint="eastAsia"/>
                <w:sz w:val="16"/>
                <w:szCs w:val="18"/>
              </w:rPr>
              <w:t>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一</w:t>
            </w:r>
            <w:proofErr w:type="gramEnd"/>
            <w:r w:rsidRPr="0043038D">
              <w:rPr>
                <w:rFonts w:ascii="Arial" w:hAnsi="Arial" w:cs="Arial" w:hint="eastAsia"/>
                <w:sz w:val="16"/>
                <w:szCs w:val="18"/>
              </w:rPr>
              <w:t>居室</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一</w:t>
            </w:r>
            <w:proofErr w:type="gramEnd"/>
            <w:r w:rsidRPr="0043038D">
              <w:rPr>
                <w:rFonts w:ascii="Arial" w:hAnsi="Arial" w:cs="Arial" w:hint="eastAsia"/>
                <w:sz w:val="16"/>
                <w:szCs w:val="18"/>
              </w:rPr>
              <w:t>居室</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41.45</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53.78</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50.75</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48</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trPr>
          <w:trHeight w:val="397"/>
          <w:jc w:val="center"/>
        </w:trPr>
        <w:tc>
          <w:tcPr>
            <w:tcW w:w="365"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r>
    </w:tbl>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lastRenderedPageBreak/>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w:t>
      </w:r>
      <w:proofErr w:type="gramStart"/>
      <w:r w:rsidRPr="0043038D">
        <w:rPr>
          <w:rFonts w:ascii="Arial" w:hAnsi="Arial"/>
          <w:sz w:val="21"/>
          <w:szCs w:val="21"/>
        </w:rPr>
        <w:t>比因素</w:t>
      </w:r>
      <w:proofErr w:type="gramEnd"/>
      <w:r w:rsidRPr="0043038D">
        <w:rPr>
          <w:rFonts w:ascii="Arial" w:hAnsi="Arial"/>
          <w:sz w:val="21"/>
          <w:szCs w:val="21"/>
        </w:rPr>
        <w:t>分别与估价对象的相应状况进行比较，编制比较因素条件指数表。具体如下</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w:t>
      </w:r>
      <w:proofErr w:type="gramStart"/>
      <w:r w:rsidRPr="0043038D">
        <w:rPr>
          <w:rFonts w:ascii="Arial" w:hAnsi="Arial" w:hint="eastAsia"/>
          <w:sz w:val="21"/>
          <w:szCs w:val="21"/>
        </w:rPr>
        <w:t>湾</w:t>
      </w:r>
      <w:r w:rsidRPr="0043038D">
        <w:rPr>
          <w:rFonts w:ascii="Arial" w:hAnsi="Arial"/>
          <w:sz w:val="21"/>
          <w:szCs w:val="21"/>
        </w:rPr>
        <w:t>比较</w:t>
      </w:r>
      <w:proofErr w:type="gramEnd"/>
      <w:r w:rsidRPr="0043038D">
        <w:rPr>
          <w:rFonts w:ascii="Arial" w:hAnsi="Arial"/>
          <w:sz w:val="21"/>
          <w:szCs w:val="21"/>
        </w:rPr>
        <w:t>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74"/>
        <w:gridCol w:w="997"/>
        <w:gridCol w:w="989"/>
        <w:gridCol w:w="989"/>
        <w:gridCol w:w="989"/>
        <w:gridCol w:w="989"/>
        <w:gridCol w:w="3769"/>
      </w:tblGrid>
      <w:tr w:rsidR="000E5655" w:rsidRPr="0043038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rsidR="000E5655" w:rsidRPr="0043038D" w:rsidRDefault="000E5655">
            <w:pPr>
              <w:snapToGrid w:val="0"/>
              <w:spacing w:line="240" w:lineRule="exact"/>
              <w:jc w:val="both"/>
              <w:rPr>
                <w:rFonts w:ascii="宋体" w:hAnsi="宋体" w:cs="Arial"/>
                <w:sz w:val="16"/>
                <w:szCs w:val="18"/>
              </w:rPr>
            </w:pPr>
          </w:p>
          <w:p w:rsidR="000E5655" w:rsidRPr="0043038D" w:rsidRDefault="000E5655">
            <w:pPr>
              <w:snapToGrid w:val="0"/>
              <w:spacing w:line="240" w:lineRule="exact"/>
              <w:jc w:val="both"/>
              <w:rPr>
                <w:rFonts w:ascii="宋体" w:hAnsi="宋体" w:cs="Arial"/>
                <w:sz w:val="16"/>
                <w:szCs w:val="18"/>
              </w:rPr>
            </w:pP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可比实例1</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可比实例2</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可比实例3</w:t>
            </w:r>
          </w:p>
        </w:tc>
        <w:tc>
          <w:tcPr>
            <w:tcW w:w="2027"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确定的租金价格（元/平方米·天）</w:t>
            </w:r>
          </w:p>
        </w:tc>
        <w:tc>
          <w:tcPr>
            <w:tcW w:w="532" w:type="pct"/>
            <w:tcBorders>
              <w:top w:val="nil"/>
              <w:left w:val="nil"/>
              <w:bottom w:val="single" w:sz="4" w:space="0" w:color="auto"/>
              <w:right w:val="single" w:sz="4" w:space="0" w:color="auto"/>
            </w:tcBorders>
            <w:noWrap/>
            <w:vAlign w:val="center"/>
          </w:tcPr>
          <w:p w:rsidR="000E5655" w:rsidRPr="0043038D" w:rsidRDefault="00837133">
            <w:pPr>
              <w:pStyle w:val="110"/>
              <w:autoSpaceDE w:val="0"/>
              <w:autoSpaceDN w:val="0"/>
              <w:snapToGrid w:val="0"/>
              <w:spacing w:line="240" w:lineRule="exact"/>
              <w:jc w:val="both"/>
              <w:textAlignment w:val="bottom"/>
              <w:rPr>
                <w:rFonts w:hAnsi="宋体" w:cs="Arial"/>
                <w:sz w:val="16"/>
                <w:szCs w:val="18"/>
              </w:rPr>
            </w:pPr>
            <w:proofErr w:type="gramStart"/>
            <w:r w:rsidRPr="0043038D">
              <w:rPr>
                <w:rFonts w:hAnsi="宋体" w:cs="Arial"/>
                <w:sz w:val="16"/>
                <w:szCs w:val="18"/>
              </w:rPr>
              <w:t>待估</w:t>
            </w:r>
            <w:proofErr w:type="gramEnd"/>
          </w:p>
        </w:tc>
        <w:tc>
          <w:tcPr>
            <w:tcW w:w="532" w:type="pct"/>
            <w:tcBorders>
              <w:top w:val="nil"/>
              <w:left w:val="nil"/>
              <w:bottom w:val="single" w:sz="4" w:space="0" w:color="auto"/>
              <w:right w:val="single" w:sz="4" w:space="0" w:color="auto"/>
            </w:tcBorders>
            <w:noWrap/>
            <w:vAlign w:val="center"/>
          </w:tcPr>
          <w:p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84.53</w:t>
            </w:r>
          </w:p>
        </w:tc>
        <w:tc>
          <w:tcPr>
            <w:tcW w:w="532" w:type="pct"/>
            <w:tcBorders>
              <w:top w:val="nil"/>
              <w:left w:val="nil"/>
              <w:bottom w:val="single" w:sz="4" w:space="0" w:color="auto"/>
              <w:right w:val="single" w:sz="4" w:space="0" w:color="auto"/>
            </w:tcBorders>
            <w:noWrap/>
            <w:vAlign w:val="center"/>
          </w:tcPr>
          <w:p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80.48</w:t>
            </w:r>
          </w:p>
        </w:tc>
        <w:tc>
          <w:tcPr>
            <w:tcW w:w="532" w:type="pct"/>
            <w:tcBorders>
              <w:top w:val="nil"/>
              <w:left w:val="nil"/>
              <w:bottom w:val="single" w:sz="4" w:space="0" w:color="auto"/>
              <w:right w:val="single" w:sz="4" w:space="0" w:color="auto"/>
            </w:tcBorders>
            <w:noWrap/>
            <w:vAlign w:val="center"/>
          </w:tcPr>
          <w:p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81.09</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102</w:t>
            </w:r>
            <w:r w:rsidRPr="0043038D">
              <w:rPr>
                <w:rFonts w:ascii="Arial" w:hAnsi="Arial" w:cs="Arial"/>
                <w:sz w:val="16"/>
                <w:szCs w:val="18"/>
              </w:rPr>
              <w:t>、</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94</w:t>
            </w:r>
            <w:r w:rsidRPr="0043038D">
              <w:rPr>
                <w:rFonts w:ascii="Arial" w:hAnsi="Arial" w:cs="Arial"/>
                <w:sz w:val="16"/>
                <w:szCs w:val="18"/>
              </w:rPr>
              <w:t>、</w:t>
            </w:r>
            <w:r w:rsidRPr="0043038D">
              <w:rPr>
                <w:rFonts w:ascii="Arial" w:hAnsi="Arial" w:cs="Arial" w:hint="eastAsia"/>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99</w:t>
            </w:r>
            <w:r w:rsidRPr="0043038D">
              <w:rPr>
                <w:rFonts w:ascii="Arial" w:hAnsi="Arial" w:cs="Arial"/>
                <w:sz w:val="16"/>
                <w:szCs w:val="18"/>
              </w:rPr>
              <w:t>.5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99.5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proofErr w:type="gramStart"/>
            <w:r w:rsidRPr="0043038D">
              <w:rPr>
                <w:rFonts w:ascii="Arial" w:hAnsi="Arial" w:cs="Arial"/>
                <w:sz w:val="16"/>
                <w:szCs w:val="18"/>
              </w:rPr>
              <w:t>从优到劣依次</w:t>
            </w:r>
            <w:proofErr w:type="gramEnd"/>
            <w:r w:rsidRPr="0043038D">
              <w:rPr>
                <w:rFonts w:ascii="Arial" w:hAnsi="Arial" w:cs="Arial"/>
                <w:sz w:val="16"/>
                <w:szCs w:val="18"/>
              </w:rPr>
              <w:t>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w:t>
            </w:r>
            <w:r w:rsidRPr="0043038D">
              <w:rPr>
                <w:rFonts w:ascii="Arial" w:hAnsi="Arial" w:cs="Arial"/>
                <w:sz w:val="16"/>
                <w:szCs w:val="18"/>
              </w:rPr>
              <w:t>.5</w:t>
            </w:r>
            <w:r w:rsidRPr="0043038D">
              <w:rPr>
                <w:rFonts w:ascii="Arial" w:hAnsi="Arial" w:cs="Arial" w:hint="eastAsia"/>
                <w:sz w:val="16"/>
                <w:szCs w:val="18"/>
              </w:rPr>
              <w:t>、</w:t>
            </w:r>
            <w:r w:rsidRPr="0043038D">
              <w:rPr>
                <w:rFonts w:ascii="Arial" w:hAnsi="Arial" w:cs="Arial"/>
                <w:sz w:val="16"/>
                <w:szCs w:val="18"/>
              </w:rPr>
              <w:t>99.5</w:t>
            </w:r>
            <w:r w:rsidRPr="0043038D">
              <w:rPr>
                <w:rFonts w:ascii="Arial" w:hAnsi="Arial" w:cs="Arial" w:hint="eastAsia"/>
                <w:sz w:val="16"/>
                <w:szCs w:val="18"/>
              </w:rPr>
              <w:t>、</w:t>
            </w:r>
            <w:r w:rsidRPr="0043038D">
              <w:rPr>
                <w:rFonts w:ascii="Arial" w:hAnsi="Arial" w:cs="Arial"/>
                <w:sz w:val="16"/>
                <w:szCs w:val="18"/>
              </w:rPr>
              <w:t>102</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6</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98</w:t>
            </w:r>
            <w:r w:rsidRPr="0043038D">
              <w:rPr>
                <w:rFonts w:ascii="Arial" w:hAnsi="Arial" w:cs="Arial" w:hint="eastAsia"/>
                <w:sz w:val="16"/>
                <w:szCs w:val="18"/>
              </w:rPr>
              <w:t>、</w:t>
            </w:r>
            <w:r w:rsidRPr="0043038D">
              <w:rPr>
                <w:rFonts w:ascii="Arial" w:hAnsi="Arial" w:cs="Arial" w:hint="eastAsia"/>
                <w:sz w:val="16"/>
                <w:szCs w:val="18"/>
              </w:rPr>
              <w:t>9</w:t>
            </w:r>
            <w:r w:rsidRPr="0043038D">
              <w:rPr>
                <w:rFonts w:ascii="Arial" w:hAnsi="Arial" w:cs="Arial"/>
                <w:sz w:val="16"/>
                <w:szCs w:val="18"/>
              </w:rPr>
              <w:t>6</w:t>
            </w:r>
            <w:r w:rsidRPr="0043038D">
              <w:rPr>
                <w:rFonts w:ascii="Arial" w:hAnsi="Arial" w:cs="Arial" w:hint="eastAsia"/>
                <w:sz w:val="16"/>
                <w:szCs w:val="18"/>
              </w:rPr>
              <w:t>、</w:t>
            </w:r>
            <w:r w:rsidRPr="0043038D">
              <w:rPr>
                <w:rFonts w:ascii="Arial" w:hAnsi="Arial" w:cs="Arial" w:hint="eastAsia"/>
                <w:sz w:val="16"/>
                <w:szCs w:val="18"/>
              </w:rPr>
              <w:t>1</w:t>
            </w:r>
            <w:r w:rsidRPr="0043038D">
              <w:rPr>
                <w:rFonts w:ascii="Arial" w:hAnsi="Arial" w:cs="Arial"/>
                <w:sz w:val="16"/>
                <w:szCs w:val="18"/>
              </w:rPr>
              <w:t>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102</w:t>
            </w:r>
            <w:r w:rsidRPr="0043038D">
              <w:rPr>
                <w:rFonts w:ascii="Arial" w:hAnsi="Arial" w:cs="Arial" w:hint="eastAsia"/>
                <w:sz w:val="16"/>
                <w:szCs w:val="18"/>
              </w:rPr>
              <w:t>、</w:t>
            </w:r>
            <w:r w:rsidRPr="0043038D">
              <w:rPr>
                <w:rFonts w:ascii="Arial" w:hAnsi="Arial" w:cs="Arial" w:hint="eastAsia"/>
                <w:sz w:val="16"/>
                <w:szCs w:val="18"/>
              </w:rPr>
              <w:t>102</w:t>
            </w:r>
            <w:r w:rsidRPr="0043038D">
              <w:rPr>
                <w:rFonts w:ascii="Arial" w:hAnsi="Arial" w:cs="Arial" w:hint="eastAsia"/>
                <w:sz w:val="16"/>
                <w:szCs w:val="18"/>
              </w:rPr>
              <w:t>、</w:t>
            </w:r>
            <w:r w:rsidRPr="0043038D">
              <w:rPr>
                <w:rFonts w:ascii="Arial" w:hAnsi="Arial" w:cs="Arial" w:hint="eastAsia"/>
                <w:sz w:val="16"/>
                <w:szCs w:val="18"/>
              </w:rPr>
              <w:t>102</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97</w:t>
            </w:r>
            <w:r w:rsidRPr="0043038D">
              <w:rPr>
                <w:rFonts w:ascii="Arial" w:hAnsi="Arial" w:cs="Arial" w:hint="eastAsia"/>
                <w:sz w:val="16"/>
                <w:szCs w:val="18"/>
              </w:rPr>
              <w:t>、</w:t>
            </w:r>
            <w:r w:rsidRPr="0043038D">
              <w:rPr>
                <w:rFonts w:ascii="Arial" w:hAnsi="Arial" w:cs="Arial"/>
                <w:sz w:val="16"/>
                <w:szCs w:val="18"/>
              </w:rPr>
              <w:t>97</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w:t>
            </w:r>
            <w:r w:rsidRPr="0043038D">
              <w:rPr>
                <w:rFonts w:ascii="Arial" w:hAnsi="Arial" w:cs="Arial" w:hint="eastAsia"/>
                <w:sz w:val="16"/>
                <w:szCs w:val="18"/>
              </w:rPr>
              <w:t>、</w:t>
            </w:r>
            <w:r w:rsidRPr="0043038D">
              <w:rPr>
                <w:rFonts w:ascii="Arial" w:hAnsi="Arial" w:cs="Arial" w:hint="eastAsia"/>
                <w:sz w:val="16"/>
                <w:szCs w:val="18"/>
              </w:rPr>
              <w:t>99</w:t>
            </w:r>
            <w:r w:rsidRPr="0043038D">
              <w:rPr>
                <w:rFonts w:ascii="Arial" w:hAnsi="Arial" w:cs="Arial" w:hint="eastAsia"/>
                <w:sz w:val="16"/>
                <w:szCs w:val="18"/>
              </w:rPr>
              <w:t>、</w:t>
            </w:r>
            <w:r w:rsidRPr="0043038D">
              <w:rPr>
                <w:rFonts w:ascii="Arial" w:hAnsi="Arial" w:cs="Arial" w:hint="eastAsia"/>
                <w:sz w:val="16"/>
                <w:szCs w:val="18"/>
              </w:rPr>
              <w:t>99</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w:t>
            </w:r>
            <w:proofErr w:type="gramStart"/>
            <w:r w:rsidRPr="0043038D">
              <w:rPr>
                <w:rFonts w:ascii="宋体" w:hAnsi="宋体" w:cs="Arial"/>
                <w:sz w:val="16"/>
                <w:szCs w:val="18"/>
              </w:rPr>
              <w:t>费执行</w:t>
            </w:r>
            <w:proofErr w:type="gramEnd"/>
            <w:r w:rsidRPr="0043038D">
              <w:rPr>
                <w:rFonts w:ascii="宋体" w:hAnsi="宋体" w:cs="Arial"/>
                <w:sz w:val="16"/>
                <w:szCs w:val="18"/>
              </w:rPr>
              <w:t>标准</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w:t>
            </w:r>
            <w:proofErr w:type="gramStart"/>
            <w:r w:rsidRPr="0043038D">
              <w:rPr>
                <w:rFonts w:ascii="Arial" w:hAnsi="Arial" w:cs="Arial"/>
                <w:sz w:val="16"/>
                <w:szCs w:val="18"/>
              </w:rPr>
              <w:t>采用民水民</w:t>
            </w:r>
            <w:proofErr w:type="gramEnd"/>
            <w:r w:rsidRPr="0043038D">
              <w:rPr>
                <w:rFonts w:ascii="Arial" w:hAnsi="Arial" w:cs="Arial"/>
                <w:sz w:val="16"/>
                <w:szCs w:val="18"/>
              </w:rPr>
              <w:t>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lastRenderedPageBreak/>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w:t>
      </w:r>
      <w:proofErr w:type="gramStart"/>
      <w:r w:rsidRPr="0043038D">
        <w:rPr>
          <w:rFonts w:ascii="Arial" w:hAnsi="Arial" w:hint="eastAsia"/>
          <w:sz w:val="21"/>
          <w:szCs w:val="21"/>
        </w:rPr>
        <w:t>目比较</w:t>
      </w:r>
      <w:proofErr w:type="gramEnd"/>
      <w:r w:rsidRPr="0043038D">
        <w:rPr>
          <w:rFonts w:ascii="Arial" w:hAnsi="Arial" w:hint="eastAsia"/>
          <w:sz w:val="21"/>
          <w:szCs w:val="21"/>
        </w:rPr>
        <w:t>修正系数表，详见下表：</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509"/>
        <w:gridCol w:w="2885"/>
        <w:gridCol w:w="1707"/>
        <w:gridCol w:w="1707"/>
        <w:gridCol w:w="1707"/>
      </w:tblGrid>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3</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897" w:type="pct"/>
            <w:tcBorders>
              <w:top w:val="nil"/>
              <w:left w:val="nil"/>
              <w:bottom w:val="single" w:sz="4" w:space="0" w:color="auto"/>
              <w:right w:val="single" w:sz="4" w:space="0" w:color="auto"/>
            </w:tcBorders>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897" w:type="pct"/>
            <w:tcBorders>
              <w:top w:val="nil"/>
              <w:left w:val="nil"/>
              <w:bottom w:val="single" w:sz="4" w:space="0" w:color="auto"/>
              <w:right w:val="single" w:sz="4" w:space="0" w:color="auto"/>
            </w:tcBorders>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top w:val="nil"/>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100/99.5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99.5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100/102</w:t>
            </w:r>
          </w:p>
        </w:tc>
      </w:tr>
      <w:tr w:rsidR="000E5655" w:rsidRPr="0043038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6</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1.081</w:t>
            </w:r>
            <w:r w:rsidRPr="0043038D">
              <w:rPr>
                <w:rFonts w:ascii="Arial" w:hAnsi="Arial" w:cs="Arial" w:hint="eastAsia"/>
                <w:sz w:val="16"/>
                <w:szCs w:val="18"/>
              </w:rPr>
              <w:t>9</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509</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0.9</w:t>
            </w:r>
            <w:r w:rsidRPr="0043038D">
              <w:rPr>
                <w:rFonts w:ascii="Arial" w:hAnsi="Arial" w:cs="Arial" w:hint="eastAsia"/>
                <w:sz w:val="16"/>
                <w:szCs w:val="18"/>
              </w:rPr>
              <w:t>423</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commentRangeStart w:id="74"/>
            <w:r w:rsidRPr="0043038D">
              <w:rPr>
                <w:rFonts w:ascii="Arial" w:hAnsi="Arial" w:cs="Arial"/>
                <w:sz w:val="16"/>
                <w:szCs w:val="18"/>
              </w:rPr>
              <w:t>91.</w:t>
            </w:r>
            <w:r w:rsidRPr="0043038D">
              <w:rPr>
                <w:rFonts w:ascii="Arial" w:hAnsi="Arial" w:cs="Arial" w:hint="eastAsia"/>
                <w:sz w:val="16"/>
                <w:szCs w:val="18"/>
              </w:rPr>
              <w:t>4</w:t>
            </w:r>
            <w:r w:rsidR="0043038D">
              <w:rPr>
                <w:rFonts w:ascii="Arial" w:hAnsi="Arial" w:cs="Arial"/>
                <w:sz w:val="16"/>
                <w:szCs w:val="18"/>
              </w:rPr>
              <w:t>6</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8</w:t>
            </w:r>
            <w:r w:rsidRPr="0043038D">
              <w:rPr>
                <w:rFonts w:ascii="Arial" w:hAnsi="Arial" w:cs="Arial" w:hint="eastAsia"/>
                <w:sz w:val="16"/>
                <w:szCs w:val="18"/>
              </w:rPr>
              <w:t>4.58</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76.41</w:t>
            </w:r>
            <w:commentRangeEnd w:id="74"/>
            <w:r w:rsidR="007A668E">
              <w:rPr>
                <w:rStyle w:val="af6"/>
              </w:rPr>
              <w:commentReference w:id="74"/>
            </w:r>
          </w:p>
        </w:tc>
      </w:tr>
    </w:tbl>
    <w:p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w:t>
      </w:r>
      <w:proofErr w:type="gramStart"/>
      <w:r w:rsidRPr="0043038D">
        <w:rPr>
          <w:rFonts w:ascii="Arial" w:hAnsi="Arial"/>
          <w:sz w:val="21"/>
          <w:szCs w:val="21"/>
        </w:rPr>
        <w:t>经因素</w:t>
      </w:r>
      <w:proofErr w:type="gramEnd"/>
      <w:r w:rsidRPr="0043038D">
        <w:rPr>
          <w:rFonts w:ascii="Arial" w:hAnsi="Arial"/>
          <w:sz w:val="21"/>
          <w:szCs w:val="21"/>
        </w:rPr>
        <w:t>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lastRenderedPageBreak/>
        <w:t>即：标准房</w:t>
      </w:r>
      <w:r w:rsidRPr="0043038D">
        <w:rPr>
          <w:rFonts w:ascii="Arial" w:hAnsi="Arial" w:hint="eastAsia"/>
          <w:sz w:val="21"/>
          <w:szCs w:val="21"/>
        </w:rPr>
        <w:t>1</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sz w:val="21"/>
          <w:szCs w:val="21"/>
        </w:rPr>
        <w:t>91.</w:t>
      </w:r>
      <w:r w:rsidR="0043038D">
        <w:rPr>
          <w:rFonts w:ascii="Arial" w:hAnsi="Arial" w:hint="eastAsia"/>
          <w:sz w:val="21"/>
          <w:szCs w:val="21"/>
        </w:rPr>
        <w:t>4</w:t>
      </w:r>
      <w:r w:rsidR="0043038D">
        <w:rPr>
          <w:rFonts w:ascii="Arial" w:hAnsi="Arial"/>
          <w:sz w:val="21"/>
          <w:szCs w:val="21"/>
        </w:rPr>
        <w:t>6</w:t>
      </w:r>
      <w:r w:rsidRPr="0043038D">
        <w:rPr>
          <w:rFonts w:ascii="Arial" w:hAnsi="Arial" w:hint="eastAsia"/>
          <w:sz w:val="21"/>
          <w:szCs w:val="21"/>
        </w:rPr>
        <w:t>+84.58+</w:t>
      </w:r>
      <w:r w:rsidRPr="0043038D">
        <w:rPr>
          <w:rFonts w:ascii="Arial" w:hAnsi="Arial"/>
          <w:sz w:val="21"/>
          <w:szCs w:val="21"/>
        </w:rPr>
        <w:t>7</w:t>
      </w:r>
      <w:r w:rsidRPr="0043038D">
        <w:rPr>
          <w:rFonts w:ascii="Arial" w:hAnsi="Arial" w:hint="eastAsia"/>
          <w:sz w:val="21"/>
          <w:szCs w:val="21"/>
        </w:rPr>
        <w:t>6.41</w:t>
      </w:r>
      <w:r w:rsidRPr="0043038D">
        <w:rPr>
          <w:rFonts w:ascii="Arial" w:hAnsi="Arial" w:hint="eastAsia"/>
          <w:sz w:val="21"/>
          <w:szCs w:val="21"/>
        </w:rPr>
        <w:t>）÷</w:t>
      </w:r>
      <w:r w:rsidRPr="0043038D">
        <w:rPr>
          <w:rFonts w:ascii="Arial" w:hAnsi="Arial"/>
          <w:sz w:val="21"/>
          <w:szCs w:val="21"/>
        </w:rPr>
        <w:t>3</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sz w:val="21"/>
          <w:szCs w:val="21"/>
        </w:rPr>
        <w:t>8</w:t>
      </w:r>
      <w:r w:rsidRPr="0043038D">
        <w:rPr>
          <w:rFonts w:ascii="Arial" w:hAnsi="Arial" w:hint="eastAsia"/>
          <w:sz w:val="21"/>
          <w:szCs w:val="21"/>
        </w:rPr>
        <w:t>4.15</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B.</w:t>
      </w:r>
      <w:r w:rsidRPr="0043038D">
        <w:rPr>
          <w:rFonts w:ascii="Arial" w:hAnsi="Arial" w:cs="Arial" w:hint="eastAsia"/>
          <w:b/>
          <w:sz w:val="21"/>
          <w:szCs w:val="21"/>
        </w:rPr>
        <w:t>标准房</w:t>
      </w:r>
      <w:r w:rsidRPr="0043038D">
        <w:rPr>
          <w:rFonts w:ascii="Arial" w:hAnsi="Arial" w:cs="Arial"/>
          <w:b/>
          <w:sz w:val="21"/>
          <w:szCs w:val="21"/>
        </w:rPr>
        <w:t>2</w:t>
      </w:r>
      <w:r w:rsidRPr="0043038D">
        <w:rPr>
          <w:rFonts w:ascii="Arial" w:hAnsi="Arial" w:cs="Arial" w:hint="eastAsia"/>
          <w:b/>
          <w:sz w:val="21"/>
          <w:szCs w:val="21"/>
        </w:rPr>
        <w:t>（小两</w:t>
      </w:r>
      <w:proofErr w:type="gramStart"/>
      <w:r w:rsidRPr="0043038D">
        <w:rPr>
          <w:rFonts w:ascii="宋体" w:hAnsi="宋体" w:hint="eastAsia"/>
          <w:b/>
          <w:sz w:val="21"/>
          <w:szCs w:val="21"/>
        </w:rPr>
        <w:t>居标准</w:t>
      </w:r>
      <w:proofErr w:type="gramEnd"/>
      <w:r w:rsidRPr="0043038D">
        <w:rPr>
          <w:rFonts w:ascii="宋体" w:hAnsi="宋体" w:hint="eastAsia"/>
          <w:b/>
          <w:sz w:val="21"/>
          <w:szCs w:val="21"/>
        </w:rPr>
        <w:t>房市场租金水平）</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w:t>
      </w:r>
      <w:proofErr w:type="gramStart"/>
      <w:r w:rsidRPr="0043038D">
        <w:rPr>
          <w:rFonts w:ascii="Arial" w:hAnsi="Arial" w:cs="Arial"/>
          <w:sz w:val="21"/>
          <w:szCs w:val="21"/>
        </w:rPr>
        <w:t>作因素</w:t>
      </w:r>
      <w:proofErr w:type="gramEnd"/>
      <w:r w:rsidRPr="0043038D">
        <w:rPr>
          <w:rFonts w:ascii="Arial" w:hAnsi="Arial" w:cs="Arial"/>
          <w:sz w:val="21"/>
          <w:szCs w:val="21"/>
        </w:rPr>
        <w:t>条件说明</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proofErr w:type="gramStart"/>
      <w:r w:rsidRPr="0043038D">
        <w:rPr>
          <w:rFonts w:ascii="Arial" w:hAnsi="Arial" w:cs="Arial" w:hint="eastAsia"/>
          <w:sz w:val="21"/>
          <w:szCs w:val="21"/>
        </w:rPr>
        <w:t>大兴</w:t>
      </w:r>
      <w:r w:rsidRPr="0043038D">
        <w:rPr>
          <w:rFonts w:ascii="Arial" w:hAnsi="Arial" w:cs="Arial"/>
          <w:sz w:val="21"/>
          <w:szCs w:val="21"/>
        </w:rPr>
        <w:t>区</w:t>
      </w:r>
      <w:proofErr w:type="gramEnd"/>
      <w:r w:rsidRPr="0043038D">
        <w:rPr>
          <w:rFonts w:ascii="Arial" w:hAnsi="Arial" w:cs="Arial"/>
          <w:sz w:val="21"/>
          <w:szCs w:val="21"/>
        </w:rPr>
        <w:t>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r w:rsidRPr="0043038D">
        <w:rPr>
          <w:rFonts w:ascii="Arial" w:hAnsi="Arial" w:cs="Arial"/>
          <w:sz w:val="21"/>
          <w:szCs w:val="21"/>
        </w:rPr>
        <w:t xml:space="preserve">  </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w:t>
      </w:r>
      <w:r w:rsidRPr="0043038D">
        <w:rPr>
          <w:rFonts w:ascii="Arial" w:hAnsi="Arial" w:cs="Arial" w:hint="eastAsia"/>
          <w:i/>
          <w:sz w:val="21"/>
          <w:szCs w:val="21"/>
        </w:rPr>
        <w:t>园</w:t>
      </w:r>
      <w:r w:rsidRPr="0043038D">
        <w:rPr>
          <w:rFonts w:ascii="Arial" w:hAnsi="Arial" w:cs="Arial" w:hint="eastAsia"/>
          <w:sz w:val="21"/>
          <w:szCs w:val="21"/>
        </w:rPr>
        <w:t>、德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为</w:t>
      </w:r>
      <w:r w:rsidRPr="0043038D">
        <w:rPr>
          <w:rFonts w:ascii="Arial" w:hAnsi="Arial" w:cs="Arial" w:hint="eastAsia"/>
          <w:sz w:val="21"/>
          <w:szCs w:val="21"/>
        </w:rPr>
        <w:t>两居室</w:t>
      </w:r>
      <w:r w:rsidRPr="0043038D">
        <w:rPr>
          <w:rFonts w:ascii="Arial" w:hAnsi="Arial" w:cs="Arial"/>
          <w:sz w:val="21"/>
          <w:szCs w:val="21"/>
        </w:rPr>
        <w:t>户型，中楼层，</w:t>
      </w:r>
      <w:r w:rsidRPr="0043038D">
        <w:rPr>
          <w:rFonts w:ascii="Arial" w:hAnsi="Arial" w:cs="Arial" w:hint="eastAsia"/>
          <w:sz w:val="21"/>
          <w:szCs w:val="21"/>
        </w:rPr>
        <w:t>东南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61.5</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73.17</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lastRenderedPageBreak/>
        <w:t>可比实例</w:t>
      </w:r>
      <w:r w:rsidRPr="0043038D">
        <w:rPr>
          <w:rFonts w:ascii="Arial" w:hAnsi="Arial" w:cs="Arial"/>
          <w:sz w:val="21"/>
          <w:szCs w:val="21"/>
        </w:rPr>
        <w:t>5</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w:t>
      </w:r>
      <w:r w:rsidRPr="0043038D">
        <w:rPr>
          <w:rFonts w:ascii="Arial" w:hAnsi="Arial" w:cs="Arial" w:hint="eastAsia"/>
          <w:i/>
          <w:sz w:val="21"/>
          <w:szCs w:val="21"/>
        </w:rPr>
        <w:t>园</w:t>
      </w:r>
      <w:r w:rsidRPr="0043038D">
        <w:rPr>
          <w:rFonts w:ascii="Arial" w:hAnsi="Arial" w:cs="Arial" w:hint="eastAsia"/>
          <w:sz w:val="21"/>
          <w:szCs w:val="21"/>
        </w:rPr>
        <w:t>、德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为</w:t>
      </w:r>
      <w:r w:rsidRPr="0043038D">
        <w:rPr>
          <w:rFonts w:ascii="Arial" w:hAnsi="Arial" w:cs="Arial" w:hint="eastAsia"/>
          <w:sz w:val="21"/>
          <w:szCs w:val="21"/>
        </w:rPr>
        <w:t>两居室</w:t>
      </w:r>
      <w:r w:rsidRPr="0043038D">
        <w:rPr>
          <w:rFonts w:ascii="Arial" w:hAnsi="Arial" w:cs="Arial"/>
          <w:sz w:val="21"/>
          <w:szCs w:val="21"/>
        </w:rPr>
        <w:t>户型，低楼层，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sz w:val="21"/>
          <w:szCs w:val="21"/>
        </w:rPr>
        <w:t>68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82.35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世嘉博</w:t>
      </w:r>
      <w:proofErr w:type="gramEnd"/>
      <w:r w:rsidRPr="0043038D">
        <w:rPr>
          <w:rFonts w:ascii="Arial" w:hAnsi="Arial" w:cs="Arial" w:hint="eastAsia"/>
          <w:sz w:val="21"/>
          <w:szCs w:val="21"/>
        </w:rPr>
        <w:t>苑</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欣宁街</w:t>
      </w:r>
      <w:r w:rsidRPr="0043038D">
        <w:rPr>
          <w:rFonts w:ascii="Arial" w:hAnsi="Arial" w:cs="Arial" w:hint="eastAsia"/>
          <w:sz w:val="21"/>
          <w:szCs w:val="21"/>
        </w:rPr>
        <w:t>67</w:t>
      </w:r>
      <w:r w:rsidRPr="0043038D">
        <w:rPr>
          <w:rFonts w:ascii="Arial" w:hAnsi="Arial" w:cs="Arial" w:hint="eastAsia"/>
          <w:sz w:val="21"/>
          <w:szCs w:val="21"/>
        </w:rPr>
        <w:t>号</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hint="eastAsia"/>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lastRenderedPageBreak/>
        <w:t>可比实例</w:t>
      </w:r>
      <w:r w:rsidRPr="0043038D">
        <w:rPr>
          <w:rFonts w:ascii="Arial" w:hAnsi="Arial" w:cs="Arial"/>
          <w:sz w:val="21"/>
          <w:szCs w:val="21"/>
        </w:rPr>
        <w:t>6</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、同兴园、熙红印、</w:t>
      </w:r>
      <w:proofErr w:type="gramStart"/>
      <w:r w:rsidRPr="0043038D">
        <w:rPr>
          <w:rFonts w:ascii="Arial" w:hAnsi="Arial" w:cs="Arial" w:hint="eastAsia"/>
          <w:sz w:val="21"/>
          <w:szCs w:val="21"/>
        </w:rPr>
        <w:t>兴都苑等</w:t>
      </w:r>
      <w:proofErr w:type="gramEnd"/>
      <w:r w:rsidRPr="0043038D">
        <w:rPr>
          <w:rFonts w:ascii="Arial" w:hAnsi="Arial" w:cs="Arial" w:hint="eastAsia"/>
          <w:sz w:val="21"/>
          <w:szCs w:val="21"/>
        </w:rPr>
        <w:t>，居住小区规模较大，入住率较好，综合评价居住区成熟度较好；东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w:t>
      </w:r>
      <w:r w:rsidRPr="0043038D">
        <w:rPr>
          <w:rFonts w:ascii="Arial" w:hAnsi="Arial" w:cs="Arial" w:hint="eastAsia"/>
          <w:sz w:val="21"/>
          <w:szCs w:val="21"/>
        </w:rPr>
        <w:t>低</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61.77</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72.85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5</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6</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3"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2"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3"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lang w:bidi="ar"/>
              </w:rPr>
              <w:t>世嘉博</w:t>
            </w:r>
            <w:proofErr w:type="gramEnd"/>
            <w:r w:rsidRPr="0043038D">
              <w:rPr>
                <w:rFonts w:ascii="Arial" w:hAnsi="Arial" w:cs="Arial" w:hint="eastAsia"/>
                <w:sz w:val="16"/>
                <w:szCs w:val="18"/>
                <w:lang w:bidi="ar"/>
              </w:rPr>
              <w:t>苑</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hint="eastAsia"/>
                <w:sz w:val="16"/>
                <w:szCs w:val="18"/>
              </w:rPr>
              <w:t>73.17</w:t>
            </w:r>
          </w:p>
        </w:tc>
        <w:tc>
          <w:tcPr>
            <w:tcW w:w="1812"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82.35</w:t>
            </w:r>
          </w:p>
        </w:tc>
        <w:tc>
          <w:tcPr>
            <w:tcW w:w="1813"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hint="eastAsia"/>
                <w:sz w:val="16"/>
                <w:szCs w:val="18"/>
              </w:rPr>
              <w:t>72.85</w:t>
            </w:r>
          </w:p>
        </w:tc>
      </w:tr>
      <w:tr w:rsidR="000E5655" w:rsidRPr="0043038D">
        <w:trPr>
          <w:trHeight w:val="3402"/>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6"/>
                <w:szCs w:val="18"/>
              </w:rPr>
              <w:t>区维保</w:t>
            </w:r>
            <w:proofErr w:type="gramEnd"/>
            <w:r w:rsidRPr="0043038D">
              <w:rPr>
                <w:rFonts w:ascii="Arial" w:hAnsi="Arial" w:cs="Arial" w:hint="eastAsia"/>
                <w:sz w:val="16"/>
                <w:szCs w:val="18"/>
              </w:rPr>
              <w:t>、室内正常损耗维修等费用）、增值服务费（例如室内保洁、室内人为损坏维修、洗衣、送餐等费用）、能源费（包括公区能源费及室内能源费，例如水、电、气、暖、中央空调、网络等费用）、车位使用费等费用</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3"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4.00</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68.92</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78.1</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68.85</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w:t>
            </w:r>
            <w:r w:rsidRPr="0043038D">
              <w:rPr>
                <w:rFonts w:ascii="Arial" w:hAnsi="Arial" w:cs="Arial" w:hint="eastAsia"/>
                <w:sz w:val="16"/>
                <w:szCs w:val="18"/>
              </w:rPr>
              <w:lastRenderedPageBreak/>
              <w:t>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lastRenderedPageBreak/>
              <w:t>一年租期，月付，无免租</w:t>
            </w:r>
            <w:r w:rsidRPr="0043038D">
              <w:rPr>
                <w:rFonts w:ascii="Arial" w:hAnsi="Arial" w:cs="Arial" w:hint="eastAsia"/>
                <w:sz w:val="16"/>
                <w:szCs w:val="18"/>
              </w:rPr>
              <w:lastRenderedPageBreak/>
              <w:t>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lastRenderedPageBreak/>
              <w:t>一年租期，月付，无免租</w:t>
            </w:r>
            <w:r w:rsidRPr="0043038D">
              <w:rPr>
                <w:rFonts w:ascii="Arial" w:hAnsi="Arial" w:cs="Arial" w:hint="eastAsia"/>
                <w:sz w:val="16"/>
                <w:szCs w:val="18"/>
              </w:rPr>
              <w:lastRenderedPageBreak/>
              <w:t>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lastRenderedPageBreak/>
              <w:t>一年租期，月付，无免租</w:t>
            </w:r>
            <w:r w:rsidRPr="0043038D">
              <w:rPr>
                <w:rFonts w:ascii="Arial" w:hAnsi="Arial" w:cs="Arial" w:hint="eastAsia"/>
                <w:sz w:val="16"/>
                <w:szCs w:val="18"/>
              </w:rPr>
              <w:lastRenderedPageBreak/>
              <w:t>期</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68.92</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78.1</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68.85</w:t>
            </w:r>
          </w:p>
        </w:tc>
      </w:tr>
    </w:tbl>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sz w:val="21"/>
          <w:szCs w:val="21"/>
        </w:rPr>
        <w:br w:type="page"/>
      </w:r>
      <w:r w:rsidRPr="0043038D">
        <w:rPr>
          <w:rFonts w:ascii="宋体" w:hAnsi="宋体" w:hint="eastAsia"/>
          <w:sz w:val="21"/>
          <w:szCs w:val="21"/>
        </w:rPr>
        <w:lastRenderedPageBreak/>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trPr>
          <w:cantSplit/>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Calibri" w:hAnsi="Calibri"/>
              </w:rPr>
            </w:pPr>
            <w:r w:rsidRPr="0043038D">
              <w:rPr>
                <w:noProof/>
              </w:rPr>
              <w:drawing>
                <wp:inline distT="0" distB="0" distL="0" distR="0">
                  <wp:extent cx="5866765" cy="433197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866765" cy="4331970"/>
                          </a:xfrm>
                          <a:prstGeom prst="rect">
                            <a:avLst/>
                          </a:prstGeom>
                          <a:noFill/>
                          <a:ln>
                            <a:noFill/>
                          </a:ln>
                        </pic:spPr>
                      </pic:pic>
                    </a:graphicData>
                  </a:graphic>
                </wp:inline>
              </w:drawing>
            </w:r>
          </w:p>
        </w:tc>
      </w:tr>
    </w:tbl>
    <w:p w:rsidR="000E5655" w:rsidRPr="0043038D" w:rsidRDefault="000E5655"/>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lastRenderedPageBreak/>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92"/>
        <w:gridCol w:w="1443"/>
        <w:gridCol w:w="1844"/>
        <w:gridCol w:w="1844"/>
        <w:gridCol w:w="1844"/>
        <w:gridCol w:w="1848"/>
      </w:tblGrid>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5</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6</w:t>
            </w:r>
          </w:p>
        </w:tc>
      </w:tr>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橡树湾</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南庭新苑南区</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南庭新苑南区</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lang w:bidi="ar"/>
              </w:rPr>
              <w:t>世嘉博</w:t>
            </w:r>
            <w:proofErr w:type="gramEnd"/>
            <w:r w:rsidRPr="0043038D">
              <w:rPr>
                <w:rFonts w:ascii="Arial" w:hAnsi="Arial" w:cs="Arial"/>
                <w:sz w:val="16"/>
                <w:szCs w:val="18"/>
                <w:lang w:bidi="ar"/>
              </w:rPr>
              <w:t>苑</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68.92 </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78.10 </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68.85 </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00C81EDB">
              <w:rPr>
                <w:rFonts w:ascii="Arial" w:hAnsi="Arial" w:cs="Arial"/>
                <w:sz w:val="16"/>
                <w:szCs w:val="18"/>
              </w:rPr>
              <w:t>10</w:t>
            </w:r>
            <w:r w:rsidR="00C81EDB">
              <w:rPr>
                <w:rFonts w:ascii="Arial" w:hAnsi="Arial" w:cs="Arial"/>
                <w:sz w:val="16"/>
                <w:szCs w:val="18"/>
              </w:rPr>
              <w:t>月</w:t>
            </w:r>
            <w:r w:rsidR="00C81EDB">
              <w:rPr>
                <w:rFonts w:ascii="Arial" w:hAnsi="Arial" w:cs="Arial"/>
                <w:sz w:val="16"/>
                <w:szCs w:val="18"/>
              </w:rPr>
              <w:t>14</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r>
      <w:tr w:rsidR="000E5655" w:rsidRPr="0043038D">
        <w:trPr>
          <w:trHeight w:val="397"/>
          <w:jc w:val="center"/>
        </w:trPr>
        <w:tc>
          <w:tcPr>
            <w:tcW w:w="364" w:type="pct"/>
            <w:vMerge w:val="restart"/>
            <w:tcBorders>
              <w:top w:val="nil"/>
              <w:left w:val="single" w:sz="4" w:space="0" w:color="auto"/>
              <w:bottom w:val="single" w:sz="4" w:space="0" w:color="000000"/>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估价对象周边</w:t>
            </w:r>
            <w:r w:rsidRPr="0043038D">
              <w:rPr>
                <w:rFonts w:ascii="Arial" w:hAnsi="Arial" w:cs="Arial"/>
                <w:sz w:val="16"/>
                <w:szCs w:val="18"/>
              </w:rPr>
              <w:t>2</w:t>
            </w:r>
            <w:r w:rsidRPr="0043038D">
              <w:rPr>
                <w:rFonts w:ascii="Arial" w:hAnsi="Arial" w:cs="Arial"/>
                <w:sz w:val="16"/>
                <w:szCs w:val="18"/>
              </w:rPr>
              <w:t>公里内有福星花园、宏大中园、宏盛家园、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、同兴园、熙红印、</w:t>
            </w:r>
            <w:proofErr w:type="gramStart"/>
            <w:r w:rsidRPr="0043038D">
              <w:rPr>
                <w:rFonts w:ascii="Arial" w:hAnsi="Arial" w:cs="Arial"/>
                <w:sz w:val="16"/>
                <w:szCs w:val="18"/>
              </w:rPr>
              <w:t>兴都苑等</w:t>
            </w:r>
            <w:proofErr w:type="gramEnd"/>
            <w:r w:rsidRPr="0043038D">
              <w:rPr>
                <w:rFonts w:ascii="Arial" w:hAnsi="Arial" w:cs="Arial"/>
                <w:sz w:val="16"/>
                <w:szCs w:val="18"/>
              </w:rPr>
              <w:t>，居住小区规模较大，入住率较好，综合评价居住区成熟度较好。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南西路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2</w:t>
            </w:r>
            <w:r w:rsidRPr="0043038D">
              <w:rPr>
                <w:rFonts w:ascii="Arial" w:hAnsi="Arial" w:cs="Arial"/>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1</w:t>
            </w:r>
            <w:r w:rsidRPr="0043038D">
              <w:rPr>
                <w:rFonts w:ascii="Arial" w:hAnsi="Arial" w:cs="Arial"/>
                <w:sz w:val="16"/>
                <w:szCs w:val="18"/>
              </w:rPr>
              <w:t>公里内有</w:t>
            </w:r>
            <w:r w:rsidRPr="0043038D">
              <w:rPr>
                <w:rFonts w:ascii="Arial" w:hAnsi="Arial" w:cs="Arial"/>
                <w:sz w:val="16"/>
                <w:szCs w:val="18"/>
              </w:rPr>
              <w:t>366</w:t>
            </w:r>
            <w:r w:rsidRPr="0043038D">
              <w:rPr>
                <w:rFonts w:ascii="Arial" w:hAnsi="Arial" w:cs="Arial"/>
                <w:sz w:val="16"/>
                <w:szCs w:val="18"/>
              </w:rPr>
              <w:t>路、</w:t>
            </w:r>
            <w:r w:rsidRPr="0043038D">
              <w:rPr>
                <w:rFonts w:ascii="Arial" w:hAnsi="Arial" w:cs="Arial"/>
                <w:sz w:val="16"/>
                <w:szCs w:val="18"/>
              </w:rPr>
              <w:t>377</w:t>
            </w:r>
            <w:r w:rsidRPr="0043038D">
              <w:rPr>
                <w:rFonts w:ascii="Arial" w:hAnsi="Arial" w:cs="Arial"/>
                <w:sz w:val="16"/>
                <w:szCs w:val="18"/>
              </w:rPr>
              <w:t>路、</w:t>
            </w:r>
            <w:r w:rsidRPr="0043038D">
              <w:rPr>
                <w:rFonts w:ascii="Arial" w:hAnsi="Arial" w:cs="Arial"/>
                <w:sz w:val="16"/>
                <w:szCs w:val="18"/>
              </w:rPr>
              <w:t>410</w:t>
            </w:r>
            <w:r w:rsidRPr="0043038D">
              <w:rPr>
                <w:rFonts w:ascii="Arial" w:hAnsi="Arial" w:cs="Arial"/>
                <w:sz w:val="16"/>
                <w:szCs w:val="18"/>
              </w:rPr>
              <w:t>路、</w:t>
            </w:r>
            <w:r w:rsidRPr="0043038D">
              <w:rPr>
                <w:rFonts w:ascii="Arial" w:hAnsi="Arial" w:cs="Arial"/>
                <w:sz w:val="16"/>
                <w:szCs w:val="18"/>
              </w:rPr>
              <w:t>679</w:t>
            </w:r>
            <w:r w:rsidRPr="0043038D">
              <w:rPr>
                <w:rFonts w:ascii="Arial" w:hAnsi="Arial" w:cs="Arial"/>
                <w:sz w:val="16"/>
                <w:szCs w:val="18"/>
              </w:rPr>
              <w:t>路、</w:t>
            </w:r>
            <w:r w:rsidRPr="0043038D">
              <w:rPr>
                <w:rFonts w:ascii="Arial" w:hAnsi="Arial" w:cs="Arial"/>
                <w:sz w:val="16"/>
                <w:szCs w:val="18"/>
              </w:rPr>
              <w:t>827</w:t>
            </w:r>
            <w:r w:rsidRPr="0043038D">
              <w:rPr>
                <w:rFonts w:ascii="Arial" w:hAnsi="Arial" w:cs="Arial"/>
                <w:sz w:val="16"/>
                <w:szCs w:val="18"/>
              </w:rPr>
              <w:t>路、兴</w:t>
            </w:r>
            <w:r w:rsidRPr="0043038D">
              <w:rPr>
                <w:rFonts w:ascii="Arial" w:hAnsi="Arial" w:cs="Arial"/>
                <w:sz w:val="16"/>
                <w:szCs w:val="18"/>
              </w:rPr>
              <w:t>12</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环境质量优劣度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自然及人文环境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r w:rsidRPr="0043038D">
              <w:rPr>
                <w:rFonts w:ascii="Arial" w:hAnsi="Arial" w:cs="Arial"/>
                <w:sz w:val="16"/>
                <w:szCs w:val="18"/>
              </w:rPr>
              <w:t>2</w:t>
            </w:r>
            <w:r w:rsidRPr="0043038D">
              <w:rPr>
                <w:rFonts w:ascii="Arial" w:hAnsi="Arial" w:cs="Arial"/>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公共服务设施状况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估价对象所在区域周边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w:t>
            </w:r>
            <w:r w:rsidRPr="0043038D">
              <w:rPr>
                <w:rFonts w:ascii="Arial" w:hAnsi="Arial" w:cs="Arial"/>
                <w:sz w:val="16"/>
                <w:szCs w:val="18"/>
              </w:rPr>
              <w:lastRenderedPageBreak/>
              <w:t>京大兴欣荣大街支行）等金融网点，公共配套设施状况较好。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lastRenderedPageBreak/>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w:t>
            </w:r>
            <w:r w:rsidRPr="0043038D">
              <w:rPr>
                <w:rFonts w:ascii="Arial" w:hAnsi="Arial" w:cs="Arial" w:hint="eastAsia"/>
                <w:sz w:val="16"/>
                <w:szCs w:val="18"/>
              </w:rPr>
              <w:lastRenderedPageBreak/>
              <w:t>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lastRenderedPageBreak/>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w:t>
            </w:r>
            <w:r w:rsidRPr="0043038D">
              <w:rPr>
                <w:rFonts w:ascii="Arial" w:hAnsi="Arial" w:cs="Arial" w:hint="eastAsia"/>
                <w:sz w:val="16"/>
                <w:szCs w:val="18"/>
              </w:rPr>
              <w:lastRenderedPageBreak/>
              <w:t>配套设施状况较好。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lastRenderedPageBreak/>
              <w:t>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w:t>
            </w:r>
            <w:r w:rsidRPr="0043038D">
              <w:rPr>
                <w:rFonts w:ascii="Arial" w:hAnsi="Arial" w:cs="Arial"/>
                <w:sz w:val="16"/>
                <w:szCs w:val="18"/>
              </w:rPr>
              <w:lastRenderedPageBreak/>
              <w:t>荣大街支行）等金融服务机构，公共配套设施状况较好。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中楼层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r>
      <w:tr w:rsidR="000E5655" w:rsidRPr="0043038D">
        <w:trPr>
          <w:trHeight w:val="397"/>
          <w:jc w:val="center"/>
        </w:trPr>
        <w:tc>
          <w:tcPr>
            <w:tcW w:w="364"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w:t>
            </w:r>
            <w:r w:rsidRPr="0043038D">
              <w:rPr>
                <w:rFonts w:ascii="Arial" w:hAnsi="Arial" w:cs="Arial"/>
                <w:sz w:val="16"/>
                <w:szCs w:val="18"/>
              </w:rPr>
              <w:t>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南北</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南北</w:t>
            </w:r>
          </w:p>
        </w:tc>
      </w:tr>
      <w:tr w:rsidR="000E5655" w:rsidRPr="0043038D">
        <w:trPr>
          <w:trHeight w:val="397"/>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90-100%</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commentRangeStart w:id="75"/>
            <w:r w:rsidRPr="0043038D">
              <w:rPr>
                <w:rFonts w:ascii="Arial" w:hAnsi="Arial" w:cs="Arial"/>
                <w:sz w:val="16"/>
                <w:szCs w:val="18"/>
              </w:rPr>
              <w:t>小两居</w:t>
            </w:r>
            <w:commentRangeEnd w:id="75"/>
            <w:r w:rsidR="007A668E">
              <w:rPr>
                <w:rStyle w:val="af6"/>
              </w:rPr>
              <w:commentReference w:id="75"/>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63.15</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61.5</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68</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61.77</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trPr>
          <w:trHeight w:val="397"/>
          <w:jc w:val="center"/>
        </w:trPr>
        <w:tc>
          <w:tcPr>
            <w:tcW w:w="364"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r>
    </w:tbl>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lastRenderedPageBreak/>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w:t>
      </w:r>
      <w:proofErr w:type="gramStart"/>
      <w:r w:rsidRPr="0043038D">
        <w:rPr>
          <w:rFonts w:ascii="Arial" w:hAnsi="Arial"/>
          <w:sz w:val="21"/>
          <w:szCs w:val="21"/>
        </w:rPr>
        <w:t>比因素</w:t>
      </w:r>
      <w:proofErr w:type="gramEnd"/>
      <w:r w:rsidRPr="0043038D">
        <w:rPr>
          <w:rFonts w:ascii="Arial" w:hAnsi="Arial"/>
          <w:sz w:val="21"/>
          <w:szCs w:val="21"/>
        </w:rPr>
        <w:t>分别与估价对象的相应状况进行比较，编制比较因素条件指数表。具体如下</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w:t>
      </w:r>
      <w:proofErr w:type="gramStart"/>
      <w:r w:rsidRPr="0043038D">
        <w:rPr>
          <w:rFonts w:ascii="Arial" w:hAnsi="Arial" w:hint="eastAsia"/>
          <w:sz w:val="21"/>
          <w:szCs w:val="21"/>
        </w:rPr>
        <w:t>湾</w:t>
      </w:r>
      <w:r w:rsidRPr="0043038D">
        <w:rPr>
          <w:rFonts w:ascii="Arial" w:hAnsi="Arial"/>
          <w:sz w:val="21"/>
          <w:szCs w:val="21"/>
        </w:rPr>
        <w:t>比较</w:t>
      </w:r>
      <w:proofErr w:type="gramEnd"/>
      <w:r w:rsidRPr="0043038D">
        <w:rPr>
          <w:rFonts w:ascii="Arial" w:hAnsi="Arial"/>
          <w:sz w:val="21"/>
          <w:szCs w:val="21"/>
        </w:rPr>
        <w:t>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74"/>
        <w:gridCol w:w="997"/>
        <w:gridCol w:w="989"/>
        <w:gridCol w:w="989"/>
        <w:gridCol w:w="989"/>
        <w:gridCol w:w="989"/>
        <w:gridCol w:w="3769"/>
      </w:tblGrid>
      <w:tr w:rsidR="000E5655" w:rsidRPr="0043038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rsidR="000E5655" w:rsidRPr="0043038D" w:rsidRDefault="000E5655">
            <w:pPr>
              <w:snapToGrid w:val="0"/>
              <w:spacing w:line="240" w:lineRule="exact"/>
              <w:jc w:val="both"/>
              <w:rPr>
                <w:rFonts w:ascii="宋体" w:hAnsi="宋体" w:cs="Arial"/>
                <w:sz w:val="16"/>
                <w:szCs w:val="18"/>
              </w:rPr>
            </w:pPr>
          </w:p>
          <w:p w:rsidR="000E5655" w:rsidRPr="0043038D" w:rsidRDefault="000E5655">
            <w:pPr>
              <w:snapToGrid w:val="0"/>
              <w:spacing w:line="240" w:lineRule="exact"/>
              <w:jc w:val="both"/>
              <w:rPr>
                <w:rFonts w:ascii="宋体" w:hAnsi="宋体" w:cs="Arial"/>
                <w:sz w:val="16"/>
                <w:szCs w:val="18"/>
              </w:rPr>
            </w:pP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可比实例4</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可比实例5</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可比实例6</w:t>
            </w:r>
          </w:p>
        </w:tc>
        <w:tc>
          <w:tcPr>
            <w:tcW w:w="2027"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世嘉博</w:t>
            </w:r>
            <w:proofErr w:type="gramEnd"/>
            <w:r w:rsidRPr="0043038D">
              <w:rPr>
                <w:rFonts w:ascii="Arial" w:hAnsi="Arial" w:cs="Arial" w:hint="eastAsia"/>
                <w:sz w:val="16"/>
                <w:szCs w:val="18"/>
                <w:lang w:bidi="ar"/>
              </w:rPr>
              <w:t>苑</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确定的租金价格（元/平方米·天）</w:t>
            </w:r>
          </w:p>
        </w:tc>
        <w:tc>
          <w:tcPr>
            <w:tcW w:w="532" w:type="pct"/>
            <w:tcBorders>
              <w:top w:val="nil"/>
              <w:left w:val="nil"/>
              <w:bottom w:val="single" w:sz="4" w:space="0" w:color="auto"/>
              <w:right w:val="single" w:sz="4" w:space="0" w:color="auto"/>
            </w:tcBorders>
            <w:noWrap/>
            <w:vAlign w:val="center"/>
          </w:tcPr>
          <w:p w:rsidR="000E5655" w:rsidRPr="0043038D" w:rsidRDefault="00837133">
            <w:pPr>
              <w:pStyle w:val="110"/>
              <w:autoSpaceDE w:val="0"/>
              <w:autoSpaceDN w:val="0"/>
              <w:snapToGrid w:val="0"/>
              <w:spacing w:line="240" w:lineRule="exact"/>
              <w:jc w:val="both"/>
              <w:textAlignment w:val="bottom"/>
              <w:rPr>
                <w:rFonts w:hAnsi="宋体" w:cs="Arial"/>
                <w:sz w:val="16"/>
                <w:szCs w:val="18"/>
              </w:rPr>
            </w:pPr>
            <w:proofErr w:type="gramStart"/>
            <w:r w:rsidRPr="0043038D">
              <w:rPr>
                <w:rFonts w:hAnsi="宋体" w:cs="Arial"/>
                <w:sz w:val="16"/>
                <w:szCs w:val="18"/>
              </w:rPr>
              <w:t>待估</w:t>
            </w:r>
            <w:proofErr w:type="gramEnd"/>
          </w:p>
        </w:tc>
        <w:tc>
          <w:tcPr>
            <w:tcW w:w="976" w:type="dxa"/>
            <w:tcBorders>
              <w:top w:val="nil"/>
              <w:left w:val="nil"/>
              <w:bottom w:val="single" w:sz="4" w:space="0" w:color="auto"/>
              <w:right w:val="single" w:sz="4" w:space="0" w:color="auto"/>
            </w:tcBorders>
            <w:noWrap/>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68.92 </w:t>
            </w:r>
          </w:p>
        </w:tc>
        <w:tc>
          <w:tcPr>
            <w:tcW w:w="976" w:type="dxa"/>
            <w:tcBorders>
              <w:top w:val="nil"/>
              <w:left w:val="nil"/>
              <w:bottom w:val="single" w:sz="4" w:space="0" w:color="auto"/>
              <w:right w:val="single" w:sz="4" w:space="0" w:color="auto"/>
            </w:tcBorders>
            <w:noWrap/>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78.10 </w:t>
            </w:r>
          </w:p>
        </w:tc>
        <w:tc>
          <w:tcPr>
            <w:tcW w:w="976" w:type="dxa"/>
            <w:tcBorders>
              <w:top w:val="nil"/>
              <w:left w:val="nil"/>
              <w:bottom w:val="single" w:sz="4" w:space="0" w:color="auto"/>
              <w:right w:val="single" w:sz="4" w:space="0" w:color="auto"/>
            </w:tcBorders>
            <w:noWrap/>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68.85 </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104</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w:t>
            </w:r>
            <w:r w:rsidRPr="0043038D">
              <w:rPr>
                <w:rFonts w:ascii="Arial" w:hAnsi="Arial" w:cs="Arial"/>
                <w:sz w:val="16"/>
                <w:szCs w:val="18"/>
              </w:rPr>
              <w:t>7</w:t>
            </w:r>
            <w:r w:rsidRPr="0043038D">
              <w:rPr>
                <w:rFonts w:ascii="Arial" w:hAnsi="Arial" w:cs="Arial"/>
                <w:sz w:val="16"/>
                <w:szCs w:val="18"/>
              </w:rPr>
              <w:t>、</w:t>
            </w:r>
            <w:r w:rsidRPr="0043038D">
              <w:rPr>
                <w:rFonts w:ascii="Arial" w:hAnsi="Arial" w:cs="Arial"/>
                <w:sz w:val="16"/>
                <w:szCs w:val="18"/>
              </w:rPr>
              <w:t>94</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4</w:t>
            </w:r>
            <w:r w:rsidRPr="0043038D">
              <w:rPr>
                <w:rFonts w:ascii="Arial" w:hAnsi="Arial" w:cs="Arial"/>
                <w:sz w:val="16"/>
                <w:szCs w:val="18"/>
              </w:rPr>
              <w:t>；</w:t>
            </w:r>
          </w:p>
        </w:tc>
      </w:tr>
      <w:tr w:rsidR="000E5655" w:rsidRPr="0043038D">
        <w:trPr>
          <w:trHeight w:val="9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99.5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proofErr w:type="gramStart"/>
            <w:r w:rsidRPr="0043038D">
              <w:rPr>
                <w:rFonts w:ascii="Arial" w:hAnsi="Arial" w:cs="Arial"/>
                <w:sz w:val="16"/>
                <w:szCs w:val="18"/>
              </w:rPr>
              <w:t>从优到劣依次</w:t>
            </w:r>
            <w:proofErr w:type="gramEnd"/>
            <w:r w:rsidRPr="0043038D">
              <w:rPr>
                <w:rFonts w:ascii="Arial" w:hAnsi="Arial" w:cs="Arial"/>
                <w:sz w:val="16"/>
                <w:szCs w:val="18"/>
              </w:rPr>
              <w:t>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98</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hint="eastAsia"/>
                <w:sz w:val="16"/>
                <w:szCs w:val="18"/>
              </w:rPr>
              <w:t>98</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w:t>
            </w:r>
            <w:proofErr w:type="gramStart"/>
            <w:r w:rsidRPr="0043038D">
              <w:rPr>
                <w:rFonts w:ascii="宋体" w:hAnsi="宋体" w:cs="Arial"/>
                <w:sz w:val="16"/>
                <w:szCs w:val="18"/>
              </w:rPr>
              <w:t>费执行</w:t>
            </w:r>
            <w:proofErr w:type="gramEnd"/>
            <w:r w:rsidRPr="0043038D">
              <w:rPr>
                <w:rFonts w:ascii="宋体" w:hAnsi="宋体" w:cs="Arial"/>
                <w:sz w:val="16"/>
                <w:szCs w:val="18"/>
              </w:rPr>
              <w:t>标准</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w:t>
            </w:r>
            <w:proofErr w:type="gramStart"/>
            <w:r w:rsidRPr="0043038D">
              <w:rPr>
                <w:rFonts w:ascii="Arial" w:hAnsi="Arial" w:cs="Arial"/>
                <w:sz w:val="16"/>
                <w:szCs w:val="18"/>
              </w:rPr>
              <w:t>采用民水民</w:t>
            </w:r>
            <w:proofErr w:type="gramEnd"/>
            <w:r w:rsidRPr="0043038D">
              <w:rPr>
                <w:rFonts w:ascii="Arial" w:hAnsi="Arial" w:cs="Arial"/>
                <w:sz w:val="16"/>
                <w:szCs w:val="18"/>
              </w:rPr>
              <w:t>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lastRenderedPageBreak/>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w:t>
      </w:r>
      <w:proofErr w:type="gramStart"/>
      <w:r w:rsidRPr="0043038D">
        <w:rPr>
          <w:rFonts w:ascii="Arial" w:hAnsi="Arial" w:hint="eastAsia"/>
          <w:sz w:val="21"/>
          <w:szCs w:val="21"/>
        </w:rPr>
        <w:t>目比较</w:t>
      </w:r>
      <w:proofErr w:type="gramEnd"/>
      <w:r w:rsidRPr="0043038D">
        <w:rPr>
          <w:rFonts w:ascii="Arial" w:hAnsi="Arial" w:hint="eastAsia"/>
          <w:sz w:val="21"/>
          <w:szCs w:val="21"/>
        </w:rPr>
        <w:t>修正系数表，详见下表：</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509"/>
        <w:gridCol w:w="2885"/>
        <w:gridCol w:w="1707"/>
        <w:gridCol w:w="1707"/>
        <w:gridCol w:w="1707"/>
      </w:tblGrid>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hint="eastAsia"/>
                <w:sz w:val="16"/>
                <w:szCs w:val="18"/>
              </w:rPr>
              <w:t>5</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6</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世嘉博</w:t>
            </w:r>
            <w:proofErr w:type="gramEnd"/>
            <w:r w:rsidRPr="0043038D">
              <w:rPr>
                <w:rFonts w:ascii="Arial" w:hAnsi="Arial" w:cs="Arial" w:hint="eastAsia"/>
                <w:sz w:val="16"/>
                <w:szCs w:val="18"/>
                <w:lang w:bidi="ar"/>
              </w:rPr>
              <w:t>苑</w:t>
            </w:r>
          </w:p>
        </w:tc>
      </w:tr>
      <w:tr w:rsidR="000E5655" w:rsidRPr="0043038D">
        <w:trPr>
          <w:trHeight w:val="90"/>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68.92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78.10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68.85 </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top w:val="nil"/>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w:t>
            </w:r>
            <w:r w:rsidRPr="0043038D">
              <w:rPr>
                <w:rFonts w:ascii="Arial" w:hAnsi="Arial" w:cs="Arial" w:hint="eastAsia"/>
                <w:sz w:val="16"/>
                <w:szCs w:val="18"/>
              </w:rPr>
              <w:t>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99.5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100.5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100.5</w:t>
            </w:r>
          </w:p>
        </w:tc>
      </w:tr>
      <w:tr w:rsidR="000E5655" w:rsidRPr="0043038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98</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1.0509</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1.0737</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1.1294</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72.43</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83.86</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77.76</w:t>
            </w:r>
          </w:p>
        </w:tc>
      </w:tr>
    </w:tbl>
    <w:p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w:t>
      </w:r>
      <w:proofErr w:type="gramStart"/>
      <w:r w:rsidRPr="0043038D">
        <w:rPr>
          <w:rFonts w:ascii="Arial" w:hAnsi="Arial"/>
          <w:sz w:val="21"/>
          <w:szCs w:val="21"/>
        </w:rPr>
        <w:t>经因素</w:t>
      </w:r>
      <w:proofErr w:type="gramEnd"/>
      <w:r w:rsidRPr="0043038D">
        <w:rPr>
          <w:rFonts w:ascii="Arial" w:hAnsi="Arial"/>
          <w:sz w:val="21"/>
          <w:szCs w:val="21"/>
        </w:rPr>
        <w:t>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lastRenderedPageBreak/>
        <w:t>即：标准房</w:t>
      </w:r>
      <w:r w:rsidRPr="0043038D">
        <w:rPr>
          <w:rFonts w:ascii="Arial" w:hAnsi="Arial"/>
          <w:sz w:val="21"/>
          <w:szCs w:val="21"/>
        </w:rPr>
        <w:t>2</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hint="eastAsia"/>
          <w:sz w:val="21"/>
          <w:szCs w:val="21"/>
        </w:rPr>
        <w:t>72.43+</w:t>
      </w:r>
      <w:r w:rsidRPr="0043038D">
        <w:rPr>
          <w:rFonts w:ascii="Arial" w:hAnsi="Arial"/>
          <w:sz w:val="21"/>
          <w:szCs w:val="21"/>
        </w:rPr>
        <w:t>8</w:t>
      </w:r>
      <w:r w:rsidRPr="0043038D">
        <w:rPr>
          <w:rFonts w:ascii="Arial" w:hAnsi="Arial" w:hint="eastAsia"/>
          <w:sz w:val="21"/>
          <w:szCs w:val="21"/>
        </w:rPr>
        <w:t>3.86+77.76</w:t>
      </w:r>
      <w:r w:rsidRPr="0043038D">
        <w:rPr>
          <w:rFonts w:ascii="Arial" w:hAnsi="Arial" w:hint="eastAsia"/>
          <w:sz w:val="21"/>
          <w:szCs w:val="21"/>
        </w:rPr>
        <w:t>）÷</w:t>
      </w:r>
      <w:r w:rsidRPr="0043038D">
        <w:rPr>
          <w:rFonts w:ascii="Arial" w:hAnsi="Arial"/>
          <w:sz w:val="21"/>
          <w:szCs w:val="21"/>
        </w:rPr>
        <w:t>3</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hint="eastAsia"/>
          <w:sz w:val="21"/>
          <w:szCs w:val="21"/>
        </w:rPr>
        <w:t>78.02</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C.</w:t>
      </w:r>
      <w:r w:rsidRPr="0043038D">
        <w:rPr>
          <w:rFonts w:ascii="Arial" w:hAnsi="Arial" w:cs="Arial" w:hint="eastAsia"/>
          <w:b/>
          <w:sz w:val="21"/>
          <w:szCs w:val="21"/>
        </w:rPr>
        <w:t>标准房</w:t>
      </w:r>
      <w:r w:rsidRPr="0043038D">
        <w:rPr>
          <w:rFonts w:ascii="Arial" w:hAnsi="Arial" w:cs="Arial"/>
          <w:b/>
          <w:sz w:val="21"/>
          <w:szCs w:val="21"/>
        </w:rPr>
        <w:t>3</w:t>
      </w:r>
      <w:r w:rsidRPr="0043038D">
        <w:rPr>
          <w:rFonts w:ascii="Arial" w:hAnsi="Arial" w:cs="Arial" w:hint="eastAsia"/>
          <w:b/>
          <w:sz w:val="21"/>
          <w:szCs w:val="21"/>
        </w:rPr>
        <w:t>（两</w:t>
      </w:r>
      <w:r w:rsidRPr="0043038D">
        <w:rPr>
          <w:rFonts w:ascii="宋体" w:hAnsi="宋体" w:hint="eastAsia"/>
          <w:b/>
          <w:sz w:val="21"/>
          <w:szCs w:val="21"/>
        </w:rPr>
        <w:t>居室标准房市场租金水平）</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w:t>
      </w:r>
      <w:proofErr w:type="gramStart"/>
      <w:r w:rsidRPr="0043038D">
        <w:rPr>
          <w:rFonts w:ascii="Arial" w:hAnsi="Arial" w:cs="Arial"/>
          <w:sz w:val="21"/>
          <w:szCs w:val="21"/>
        </w:rPr>
        <w:t>作因素</w:t>
      </w:r>
      <w:proofErr w:type="gramEnd"/>
      <w:r w:rsidRPr="0043038D">
        <w:rPr>
          <w:rFonts w:ascii="Arial" w:hAnsi="Arial" w:cs="Arial"/>
          <w:sz w:val="21"/>
          <w:szCs w:val="21"/>
        </w:rPr>
        <w:t>条件说明</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proofErr w:type="gramStart"/>
      <w:r w:rsidRPr="0043038D">
        <w:rPr>
          <w:rFonts w:ascii="Arial" w:hAnsi="Arial" w:cs="Arial" w:hint="eastAsia"/>
          <w:sz w:val="21"/>
          <w:szCs w:val="21"/>
        </w:rPr>
        <w:t>大兴</w:t>
      </w:r>
      <w:r w:rsidRPr="0043038D">
        <w:rPr>
          <w:rFonts w:ascii="Arial" w:hAnsi="Arial" w:cs="Arial"/>
          <w:sz w:val="21"/>
          <w:szCs w:val="21"/>
        </w:rPr>
        <w:t>区</w:t>
      </w:r>
      <w:proofErr w:type="gramEnd"/>
      <w:r w:rsidRPr="0043038D">
        <w:rPr>
          <w:rFonts w:ascii="Arial" w:hAnsi="Arial" w:cs="Arial"/>
          <w:sz w:val="21"/>
          <w:szCs w:val="21"/>
        </w:rPr>
        <w:t>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里、翠海明苑、合顺家园、德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7</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7</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sz w:val="21"/>
          <w:szCs w:val="21"/>
        </w:rPr>
        <w:t>为</w:t>
      </w:r>
      <w:r w:rsidRPr="0043038D">
        <w:rPr>
          <w:rFonts w:ascii="Arial" w:hAnsi="Arial" w:cs="Arial" w:hint="eastAsia"/>
          <w:sz w:val="21"/>
          <w:szCs w:val="21"/>
        </w:rPr>
        <w:t>二居室</w:t>
      </w:r>
      <w:r w:rsidRPr="0043038D">
        <w:rPr>
          <w:rFonts w:ascii="Arial" w:hAnsi="Arial" w:cs="Arial"/>
          <w:sz w:val="21"/>
          <w:szCs w:val="21"/>
        </w:rPr>
        <w:t>户型，</w:t>
      </w:r>
      <w:r w:rsidRPr="0043038D">
        <w:rPr>
          <w:rFonts w:ascii="Arial" w:hAnsi="Arial" w:cs="Arial" w:hint="eastAsia"/>
          <w:sz w:val="21"/>
          <w:szCs w:val="21"/>
        </w:rPr>
        <w:t>高</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hint="eastAsia"/>
          <w:sz w:val="21"/>
          <w:szCs w:val="21"/>
        </w:rPr>
        <w:t>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80.44</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65.88</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hint="eastAsia"/>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lastRenderedPageBreak/>
        <w:t>可比实例</w:t>
      </w:r>
      <w:r w:rsidRPr="0043038D">
        <w:rPr>
          <w:rFonts w:ascii="Arial" w:hAnsi="Arial" w:cs="Arial"/>
          <w:sz w:val="21"/>
          <w:szCs w:val="21"/>
        </w:rPr>
        <w:t>8</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世嘉博</w:t>
      </w:r>
      <w:proofErr w:type="gramEnd"/>
      <w:r w:rsidRPr="0043038D">
        <w:rPr>
          <w:rFonts w:ascii="Arial" w:hAnsi="Arial" w:cs="Arial" w:hint="eastAsia"/>
          <w:sz w:val="21"/>
          <w:szCs w:val="21"/>
        </w:rPr>
        <w:t>苑</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欣宁街</w:t>
      </w:r>
      <w:r w:rsidRPr="0043038D">
        <w:rPr>
          <w:rFonts w:ascii="Arial" w:hAnsi="Arial" w:cs="Arial" w:hint="eastAsia"/>
          <w:sz w:val="21"/>
          <w:szCs w:val="21"/>
        </w:rPr>
        <w:t>67</w:t>
      </w:r>
      <w:r w:rsidRPr="0043038D">
        <w:rPr>
          <w:rFonts w:ascii="Arial" w:hAnsi="Arial" w:cs="Arial" w:hint="eastAsia"/>
          <w:sz w:val="21"/>
          <w:szCs w:val="21"/>
        </w:rPr>
        <w:t>号</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hint="eastAsia"/>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、同兴园、熙红印、</w:t>
      </w:r>
      <w:proofErr w:type="gramStart"/>
      <w:r w:rsidRPr="0043038D">
        <w:rPr>
          <w:rFonts w:ascii="Arial" w:hAnsi="Arial" w:cs="Arial" w:hint="eastAsia"/>
          <w:sz w:val="21"/>
          <w:szCs w:val="21"/>
        </w:rPr>
        <w:t>兴都苑等</w:t>
      </w:r>
      <w:proofErr w:type="gramEnd"/>
      <w:r w:rsidRPr="0043038D">
        <w:rPr>
          <w:rFonts w:ascii="Arial" w:hAnsi="Arial" w:cs="Arial" w:hint="eastAsia"/>
          <w:sz w:val="21"/>
          <w:szCs w:val="21"/>
        </w:rPr>
        <w:t>，居住小区规模较大，入住率较好，综合评价居住区成熟度较好；东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8</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8</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sz w:val="21"/>
          <w:szCs w:val="21"/>
        </w:rPr>
        <w:t>为</w:t>
      </w:r>
      <w:r w:rsidRPr="0043038D">
        <w:rPr>
          <w:rFonts w:ascii="Arial" w:hAnsi="Arial" w:cs="Arial" w:hint="eastAsia"/>
          <w:sz w:val="21"/>
          <w:szCs w:val="21"/>
        </w:rPr>
        <w:t>二居室</w:t>
      </w:r>
      <w:r w:rsidRPr="0043038D">
        <w:rPr>
          <w:rFonts w:ascii="Arial" w:hAnsi="Arial" w:cs="Arial"/>
          <w:sz w:val="21"/>
          <w:szCs w:val="21"/>
        </w:rPr>
        <w:t>户型，</w:t>
      </w:r>
      <w:r w:rsidRPr="0043038D">
        <w:rPr>
          <w:rFonts w:ascii="Arial" w:hAnsi="Arial" w:cs="Arial" w:hint="eastAsia"/>
          <w:sz w:val="21"/>
          <w:szCs w:val="21"/>
        </w:rPr>
        <w:t>低</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hint="eastAsia"/>
          <w:sz w:val="21"/>
          <w:szCs w:val="21"/>
        </w:rPr>
        <w:t>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sz w:val="21"/>
          <w:szCs w:val="21"/>
        </w:rPr>
        <w:t>平方米，</w:t>
      </w:r>
      <w:r w:rsidRPr="0043038D">
        <w:rPr>
          <w:rFonts w:ascii="Arial" w:hAnsi="Arial" w:cs="Arial" w:hint="eastAsia"/>
          <w:sz w:val="21"/>
          <w:szCs w:val="21"/>
        </w:rPr>
        <w:t>配备部分家具、</w:t>
      </w:r>
      <w:proofErr w:type="gramStart"/>
      <w:r w:rsidRPr="0043038D">
        <w:rPr>
          <w:rFonts w:ascii="Arial" w:hAnsi="Arial" w:cs="Arial" w:hint="eastAsia"/>
          <w:sz w:val="21"/>
          <w:szCs w:val="21"/>
        </w:rPr>
        <w:t>家电较</w:t>
      </w:r>
      <w:proofErr w:type="gramEnd"/>
      <w:r w:rsidRPr="0043038D">
        <w:rPr>
          <w:rFonts w:ascii="Arial" w:hAnsi="Arial" w:cs="Arial" w:hint="eastAsia"/>
          <w:sz w:val="21"/>
          <w:szCs w:val="21"/>
        </w:rPr>
        <w:t>齐全；功能正常，质量有保证</w:t>
      </w:r>
      <w:r w:rsidRPr="0043038D">
        <w:rPr>
          <w:rFonts w:ascii="宋体" w:hAnsi="宋体" w:hint="eastAsia"/>
          <w:sz w:val="21"/>
          <w:szCs w:val="21"/>
        </w:rPr>
        <w:t>。交易价格</w:t>
      </w:r>
      <w:r w:rsidRPr="0043038D">
        <w:rPr>
          <w:rFonts w:ascii="Arial" w:hAnsi="Arial" w:cs="Arial" w:hint="eastAsia"/>
          <w:sz w:val="21"/>
          <w:szCs w:val="21"/>
        </w:rPr>
        <w:t>为</w:t>
      </w:r>
      <w:r w:rsidRPr="0043038D">
        <w:rPr>
          <w:rFonts w:ascii="Arial" w:hAnsi="Arial" w:cs="Arial" w:hint="eastAsia"/>
          <w:sz w:val="21"/>
          <w:szCs w:val="21"/>
        </w:rPr>
        <w:t>68.67</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hint="eastAsia"/>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世嘉博</w:t>
      </w:r>
      <w:proofErr w:type="gramEnd"/>
      <w:r w:rsidRPr="0043038D">
        <w:rPr>
          <w:rFonts w:ascii="Arial" w:hAnsi="Arial" w:cs="Arial" w:hint="eastAsia"/>
          <w:sz w:val="21"/>
          <w:szCs w:val="21"/>
        </w:rPr>
        <w:t>苑</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欣宁街</w:t>
      </w:r>
      <w:r w:rsidRPr="0043038D">
        <w:rPr>
          <w:rFonts w:ascii="Arial" w:hAnsi="Arial" w:cs="Arial" w:hint="eastAsia"/>
          <w:sz w:val="21"/>
          <w:szCs w:val="21"/>
        </w:rPr>
        <w:t>67</w:t>
      </w:r>
      <w:r w:rsidRPr="0043038D">
        <w:rPr>
          <w:rFonts w:ascii="Arial" w:hAnsi="Arial" w:cs="Arial" w:hint="eastAsia"/>
          <w:sz w:val="21"/>
          <w:szCs w:val="21"/>
        </w:rPr>
        <w:t>号</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lastRenderedPageBreak/>
        <w:t>可比实例</w:t>
      </w:r>
      <w:r w:rsidRPr="0043038D">
        <w:rPr>
          <w:rFonts w:ascii="Arial" w:hAnsi="Arial" w:cs="Arial"/>
          <w:sz w:val="21"/>
          <w:szCs w:val="21"/>
        </w:rPr>
        <w:t>9</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、同兴园、熙红印、</w:t>
      </w:r>
      <w:proofErr w:type="gramStart"/>
      <w:r w:rsidRPr="0043038D">
        <w:rPr>
          <w:rFonts w:ascii="Arial" w:hAnsi="Arial" w:cs="Arial" w:hint="eastAsia"/>
          <w:sz w:val="21"/>
          <w:szCs w:val="21"/>
        </w:rPr>
        <w:t>兴都苑等</w:t>
      </w:r>
      <w:proofErr w:type="gramEnd"/>
      <w:r w:rsidRPr="0043038D">
        <w:rPr>
          <w:rFonts w:ascii="Arial" w:hAnsi="Arial" w:cs="Arial" w:hint="eastAsia"/>
          <w:sz w:val="21"/>
          <w:szCs w:val="21"/>
        </w:rPr>
        <w:t>，居住小区规模较大，入住率较好，综合评价居住区成熟度较好；东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9</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9</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sz w:val="21"/>
          <w:szCs w:val="21"/>
        </w:rPr>
        <w:t>为</w:t>
      </w:r>
      <w:r w:rsidRPr="0043038D">
        <w:rPr>
          <w:rFonts w:ascii="Arial" w:hAnsi="Arial" w:cs="Arial" w:hint="eastAsia"/>
          <w:sz w:val="21"/>
          <w:szCs w:val="21"/>
        </w:rPr>
        <w:t>两</w:t>
      </w:r>
      <w:r w:rsidRPr="0043038D">
        <w:rPr>
          <w:rFonts w:ascii="Arial" w:hAnsi="Arial" w:cs="Arial"/>
          <w:sz w:val="21"/>
          <w:szCs w:val="21"/>
        </w:rPr>
        <w:t>居室户型，低楼层，</w:t>
      </w:r>
      <w:r w:rsidRPr="0043038D">
        <w:rPr>
          <w:rFonts w:ascii="Arial" w:hAnsi="Arial" w:cs="Arial" w:hint="eastAsia"/>
          <w:sz w:val="21"/>
          <w:szCs w:val="21"/>
        </w:rPr>
        <w:t>东南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w:t>
      </w:r>
      <w:r w:rsidRPr="0043038D">
        <w:rPr>
          <w:rFonts w:ascii="Arial" w:hAnsi="Arial" w:cs="Arial"/>
          <w:sz w:val="21"/>
          <w:szCs w:val="21"/>
        </w:rPr>
        <w:t>6.42</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65.96</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9</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3" w:type="dxa"/>
            <w:vAlign w:val="center"/>
          </w:tcPr>
          <w:p w:rsidR="000E5655" w:rsidRPr="0043038D" w:rsidRDefault="00837133">
            <w:pPr>
              <w:widowControl/>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2" w:type="dxa"/>
            <w:vAlign w:val="center"/>
          </w:tcPr>
          <w:p w:rsidR="000E5655" w:rsidRPr="0043038D" w:rsidRDefault="00837133">
            <w:pPr>
              <w:widowControl/>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c>
          <w:tcPr>
            <w:tcW w:w="1813" w:type="dxa"/>
            <w:vAlign w:val="center"/>
          </w:tcPr>
          <w:p w:rsidR="000E5655" w:rsidRPr="0043038D" w:rsidRDefault="00837133">
            <w:pPr>
              <w:widowControl/>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65.88</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68.67</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65.96</w:t>
            </w:r>
          </w:p>
        </w:tc>
      </w:tr>
      <w:tr w:rsidR="000E5655" w:rsidRPr="0043038D">
        <w:trPr>
          <w:trHeight w:val="3402"/>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6"/>
                <w:szCs w:val="18"/>
              </w:rPr>
              <w:t>区维保</w:t>
            </w:r>
            <w:proofErr w:type="gramEnd"/>
            <w:r w:rsidRPr="0043038D">
              <w:rPr>
                <w:rFonts w:ascii="Arial" w:hAnsi="Arial" w:cs="Arial" w:hint="eastAsia"/>
                <w:sz w:val="16"/>
                <w:szCs w:val="18"/>
              </w:rPr>
              <w:t>、室内正常损耗维修等费用）、增值服务费（例如室内保洁、室内人为损坏维修、洗衣、送餐等费用）、能源费（包括公区能源费及室内能源费，例如水、电、气、暖、中央空调、网络等费用）、车位使用费等费用</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3"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4.25</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4.00</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4.00</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61.63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64.67</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61.96</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w:t>
            </w:r>
            <w:r w:rsidRPr="0043038D">
              <w:rPr>
                <w:rFonts w:ascii="Arial" w:hAnsi="Arial" w:cs="Arial" w:hint="eastAsia"/>
                <w:sz w:val="16"/>
                <w:szCs w:val="18"/>
              </w:rPr>
              <w:lastRenderedPageBreak/>
              <w:t>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lastRenderedPageBreak/>
              <w:t>一年租期，月付，无免租</w:t>
            </w:r>
            <w:r w:rsidRPr="0043038D">
              <w:rPr>
                <w:rFonts w:ascii="Arial" w:hAnsi="Arial" w:cs="Arial" w:hint="eastAsia"/>
                <w:sz w:val="16"/>
                <w:szCs w:val="18"/>
              </w:rPr>
              <w:lastRenderedPageBreak/>
              <w:t>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lastRenderedPageBreak/>
              <w:t>一年租期，月付，无免租</w:t>
            </w:r>
            <w:r w:rsidRPr="0043038D">
              <w:rPr>
                <w:rFonts w:ascii="Arial" w:hAnsi="Arial" w:cs="Arial" w:hint="eastAsia"/>
                <w:sz w:val="16"/>
                <w:szCs w:val="18"/>
              </w:rPr>
              <w:lastRenderedPageBreak/>
              <w:t>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lastRenderedPageBreak/>
              <w:t>一年租期，月付，无免租</w:t>
            </w:r>
            <w:r w:rsidRPr="0043038D">
              <w:rPr>
                <w:rFonts w:ascii="Arial" w:hAnsi="Arial" w:cs="Arial" w:hint="eastAsia"/>
                <w:sz w:val="16"/>
                <w:szCs w:val="18"/>
              </w:rPr>
              <w:lastRenderedPageBreak/>
              <w:t>期</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61.63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64.67</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61.96</w:t>
            </w:r>
          </w:p>
        </w:tc>
      </w:tr>
    </w:tbl>
    <w:p w:rsidR="000E5655" w:rsidRPr="0043038D" w:rsidRDefault="000E5655">
      <w:pPr>
        <w:wordWrap w:val="0"/>
        <w:overflowPunct w:val="0"/>
        <w:spacing w:line="480" w:lineRule="auto"/>
        <w:ind w:firstLineChars="200" w:firstLine="420"/>
        <w:rPr>
          <w:rFonts w:ascii="宋体" w:hAnsi="宋体"/>
          <w:sz w:val="21"/>
          <w:szCs w:val="21"/>
        </w:rPr>
      </w:pP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trPr>
          <w:cantSplit/>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43038D">
            <w:pPr>
              <w:jc w:val="center"/>
              <w:rPr>
                <w:rFonts w:ascii="Calibri" w:hAnsi="Calibri"/>
              </w:rPr>
            </w:pPr>
            <w:r>
              <w:rPr>
                <w:noProof/>
              </w:rPr>
              <w:drawing>
                <wp:inline distT="0" distB="0" distL="0" distR="0" wp14:anchorId="146AE561" wp14:editId="3386E178">
                  <wp:extent cx="5869940" cy="41363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69940" cy="4136390"/>
                          </a:xfrm>
                          <a:prstGeom prst="rect">
                            <a:avLst/>
                          </a:prstGeom>
                        </pic:spPr>
                      </pic:pic>
                    </a:graphicData>
                  </a:graphic>
                </wp:inline>
              </w:drawing>
            </w:r>
          </w:p>
        </w:tc>
      </w:tr>
    </w:tbl>
    <w:p w:rsidR="000E5655" w:rsidRPr="0043038D" w:rsidRDefault="000E5655"/>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lastRenderedPageBreak/>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92"/>
        <w:gridCol w:w="1443"/>
        <w:gridCol w:w="1844"/>
        <w:gridCol w:w="1844"/>
        <w:gridCol w:w="1844"/>
        <w:gridCol w:w="1848"/>
      </w:tblGrid>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9</w:t>
            </w:r>
          </w:p>
        </w:tc>
      </w:tr>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61.63 </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64.67 </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61.96 </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00C81EDB">
              <w:rPr>
                <w:rFonts w:ascii="Arial" w:hAnsi="Arial" w:cs="Arial"/>
                <w:sz w:val="16"/>
                <w:szCs w:val="18"/>
              </w:rPr>
              <w:t>10</w:t>
            </w:r>
            <w:r w:rsidR="00C81EDB">
              <w:rPr>
                <w:rFonts w:ascii="Arial" w:hAnsi="Arial" w:cs="Arial"/>
                <w:sz w:val="16"/>
                <w:szCs w:val="18"/>
              </w:rPr>
              <w:t>月</w:t>
            </w:r>
            <w:r w:rsidR="00C81EDB">
              <w:rPr>
                <w:rFonts w:ascii="Arial" w:hAnsi="Arial" w:cs="Arial"/>
                <w:sz w:val="16"/>
                <w:szCs w:val="18"/>
              </w:rPr>
              <w:t>14</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8</w:t>
            </w:r>
            <w:r w:rsidRPr="0043038D">
              <w:rPr>
                <w:rFonts w:ascii="Arial" w:hAnsi="Arial" w:cs="Arial"/>
                <w:sz w:val="16"/>
                <w:szCs w:val="18"/>
              </w:rPr>
              <w:t>月</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r>
      <w:tr w:rsidR="000E5655" w:rsidRPr="0043038D">
        <w:trPr>
          <w:trHeight w:val="397"/>
          <w:jc w:val="center"/>
        </w:trPr>
        <w:tc>
          <w:tcPr>
            <w:tcW w:w="364" w:type="pct"/>
            <w:vMerge w:val="restart"/>
            <w:tcBorders>
              <w:top w:val="nil"/>
              <w:left w:val="single" w:sz="4" w:space="0" w:color="auto"/>
              <w:bottom w:val="single" w:sz="4" w:space="0" w:color="000000"/>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w:t>
            </w:r>
            <w:proofErr w:type="gramStart"/>
            <w:r w:rsidRPr="0043038D">
              <w:rPr>
                <w:rFonts w:ascii="Arial" w:hAnsi="Arial" w:cs="Arial" w:hint="eastAsia"/>
                <w:sz w:val="16"/>
                <w:szCs w:val="18"/>
              </w:rPr>
              <w:t>鸿坤理想城</w:t>
            </w:r>
            <w:proofErr w:type="gramEnd"/>
            <w:r w:rsidRPr="0043038D">
              <w:rPr>
                <w:rFonts w:ascii="Arial" w:hAnsi="Arial" w:cs="Arial" w:hint="eastAsia"/>
                <w:sz w:val="16"/>
                <w:szCs w:val="18"/>
              </w:rPr>
              <w:t>、九龙家园、九龙山庄、瑞海家园、同兴园、熙红印、兴都苑、兴海家园、月桂庄园等，居住小区规模较大，入住率较好，综合评价居住区成熟度较好。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、同兴园、熙红印、</w:t>
            </w:r>
            <w:proofErr w:type="gramStart"/>
            <w:r w:rsidRPr="0043038D">
              <w:rPr>
                <w:rFonts w:ascii="Arial" w:hAnsi="Arial" w:cs="Arial"/>
                <w:sz w:val="16"/>
                <w:szCs w:val="18"/>
              </w:rPr>
              <w:t>兴都苑等</w:t>
            </w:r>
            <w:proofErr w:type="gramEnd"/>
            <w:r w:rsidRPr="0043038D">
              <w:rPr>
                <w:rFonts w:ascii="Arial" w:hAnsi="Arial" w:cs="Arial"/>
                <w:sz w:val="16"/>
                <w:szCs w:val="18"/>
              </w:rPr>
              <w:t>，居住小区规模较大，入住率较好，综合评价居住区成熟度较好。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、同兴园、熙红印、</w:t>
            </w:r>
            <w:proofErr w:type="gramStart"/>
            <w:r w:rsidRPr="0043038D">
              <w:rPr>
                <w:rFonts w:ascii="Arial" w:hAnsi="Arial" w:cs="Arial"/>
                <w:sz w:val="16"/>
                <w:szCs w:val="18"/>
              </w:rPr>
              <w:t>兴都苑等</w:t>
            </w:r>
            <w:proofErr w:type="gramEnd"/>
            <w:r w:rsidRPr="0043038D">
              <w:rPr>
                <w:rFonts w:ascii="Arial" w:hAnsi="Arial" w:cs="Arial"/>
                <w:sz w:val="16"/>
                <w:szCs w:val="18"/>
              </w:rPr>
              <w:t>，居住小区规模较大，入住率较好，综合评价居住区成熟度较好。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米内有主干道——南西路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1</w:t>
            </w:r>
            <w:r w:rsidRPr="0043038D">
              <w:rPr>
                <w:rFonts w:ascii="Arial" w:hAnsi="Arial" w:cs="Arial" w:hint="eastAsia"/>
                <w:sz w:val="16"/>
                <w:szCs w:val="18"/>
              </w:rPr>
              <w:t>公里内有</w:t>
            </w:r>
            <w:r w:rsidRPr="0043038D">
              <w:rPr>
                <w:rFonts w:ascii="Arial" w:hAnsi="Arial" w:cs="Arial" w:hint="eastAsia"/>
                <w:sz w:val="16"/>
                <w:szCs w:val="18"/>
              </w:rPr>
              <w:t>366</w:t>
            </w:r>
            <w:r w:rsidRPr="0043038D">
              <w:rPr>
                <w:rFonts w:ascii="Arial" w:hAnsi="Arial" w:cs="Arial" w:hint="eastAsia"/>
                <w:sz w:val="16"/>
                <w:szCs w:val="18"/>
              </w:rPr>
              <w:t>路、</w:t>
            </w:r>
            <w:r w:rsidRPr="0043038D">
              <w:rPr>
                <w:rFonts w:ascii="Arial" w:hAnsi="Arial" w:cs="Arial" w:hint="eastAsia"/>
                <w:sz w:val="16"/>
                <w:szCs w:val="18"/>
              </w:rPr>
              <w:t>377</w:t>
            </w:r>
            <w:r w:rsidRPr="0043038D">
              <w:rPr>
                <w:rFonts w:ascii="Arial" w:hAnsi="Arial" w:cs="Arial" w:hint="eastAsia"/>
                <w:sz w:val="16"/>
                <w:szCs w:val="18"/>
              </w:rPr>
              <w:t>路、</w:t>
            </w:r>
            <w:r w:rsidRPr="0043038D">
              <w:rPr>
                <w:rFonts w:ascii="Arial" w:hAnsi="Arial" w:cs="Arial" w:hint="eastAsia"/>
                <w:sz w:val="16"/>
                <w:szCs w:val="18"/>
              </w:rPr>
              <w:t>410</w:t>
            </w:r>
            <w:r w:rsidRPr="0043038D">
              <w:rPr>
                <w:rFonts w:ascii="Arial" w:hAnsi="Arial" w:cs="Arial" w:hint="eastAsia"/>
                <w:sz w:val="16"/>
                <w:szCs w:val="18"/>
              </w:rPr>
              <w:t>路、</w:t>
            </w:r>
            <w:r w:rsidRPr="0043038D">
              <w:rPr>
                <w:rFonts w:ascii="Arial" w:hAnsi="Arial" w:cs="Arial" w:hint="eastAsia"/>
                <w:sz w:val="16"/>
                <w:szCs w:val="18"/>
              </w:rPr>
              <w:t>679</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环境质量优劣度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自然环境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w:t>
            </w:r>
            <w:r w:rsidRPr="0043038D">
              <w:rPr>
                <w:rFonts w:ascii="Arial" w:hAnsi="Arial" w:cs="Arial" w:hint="eastAsia"/>
                <w:sz w:val="16"/>
                <w:szCs w:val="18"/>
              </w:rPr>
              <w:t>2</w:t>
            </w:r>
            <w:r w:rsidRPr="0043038D">
              <w:rPr>
                <w:rFonts w:ascii="Arial" w:hAnsi="Arial" w:cs="Arial" w:hint="eastAsia"/>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公共服务设施状况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估价对象所在区域周边</w:t>
            </w:r>
            <w:r w:rsidRPr="0043038D">
              <w:rPr>
                <w:rFonts w:ascii="Arial" w:hAnsi="Arial" w:cs="Arial" w:hint="eastAsia"/>
                <w:sz w:val="16"/>
                <w:szCs w:val="18"/>
              </w:rPr>
              <w:t>2</w:t>
            </w:r>
            <w:r w:rsidRPr="0043038D">
              <w:rPr>
                <w:rFonts w:ascii="Arial" w:hAnsi="Arial" w:cs="Arial" w:hint="eastAsia"/>
                <w:sz w:val="16"/>
                <w:szCs w:val="18"/>
              </w:rPr>
              <w:t>公里范围内</w:t>
            </w:r>
            <w:proofErr w:type="gramStart"/>
            <w:r w:rsidRPr="0043038D">
              <w:rPr>
                <w:rFonts w:ascii="Arial" w:hAnsi="Arial" w:cs="Arial" w:hint="eastAsia"/>
                <w:sz w:val="16"/>
                <w:szCs w:val="18"/>
              </w:rPr>
              <w:t>有鸿坤广场</w:t>
            </w:r>
            <w:proofErr w:type="gramEnd"/>
            <w:r w:rsidRPr="0043038D">
              <w:rPr>
                <w:rFonts w:ascii="Arial" w:hAnsi="Arial" w:cs="Arial" w:hint="eastAsia"/>
                <w:sz w:val="16"/>
                <w:szCs w:val="18"/>
              </w:rPr>
              <w:t>、北京</w:t>
            </w:r>
            <w:proofErr w:type="gramStart"/>
            <w:r w:rsidRPr="0043038D">
              <w:rPr>
                <w:rFonts w:ascii="Arial" w:hAnsi="Arial" w:cs="Arial" w:hint="eastAsia"/>
                <w:sz w:val="16"/>
                <w:szCs w:val="18"/>
              </w:rPr>
              <w:t>荟</w:t>
            </w:r>
            <w:proofErr w:type="gramEnd"/>
            <w:r w:rsidRPr="0043038D">
              <w:rPr>
                <w:rFonts w:ascii="Arial" w:hAnsi="Arial" w:cs="Arial" w:hint="eastAsia"/>
                <w:sz w:val="16"/>
                <w:szCs w:val="18"/>
              </w:rPr>
              <w:t>聚、西红门</w:t>
            </w:r>
            <w:proofErr w:type="gramStart"/>
            <w:r w:rsidRPr="0043038D">
              <w:rPr>
                <w:rFonts w:ascii="Arial" w:hAnsi="Arial" w:cs="Arial" w:hint="eastAsia"/>
                <w:sz w:val="16"/>
                <w:szCs w:val="18"/>
              </w:rPr>
              <w:t>新光界等</w:t>
            </w:r>
            <w:proofErr w:type="gramEnd"/>
            <w:r w:rsidRPr="0043038D">
              <w:rPr>
                <w:rFonts w:ascii="Arial" w:hAnsi="Arial" w:cs="Arial" w:hint="eastAsia"/>
                <w:sz w:val="16"/>
                <w:szCs w:val="18"/>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w:t>
            </w:r>
            <w:r w:rsidRPr="0043038D">
              <w:rPr>
                <w:rFonts w:ascii="Arial" w:hAnsi="Arial" w:cs="Arial" w:hint="eastAsia"/>
                <w:sz w:val="16"/>
                <w:szCs w:val="18"/>
              </w:rPr>
              <w:lastRenderedPageBreak/>
              <w:t>京大兴欣荣大街支行）等金融网点，公共配套设施状况较好。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lastRenderedPageBreak/>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w:t>
            </w:r>
            <w:r w:rsidRPr="0043038D">
              <w:rPr>
                <w:rFonts w:ascii="Arial" w:hAnsi="Arial" w:cs="Arial" w:hint="eastAsia"/>
                <w:sz w:val="16"/>
                <w:szCs w:val="18"/>
              </w:rPr>
              <w:lastRenderedPageBreak/>
              <w:t>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lastRenderedPageBreak/>
              <w:t>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w:t>
            </w:r>
            <w:r w:rsidRPr="0043038D">
              <w:rPr>
                <w:rFonts w:ascii="Arial" w:hAnsi="Arial" w:cs="Arial"/>
                <w:sz w:val="16"/>
                <w:szCs w:val="18"/>
              </w:rPr>
              <w:lastRenderedPageBreak/>
              <w:t>荣大街支行）等金融服务机构，公共配套设施状况较好。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lastRenderedPageBreak/>
              <w:t>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w:t>
            </w:r>
            <w:r w:rsidRPr="0043038D">
              <w:rPr>
                <w:rFonts w:ascii="Arial" w:hAnsi="Arial" w:cs="Arial"/>
                <w:sz w:val="16"/>
                <w:szCs w:val="18"/>
              </w:rPr>
              <w:lastRenderedPageBreak/>
              <w:t>荣大街支行）等金融服务机构，公共配套设施状况较好。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高</w:t>
            </w: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r>
      <w:tr w:rsidR="000E5655" w:rsidRPr="0043038D">
        <w:trPr>
          <w:trHeight w:val="397"/>
          <w:jc w:val="center"/>
        </w:trPr>
        <w:tc>
          <w:tcPr>
            <w:tcW w:w="364"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南北</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东南</w:t>
            </w:r>
          </w:p>
        </w:tc>
      </w:tr>
      <w:tr w:rsidR="000E5655" w:rsidRPr="0043038D">
        <w:trPr>
          <w:trHeight w:val="397"/>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w:t>
            </w:r>
            <w:r w:rsidRPr="0043038D">
              <w:rPr>
                <w:rFonts w:ascii="Arial" w:hAnsi="Arial" w:cs="Arial" w:hint="eastAsia"/>
                <w:sz w:val="16"/>
                <w:szCs w:val="18"/>
              </w:rPr>
              <w:t>100</w:t>
            </w:r>
            <w:r w:rsidRPr="0043038D">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shd w:val="clear" w:color="auto" w:fill="auto"/>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80.43</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w:t>
            </w:r>
            <w:r w:rsidRPr="0043038D">
              <w:rPr>
                <w:rFonts w:ascii="Arial" w:hAnsi="Arial" w:cs="Arial" w:hint="eastAsia"/>
                <w:sz w:val="16"/>
                <w:szCs w:val="18"/>
              </w:rPr>
              <w:t>0.44</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89</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86.42</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配备部分家具、</w:t>
            </w:r>
            <w:proofErr w:type="gramStart"/>
            <w:r w:rsidRPr="0043038D">
              <w:rPr>
                <w:rFonts w:ascii="Arial" w:hAnsi="Arial" w:cs="Arial"/>
                <w:sz w:val="16"/>
                <w:szCs w:val="18"/>
              </w:rPr>
              <w:t>家电较</w:t>
            </w:r>
            <w:proofErr w:type="gramEnd"/>
            <w:r w:rsidRPr="0043038D">
              <w:rPr>
                <w:rFonts w:ascii="Arial" w:hAnsi="Arial" w:cs="Arial"/>
                <w:sz w:val="16"/>
                <w:szCs w:val="18"/>
              </w:rPr>
              <w:t>齐全；功能正常，质量有保证，较好</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trPr>
          <w:trHeight w:val="397"/>
          <w:jc w:val="center"/>
        </w:trPr>
        <w:tc>
          <w:tcPr>
            <w:tcW w:w="364"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r>
    </w:tbl>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lastRenderedPageBreak/>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w:t>
      </w:r>
      <w:proofErr w:type="gramStart"/>
      <w:r w:rsidRPr="0043038D">
        <w:rPr>
          <w:rFonts w:ascii="Arial" w:hAnsi="Arial"/>
          <w:sz w:val="21"/>
          <w:szCs w:val="21"/>
        </w:rPr>
        <w:t>比因素</w:t>
      </w:r>
      <w:proofErr w:type="gramEnd"/>
      <w:r w:rsidRPr="0043038D">
        <w:rPr>
          <w:rFonts w:ascii="Arial" w:hAnsi="Arial"/>
          <w:sz w:val="21"/>
          <w:szCs w:val="21"/>
        </w:rPr>
        <w:t>分别与估价对象的相应状况进行比较，编制比较因素条件指数表。具体如下</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w:t>
      </w:r>
      <w:proofErr w:type="gramStart"/>
      <w:r w:rsidRPr="0043038D">
        <w:rPr>
          <w:rFonts w:ascii="Arial" w:hAnsi="Arial" w:hint="eastAsia"/>
          <w:sz w:val="21"/>
          <w:szCs w:val="21"/>
        </w:rPr>
        <w:t>湾</w:t>
      </w:r>
      <w:r w:rsidRPr="0043038D">
        <w:rPr>
          <w:rFonts w:ascii="Arial" w:hAnsi="Arial"/>
          <w:sz w:val="21"/>
          <w:szCs w:val="21"/>
        </w:rPr>
        <w:t>比较</w:t>
      </w:r>
      <w:proofErr w:type="gramEnd"/>
      <w:r w:rsidRPr="0043038D">
        <w:rPr>
          <w:rFonts w:ascii="Arial" w:hAnsi="Arial"/>
          <w:sz w:val="21"/>
          <w:szCs w:val="21"/>
        </w:rPr>
        <w:t>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74"/>
        <w:gridCol w:w="997"/>
        <w:gridCol w:w="989"/>
        <w:gridCol w:w="989"/>
        <w:gridCol w:w="989"/>
        <w:gridCol w:w="989"/>
        <w:gridCol w:w="3769"/>
      </w:tblGrid>
      <w:tr w:rsidR="000E5655" w:rsidRPr="0043038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rsidR="000E5655" w:rsidRPr="0043038D" w:rsidRDefault="000E5655">
            <w:pPr>
              <w:snapToGrid w:val="0"/>
              <w:spacing w:line="240" w:lineRule="exact"/>
              <w:jc w:val="both"/>
              <w:rPr>
                <w:rFonts w:ascii="宋体" w:hAnsi="宋体" w:cs="Arial"/>
                <w:sz w:val="16"/>
                <w:szCs w:val="18"/>
              </w:rPr>
            </w:pPr>
          </w:p>
          <w:p w:rsidR="000E5655" w:rsidRPr="0043038D" w:rsidRDefault="000E5655">
            <w:pPr>
              <w:snapToGrid w:val="0"/>
              <w:spacing w:line="240" w:lineRule="exact"/>
              <w:jc w:val="both"/>
              <w:rPr>
                <w:rFonts w:ascii="宋体" w:hAnsi="宋体" w:cs="Arial"/>
                <w:sz w:val="16"/>
                <w:szCs w:val="18"/>
              </w:rPr>
            </w:pP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可比实例7</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可比实例8</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可比实例9</w:t>
            </w:r>
          </w:p>
        </w:tc>
        <w:tc>
          <w:tcPr>
            <w:tcW w:w="2027"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89"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南庭新苑南区</w:t>
            </w:r>
          </w:p>
        </w:tc>
        <w:tc>
          <w:tcPr>
            <w:tcW w:w="989"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c>
          <w:tcPr>
            <w:tcW w:w="989"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确定的租金价格（元/平方米·天）</w:t>
            </w:r>
          </w:p>
        </w:tc>
        <w:tc>
          <w:tcPr>
            <w:tcW w:w="532" w:type="pct"/>
            <w:tcBorders>
              <w:top w:val="nil"/>
              <w:left w:val="nil"/>
              <w:bottom w:val="single" w:sz="4" w:space="0" w:color="auto"/>
              <w:right w:val="single" w:sz="4" w:space="0" w:color="auto"/>
            </w:tcBorders>
            <w:noWrap/>
            <w:vAlign w:val="center"/>
          </w:tcPr>
          <w:p w:rsidR="000E5655" w:rsidRPr="0043038D" w:rsidRDefault="00837133">
            <w:pPr>
              <w:pStyle w:val="110"/>
              <w:autoSpaceDE w:val="0"/>
              <w:autoSpaceDN w:val="0"/>
              <w:snapToGrid w:val="0"/>
              <w:spacing w:line="240" w:lineRule="exact"/>
              <w:jc w:val="both"/>
              <w:textAlignment w:val="bottom"/>
              <w:rPr>
                <w:rFonts w:hAnsi="宋体" w:cs="Arial"/>
                <w:sz w:val="16"/>
                <w:szCs w:val="18"/>
              </w:rPr>
            </w:pPr>
            <w:proofErr w:type="gramStart"/>
            <w:r w:rsidRPr="0043038D">
              <w:rPr>
                <w:rFonts w:hAnsi="宋体" w:cs="Arial"/>
                <w:sz w:val="16"/>
                <w:szCs w:val="18"/>
              </w:rPr>
              <w:t>待估</w:t>
            </w:r>
            <w:proofErr w:type="gramEnd"/>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61.63 </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64.67 </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61.96 </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3</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4</w:t>
            </w:r>
            <w:r w:rsidRPr="0043038D">
              <w:rPr>
                <w:rFonts w:ascii="Arial" w:hAnsi="Arial" w:cs="Arial"/>
                <w:sz w:val="16"/>
                <w:szCs w:val="18"/>
              </w:rPr>
              <w:t>、</w:t>
            </w:r>
            <w:r w:rsidRPr="0043038D">
              <w:rPr>
                <w:rFonts w:ascii="Arial" w:hAnsi="Arial" w:cs="Arial"/>
                <w:sz w:val="16"/>
                <w:szCs w:val="18"/>
              </w:rPr>
              <w:t>104</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4</w:t>
            </w:r>
            <w:r w:rsidRPr="0043038D">
              <w:rPr>
                <w:rFonts w:ascii="Arial" w:hAnsi="Arial" w:cs="Arial"/>
                <w:sz w:val="16"/>
                <w:szCs w:val="18"/>
              </w:rPr>
              <w:t>、</w:t>
            </w:r>
            <w:r w:rsidRPr="0043038D">
              <w:rPr>
                <w:rFonts w:ascii="Arial" w:hAnsi="Arial" w:cs="Arial"/>
                <w:sz w:val="16"/>
                <w:szCs w:val="18"/>
              </w:rPr>
              <w:t>94</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101.5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101.5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proofErr w:type="gramStart"/>
            <w:r w:rsidRPr="0043038D">
              <w:rPr>
                <w:rFonts w:ascii="Arial" w:hAnsi="Arial" w:cs="Arial"/>
                <w:sz w:val="16"/>
                <w:szCs w:val="18"/>
              </w:rPr>
              <w:t>从优到劣依次</w:t>
            </w:r>
            <w:proofErr w:type="gramEnd"/>
            <w:r w:rsidRPr="0043038D">
              <w:rPr>
                <w:rFonts w:ascii="Arial" w:hAnsi="Arial" w:cs="Arial"/>
                <w:sz w:val="16"/>
                <w:szCs w:val="18"/>
              </w:rPr>
              <w:t>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101.5</w:t>
            </w:r>
            <w:r w:rsidRPr="0043038D">
              <w:rPr>
                <w:rFonts w:ascii="Arial" w:hAnsi="Arial" w:cs="Arial"/>
                <w:sz w:val="16"/>
                <w:szCs w:val="18"/>
              </w:rPr>
              <w:t>、</w:t>
            </w:r>
            <w:r w:rsidRPr="0043038D">
              <w:rPr>
                <w:rFonts w:ascii="Arial" w:hAnsi="Arial" w:cs="Arial"/>
                <w:sz w:val="16"/>
                <w:szCs w:val="18"/>
              </w:rPr>
              <w:t>101.5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hint="eastAsia"/>
                <w:sz w:val="16"/>
                <w:szCs w:val="18"/>
              </w:rPr>
              <w:t>92</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101</w:t>
            </w:r>
            <w:r w:rsidRPr="0043038D">
              <w:rPr>
                <w:rFonts w:ascii="Arial" w:hAnsi="Arial" w:cs="Arial"/>
                <w:sz w:val="16"/>
                <w:szCs w:val="18"/>
              </w:rPr>
              <w:t>、</w:t>
            </w:r>
            <w:r w:rsidRPr="0043038D">
              <w:rPr>
                <w:rFonts w:ascii="Arial" w:hAnsi="Arial" w:cs="Arial"/>
                <w:sz w:val="16"/>
                <w:szCs w:val="18"/>
              </w:rPr>
              <w:t>101</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sz w:val="16"/>
                <w:szCs w:val="18"/>
              </w:rPr>
              <w:t>90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w:t>
            </w:r>
            <w:proofErr w:type="gramStart"/>
            <w:r w:rsidRPr="0043038D">
              <w:rPr>
                <w:rFonts w:ascii="宋体" w:hAnsi="宋体" w:cs="Arial"/>
                <w:sz w:val="16"/>
                <w:szCs w:val="18"/>
              </w:rPr>
              <w:t>费执行</w:t>
            </w:r>
            <w:proofErr w:type="gramEnd"/>
            <w:r w:rsidRPr="0043038D">
              <w:rPr>
                <w:rFonts w:ascii="宋体" w:hAnsi="宋体" w:cs="Arial"/>
                <w:sz w:val="16"/>
                <w:szCs w:val="18"/>
              </w:rPr>
              <w:t>标准</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w:t>
            </w:r>
            <w:proofErr w:type="gramStart"/>
            <w:r w:rsidRPr="0043038D">
              <w:rPr>
                <w:rFonts w:ascii="Arial" w:hAnsi="Arial" w:cs="Arial"/>
                <w:sz w:val="16"/>
                <w:szCs w:val="18"/>
              </w:rPr>
              <w:t>采用民水民</w:t>
            </w:r>
            <w:proofErr w:type="gramEnd"/>
            <w:r w:rsidRPr="0043038D">
              <w:rPr>
                <w:rFonts w:ascii="Arial" w:hAnsi="Arial" w:cs="Arial"/>
                <w:sz w:val="16"/>
                <w:szCs w:val="18"/>
              </w:rPr>
              <w:t>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lastRenderedPageBreak/>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w:t>
      </w:r>
      <w:proofErr w:type="gramStart"/>
      <w:r w:rsidRPr="0043038D">
        <w:rPr>
          <w:rFonts w:ascii="Arial" w:hAnsi="Arial" w:hint="eastAsia"/>
          <w:sz w:val="21"/>
          <w:szCs w:val="21"/>
        </w:rPr>
        <w:t>目比较</w:t>
      </w:r>
      <w:proofErr w:type="gramEnd"/>
      <w:r w:rsidRPr="0043038D">
        <w:rPr>
          <w:rFonts w:ascii="Arial" w:hAnsi="Arial" w:hint="eastAsia"/>
          <w:sz w:val="21"/>
          <w:szCs w:val="21"/>
        </w:rPr>
        <w:t>修正系数表，详见下表：</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509"/>
        <w:gridCol w:w="2885"/>
        <w:gridCol w:w="1707"/>
        <w:gridCol w:w="1707"/>
        <w:gridCol w:w="1707"/>
      </w:tblGrid>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9</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南庭新苑南区</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r>
      <w:tr w:rsidR="000E5655" w:rsidRPr="0043038D">
        <w:trPr>
          <w:trHeight w:val="90"/>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61.63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64.67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61.96 </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top w:val="nil"/>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w:t>
            </w:r>
            <w:r w:rsidRPr="0043038D">
              <w:rPr>
                <w:rFonts w:ascii="Arial" w:hAnsi="Arial" w:cs="Arial" w:hint="eastAsia"/>
                <w:sz w:val="16"/>
                <w:szCs w:val="18"/>
              </w:rPr>
              <w:t>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100/101.5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101.5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100/100.5</w:t>
            </w:r>
          </w:p>
        </w:tc>
      </w:tr>
      <w:tr w:rsidR="000E5655" w:rsidRPr="0043038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100/92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100/92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100/92</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1.0193</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1.0740</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1.0846</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62.82</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69.4</w:t>
            </w:r>
            <w:r w:rsidRPr="0043038D">
              <w:rPr>
                <w:rFonts w:ascii="Arial" w:hAnsi="Arial" w:cs="Arial" w:hint="eastAsia"/>
                <w:sz w:val="16"/>
                <w:szCs w:val="18"/>
              </w:rPr>
              <w:t>6</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67.20</w:t>
            </w:r>
          </w:p>
        </w:tc>
      </w:tr>
    </w:tbl>
    <w:p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w:t>
      </w:r>
      <w:proofErr w:type="gramStart"/>
      <w:r w:rsidRPr="0043038D">
        <w:rPr>
          <w:rFonts w:ascii="Arial" w:hAnsi="Arial"/>
          <w:sz w:val="21"/>
          <w:szCs w:val="21"/>
        </w:rPr>
        <w:t>经因素</w:t>
      </w:r>
      <w:proofErr w:type="gramEnd"/>
      <w:r w:rsidRPr="0043038D">
        <w:rPr>
          <w:rFonts w:ascii="Arial" w:hAnsi="Arial"/>
          <w:sz w:val="21"/>
          <w:szCs w:val="21"/>
        </w:rPr>
        <w:t>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lastRenderedPageBreak/>
        <w:t>即：标准房</w:t>
      </w:r>
      <w:r w:rsidRPr="0043038D">
        <w:rPr>
          <w:rFonts w:ascii="Arial" w:hAnsi="Arial"/>
          <w:sz w:val="21"/>
          <w:szCs w:val="21"/>
        </w:rPr>
        <w:t>3</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hint="eastAsia"/>
          <w:sz w:val="21"/>
          <w:szCs w:val="21"/>
        </w:rPr>
        <w:t>62.82+69.46+67.2</w:t>
      </w:r>
      <w:r w:rsidRPr="0043038D">
        <w:rPr>
          <w:rFonts w:ascii="Arial" w:hAnsi="Arial" w:hint="eastAsia"/>
          <w:sz w:val="21"/>
          <w:szCs w:val="21"/>
        </w:rPr>
        <w:t>）÷</w:t>
      </w:r>
      <w:r w:rsidRPr="0043038D">
        <w:rPr>
          <w:rFonts w:ascii="Arial" w:hAnsi="Arial"/>
          <w:sz w:val="21"/>
          <w:szCs w:val="21"/>
        </w:rPr>
        <w:t>3</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hint="eastAsia"/>
          <w:sz w:val="21"/>
          <w:szCs w:val="21"/>
        </w:rPr>
        <w:t>66.49</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rsidR="000E5655" w:rsidRPr="0043038D" w:rsidRDefault="000E5655">
      <w:pPr>
        <w:wordWrap w:val="0"/>
        <w:overflowPunct w:val="0"/>
        <w:spacing w:line="480" w:lineRule="auto"/>
        <w:ind w:firstLineChars="200" w:firstLine="420"/>
        <w:rPr>
          <w:kern w:val="2"/>
          <w:sz w:val="21"/>
          <w:szCs w:val="21"/>
        </w:rPr>
      </w:pPr>
      <w:bookmarkStart w:id="76" w:name="_Toc155267108"/>
      <w:bookmarkStart w:id="77" w:name="_Toc525655441"/>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r w:rsidRPr="0043038D">
        <w:rPr>
          <w:rFonts w:eastAsia="宋体"/>
          <w:kern w:val="2"/>
          <w:sz w:val="21"/>
          <w:szCs w:val="21"/>
        </w:rPr>
        <w:t>六、估价结果确定</w:t>
      </w:r>
      <w:bookmarkEnd w:id="76"/>
      <w:bookmarkEnd w:id="77"/>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确定估价对象</w:t>
      </w:r>
      <w:r w:rsidRPr="0043038D">
        <w:rPr>
          <w:rFonts w:ascii="Arial" w:hAnsi="Arial" w:cs="Arial" w:hint="eastAsia"/>
          <w:sz w:val="21"/>
          <w:szCs w:val="21"/>
        </w:rPr>
        <w:t>项目同地段、同品质住宅（住宅型）房地产于价值时点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日市场租金水平为：</w:t>
      </w:r>
      <w:r w:rsidRPr="0043038D">
        <w:rPr>
          <w:rFonts w:ascii="Arial" w:hAnsi="Arial" w:cs="Arial" w:hint="eastAsia"/>
          <w:sz w:val="21"/>
          <w:szCs w:val="21"/>
        </w:rPr>
        <w:t xml:space="preserve"> </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w:t>
      </w:r>
      <w:proofErr w:type="gramStart"/>
      <w:r w:rsidRPr="0043038D">
        <w:rPr>
          <w:rFonts w:ascii="Arial" w:hAnsi="Arial" w:cs="Arial" w:hint="eastAsia"/>
          <w:b/>
          <w:bCs/>
          <w:sz w:val="21"/>
          <w:szCs w:val="21"/>
        </w:rPr>
        <w:t>一</w:t>
      </w:r>
      <w:proofErr w:type="gramEnd"/>
      <w:r w:rsidRPr="0043038D">
        <w:rPr>
          <w:rFonts w:ascii="Arial" w:hAnsi="Arial" w:cs="Arial" w:hint="eastAsia"/>
          <w:b/>
          <w:bCs/>
          <w:sz w:val="21"/>
          <w:szCs w:val="21"/>
        </w:rPr>
        <w:t>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Pr="0043038D">
        <w:rPr>
          <w:rFonts w:ascii="Arial" w:hAnsi="Arial" w:cs="Arial" w:hint="eastAsia"/>
          <w:b/>
          <w:bCs/>
          <w:sz w:val="21"/>
          <w:szCs w:val="21"/>
        </w:rPr>
        <w:t>4.15</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8"/>
          <w:szCs w:val="18"/>
        </w:rPr>
        <w:t>区维保</w:t>
      </w:r>
      <w:proofErr w:type="gramEnd"/>
      <w:r w:rsidRPr="0043038D">
        <w:rPr>
          <w:rFonts w:ascii="Arial" w:hAnsi="Arial" w:cs="Arial" w:hint="eastAsia"/>
          <w:sz w:val="18"/>
          <w:szCs w:val="18"/>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sectPr w:rsidR="000E5655" w:rsidRPr="0043038D">
          <w:headerReference w:type="even" r:id="rId49"/>
          <w:headerReference w:type="default" r:id="rId50"/>
          <w:headerReference w:type="first" r:id="rId51"/>
          <w:pgSz w:w="11907" w:h="16840"/>
          <w:pgMar w:top="1843" w:right="1134" w:bottom="1134" w:left="1134" w:header="1134" w:footer="907" w:gutter="340"/>
          <w:cols w:space="720"/>
          <w:docGrid w:linePitch="326"/>
        </w:sectPr>
      </w:pPr>
    </w:p>
    <w:p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pPr>
    </w:p>
    <w:p w:rsidR="000E5655" w:rsidRPr="0043038D" w:rsidRDefault="00837133">
      <w:pPr>
        <w:pStyle w:val="1"/>
        <w:spacing w:line="480" w:lineRule="auto"/>
        <w:jc w:val="center"/>
        <w:rPr>
          <w:rFonts w:eastAsia="方正黑体简体"/>
          <w:b w:val="0"/>
          <w:kern w:val="2"/>
          <w:sz w:val="32"/>
          <w:szCs w:val="32"/>
        </w:rPr>
      </w:pPr>
      <w:bookmarkStart w:id="80" w:name="_Toc155267109"/>
      <w:r w:rsidRPr="0043038D">
        <w:rPr>
          <w:rFonts w:eastAsia="方正黑体简体" w:hint="eastAsia"/>
          <w:b w:val="0"/>
          <w:kern w:val="2"/>
          <w:sz w:val="32"/>
          <w:szCs w:val="32"/>
        </w:rPr>
        <w:t>附</w:t>
      </w:r>
      <w:r w:rsidRPr="0043038D">
        <w:rPr>
          <w:rFonts w:eastAsia="方正黑体简体" w:hint="eastAsia"/>
          <w:b w:val="0"/>
          <w:kern w:val="2"/>
          <w:sz w:val="32"/>
          <w:szCs w:val="32"/>
        </w:rPr>
        <w:t xml:space="preserve">   </w:t>
      </w:r>
      <w:r w:rsidRPr="0043038D">
        <w:rPr>
          <w:rFonts w:eastAsia="方正黑体简体" w:hint="eastAsia"/>
          <w:b w:val="0"/>
          <w:kern w:val="2"/>
          <w:sz w:val="32"/>
          <w:szCs w:val="32"/>
        </w:rPr>
        <w:t>件</w:t>
      </w:r>
      <w:bookmarkEnd w:id="80"/>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《估价委托书》复印件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估价对象所在位置示意图</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估价对象</w:t>
      </w:r>
      <w:r w:rsidRPr="0043038D">
        <w:rPr>
          <w:rFonts w:ascii="Arial" w:hAnsi="Arial" w:cs="Arial" w:hint="eastAsia"/>
          <w:sz w:val="21"/>
          <w:szCs w:val="21"/>
        </w:rPr>
        <w:t>现状</w:t>
      </w:r>
      <w:r w:rsidRPr="0043038D">
        <w:rPr>
          <w:rFonts w:ascii="Arial" w:hAnsi="Arial" w:cs="Arial"/>
          <w:sz w:val="21"/>
          <w:szCs w:val="21"/>
        </w:rPr>
        <w:t>照片</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《北京市发展和改革委员会</w:t>
      </w:r>
      <w:r w:rsidRPr="0043038D">
        <w:rPr>
          <w:rFonts w:ascii="Arial" w:hAnsi="Arial" w:cs="Arial"/>
          <w:sz w:val="21"/>
          <w:szCs w:val="21"/>
        </w:rPr>
        <w:t xml:space="preserve"> </w:t>
      </w:r>
      <w:r w:rsidRPr="0043038D">
        <w:rPr>
          <w:rFonts w:ascii="Arial" w:hAnsi="Arial" w:cs="Arial"/>
          <w:sz w:val="21"/>
          <w:szCs w:val="21"/>
        </w:rPr>
        <w:t>北京市住房和城乡建设委员会关于大兴区西红门镇</w:t>
      </w:r>
      <w:r w:rsidRPr="0043038D">
        <w:rPr>
          <w:rFonts w:ascii="Arial" w:hAnsi="Arial" w:cs="Arial"/>
          <w:sz w:val="21"/>
          <w:szCs w:val="21"/>
        </w:rPr>
        <w:t>DX04-0102-6011</w:t>
      </w:r>
      <w:r w:rsidRPr="0043038D">
        <w:rPr>
          <w:rFonts w:ascii="Arial" w:hAnsi="Arial" w:cs="Arial"/>
          <w:sz w:val="21"/>
          <w:szCs w:val="21"/>
        </w:rPr>
        <w:t>、</w:t>
      </w:r>
      <w:r w:rsidRPr="0043038D">
        <w:rPr>
          <w:rFonts w:ascii="Arial" w:hAnsi="Arial" w:cs="Arial"/>
          <w:sz w:val="21"/>
          <w:szCs w:val="21"/>
        </w:rPr>
        <w:t>6014</w:t>
      </w:r>
      <w:r w:rsidRPr="0043038D">
        <w:rPr>
          <w:rFonts w:ascii="Arial" w:hAnsi="Arial" w:cs="Arial"/>
          <w:sz w:val="21"/>
          <w:szCs w:val="21"/>
        </w:rPr>
        <w:t>地块用地项目核准的批复》</w:t>
      </w:r>
      <w:r w:rsidRPr="0043038D">
        <w:rPr>
          <w:rFonts w:ascii="Arial" w:hAnsi="Arial" w:cs="Arial"/>
          <w:sz w:val="21"/>
          <w:szCs w:val="21"/>
        </w:rPr>
        <w:t>[</w:t>
      </w:r>
      <w:r w:rsidRPr="0043038D">
        <w:rPr>
          <w:rFonts w:ascii="Arial" w:hAnsi="Arial" w:cs="Arial"/>
          <w:sz w:val="21"/>
          <w:szCs w:val="21"/>
        </w:rPr>
        <w:t>京发改（核）</w:t>
      </w:r>
      <w:r w:rsidRPr="0043038D">
        <w:rPr>
          <w:rFonts w:ascii="Arial" w:hAnsi="Arial" w:cs="Arial"/>
          <w:sz w:val="21"/>
          <w:szCs w:val="21"/>
        </w:rPr>
        <w:t>[2021]236</w:t>
      </w:r>
      <w:r w:rsidRPr="0043038D">
        <w:rPr>
          <w:rFonts w:ascii="Arial" w:hAnsi="Arial" w:cs="Arial"/>
          <w:sz w:val="21"/>
          <w:szCs w:val="21"/>
        </w:rPr>
        <w:t>号</w:t>
      </w:r>
      <w:r w:rsidRPr="0043038D">
        <w:rPr>
          <w:rFonts w:ascii="Arial" w:hAnsi="Arial" w:cs="Arial"/>
          <w:sz w:val="21"/>
          <w:szCs w:val="21"/>
        </w:rPr>
        <w:t>]</w:t>
      </w:r>
      <w:r w:rsidRPr="0043038D">
        <w:rPr>
          <w:rFonts w:ascii="Arial" w:hAnsi="Arial" w:cs="Arial"/>
          <w:sz w:val="21"/>
          <w:szCs w:val="21"/>
        </w:rPr>
        <w:t>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《建设工程规划许可证》</w:t>
      </w:r>
      <w:r w:rsidRPr="0043038D">
        <w:rPr>
          <w:rFonts w:ascii="Arial" w:hAnsi="Arial" w:cs="Arial" w:hint="eastAsia"/>
          <w:kern w:val="2"/>
          <w:sz w:val="21"/>
          <w:szCs w:val="21"/>
        </w:rPr>
        <w:t>[2022</w:t>
      </w:r>
      <w:proofErr w:type="gramStart"/>
      <w:r w:rsidRPr="0043038D">
        <w:rPr>
          <w:rFonts w:ascii="Arial" w:hAnsi="Arial" w:cs="Arial" w:hint="eastAsia"/>
          <w:kern w:val="2"/>
          <w:sz w:val="21"/>
          <w:szCs w:val="21"/>
        </w:rPr>
        <w:t>规</w:t>
      </w:r>
      <w:proofErr w:type="gramEnd"/>
      <w:r w:rsidRPr="0043038D">
        <w:rPr>
          <w:rFonts w:ascii="Arial" w:hAnsi="Arial" w:cs="Arial" w:hint="eastAsia"/>
          <w:kern w:val="2"/>
          <w:sz w:val="21"/>
          <w:szCs w:val="21"/>
        </w:rPr>
        <w:t>自（大）建字</w:t>
      </w:r>
      <w:r w:rsidRPr="0043038D">
        <w:rPr>
          <w:rFonts w:ascii="Arial" w:hAnsi="Arial" w:cs="Arial" w:hint="eastAsia"/>
          <w:kern w:val="2"/>
          <w:sz w:val="21"/>
          <w:szCs w:val="21"/>
        </w:rPr>
        <w:t>0005</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及其附件附图复印件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《建筑工程施工许可证》</w:t>
      </w:r>
      <w:r w:rsidRPr="0043038D">
        <w:rPr>
          <w:rFonts w:ascii="Arial" w:hAnsi="Arial" w:cs="Arial" w:hint="eastAsia"/>
          <w:kern w:val="2"/>
          <w:sz w:val="21"/>
          <w:szCs w:val="21"/>
        </w:rPr>
        <w:t>[</w:t>
      </w:r>
      <w:r w:rsidRPr="0043038D">
        <w:rPr>
          <w:rFonts w:ascii="Arial" w:hAnsi="Arial" w:cs="Arial" w:hint="eastAsia"/>
          <w:kern w:val="2"/>
          <w:sz w:val="21"/>
          <w:szCs w:val="21"/>
        </w:rPr>
        <w:t>编号：</w:t>
      </w:r>
      <w:r w:rsidRPr="0043038D">
        <w:rPr>
          <w:rFonts w:ascii="Arial" w:hAnsi="Arial" w:cs="Arial" w:hint="eastAsia"/>
          <w:kern w:val="2"/>
          <w:sz w:val="21"/>
          <w:szCs w:val="21"/>
        </w:rPr>
        <w:t>110115202201290101]</w:t>
      </w:r>
      <w:r w:rsidRPr="0043038D">
        <w:rPr>
          <w:rFonts w:ascii="Arial" w:hAnsi="Arial" w:cs="Arial" w:hint="eastAsia"/>
          <w:kern w:val="2"/>
          <w:sz w:val="21"/>
          <w:szCs w:val="21"/>
        </w:rPr>
        <w:t>及其附件复印件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《工程竣工验收备案表》</w:t>
      </w:r>
      <w:r w:rsidRPr="0043038D">
        <w:rPr>
          <w:rFonts w:ascii="Arial" w:hAnsi="Arial" w:cs="Arial" w:hint="eastAsia"/>
          <w:kern w:val="2"/>
          <w:sz w:val="21"/>
          <w:szCs w:val="21"/>
        </w:rPr>
        <w:t>[</w:t>
      </w:r>
      <w:r w:rsidRPr="0043038D">
        <w:rPr>
          <w:rFonts w:ascii="Arial" w:hAnsi="Arial" w:cs="Arial" w:hint="eastAsia"/>
          <w:kern w:val="2"/>
          <w:sz w:val="21"/>
          <w:szCs w:val="21"/>
        </w:rPr>
        <w:t>备案编号：</w:t>
      </w:r>
      <w:r w:rsidRPr="0043038D">
        <w:rPr>
          <w:rFonts w:ascii="Arial" w:hAnsi="Arial" w:cs="Arial" w:hint="eastAsia"/>
          <w:kern w:val="2"/>
          <w:sz w:val="21"/>
          <w:szCs w:val="21"/>
        </w:rPr>
        <w:t>0585</w:t>
      </w:r>
      <w:proofErr w:type="gramStart"/>
      <w:r w:rsidRPr="0043038D">
        <w:rPr>
          <w:rFonts w:ascii="Arial" w:hAnsi="Arial" w:cs="Arial" w:hint="eastAsia"/>
          <w:kern w:val="2"/>
          <w:sz w:val="21"/>
          <w:szCs w:val="21"/>
        </w:rPr>
        <w:t>大竣</w:t>
      </w:r>
      <w:proofErr w:type="gramEnd"/>
      <w:r w:rsidRPr="0043038D">
        <w:rPr>
          <w:rFonts w:ascii="Arial" w:hAnsi="Arial" w:cs="Arial" w:hint="eastAsia"/>
          <w:kern w:val="2"/>
          <w:sz w:val="21"/>
          <w:szCs w:val="21"/>
        </w:rPr>
        <w:t>2023</w:t>
      </w:r>
      <w:r w:rsidRPr="0043038D">
        <w:rPr>
          <w:rFonts w:ascii="Arial" w:hAnsi="Arial" w:cs="Arial" w:hint="eastAsia"/>
          <w:kern w:val="2"/>
          <w:sz w:val="21"/>
          <w:szCs w:val="21"/>
        </w:rPr>
        <w:t>（建）</w:t>
      </w:r>
      <w:r w:rsidRPr="0043038D">
        <w:rPr>
          <w:rFonts w:ascii="Arial" w:hAnsi="Arial" w:cs="Arial" w:hint="eastAsia"/>
          <w:kern w:val="2"/>
          <w:sz w:val="21"/>
          <w:szCs w:val="21"/>
        </w:rPr>
        <w:t>0078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估价委托人《营业执照（副本）》复印件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房地产估价机构《营业执照（副本）》复印件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房地产估价机构资质证书复印件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评估专业人员</w:t>
      </w:r>
      <w:r w:rsidRPr="0043038D">
        <w:rPr>
          <w:rFonts w:ascii="Arial" w:hAnsi="Arial" w:cs="Arial"/>
          <w:sz w:val="21"/>
          <w:szCs w:val="21"/>
        </w:rPr>
        <w:t>执业证书复印件</w:t>
      </w:r>
    </w:p>
    <w:sectPr w:rsidR="000E5655" w:rsidRPr="0043038D">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1" w:author="win10B" w:date="2024-11-06T10:13:00Z" w:initials="w">
    <w:p w:rsidR="007A668E" w:rsidRDefault="007A668E">
      <w:pPr>
        <w:pStyle w:val="a6"/>
      </w:pPr>
      <w:r>
        <w:rPr>
          <w:rStyle w:val="af6"/>
        </w:rPr>
        <w:annotationRef/>
      </w:r>
      <w:r>
        <w:t>含租赁税费？</w:t>
      </w:r>
      <w:bookmarkStart w:id="72" w:name="_GoBack"/>
      <w:bookmarkEnd w:id="72"/>
    </w:p>
  </w:comment>
  <w:comment w:id="73" w:author="win10B" w:date="2024-11-06T10:06:00Z" w:initials="w">
    <w:p w:rsidR="007A668E" w:rsidRDefault="007A668E">
      <w:pPr>
        <w:pStyle w:val="a6"/>
      </w:pPr>
      <w:r>
        <w:rPr>
          <w:rStyle w:val="af6"/>
        </w:rPr>
        <w:annotationRef/>
      </w:r>
      <w:r>
        <w:t>不是</w:t>
      </w:r>
      <w:proofErr w:type="gramStart"/>
      <w:r>
        <w:t>一</w:t>
      </w:r>
      <w:proofErr w:type="gramEnd"/>
      <w:r>
        <w:t>居室？</w:t>
      </w:r>
    </w:p>
  </w:comment>
  <w:comment w:id="74" w:author="win10B" w:date="2024-11-06T10:09:00Z" w:initials="w">
    <w:p w:rsidR="007A668E" w:rsidRDefault="007A668E">
      <w:pPr>
        <w:pStyle w:val="a6"/>
      </w:pPr>
      <w:r>
        <w:rPr>
          <w:rStyle w:val="af6"/>
        </w:rPr>
        <w:annotationRef/>
      </w:r>
      <w:r>
        <w:t>修正逻辑和幅度</w:t>
      </w:r>
    </w:p>
  </w:comment>
  <w:comment w:id="75" w:author="win10B" w:date="2024-11-06T10:11:00Z" w:initials="w">
    <w:p w:rsidR="007A668E" w:rsidRDefault="007A668E">
      <w:pPr>
        <w:pStyle w:val="a6"/>
      </w:pPr>
      <w:r>
        <w:rPr>
          <w:rStyle w:val="af6"/>
        </w:rPr>
        <w:annotationRef/>
      </w:r>
      <w:r>
        <w:t>为什么强调小，面积已经修正</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9E2" w:rsidRDefault="004279E2">
      <w:pPr>
        <w:spacing w:line="240" w:lineRule="auto"/>
      </w:pPr>
      <w:r>
        <w:separator/>
      </w:r>
    </w:p>
  </w:endnote>
  <w:endnote w:type="continuationSeparator" w:id="0">
    <w:p w:rsidR="004279E2" w:rsidRDefault="004279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auto"/>
    <w:pitch w:val="default"/>
    <w:sig w:usb0="00000000" w:usb1="00000000" w:usb2="00000000" w:usb3="00000000" w:csb0="00040000" w:csb1="00000000"/>
  </w:font>
  <w:font w:name="GungsuhChe">
    <w:altName w:val="Malgun Gothic"/>
    <w:charset w:val="81"/>
    <w:family w:val="modern"/>
    <w:pitch w:val="default"/>
    <w:sig w:usb0="00000000" w:usb1="00000000"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方正黑体简体">
    <w:altName w:val="微软雅黑"/>
    <w:charset w:val="86"/>
    <w:family w:val="auto"/>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c"/>
      <w:framePr w:wrap="around" w:vAnchor="text" w:hAnchor="margin" w:xAlign="center" w:y="1"/>
      <w:rPr>
        <w:rStyle w:val="af3"/>
      </w:rPr>
    </w:pPr>
    <w:r>
      <w:fldChar w:fldCharType="begin"/>
    </w:r>
    <w:r>
      <w:rPr>
        <w:rStyle w:val="af3"/>
      </w:rPr>
      <w:instrText xml:space="preserve">PAGE  </w:instrText>
    </w:r>
    <w:r>
      <w:fldChar w:fldCharType="end"/>
    </w:r>
  </w:p>
  <w:p w:rsidR="000E5655" w:rsidRDefault="000E565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A668E" w:rsidRPr="007A668E">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c"/>
      <w:jc w:val="center"/>
    </w:pPr>
    <w:r>
      <w:fldChar w:fldCharType="begin"/>
    </w:r>
    <w:r>
      <w:instrText>PAGE   \* MERGEFORMAT</w:instrText>
    </w:r>
    <w:r>
      <w:fldChar w:fldCharType="separate"/>
    </w:r>
    <w:r>
      <w:rPr>
        <w:rFonts w:ascii="Arial" w:hAnsi="Arial"/>
        <w:lang w:val="zh-CN"/>
      </w:rPr>
      <w:t>12</w:t>
    </w:r>
    <w:r>
      <w:fldChar w:fldCharType="end"/>
    </w:r>
  </w:p>
  <w:p w:rsidR="000E5655" w:rsidRDefault="000E5655">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c"/>
      <w:framePr w:wrap="around" w:vAnchor="text" w:hAnchor="margin" w:xAlign="center" w:y="1"/>
      <w:rPr>
        <w:rStyle w:val="af3"/>
      </w:rPr>
    </w:pPr>
    <w:r>
      <w:fldChar w:fldCharType="begin"/>
    </w:r>
    <w:r>
      <w:rPr>
        <w:rStyle w:val="af3"/>
      </w:rPr>
      <w:instrText xml:space="preserve">PAGE  </w:instrText>
    </w:r>
    <w:r>
      <w:fldChar w:fldCharType="end"/>
    </w:r>
  </w:p>
  <w:p w:rsidR="000E5655" w:rsidRDefault="000E5655">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7A668E" w:rsidRPr="007A668E">
      <w:rPr>
        <w:rFonts w:ascii="Arial" w:hAnsi="Arial"/>
        <w:noProof/>
        <w:lang w:val="zh-CN"/>
      </w:rPr>
      <w:t>49</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9E2" w:rsidRDefault="004279E2">
      <w:pPr>
        <w:spacing w:line="240" w:lineRule="auto"/>
      </w:pPr>
      <w:r>
        <w:separator/>
      </w:r>
    </w:p>
  </w:footnote>
  <w:footnote w:type="continuationSeparator" w:id="0">
    <w:p w:rsidR="004279E2" w:rsidRDefault="004279E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d"/>
      <w:pBdr>
        <w:bottom w:val="none" w:sz="0" w:space="0" w:color="auto"/>
      </w:pBdr>
    </w:pPr>
    <w:r>
      <w:rPr>
        <w:noProof/>
      </w:rP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d"/>
    </w:pPr>
    <w:r>
      <w:rPr>
        <w:noProof/>
      </w:rP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d"/>
      <w:pBdr>
        <w:bottom w:val="none" w:sz="0" w:space="0" w:color="auto"/>
      </w:pBdr>
    </w:pPr>
    <w:bookmarkStart w:id="78" w:name="_Hlk154502003"/>
    <w:bookmarkStart w:id="79" w:name="_Hlk154502004"/>
    <w:r>
      <w:rPr>
        <w:noProof/>
      </w:rP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8"/>
    <w:bookmarkEnd w:id="79"/>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extent cx="5907405" cy="289560"/>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837133">
    <w:pPr>
      <w:pStyle w:val="ad"/>
      <w:pBdr>
        <w:bottom w:val="none" w:sz="0" w:space="0" w:color="auto"/>
      </w:pBdr>
    </w:pPr>
    <w:r>
      <w:rPr>
        <w:noProof/>
      </w:rP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55" w:rsidRDefault="000E565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lNTcwYzRhZDhlOGZhZjI3NjFkMzdhNWI3MTJjMDgifQ=="/>
  </w:docVars>
  <w:rsids>
    <w:rsidRoot w:val="00AF4C5B"/>
    <w:rsid w:val="DFFFBE2E"/>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3479"/>
    <w:rsid w:val="00333B9D"/>
    <w:rsid w:val="00333BD4"/>
    <w:rsid w:val="0033446A"/>
    <w:rsid w:val="003346E9"/>
    <w:rsid w:val="00334E4E"/>
    <w:rsid w:val="003351D9"/>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D98"/>
    <w:rsid w:val="00D07124"/>
    <w:rsid w:val="00D0717F"/>
    <w:rsid w:val="00D07B17"/>
    <w:rsid w:val="00D07FCB"/>
    <w:rsid w:val="00D10D8C"/>
    <w:rsid w:val="00D10DD7"/>
    <w:rsid w:val="00D11F7F"/>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47D236DF"/>
    <w:rsid w:val="569267A7"/>
    <w:rsid w:val="6BE62696"/>
    <w:rsid w:val="6C08062F"/>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0"/>
    <w:lsdException w:name="toc 4" w:semiHidden="1" w:uiPriority="0" w:qFormat="1"/>
    <w:lsdException w:name="toc 5" w:semiHidden="1" w:uiPriority="0" w:qFormat="1"/>
    <w:lsdException w:name="toc 6" w:semiHidden="1" w:uiPriority="0"/>
    <w:lsdException w:name="toc 7" w:semiHidden="1" w:uiPriority="0" w:qFormat="1"/>
    <w:lsdException w:name="toc 8" w:semiHidden="1" w:uiPriority="0" w:qFormat="1"/>
    <w:lsdException w:name="toc 9" w:semiHidden="1" w:uiPriority="0"/>
    <w:lsdException w:name="Normal Indent" w:semiHidden="1" w:uiPriority="0"/>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basedOn w:val="a"/>
    <w:next w:val="a"/>
    <w:link w:val="2Char"/>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link w:val="3Char"/>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link w:val="4Char"/>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1"/>
    <w:semiHidden/>
    <w:qFormat/>
    <w:pPr>
      <w:shd w:val="clear" w:color="auto" w:fill="000080"/>
    </w:pPr>
  </w:style>
  <w:style w:type="paragraph" w:styleId="a6">
    <w:name w:val="annotation text"/>
    <w:basedOn w:val="a"/>
    <w:link w:val="Char10"/>
    <w:uiPriority w:val="99"/>
    <w:qFormat/>
  </w:style>
  <w:style w:type="paragraph" w:styleId="a7">
    <w:name w:val="Body Text"/>
    <w:basedOn w:val="a"/>
    <w:link w:val="Char"/>
    <w:rPr>
      <w:rFonts w:eastAsia="隶书"/>
      <w:sz w:val="52"/>
    </w:rPr>
  </w:style>
  <w:style w:type="paragraph" w:styleId="a8">
    <w:name w:val="Body Text Indent"/>
    <w:basedOn w:val="a"/>
    <w:link w:val="Char0"/>
    <w:pPr>
      <w:spacing w:before="120" w:line="360" w:lineRule="auto"/>
      <w:ind w:left="1145"/>
    </w:pPr>
    <w:rPr>
      <w:rFonts w:ascii="楷体_GB2312" w:eastAsia="楷体_GB2312"/>
      <w:kern w:val="2"/>
      <w:sz w:val="28"/>
    </w:rPr>
  </w:style>
  <w:style w:type="paragraph" w:styleId="50">
    <w:name w:val="toc 5"/>
    <w:basedOn w:val="a"/>
    <w:next w:val="a"/>
    <w:semiHidden/>
    <w:qFormat/>
    <w:pPr>
      <w:ind w:leftChars="800" w:left="1680"/>
    </w:pPr>
  </w:style>
  <w:style w:type="paragraph" w:styleId="30">
    <w:name w:val="toc 3"/>
    <w:basedOn w:val="a"/>
    <w:next w:val="a"/>
    <w:semiHidden/>
    <w:pPr>
      <w:ind w:leftChars="400" w:left="840"/>
    </w:pPr>
  </w:style>
  <w:style w:type="paragraph" w:styleId="a9">
    <w:name w:val="Plain Text"/>
    <w:basedOn w:val="a"/>
    <w:link w:val="Char2"/>
    <w:qFormat/>
    <w:pPr>
      <w:adjustRightInd/>
      <w:spacing w:line="240" w:lineRule="auto"/>
      <w:jc w:val="both"/>
      <w:textAlignment w:val="auto"/>
    </w:pPr>
    <w:rPr>
      <w:rFonts w:ascii="宋体" w:hAnsi="Courier New"/>
      <w:kern w:val="2"/>
      <w:sz w:val="21"/>
    </w:rPr>
  </w:style>
  <w:style w:type="paragraph" w:styleId="8">
    <w:name w:val="toc 8"/>
    <w:basedOn w:val="a"/>
    <w:next w:val="a"/>
    <w:semiHidden/>
    <w:qFormat/>
    <w:pPr>
      <w:ind w:leftChars="1400" w:left="2940"/>
    </w:pPr>
  </w:style>
  <w:style w:type="paragraph" w:styleId="aa">
    <w:name w:val="Date"/>
    <w:basedOn w:val="a"/>
    <w:next w:val="a"/>
    <w:link w:val="Char3"/>
    <w:qFormat/>
    <w:pPr>
      <w:jc w:val="both"/>
    </w:pPr>
    <w:rPr>
      <w:rFonts w:ascii="楷体_GB2312" w:eastAsia="楷体_GB2312"/>
      <w:b/>
      <w:sz w:val="28"/>
    </w:rPr>
  </w:style>
  <w:style w:type="paragraph" w:styleId="20">
    <w:name w:val="Body Text Indent 2"/>
    <w:basedOn w:val="a"/>
    <w:link w:val="2Char0"/>
    <w:pPr>
      <w:spacing w:before="120" w:line="360" w:lineRule="auto"/>
      <w:ind w:left="600" w:firstLine="480"/>
    </w:pPr>
    <w:rPr>
      <w:rFonts w:ascii="楷体_GB2312" w:eastAsia="楷体_GB2312"/>
      <w:kern w:val="2"/>
      <w:sz w:val="28"/>
    </w:rPr>
  </w:style>
  <w:style w:type="paragraph" w:styleId="ab">
    <w:name w:val="Balloon Text"/>
    <w:basedOn w:val="a"/>
    <w:link w:val="Char4"/>
    <w:semiHidden/>
    <w:qFormat/>
    <w:rPr>
      <w:sz w:val="18"/>
      <w:szCs w:val="18"/>
    </w:rPr>
  </w:style>
  <w:style w:type="paragraph" w:styleId="ac">
    <w:name w:val="footer"/>
    <w:basedOn w:val="a"/>
    <w:link w:val="Char20"/>
    <w:uiPriority w:val="99"/>
    <w:qFormat/>
    <w:pPr>
      <w:tabs>
        <w:tab w:val="center" w:pos="4153"/>
        <w:tab w:val="right" w:pos="8306"/>
      </w:tabs>
      <w:spacing w:line="240" w:lineRule="atLeast"/>
    </w:pPr>
    <w:rPr>
      <w:sz w:val="18"/>
    </w:rPr>
  </w:style>
  <w:style w:type="paragraph" w:styleId="ad">
    <w:name w:val="header"/>
    <w:basedOn w:val="a"/>
    <w:link w:val="Char21"/>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360" w:lineRule="auto"/>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pPr>
      <w:ind w:leftChars="1000" w:left="2100"/>
    </w:pPr>
  </w:style>
  <w:style w:type="paragraph" w:styleId="31">
    <w:name w:val="Body Text Indent 3"/>
    <w:basedOn w:val="a"/>
    <w:link w:val="3Char0"/>
    <w:qFormat/>
    <w:pPr>
      <w:spacing w:line="360" w:lineRule="auto"/>
      <w:ind w:left="600" w:firstLine="555"/>
      <w:outlineLvl w:val="0"/>
    </w:pPr>
    <w:rPr>
      <w:rFonts w:ascii="楷体_GB2312" w:eastAsia="楷体_GB2312"/>
      <w:kern w:val="2"/>
      <w:sz w:val="28"/>
    </w:rPr>
  </w:style>
  <w:style w:type="paragraph" w:styleId="21">
    <w:name w:val="toc 2"/>
    <w:basedOn w:val="a"/>
    <w:next w:val="a"/>
    <w:uiPriority w:val="39"/>
    <w:qFormat/>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link w:val="2Char1"/>
    <w:qFormat/>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link w:val="Char5"/>
    <w:semiHidden/>
    <w:qFormat/>
    <w:rPr>
      <w:b/>
      <w:bCs/>
    </w:rPr>
  </w:style>
  <w:style w:type="paragraph" w:styleId="af0">
    <w:name w:val="Body Text First Indent"/>
    <w:basedOn w:val="a7"/>
    <w:link w:val="Char6"/>
    <w:qFormat/>
    <w:pPr>
      <w:adjustRightInd/>
      <w:spacing w:after="120" w:line="240" w:lineRule="auto"/>
      <w:ind w:firstLine="420"/>
      <w:jc w:val="both"/>
      <w:textAlignment w:val="auto"/>
    </w:pPr>
    <w:rPr>
      <w:rFonts w:eastAsia="宋体"/>
      <w:kern w:val="2"/>
      <w:sz w:val="21"/>
    </w:rPr>
  </w:style>
  <w:style w:type="table" w:styleId="af1">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qFormat/>
  </w:style>
  <w:style w:type="character" w:styleId="af4">
    <w:name w:val="FollowedHyperlink"/>
    <w:qFormat/>
    <w:rPr>
      <w:color w:val="800080"/>
      <w:u w:val="single"/>
    </w:rPr>
  </w:style>
  <w:style w:type="character" w:styleId="af5">
    <w:name w:val="Hyperlink"/>
    <w:uiPriority w:val="99"/>
    <w:qFormat/>
    <w:rPr>
      <w:color w:val="0000FF"/>
      <w:u w:val="single"/>
    </w:rPr>
  </w:style>
  <w:style w:type="character" w:styleId="af6">
    <w:name w:val="annotation reference"/>
    <w:qFormat/>
    <w:rPr>
      <w:sz w:val="21"/>
      <w:szCs w:val="21"/>
    </w:rPr>
  </w:style>
  <w:style w:type="character" w:customStyle="1" w:styleId="Char1">
    <w:name w:val="文档结构图 Char1"/>
    <w:link w:val="a5"/>
    <w:semiHidden/>
    <w:qFormat/>
    <w:rPr>
      <w:sz w:val="24"/>
      <w:shd w:val="clear" w:color="auto" w:fill="000080"/>
    </w:rPr>
  </w:style>
  <w:style w:type="character" w:customStyle="1" w:styleId="Char10">
    <w:name w:val="批注文字 Char1"/>
    <w:link w:val="a6"/>
    <w:qFormat/>
    <w:rPr>
      <w:sz w:val="24"/>
    </w:rPr>
  </w:style>
  <w:style w:type="character" w:customStyle="1" w:styleId="Char20">
    <w:name w:val="页脚 Char2"/>
    <w:link w:val="ac"/>
    <w:uiPriority w:val="99"/>
    <w:rPr>
      <w:sz w:val="18"/>
    </w:rPr>
  </w:style>
  <w:style w:type="character" w:customStyle="1" w:styleId="Char21">
    <w:name w:val="页眉 Char2"/>
    <w:link w:val="ad"/>
    <w:uiPriority w:val="99"/>
    <w:rPr>
      <w:sz w:val="18"/>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color w:val="000000"/>
      <w:sz w:val="18"/>
      <w:szCs w:val="18"/>
      <w:u w:val="none"/>
    </w:rPr>
  </w:style>
  <w:style w:type="character" w:customStyle="1" w:styleId="text1">
    <w:name w:val="text1"/>
    <w:rPr>
      <w:spacing w:val="10"/>
      <w:sz w:val="28"/>
      <w:szCs w:val="28"/>
    </w:rPr>
  </w:style>
  <w:style w:type="character" w:customStyle="1" w:styleId="nr1">
    <w:name w:val="nr1"/>
    <w:qFormat/>
    <w:rPr>
      <w:rFonts w:ascii="楷体_GB2312" w:eastAsia="楷体_GB2312" w:hint="eastAsia"/>
      <w:color w:val="000000"/>
      <w:sz w:val="24"/>
      <w:szCs w:val="24"/>
    </w:rPr>
  </w:style>
  <w:style w:type="character" w:customStyle="1" w:styleId="t12h291">
    <w:name w:val="t12h291"/>
    <w:qFormat/>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10">
    <w:name w:val="正文1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qFormat/>
    <w:rPr>
      <w:rFonts w:ascii="仿宋_GB2312" w:eastAsia="仿宋_GB2312" w:hint="eastAsia"/>
      <w:color w:val="000000"/>
      <w:sz w:val="28"/>
      <w:szCs w:val="28"/>
    </w:rPr>
  </w:style>
  <w:style w:type="paragraph" w:customStyle="1" w:styleId="LO-Normal">
    <w:name w:val="LO-Normal"/>
    <w:pPr>
      <w:widowControl w:val="0"/>
      <w:suppressAutoHyphens/>
      <w:spacing w:line="360" w:lineRule="atLeast"/>
      <w:textAlignment w:val="baseline"/>
    </w:pPr>
    <w:rPr>
      <w:rFonts w:ascii="宋体" w:hAnsi="宋体"/>
      <w:sz w:val="34"/>
    </w:rPr>
  </w:style>
  <w:style w:type="character" w:customStyle="1" w:styleId="textjayku">
    <w:name w:val="text_jayku"/>
    <w:basedOn w:val="a0"/>
    <w:qFormat/>
  </w:style>
  <w:style w:type="character" w:customStyle="1" w:styleId="1Char">
    <w:name w:val="标题 1 Char"/>
    <w:link w:val="1"/>
    <w:qFormat/>
    <w:rPr>
      <w:rFonts w:ascii="Arial" w:eastAsia="仿宋_GB2312" w:hAnsi="Arial" w:cs="Arial"/>
      <w:b/>
      <w:sz w:val="28"/>
    </w:rPr>
  </w:style>
  <w:style w:type="character" w:customStyle="1" w:styleId="2Char">
    <w:name w:val="标题 2 Char"/>
    <w:link w:val="2"/>
    <w:qFormat/>
    <w:rPr>
      <w:rFonts w:ascii="Arial" w:eastAsia="仿宋_GB2312" w:hAnsi="Arial" w:cs="Arial"/>
      <w:b/>
      <w:bCs/>
      <w:sz w:val="28"/>
    </w:rPr>
  </w:style>
  <w:style w:type="character" w:customStyle="1" w:styleId="3Char">
    <w:name w:val="标题 3 Char"/>
    <w:link w:val="3"/>
    <w:qFormat/>
    <w:rPr>
      <w:rFonts w:ascii="仿宋_GB2312" w:eastAsia="仿宋_GB2312" w:hAnsi="Arial" w:cs="Arial"/>
      <w:sz w:val="28"/>
    </w:rPr>
  </w:style>
  <w:style w:type="character" w:customStyle="1" w:styleId="4Char">
    <w:name w:val="标题 4 Char"/>
    <w:link w:val="4"/>
    <w:qFormat/>
    <w:rPr>
      <w:rFonts w:ascii="仿宋_GB2312" w:eastAsia="仿宋_GB2312"/>
      <w:sz w:val="28"/>
    </w:rPr>
  </w:style>
  <w:style w:type="character" w:customStyle="1" w:styleId="Char7">
    <w:name w:val="文档结构图 Char"/>
    <w:semiHidden/>
    <w:rPr>
      <w:rFonts w:ascii="Times New Roman" w:eastAsia="宋体" w:hAnsi="Times New Roman" w:cs="Times New Roman"/>
      <w:kern w:val="0"/>
      <w:sz w:val="24"/>
      <w:szCs w:val="20"/>
      <w:shd w:val="clear" w:color="auto" w:fill="000080"/>
    </w:rPr>
  </w:style>
  <w:style w:type="character" w:customStyle="1" w:styleId="Char8">
    <w:name w:val="批注文字 Char"/>
    <w:uiPriority w:val="99"/>
    <w:semiHidden/>
    <w:rPr>
      <w:rFonts w:ascii="Times New Roman" w:eastAsia="宋体" w:hAnsi="Times New Roman" w:cs="Times New Roman"/>
      <w:kern w:val="0"/>
      <w:sz w:val="24"/>
      <w:szCs w:val="20"/>
    </w:rPr>
  </w:style>
  <w:style w:type="character" w:customStyle="1" w:styleId="Char">
    <w:name w:val="正文文本 Char"/>
    <w:link w:val="a7"/>
    <w:qFormat/>
    <w:rPr>
      <w:rFonts w:eastAsia="隶书"/>
      <w:sz w:val="52"/>
    </w:rPr>
  </w:style>
  <w:style w:type="character" w:customStyle="1" w:styleId="Char0">
    <w:name w:val="正文文本缩进 Char"/>
    <w:link w:val="a8"/>
    <w:rPr>
      <w:rFonts w:ascii="楷体_GB2312" w:eastAsia="楷体_GB2312"/>
      <w:kern w:val="2"/>
      <w:sz w:val="28"/>
    </w:rPr>
  </w:style>
  <w:style w:type="character" w:customStyle="1" w:styleId="Char2">
    <w:name w:val="纯文本 Char"/>
    <w:link w:val="a9"/>
    <w:qFormat/>
    <w:rPr>
      <w:rFonts w:ascii="宋体" w:hAnsi="Courier New"/>
      <w:kern w:val="2"/>
      <w:sz w:val="21"/>
    </w:rPr>
  </w:style>
  <w:style w:type="character" w:customStyle="1" w:styleId="Char3">
    <w:name w:val="日期 Char"/>
    <w:link w:val="aa"/>
    <w:qFormat/>
    <w:rPr>
      <w:rFonts w:ascii="楷体_GB2312" w:eastAsia="楷体_GB2312"/>
      <w:b/>
      <w:sz w:val="28"/>
    </w:rPr>
  </w:style>
  <w:style w:type="character" w:customStyle="1" w:styleId="2Char0">
    <w:name w:val="正文文本缩进 2 Char"/>
    <w:link w:val="20"/>
    <w:rPr>
      <w:rFonts w:ascii="楷体_GB2312" w:eastAsia="楷体_GB2312"/>
      <w:kern w:val="2"/>
      <w:sz w:val="28"/>
    </w:rPr>
  </w:style>
  <w:style w:type="character" w:customStyle="1" w:styleId="Char4">
    <w:name w:val="批注框文本 Char"/>
    <w:link w:val="ab"/>
    <w:semiHidden/>
    <w:qFormat/>
    <w:rPr>
      <w:sz w:val="18"/>
      <w:szCs w:val="18"/>
    </w:rPr>
  </w:style>
  <w:style w:type="character" w:customStyle="1" w:styleId="Char11">
    <w:name w:val="页脚 Char1"/>
    <w:uiPriority w:val="99"/>
    <w:rPr>
      <w:sz w:val="18"/>
      <w:szCs w:val="18"/>
    </w:rPr>
  </w:style>
  <w:style w:type="character" w:customStyle="1" w:styleId="Char12">
    <w:name w:val="页眉 Char1"/>
    <w:uiPriority w:val="99"/>
    <w:qFormat/>
    <w:rPr>
      <w:rFonts w:ascii="Times New Roman" w:hAnsi="Times New Roman"/>
      <w:sz w:val="18"/>
      <w:szCs w:val="18"/>
    </w:rPr>
  </w:style>
  <w:style w:type="character" w:customStyle="1" w:styleId="3Char0">
    <w:name w:val="正文文本缩进 3 Char"/>
    <w:link w:val="31"/>
    <w:rPr>
      <w:rFonts w:ascii="楷体_GB2312" w:eastAsia="楷体_GB2312"/>
      <w:kern w:val="2"/>
      <w:sz w:val="28"/>
    </w:rPr>
  </w:style>
  <w:style w:type="character" w:customStyle="1" w:styleId="2Char1">
    <w:name w:val="正文文本 2 Char"/>
    <w:link w:val="22"/>
    <w:rPr>
      <w:rFonts w:eastAsia="仿宋_GB2312"/>
      <w:sz w:val="28"/>
    </w:rPr>
  </w:style>
  <w:style w:type="character" w:customStyle="1" w:styleId="Char5">
    <w:name w:val="批注主题 Char"/>
    <w:link w:val="af"/>
    <w:semiHidden/>
    <w:rPr>
      <w:b/>
      <w:bCs/>
      <w:sz w:val="24"/>
    </w:rPr>
  </w:style>
  <w:style w:type="character" w:customStyle="1" w:styleId="Char6">
    <w:name w:val="正文首行缩进 Char"/>
    <w:link w:val="af0"/>
    <w:rPr>
      <w:kern w:val="2"/>
      <w:sz w:val="21"/>
    </w:rPr>
  </w:style>
  <w:style w:type="paragraph" w:customStyle="1" w:styleId="2-11">
    <w:name w:val="中等深浅网格 2 - 强调文字颜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rPr>
  </w:style>
  <w:style w:type="character" w:customStyle="1" w:styleId="apple-style-span">
    <w:name w:val="apple-style-span"/>
  </w:style>
  <w:style w:type="paragraph" w:customStyle="1" w:styleId="-31">
    <w:name w:val="浅色列表 - 强调文字颜色 31"/>
    <w:uiPriority w:val="99"/>
    <w:semiHidden/>
    <w:qFormat/>
    <w:rPr>
      <w:sz w:val="24"/>
    </w:rPr>
  </w:style>
  <w:style w:type="paragraph" w:customStyle="1" w:styleId="-310">
    <w:name w:val="浅色网格 - 强调文字颜色 31"/>
    <w:basedOn w:val="a"/>
    <w:uiPriority w:val="34"/>
    <w:qFormat/>
    <w:pPr>
      <w:ind w:firstLineChars="200" w:firstLine="420"/>
    </w:pPr>
  </w:style>
  <w:style w:type="character" w:customStyle="1" w:styleId="apple-converted-space">
    <w:name w:val="apple-converted-space"/>
    <w:qFormat/>
  </w:style>
  <w:style w:type="character" w:customStyle="1" w:styleId="Char9">
    <w:name w:val="页眉 Char"/>
    <w:uiPriority w:val="99"/>
    <w:qFormat/>
    <w:rPr>
      <w:rFonts w:ascii="Times New Roman" w:hAnsi="Times New Roman"/>
      <w:sz w:val="18"/>
      <w:szCs w:val="18"/>
    </w:rPr>
  </w:style>
  <w:style w:type="character" w:customStyle="1" w:styleId="Chara">
    <w:name w:val="页脚 Char"/>
    <w:uiPriority w:val="99"/>
    <w:qFormat/>
    <w:rPr>
      <w:sz w:val="18"/>
      <w:szCs w:val="18"/>
    </w:rPr>
  </w:style>
  <w:style w:type="paragraph" w:customStyle="1" w:styleId="-110">
    <w:name w:val="彩色列表 - 强调文字颜色 11"/>
    <w:basedOn w:val="a"/>
    <w:uiPriority w:val="1"/>
    <w:qFormat/>
    <w:pPr>
      <w:spacing w:before="20" w:after="20"/>
      <w:ind w:firstLineChars="200" w:firstLine="420"/>
    </w:pPr>
  </w:style>
  <w:style w:type="character" w:customStyle="1" w:styleId="font11">
    <w:name w:val="font11"/>
    <w:qFormat/>
    <w:rPr>
      <w:rFonts w:ascii="华文细黑" w:eastAsia="华文细黑" w:hAnsi="华文细黑" w:cs="华文细黑" w:hint="eastAsia"/>
      <w:color w:val="00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0"/>
    <w:lsdException w:name="toc 4" w:semiHidden="1" w:uiPriority="0" w:qFormat="1"/>
    <w:lsdException w:name="toc 5" w:semiHidden="1" w:uiPriority="0" w:qFormat="1"/>
    <w:lsdException w:name="toc 6" w:semiHidden="1" w:uiPriority="0"/>
    <w:lsdException w:name="toc 7" w:semiHidden="1" w:uiPriority="0" w:qFormat="1"/>
    <w:lsdException w:name="toc 8" w:semiHidden="1" w:uiPriority="0" w:qFormat="1"/>
    <w:lsdException w:name="toc 9" w:semiHidden="1" w:uiPriority="0"/>
    <w:lsdException w:name="Normal Indent" w:semiHidden="1" w:uiPriority="0"/>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basedOn w:val="a"/>
    <w:next w:val="a"/>
    <w:link w:val="2Char"/>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link w:val="3Char"/>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link w:val="4Char"/>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1"/>
    <w:semiHidden/>
    <w:qFormat/>
    <w:pPr>
      <w:shd w:val="clear" w:color="auto" w:fill="000080"/>
    </w:pPr>
  </w:style>
  <w:style w:type="paragraph" w:styleId="a6">
    <w:name w:val="annotation text"/>
    <w:basedOn w:val="a"/>
    <w:link w:val="Char10"/>
    <w:uiPriority w:val="99"/>
    <w:qFormat/>
  </w:style>
  <w:style w:type="paragraph" w:styleId="a7">
    <w:name w:val="Body Text"/>
    <w:basedOn w:val="a"/>
    <w:link w:val="Char"/>
    <w:rPr>
      <w:rFonts w:eastAsia="隶书"/>
      <w:sz w:val="52"/>
    </w:rPr>
  </w:style>
  <w:style w:type="paragraph" w:styleId="a8">
    <w:name w:val="Body Text Indent"/>
    <w:basedOn w:val="a"/>
    <w:link w:val="Char0"/>
    <w:pPr>
      <w:spacing w:before="120" w:line="360" w:lineRule="auto"/>
      <w:ind w:left="1145"/>
    </w:pPr>
    <w:rPr>
      <w:rFonts w:ascii="楷体_GB2312" w:eastAsia="楷体_GB2312"/>
      <w:kern w:val="2"/>
      <w:sz w:val="28"/>
    </w:rPr>
  </w:style>
  <w:style w:type="paragraph" w:styleId="50">
    <w:name w:val="toc 5"/>
    <w:basedOn w:val="a"/>
    <w:next w:val="a"/>
    <w:semiHidden/>
    <w:qFormat/>
    <w:pPr>
      <w:ind w:leftChars="800" w:left="1680"/>
    </w:pPr>
  </w:style>
  <w:style w:type="paragraph" w:styleId="30">
    <w:name w:val="toc 3"/>
    <w:basedOn w:val="a"/>
    <w:next w:val="a"/>
    <w:semiHidden/>
    <w:pPr>
      <w:ind w:leftChars="400" w:left="840"/>
    </w:pPr>
  </w:style>
  <w:style w:type="paragraph" w:styleId="a9">
    <w:name w:val="Plain Text"/>
    <w:basedOn w:val="a"/>
    <w:link w:val="Char2"/>
    <w:qFormat/>
    <w:pPr>
      <w:adjustRightInd/>
      <w:spacing w:line="240" w:lineRule="auto"/>
      <w:jc w:val="both"/>
      <w:textAlignment w:val="auto"/>
    </w:pPr>
    <w:rPr>
      <w:rFonts w:ascii="宋体" w:hAnsi="Courier New"/>
      <w:kern w:val="2"/>
      <w:sz w:val="21"/>
    </w:rPr>
  </w:style>
  <w:style w:type="paragraph" w:styleId="8">
    <w:name w:val="toc 8"/>
    <w:basedOn w:val="a"/>
    <w:next w:val="a"/>
    <w:semiHidden/>
    <w:qFormat/>
    <w:pPr>
      <w:ind w:leftChars="1400" w:left="2940"/>
    </w:pPr>
  </w:style>
  <w:style w:type="paragraph" w:styleId="aa">
    <w:name w:val="Date"/>
    <w:basedOn w:val="a"/>
    <w:next w:val="a"/>
    <w:link w:val="Char3"/>
    <w:qFormat/>
    <w:pPr>
      <w:jc w:val="both"/>
    </w:pPr>
    <w:rPr>
      <w:rFonts w:ascii="楷体_GB2312" w:eastAsia="楷体_GB2312"/>
      <w:b/>
      <w:sz w:val="28"/>
    </w:rPr>
  </w:style>
  <w:style w:type="paragraph" w:styleId="20">
    <w:name w:val="Body Text Indent 2"/>
    <w:basedOn w:val="a"/>
    <w:link w:val="2Char0"/>
    <w:pPr>
      <w:spacing w:before="120" w:line="360" w:lineRule="auto"/>
      <w:ind w:left="600" w:firstLine="480"/>
    </w:pPr>
    <w:rPr>
      <w:rFonts w:ascii="楷体_GB2312" w:eastAsia="楷体_GB2312"/>
      <w:kern w:val="2"/>
      <w:sz w:val="28"/>
    </w:rPr>
  </w:style>
  <w:style w:type="paragraph" w:styleId="ab">
    <w:name w:val="Balloon Text"/>
    <w:basedOn w:val="a"/>
    <w:link w:val="Char4"/>
    <w:semiHidden/>
    <w:qFormat/>
    <w:rPr>
      <w:sz w:val="18"/>
      <w:szCs w:val="18"/>
    </w:rPr>
  </w:style>
  <w:style w:type="paragraph" w:styleId="ac">
    <w:name w:val="footer"/>
    <w:basedOn w:val="a"/>
    <w:link w:val="Char20"/>
    <w:uiPriority w:val="99"/>
    <w:qFormat/>
    <w:pPr>
      <w:tabs>
        <w:tab w:val="center" w:pos="4153"/>
        <w:tab w:val="right" w:pos="8306"/>
      </w:tabs>
      <w:spacing w:line="240" w:lineRule="atLeast"/>
    </w:pPr>
    <w:rPr>
      <w:sz w:val="18"/>
    </w:rPr>
  </w:style>
  <w:style w:type="paragraph" w:styleId="ad">
    <w:name w:val="header"/>
    <w:basedOn w:val="a"/>
    <w:link w:val="Char21"/>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360" w:lineRule="auto"/>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pPr>
      <w:ind w:leftChars="1000" w:left="2100"/>
    </w:pPr>
  </w:style>
  <w:style w:type="paragraph" w:styleId="31">
    <w:name w:val="Body Text Indent 3"/>
    <w:basedOn w:val="a"/>
    <w:link w:val="3Char0"/>
    <w:qFormat/>
    <w:pPr>
      <w:spacing w:line="360" w:lineRule="auto"/>
      <w:ind w:left="600" w:firstLine="555"/>
      <w:outlineLvl w:val="0"/>
    </w:pPr>
    <w:rPr>
      <w:rFonts w:ascii="楷体_GB2312" w:eastAsia="楷体_GB2312"/>
      <w:kern w:val="2"/>
      <w:sz w:val="28"/>
    </w:rPr>
  </w:style>
  <w:style w:type="paragraph" w:styleId="21">
    <w:name w:val="toc 2"/>
    <w:basedOn w:val="a"/>
    <w:next w:val="a"/>
    <w:uiPriority w:val="39"/>
    <w:qFormat/>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link w:val="2Char1"/>
    <w:qFormat/>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link w:val="Char5"/>
    <w:semiHidden/>
    <w:qFormat/>
    <w:rPr>
      <w:b/>
      <w:bCs/>
    </w:rPr>
  </w:style>
  <w:style w:type="paragraph" w:styleId="af0">
    <w:name w:val="Body Text First Indent"/>
    <w:basedOn w:val="a7"/>
    <w:link w:val="Char6"/>
    <w:qFormat/>
    <w:pPr>
      <w:adjustRightInd/>
      <w:spacing w:after="120" w:line="240" w:lineRule="auto"/>
      <w:ind w:firstLine="420"/>
      <w:jc w:val="both"/>
      <w:textAlignment w:val="auto"/>
    </w:pPr>
    <w:rPr>
      <w:rFonts w:eastAsia="宋体"/>
      <w:kern w:val="2"/>
      <w:sz w:val="21"/>
    </w:rPr>
  </w:style>
  <w:style w:type="table" w:styleId="af1">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qFormat/>
  </w:style>
  <w:style w:type="character" w:styleId="af4">
    <w:name w:val="FollowedHyperlink"/>
    <w:qFormat/>
    <w:rPr>
      <w:color w:val="800080"/>
      <w:u w:val="single"/>
    </w:rPr>
  </w:style>
  <w:style w:type="character" w:styleId="af5">
    <w:name w:val="Hyperlink"/>
    <w:uiPriority w:val="99"/>
    <w:qFormat/>
    <w:rPr>
      <w:color w:val="0000FF"/>
      <w:u w:val="single"/>
    </w:rPr>
  </w:style>
  <w:style w:type="character" w:styleId="af6">
    <w:name w:val="annotation reference"/>
    <w:qFormat/>
    <w:rPr>
      <w:sz w:val="21"/>
      <w:szCs w:val="21"/>
    </w:rPr>
  </w:style>
  <w:style w:type="character" w:customStyle="1" w:styleId="Char1">
    <w:name w:val="文档结构图 Char1"/>
    <w:link w:val="a5"/>
    <w:semiHidden/>
    <w:qFormat/>
    <w:rPr>
      <w:sz w:val="24"/>
      <w:shd w:val="clear" w:color="auto" w:fill="000080"/>
    </w:rPr>
  </w:style>
  <w:style w:type="character" w:customStyle="1" w:styleId="Char10">
    <w:name w:val="批注文字 Char1"/>
    <w:link w:val="a6"/>
    <w:qFormat/>
    <w:rPr>
      <w:sz w:val="24"/>
    </w:rPr>
  </w:style>
  <w:style w:type="character" w:customStyle="1" w:styleId="Char20">
    <w:name w:val="页脚 Char2"/>
    <w:link w:val="ac"/>
    <w:uiPriority w:val="99"/>
    <w:rPr>
      <w:sz w:val="18"/>
    </w:rPr>
  </w:style>
  <w:style w:type="character" w:customStyle="1" w:styleId="Char21">
    <w:name w:val="页眉 Char2"/>
    <w:link w:val="ad"/>
    <w:uiPriority w:val="99"/>
    <w:rPr>
      <w:sz w:val="18"/>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color w:val="000000"/>
      <w:sz w:val="18"/>
      <w:szCs w:val="18"/>
      <w:u w:val="none"/>
    </w:rPr>
  </w:style>
  <w:style w:type="character" w:customStyle="1" w:styleId="text1">
    <w:name w:val="text1"/>
    <w:rPr>
      <w:spacing w:val="10"/>
      <w:sz w:val="28"/>
      <w:szCs w:val="28"/>
    </w:rPr>
  </w:style>
  <w:style w:type="character" w:customStyle="1" w:styleId="nr1">
    <w:name w:val="nr1"/>
    <w:qFormat/>
    <w:rPr>
      <w:rFonts w:ascii="楷体_GB2312" w:eastAsia="楷体_GB2312" w:hint="eastAsia"/>
      <w:color w:val="000000"/>
      <w:sz w:val="24"/>
      <w:szCs w:val="24"/>
    </w:rPr>
  </w:style>
  <w:style w:type="character" w:customStyle="1" w:styleId="t12h291">
    <w:name w:val="t12h291"/>
    <w:qFormat/>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10">
    <w:name w:val="正文1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qFormat/>
    <w:rPr>
      <w:rFonts w:ascii="仿宋_GB2312" w:eastAsia="仿宋_GB2312" w:hint="eastAsia"/>
      <w:color w:val="000000"/>
      <w:sz w:val="28"/>
      <w:szCs w:val="28"/>
    </w:rPr>
  </w:style>
  <w:style w:type="paragraph" w:customStyle="1" w:styleId="LO-Normal">
    <w:name w:val="LO-Normal"/>
    <w:pPr>
      <w:widowControl w:val="0"/>
      <w:suppressAutoHyphens/>
      <w:spacing w:line="360" w:lineRule="atLeast"/>
      <w:textAlignment w:val="baseline"/>
    </w:pPr>
    <w:rPr>
      <w:rFonts w:ascii="宋体" w:hAnsi="宋体"/>
      <w:sz w:val="34"/>
    </w:rPr>
  </w:style>
  <w:style w:type="character" w:customStyle="1" w:styleId="textjayku">
    <w:name w:val="text_jayku"/>
    <w:basedOn w:val="a0"/>
    <w:qFormat/>
  </w:style>
  <w:style w:type="character" w:customStyle="1" w:styleId="1Char">
    <w:name w:val="标题 1 Char"/>
    <w:link w:val="1"/>
    <w:qFormat/>
    <w:rPr>
      <w:rFonts w:ascii="Arial" w:eastAsia="仿宋_GB2312" w:hAnsi="Arial" w:cs="Arial"/>
      <w:b/>
      <w:sz w:val="28"/>
    </w:rPr>
  </w:style>
  <w:style w:type="character" w:customStyle="1" w:styleId="2Char">
    <w:name w:val="标题 2 Char"/>
    <w:link w:val="2"/>
    <w:qFormat/>
    <w:rPr>
      <w:rFonts w:ascii="Arial" w:eastAsia="仿宋_GB2312" w:hAnsi="Arial" w:cs="Arial"/>
      <w:b/>
      <w:bCs/>
      <w:sz w:val="28"/>
    </w:rPr>
  </w:style>
  <w:style w:type="character" w:customStyle="1" w:styleId="3Char">
    <w:name w:val="标题 3 Char"/>
    <w:link w:val="3"/>
    <w:qFormat/>
    <w:rPr>
      <w:rFonts w:ascii="仿宋_GB2312" w:eastAsia="仿宋_GB2312" w:hAnsi="Arial" w:cs="Arial"/>
      <w:sz w:val="28"/>
    </w:rPr>
  </w:style>
  <w:style w:type="character" w:customStyle="1" w:styleId="4Char">
    <w:name w:val="标题 4 Char"/>
    <w:link w:val="4"/>
    <w:qFormat/>
    <w:rPr>
      <w:rFonts w:ascii="仿宋_GB2312" w:eastAsia="仿宋_GB2312"/>
      <w:sz w:val="28"/>
    </w:rPr>
  </w:style>
  <w:style w:type="character" w:customStyle="1" w:styleId="Char7">
    <w:name w:val="文档结构图 Char"/>
    <w:semiHidden/>
    <w:rPr>
      <w:rFonts w:ascii="Times New Roman" w:eastAsia="宋体" w:hAnsi="Times New Roman" w:cs="Times New Roman"/>
      <w:kern w:val="0"/>
      <w:sz w:val="24"/>
      <w:szCs w:val="20"/>
      <w:shd w:val="clear" w:color="auto" w:fill="000080"/>
    </w:rPr>
  </w:style>
  <w:style w:type="character" w:customStyle="1" w:styleId="Char8">
    <w:name w:val="批注文字 Char"/>
    <w:uiPriority w:val="99"/>
    <w:semiHidden/>
    <w:rPr>
      <w:rFonts w:ascii="Times New Roman" w:eastAsia="宋体" w:hAnsi="Times New Roman" w:cs="Times New Roman"/>
      <w:kern w:val="0"/>
      <w:sz w:val="24"/>
      <w:szCs w:val="20"/>
    </w:rPr>
  </w:style>
  <w:style w:type="character" w:customStyle="1" w:styleId="Char">
    <w:name w:val="正文文本 Char"/>
    <w:link w:val="a7"/>
    <w:qFormat/>
    <w:rPr>
      <w:rFonts w:eastAsia="隶书"/>
      <w:sz w:val="52"/>
    </w:rPr>
  </w:style>
  <w:style w:type="character" w:customStyle="1" w:styleId="Char0">
    <w:name w:val="正文文本缩进 Char"/>
    <w:link w:val="a8"/>
    <w:rPr>
      <w:rFonts w:ascii="楷体_GB2312" w:eastAsia="楷体_GB2312"/>
      <w:kern w:val="2"/>
      <w:sz w:val="28"/>
    </w:rPr>
  </w:style>
  <w:style w:type="character" w:customStyle="1" w:styleId="Char2">
    <w:name w:val="纯文本 Char"/>
    <w:link w:val="a9"/>
    <w:qFormat/>
    <w:rPr>
      <w:rFonts w:ascii="宋体" w:hAnsi="Courier New"/>
      <w:kern w:val="2"/>
      <w:sz w:val="21"/>
    </w:rPr>
  </w:style>
  <w:style w:type="character" w:customStyle="1" w:styleId="Char3">
    <w:name w:val="日期 Char"/>
    <w:link w:val="aa"/>
    <w:qFormat/>
    <w:rPr>
      <w:rFonts w:ascii="楷体_GB2312" w:eastAsia="楷体_GB2312"/>
      <w:b/>
      <w:sz w:val="28"/>
    </w:rPr>
  </w:style>
  <w:style w:type="character" w:customStyle="1" w:styleId="2Char0">
    <w:name w:val="正文文本缩进 2 Char"/>
    <w:link w:val="20"/>
    <w:rPr>
      <w:rFonts w:ascii="楷体_GB2312" w:eastAsia="楷体_GB2312"/>
      <w:kern w:val="2"/>
      <w:sz w:val="28"/>
    </w:rPr>
  </w:style>
  <w:style w:type="character" w:customStyle="1" w:styleId="Char4">
    <w:name w:val="批注框文本 Char"/>
    <w:link w:val="ab"/>
    <w:semiHidden/>
    <w:qFormat/>
    <w:rPr>
      <w:sz w:val="18"/>
      <w:szCs w:val="18"/>
    </w:rPr>
  </w:style>
  <w:style w:type="character" w:customStyle="1" w:styleId="Char11">
    <w:name w:val="页脚 Char1"/>
    <w:uiPriority w:val="99"/>
    <w:rPr>
      <w:sz w:val="18"/>
      <w:szCs w:val="18"/>
    </w:rPr>
  </w:style>
  <w:style w:type="character" w:customStyle="1" w:styleId="Char12">
    <w:name w:val="页眉 Char1"/>
    <w:uiPriority w:val="99"/>
    <w:qFormat/>
    <w:rPr>
      <w:rFonts w:ascii="Times New Roman" w:hAnsi="Times New Roman"/>
      <w:sz w:val="18"/>
      <w:szCs w:val="18"/>
    </w:rPr>
  </w:style>
  <w:style w:type="character" w:customStyle="1" w:styleId="3Char0">
    <w:name w:val="正文文本缩进 3 Char"/>
    <w:link w:val="31"/>
    <w:rPr>
      <w:rFonts w:ascii="楷体_GB2312" w:eastAsia="楷体_GB2312"/>
      <w:kern w:val="2"/>
      <w:sz w:val="28"/>
    </w:rPr>
  </w:style>
  <w:style w:type="character" w:customStyle="1" w:styleId="2Char1">
    <w:name w:val="正文文本 2 Char"/>
    <w:link w:val="22"/>
    <w:rPr>
      <w:rFonts w:eastAsia="仿宋_GB2312"/>
      <w:sz w:val="28"/>
    </w:rPr>
  </w:style>
  <w:style w:type="character" w:customStyle="1" w:styleId="Char5">
    <w:name w:val="批注主题 Char"/>
    <w:link w:val="af"/>
    <w:semiHidden/>
    <w:rPr>
      <w:b/>
      <w:bCs/>
      <w:sz w:val="24"/>
    </w:rPr>
  </w:style>
  <w:style w:type="character" w:customStyle="1" w:styleId="Char6">
    <w:name w:val="正文首行缩进 Char"/>
    <w:link w:val="af0"/>
    <w:rPr>
      <w:kern w:val="2"/>
      <w:sz w:val="21"/>
    </w:rPr>
  </w:style>
  <w:style w:type="paragraph" w:customStyle="1" w:styleId="2-11">
    <w:name w:val="中等深浅网格 2 - 强调文字颜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rPr>
  </w:style>
  <w:style w:type="character" w:customStyle="1" w:styleId="apple-style-span">
    <w:name w:val="apple-style-span"/>
  </w:style>
  <w:style w:type="paragraph" w:customStyle="1" w:styleId="-31">
    <w:name w:val="浅色列表 - 强调文字颜色 31"/>
    <w:uiPriority w:val="99"/>
    <w:semiHidden/>
    <w:qFormat/>
    <w:rPr>
      <w:sz w:val="24"/>
    </w:rPr>
  </w:style>
  <w:style w:type="paragraph" w:customStyle="1" w:styleId="-310">
    <w:name w:val="浅色网格 - 强调文字颜色 31"/>
    <w:basedOn w:val="a"/>
    <w:uiPriority w:val="34"/>
    <w:qFormat/>
    <w:pPr>
      <w:ind w:firstLineChars="200" w:firstLine="420"/>
    </w:pPr>
  </w:style>
  <w:style w:type="character" w:customStyle="1" w:styleId="apple-converted-space">
    <w:name w:val="apple-converted-space"/>
    <w:qFormat/>
  </w:style>
  <w:style w:type="character" w:customStyle="1" w:styleId="Char9">
    <w:name w:val="页眉 Char"/>
    <w:uiPriority w:val="99"/>
    <w:qFormat/>
    <w:rPr>
      <w:rFonts w:ascii="Times New Roman" w:hAnsi="Times New Roman"/>
      <w:sz w:val="18"/>
      <w:szCs w:val="18"/>
    </w:rPr>
  </w:style>
  <w:style w:type="character" w:customStyle="1" w:styleId="Chara">
    <w:name w:val="页脚 Char"/>
    <w:uiPriority w:val="99"/>
    <w:qFormat/>
    <w:rPr>
      <w:sz w:val="18"/>
      <w:szCs w:val="18"/>
    </w:rPr>
  </w:style>
  <w:style w:type="paragraph" w:customStyle="1" w:styleId="-110">
    <w:name w:val="彩色列表 - 强调文字颜色 11"/>
    <w:basedOn w:val="a"/>
    <w:uiPriority w:val="1"/>
    <w:qFormat/>
    <w:pPr>
      <w:spacing w:before="20" w:after="20"/>
      <w:ind w:firstLineChars="200" w:firstLine="420"/>
    </w:pPr>
  </w:style>
  <w:style w:type="character" w:customStyle="1" w:styleId="font11">
    <w:name w:val="font11"/>
    <w:qFormat/>
    <w:rPr>
      <w:rFonts w:ascii="华文细黑" w:eastAsia="华文细黑" w:hAnsi="华文细黑" w:cs="华文细黑"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header" Target="header9.xm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header" Target="header16.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footer" Target="footer6.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3.png"/><Relationship Id="rId37" Type="http://schemas.openxmlformats.org/officeDocument/2006/relationships/image" Target="media/image6.emf"/><Relationship Id="rId40" Type="http://schemas.openxmlformats.org/officeDocument/2006/relationships/image" Target="media/image8.png"/><Relationship Id="rId45" Type="http://schemas.openxmlformats.org/officeDocument/2006/relationships/comments" Target="comments.xm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footer" Target="footer5.xml"/><Relationship Id="rId36" Type="http://schemas.openxmlformats.org/officeDocument/2006/relationships/chart" Target="charts/chart3.xml"/><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chart" Target="charts/chart1.xml"/><Relationship Id="rId44" Type="http://schemas.openxmlformats.org/officeDocument/2006/relationships/chart" Target="charts/chart6.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4.xml"/><Relationship Id="rId35" Type="http://schemas.openxmlformats.org/officeDocument/2006/relationships/chart" Target="charts/chart2.xml"/><Relationship Id="rId43" Type="http://schemas.openxmlformats.org/officeDocument/2006/relationships/chart" Target="charts/chart5.xml"/><Relationship Id="rId48" Type="http://schemas.openxmlformats.org/officeDocument/2006/relationships/image" Target="media/image13.png"/><Relationship Id="rId8" Type="http://schemas.openxmlformats.org/officeDocument/2006/relationships/footnotes" Target="footnotes.xml"/><Relationship Id="rId51"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ser>
        <c:dLbls>
          <c:showLegendKey val="0"/>
          <c:showVal val="0"/>
          <c:showCatName val="0"/>
          <c:showSerName val="0"/>
          <c:showPercent val="0"/>
          <c:showBubbleSize val="0"/>
        </c:dLbls>
        <c:gapWidth val="150"/>
        <c:axId val="272550528"/>
        <c:axId val="27255232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-2.7852567078257001E-4</c:v>
                </c:pt>
                <c:pt idx="1">
                  <c:v>1.6576894502228899E-2</c:v>
                </c:pt>
                <c:pt idx="2">
                  <c:v>-3.1973690220632499E-4</c:v>
                </c:pt>
                <c:pt idx="3">
                  <c:v>-1.9647263090558599E-3</c:v>
                </c:pt>
                <c:pt idx="4">
                  <c:v>6.8671885729987303E-4</c:v>
                </c:pt>
              </c:numCache>
            </c:numRef>
          </c:val>
          <c:smooth val="0"/>
        </c:ser>
        <c:dLbls>
          <c:showLegendKey val="0"/>
          <c:showVal val="0"/>
          <c:showCatName val="0"/>
          <c:showSerName val="0"/>
          <c:showPercent val="0"/>
          <c:showBubbleSize val="0"/>
        </c:dLbls>
        <c:marker val="1"/>
        <c:smooth val="0"/>
        <c:axId val="272553856"/>
        <c:axId val="272555392"/>
      </c:lineChart>
      <c:catAx>
        <c:axId val="27255052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72552320"/>
        <c:crosses val="autoZero"/>
        <c:auto val="1"/>
        <c:lblAlgn val="ctr"/>
        <c:lblOffset val="100"/>
        <c:noMultiLvlLbl val="0"/>
      </c:catAx>
      <c:valAx>
        <c:axId val="27255232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72550528"/>
        <c:crosses val="autoZero"/>
        <c:crossBetween val="between"/>
        <c:majorUnit val="500"/>
      </c:valAx>
      <c:catAx>
        <c:axId val="272553856"/>
        <c:scaling>
          <c:orientation val="minMax"/>
        </c:scaling>
        <c:delete val="1"/>
        <c:axPos val="b"/>
        <c:numFmt formatCode="General" sourceLinked="1"/>
        <c:majorTickMark val="out"/>
        <c:minorTickMark val="none"/>
        <c:tickLblPos val="nextTo"/>
        <c:crossAx val="272555392"/>
        <c:crosses val="autoZero"/>
        <c:auto val="1"/>
        <c:lblAlgn val="ctr"/>
        <c:lblOffset val="100"/>
        <c:noMultiLvlLbl val="0"/>
      </c:catAx>
      <c:valAx>
        <c:axId val="272555392"/>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7255385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dccdff9f-54a6-4a1f-9704-e499bf70eb63}"/>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土地成交楼面均价</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dPt>
            <c:idx val="7"/>
            <c:invertIfNegative val="0"/>
            <c:bubble3D val="0"/>
            <c:spPr>
              <a:solidFill>
                <a:srgbClr val="305BA6"/>
              </a:solidFill>
            </c:spPr>
          </c:dPt>
          <c:dPt>
            <c:idx val="8"/>
            <c:invertIfNegative val="0"/>
            <c:bubble3D val="0"/>
            <c:spPr>
              <a:solidFill>
                <a:srgbClr val="305BA6"/>
              </a:solidFill>
            </c:spPr>
          </c:dPt>
          <c:dPt>
            <c:idx val="9"/>
            <c:invertIfNegative val="0"/>
            <c:bubble3D val="0"/>
            <c:spPr>
              <a:solidFill>
                <a:srgbClr val="305BA6"/>
              </a:solidFill>
            </c:spPr>
          </c:dPt>
          <c:dPt>
            <c:idx val="10"/>
            <c:invertIfNegative val="0"/>
            <c:bubble3D val="0"/>
            <c:spPr>
              <a:solidFill>
                <a:srgbClr val="305BA6"/>
              </a:solidFill>
            </c:spPr>
          </c:dPt>
          <c:dPt>
            <c:idx val="11"/>
            <c:invertIfNegative val="0"/>
            <c:bubble3D val="0"/>
            <c:spPr>
              <a:solidFill>
                <a:srgbClr val="305BA6"/>
              </a:solidFill>
            </c:spPr>
          </c:dPt>
          <c:dPt>
            <c:idx val="12"/>
            <c:invertIfNegative val="0"/>
            <c:bubble3D val="0"/>
            <c:spPr>
              <a:solidFill>
                <a:srgbClr val="305BA6"/>
              </a:solidFill>
            </c:spPr>
          </c:dPt>
          <c:dPt>
            <c:idx val="13"/>
            <c:invertIfNegative val="0"/>
            <c:bubble3D val="0"/>
            <c:spPr>
              <a:solidFill>
                <a:srgbClr val="305BA6"/>
              </a:solidFill>
            </c:spPr>
          </c:dPt>
          <c:dPt>
            <c:idx val="14"/>
            <c:invertIfNegative val="0"/>
            <c:bubble3D val="0"/>
            <c:spPr>
              <a:solidFill>
                <a:srgbClr val="305BA6"/>
              </a:solidFill>
            </c:spPr>
          </c:dPt>
          <c:dPt>
            <c:idx val="15"/>
            <c:invertIfNegative val="0"/>
            <c:bubble3D val="0"/>
            <c:spPr>
              <a:solidFill>
                <a:srgbClr val="305BA6"/>
              </a:solidFill>
            </c:spPr>
          </c:dPt>
          <c:dPt>
            <c:idx val="16"/>
            <c:invertIfNegative val="0"/>
            <c:bubble3D val="0"/>
            <c:spPr>
              <a:solidFill>
                <a:srgbClr val="305BA6"/>
              </a:solidFill>
            </c:spPr>
          </c:dPt>
          <c:dPt>
            <c:idx val="17"/>
            <c:invertIfNegative val="0"/>
            <c:bubble3D val="0"/>
            <c:spPr>
              <a:solidFill>
                <a:srgbClr val="305BA6"/>
              </a:solidFill>
            </c:spPr>
          </c:dPt>
          <c:dPt>
            <c:idx val="18"/>
            <c:invertIfNegative val="0"/>
            <c:bubble3D val="0"/>
            <c:spPr>
              <a:solidFill>
                <a:srgbClr val="305BA6"/>
              </a:solidFill>
            </c:spPr>
          </c:dPt>
          <c:dPt>
            <c:idx val="19"/>
            <c:invertIfNegative val="0"/>
            <c:bubble3D val="0"/>
            <c:spPr>
              <a:solidFill>
                <a:srgbClr val="305BA6"/>
              </a:solidFill>
            </c:spPr>
          </c:dPt>
          <c:dPt>
            <c:idx val="20"/>
            <c:invertIfNegative val="0"/>
            <c:bubble3D val="0"/>
            <c:spPr>
              <a:solidFill>
                <a:srgbClr val="305BA6"/>
              </a:solidFill>
            </c:spPr>
          </c:dPt>
          <c:dPt>
            <c:idx val="21"/>
            <c:invertIfNegative val="0"/>
            <c:bubble3D val="0"/>
            <c:spPr>
              <a:solidFill>
                <a:srgbClr val="305BA6"/>
              </a:solidFill>
            </c:spPr>
          </c:dPt>
          <c:dPt>
            <c:idx val="22"/>
            <c:invertIfNegative val="0"/>
            <c:bubble3D val="0"/>
            <c:spPr>
              <a:solidFill>
                <a:srgbClr val="305BA6"/>
              </a:solidFill>
            </c:spPr>
          </c:dPt>
          <c:dPt>
            <c:idx val="23"/>
            <c:invertIfNegative val="0"/>
            <c:bubble3D val="0"/>
            <c:spPr>
              <a:solidFill>
                <a:srgbClr val="305BA6"/>
              </a:solidFill>
            </c:spPr>
          </c:dPt>
          <c:dPt>
            <c:idx val="24"/>
            <c:invertIfNegative val="0"/>
            <c:bubble3D val="0"/>
            <c:spPr>
              <a:solidFill>
                <a:srgbClr val="305BA6"/>
              </a:solidFill>
            </c:spPr>
          </c:dPt>
          <c:dPt>
            <c:idx val="25"/>
            <c:invertIfNegative val="0"/>
            <c:bubble3D val="0"/>
            <c:spPr>
              <a:solidFill>
                <a:srgbClr val="305BA6"/>
              </a:solidFill>
            </c:spPr>
          </c:dPt>
          <c:dPt>
            <c:idx val="26"/>
            <c:invertIfNegative val="0"/>
            <c:bubble3D val="0"/>
            <c:spPr>
              <a:solidFill>
                <a:srgbClr val="305BA6"/>
              </a:solidFill>
            </c:spPr>
          </c:dPt>
          <c:dPt>
            <c:idx val="27"/>
            <c:invertIfNegative val="0"/>
            <c:bubble3D val="0"/>
            <c:spPr>
              <a:solidFill>
                <a:srgbClr val="305BA6"/>
              </a:solidFill>
            </c:spPr>
          </c:dPt>
          <c:dPt>
            <c:idx val="28"/>
            <c:invertIfNegative val="0"/>
            <c:bubble3D val="0"/>
            <c:spPr>
              <a:solidFill>
                <a:srgbClr val="305BA6"/>
              </a:solidFill>
            </c:spPr>
          </c:dPt>
          <c:dPt>
            <c:idx val="29"/>
            <c:invertIfNegative val="0"/>
            <c:bubble3D val="0"/>
            <c:spPr>
              <a:solidFill>
                <a:srgbClr val="305BA6"/>
              </a:solidFill>
            </c:spPr>
          </c:dPt>
          <c:dPt>
            <c:idx val="30"/>
            <c:invertIfNegative val="0"/>
            <c:bubble3D val="0"/>
            <c:spPr>
              <a:solidFill>
                <a:srgbClr val="305BA6"/>
              </a:solidFill>
            </c:spPr>
          </c:dPt>
          <c:dPt>
            <c:idx val="31"/>
            <c:invertIfNegative val="0"/>
            <c:bubble3D val="0"/>
            <c:spPr>
              <a:solidFill>
                <a:srgbClr val="305BA6"/>
              </a:solidFill>
            </c:spPr>
          </c:dPt>
          <c:dPt>
            <c:idx val="32"/>
            <c:invertIfNegative val="0"/>
            <c:bubble3D val="0"/>
            <c:spPr>
              <a:solidFill>
                <a:srgbClr val="305BA6"/>
              </a:solidFill>
            </c:spPr>
          </c:dPt>
          <c:dPt>
            <c:idx val="33"/>
            <c:invertIfNegative val="0"/>
            <c:bubble3D val="0"/>
            <c:spPr>
              <a:solidFill>
                <a:srgbClr val="305BA6"/>
              </a:solidFill>
            </c:spPr>
          </c:dPt>
          <c:dPt>
            <c:idx val="34"/>
            <c:invertIfNegative val="0"/>
            <c:bubble3D val="0"/>
            <c:spPr>
              <a:solidFill>
                <a:srgbClr val="305BA6"/>
              </a:solidFill>
            </c:spPr>
          </c:dPt>
          <c:dPt>
            <c:idx val="35"/>
            <c:invertIfNegative val="0"/>
            <c:bubble3D val="0"/>
            <c:spPr>
              <a:solidFill>
                <a:srgbClr val="305BA6"/>
              </a:solidFill>
            </c:spPr>
          </c:dPt>
          <c:cat>
            <c:strRef>
              <c:f>Sheet1!$A$2:$A$37</c:f>
              <c:strCache>
                <c:ptCount val="36"/>
                <c:pt idx="0">
                  <c:v>21-07</c:v>
                </c:pt>
                <c:pt idx="1">
                  <c:v>21-08</c:v>
                </c:pt>
                <c:pt idx="2">
                  <c:v>21-09</c:v>
                </c:pt>
                <c:pt idx="3">
                  <c:v>21-10</c:v>
                </c:pt>
                <c:pt idx="4">
                  <c:v>21-11</c:v>
                </c:pt>
                <c:pt idx="5">
                  <c:v>21-12</c:v>
                </c:pt>
                <c:pt idx="6">
                  <c:v>22-01</c:v>
                </c:pt>
                <c:pt idx="7">
                  <c:v>22-02</c:v>
                </c:pt>
                <c:pt idx="8">
                  <c:v>22-03</c:v>
                </c:pt>
                <c:pt idx="9">
                  <c:v>22-04</c:v>
                </c:pt>
                <c:pt idx="10">
                  <c:v>22-05</c:v>
                </c:pt>
                <c:pt idx="11">
                  <c:v>22-06</c:v>
                </c:pt>
                <c:pt idx="12">
                  <c:v>22-07</c:v>
                </c:pt>
                <c:pt idx="13">
                  <c:v>22-08</c:v>
                </c:pt>
                <c:pt idx="14">
                  <c:v>22-09</c:v>
                </c:pt>
                <c:pt idx="15">
                  <c:v>22-10</c:v>
                </c:pt>
                <c:pt idx="16">
                  <c:v>22-11</c:v>
                </c:pt>
                <c:pt idx="17">
                  <c:v>22-12</c:v>
                </c:pt>
                <c:pt idx="18">
                  <c:v>23-01</c:v>
                </c:pt>
                <c:pt idx="19">
                  <c:v>23-02</c:v>
                </c:pt>
                <c:pt idx="20">
                  <c:v>23-03</c:v>
                </c:pt>
                <c:pt idx="21">
                  <c:v>23-04</c:v>
                </c:pt>
                <c:pt idx="22">
                  <c:v>23-05</c:v>
                </c:pt>
                <c:pt idx="23">
                  <c:v>23-06</c:v>
                </c:pt>
                <c:pt idx="24">
                  <c:v>23-07</c:v>
                </c:pt>
                <c:pt idx="25">
                  <c:v>23-08</c:v>
                </c:pt>
                <c:pt idx="26">
                  <c:v>23-09</c:v>
                </c:pt>
                <c:pt idx="27">
                  <c:v>23-10</c:v>
                </c:pt>
                <c:pt idx="28">
                  <c:v>23-11</c:v>
                </c:pt>
                <c:pt idx="29">
                  <c:v>23-12</c:v>
                </c:pt>
                <c:pt idx="30">
                  <c:v>24-01</c:v>
                </c:pt>
                <c:pt idx="31">
                  <c:v>24-02</c:v>
                </c:pt>
                <c:pt idx="32">
                  <c:v>24-03</c:v>
                </c:pt>
                <c:pt idx="33">
                  <c:v>24-04</c:v>
                </c:pt>
                <c:pt idx="34">
                  <c:v>24-05</c:v>
                </c:pt>
                <c:pt idx="35">
                  <c:v>24-06</c:v>
                </c:pt>
              </c:strCache>
            </c:strRef>
          </c:cat>
          <c:val>
            <c:numRef>
              <c:f>Sheet1!$B$2:$B$37</c:f>
              <c:numCache>
                <c:formatCode>General</c:formatCode>
                <c:ptCount val="36"/>
                <c:pt idx="2">
                  <c:v>4526</c:v>
                </c:pt>
                <c:pt idx="3">
                  <c:v>32966</c:v>
                </c:pt>
                <c:pt idx="5">
                  <c:v>29430</c:v>
                </c:pt>
                <c:pt idx="7">
                  <c:v>29845</c:v>
                </c:pt>
                <c:pt idx="10">
                  <c:v>27849</c:v>
                </c:pt>
                <c:pt idx="11">
                  <c:v>42610</c:v>
                </c:pt>
                <c:pt idx="14">
                  <c:v>33918</c:v>
                </c:pt>
                <c:pt idx="16">
                  <c:v>42354</c:v>
                </c:pt>
                <c:pt idx="19">
                  <c:v>24838</c:v>
                </c:pt>
                <c:pt idx="20">
                  <c:v>27617</c:v>
                </c:pt>
                <c:pt idx="21">
                  <c:v>40453</c:v>
                </c:pt>
                <c:pt idx="22">
                  <c:v>44432</c:v>
                </c:pt>
                <c:pt idx="23">
                  <c:v>37130</c:v>
                </c:pt>
                <c:pt idx="24">
                  <c:v>27028</c:v>
                </c:pt>
                <c:pt idx="25">
                  <c:v>29621</c:v>
                </c:pt>
                <c:pt idx="26">
                  <c:v>25810</c:v>
                </c:pt>
                <c:pt idx="27">
                  <c:v>34465</c:v>
                </c:pt>
                <c:pt idx="28">
                  <c:v>20134</c:v>
                </c:pt>
                <c:pt idx="29">
                  <c:v>21580</c:v>
                </c:pt>
                <c:pt idx="30">
                  <c:v>34404</c:v>
                </c:pt>
                <c:pt idx="31">
                  <c:v>28625</c:v>
                </c:pt>
                <c:pt idx="32">
                  <c:v>21719</c:v>
                </c:pt>
                <c:pt idx="33">
                  <c:v>18863</c:v>
                </c:pt>
                <c:pt idx="34">
                  <c:v>27999</c:v>
                </c:pt>
                <c:pt idx="35">
                  <c:v>37677</c:v>
                </c:pt>
              </c:numCache>
            </c:numRef>
          </c:val>
        </c:ser>
        <c:dLbls>
          <c:showLegendKey val="0"/>
          <c:showVal val="0"/>
          <c:showCatName val="0"/>
          <c:showSerName val="0"/>
          <c:showPercent val="0"/>
          <c:showBubbleSize val="0"/>
        </c:dLbls>
        <c:gapWidth val="300"/>
        <c:overlap val="100"/>
        <c:axId val="273403904"/>
        <c:axId val="273405440"/>
      </c:barChart>
      <c:lineChart>
        <c:grouping val="standard"/>
        <c:varyColors val="0"/>
        <c:ser>
          <c:idx val="1"/>
          <c:order val="1"/>
          <c:tx>
            <c:strRef>
              <c:f>Sheet1!$C$1</c:f>
              <c:strCache>
                <c:ptCount val="1"/>
                <c:pt idx="0">
                  <c:v>土地平均溢价率</c:v>
                </c:pt>
              </c:strCache>
            </c:strRef>
          </c:tx>
          <c:spPr>
            <a:ln w="28575" cap="rnd" cmpd="sng" algn="ctr">
              <a:solidFill>
                <a:srgbClr val="FFC107"/>
              </a:solidFill>
              <a:prstDash val="solid"/>
              <a:round/>
            </a:ln>
          </c:spPr>
          <c:marker>
            <c:symbol val="circle"/>
            <c:size val="5"/>
            <c:spPr>
              <a:solidFill>
                <a:srgbClr val="FFC107"/>
              </a:solidFill>
              <a:ln w="9525" cap="flat" cmpd="sng" algn="ctr">
                <a:solidFill>
                  <a:srgbClr val="FFC107"/>
                </a:solidFill>
                <a:prstDash val="solid"/>
                <a:round/>
              </a:ln>
            </c:spPr>
          </c:marker>
          <c:dPt>
            <c:idx val="0"/>
            <c:marker>
              <c:spPr>
                <a:noFill/>
                <a:ln w="9525" cap="flat" cmpd="sng" algn="ctr">
                  <a:noFill/>
                  <a:prstDash val="solid"/>
                  <a:round/>
                </a:ln>
              </c:spPr>
            </c:marker>
            <c:bubble3D val="0"/>
            <c:spPr>
              <a:ln w="28575" cap="rnd" cmpd="sng" algn="ctr">
                <a:noFill/>
                <a:prstDash val="solid"/>
                <a:round/>
              </a:ln>
            </c:spPr>
          </c:dPt>
          <c:dPt>
            <c:idx val="1"/>
            <c:marker>
              <c:spPr>
                <a:noFill/>
                <a:ln w="9525" cap="flat" cmpd="sng" algn="ctr">
                  <a:noFill/>
                  <a:prstDash val="solid"/>
                  <a:round/>
                </a:ln>
              </c:spPr>
            </c:marker>
            <c:bubble3D val="0"/>
            <c:spPr>
              <a:ln w="28575" cap="rnd" cmpd="sng" algn="ctr">
                <a:noFill/>
                <a:prstDash val="solid"/>
                <a:round/>
              </a:ln>
            </c:spPr>
          </c:dPt>
          <c:dPt>
            <c:idx val="2"/>
            <c:bubble3D val="0"/>
            <c:spPr>
              <a:ln w="28575" cap="rnd" cmpd="sng" algn="ctr">
                <a:noFill/>
                <a:prstDash val="solid"/>
                <a:round/>
              </a:ln>
            </c:spPr>
          </c:dPt>
          <c:dPt>
            <c:idx val="4"/>
            <c:marker>
              <c:spPr>
                <a:noFill/>
                <a:ln w="9525" cap="flat" cmpd="sng" algn="ctr">
                  <a:noFill/>
                  <a:prstDash val="solid"/>
                  <a:round/>
                </a:ln>
              </c:spPr>
            </c:marker>
            <c:bubble3D val="0"/>
            <c:spPr>
              <a:ln w="28575" cap="rnd" cmpd="sng" algn="ctr">
                <a:noFill/>
                <a:prstDash val="solid"/>
                <a:round/>
              </a:ln>
            </c:spPr>
          </c:dPt>
          <c:dPt>
            <c:idx val="5"/>
            <c:bubble3D val="0"/>
            <c:spPr>
              <a:ln w="28575" cap="rnd" cmpd="sng" algn="ctr">
                <a:noFill/>
                <a:prstDash val="solid"/>
                <a:round/>
              </a:ln>
            </c:spPr>
          </c:dPt>
          <c:dPt>
            <c:idx val="6"/>
            <c:marker>
              <c:spPr>
                <a:noFill/>
                <a:ln w="9525" cap="flat" cmpd="sng" algn="ctr">
                  <a:noFill/>
                  <a:prstDash val="solid"/>
                  <a:round/>
                </a:ln>
              </c:spPr>
            </c:marker>
            <c:bubble3D val="0"/>
            <c:spPr>
              <a:ln w="28575" cap="rnd" cmpd="sng" algn="ctr">
                <a:noFill/>
                <a:prstDash val="solid"/>
                <a:round/>
              </a:ln>
            </c:spPr>
          </c:dPt>
          <c:dPt>
            <c:idx val="7"/>
            <c:bubble3D val="0"/>
            <c:spPr>
              <a:ln w="28575" cap="rnd" cmpd="sng" algn="ctr">
                <a:noFill/>
                <a:prstDash val="solid"/>
                <a:round/>
              </a:ln>
            </c:spPr>
          </c:dPt>
          <c:dPt>
            <c:idx val="8"/>
            <c:marker>
              <c:spPr>
                <a:noFill/>
                <a:ln w="9525" cap="flat" cmpd="sng" algn="ctr">
                  <a:noFill/>
                  <a:prstDash val="solid"/>
                  <a:round/>
                </a:ln>
              </c:spPr>
            </c:marker>
            <c:bubble3D val="0"/>
            <c:spPr>
              <a:ln w="28575" cap="rnd" cmpd="sng" algn="ctr">
                <a:noFill/>
                <a:prstDash val="solid"/>
                <a:round/>
              </a:ln>
            </c:spPr>
          </c:dPt>
          <c:dPt>
            <c:idx val="9"/>
            <c:marker>
              <c:spPr>
                <a:noFill/>
                <a:ln w="9525" cap="flat" cmpd="sng" algn="ctr">
                  <a:noFill/>
                  <a:prstDash val="solid"/>
                  <a:round/>
                </a:ln>
              </c:spPr>
            </c:marker>
            <c:bubble3D val="0"/>
            <c:spPr>
              <a:ln w="28575" cap="rnd" cmpd="sng" algn="ctr">
                <a:noFill/>
                <a:prstDash val="solid"/>
                <a:round/>
              </a:ln>
            </c:spPr>
          </c:dPt>
          <c:dPt>
            <c:idx val="10"/>
            <c:bubble3D val="0"/>
            <c:spPr>
              <a:ln w="28575" cap="rnd" cmpd="sng" algn="ctr">
                <a:noFill/>
                <a:prstDash val="solid"/>
                <a:round/>
              </a:ln>
            </c:spPr>
          </c:dPt>
          <c:dPt>
            <c:idx val="12"/>
            <c:marker>
              <c:spPr>
                <a:noFill/>
                <a:ln w="9525" cap="flat" cmpd="sng" algn="ctr">
                  <a:noFill/>
                  <a:prstDash val="solid"/>
                  <a:round/>
                </a:ln>
              </c:spPr>
            </c:marker>
            <c:bubble3D val="0"/>
            <c:spPr>
              <a:ln w="28575" cap="rnd" cmpd="sng" algn="ctr">
                <a:noFill/>
                <a:prstDash val="solid"/>
                <a:round/>
              </a:ln>
            </c:spPr>
          </c:dPt>
          <c:dPt>
            <c:idx val="13"/>
            <c:marker>
              <c:spPr>
                <a:noFill/>
                <a:ln w="9525" cap="flat" cmpd="sng" algn="ctr">
                  <a:noFill/>
                  <a:prstDash val="solid"/>
                  <a:round/>
                </a:ln>
              </c:spPr>
            </c:marker>
            <c:bubble3D val="0"/>
            <c:spPr>
              <a:ln w="28575" cap="rnd" cmpd="sng" algn="ctr">
                <a:noFill/>
                <a:prstDash val="solid"/>
                <a:round/>
              </a:ln>
            </c:spPr>
          </c:dPt>
          <c:dPt>
            <c:idx val="14"/>
            <c:bubble3D val="0"/>
            <c:spPr>
              <a:ln w="28575" cap="rnd" cmpd="sng" algn="ctr">
                <a:noFill/>
                <a:prstDash val="solid"/>
                <a:round/>
              </a:ln>
            </c:spPr>
          </c:dPt>
          <c:dPt>
            <c:idx val="15"/>
            <c:marker>
              <c:spPr>
                <a:noFill/>
                <a:ln w="9525" cap="flat" cmpd="sng" algn="ctr">
                  <a:noFill/>
                  <a:prstDash val="solid"/>
                  <a:round/>
                </a:ln>
              </c:spPr>
            </c:marker>
            <c:bubble3D val="0"/>
            <c:spPr>
              <a:ln w="28575" cap="rnd" cmpd="sng" algn="ctr">
                <a:noFill/>
                <a:prstDash val="solid"/>
                <a:round/>
              </a:ln>
            </c:spPr>
          </c:dPt>
          <c:dPt>
            <c:idx val="16"/>
            <c:bubble3D val="0"/>
            <c:spPr>
              <a:ln w="28575" cap="rnd" cmpd="sng" algn="ctr">
                <a:noFill/>
                <a:prstDash val="solid"/>
                <a:round/>
              </a:ln>
            </c:spPr>
          </c:dPt>
          <c:dPt>
            <c:idx val="17"/>
            <c:marker>
              <c:spPr>
                <a:noFill/>
                <a:ln w="9525" cap="flat" cmpd="sng" algn="ctr">
                  <a:noFill/>
                  <a:prstDash val="solid"/>
                  <a:round/>
                </a:ln>
              </c:spPr>
            </c:marker>
            <c:bubble3D val="0"/>
            <c:spPr>
              <a:ln w="28575" cap="rnd" cmpd="sng" algn="ctr">
                <a:noFill/>
                <a:prstDash val="solid"/>
                <a:round/>
              </a:ln>
            </c:spPr>
          </c:dPt>
          <c:dPt>
            <c:idx val="18"/>
            <c:marker>
              <c:spPr>
                <a:noFill/>
                <a:ln w="9525" cap="flat" cmpd="sng" algn="ctr">
                  <a:noFill/>
                  <a:prstDash val="solid"/>
                  <a:round/>
                </a:ln>
              </c:spPr>
            </c:marker>
            <c:bubble3D val="0"/>
            <c:spPr>
              <a:ln w="28575" cap="rnd" cmpd="sng" algn="ctr">
                <a:noFill/>
                <a:prstDash val="solid"/>
                <a:round/>
              </a:ln>
            </c:spPr>
          </c:dPt>
          <c:dPt>
            <c:idx val="19"/>
            <c:bubble3D val="0"/>
            <c:spPr>
              <a:ln w="28575" cap="rnd" cmpd="sng" algn="ctr">
                <a:noFill/>
                <a:prstDash val="solid"/>
                <a:round/>
              </a:ln>
            </c:spPr>
          </c:dPt>
          <c:cat>
            <c:strRef>
              <c:f>Sheet1!$A$2:$A$37</c:f>
              <c:strCache>
                <c:ptCount val="36"/>
                <c:pt idx="0">
                  <c:v>21-07</c:v>
                </c:pt>
                <c:pt idx="1">
                  <c:v>21-08</c:v>
                </c:pt>
                <c:pt idx="2">
                  <c:v>21-09</c:v>
                </c:pt>
                <c:pt idx="3">
                  <c:v>21-10</c:v>
                </c:pt>
                <c:pt idx="4">
                  <c:v>21-11</c:v>
                </c:pt>
                <c:pt idx="5">
                  <c:v>21-12</c:v>
                </c:pt>
                <c:pt idx="6">
                  <c:v>22-01</c:v>
                </c:pt>
                <c:pt idx="7">
                  <c:v>22-02</c:v>
                </c:pt>
                <c:pt idx="8">
                  <c:v>22-03</c:v>
                </c:pt>
                <c:pt idx="9">
                  <c:v>22-04</c:v>
                </c:pt>
                <c:pt idx="10">
                  <c:v>22-05</c:v>
                </c:pt>
                <c:pt idx="11">
                  <c:v>22-06</c:v>
                </c:pt>
                <c:pt idx="12">
                  <c:v>22-07</c:v>
                </c:pt>
                <c:pt idx="13">
                  <c:v>22-08</c:v>
                </c:pt>
                <c:pt idx="14">
                  <c:v>22-09</c:v>
                </c:pt>
                <c:pt idx="15">
                  <c:v>22-10</c:v>
                </c:pt>
                <c:pt idx="16">
                  <c:v>22-11</c:v>
                </c:pt>
                <c:pt idx="17">
                  <c:v>22-12</c:v>
                </c:pt>
                <c:pt idx="18">
                  <c:v>23-01</c:v>
                </c:pt>
                <c:pt idx="19">
                  <c:v>23-02</c:v>
                </c:pt>
                <c:pt idx="20">
                  <c:v>23-03</c:v>
                </c:pt>
                <c:pt idx="21">
                  <c:v>23-04</c:v>
                </c:pt>
                <c:pt idx="22">
                  <c:v>23-05</c:v>
                </c:pt>
                <c:pt idx="23">
                  <c:v>23-06</c:v>
                </c:pt>
                <c:pt idx="24">
                  <c:v>23-07</c:v>
                </c:pt>
                <c:pt idx="25">
                  <c:v>23-08</c:v>
                </c:pt>
                <c:pt idx="26">
                  <c:v>23-09</c:v>
                </c:pt>
                <c:pt idx="27">
                  <c:v>23-10</c:v>
                </c:pt>
                <c:pt idx="28">
                  <c:v>23-11</c:v>
                </c:pt>
                <c:pt idx="29">
                  <c:v>23-12</c:v>
                </c:pt>
                <c:pt idx="30">
                  <c:v>24-01</c:v>
                </c:pt>
                <c:pt idx="31">
                  <c:v>24-02</c:v>
                </c:pt>
                <c:pt idx="32">
                  <c:v>24-03</c:v>
                </c:pt>
                <c:pt idx="33">
                  <c:v>24-04</c:v>
                </c:pt>
                <c:pt idx="34">
                  <c:v>24-05</c:v>
                </c:pt>
                <c:pt idx="35">
                  <c:v>24-06</c:v>
                </c:pt>
              </c:strCache>
            </c:strRef>
          </c:cat>
          <c:val>
            <c:numRef>
              <c:f>Sheet1!$C$2:$C$37</c:f>
              <c:numCache>
                <c:formatCode>General</c:formatCode>
                <c:ptCount val="36"/>
                <c:pt idx="0">
                  <c:v>0</c:v>
                </c:pt>
                <c:pt idx="1">
                  <c:v>0</c:v>
                </c:pt>
                <c:pt idx="2">
                  <c:v>0</c:v>
                </c:pt>
                <c:pt idx="3">
                  <c:v>4.13</c:v>
                </c:pt>
                <c:pt idx="4">
                  <c:v>0</c:v>
                </c:pt>
                <c:pt idx="5">
                  <c:v>1.01</c:v>
                </c:pt>
                <c:pt idx="6">
                  <c:v>0</c:v>
                </c:pt>
                <c:pt idx="7">
                  <c:v>4.46</c:v>
                </c:pt>
                <c:pt idx="8">
                  <c:v>0</c:v>
                </c:pt>
                <c:pt idx="9">
                  <c:v>0</c:v>
                </c:pt>
                <c:pt idx="10">
                  <c:v>0</c:v>
                </c:pt>
                <c:pt idx="11">
                  <c:v>9.91</c:v>
                </c:pt>
                <c:pt idx="12">
                  <c:v>0</c:v>
                </c:pt>
                <c:pt idx="13">
                  <c:v>0</c:v>
                </c:pt>
                <c:pt idx="14">
                  <c:v>6.06</c:v>
                </c:pt>
                <c:pt idx="15">
                  <c:v>0</c:v>
                </c:pt>
                <c:pt idx="16">
                  <c:v>10.02</c:v>
                </c:pt>
                <c:pt idx="17">
                  <c:v>0</c:v>
                </c:pt>
                <c:pt idx="18">
                  <c:v>0</c:v>
                </c:pt>
                <c:pt idx="19">
                  <c:v>7.81</c:v>
                </c:pt>
                <c:pt idx="20">
                  <c:v>4.43</c:v>
                </c:pt>
                <c:pt idx="21">
                  <c:v>4.95</c:v>
                </c:pt>
                <c:pt idx="22">
                  <c:v>15</c:v>
                </c:pt>
                <c:pt idx="23">
                  <c:v>9.11</c:v>
                </c:pt>
                <c:pt idx="24">
                  <c:v>9.11</c:v>
                </c:pt>
                <c:pt idx="25">
                  <c:v>12.72</c:v>
                </c:pt>
                <c:pt idx="26">
                  <c:v>4.0999999999999996</c:v>
                </c:pt>
                <c:pt idx="27">
                  <c:v>9.24</c:v>
                </c:pt>
                <c:pt idx="28">
                  <c:v>0</c:v>
                </c:pt>
                <c:pt idx="29">
                  <c:v>2.5099999999999998</c:v>
                </c:pt>
                <c:pt idx="30">
                  <c:v>8.9600000000000009</c:v>
                </c:pt>
                <c:pt idx="31">
                  <c:v>5.53</c:v>
                </c:pt>
                <c:pt idx="32">
                  <c:v>8.7200000000000006</c:v>
                </c:pt>
                <c:pt idx="33">
                  <c:v>0</c:v>
                </c:pt>
                <c:pt idx="34">
                  <c:v>0</c:v>
                </c:pt>
                <c:pt idx="35">
                  <c:v>0.44</c:v>
                </c:pt>
              </c:numCache>
            </c:numRef>
          </c:val>
          <c:smooth val="1"/>
        </c:ser>
        <c:dLbls>
          <c:showLegendKey val="0"/>
          <c:showVal val="0"/>
          <c:showCatName val="0"/>
          <c:showSerName val="0"/>
          <c:showPercent val="0"/>
          <c:showBubbleSize val="0"/>
        </c:dLbls>
        <c:marker val="1"/>
        <c:smooth val="0"/>
        <c:axId val="273406976"/>
        <c:axId val="273412864"/>
      </c:lineChart>
      <c:catAx>
        <c:axId val="273403904"/>
        <c:scaling>
          <c:orientation val="minMax"/>
        </c:scaling>
        <c:delete val="0"/>
        <c:axPos val="b"/>
        <c:numFmt formatCode="General" sourceLinked="1"/>
        <c:majorTickMark val="in"/>
        <c:minorTickMark val="none"/>
        <c:tickLblPos val="nextTo"/>
        <c:txPr>
          <a:bodyPr rot="-360000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273405440"/>
        <c:crosses val="autoZero"/>
        <c:auto val="0"/>
        <c:lblAlgn val="ctr"/>
        <c:lblOffset val="100"/>
        <c:noMultiLvlLbl val="0"/>
      </c:catAx>
      <c:valAx>
        <c:axId val="273405440"/>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273403904"/>
        <c:crosses val="autoZero"/>
        <c:crossBetween val="between"/>
      </c:valAx>
      <c:catAx>
        <c:axId val="273406976"/>
        <c:scaling>
          <c:orientation val="minMax"/>
        </c:scaling>
        <c:delete val="1"/>
        <c:axPos val="b"/>
        <c:numFmt formatCode="General" sourceLinked="1"/>
        <c:majorTickMark val="out"/>
        <c:minorTickMark val="none"/>
        <c:tickLblPos val="nextTo"/>
        <c:crossAx val="273412864"/>
        <c:crosses val="autoZero"/>
        <c:auto val="0"/>
        <c:lblAlgn val="ctr"/>
        <c:lblOffset val="100"/>
        <c:noMultiLvlLbl val="0"/>
      </c:catAx>
      <c:valAx>
        <c:axId val="273412864"/>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273406976"/>
        <c:crosses val="max"/>
        <c:crossBetween val="between"/>
      </c:valAx>
    </c:plotArea>
    <c:legend>
      <c:legendPos val="t"/>
      <c:overlay val="0"/>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d50e757a-0ab5-4f31-959d-7cae6e3956bb}"/>
      </c:ext>
    </c:extLst>
  </c:chart>
  <c:spPr>
    <a:solidFill>
      <a:srgbClr val="FFFFFF"/>
    </a:solidFill>
  </c:spPr>
  <c:txPr>
    <a:bodyPr/>
    <a:lstStyle/>
    <a:p>
      <a:pPr>
        <a:defRPr lang="zh-CN" sz="900" b="0">
          <a:latin typeface="楷体" panose="02010609060101010101" charset="-122"/>
          <a:ea typeface="楷体" panose="02010609060101010101" charset="-122"/>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累计供应面积</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cat>
            <c:strRef>
              <c:f>Sheet1!$A$2:$A$8</c:f>
              <c:strCache>
                <c:ptCount val="7"/>
                <c:pt idx="0">
                  <c:v>2018:1-6</c:v>
                </c:pt>
                <c:pt idx="1">
                  <c:v>2019:1-6</c:v>
                </c:pt>
                <c:pt idx="2">
                  <c:v>2020:1-6</c:v>
                </c:pt>
                <c:pt idx="3">
                  <c:v>2021:1-6</c:v>
                </c:pt>
                <c:pt idx="4">
                  <c:v>2022:1-6</c:v>
                </c:pt>
                <c:pt idx="5">
                  <c:v>2023:1-6</c:v>
                </c:pt>
                <c:pt idx="6">
                  <c:v>2024:1-6</c:v>
                </c:pt>
              </c:strCache>
            </c:strRef>
          </c:cat>
          <c:val>
            <c:numRef>
              <c:f>Sheet1!$B$2:$B$8</c:f>
              <c:numCache>
                <c:formatCode>General</c:formatCode>
                <c:ptCount val="7"/>
                <c:pt idx="0">
                  <c:v>158.80000000000001</c:v>
                </c:pt>
                <c:pt idx="1">
                  <c:v>256.2</c:v>
                </c:pt>
                <c:pt idx="2">
                  <c:v>302.7</c:v>
                </c:pt>
                <c:pt idx="3">
                  <c:v>329</c:v>
                </c:pt>
                <c:pt idx="4">
                  <c:v>351.3</c:v>
                </c:pt>
                <c:pt idx="5">
                  <c:v>220.2</c:v>
                </c:pt>
                <c:pt idx="6">
                  <c:v>199.7</c:v>
                </c:pt>
              </c:numCache>
            </c:numRef>
          </c:val>
        </c:ser>
        <c:dLbls>
          <c:showLegendKey val="0"/>
          <c:showVal val="0"/>
          <c:showCatName val="0"/>
          <c:showSerName val="0"/>
          <c:showPercent val="0"/>
          <c:showBubbleSize val="0"/>
        </c:dLbls>
        <c:gapWidth val="300"/>
        <c:overlap val="100"/>
        <c:axId val="273577088"/>
        <c:axId val="273579008"/>
      </c:barChart>
      <c:lineChart>
        <c:grouping val="standard"/>
        <c:varyColors val="0"/>
        <c:ser>
          <c:idx val="1"/>
          <c:order val="1"/>
          <c:tx>
            <c:strRef>
              <c:f>Sheet1!$C$1</c:f>
              <c:strCache>
                <c:ptCount val="1"/>
                <c:pt idx="0">
                  <c:v>同比</c:v>
                </c:pt>
              </c:strCache>
            </c:strRef>
          </c:tx>
          <c:spPr>
            <a:ln w="28575" cap="rnd" cmpd="sng" algn="ctr">
              <a:solidFill>
                <a:srgbClr val="FFC107"/>
              </a:solidFill>
              <a:prstDash val="solid"/>
              <a:round/>
            </a:ln>
          </c:spPr>
          <c:marker>
            <c:symbol val="circle"/>
            <c:size val="4"/>
            <c:spPr>
              <a:solidFill>
                <a:srgbClr val="FFC107"/>
              </a:solidFill>
              <a:ln w="9525" cap="flat" cmpd="sng" algn="ctr">
                <a:solidFill>
                  <a:srgbClr val="FFC107"/>
                </a:solidFill>
                <a:prstDash val="solid"/>
                <a:round/>
              </a:ln>
            </c:spPr>
          </c:marker>
          <c:cat>
            <c:strRef>
              <c:f>Sheet1!$A$2:$A$8</c:f>
              <c:strCache>
                <c:ptCount val="7"/>
                <c:pt idx="0">
                  <c:v>2018:1-6</c:v>
                </c:pt>
                <c:pt idx="1">
                  <c:v>2019:1-6</c:v>
                </c:pt>
                <c:pt idx="2">
                  <c:v>2020:1-6</c:v>
                </c:pt>
                <c:pt idx="3">
                  <c:v>2021:1-6</c:v>
                </c:pt>
                <c:pt idx="4">
                  <c:v>2022:1-6</c:v>
                </c:pt>
                <c:pt idx="5">
                  <c:v>2023:1-6</c:v>
                </c:pt>
                <c:pt idx="6">
                  <c:v>2024:1-6</c:v>
                </c:pt>
              </c:strCache>
            </c:strRef>
          </c:cat>
          <c:val>
            <c:numRef>
              <c:f>Sheet1!$C$2:$C$8</c:f>
              <c:numCache>
                <c:formatCode>General</c:formatCode>
                <c:ptCount val="7"/>
                <c:pt idx="0">
                  <c:v>14</c:v>
                </c:pt>
                <c:pt idx="1">
                  <c:v>61.3</c:v>
                </c:pt>
                <c:pt idx="2">
                  <c:v>18.100000000000001</c:v>
                </c:pt>
                <c:pt idx="3">
                  <c:v>8.6999999999999993</c:v>
                </c:pt>
                <c:pt idx="4">
                  <c:v>6.8</c:v>
                </c:pt>
                <c:pt idx="5">
                  <c:v>-37.299999999999997</c:v>
                </c:pt>
                <c:pt idx="6">
                  <c:v>-9.3000000000000007</c:v>
                </c:pt>
              </c:numCache>
            </c:numRef>
          </c:val>
          <c:smooth val="1"/>
        </c:ser>
        <c:dLbls>
          <c:showLegendKey val="0"/>
          <c:showVal val="0"/>
          <c:showCatName val="0"/>
          <c:showSerName val="0"/>
          <c:showPercent val="0"/>
          <c:showBubbleSize val="0"/>
        </c:dLbls>
        <c:marker val="1"/>
        <c:smooth val="0"/>
        <c:axId val="273580800"/>
        <c:axId val="273582336"/>
      </c:lineChart>
      <c:catAx>
        <c:axId val="27357708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273579008"/>
        <c:crosses val="autoZero"/>
        <c:auto val="0"/>
        <c:lblAlgn val="ctr"/>
        <c:lblOffset val="100"/>
        <c:noMultiLvlLbl val="0"/>
      </c:catAx>
      <c:valAx>
        <c:axId val="273579008"/>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273577088"/>
        <c:crosses val="autoZero"/>
        <c:crossBetween val="between"/>
      </c:valAx>
      <c:catAx>
        <c:axId val="273580800"/>
        <c:scaling>
          <c:orientation val="minMax"/>
        </c:scaling>
        <c:delete val="1"/>
        <c:axPos val="b"/>
        <c:numFmt formatCode="General" sourceLinked="1"/>
        <c:majorTickMark val="out"/>
        <c:minorTickMark val="none"/>
        <c:tickLblPos val="nextTo"/>
        <c:crossAx val="273582336"/>
        <c:crosses val="autoZero"/>
        <c:auto val="0"/>
        <c:lblAlgn val="ctr"/>
        <c:lblOffset val="100"/>
        <c:noMultiLvlLbl val="0"/>
      </c:catAx>
      <c:valAx>
        <c:axId val="273582336"/>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273580800"/>
        <c:crosses val="max"/>
        <c:crossBetween val="between"/>
      </c:valAx>
    </c:plotArea>
    <c:legend>
      <c:legendPos val="t"/>
      <c:overlay val="0"/>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db69a1cd-60bf-40c1-99d7-c47e7ac1cbd5}"/>
      </c:ext>
    </c:extLst>
  </c:chart>
  <c:spPr>
    <a:solidFill>
      <a:srgbClr val="FFFFFF"/>
    </a:solidFill>
  </c:spPr>
  <c:txPr>
    <a:bodyPr/>
    <a:lstStyle/>
    <a:p>
      <a:pPr>
        <a:defRPr lang="zh-CN" sz="895" b="0">
          <a:latin typeface="楷体" panose="02010609060101010101" charset="-122"/>
          <a:ea typeface="楷体" panose="02010609060101010101" charset="-122"/>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新建住宅均价</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dPt>
            <c:idx val="7"/>
            <c:invertIfNegative val="0"/>
            <c:bubble3D val="0"/>
            <c:spPr>
              <a:solidFill>
                <a:srgbClr val="305BA6"/>
              </a:solidFill>
            </c:spPr>
          </c:dPt>
          <c:dPt>
            <c:idx val="8"/>
            <c:invertIfNegative val="0"/>
            <c:bubble3D val="0"/>
            <c:spPr>
              <a:solidFill>
                <a:srgbClr val="305BA6"/>
              </a:solidFill>
            </c:spPr>
          </c:dPt>
          <c:dPt>
            <c:idx val="9"/>
            <c:invertIfNegative val="0"/>
            <c:bubble3D val="0"/>
            <c:spPr>
              <a:solidFill>
                <a:srgbClr val="305BA6"/>
              </a:solidFill>
            </c:spPr>
          </c:dPt>
          <c:dPt>
            <c:idx val="10"/>
            <c:invertIfNegative val="0"/>
            <c:bubble3D val="0"/>
            <c:spPr>
              <a:solidFill>
                <a:srgbClr val="305BA6"/>
              </a:solidFill>
            </c:spPr>
          </c:dPt>
          <c:dPt>
            <c:idx val="11"/>
            <c:invertIfNegative val="0"/>
            <c:bubble3D val="0"/>
            <c:spPr>
              <a:solidFill>
                <a:srgbClr val="305BA6"/>
              </a:solidFill>
            </c:spPr>
          </c:dPt>
          <c:dPt>
            <c:idx val="12"/>
            <c:invertIfNegative val="0"/>
            <c:bubble3D val="0"/>
            <c:spPr>
              <a:solidFill>
                <a:srgbClr val="305BA6"/>
              </a:solidFill>
            </c:spPr>
          </c:dPt>
          <c:dPt>
            <c:idx val="13"/>
            <c:invertIfNegative val="0"/>
            <c:bubble3D val="0"/>
            <c:spPr>
              <a:solidFill>
                <a:srgbClr val="305BA6"/>
              </a:solidFill>
            </c:spPr>
          </c:dPt>
          <c:dPt>
            <c:idx val="14"/>
            <c:invertIfNegative val="0"/>
            <c:bubble3D val="0"/>
            <c:spPr>
              <a:solidFill>
                <a:srgbClr val="305BA6"/>
              </a:solidFill>
            </c:spPr>
          </c:dPt>
          <c:dPt>
            <c:idx val="15"/>
            <c:invertIfNegative val="0"/>
            <c:bubble3D val="0"/>
            <c:spPr>
              <a:solidFill>
                <a:srgbClr val="305BA6"/>
              </a:solidFill>
            </c:spPr>
          </c:dPt>
          <c:dPt>
            <c:idx val="16"/>
            <c:invertIfNegative val="0"/>
            <c:bubble3D val="0"/>
            <c:spPr>
              <a:solidFill>
                <a:srgbClr val="305BA6"/>
              </a:solidFill>
            </c:spPr>
          </c:dPt>
          <c:dPt>
            <c:idx val="17"/>
            <c:invertIfNegative val="0"/>
            <c:bubble3D val="0"/>
            <c:spPr>
              <a:solidFill>
                <a:srgbClr val="305BA6"/>
              </a:solidFill>
            </c:spPr>
          </c:dPt>
          <c:dPt>
            <c:idx val="18"/>
            <c:invertIfNegative val="0"/>
            <c:bubble3D val="0"/>
            <c:spPr>
              <a:solidFill>
                <a:srgbClr val="305BA6"/>
              </a:solidFill>
            </c:spPr>
          </c:dPt>
          <c:dPt>
            <c:idx val="19"/>
            <c:invertIfNegative val="0"/>
            <c:bubble3D val="0"/>
            <c:spPr>
              <a:solidFill>
                <a:srgbClr val="305BA6"/>
              </a:solidFill>
            </c:spPr>
          </c:dPt>
          <c:dPt>
            <c:idx val="20"/>
            <c:invertIfNegative val="0"/>
            <c:bubble3D val="0"/>
            <c:spPr>
              <a:solidFill>
                <a:srgbClr val="305BA6"/>
              </a:solidFill>
            </c:spPr>
          </c:dPt>
          <c:dPt>
            <c:idx val="21"/>
            <c:invertIfNegative val="0"/>
            <c:bubble3D val="0"/>
            <c:spPr>
              <a:solidFill>
                <a:srgbClr val="305BA6"/>
              </a:solidFill>
            </c:spPr>
          </c:dPt>
          <c:dPt>
            <c:idx val="22"/>
            <c:invertIfNegative val="0"/>
            <c:bubble3D val="0"/>
            <c:spPr>
              <a:solidFill>
                <a:srgbClr val="305BA6"/>
              </a:solidFill>
            </c:spPr>
          </c:dPt>
          <c:dPt>
            <c:idx val="23"/>
            <c:invertIfNegative val="0"/>
            <c:bubble3D val="0"/>
            <c:spPr>
              <a:solidFill>
                <a:srgbClr val="305BA6"/>
              </a:solidFill>
            </c:spPr>
          </c:dPt>
          <c:dPt>
            <c:idx val="24"/>
            <c:invertIfNegative val="0"/>
            <c:bubble3D val="0"/>
            <c:spPr>
              <a:solidFill>
                <a:srgbClr val="305BA6"/>
              </a:solidFill>
            </c:spPr>
          </c:dPt>
          <c:dPt>
            <c:idx val="25"/>
            <c:invertIfNegative val="0"/>
            <c:bubble3D val="0"/>
            <c:spPr>
              <a:solidFill>
                <a:srgbClr val="305BA6"/>
              </a:solidFill>
            </c:spPr>
          </c:dPt>
          <c:dPt>
            <c:idx val="26"/>
            <c:invertIfNegative val="0"/>
            <c:bubble3D val="0"/>
            <c:spPr>
              <a:solidFill>
                <a:srgbClr val="305BA6"/>
              </a:solidFill>
            </c:spPr>
          </c:dPt>
          <c:dPt>
            <c:idx val="27"/>
            <c:invertIfNegative val="0"/>
            <c:bubble3D val="0"/>
            <c:spPr>
              <a:solidFill>
                <a:srgbClr val="305BA6"/>
              </a:solidFill>
            </c:spPr>
          </c:dPt>
          <c:dPt>
            <c:idx val="28"/>
            <c:invertIfNegative val="0"/>
            <c:bubble3D val="0"/>
            <c:spPr>
              <a:solidFill>
                <a:srgbClr val="305BA6"/>
              </a:solidFill>
            </c:spPr>
          </c:dPt>
          <c:dPt>
            <c:idx val="29"/>
            <c:invertIfNegative val="0"/>
            <c:bubble3D val="0"/>
            <c:spPr>
              <a:solidFill>
                <a:srgbClr val="305BA6"/>
              </a:solidFill>
            </c:spPr>
          </c:dPt>
          <c:dPt>
            <c:idx val="30"/>
            <c:invertIfNegative val="0"/>
            <c:bubble3D val="0"/>
            <c:spPr>
              <a:solidFill>
                <a:srgbClr val="305BA6"/>
              </a:solidFill>
            </c:spPr>
          </c:dPt>
          <c:dPt>
            <c:idx val="31"/>
            <c:invertIfNegative val="0"/>
            <c:bubble3D val="0"/>
            <c:spPr>
              <a:solidFill>
                <a:srgbClr val="305BA6"/>
              </a:solidFill>
            </c:spPr>
          </c:dPt>
          <c:dPt>
            <c:idx val="32"/>
            <c:invertIfNegative val="0"/>
            <c:bubble3D val="0"/>
            <c:spPr>
              <a:solidFill>
                <a:srgbClr val="305BA6"/>
              </a:solidFill>
            </c:spPr>
          </c:dPt>
          <c:dPt>
            <c:idx val="33"/>
            <c:invertIfNegative val="0"/>
            <c:bubble3D val="0"/>
            <c:spPr>
              <a:solidFill>
                <a:srgbClr val="305BA6"/>
              </a:solidFill>
            </c:spPr>
          </c:dPt>
          <c:dPt>
            <c:idx val="34"/>
            <c:invertIfNegative val="0"/>
            <c:bubble3D val="0"/>
            <c:spPr>
              <a:solidFill>
                <a:srgbClr val="305BA6"/>
              </a:solidFill>
            </c:spPr>
          </c:dPt>
          <c:dPt>
            <c:idx val="35"/>
            <c:invertIfNegative val="0"/>
            <c:bubble3D val="0"/>
            <c:spPr>
              <a:solidFill>
                <a:srgbClr val="305BA6"/>
              </a:solidFill>
            </c:spPr>
          </c:dPt>
          <c:dPt>
            <c:idx val="36"/>
            <c:invertIfNegative val="0"/>
            <c:bubble3D val="0"/>
            <c:spPr>
              <a:solidFill>
                <a:srgbClr val="305BA6"/>
              </a:solidFill>
            </c:spPr>
          </c:dPt>
          <c:dPt>
            <c:idx val="37"/>
            <c:invertIfNegative val="0"/>
            <c:bubble3D val="0"/>
            <c:spPr>
              <a:solidFill>
                <a:srgbClr val="305BA6"/>
              </a:solidFill>
            </c:spPr>
          </c:dPt>
          <c:dPt>
            <c:idx val="38"/>
            <c:invertIfNegative val="0"/>
            <c:bubble3D val="0"/>
            <c:spPr>
              <a:solidFill>
                <a:srgbClr val="305BA6"/>
              </a:solidFill>
            </c:spPr>
          </c:dPt>
          <c:dPt>
            <c:idx val="39"/>
            <c:invertIfNegative val="0"/>
            <c:bubble3D val="0"/>
            <c:spPr>
              <a:solidFill>
                <a:srgbClr val="305BA6"/>
              </a:solidFill>
            </c:spPr>
          </c:dPt>
          <c:dPt>
            <c:idx val="40"/>
            <c:invertIfNegative val="0"/>
            <c:bubble3D val="0"/>
            <c:spPr>
              <a:solidFill>
                <a:srgbClr val="305BA6"/>
              </a:solidFill>
            </c:spPr>
          </c:dPt>
          <c:dPt>
            <c:idx val="41"/>
            <c:invertIfNegative val="0"/>
            <c:bubble3D val="0"/>
            <c:spPr>
              <a:solidFill>
                <a:srgbClr val="305BA6"/>
              </a:solidFill>
            </c:spPr>
          </c:dPt>
          <c:dPt>
            <c:idx val="42"/>
            <c:invertIfNegative val="0"/>
            <c:bubble3D val="0"/>
            <c:spPr>
              <a:solidFill>
                <a:srgbClr val="305BA6"/>
              </a:solidFill>
            </c:spPr>
          </c:dPt>
          <c:dPt>
            <c:idx val="43"/>
            <c:invertIfNegative val="0"/>
            <c:bubble3D val="0"/>
            <c:spPr>
              <a:solidFill>
                <a:srgbClr val="305BA6"/>
              </a:solidFill>
            </c:spPr>
          </c:dPt>
          <c:dPt>
            <c:idx val="44"/>
            <c:invertIfNegative val="0"/>
            <c:bubble3D val="0"/>
            <c:spPr>
              <a:solidFill>
                <a:srgbClr val="305BA6"/>
              </a:solidFill>
            </c:spPr>
          </c:dPt>
          <c:dPt>
            <c:idx val="45"/>
            <c:invertIfNegative val="0"/>
            <c:bubble3D val="0"/>
            <c:spPr>
              <a:solidFill>
                <a:srgbClr val="305BA6"/>
              </a:solidFill>
            </c:spPr>
          </c:dPt>
          <c:dPt>
            <c:idx val="46"/>
            <c:invertIfNegative val="0"/>
            <c:bubble3D val="0"/>
            <c:spPr>
              <a:solidFill>
                <a:srgbClr val="305BA6"/>
              </a:solidFill>
            </c:spPr>
          </c:dPt>
          <c:dPt>
            <c:idx val="47"/>
            <c:invertIfNegative val="0"/>
            <c:bubble3D val="0"/>
            <c:spPr>
              <a:solidFill>
                <a:srgbClr val="305BA6"/>
              </a:solidFill>
            </c:spPr>
          </c:dPt>
          <c:dPt>
            <c:idx val="48"/>
            <c:invertIfNegative val="0"/>
            <c:bubble3D val="0"/>
            <c:spPr>
              <a:solidFill>
                <a:srgbClr val="305BA6"/>
              </a:solidFill>
            </c:spPr>
          </c:dPt>
          <c:dPt>
            <c:idx val="49"/>
            <c:invertIfNegative val="0"/>
            <c:bubble3D val="0"/>
            <c:spPr>
              <a:solidFill>
                <a:srgbClr val="305BA6"/>
              </a:solidFill>
            </c:spPr>
          </c:dPt>
          <c:dPt>
            <c:idx val="50"/>
            <c:invertIfNegative val="0"/>
            <c:bubble3D val="0"/>
            <c:spPr>
              <a:solidFill>
                <a:srgbClr val="305BA6"/>
              </a:solidFill>
            </c:spPr>
          </c:dPt>
          <c:dPt>
            <c:idx val="51"/>
            <c:invertIfNegative val="0"/>
            <c:bubble3D val="0"/>
            <c:spPr>
              <a:solidFill>
                <a:srgbClr val="305BA6"/>
              </a:solidFill>
            </c:spPr>
          </c:dPt>
          <c:dPt>
            <c:idx val="52"/>
            <c:invertIfNegative val="0"/>
            <c:bubble3D val="0"/>
            <c:spPr>
              <a:solidFill>
                <a:srgbClr val="305BA6"/>
              </a:solidFill>
            </c:spPr>
          </c:dPt>
          <c:dPt>
            <c:idx val="53"/>
            <c:invertIfNegative val="0"/>
            <c:bubble3D val="0"/>
            <c:spPr>
              <a:solidFill>
                <a:srgbClr val="305BA6"/>
              </a:solidFill>
            </c:spPr>
          </c:dPt>
          <c:dPt>
            <c:idx val="54"/>
            <c:invertIfNegative val="0"/>
            <c:bubble3D val="0"/>
            <c:spPr>
              <a:solidFill>
                <a:srgbClr val="305BA6"/>
              </a:solidFill>
            </c:spPr>
          </c:dPt>
          <c:dPt>
            <c:idx val="55"/>
            <c:invertIfNegative val="0"/>
            <c:bubble3D val="0"/>
            <c:spPr>
              <a:solidFill>
                <a:srgbClr val="305BA6"/>
              </a:solidFill>
            </c:spPr>
          </c:dPt>
          <c:dPt>
            <c:idx val="56"/>
            <c:invertIfNegative val="0"/>
            <c:bubble3D val="0"/>
            <c:spPr>
              <a:solidFill>
                <a:srgbClr val="305BA6"/>
              </a:solidFill>
            </c:spPr>
          </c:dPt>
          <c:dPt>
            <c:idx val="57"/>
            <c:invertIfNegative val="0"/>
            <c:bubble3D val="0"/>
            <c:spPr>
              <a:solidFill>
                <a:srgbClr val="305BA6"/>
              </a:solidFill>
            </c:spPr>
          </c:dPt>
          <c:dPt>
            <c:idx val="58"/>
            <c:invertIfNegative val="0"/>
            <c:bubble3D val="0"/>
            <c:spPr>
              <a:solidFill>
                <a:srgbClr val="305BA6"/>
              </a:solidFill>
            </c:spPr>
          </c:dPt>
          <c:dPt>
            <c:idx val="59"/>
            <c:invertIfNegative val="0"/>
            <c:bubble3D val="0"/>
            <c:spPr>
              <a:solidFill>
                <a:srgbClr val="305BA6"/>
              </a:solidFill>
            </c:spPr>
          </c:dPt>
          <c:cat>
            <c:strRef>
              <c:f>Sheet1!$A$2:$A$61</c:f>
              <c:strCache>
                <c:ptCount val="60"/>
                <c:pt idx="0">
                  <c:v>19-07</c:v>
                </c:pt>
                <c:pt idx="1">
                  <c:v>19-08</c:v>
                </c:pt>
                <c:pt idx="2">
                  <c:v>19-09</c:v>
                </c:pt>
                <c:pt idx="3">
                  <c:v>19-10</c:v>
                </c:pt>
                <c:pt idx="4">
                  <c:v>19-11</c:v>
                </c:pt>
                <c:pt idx="5">
                  <c:v>19-12</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21-01</c:v>
                </c:pt>
                <c:pt idx="19">
                  <c:v>21-02</c:v>
                </c:pt>
                <c:pt idx="20">
                  <c:v>21-03</c:v>
                </c:pt>
                <c:pt idx="21">
                  <c:v>21-04</c:v>
                </c:pt>
                <c:pt idx="22">
                  <c:v>21-05</c:v>
                </c:pt>
                <c:pt idx="23">
                  <c:v>21-06</c:v>
                </c:pt>
                <c:pt idx="24">
                  <c:v>21-07</c:v>
                </c:pt>
                <c:pt idx="25">
                  <c:v>21-08</c:v>
                </c:pt>
                <c:pt idx="26">
                  <c:v>21-09</c:v>
                </c:pt>
                <c:pt idx="27">
                  <c:v>21-10</c:v>
                </c:pt>
                <c:pt idx="28">
                  <c:v>21-11</c:v>
                </c:pt>
                <c:pt idx="29">
                  <c:v>21-12</c:v>
                </c:pt>
                <c:pt idx="30">
                  <c:v>22-01</c:v>
                </c:pt>
                <c:pt idx="31">
                  <c:v>22-02</c:v>
                </c:pt>
                <c:pt idx="32">
                  <c:v>22-03</c:v>
                </c:pt>
                <c:pt idx="33">
                  <c:v>22-04</c:v>
                </c:pt>
                <c:pt idx="34">
                  <c:v>22-05</c:v>
                </c:pt>
                <c:pt idx="35">
                  <c:v>22-06</c:v>
                </c:pt>
                <c:pt idx="36">
                  <c:v>22-07</c:v>
                </c:pt>
                <c:pt idx="37">
                  <c:v>22-08</c:v>
                </c:pt>
                <c:pt idx="38">
                  <c:v>22-09</c:v>
                </c:pt>
                <c:pt idx="39">
                  <c:v>22-10</c:v>
                </c:pt>
                <c:pt idx="40">
                  <c:v>22-11</c:v>
                </c:pt>
                <c:pt idx="41">
                  <c:v>22-12</c:v>
                </c:pt>
                <c:pt idx="42">
                  <c:v>23-01</c:v>
                </c:pt>
                <c:pt idx="43">
                  <c:v>23-02</c:v>
                </c:pt>
                <c:pt idx="44">
                  <c:v>23-03</c:v>
                </c:pt>
                <c:pt idx="45">
                  <c:v>23-04</c:v>
                </c:pt>
                <c:pt idx="46">
                  <c:v>23-05</c:v>
                </c:pt>
                <c:pt idx="47">
                  <c:v>23-06</c:v>
                </c:pt>
                <c:pt idx="48">
                  <c:v>23-07</c:v>
                </c:pt>
                <c:pt idx="49">
                  <c:v>23-08</c:v>
                </c:pt>
                <c:pt idx="50">
                  <c:v>23-09</c:v>
                </c:pt>
                <c:pt idx="51">
                  <c:v>23-10</c:v>
                </c:pt>
                <c:pt idx="52">
                  <c:v>23-11</c:v>
                </c:pt>
                <c:pt idx="53">
                  <c:v>23-12</c:v>
                </c:pt>
                <c:pt idx="54">
                  <c:v>24-01</c:v>
                </c:pt>
                <c:pt idx="55">
                  <c:v>24-02</c:v>
                </c:pt>
                <c:pt idx="56">
                  <c:v>24-03</c:v>
                </c:pt>
                <c:pt idx="57">
                  <c:v>24-04</c:v>
                </c:pt>
                <c:pt idx="58">
                  <c:v>24-05</c:v>
                </c:pt>
                <c:pt idx="59">
                  <c:v>24-06</c:v>
                </c:pt>
              </c:strCache>
            </c:strRef>
          </c:cat>
          <c:val>
            <c:numRef>
              <c:f>Sheet1!$B$2:$B$61</c:f>
              <c:numCache>
                <c:formatCode>General</c:formatCode>
                <c:ptCount val="60"/>
                <c:pt idx="0">
                  <c:v>42891</c:v>
                </c:pt>
                <c:pt idx="1">
                  <c:v>43067</c:v>
                </c:pt>
                <c:pt idx="2">
                  <c:v>43205</c:v>
                </c:pt>
                <c:pt idx="3">
                  <c:v>43201</c:v>
                </c:pt>
                <c:pt idx="4">
                  <c:v>43092</c:v>
                </c:pt>
                <c:pt idx="5">
                  <c:v>42858</c:v>
                </c:pt>
                <c:pt idx="6">
                  <c:v>42730</c:v>
                </c:pt>
                <c:pt idx="7">
                  <c:v>42585</c:v>
                </c:pt>
                <c:pt idx="8">
                  <c:v>42619</c:v>
                </c:pt>
                <c:pt idx="9">
                  <c:v>42564</c:v>
                </c:pt>
                <c:pt idx="10">
                  <c:v>42559</c:v>
                </c:pt>
                <c:pt idx="11">
                  <c:v>42640</c:v>
                </c:pt>
                <c:pt idx="12">
                  <c:v>42804</c:v>
                </c:pt>
                <c:pt idx="13">
                  <c:v>43014</c:v>
                </c:pt>
                <c:pt idx="14">
                  <c:v>42973</c:v>
                </c:pt>
                <c:pt idx="15">
                  <c:v>43307</c:v>
                </c:pt>
                <c:pt idx="16">
                  <c:v>43529</c:v>
                </c:pt>
                <c:pt idx="17">
                  <c:v>43555</c:v>
                </c:pt>
                <c:pt idx="18">
                  <c:v>43529</c:v>
                </c:pt>
                <c:pt idx="19">
                  <c:v>43589</c:v>
                </c:pt>
                <c:pt idx="20">
                  <c:v>43621</c:v>
                </c:pt>
                <c:pt idx="21">
                  <c:v>43676</c:v>
                </c:pt>
                <c:pt idx="22">
                  <c:v>43825</c:v>
                </c:pt>
                <c:pt idx="23">
                  <c:v>43939</c:v>
                </c:pt>
                <c:pt idx="24">
                  <c:v>44023</c:v>
                </c:pt>
                <c:pt idx="25">
                  <c:v>44085</c:v>
                </c:pt>
                <c:pt idx="26">
                  <c:v>44168</c:v>
                </c:pt>
                <c:pt idx="27">
                  <c:v>44327</c:v>
                </c:pt>
                <c:pt idx="28">
                  <c:v>44316</c:v>
                </c:pt>
                <c:pt idx="29">
                  <c:v>44302</c:v>
                </c:pt>
                <c:pt idx="30">
                  <c:v>44336</c:v>
                </c:pt>
                <c:pt idx="31">
                  <c:v>44347</c:v>
                </c:pt>
                <c:pt idx="32">
                  <c:v>44347</c:v>
                </c:pt>
                <c:pt idx="33">
                  <c:v>44405</c:v>
                </c:pt>
                <c:pt idx="34">
                  <c:v>44447</c:v>
                </c:pt>
                <c:pt idx="35">
                  <c:v>44473</c:v>
                </c:pt>
                <c:pt idx="36">
                  <c:v>44591</c:v>
                </c:pt>
                <c:pt idx="37">
                  <c:v>44611</c:v>
                </c:pt>
                <c:pt idx="38">
                  <c:v>44657</c:v>
                </c:pt>
                <c:pt idx="39">
                  <c:v>44685</c:v>
                </c:pt>
                <c:pt idx="40">
                  <c:v>44700</c:v>
                </c:pt>
                <c:pt idx="41">
                  <c:v>44681</c:v>
                </c:pt>
                <c:pt idx="42">
                  <c:v>44685</c:v>
                </c:pt>
                <c:pt idx="43">
                  <c:v>44692</c:v>
                </c:pt>
                <c:pt idx="44">
                  <c:v>44708</c:v>
                </c:pt>
                <c:pt idx="45">
                  <c:v>44719</c:v>
                </c:pt>
                <c:pt idx="46">
                  <c:v>44735</c:v>
                </c:pt>
                <c:pt idx="47">
                  <c:v>44748</c:v>
                </c:pt>
                <c:pt idx="48">
                  <c:v>44767</c:v>
                </c:pt>
                <c:pt idx="49">
                  <c:v>44780</c:v>
                </c:pt>
                <c:pt idx="50">
                  <c:v>44837</c:v>
                </c:pt>
                <c:pt idx="51">
                  <c:v>44886</c:v>
                </c:pt>
                <c:pt idx="52">
                  <c:v>44912</c:v>
                </c:pt>
                <c:pt idx="53">
                  <c:v>44990</c:v>
                </c:pt>
                <c:pt idx="54">
                  <c:v>45054</c:v>
                </c:pt>
                <c:pt idx="55">
                  <c:v>45131</c:v>
                </c:pt>
                <c:pt idx="56">
                  <c:v>45259</c:v>
                </c:pt>
                <c:pt idx="57">
                  <c:v>45489</c:v>
                </c:pt>
                <c:pt idx="58">
                  <c:v>45534</c:v>
                </c:pt>
                <c:pt idx="59">
                  <c:v>45482</c:v>
                </c:pt>
              </c:numCache>
            </c:numRef>
          </c:val>
        </c:ser>
        <c:dLbls>
          <c:showLegendKey val="0"/>
          <c:showVal val="0"/>
          <c:showCatName val="0"/>
          <c:showSerName val="0"/>
          <c:showPercent val="0"/>
          <c:showBubbleSize val="0"/>
        </c:dLbls>
        <c:gapWidth val="300"/>
        <c:overlap val="100"/>
        <c:axId val="273440768"/>
        <c:axId val="273442688"/>
      </c:barChart>
      <c:lineChart>
        <c:grouping val="standard"/>
        <c:varyColors val="0"/>
        <c:ser>
          <c:idx val="1"/>
          <c:order val="1"/>
          <c:tx>
            <c:strRef>
              <c:f>Sheet1!$C$1</c:f>
              <c:strCache>
                <c:ptCount val="1"/>
                <c:pt idx="0">
                  <c:v>环比</c:v>
                </c:pt>
              </c:strCache>
            </c:strRef>
          </c:tx>
          <c:spPr>
            <a:ln w="28575" cap="rnd" cmpd="sng" algn="ctr">
              <a:solidFill>
                <a:srgbClr val="FFC107"/>
              </a:solidFill>
              <a:prstDash val="solid"/>
              <a:round/>
            </a:ln>
          </c:spPr>
          <c:marker>
            <c:symbol val="circle"/>
            <c:size val="4"/>
            <c:spPr>
              <a:solidFill>
                <a:srgbClr val="FFC107"/>
              </a:solidFill>
              <a:ln w="9525" cap="flat" cmpd="sng" algn="ctr">
                <a:solidFill>
                  <a:srgbClr val="FFC107"/>
                </a:solidFill>
                <a:prstDash val="solid"/>
                <a:round/>
              </a:ln>
            </c:spPr>
          </c:marker>
          <c:cat>
            <c:strRef>
              <c:f>Sheet1!$A$2:$A$61</c:f>
              <c:strCache>
                <c:ptCount val="60"/>
                <c:pt idx="0">
                  <c:v>19-07</c:v>
                </c:pt>
                <c:pt idx="1">
                  <c:v>19-08</c:v>
                </c:pt>
                <c:pt idx="2">
                  <c:v>19-09</c:v>
                </c:pt>
                <c:pt idx="3">
                  <c:v>19-10</c:v>
                </c:pt>
                <c:pt idx="4">
                  <c:v>19-11</c:v>
                </c:pt>
                <c:pt idx="5">
                  <c:v>19-12</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21-01</c:v>
                </c:pt>
                <c:pt idx="19">
                  <c:v>21-02</c:v>
                </c:pt>
                <c:pt idx="20">
                  <c:v>21-03</c:v>
                </c:pt>
                <c:pt idx="21">
                  <c:v>21-04</c:v>
                </c:pt>
                <c:pt idx="22">
                  <c:v>21-05</c:v>
                </c:pt>
                <c:pt idx="23">
                  <c:v>21-06</c:v>
                </c:pt>
                <c:pt idx="24">
                  <c:v>21-07</c:v>
                </c:pt>
                <c:pt idx="25">
                  <c:v>21-08</c:v>
                </c:pt>
                <c:pt idx="26">
                  <c:v>21-09</c:v>
                </c:pt>
                <c:pt idx="27">
                  <c:v>21-10</c:v>
                </c:pt>
                <c:pt idx="28">
                  <c:v>21-11</c:v>
                </c:pt>
                <c:pt idx="29">
                  <c:v>21-12</c:v>
                </c:pt>
                <c:pt idx="30">
                  <c:v>22-01</c:v>
                </c:pt>
                <c:pt idx="31">
                  <c:v>22-02</c:v>
                </c:pt>
                <c:pt idx="32">
                  <c:v>22-03</c:v>
                </c:pt>
                <c:pt idx="33">
                  <c:v>22-04</c:v>
                </c:pt>
                <c:pt idx="34">
                  <c:v>22-05</c:v>
                </c:pt>
                <c:pt idx="35">
                  <c:v>22-06</c:v>
                </c:pt>
                <c:pt idx="36">
                  <c:v>22-07</c:v>
                </c:pt>
                <c:pt idx="37">
                  <c:v>22-08</c:v>
                </c:pt>
                <c:pt idx="38">
                  <c:v>22-09</c:v>
                </c:pt>
                <c:pt idx="39">
                  <c:v>22-10</c:v>
                </c:pt>
                <c:pt idx="40">
                  <c:v>22-11</c:v>
                </c:pt>
                <c:pt idx="41">
                  <c:v>22-12</c:v>
                </c:pt>
                <c:pt idx="42">
                  <c:v>23-01</c:v>
                </c:pt>
                <c:pt idx="43">
                  <c:v>23-02</c:v>
                </c:pt>
                <c:pt idx="44">
                  <c:v>23-03</c:v>
                </c:pt>
                <c:pt idx="45">
                  <c:v>23-04</c:v>
                </c:pt>
                <c:pt idx="46">
                  <c:v>23-05</c:v>
                </c:pt>
                <c:pt idx="47">
                  <c:v>23-06</c:v>
                </c:pt>
                <c:pt idx="48">
                  <c:v>23-07</c:v>
                </c:pt>
                <c:pt idx="49">
                  <c:v>23-08</c:v>
                </c:pt>
                <c:pt idx="50">
                  <c:v>23-09</c:v>
                </c:pt>
                <c:pt idx="51">
                  <c:v>23-10</c:v>
                </c:pt>
                <c:pt idx="52">
                  <c:v>23-11</c:v>
                </c:pt>
                <c:pt idx="53">
                  <c:v>23-12</c:v>
                </c:pt>
                <c:pt idx="54">
                  <c:v>24-01</c:v>
                </c:pt>
                <c:pt idx="55">
                  <c:v>24-02</c:v>
                </c:pt>
                <c:pt idx="56">
                  <c:v>24-03</c:v>
                </c:pt>
                <c:pt idx="57">
                  <c:v>24-04</c:v>
                </c:pt>
                <c:pt idx="58">
                  <c:v>24-05</c:v>
                </c:pt>
                <c:pt idx="59">
                  <c:v>24-06</c:v>
                </c:pt>
              </c:strCache>
            </c:strRef>
          </c:cat>
          <c:val>
            <c:numRef>
              <c:f>Sheet1!$C$2:$C$61</c:f>
              <c:numCache>
                <c:formatCode>General</c:formatCode>
                <c:ptCount val="60"/>
                <c:pt idx="0">
                  <c:v>0.12</c:v>
                </c:pt>
                <c:pt idx="1">
                  <c:v>0.41</c:v>
                </c:pt>
                <c:pt idx="2">
                  <c:v>0.32</c:v>
                </c:pt>
                <c:pt idx="3">
                  <c:v>-0.01</c:v>
                </c:pt>
                <c:pt idx="4">
                  <c:v>-0.25</c:v>
                </c:pt>
                <c:pt idx="5">
                  <c:v>-0.54</c:v>
                </c:pt>
                <c:pt idx="6">
                  <c:v>-0.3</c:v>
                </c:pt>
                <c:pt idx="7">
                  <c:v>-0.34</c:v>
                </c:pt>
                <c:pt idx="8">
                  <c:v>0.08</c:v>
                </c:pt>
                <c:pt idx="9">
                  <c:v>-0.13</c:v>
                </c:pt>
                <c:pt idx="10">
                  <c:v>-0.01</c:v>
                </c:pt>
                <c:pt idx="11">
                  <c:v>0.19</c:v>
                </c:pt>
                <c:pt idx="12">
                  <c:v>0.38</c:v>
                </c:pt>
                <c:pt idx="13">
                  <c:v>0.49</c:v>
                </c:pt>
                <c:pt idx="14">
                  <c:v>-0.1</c:v>
                </c:pt>
                <c:pt idx="15">
                  <c:v>0.78</c:v>
                </c:pt>
                <c:pt idx="16">
                  <c:v>0.51</c:v>
                </c:pt>
                <c:pt idx="17">
                  <c:v>0.06</c:v>
                </c:pt>
                <c:pt idx="18">
                  <c:v>-0.06</c:v>
                </c:pt>
                <c:pt idx="19">
                  <c:v>0.14000000000000001</c:v>
                </c:pt>
                <c:pt idx="20">
                  <c:v>7.0000000000000007E-2</c:v>
                </c:pt>
                <c:pt idx="21">
                  <c:v>0.13</c:v>
                </c:pt>
                <c:pt idx="22">
                  <c:v>0.34</c:v>
                </c:pt>
                <c:pt idx="23">
                  <c:v>0.26</c:v>
                </c:pt>
                <c:pt idx="24">
                  <c:v>0.19</c:v>
                </c:pt>
                <c:pt idx="25">
                  <c:v>0.14000000000000001</c:v>
                </c:pt>
                <c:pt idx="26">
                  <c:v>0.19</c:v>
                </c:pt>
                <c:pt idx="27">
                  <c:v>0.36</c:v>
                </c:pt>
                <c:pt idx="28">
                  <c:v>-0.02</c:v>
                </c:pt>
                <c:pt idx="29">
                  <c:v>-0.03</c:v>
                </c:pt>
                <c:pt idx="30">
                  <c:v>0.08</c:v>
                </c:pt>
                <c:pt idx="31">
                  <c:v>0.02</c:v>
                </c:pt>
                <c:pt idx="32">
                  <c:v>0</c:v>
                </c:pt>
                <c:pt idx="33">
                  <c:v>0.13</c:v>
                </c:pt>
                <c:pt idx="34">
                  <c:v>0.1</c:v>
                </c:pt>
                <c:pt idx="35">
                  <c:v>0.06</c:v>
                </c:pt>
                <c:pt idx="36">
                  <c:v>0.27</c:v>
                </c:pt>
                <c:pt idx="37">
                  <c:v>0.05</c:v>
                </c:pt>
                <c:pt idx="38">
                  <c:v>0.1</c:v>
                </c:pt>
                <c:pt idx="39">
                  <c:v>0.06</c:v>
                </c:pt>
                <c:pt idx="40">
                  <c:v>0.03</c:v>
                </c:pt>
                <c:pt idx="41">
                  <c:v>-0.04</c:v>
                </c:pt>
                <c:pt idx="42">
                  <c:v>0.01</c:v>
                </c:pt>
                <c:pt idx="43">
                  <c:v>0.02</c:v>
                </c:pt>
                <c:pt idx="44">
                  <c:v>0.04</c:v>
                </c:pt>
                <c:pt idx="45">
                  <c:v>0.03</c:v>
                </c:pt>
                <c:pt idx="46">
                  <c:v>0.04</c:v>
                </c:pt>
                <c:pt idx="47">
                  <c:v>0.03</c:v>
                </c:pt>
                <c:pt idx="48">
                  <c:v>0.04</c:v>
                </c:pt>
                <c:pt idx="49">
                  <c:v>0.03</c:v>
                </c:pt>
                <c:pt idx="50">
                  <c:v>0.13</c:v>
                </c:pt>
                <c:pt idx="51">
                  <c:v>0.11</c:v>
                </c:pt>
                <c:pt idx="52">
                  <c:v>0.06</c:v>
                </c:pt>
                <c:pt idx="53">
                  <c:v>0.17</c:v>
                </c:pt>
                <c:pt idx="54">
                  <c:v>0.14000000000000001</c:v>
                </c:pt>
                <c:pt idx="55">
                  <c:v>0.17</c:v>
                </c:pt>
                <c:pt idx="56">
                  <c:v>0.28000000000000003</c:v>
                </c:pt>
                <c:pt idx="57">
                  <c:v>0.51</c:v>
                </c:pt>
                <c:pt idx="58">
                  <c:v>0.1</c:v>
                </c:pt>
                <c:pt idx="59">
                  <c:v>-0.11</c:v>
                </c:pt>
              </c:numCache>
            </c:numRef>
          </c:val>
          <c:smooth val="1"/>
        </c:ser>
        <c:dLbls>
          <c:showLegendKey val="0"/>
          <c:showVal val="0"/>
          <c:showCatName val="0"/>
          <c:showSerName val="0"/>
          <c:showPercent val="0"/>
          <c:showBubbleSize val="0"/>
        </c:dLbls>
        <c:marker val="1"/>
        <c:smooth val="0"/>
        <c:axId val="273444224"/>
        <c:axId val="273450112"/>
      </c:lineChart>
      <c:catAx>
        <c:axId val="273440768"/>
        <c:scaling>
          <c:orientation val="minMax"/>
        </c:scaling>
        <c:delete val="0"/>
        <c:axPos val="b"/>
        <c:numFmt formatCode="General" sourceLinked="1"/>
        <c:majorTickMark val="in"/>
        <c:minorTickMark val="none"/>
        <c:tickLblPos val="nextTo"/>
        <c:txPr>
          <a:bodyPr rot="-360000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273442688"/>
        <c:crosses val="autoZero"/>
        <c:auto val="0"/>
        <c:lblAlgn val="ctr"/>
        <c:lblOffset val="100"/>
        <c:noMultiLvlLbl val="0"/>
      </c:catAx>
      <c:valAx>
        <c:axId val="273442688"/>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273440768"/>
        <c:crosses val="autoZero"/>
        <c:crossBetween val="between"/>
      </c:valAx>
      <c:catAx>
        <c:axId val="273444224"/>
        <c:scaling>
          <c:orientation val="minMax"/>
        </c:scaling>
        <c:delete val="1"/>
        <c:axPos val="b"/>
        <c:numFmt formatCode="General" sourceLinked="1"/>
        <c:majorTickMark val="out"/>
        <c:minorTickMark val="none"/>
        <c:tickLblPos val="nextTo"/>
        <c:crossAx val="273450112"/>
        <c:crosses val="autoZero"/>
        <c:auto val="0"/>
        <c:lblAlgn val="ctr"/>
        <c:lblOffset val="100"/>
        <c:noMultiLvlLbl val="0"/>
      </c:catAx>
      <c:valAx>
        <c:axId val="273450112"/>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273444224"/>
        <c:crosses val="max"/>
        <c:crossBetween val="between"/>
      </c:valAx>
    </c:plotArea>
    <c:legend>
      <c:legendPos val="t"/>
      <c:overlay val="0"/>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6bfa730e-7af1-49f4-979b-a80a829b235e}"/>
      </c:ext>
    </c:extLst>
  </c:chart>
  <c:spPr>
    <a:solidFill>
      <a:srgbClr val="FFFFFF"/>
    </a:solidFill>
  </c:spPr>
  <c:txPr>
    <a:bodyPr/>
    <a:lstStyle/>
    <a:p>
      <a:pPr>
        <a:defRPr lang="zh-CN" sz="895" b="0">
          <a:latin typeface="楷体" panose="02010609060101010101" charset="-122"/>
          <a:ea typeface="楷体" panose="02010609060101010101" charset="-122"/>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中心城区</c:v>
                </c:pt>
              </c:strCache>
            </c:strRef>
          </c:tx>
          <c:spPr>
            <a:ln w="28575" cap="rnd" cmpd="sng" algn="ctr">
              <a:solidFill>
                <a:srgbClr val="006E78"/>
              </a:solidFill>
              <a:prstDash val="solid"/>
              <a:round/>
            </a:ln>
            <a:effectLst>
              <a:outerShdw blurRad="50800" dist="38100" dir="2700000" algn="tl" rotWithShape="0">
                <a:prstClr val="black">
                  <a:alpha val="40000"/>
                </a:prstClr>
              </a:outerShdw>
            </a:effectLst>
          </c:spPr>
          <c:marker>
            <c:symbol val="none"/>
          </c:marker>
          <c:dLbls>
            <c:dLbl>
              <c:idx val="5"/>
              <c:layout>
                <c:manualLayout>
                  <c:x val="-6.3130443320498303E-2"/>
                  <c:y val="2.0980488608156302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Sheet1!$B$2:$B$10</c:f>
              <c:numCache>
                <c:formatCode>General</c:formatCode>
                <c:ptCount val="9"/>
                <c:pt idx="0">
                  <c:v>73.61</c:v>
                </c:pt>
                <c:pt idx="1">
                  <c:v>65.63</c:v>
                </c:pt>
                <c:pt idx="2">
                  <c:v>68.02</c:v>
                </c:pt>
                <c:pt idx="3">
                  <c:v>54.54</c:v>
                </c:pt>
                <c:pt idx="4">
                  <c:v>77.739999999999995</c:v>
                </c:pt>
                <c:pt idx="5">
                  <c:v>67.11</c:v>
                </c:pt>
                <c:pt idx="6">
                  <c:v>59.12</c:v>
                </c:pt>
                <c:pt idx="7">
                  <c:v>31.88</c:v>
                </c:pt>
                <c:pt idx="8">
                  <c:v>39.520000000000003</c:v>
                </c:pt>
              </c:numCache>
            </c:numRef>
          </c:val>
          <c:smooth val="1"/>
        </c:ser>
        <c:ser>
          <c:idx val="1"/>
          <c:order val="1"/>
          <c:tx>
            <c:strRef>
              <c:f>Sheet1!$C$1</c:f>
              <c:strCache>
                <c:ptCount val="1"/>
                <c:pt idx="0">
                  <c:v>近郊区</c:v>
                </c:pt>
              </c:strCache>
            </c:strRef>
          </c:tx>
          <c:spPr>
            <a:ln w="28575" cap="rnd" cmpd="sng" algn="ctr">
              <a:solidFill>
                <a:srgbClr val="C00000"/>
              </a:solidFill>
              <a:prstDash val="solid"/>
              <a:round/>
            </a:ln>
            <a:effectLst>
              <a:outerShdw blurRad="50800" dist="38100" dir="2700000" algn="tl" rotWithShape="0">
                <a:prstClr val="black">
                  <a:alpha val="40000"/>
                </a:prstClr>
              </a:outerShdw>
            </a:effectLst>
          </c:spPr>
          <c:marker>
            <c:symbol val="none"/>
          </c:marker>
          <c:dLbls>
            <c:dLbl>
              <c:idx val="5"/>
              <c:layout>
                <c:manualLayout>
                  <c:x val="-3.5364154774897398E-2"/>
                  <c:y val="-5.2870831292554099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Sheet1!$C$2:$C$10</c:f>
              <c:numCache>
                <c:formatCode>General</c:formatCode>
                <c:ptCount val="9"/>
                <c:pt idx="0">
                  <c:v>102.61</c:v>
                </c:pt>
                <c:pt idx="1">
                  <c:v>123.75</c:v>
                </c:pt>
                <c:pt idx="2">
                  <c:v>124.13</c:v>
                </c:pt>
                <c:pt idx="3">
                  <c:v>82.34</c:v>
                </c:pt>
                <c:pt idx="4">
                  <c:v>104.13</c:v>
                </c:pt>
                <c:pt idx="5">
                  <c:v>73.95</c:v>
                </c:pt>
                <c:pt idx="6">
                  <c:v>87.34</c:v>
                </c:pt>
                <c:pt idx="7">
                  <c:v>51.08</c:v>
                </c:pt>
                <c:pt idx="8">
                  <c:v>66.2</c:v>
                </c:pt>
              </c:numCache>
            </c:numRef>
          </c:val>
          <c:smooth val="1"/>
        </c:ser>
        <c:ser>
          <c:idx val="2"/>
          <c:order val="2"/>
          <c:tx>
            <c:strRef>
              <c:f>Sheet1!$D$1</c:f>
              <c:strCache>
                <c:ptCount val="1"/>
                <c:pt idx="0">
                  <c:v>远郊区</c:v>
                </c:pt>
              </c:strCache>
            </c:strRef>
          </c:tx>
          <c:spPr>
            <a:ln w="28575" cap="rnd" cmpd="sng" algn="ctr">
              <a:solidFill>
                <a:schemeClr val="bg2">
                  <a:lumMod val="50000"/>
                </a:schemeClr>
              </a:solidFill>
              <a:prstDash val="solid"/>
              <a:round/>
            </a:ln>
            <a:effectLst>
              <a:outerShdw blurRad="50800" dist="38100" dir="2700000" algn="tl" rotWithShape="0">
                <a:prstClr val="black">
                  <a:alpha val="40000"/>
                </a:prstClr>
              </a:outerShdw>
            </a:effectLst>
          </c:spPr>
          <c:marker>
            <c:symbol val="none"/>
          </c:marker>
          <c:dLbls>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Sheet1!$D$2:$D$10</c:f>
              <c:numCache>
                <c:formatCode>General</c:formatCode>
                <c:ptCount val="9"/>
                <c:pt idx="0">
                  <c:v>17.7</c:v>
                </c:pt>
                <c:pt idx="1">
                  <c:v>12.92</c:v>
                </c:pt>
                <c:pt idx="2">
                  <c:v>19.14</c:v>
                </c:pt>
                <c:pt idx="3">
                  <c:v>8.3699999999999992</c:v>
                </c:pt>
                <c:pt idx="4">
                  <c:v>9.7899999999999991</c:v>
                </c:pt>
                <c:pt idx="5">
                  <c:v>7.55</c:v>
                </c:pt>
                <c:pt idx="6">
                  <c:v>6.62</c:v>
                </c:pt>
                <c:pt idx="7">
                  <c:v>5.57</c:v>
                </c:pt>
                <c:pt idx="8">
                  <c:v>7.04</c:v>
                </c:pt>
              </c:numCache>
            </c:numRef>
          </c:val>
          <c:smooth val="1"/>
        </c:ser>
        <c:dLbls>
          <c:showLegendKey val="0"/>
          <c:showVal val="1"/>
          <c:showCatName val="0"/>
          <c:showSerName val="0"/>
          <c:showPercent val="0"/>
          <c:showBubbleSize val="0"/>
        </c:dLbls>
        <c:marker val="1"/>
        <c:smooth val="0"/>
        <c:axId val="273633280"/>
        <c:axId val="273634816"/>
      </c:lineChart>
      <c:catAx>
        <c:axId val="27363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3634816"/>
        <c:crosses val="autoZero"/>
        <c:auto val="1"/>
        <c:lblAlgn val="ctr"/>
        <c:lblOffset val="100"/>
        <c:noMultiLvlLbl val="0"/>
      </c:catAx>
      <c:valAx>
        <c:axId val="273634816"/>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363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88432c4d-11e5-402a-9cc1-f19ffc16cabb}"/>
      </c:ext>
    </c:extLst>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29697398896801E-2"/>
          <c:y val="2.19286396259443E-2"/>
          <c:w val="0.93629097482089896"/>
          <c:h val="0.87715073744369898"/>
        </c:manualLayout>
      </c:layout>
      <c:barChart>
        <c:barDir val="col"/>
        <c:grouping val="clustered"/>
        <c:varyColors val="0"/>
        <c:ser>
          <c:idx val="0"/>
          <c:order val="0"/>
          <c:tx>
            <c:strRef>
              <c:f>Sheet1!$B$1</c:f>
              <c:strCache>
                <c:ptCount val="1"/>
                <c:pt idx="0">
                  <c:v>成交套数(套)</c:v>
                </c:pt>
              </c:strCache>
            </c:strRef>
          </c:tx>
          <c:spPr>
            <a:solidFill>
              <a:srgbClr val="C00000"/>
            </a:solidFill>
            <a:ln>
              <a:noFill/>
            </a:ln>
            <a:effectLst>
              <a:outerShdw blurRad="50800" dist="38100" dir="2700000" algn="tl" rotWithShape="0">
                <a:prstClr val="black">
                  <a:alpha val="40000"/>
                </a:prstClr>
              </a:outerShdw>
            </a:effectLst>
          </c:spPr>
          <c:invertIfNegative val="0"/>
          <c:cat>
            <c:strRef>
              <c:f>Sheet1!$A$2:$A$15</c:f>
              <c:strCache>
                <c:ptCount val="14"/>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strCache>
            </c:strRef>
          </c:cat>
          <c:val>
            <c:numRef>
              <c:f>Sheet1!$B$2:$B$15</c:f>
              <c:numCache>
                <c:formatCode>General</c:formatCode>
                <c:ptCount val="14"/>
                <c:pt idx="0">
                  <c:v>47694</c:v>
                </c:pt>
                <c:pt idx="1">
                  <c:v>54135</c:v>
                </c:pt>
                <c:pt idx="2">
                  <c:v>37655</c:v>
                </c:pt>
                <c:pt idx="3">
                  <c:v>36332</c:v>
                </c:pt>
                <c:pt idx="4">
                  <c:v>31753</c:v>
                </c:pt>
                <c:pt idx="5">
                  <c:v>32384</c:v>
                </c:pt>
                <c:pt idx="6">
                  <c:v>40221</c:v>
                </c:pt>
                <c:pt idx="7">
                  <c:v>30761</c:v>
                </c:pt>
                <c:pt idx="8">
                  <c:v>45654</c:v>
                </c:pt>
                <c:pt idx="9">
                  <c:v>38604</c:v>
                </c:pt>
                <c:pt idx="10">
                  <c:v>33930</c:v>
                </c:pt>
                <c:pt idx="11">
                  <c:v>35734</c:v>
                </c:pt>
                <c:pt idx="12">
                  <c:v>32785</c:v>
                </c:pt>
                <c:pt idx="13">
                  <c:v>41724</c:v>
                </c:pt>
              </c:numCache>
            </c:numRef>
          </c:val>
        </c:ser>
        <c:dLbls>
          <c:showLegendKey val="0"/>
          <c:showVal val="0"/>
          <c:showCatName val="0"/>
          <c:showSerName val="0"/>
          <c:showPercent val="0"/>
          <c:showBubbleSize val="0"/>
        </c:dLbls>
        <c:gapWidth val="219"/>
        <c:overlap val="-27"/>
        <c:axId val="274105856"/>
        <c:axId val="274107392"/>
      </c:barChart>
      <c:catAx>
        <c:axId val="27410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4107392"/>
        <c:crosses val="autoZero"/>
        <c:auto val="1"/>
        <c:lblAlgn val="ctr"/>
        <c:lblOffset val="100"/>
        <c:noMultiLvlLbl val="0"/>
      </c:catAx>
      <c:valAx>
        <c:axId val="274107392"/>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4105856"/>
        <c:crosses val="autoZero"/>
        <c:crossBetween val="between"/>
      </c:valAx>
      <c:spPr>
        <a:noFill/>
        <a:ln>
          <a:noFill/>
        </a:ln>
        <a:effectLst/>
      </c:spPr>
    </c:plotArea>
    <c:legend>
      <c:legendPos val="b"/>
      <c:layout>
        <c:manualLayout>
          <c:xMode val="edge"/>
          <c:yMode val="edge"/>
          <c:x val="0.45434486593687701"/>
          <c:y val="0.98307345045872097"/>
          <c:w val="9.1310268126246E-2"/>
          <c:h val="1.123650125651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a7df2f5d-e242-4209-8d9d-de0eb070187c}"/>
      </c:ext>
    </c:extLst>
  </c:chart>
  <c:spPr>
    <a:noFill/>
    <a:ln w="9525" cap="flat" cmpd="sng" algn="ctr">
      <a:no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FB398A-4DAE-4EFF-B4A2-6054BED0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79</Pages>
  <Words>9269</Words>
  <Characters>52838</Characters>
  <Application>Microsoft Office Word</Application>
  <DocSecurity>0</DocSecurity>
  <Lines>440</Lines>
  <Paragraphs>123</Paragraphs>
  <ScaleCrop>false</ScaleCrop>
  <Company>Microsoft</Company>
  <LinksUpToDate>false</LinksUpToDate>
  <CharactersWithSpaces>61984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win10B</cp:lastModifiedBy>
  <cp:revision>5</cp:revision>
  <cp:lastPrinted>2024-05-24T07:20:00Z</cp:lastPrinted>
  <dcterms:created xsi:type="dcterms:W3CDTF">2024-11-05T07:37:00Z</dcterms:created>
  <dcterms:modified xsi:type="dcterms:W3CDTF">2024-11-06T02:13:00Z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CD62ACF2C294414E9E11D2527362598B_13</vt:lpwstr>
  </property>
</Properties>
</file>