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49301" w14:textId="77777777" w:rsidR="000E5655" w:rsidRDefault="000E5655">
      <w:pPr>
        <w:spacing w:line="300" w:lineRule="exact"/>
        <w:rPr>
          <w:rFonts w:ascii="Arial" w:hAnsi="Arial"/>
        </w:rPr>
      </w:pPr>
    </w:p>
    <w:p w14:paraId="77085E0F" w14:textId="77777777" w:rsidR="000E5655" w:rsidRDefault="000E5655">
      <w:pPr>
        <w:spacing w:line="300" w:lineRule="exact"/>
        <w:rPr>
          <w:rFonts w:ascii="Arial" w:hAnsi="Arial"/>
        </w:rPr>
      </w:pPr>
    </w:p>
    <w:p w14:paraId="170D5758" w14:textId="77777777" w:rsidR="000E5655" w:rsidRDefault="000E5655">
      <w:pPr>
        <w:spacing w:line="300" w:lineRule="exact"/>
        <w:rPr>
          <w:rFonts w:ascii="Arial" w:hAnsi="Arial"/>
        </w:rPr>
      </w:pPr>
    </w:p>
    <w:p w14:paraId="75DC820A" w14:textId="77777777" w:rsidR="000E5655" w:rsidRDefault="000E5655">
      <w:pPr>
        <w:spacing w:line="300" w:lineRule="exact"/>
        <w:rPr>
          <w:rFonts w:ascii="Arial" w:hAnsi="Arial"/>
        </w:rPr>
      </w:pPr>
    </w:p>
    <w:p w14:paraId="2775A6E1" w14:textId="77777777" w:rsidR="000E5655" w:rsidRDefault="000E5655">
      <w:pPr>
        <w:spacing w:line="300" w:lineRule="exact"/>
        <w:rPr>
          <w:rFonts w:ascii="Arial" w:hAnsi="Arial"/>
        </w:rPr>
      </w:pPr>
    </w:p>
    <w:p w14:paraId="678FD948" w14:textId="77777777" w:rsidR="000E5655" w:rsidRDefault="000E5655">
      <w:pPr>
        <w:spacing w:line="300" w:lineRule="exact"/>
        <w:rPr>
          <w:rFonts w:ascii="Arial" w:hAnsi="Arial"/>
        </w:rPr>
      </w:pPr>
    </w:p>
    <w:p w14:paraId="148F8D4E" w14:textId="77777777" w:rsidR="000E5655" w:rsidRDefault="000E5655">
      <w:pPr>
        <w:spacing w:line="300" w:lineRule="exact"/>
        <w:rPr>
          <w:rFonts w:ascii="Arial" w:hAnsi="Arial"/>
        </w:rPr>
      </w:pPr>
    </w:p>
    <w:p w14:paraId="622C9D42" w14:textId="77777777" w:rsidR="000E5655" w:rsidRDefault="000E5655">
      <w:pPr>
        <w:spacing w:line="300" w:lineRule="exact"/>
        <w:rPr>
          <w:rFonts w:ascii="Arial" w:hAnsi="Arial"/>
        </w:rPr>
      </w:pPr>
    </w:p>
    <w:p w14:paraId="6499E875" w14:textId="77777777" w:rsidR="000E5655" w:rsidRDefault="000E5655">
      <w:pPr>
        <w:spacing w:line="300" w:lineRule="exact"/>
        <w:rPr>
          <w:rFonts w:ascii="Arial" w:hAnsi="Arial"/>
        </w:rPr>
      </w:pPr>
    </w:p>
    <w:p w14:paraId="7F77B787" w14:textId="77777777" w:rsidR="000E5655" w:rsidRDefault="000E5655">
      <w:pPr>
        <w:spacing w:line="300" w:lineRule="exact"/>
        <w:rPr>
          <w:rFonts w:ascii="Arial" w:hAnsi="Arial"/>
        </w:rPr>
      </w:pPr>
    </w:p>
    <w:p w14:paraId="2EC8ACE1" w14:textId="77777777" w:rsidR="000E5655" w:rsidRDefault="000E5655">
      <w:pPr>
        <w:spacing w:line="300" w:lineRule="exact"/>
        <w:rPr>
          <w:rFonts w:ascii="Arial" w:hAnsi="Arial"/>
        </w:rPr>
      </w:pPr>
    </w:p>
    <w:p w14:paraId="639D10DF" w14:textId="77777777" w:rsidR="000E5655" w:rsidRDefault="000E5655">
      <w:pPr>
        <w:spacing w:line="300" w:lineRule="exact"/>
        <w:rPr>
          <w:rFonts w:ascii="Arial" w:hAnsi="Arial"/>
        </w:rPr>
      </w:pPr>
    </w:p>
    <w:p w14:paraId="1B9D32C0" w14:textId="77777777" w:rsidR="000E5655" w:rsidRDefault="000E5655">
      <w:pPr>
        <w:spacing w:line="300" w:lineRule="exact"/>
        <w:rPr>
          <w:rFonts w:ascii="Arial" w:hAnsi="Arial"/>
        </w:rPr>
      </w:pPr>
    </w:p>
    <w:p w14:paraId="78B0AD43" w14:textId="77777777" w:rsidR="000E5655" w:rsidRDefault="000E5655">
      <w:pPr>
        <w:spacing w:line="300" w:lineRule="exact"/>
        <w:rPr>
          <w:rFonts w:ascii="Arial" w:hAnsi="Arial"/>
        </w:rPr>
      </w:pPr>
    </w:p>
    <w:p w14:paraId="2CF3E86A" w14:textId="77777777" w:rsidR="000E5655" w:rsidRDefault="000E5655">
      <w:pPr>
        <w:spacing w:line="300" w:lineRule="exact"/>
        <w:rPr>
          <w:rFonts w:ascii="Arial" w:hAnsi="Arial"/>
        </w:rPr>
      </w:pPr>
    </w:p>
    <w:p w14:paraId="2427F4C4" w14:textId="77777777" w:rsidR="000E5655" w:rsidRDefault="000E5655">
      <w:pPr>
        <w:spacing w:line="300" w:lineRule="exact"/>
        <w:rPr>
          <w:rFonts w:ascii="Arial" w:hAnsi="Arial"/>
        </w:rPr>
      </w:pPr>
    </w:p>
    <w:p w14:paraId="2BE5B6E8" w14:textId="77777777" w:rsidR="000E5655" w:rsidRDefault="000E5655">
      <w:pPr>
        <w:spacing w:line="300" w:lineRule="exact"/>
        <w:rPr>
          <w:rFonts w:ascii="Arial" w:hAnsi="Arial"/>
        </w:rPr>
      </w:pPr>
    </w:p>
    <w:p w14:paraId="26A6A27F" w14:textId="77777777" w:rsidR="000E5655" w:rsidRDefault="000E5655">
      <w:pPr>
        <w:spacing w:line="300" w:lineRule="exact"/>
        <w:rPr>
          <w:rFonts w:ascii="Arial" w:hAnsi="Arial"/>
        </w:rPr>
      </w:pPr>
    </w:p>
    <w:p w14:paraId="61B4AF29" w14:textId="77777777" w:rsidR="000E5655" w:rsidRDefault="000E5655">
      <w:pPr>
        <w:spacing w:line="300" w:lineRule="exact"/>
        <w:rPr>
          <w:rFonts w:ascii="Arial" w:hAnsi="Arial"/>
        </w:rPr>
      </w:pPr>
    </w:p>
    <w:p w14:paraId="6BB0AD9B" w14:textId="77777777" w:rsidR="000E5655" w:rsidRDefault="000E5655">
      <w:pPr>
        <w:spacing w:line="300" w:lineRule="exact"/>
        <w:rPr>
          <w:rFonts w:ascii="Arial" w:hAnsi="Arial"/>
        </w:rPr>
      </w:pPr>
    </w:p>
    <w:p w14:paraId="7400FADB" w14:textId="77777777" w:rsidR="000E5655" w:rsidRDefault="000E5655">
      <w:pPr>
        <w:spacing w:line="300" w:lineRule="exact"/>
        <w:rPr>
          <w:rFonts w:ascii="Arial" w:hAnsi="Arial"/>
        </w:rPr>
      </w:pPr>
    </w:p>
    <w:p w14:paraId="64A4A4F5" w14:textId="77777777" w:rsidR="000E5655" w:rsidRDefault="000E5655">
      <w:pPr>
        <w:spacing w:line="300" w:lineRule="exact"/>
        <w:rPr>
          <w:rFonts w:ascii="Arial" w:hAnsi="Arial"/>
        </w:rPr>
      </w:pPr>
    </w:p>
    <w:p w14:paraId="1B593F85" w14:textId="77777777" w:rsidR="000E5655" w:rsidRDefault="000E5655">
      <w:pPr>
        <w:spacing w:line="300" w:lineRule="exact"/>
        <w:rPr>
          <w:rFonts w:ascii="Arial" w:hAnsi="Arial"/>
        </w:rPr>
      </w:pPr>
    </w:p>
    <w:p w14:paraId="49E6961A" w14:textId="77777777" w:rsidR="000E5655" w:rsidRDefault="000E5655">
      <w:pPr>
        <w:spacing w:line="300" w:lineRule="exact"/>
        <w:rPr>
          <w:rFonts w:ascii="Arial" w:hAnsi="Arial"/>
        </w:rPr>
      </w:pPr>
    </w:p>
    <w:p w14:paraId="2E19338C" w14:textId="77777777" w:rsidR="000E5655" w:rsidRDefault="000E5655">
      <w:pPr>
        <w:spacing w:line="300" w:lineRule="exact"/>
        <w:rPr>
          <w:rFonts w:ascii="Arial" w:hAnsi="Arial"/>
        </w:rPr>
      </w:pPr>
    </w:p>
    <w:p w14:paraId="17DB3C02" w14:textId="77777777" w:rsidR="000E5655" w:rsidRPr="0043038D" w:rsidRDefault="00837133">
      <w:pPr>
        <w:numPr>
          <w:ilvl w:val="0"/>
          <w:numId w:val="4"/>
        </w:numPr>
        <w:spacing w:line="300" w:lineRule="exact"/>
        <w:ind w:right="-93"/>
        <w:jc w:val="both"/>
        <w:outlineLvl w:val="0"/>
        <w:rPr>
          <w:rFonts w:ascii="Arial" w:eastAsia="方正黑体简体" w:hAnsi="Arial" w:cs="Arial"/>
          <w:b/>
          <w:bCs/>
          <w:sz w:val="21"/>
          <w:szCs w:val="21"/>
        </w:rPr>
      </w:pPr>
      <w:r w:rsidRPr="0043038D">
        <w:rPr>
          <w:rFonts w:ascii="Arial" w:eastAsia="方正黑体简体" w:hAnsi="Arial" w:cs="Arial" w:hint="eastAsia"/>
          <w:b/>
          <w:bCs/>
          <w:sz w:val="21"/>
          <w:szCs w:val="21"/>
        </w:rPr>
        <w:t>估价项目名称：</w:t>
      </w:r>
    </w:p>
    <w:p w14:paraId="5099CA67" w14:textId="77777777"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北京市大兴区西红门镇</w:t>
      </w:r>
      <w:r w:rsidRPr="0043038D">
        <w:rPr>
          <w:rFonts w:ascii="Arial" w:eastAsia="方正黑体简体" w:hAnsi="Arial" w:cs="Arial"/>
          <w:sz w:val="21"/>
          <w:szCs w:val="21"/>
        </w:rPr>
        <w:t>DX04-0102-6011</w:t>
      </w:r>
      <w:r w:rsidRPr="0043038D">
        <w:rPr>
          <w:rFonts w:ascii="Arial" w:eastAsia="方正黑体简体" w:hAnsi="Arial" w:cs="Arial"/>
          <w:sz w:val="21"/>
          <w:szCs w:val="21"/>
        </w:rPr>
        <w:t>、</w:t>
      </w:r>
      <w:r w:rsidRPr="0043038D">
        <w:rPr>
          <w:rFonts w:ascii="Arial" w:eastAsia="方正黑体简体" w:hAnsi="Arial" w:cs="Arial"/>
          <w:sz w:val="21"/>
          <w:szCs w:val="21"/>
        </w:rPr>
        <w:t>6014</w:t>
      </w:r>
      <w:r w:rsidRPr="0043038D">
        <w:rPr>
          <w:rFonts w:ascii="Arial" w:eastAsia="方正黑体简体" w:hAnsi="Arial" w:cs="Arial"/>
          <w:sz w:val="21"/>
          <w:szCs w:val="21"/>
        </w:rPr>
        <w:t>地块</w:t>
      </w:r>
      <w:r w:rsidRPr="0043038D">
        <w:rPr>
          <w:rFonts w:ascii="Arial" w:eastAsia="方正黑体简体" w:hAnsi="Arial" w:cs="Arial"/>
          <w:sz w:val="21"/>
          <w:szCs w:val="21"/>
        </w:rPr>
        <w:t>R2</w:t>
      </w:r>
      <w:r w:rsidRPr="0043038D">
        <w:rPr>
          <w:rFonts w:ascii="Arial" w:eastAsia="方正黑体简体" w:hAnsi="Arial" w:cs="Arial"/>
          <w:sz w:val="21"/>
          <w:szCs w:val="21"/>
        </w:rPr>
        <w:t>二类居住用地（配建</w:t>
      </w:r>
      <w:r w:rsidRPr="0043038D">
        <w:rPr>
          <w:rFonts w:ascii="Arial" w:eastAsia="方正黑体简体" w:hAnsi="Arial" w:cs="Arial"/>
          <w:sz w:val="21"/>
          <w:szCs w:val="21"/>
        </w:rPr>
        <w:t>“</w:t>
      </w:r>
      <w:r w:rsidRPr="0043038D">
        <w:rPr>
          <w:rFonts w:ascii="Arial" w:eastAsia="方正黑体简体" w:hAnsi="Arial" w:cs="Arial"/>
          <w:sz w:val="21"/>
          <w:szCs w:val="21"/>
        </w:rPr>
        <w:t>保障性租赁住房</w:t>
      </w:r>
      <w:r w:rsidRPr="0043038D">
        <w:rPr>
          <w:rFonts w:ascii="Arial" w:eastAsia="方正黑体简体" w:hAnsi="Arial" w:cs="Arial"/>
          <w:sz w:val="21"/>
          <w:szCs w:val="21"/>
        </w:rPr>
        <w:t>”</w:t>
      </w:r>
      <w:r w:rsidRPr="0043038D">
        <w:rPr>
          <w:rFonts w:ascii="Arial" w:eastAsia="方正黑体简体" w:hAnsi="Arial" w:cs="Arial"/>
          <w:sz w:val="21"/>
          <w:szCs w:val="21"/>
        </w:rPr>
        <w:t>）项目（</w:t>
      </w:r>
      <w:r w:rsidRPr="0043038D">
        <w:rPr>
          <w:rFonts w:ascii="Arial" w:eastAsia="方正黑体简体" w:hAnsi="Arial" w:cs="Arial" w:hint="eastAsia"/>
          <w:sz w:val="21"/>
          <w:szCs w:val="21"/>
        </w:rPr>
        <w:t>橡树湾</w:t>
      </w:r>
      <w:r w:rsidRPr="0043038D">
        <w:rPr>
          <w:rFonts w:ascii="Arial" w:eastAsia="方正黑体简体" w:hAnsi="Arial" w:cs="Arial"/>
          <w:sz w:val="21"/>
          <w:szCs w:val="21"/>
        </w:rPr>
        <w:t>）</w:t>
      </w:r>
      <w:r w:rsidRPr="0043038D">
        <w:rPr>
          <w:rFonts w:ascii="Arial" w:eastAsia="方正黑体简体" w:hAnsi="Arial" w:cs="Arial" w:hint="eastAsia"/>
          <w:sz w:val="21"/>
          <w:szCs w:val="21"/>
        </w:rPr>
        <w:t>保障性租赁住房（住宅型）项目同地段、同品质市场租赁住房租金</w:t>
      </w:r>
      <w:r w:rsidRPr="0043038D">
        <w:rPr>
          <w:rFonts w:ascii="Arial" w:eastAsia="方正黑体简体" w:hAnsi="Arial" w:cs="Arial"/>
          <w:sz w:val="21"/>
          <w:szCs w:val="21"/>
        </w:rPr>
        <w:t>评估</w:t>
      </w:r>
    </w:p>
    <w:p w14:paraId="36F6BBAB" w14:textId="77777777" w:rsidR="000E5655" w:rsidRPr="0043038D" w:rsidRDefault="000E5655">
      <w:pPr>
        <w:spacing w:line="300" w:lineRule="exact"/>
        <w:rPr>
          <w:rFonts w:ascii="Arial" w:eastAsia="方正黑体简体" w:hAnsi="Arial" w:cs="Arial"/>
          <w:b/>
          <w:bCs/>
          <w:sz w:val="21"/>
          <w:szCs w:val="21"/>
        </w:rPr>
      </w:pPr>
    </w:p>
    <w:p w14:paraId="328A5854" w14:textId="77777777"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估价委托人：</w:t>
      </w:r>
    </w:p>
    <w:p w14:paraId="006B53C1" w14:textId="77777777"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北京市燕兴保障性住房建设投资有限公司</w:t>
      </w:r>
    </w:p>
    <w:p w14:paraId="3078C04C" w14:textId="77777777" w:rsidR="000E5655" w:rsidRPr="0043038D" w:rsidRDefault="000E5655">
      <w:pPr>
        <w:spacing w:line="300" w:lineRule="exact"/>
        <w:ind w:left="360"/>
        <w:jc w:val="both"/>
        <w:rPr>
          <w:rFonts w:ascii="Arial" w:eastAsia="方正黑体简体" w:hAnsi="Arial" w:cs="Arial"/>
          <w:sz w:val="21"/>
          <w:szCs w:val="21"/>
        </w:rPr>
      </w:pPr>
    </w:p>
    <w:p w14:paraId="2375EB65" w14:textId="77777777"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房地产估价机构：</w:t>
      </w:r>
    </w:p>
    <w:p w14:paraId="7DD4411D" w14:textId="77777777"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北京康正宏基房地产评估有限公司</w:t>
      </w:r>
    </w:p>
    <w:p w14:paraId="52D2FFAA" w14:textId="77777777" w:rsidR="000E5655" w:rsidRPr="0043038D" w:rsidRDefault="000E5655">
      <w:pPr>
        <w:spacing w:line="300" w:lineRule="exact"/>
        <w:jc w:val="both"/>
        <w:rPr>
          <w:rFonts w:ascii="Arial" w:eastAsia="方正黑体简体" w:hAnsi="Arial" w:cs="Arial"/>
          <w:b/>
          <w:sz w:val="21"/>
          <w:szCs w:val="21"/>
        </w:rPr>
      </w:pPr>
    </w:p>
    <w:p w14:paraId="03A7043D" w14:textId="77777777"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注册房地产估价师：</w:t>
      </w:r>
    </w:p>
    <w:p w14:paraId="395A45B8" w14:textId="77777777"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高</w:t>
      </w:r>
      <w:r w:rsidRPr="0043038D">
        <w:rPr>
          <w:rFonts w:ascii="Arial" w:eastAsia="方正黑体简体" w:hAnsi="Arial" w:cs="Arial" w:hint="eastAsia"/>
          <w:sz w:val="21"/>
          <w:szCs w:val="21"/>
        </w:rPr>
        <w:t xml:space="preserve"> </w:t>
      </w:r>
      <w:r w:rsidRPr="0043038D">
        <w:rPr>
          <w:rFonts w:ascii="Arial" w:eastAsia="方正黑体简体" w:hAnsi="Arial" w:cs="Arial"/>
          <w:sz w:val="21"/>
          <w:szCs w:val="21"/>
        </w:rPr>
        <w:t xml:space="preserve"> </w:t>
      </w:r>
      <w:r w:rsidRPr="0043038D">
        <w:rPr>
          <w:rFonts w:ascii="Arial" w:eastAsia="方正黑体简体" w:hAnsi="Arial" w:cs="Arial" w:hint="eastAsia"/>
          <w:sz w:val="21"/>
          <w:szCs w:val="21"/>
        </w:rPr>
        <w:t>鹏（注册号：</w:t>
      </w:r>
      <w:r w:rsidRPr="0043038D">
        <w:rPr>
          <w:rFonts w:ascii="Arial" w:eastAsia="方正黑体简体" w:hAnsi="Arial" w:cs="Arial"/>
          <w:sz w:val="21"/>
          <w:szCs w:val="21"/>
        </w:rPr>
        <w:t>1120140024</w:t>
      </w:r>
      <w:r w:rsidRPr="0043038D">
        <w:rPr>
          <w:rFonts w:ascii="Arial" w:eastAsia="方正黑体简体" w:hAnsi="Arial" w:cs="Arial" w:hint="eastAsia"/>
          <w:sz w:val="21"/>
          <w:szCs w:val="21"/>
        </w:rPr>
        <w:t>）、</w:t>
      </w:r>
      <w:r w:rsidRPr="0043038D">
        <w:rPr>
          <w:rFonts w:ascii="Arial" w:eastAsia="方正黑体简体" w:hAnsi="Arial" w:hint="eastAsia"/>
          <w:sz w:val="21"/>
          <w:szCs w:val="21"/>
        </w:rPr>
        <w:t>许皓源</w:t>
      </w:r>
      <w:r w:rsidRPr="0043038D">
        <w:rPr>
          <w:rFonts w:ascii="Arial" w:eastAsia="方正黑体简体" w:hAnsi="Arial"/>
          <w:sz w:val="21"/>
          <w:szCs w:val="21"/>
        </w:rPr>
        <w:t>（注册号：</w:t>
      </w:r>
      <w:r w:rsidRPr="0043038D">
        <w:rPr>
          <w:rFonts w:ascii="Arial" w:eastAsia="方正黑体简体" w:hAnsi="Arial"/>
          <w:sz w:val="21"/>
          <w:szCs w:val="21"/>
        </w:rPr>
        <w:t>1119980019</w:t>
      </w:r>
      <w:r w:rsidRPr="0043038D">
        <w:rPr>
          <w:rFonts w:ascii="Arial" w:eastAsia="方正黑体简体" w:hAnsi="Arial" w:hint="eastAsia"/>
          <w:sz w:val="21"/>
          <w:szCs w:val="21"/>
        </w:rPr>
        <w:t>）</w:t>
      </w:r>
    </w:p>
    <w:p w14:paraId="5731681A" w14:textId="77777777" w:rsidR="000E5655" w:rsidRPr="0043038D" w:rsidRDefault="000E5655">
      <w:pPr>
        <w:spacing w:line="300" w:lineRule="exact"/>
        <w:jc w:val="both"/>
        <w:rPr>
          <w:rFonts w:ascii="Arial" w:eastAsia="方正黑体简体" w:hAnsi="Arial" w:cs="Arial"/>
          <w:b/>
          <w:sz w:val="21"/>
          <w:szCs w:val="21"/>
        </w:rPr>
      </w:pPr>
    </w:p>
    <w:p w14:paraId="1D73997F" w14:textId="77777777"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b/>
          <w:sz w:val="21"/>
          <w:szCs w:val="21"/>
        </w:rPr>
        <w:t>估价报告出具日期：</w:t>
      </w:r>
    </w:p>
    <w:p w14:paraId="76D44DC3" w14:textId="77777777"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2024</w:t>
      </w:r>
      <w:r w:rsidRPr="0043038D">
        <w:rPr>
          <w:rFonts w:ascii="Arial" w:eastAsia="方正黑体简体" w:hAnsi="Arial" w:cs="Arial"/>
          <w:sz w:val="21"/>
          <w:szCs w:val="21"/>
        </w:rPr>
        <w:t>年</w:t>
      </w:r>
      <w:r w:rsidR="00D6006C" w:rsidRPr="0043038D">
        <w:rPr>
          <w:rFonts w:ascii="Arial" w:eastAsia="方正黑体简体" w:hAnsi="Arial" w:cs="Arial"/>
          <w:sz w:val="21"/>
          <w:szCs w:val="21"/>
        </w:rPr>
        <w:t>11</w:t>
      </w:r>
      <w:r w:rsidRPr="0043038D">
        <w:rPr>
          <w:rFonts w:ascii="Arial" w:eastAsia="方正黑体简体" w:hAnsi="Arial" w:cs="Arial"/>
          <w:sz w:val="21"/>
          <w:szCs w:val="21"/>
        </w:rPr>
        <w:t>月</w:t>
      </w:r>
      <w:r w:rsidR="00D6006C" w:rsidRPr="0043038D">
        <w:rPr>
          <w:rFonts w:ascii="Arial" w:eastAsia="方正黑体简体" w:hAnsi="Arial" w:cs="Arial"/>
          <w:sz w:val="21"/>
          <w:szCs w:val="21"/>
        </w:rPr>
        <w:t>5</w:t>
      </w:r>
      <w:r w:rsidRPr="0043038D">
        <w:rPr>
          <w:rFonts w:ascii="Arial" w:eastAsia="方正黑体简体" w:hAnsi="Arial" w:cs="Arial"/>
          <w:sz w:val="21"/>
          <w:szCs w:val="21"/>
        </w:rPr>
        <w:t>日</w:t>
      </w:r>
    </w:p>
    <w:p w14:paraId="49B82D9F" w14:textId="77777777" w:rsidR="000E5655" w:rsidRPr="0043038D" w:rsidRDefault="000E5655">
      <w:pPr>
        <w:spacing w:line="300" w:lineRule="exact"/>
        <w:jc w:val="both"/>
        <w:rPr>
          <w:rFonts w:ascii="Arial" w:eastAsia="方正黑体简体" w:hAnsi="Arial" w:cs="Arial"/>
          <w:b/>
          <w:sz w:val="21"/>
          <w:szCs w:val="21"/>
        </w:rPr>
      </w:pPr>
    </w:p>
    <w:p w14:paraId="39BB094D" w14:textId="77777777" w:rsidR="000E5655" w:rsidRPr="0043038D" w:rsidRDefault="00837133">
      <w:pPr>
        <w:numPr>
          <w:ilvl w:val="0"/>
          <w:numId w:val="4"/>
        </w:numPr>
        <w:spacing w:line="300" w:lineRule="exact"/>
        <w:jc w:val="both"/>
        <w:outlineLvl w:val="0"/>
        <w:rPr>
          <w:rFonts w:ascii="Arial" w:eastAsia="方正黑体简体" w:hAnsi="Arial" w:cs="Arial"/>
          <w:sz w:val="21"/>
          <w:szCs w:val="21"/>
        </w:rPr>
      </w:pPr>
      <w:r w:rsidRPr="0043038D">
        <w:rPr>
          <w:rFonts w:ascii="Arial" w:eastAsia="方正黑体简体" w:hAnsi="Arial" w:cs="Arial" w:hint="eastAsia"/>
          <w:b/>
          <w:sz w:val="21"/>
          <w:szCs w:val="21"/>
        </w:rPr>
        <w:t>估价报告编号：</w:t>
      </w:r>
    </w:p>
    <w:p w14:paraId="57608EF6" w14:textId="77777777" w:rsidR="000E5655" w:rsidRPr="0043038D" w:rsidRDefault="00837133">
      <w:pPr>
        <w:spacing w:line="300" w:lineRule="exact"/>
        <w:ind w:left="360"/>
        <w:jc w:val="both"/>
        <w:rPr>
          <w:rFonts w:ascii="Arial" w:eastAsia="方正黑体简体" w:hAnsi="Arial" w:cs="Arial"/>
          <w:sz w:val="21"/>
          <w:szCs w:val="21"/>
        </w:rPr>
        <w:sectPr w:rsidR="000E5655" w:rsidRPr="0043038D">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r w:rsidRPr="0043038D">
        <w:rPr>
          <w:rFonts w:ascii="Arial" w:eastAsia="方正黑体简体" w:hAnsi="Arial" w:cs="Arial" w:hint="eastAsia"/>
          <w:sz w:val="21"/>
          <w:szCs w:val="21"/>
        </w:rPr>
        <w:t>康正评字</w:t>
      </w:r>
      <w:r w:rsidR="00D6006C" w:rsidRPr="0043038D">
        <w:rPr>
          <w:rFonts w:ascii="Arial" w:eastAsia="方正黑体简体" w:hAnsi="Arial" w:cs="Arial"/>
          <w:sz w:val="21"/>
          <w:szCs w:val="21"/>
        </w:rPr>
        <w:t>2024-1-0640-F03</w:t>
      </w:r>
      <w:r w:rsidRPr="0043038D">
        <w:rPr>
          <w:rFonts w:ascii="Arial" w:eastAsia="方正黑体简体" w:hAnsi="Arial" w:cs="Arial"/>
          <w:sz w:val="21"/>
          <w:szCs w:val="21"/>
        </w:rPr>
        <w:t>ZLGJ6</w:t>
      </w:r>
      <w:r w:rsidRPr="0043038D">
        <w:rPr>
          <w:rFonts w:ascii="Arial" w:eastAsia="方正黑体简体" w:hAnsi="Arial" w:cs="Arial" w:hint="eastAsia"/>
          <w:sz w:val="21"/>
          <w:szCs w:val="21"/>
        </w:rPr>
        <w:t>号</w:t>
      </w:r>
    </w:p>
    <w:p w14:paraId="2E5951DA" w14:textId="77777777" w:rsidR="000E5655" w:rsidRPr="0043038D" w:rsidRDefault="00837133">
      <w:pPr>
        <w:pStyle w:val="1"/>
        <w:spacing w:line="480" w:lineRule="auto"/>
        <w:jc w:val="center"/>
        <w:rPr>
          <w:rFonts w:eastAsia="方正黑体简体"/>
          <w:b w:val="0"/>
          <w:kern w:val="2"/>
          <w:sz w:val="32"/>
          <w:szCs w:val="32"/>
        </w:rPr>
      </w:pPr>
      <w:bookmarkStart w:id="0" w:name="_Toc155267082"/>
      <w:bookmarkStart w:id="1" w:name="_Toc477252437"/>
      <w:bookmarkStart w:id="2" w:name="_Toc379795040"/>
      <w:r w:rsidRPr="0043038D">
        <w:rPr>
          <w:rFonts w:eastAsia="方正黑体简体"/>
          <w:b w:val="0"/>
          <w:kern w:val="2"/>
          <w:sz w:val="32"/>
          <w:szCs w:val="32"/>
        </w:rPr>
        <w:lastRenderedPageBreak/>
        <w:t>致估价委托人函</w:t>
      </w:r>
      <w:bookmarkEnd w:id="0"/>
      <w:bookmarkEnd w:id="1"/>
      <w:bookmarkEnd w:id="2"/>
    </w:p>
    <w:p w14:paraId="33A5F3E9" w14:textId="77777777" w:rsidR="000E5655" w:rsidRPr="0043038D" w:rsidRDefault="00837133">
      <w:pPr>
        <w:overflowPunct w:val="0"/>
        <w:spacing w:beforeLines="50" w:before="120" w:line="480" w:lineRule="auto"/>
        <w:jc w:val="both"/>
        <w:textAlignment w:val="auto"/>
        <w:rPr>
          <w:rFonts w:ascii="Arial" w:hAnsi="Arial" w:cs="Arial"/>
          <w:b/>
          <w:bCs/>
          <w:sz w:val="21"/>
          <w:szCs w:val="21"/>
        </w:rPr>
      </w:pPr>
      <w:r w:rsidRPr="0043038D">
        <w:rPr>
          <w:rFonts w:ascii="Arial" w:hAnsi="Arial" w:cs="Arial" w:hint="eastAsia"/>
          <w:b/>
          <w:bCs/>
          <w:sz w:val="21"/>
          <w:szCs w:val="21"/>
        </w:rPr>
        <w:t>北京市燕兴保障性住房建设投资有限公司</w:t>
      </w:r>
      <w:r w:rsidRPr="0043038D">
        <w:rPr>
          <w:rFonts w:ascii="Arial" w:hAnsi="Arial" w:cs="Arial"/>
          <w:b/>
          <w:bCs/>
          <w:sz w:val="21"/>
          <w:szCs w:val="21"/>
        </w:rPr>
        <w:t>：</w:t>
      </w:r>
    </w:p>
    <w:p w14:paraId="008AF1B6"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kern w:val="2"/>
          <w:sz w:val="21"/>
          <w:szCs w:val="21"/>
        </w:rPr>
        <w:t>受贵单位委托，我公司对</w:t>
      </w:r>
      <w:bookmarkStart w:id="3" w:name="_Hlk167715898"/>
      <w:r w:rsidRPr="0043038D">
        <w:rPr>
          <w:rFonts w:ascii="Arial" w:hAnsi="Arial" w:cs="Arial" w:hint="eastAsia"/>
          <w:kern w:val="2"/>
          <w:sz w:val="21"/>
          <w:szCs w:val="21"/>
        </w:rPr>
        <w:t>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二类居住用地（配建“保障性租赁住房”）项目（橡树湾）</w:t>
      </w:r>
      <w:bookmarkEnd w:id="3"/>
      <w:r w:rsidRPr="0043038D">
        <w:rPr>
          <w:rFonts w:ascii="Arial" w:hAnsi="Arial" w:cs="Arial" w:hint="eastAsia"/>
          <w:kern w:val="2"/>
          <w:sz w:val="21"/>
          <w:szCs w:val="21"/>
        </w:rPr>
        <w:t>保障性租赁住房（住宅型）项目同地段、同品质市场租赁住房租金</w:t>
      </w:r>
      <w:r w:rsidRPr="0043038D">
        <w:rPr>
          <w:rFonts w:ascii="Arial" w:hAnsi="Arial" w:cs="Arial"/>
          <w:kern w:val="2"/>
          <w:sz w:val="21"/>
          <w:szCs w:val="21"/>
        </w:rPr>
        <w:t>进行了评估。</w:t>
      </w:r>
    </w:p>
    <w:p w14:paraId="6D679234" w14:textId="77777777"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估价目的：</w:t>
      </w:r>
      <w:r w:rsidRPr="0043038D">
        <w:rPr>
          <w:rFonts w:ascii="Arial" w:hAnsi="Arial" w:cs="Arial" w:hint="eastAsia"/>
          <w:sz w:val="21"/>
          <w:szCs w:val="21"/>
        </w:rPr>
        <w:t>评估保障性租赁住房项目同地段同品质市场租赁住房租金，为有关单位合理确定或调整保障性租赁住房项目租金提供参考依据</w:t>
      </w:r>
      <w:r w:rsidRPr="0043038D">
        <w:rPr>
          <w:rFonts w:ascii="Arial" w:hAnsi="Arial" w:cs="Arial"/>
          <w:sz w:val="21"/>
          <w:szCs w:val="21"/>
        </w:rPr>
        <w:t>。</w:t>
      </w:r>
    </w:p>
    <w:p w14:paraId="3960D2D9" w14:textId="77777777"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估价对象：</w:t>
      </w:r>
      <w:r w:rsidRPr="0043038D">
        <w:rPr>
          <w:rFonts w:ascii="Arial" w:hAnsi="Arial" w:cs="Arial" w:hint="eastAsia"/>
          <w:sz w:val="21"/>
          <w:szCs w:val="21"/>
        </w:rPr>
        <w:t>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号楼</w:t>
      </w:r>
      <w:r w:rsidRPr="0043038D">
        <w:rPr>
          <w:rFonts w:ascii="Arial" w:hAnsi="Arial" w:cs="Arial" w:hint="eastAsia"/>
          <w:kern w:val="2"/>
          <w:sz w:val="21"/>
          <w:szCs w:val="21"/>
        </w:rPr>
        <w:t>保障性租赁住房。估价对象收购方为北京市燕兴保障性住房建设投资有限公司，所在项目现状四至为东至欣顺街，南至</w:t>
      </w:r>
      <w:r w:rsidRPr="0043038D">
        <w:rPr>
          <w:rFonts w:ascii="Arial" w:hAnsi="Arial" w:cs="Arial" w:hint="eastAsia"/>
          <w:kern w:val="2"/>
          <w:sz w:val="21"/>
          <w:szCs w:val="21"/>
        </w:rPr>
        <w:t>DX</w:t>
      </w:r>
      <w:r w:rsidRPr="0043038D">
        <w:rPr>
          <w:rFonts w:ascii="Arial" w:hAnsi="Arial" w:cs="Arial"/>
          <w:kern w:val="2"/>
          <w:sz w:val="21"/>
          <w:szCs w:val="21"/>
        </w:rPr>
        <w:t>04-0102-6012</w:t>
      </w:r>
      <w:r w:rsidRPr="0043038D">
        <w:rPr>
          <w:rFonts w:ascii="Arial" w:hAnsi="Arial" w:cs="Arial"/>
          <w:kern w:val="2"/>
          <w:sz w:val="21"/>
          <w:szCs w:val="21"/>
        </w:rPr>
        <w:t>地块北用地红线</w:t>
      </w:r>
      <w:r w:rsidRPr="0043038D">
        <w:rPr>
          <w:rFonts w:ascii="Arial" w:hAnsi="Arial" w:cs="Arial" w:hint="eastAsia"/>
          <w:kern w:val="2"/>
          <w:sz w:val="21"/>
          <w:szCs w:val="21"/>
        </w:rPr>
        <w:t>，西至欣业巷，北至宏旭东路，估价对象用途为</w:t>
      </w:r>
      <w:bookmarkStart w:id="4" w:name="_Hlk126329351"/>
      <w:r w:rsidRPr="0043038D">
        <w:rPr>
          <w:rFonts w:ascii="Arial" w:hAnsi="Arial" w:cs="Arial" w:hint="eastAsia"/>
          <w:kern w:val="2"/>
          <w:sz w:val="21"/>
          <w:szCs w:val="21"/>
        </w:rPr>
        <w:t>保障性租赁住房（住宅型）</w:t>
      </w:r>
      <w:bookmarkEnd w:id="4"/>
      <w:r w:rsidRPr="0043038D">
        <w:rPr>
          <w:rFonts w:ascii="Arial" w:hAnsi="Arial" w:cs="Arial" w:hint="eastAsia"/>
          <w:kern w:val="2"/>
          <w:sz w:val="21"/>
          <w:szCs w:val="21"/>
        </w:rPr>
        <w:t>，建筑面积为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14:paraId="0E5E24A0" w14:textId="77777777">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59AE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6A93B7F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4004DC0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14:paraId="157A41A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0E356B3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325F557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14:paraId="2B590028"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4CAFCDA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14:paraId="0F71CDC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14:paraId="1BF0D93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14:paraId="01C8C44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0E1DC5D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14:paraId="273B5C8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14:paraId="7573A475"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1067CDF5"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954F82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14:paraId="4BC113A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14:paraId="491C216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573AFCB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14:paraId="0CFD88B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14:paraId="2D9D2702"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7079089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一居室</w:t>
            </w:r>
          </w:p>
        </w:tc>
        <w:tc>
          <w:tcPr>
            <w:tcW w:w="1600" w:type="dxa"/>
            <w:tcBorders>
              <w:top w:val="nil"/>
              <w:left w:val="nil"/>
              <w:bottom w:val="single" w:sz="4" w:space="0" w:color="auto"/>
              <w:right w:val="single" w:sz="4" w:space="0" w:color="auto"/>
            </w:tcBorders>
            <w:shd w:val="clear" w:color="auto" w:fill="auto"/>
            <w:noWrap/>
            <w:vAlign w:val="center"/>
          </w:tcPr>
          <w:p w14:paraId="6E4CC02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14:paraId="1174BD3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14:paraId="468C86A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1815B48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14:paraId="13BBFB1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14:paraId="48CE8648"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0EE364C"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4DA5A86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14:paraId="673B148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14:paraId="608F1D1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6D5BCEF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14:paraId="76201B9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14:paraId="71123FB5"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60254B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14:paraId="1277F0A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14:paraId="1E58152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14:paraId="343054E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3D35222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3A6C8AB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14:paraId="2E73EDD0"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6422E98E"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2A66CE8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14:paraId="450D874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14:paraId="330C7DA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14:paraId="013D19A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14:paraId="200D048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14:paraId="75BA652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0771513"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370473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14:paraId="6567F75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14:paraId="60894A6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0DF8444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0860697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14:paraId="32E1F081"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AC8479E"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40702AF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14:paraId="2A2D839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14:paraId="2F1E691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3CB1548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14:paraId="7A05282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14:paraId="7C7D6850"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0D44F6B"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0BF78B7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14:paraId="32AD6A8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14:paraId="41DBCBC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14:paraId="28246C6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14:paraId="185E80B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14:paraId="4D62FB40"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217B1DB"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20F14E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14:paraId="67A081A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139AF14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3A273C8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0E4A246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14:paraId="0BC6AA67"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694DA7CE"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32B76B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14:paraId="1575D4A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646C98E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3533E97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14:paraId="2390F9A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14:paraId="4CF8AC7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5F83FB5F"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54F501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14:paraId="2EBF6CE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00C098E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77B6B35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370B70F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14:paraId="1614DAF4"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AFDF034"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AF4EEF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14:paraId="217FEE6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14:paraId="43EA486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14:paraId="0DE76BF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0226659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14:paraId="60EEE07F"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9208ED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14:paraId="3114DAE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14:paraId="081E68A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14:paraId="11A1598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14:paraId="75F49D3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443FDC2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14:paraId="6BBC069B"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472757C8"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4B5F5FD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14:paraId="24ED4A5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14:paraId="3E4A007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14:paraId="3801922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2F51AF3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14:paraId="09BB223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7564D8A"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34E969E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14:paraId="799049F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14:paraId="2F723F0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14:paraId="4CE9CA1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14:paraId="3FFA8B3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14:paraId="603825A7" w14:textId="77777777">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14:paraId="6B1D113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14:paraId="552963E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14:paraId="2FE9C24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14:paraId="35CEC3D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14:paraId="583C8CE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14:paraId="25F5C29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14:paraId="650953FA"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p w14:paraId="31E795A2" w14:textId="77777777"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价值时点：</w:t>
      </w:r>
      <w:r w:rsidRPr="0043038D">
        <w:rPr>
          <w:rFonts w:ascii="Arial" w:hAnsi="Arial" w:cs="Arial"/>
          <w:sz w:val="21"/>
          <w:szCs w:val="21"/>
        </w:rPr>
        <w:t>2024</w:t>
      </w:r>
      <w:r w:rsidRPr="0043038D">
        <w:rPr>
          <w:rFonts w:ascii="Arial" w:hAnsi="Arial" w:cs="Arial"/>
          <w:sz w:val="21"/>
          <w:szCs w:val="21"/>
        </w:rPr>
        <w:t>年</w:t>
      </w:r>
      <w:r w:rsidR="00C81EDB">
        <w:rPr>
          <w:rFonts w:ascii="Arial" w:hAnsi="Arial" w:cs="Arial"/>
          <w:sz w:val="21"/>
          <w:szCs w:val="21"/>
        </w:rPr>
        <w:t>10</w:t>
      </w:r>
      <w:r w:rsidR="00C81EDB">
        <w:rPr>
          <w:rFonts w:ascii="Arial" w:hAnsi="Arial" w:cs="Arial"/>
          <w:sz w:val="21"/>
          <w:szCs w:val="21"/>
        </w:rPr>
        <w:t>月</w:t>
      </w:r>
      <w:r w:rsidR="00C81EDB">
        <w:rPr>
          <w:rFonts w:ascii="Arial" w:hAnsi="Arial" w:cs="Arial"/>
          <w:sz w:val="21"/>
          <w:szCs w:val="21"/>
        </w:rPr>
        <w:t>14</w:t>
      </w:r>
      <w:r w:rsidRPr="0043038D">
        <w:rPr>
          <w:rFonts w:ascii="Arial" w:hAnsi="Arial" w:cs="Arial"/>
          <w:sz w:val="21"/>
          <w:szCs w:val="21"/>
        </w:rPr>
        <w:t>日</w:t>
      </w:r>
      <w:r w:rsidRPr="0043038D">
        <w:rPr>
          <w:rFonts w:ascii="Arial" w:hAnsi="Arial" w:cs="Arial" w:hint="eastAsia"/>
          <w:sz w:val="21"/>
          <w:szCs w:val="21"/>
        </w:rPr>
        <w:t>（根据《估价委托书》确定）</w:t>
      </w:r>
    </w:p>
    <w:p w14:paraId="1C642C57" w14:textId="77777777"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价值类型：</w:t>
      </w:r>
      <w:r w:rsidRPr="0043038D">
        <w:rPr>
          <w:rFonts w:ascii="Arial" w:hAnsi="Arial" w:cs="Arial" w:hint="eastAsia"/>
          <w:sz w:val="21"/>
          <w:szCs w:val="21"/>
        </w:rPr>
        <w:t>根据房地产评估的技术规程和本次估价目的，本次估价采用的是市场价值标准。</w:t>
      </w:r>
      <w:bookmarkStart w:id="5" w:name="_Hlk118454962"/>
      <w:r w:rsidRPr="0043038D">
        <w:rPr>
          <w:rFonts w:ascii="Arial" w:hAnsi="Arial" w:cs="Arial" w:hint="eastAsia"/>
          <w:sz w:val="21"/>
          <w:szCs w:val="21"/>
        </w:rPr>
        <w:t>市场租赁住房租金是指市场租赁住房于价值时点在公开市场上的平均租金，</w:t>
      </w:r>
      <w:bookmarkEnd w:id="5"/>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p w14:paraId="4A05B9D5" w14:textId="77777777"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b/>
          <w:bCs/>
          <w:sz w:val="21"/>
          <w:szCs w:val="21"/>
        </w:rPr>
        <w:t>估价方法：</w:t>
      </w:r>
      <w:r w:rsidRPr="0043038D">
        <w:rPr>
          <w:rFonts w:ascii="Arial" w:hAnsi="Arial" w:cs="Arial"/>
          <w:bCs/>
          <w:sz w:val="21"/>
          <w:szCs w:val="21"/>
        </w:rPr>
        <w:t>本次评估采用的估价方法为比较法</w:t>
      </w:r>
      <w:r w:rsidRPr="0043038D">
        <w:rPr>
          <w:rFonts w:ascii="Arial" w:hAnsi="Arial" w:cs="Arial"/>
          <w:sz w:val="21"/>
          <w:szCs w:val="21"/>
        </w:rPr>
        <w:t>。</w:t>
      </w:r>
    </w:p>
    <w:p w14:paraId="58B6EB02" w14:textId="77777777"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估价结果：</w:t>
      </w: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日同地段、同品质市场租赁住房租金为：</w:t>
      </w:r>
    </w:p>
    <w:p w14:paraId="11B050D4" w14:textId="77777777" w:rsidR="001520AF" w:rsidRPr="0043038D" w:rsidRDefault="001520AF" w:rsidP="001520AF">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零居室、一居室（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Pr>
          <w:rFonts w:ascii="Arial" w:hAnsi="Arial" w:cs="Arial" w:hint="eastAsia"/>
          <w:b/>
          <w:bCs/>
          <w:sz w:val="21"/>
          <w:szCs w:val="21"/>
        </w:rPr>
        <w:t>4.</w:t>
      </w:r>
      <w:r>
        <w:rPr>
          <w:rFonts w:ascii="Arial" w:hAnsi="Arial" w:cs="Arial"/>
          <w:b/>
          <w:bCs/>
          <w:sz w:val="21"/>
          <w:szCs w:val="21"/>
        </w:rPr>
        <w:t>89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3419A09F" w14:textId="77777777" w:rsidR="001520AF" w:rsidRPr="0043038D" w:rsidRDefault="001520AF" w:rsidP="001520AF">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43E045AF" w14:textId="5633B1CD" w:rsidR="000E5655" w:rsidRPr="0043038D" w:rsidRDefault="001520AF" w:rsidP="001520AF">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0DDE1641" w14:textId="77777777"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14:paraId="1C0880A0" w14:textId="77777777"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p w14:paraId="0D3B38C5" w14:textId="77777777"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14:paraId="33FD8B59" w14:textId="77777777" w:rsidR="000E5655" w:rsidRPr="0043038D" w:rsidRDefault="00837133">
      <w:p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（转下页）</w:t>
      </w:r>
    </w:p>
    <w:p w14:paraId="20D7AE80"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0D4E1DD3"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08DAD969"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4ED335A2"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17BD734D"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59FD1694"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（此页无正文）</w:t>
      </w:r>
    </w:p>
    <w:p w14:paraId="5D582227"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19230BB6"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7084FAEA"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389ACCE2"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顺致</w:t>
      </w:r>
    </w:p>
    <w:p w14:paraId="25B2C6E8"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56856CB9"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57A8E91F" w14:textId="77777777" w:rsidR="000E5655" w:rsidRPr="0043038D" w:rsidRDefault="00837133">
      <w:pPr>
        <w:spacing w:line="480" w:lineRule="auto"/>
        <w:ind w:firstLineChars="600" w:firstLine="1260"/>
        <w:jc w:val="both"/>
        <w:rPr>
          <w:rFonts w:ascii="Arial" w:hAnsi="Arial" w:cs="Arial"/>
          <w:sz w:val="21"/>
          <w:szCs w:val="21"/>
        </w:rPr>
      </w:pPr>
      <w:r w:rsidRPr="0043038D">
        <w:rPr>
          <w:rFonts w:ascii="Arial" w:hAnsi="Arial" w:cs="Arial"/>
          <w:sz w:val="21"/>
          <w:szCs w:val="21"/>
        </w:rPr>
        <w:t>商祺</w:t>
      </w:r>
    </w:p>
    <w:p w14:paraId="06042408"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tbl>
      <w:tblPr>
        <w:tblpPr w:leftFromText="180" w:rightFromText="180" w:vertAnchor="text" w:horzAnchor="margin" w:tblpXSpec="right" w:tblpY="1117"/>
        <w:tblW w:w="0" w:type="auto"/>
        <w:tblLook w:val="04A0" w:firstRow="1" w:lastRow="0" w:firstColumn="1" w:lastColumn="0" w:noHBand="0" w:noVBand="1"/>
      </w:tblPr>
      <w:tblGrid>
        <w:gridCol w:w="3402"/>
      </w:tblGrid>
      <w:tr w:rsidR="000E5655" w:rsidRPr="0043038D" w14:paraId="20DBAD66" w14:textId="77777777">
        <w:tc>
          <w:tcPr>
            <w:tcW w:w="3402" w:type="dxa"/>
          </w:tcPr>
          <w:p w14:paraId="67E6EB3F" w14:textId="77777777" w:rsidR="000E5655" w:rsidRPr="0043038D" w:rsidRDefault="00837133">
            <w:pPr>
              <w:spacing w:line="480" w:lineRule="auto"/>
              <w:rPr>
                <w:rFonts w:ascii="Arial" w:hAnsi="Arial" w:cs="Arial"/>
                <w:sz w:val="21"/>
                <w:szCs w:val="21"/>
              </w:rPr>
            </w:pPr>
            <w:r w:rsidRPr="0043038D">
              <w:rPr>
                <w:rFonts w:ascii="Arial" w:hAnsi="Arial" w:cs="Arial"/>
                <w:sz w:val="21"/>
                <w:szCs w:val="21"/>
              </w:rPr>
              <w:t>北京康正宏基房地产评估有限公司</w:t>
            </w:r>
          </w:p>
        </w:tc>
      </w:tr>
      <w:tr w:rsidR="000E5655" w:rsidRPr="0043038D" w14:paraId="2DDB668F" w14:textId="77777777">
        <w:trPr>
          <w:trHeight w:val="1298"/>
        </w:trPr>
        <w:tc>
          <w:tcPr>
            <w:tcW w:w="3402" w:type="dxa"/>
          </w:tcPr>
          <w:p w14:paraId="2697EFE8" w14:textId="77777777" w:rsidR="000E5655" w:rsidRPr="0043038D" w:rsidRDefault="00837133">
            <w:pPr>
              <w:spacing w:line="480" w:lineRule="auto"/>
              <w:rPr>
                <w:rFonts w:ascii="Arial" w:hAnsi="Arial" w:cs="Arial"/>
                <w:sz w:val="21"/>
                <w:szCs w:val="21"/>
              </w:rPr>
            </w:pPr>
            <w:r w:rsidRPr="0043038D">
              <w:rPr>
                <w:rFonts w:ascii="Arial" w:hAnsi="Arial" w:cs="Arial"/>
                <w:sz w:val="21"/>
                <w:szCs w:val="21"/>
              </w:rPr>
              <w:t>法定代表人：</w:t>
            </w:r>
          </w:p>
        </w:tc>
      </w:tr>
      <w:tr w:rsidR="000E5655" w:rsidRPr="0043038D" w14:paraId="1DFCEEA2" w14:textId="77777777">
        <w:tc>
          <w:tcPr>
            <w:tcW w:w="3402" w:type="dxa"/>
          </w:tcPr>
          <w:p w14:paraId="54FA362B" w14:textId="77777777" w:rsidR="000E5655" w:rsidRPr="0043038D" w:rsidRDefault="00837133">
            <w:pPr>
              <w:spacing w:line="480" w:lineRule="auto"/>
              <w:jc w:val="right"/>
              <w:rPr>
                <w:rFonts w:ascii="Arial" w:hAnsi="Arial" w:cs="Arial"/>
                <w:sz w:val="21"/>
                <w:szCs w:val="21"/>
              </w:rPr>
            </w:pPr>
            <w:r w:rsidRPr="0043038D">
              <w:rPr>
                <w:rFonts w:ascii="Arial" w:hAnsi="Arial" w:cs="Arial"/>
                <w:sz w:val="21"/>
                <w:szCs w:val="21"/>
              </w:rPr>
              <w:t>二〇二</w:t>
            </w:r>
            <w:r w:rsidRPr="0043038D">
              <w:rPr>
                <w:rFonts w:ascii="Arial" w:hAnsi="Arial" w:cs="Arial" w:hint="eastAsia"/>
                <w:sz w:val="21"/>
                <w:szCs w:val="21"/>
              </w:rPr>
              <w:t>四</w:t>
            </w:r>
            <w:r w:rsidRPr="0043038D">
              <w:rPr>
                <w:rFonts w:ascii="Arial" w:hAnsi="Arial" w:cs="Arial"/>
                <w:sz w:val="21"/>
                <w:szCs w:val="21"/>
              </w:rPr>
              <w:t>年</w:t>
            </w:r>
            <w:r w:rsidRPr="0043038D">
              <w:rPr>
                <w:rFonts w:ascii="Arial" w:hAnsi="Arial" w:cs="Arial" w:hint="eastAsia"/>
                <w:sz w:val="21"/>
                <w:szCs w:val="21"/>
              </w:rPr>
              <w:t>十</w:t>
            </w:r>
            <w:r w:rsidR="00D6006C" w:rsidRPr="0043038D">
              <w:rPr>
                <w:rFonts w:ascii="Arial" w:hAnsi="Arial" w:cs="Arial" w:hint="eastAsia"/>
                <w:sz w:val="21"/>
                <w:szCs w:val="21"/>
              </w:rPr>
              <w:t>一</w:t>
            </w:r>
            <w:r w:rsidRPr="0043038D">
              <w:rPr>
                <w:rFonts w:ascii="Arial" w:hAnsi="Arial" w:cs="Arial"/>
                <w:sz w:val="21"/>
                <w:szCs w:val="21"/>
              </w:rPr>
              <w:t>月</w:t>
            </w:r>
            <w:r w:rsidR="00D6006C" w:rsidRPr="0043038D">
              <w:rPr>
                <w:rFonts w:ascii="Arial" w:hAnsi="Arial" w:cs="Arial" w:hint="eastAsia"/>
                <w:sz w:val="21"/>
                <w:szCs w:val="21"/>
              </w:rPr>
              <w:t>五</w:t>
            </w:r>
            <w:r w:rsidRPr="0043038D">
              <w:rPr>
                <w:rFonts w:ascii="Arial" w:hAnsi="Arial" w:cs="Arial"/>
                <w:sz w:val="21"/>
                <w:szCs w:val="21"/>
              </w:rPr>
              <w:t>日</w:t>
            </w:r>
          </w:p>
        </w:tc>
      </w:tr>
    </w:tbl>
    <w:p w14:paraId="0B5B7C9E" w14:textId="77777777" w:rsidR="000E5655" w:rsidRPr="0043038D" w:rsidRDefault="000E5655">
      <w:pPr>
        <w:spacing w:line="480" w:lineRule="auto"/>
        <w:jc w:val="right"/>
        <w:rPr>
          <w:rFonts w:ascii="Arial" w:hAnsi="Arial" w:cs="Arial"/>
          <w:sz w:val="21"/>
          <w:szCs w:val="21"/>
        </w:rPr>
      </w:pPr>
    </w:p>
    <w:p w14:paraId="4FC882FA" w14:textId="77777777" w:rsidR="000E5655" w:rsidRPr="0043038D" w:rsidRDefault="000E5655">
      <w:pPr>
        <w:spacing w:line="480" w:lineRule="auto"/>
        <w:rPr>
          <w:rFonts w:ascii="Arial" w:hAnsi="Arial" w:cs="Arial"/>
          <w:sz w:val="21"/>
          <w:szCs w:val="21"/>
        </w:rPr>
      </w:pPr>
    </w:p>
    <w:p w14:paraId="5A5598E5" w14:textId="77777777" w:rsidR="000E5655" w:rsidRPr="0043038D" w:rsidRDefault="000E5655">
      <w:pPr>
        <w:rPr>
          <w:rFonts w:ascii="Arial" w:hAnsi="Arial" w:cs="Arial"/>
          <w:sz w:val="21"/>
          <w:szCs w:val="21"/>
        </w:rPr>
      </w:pPr>
    </w:p>
    <w:p w14:paraId="20D76E7F" w14:textId="77777777" w:rsidR="000E5655" w:rsidRPr="0043038D" w:rsidRDefault="000E5655">
      <w:pPr>
        <w:rPr>
          <w:rFonts w:ascii="Arial" w:hAnsi="Arial" w:cs="Arial"/>
          <w:sz w:val="21"/>
          <w:szCs w:val="21"/>
        </w:rPr>
      </w:pPr>
    </w:p>
    <w:p w14:paraId="03B6C7CC" w14:textId="77777777" w:rsidR="000E5655" w:rsidRPr="0043038D" w:rsidRDefault="000E5655">
      <w:pPr>
        <w:rPr>
          <w:rFonts w:ascii="Arial" w:hAnsi="Arial" w:cs="Arial"/>
          <w:sz w:val="21"/>
          <w:szCs w:val="21"/>
        </w:rPr>
      </w:pPr>
    </w:p>
    <w:p w14:paraId="161B7F6E" w14:textId="77777777" w:rsidR="000E5655" w:rsidRPr="0043038D" w:rsidRDefault="000E5655">
      <w:pPr>
        <w:rPr>
          <w:rFonts w:ascii="Arial" w:hAnsi="Arial" w:cs="Arial"/>
          <w:sz w:val="21"/>
          <w:szCs w:val="21"/>
        </w:rPr>
      </w:pPr>
    </w:p>
    <w:p w14:paraId="37F459C8" w14:textId="77777777" w:rsidR="000E5655" w:rsidRPr="0043038D" w:rsidRDefault="000E5655">
      <w:pPr>
        <w:rPr>
          <w:rFonts w:ascii="Arial" w:hAnsi="Arial" w:cs="Arial"/>
          <w:sz w:val="21"/>
          <w:szCs w:val="21"/>
        </w:rPr>
      </w:pPr>
    </w:p>
    <w:p w14:paraId="342517B0" w14:textId="77777777" w:rsidR="000E5655" w:rsidRPr="0043038D" w:rsidRDefault="000E5655">
      <w:pPr>
        <w:rPr>
          <w:rFonts w:ascii="Arial" w:hAnsi="Arial" w:cs="Arial"/>
          <w:sz w:val="21"/>
          <w:szCs w:val="21"/>
        </w:rPr>
      </w:pPr>
    </w:p>
    <w:p w14:paraId="0E0A801A" w14:textId="77777777" w:rsidR="000E5655" w:rsidRPr="0043038D" w:rsidRDefault="000E5655">
      <w:pPr>
        <w:rPr>
          <w:rFonts w:ascii="Arial" w:hAnsi="Arial" w:cs="Arial"/>
          <w:sz w:val="21"/>
          <w:szCs w:val="21"/>
        </w:rPr>
      </w:pPr>
    </w:p>
    <w:p w14:paraId="43E10BA9" w14:textId="77777777" w:rsidR="000E5655" w:rsidRPr="0043038D" w:rsidRDefault="000E5655">
      <w:pPr>
        <w:rPr>
          <w:rFonts w:ascii="Arial" w:hAnsi="Arial" w:cs="Arial"/>
          <w:sz w:val="21"/>
          <w:szCs w:val="21"/>
        </w:rPr>
      </w:pPr>
    </w:p>
    <w:p w14:paraId="2B891E4C" w14:textId="77777777" w:rsidR="000E5655" w:rsidRPr="0043038D" w:rsidRDefault="000E5655">
      <w:pPr>
        <w:rPr>
          <w:rFonts w:ascii="Arial" w:hAnsi="Arial" w:cs="Arial"/>
          <w:sz w:val="21"/>
          <w:szCs w:val="21"/>
        </w:rPr>
      </w:pPr>
    </w:p>
    <w:p w14:paraId="465C2386" w14:textId="77777777" w:rsidR="000E5655" w:rsidRPr="0043038D" w:rsidRDefault="000E5655">
      <w:pPr>
        <w:rPr>
          <w:rFonts w:ascii="Arial" w:hAnsi="Arial" w:cs="Arial"/>
          <w:sz w:val="21"/>
          <w:szCs w:val="21"/>
        </w:rPr>
      </w:pPr>
    </w:p>
    <w:p w14:paraId="57CBA452" w14:textId="77777777" w:rsidR="000E5655" w:rsidRPr="0043038D" w:rsidRDefault="000E5655">
      <w:pPr>
        <w:rPr>
          <w:rFonts w:ascii="Arial" w:hAnsi="Arial" w:cs="Arial"/>
          <w:sz w:val="21"/>
          <w:szCs w:val="21"/>
        </w:rPr>
      </w:pPr>
    </w:p>
    <w:p w14:paraId="3A6BB30F" w14:textId="77777777" w:rsidR="000E5655" w:rsidRPr="0043038D" w:rsidRDefault="000E5655">
      <w:pPr>
        <w:rPr>
          <w:rFonts w:ascii="Arial" w:hAnsi="Arial" w:cs="Arial"/>
          <w:sz w:val="21"/>
          <w:szCs w:val="21"/>
        </w:rPr>
      </w:pPr>
    </w:p>
    <w:p w14:paraId="50C1150C" w14:textId="77777777" w:rsidR="000E5655" w:rsidRPr="0043038D" w:rsidRDefault="000E5655">
      <w:pPr>
        <w:rPr>
          <w:rFonts w:ascii="Arial" w:hAnsi="Arial" w:cs="Arial"/>
          <w:sz w:val="21"/>
          <w:szCs w:val="21"/>
        </w:rPr>
      </w:pPr>
    </w:p>
    <w:p w14:paraId="1A515BF5" w14:textId="77777777" w:rsidR="000E5655" w:rsidRPr="0043038D" w:rsidRDefault="000E5655">
      <w:pPr>
        <w:rPr>
          <w:rFonts w:ascii="Arial" w:hAnsi="Arial" w:cs="Arial"/>
          <w:sz w:val="21"/>
          <w:szCs w:val="21"/>
        </w:rPr>
      </w:pPr>
    </w:p>
    <w:p w14:paraId="3E417D60" w14:textId="77777777" w:rsidR="000E5655" w:rsidRPr="0043038D" w:rsidRDefault="000E5655">
      <w:pPr>
        <w:rPr>
          <w:rFonts w:ascii="Arial" w:hAnsi="Arial" w:cs="Arial"/>
          <w:sz w:val="21"/>
          <w:szCs w:val="21"/>
        </w:rPr>
      </w:pPr>
    </w:p>
    <w:p w14:paraId="7173AEA1" w14:textId="77777777" w:rsidR="000E5655" w:rsidRPr="0043038D" w:rsidRDefault="000E5655">
      <w:pPr>
        <w:rPr>
          <w:rFonts w:ascii="Arial" w:hAnsi="Arial" w:cs="Arial"/>
          <w:sz w:val="21"/>
          <w:szCs w:val="21"/>
        </w:rPr>
      </w:pPr>
    </w:p>
    <w:p w14:paraId="7DFF3FC2" w14:textId="77777777" w:rsidR="000E5655" w:rsidRPr="0043038D" w:rsidRDefault="000E5655">
      <w:pPr>
        <w:rPr>
          <w:rFonts w:ascii="Arial" w:hAnsi="Arial" w:cs="Arial"/>
          <w:sz w:val="21"/>
          <w:szCs w:val="21"/>
        </w:rPr>
      </w:pPr>
    </w:p>
    <w:p w14:paraId="443DFD9F" w14:textId="77777777" w:rsidR="000E5655" w:rsidRPr="0043038D" w:rsidRDefault="000E5655">
      <w:pPr>
        <w:rPr>
          <w:rFonts w:ascii="Arial" w:hAnsi="Arial" w:cs="Arial"/>
          <w:sz w:val="21"/>
          <w:szCs w:val="21"/>
        </w:rPr>
      </w:pPr>
    </w:p>
    <w:p w14:paraId="19379840" w14:textId="77777777" w:rsidR="000E5655" w:rsidRPr="0043038D" w:rsidRDefault="000E5655">
      <w:pPr>
        <w:rPr>
          <w:rFonts w:ascii="Arial" w:hAnsi="Arial" w:cs="Arial"/>
          <w:sz w:val="21"/>
          <w:szCs w:val="21"/>
        </w:rPr>
      </w:pPr>
    </w:p>
    <w:p w14:paraId="04D8A0C7" w14:textId="77777777" w:rsidR="000E5655" w:rsidRPr="0043038D" w:rsidRDefault="000E5655">
      <w:pPr>
        <w:jc w:val="center"/>
        <w:rPr>
          <w:rFonts w:ascii="Arial" w:hAnsi="Arial" w:cs="Arial"/>
          <w:sz w:val="21"/>
          <w:szCs w:val="21"/>
        </w:rPr>
      </w:pPr>
    </w:p>
    <w:p w14:paraId="059C9763" w14:textId="77777777" w:rsidR="000E5655" w:rsidRPr="0043038D" w:rsidRDefault="000E5655">
      <w:pPr>
        <w:rPr>
          <w:rFonts w:ascii="Arial" w:hAnsi="Arial" w:cs="Arial"/>
          <w:sz w:val="21"/>
          <w:szCs w:val="21"/>
        </w:rPr>
      </w:pPr>
    </w:p>
    <w:p w14:paraId="63686111" w14:textId="77777777" w:rsidR="000E5655" w:rsidRPr="0043038D" w:rsidRDefault="000E5655">
      <w:pPr>
        <w:rPr>
          <w:rFonts w:ascii="Arial" w:hAnsi="Arial" w:cs="Arial"/>
          <w:sz w:val="21"/>
          <w:szCs w:val="21"/>
        </w:rPr>
        <w:sectPr w:rsidR="000E5655" w:rsidRPr="0043038D">
          <w:headerReference w:type="even" r:id="rId14"/>
          <w:headerReference w:type="default" r:id="rId15"/>
          <w:headerReference w:type="first" r:id="rId16"/>
          <w:pgSz w:w="11907" w:h="16840"/>
          <w:pgMar w:top="1843" w:right="1134" w:bottom="1134" w:left="1134" w:header="1134" w:footer="907" w:gutter="340"/>
          <w:pgNumType w:start="1"/>
          <w:cols w:space="720"/>
          <w:docGrid w:linePitch="326"/>
        </w:sectPr>
      </w:pPr>
    </w:p>
    <w:p w14:paraId="3660BA8B" w14:textId="77777777" w:rsidR="000E5655" w:rsidRPr="0043038D" w:rsidRDefault="00837133">
      <w:pPr>
        <w:spacing w:line="480" w:lineRule="auto"/>
        <w:jc w:val="center"/>
        <w:outlineLvl w:val="0"/>
        <w:rPr>
          <w:rFonts w:ascii="Arial" w:eastAsia="方正黑体简体" w:hAnsi="Arial" w:cs="Arial"/>
          <w:sz w:val="32"/>
          <w:szCs w:val="32"/>
        </w:rPr>
      </w:pPr>
      <w:r w:rsidRPr="0043038D">
        <w:rPr>
          <w:rFonts w:ascii="Arial" w:eastAsia="方正黑体简体" w:hAnsi="Arial" w:cs="Arial" w:hint="eastAsia"/>
          <w:sz w:val="32"/>
          <w:szCs w:val="32"/>
        </w:rPr>
        <w:t>目</w:t>
      </w:r>
      <w:r w:rsidRPr="0043038D">
        <w:rPr>
          <w:rFonts w:ascii="Arial" w:eastAsia="方正黑体简体" w:hAnsi="Arial" w:cs="Arial" w:hint="eastAsia"/>
          <w:sz w:val="32"/>
          <w:szCs w:val="32"/>
        </w:rPr>
        <w:t xml:space="preserve">   </w:t>
      </w:r>
      <w:r w:rsidRPr="0043038D">
        <w:rPr>
          <w:rFonts w:ascii="Arial" w:eastAsia="方正黑体简体" w:hAnsi="Arial" w:cs="Arial" w:hint="eastAsia"/>
          <w:sz w:val="32"/>
          <w:szCs w:val="32"/>
        </w:rPr>
        <w:t>录</w:t>
      </w:r>
    </w:p>
    <w:p w14:paraId="37E13984" w14:textId="77777777" w:rsidR="000E5655" w:rsidRPr="0043038D" w:rsidRDefault="00837133">
      <w:pPr>
        <w:pStyle w:val="10"/>
        <w:rPr>
          <w:rFonts w:ascii="等线" w:eastAsia="等线" w:hAnsi="等线"/>
          <w:b w:val="0"/>
          <w:bCs w:val="0"/>
          <w:noProof/>
          <w:kern w:val="2"/>
          <w:sz w:val="24"/>
          <w:szCs w:val="24"/>
        </w:rPr>
      </w:pPr>
      <w:r w:rsidRPr="0043038D">
        <w:rPr>
          <w:rFonts w:ascii="宋体" w:eastAsia="宋体" w:hAnsi="宋体" w:cs="Arial"/>
          <w:sz w:val="24"/>
          <w:szCs w:val="24"/>
        </w:rPr>
        <w:fldChar w:fldCharType="begin"/>
      </w:r>
      <w:r w:rsidRPr="0043038D">
        <w:rPr>
          <w:rFonts w:ascii="宋体" w:eastAsia="宋体" w:hAnsi="宋体" w:cs="Arial"/>
          <w:sz w:val="24"/>
          <w:szCs w:val="24"/>
        </w:rPr>
        <w:instrText xml:space="preserve"> TOC \o "1-3" \h \z </w:instrText>
      </w:r>
      <w:r w:rsidRPr="0043038D">
        <w:rPr>
          <w:rFonts w:ascii="宋体" w:eastAsia="宋体" w:hAnsi="宋体" w:cs="Arial"/>
          <w:sz w:val="24"/>
          <w:szCs w:val="24"/>
        </w:rPr>
        <w:fldChar w:fldCharType="separate"/>
      </w:r>
      <w:hyperlink w:anchor="_Toc155267082" w:history="1">
        <w:r w:rsidRPr="0043038D">
          <w:rPr>
            <w:rStyle w:val="af5"/>
            <w:rFonts w:eastAsia="方正黑体简体"/>
            <w:noProof/>
            <w:sz w:val="24"/>
            <w:szCs w:val="24"/>
          </w:rPr>
          <w:t>致估价委托人函</w:t>
        </w:r>
        <w:r w:rsidRPr="0043038D">
          <w:rPr>
            <w:noProof/>
            <w:sz w:val="24"/>
            <w:szCs w:val="24"/>
          </w:rPr>
          <w:tab/>
        </w:r>
        <w:r w:rsidRPr="0043038D">
          <w:rPr>
            <w:noProof/>
            <w:sz w:val="24"/>
            <w:szCs w:val="24"/>
          </w:rPr>
          <w:fldChar w:fldCharType="begin"/>
        </w:r>
        <w:r w:rsidRPr="0043038D">
          <w:rPr>
            <w:noProof/>
            <w:sz w:val="24"/>
            <w:szCs w:val="24"/>
          </w:rPr>
          <w:instrText xml:space="preserve"> PAGEREF _Toc155267082 \h </w:instrText>
        </w:r>
        <w:r w:rsidRPr="0043038D">
          <w:rPr>
            <w:noProof/>
            <w:sz w:val="24"/>
            <w:szCs w:val="24"/>
          </w:rPr>
        </w:r>
        <w:r w:rsidRPr="0043038D">
          <w:rPr>
            <w:noProof/>
            <w:sz w:val="24"/>
            <w:szCs w:val="24"/>
          </w:rPr>
          <w:fldChar w:fldCharType="separate"/>
        </w:r>
        <w:r w:rsidR="00332E91">
          <w:rPr>
            <w:noProof/>
            <w:sz w:val="24"/>
            <w:szCs w:val="24"/>
          </w:rPr>
          <w:t>1</w:t>
        </w:r>
        <w:r w:rsidRPr="0043038D">
          <w:rPr>
            <w:noProof/>
            <w:sz w:val="24"/>
            <w:szCs w:val="24"/>
          </w:rPr>
          <w:fldChar w:fldCharType="end"/>
        </w:r>
      </w:hyperlink>
    </w:p>
    <w:p w14:paraId="566860AE" w14:textId="77777777" w:rsidR="000E5655" w:rsidRPr="0043038D" w:rsidRDefault="00335FB5">
      <w:pPr>
        <w:pStyle w:val="10"/>
        <w:rPr>
          <w:rFonts w:ascii="等线" w:eastAsia="等线" w:hAnsi="等线"/>
          <w:b w:val="0"/>
          <w:bCs w:val="0"/>
          <w:noProof/>
          <w:kern w:val="2"/>
          <w:sz w:val="24"/>
          <w:szCs w:val="24"/>
        </w:rPr>
      </w:pPr>
      <w:hyperlink w:anchor="_Toc155267083" w:history="1">
        <w:r w:rsidR="00837133" w:rsidRPr="0043038D">
          <w:rPr>
            <w:rStyle w:val="af5"/>
            <w:rFonts w:eastAsia="方正黑体简体"/>
            <w:noProof/>
            <w:sz w:val="24"/>
            <w:szCs w:val="24"/>
          </w:rPr>
          <w:t>估价师声明</w:t>
        </w:r>
        <w:r w:rsidR="00837133" w:rsidRPr="0043038D">
          <w:rPr>
            <w:noProof/>
            <w:sz w:val="24"/>
            <w:szCs w:val="24"/>
          </w:rPr>
          <w:tab/>
        </w:r>
        <w:r w:rsidR="00837133" w:rsidRPr="0043038D">
          <w:rPr>
            <w:noProof/>
            <w:sz w:val="24"/>
            <w:szCs w:val="24"/>
          </w:rPr>
          <w:fldChar w:fldCharType="begin"/>
        </w:r>
        <w:r w:rsidR="00837133" w:rsidRPr="0043038D">
          <w:rPr>
            <w:noProof/>
            <w:sz w:val="24"/>
            <w:szCs w:val="24"/>
          </w:rPr>
          <w:instrText xml:space="preserve"> PAGEREF _Toc155267083 \h </w:instrText>
        </w:r>
        <w:r w:rsidR="00837133" w:rsidRPr="0043038D">
          <w:rPr>
            <w:noProof/>
            <w:sz w:val="24"/>
            <w:szCs w:val="24"/>
          </w:rPr>
        </w:r>
        <w:r w:rsidR="00837133" w:rsidRPr="0043038D">
          <w:rPr>
            <w:noProof/>
            <w:sz w:val="24"/>
            <w:szCs w:val="24"/>
          </w:rPr>
          <w:fldChar w:fldCharType="separate"/>
        </w:r>
        <w:r w:rsidR="00332E91">
          <w:rPr>
            <w:noProof/>
            <w:sz w:val="24"/>
            <w:szCs w:val="24"/>
          </w:rPr>
          <w:t>6</w:t>
        </w:r>
        <w:r w:rsidR="00837133" w:rsidRPr="0043038D">
          <w:rPr>
            <w:noProof/>
            <w:sz w:val="24"/>
            <w:szCs w:val="24"/>
          </w:rPr>
          <w:fldChar w:fldCharType="end"/>
        </w:r>
      </w:hyperlink>
    </w:p>
    <w:p w14:paraId="7D51EA58" w14:textId="77777777" w:rsidR="000E5655" w:rsidRPr="0043038D" w:rsidRDefault="00335FB5">
      <w:pPr>
        <w:pStyle w:val="10"/>
        <w:rPr>
          <w:rFonts w:ascii="等线" w:eastAsia="等线" w:hAnsi="等线"/>
          <w:b w:val="0"/>
          <w:bCs w:val="0"/>
          <w:noProof/>
          <w:kern w:val="2"/>
          <w:sz w:val="24"/>
          <w:szCs w:val="24"/>
        </w:rPr>
      </w:pPr>
      <w:hyperlink w:anchor="_Toc155267084" w:history="1">
        <w:r w:rsidR="00837133" w:rsidRPr="0043038D">
          <w:rPr>
            <w:rStyle w:val="af5"/>
            <w:rFonts w:eastAsia="方正黑体简体"/>
            <w:noProof/>
            <w:sz w:val="24"/>
            <w:szCs w:val="24"/>
          </w:rPr>
          <w:t>估价假设和限制条件</w:t>
        </w:r>
        <w:r w:rsidR="00837133" w:rsidRPr="0043038D">
          <w:rPr>
            <w:noProof/>
            <w:sz w:val="24"/>
            <w:szCs w:val="24"/>
          </w:rPr>
          <w:tab/>
        </w:r>
        <w:r w:rsidR="00837133" w:rsidRPr="0043038D">
          <w:rPr>
            <w:noProof/>
            <w:sz w:val="24"/>
            <w:szCs w:val="24"/>
          </w:rPr>
          <w:fldChar w:fldCharType="begin"/>
        </w:r>
        <w:r w:rsidR="00837133" w:rsidRPr="0043038D">
          <w:rPr>
            <w:noProof/>
            <w:sz w:val="24"/>
            <w:szCs w:val="24"/>
          </w:rPr>
          <w:instrText xml:space="preserve"> PAGEREF _Toc155267084 \h </w:instrText>
        </w:r>
        <w:r w:rsidR="00837133" w:rsidRPr="0043038D">
          <w:rPr>
            <w:noProof/>
            <w:sz w:val="24"/>
            <w:szCs w:val="24"/>
          </w:rPr>
        </w:r>
        <w:r w:rsidR="00837133" w:rsidRPr="0043038D">
          <w:rPr>
            <w:noProof/>
            <w:sz w:val="24"/>
            <w:szCs w:val="24"/>
          </w:rPr>
          <w:fldChar w:fldCharType="separate"/>
        </w:r>
        <w:r w:rsidR="00332E91">
          <w:rPr>
            <w:noProof/>
            <w:sz w:val="24"/>
            <w:szCs w:val="24"/>
          </w:rPr>
          <w:t>7</w:t>
        </w:r>
        <w:r w:rsidR="00837133" w:rsidRPr="0043038D">
          <w:rPr>
            <w:noProof/>
            <w:sz w:val="24"/>
            <w:szCs w:val="24"/>
          </w:rPr>
          <w:fldChar w:fldCharType="end"/>
        </w:r>
      </w:hyperlink>
    </w:p>
    <w:p w14:paraId="4A982AD4" w14:textId="77777777" w:rsidR="000E5655" w:rsidRPr="0043038D" w:rsidRDefault="00335FB5">
      <w:pPr>
        <w:pStyle w:val="10"/>
        <w:rPr>
          <w:rFonts w:ascii="等线" w:eastAsia="等线" w:hAnsi="等线"/>
          <w:b w:val="0"/>
          <w:bCs w:val="0"/>
          <w:noProof/>
          <w:kern w:val="2"/>
          <w:sz w:val="24"/>
          <w:szCs w:val="24"/>
        </w:rPr>
      </w:pPr>
      <w:hyperlink w:anchor="_Toc155267085" w:history="1">
        <w:r w:rsidR="00837133" w:rsidRPr="0043038D">
          <w:rPr>
            <w:rStyle w:val="af5"/>
            <w:rFonts w:eastAsia="方正黑体简体"/>
            <w:noProof/>
            <w:sz w:val="24"/>
            <w:szCs w:val="24"/>
          </w:rPr>
          <w:t>估价结果报告</w:t>
        </w:r>
        <w:r w:rsidR="00837133" w:rsidRPr="0043038D">
          <w:rPr>
            <w:noProof/>
            <w:sz w:val="24"/>
            <w:szCs w:val="24"/>
          </w:rPr>
          <w:tab/>
        </w:r>
        <w:r w:rsidR="00837133" w:rsidRPr="0043038D">
          <w:rPr>
            <w:noProof/>
            <w:sz w:val="24"/>
            <w:szCs w:val="24"/>
          </w:rPr>
          <w:fldChar w:fldCharType="begin"/>
        </w:r>
        <w:r w:rsidR="00837133" w:rsidRPr="0043038D">
          <w:rPr>
            <w:noProof/>
            <w:sz w:val="24"/>
            <w:szCs w:val="24"/>
          </w:rPr>
          <w:instrText xml:space="preserve"> PAGEREF _Toc155267085 \h </w:instrText>
        </w:r>
        <w:r w:rsidR="00837133" w:rsidRPr="0043038D">
          <w:rPr>
            <w:noProof/>
            <w:sz w:val="24"/>
            <w:szCs w:val="24"/>
          </w:rPr>
        </w:r>
        <w:r w:rsidR="00837133" w:rsidRPr="0043038D">
          <w:rPr>
            <w:noProof/>
            <w:sz w:val="24"/>
            <w:szCs w:val="24"/>
          </w:rPr>
          <w:fldChar w:fldCharType="separate"/>
        </w:r>
        <w:r w:rsidR="00332E91">
          <w:rPr>
            <w:noProof/>
            <w:sz w:val="24"/>
            <w:szCs w:val="24"/>
          </w:rPr>
          <w:t>10</w:t>
        </w:r>
        <w:r w:rsidR="00837133" w:rsidRPr="0043038D">
          <w:rPr>
            <w:noProof/>
            <w:sz w:val="24"/>
            <w:szCs w:val="24"/>
          </w:rPr>
          <w:fldChar w:fldCharType="end"/>
        </w:r>
      </w:hyperlink>
    </w:p>
    <w:p w14:paraId="4AAFE068" w14:textId="77777777" w:rsidR="000E5655" w:rsidRPr="0043038D" w:rsidRDefault="00335FB5">
      <w:pPr>
        <w:pStyle w:val="21"/>
        <w:rPr>
          <w:rFonts w:ascii="等线" w:eastAsia="等线" w:hAnsi="等线"/>
          <w:noProof/>
          <w:kern w:val="2"/>
          <w:sz w:val="21"/>
          <w:szCs w:val="21"/>
        </w:rPr>
      </w:pPr>
      <w:hyperlink w:anchor="_Toc155267086" w:history="1">
        <w:r w:rsidR="00837133" w:rsidRPr="0043038D">
          <w:rPr>
            <w:rStyle w:val="af5"/>
            <w:rFonts w:eastAsia="宋体"/>
            <w:noProof/>
            <w:sz w:val="21"/>
            <w:szCs w:val="21"/>
          </w:rPr>
          <w:t>一、估价委托人</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_Toc155267086 \h </w:instrText>
        </w:r>
        <w:r w:rsidR="00837133" w:rsidRPr="0043038D">
          <w:rPr>
            <w:noProof/>
            <w:sz w:val="21"/>
            <w:szCs w:val="21"/>
          </w:rPr>
        </w:r>
        <w:r w:rsidR="00837133" w:rsidRPr="0043038D">
          <w:rPr>
            <w:noProof/>
            <w:sz w:val="21"/>
            <w:szCs w:val="21"/>
          </w:rPr>
          <w:fldChar w:fldCharType="separate"/>
        </w:r>
        <w:r w:rsidR="00332E91">
          <w:rPr>
            <w:noProof/>
            <w:sz w:val="21"/>
            <w:szCs w:val="21"/>
          </w:rPr>
          <w:t>10</w:t>
        </w:r>
        <w:r w:rsidR="00837133" w:rsidRPr="0043038D">
          <w:rPr>
            <w:noProof/>
            <w:sz w:val="21"/>
            <w:szCs w:val="21"/>
          </w:rPr>
          <w:fldChar w:fldCharType="end"/>
        </w:r>
      </w:hyperlink>
    </w:p>
    <w:p w14:paraId="5840C401" w14:textId="77777777" w:rsidR="000E5655" w:rsidRPr="0043038D" w:rsidRDefault="00335FB5">
      <w:pPr>
        <w:pStyle w:val="21"/>
        <w:rPr>
          <w:rFonts w:ascii="等线" w:eastAsia="等线" w:hAnsi="等线"/>
          <w:noProof/>
          <w:kern w:val="2"/>
          <w:sz w:val="21"/>
          <w:szCs w:val="21"/>
        </w:rPr>
      </w:pPr>
      <w:hyperlink w:anchor="_Toc155267087" w:history="1">
        <w:r w:rsidR="00837133" w:rsidRPr="0043038D">
          <w:rPr>
            <w:rStyle w:val="af5"/>
            <w:rFonts w:eastAsia="宋体"/>
            <w:noProof/>
            <w:sz w:val="21"/>
            <w:szCs w:val="21"/>
          </w:rPr>
          <w:t>二、房地产估价机构</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_Toc155267087 \h </w:instrText>
        </w:r>
        <w:r w:rsidR="00837133" w:rsidRPr="0043038D">
          <w:rPr>
            <w:noProof/>
            <w:sz w:val="21"/>
            <w:szCs w:val="21"/>
          </w:rPr>
        </w:r>
        <w:r w:rsidR="00837133" w:rsidRPr="0043038D">
          <w:rPr>
            <w:noProof/>
            <w:sz w:val="21"/>
            <w:szCs w:val="21"/>
          </w:rPr>
          <w:fldChar w:fldCharType="separate"/>
        </w:r>
        <w:r w:rsidR="00332E91">
          <w:rPr>
            <w:noProof/>
            <w:sz w:val="21"/>
            <w:szCs w:val="21"/>
          </w:rPr>
          <w:t>10</w:t>
        </w:r>
        <w:r w:rsidR="00837133" w:rsidRPr="0043038D">
          <w:rPr>
            <w:noProof/>
            <w:sz w:val="21"/>
            <w:szCs w:val="21"/>
          </w:rPr>
          <w:fldChar w:fldCharType="end"/>
        </w:r>
      </w:hyperlink>
    </w:p>
    <w:p w14:paraId="47AC4C7B" w14:textId="77777777" w:rsidR="000E5655" w:rsidRPr="0043038D" w:rsidRDefault="00335FB5">
      <w:pPr>
        <w:pStyle w:val="21"/>
        <w:rPr>
          <w:rFonts w:ascii="等线" w:eastAsia="等线" w:hAnsi="等线"/>
          <w:noProof/>
          <w:kern w:val="2"/>
          <w:sz w:val="21"/>
          <w:szCs w:val="21"/>
        </w:rPr>
      </w:pPr>
      <w:hyperlink w:anchor="_Toc155267088" w:history="1">
        <w:r w:rsidR="00837133" w:rsidRPr="0043038D">
          <w:rPr>
            <w:rStyle w:val="af5"/>
            <w:rFonts w:eastAsia="宋体"/>
            <w:noProof/>
            <w:sz w:val="21"/>
            <w:szCs w:val="21"/>
          </w:rPr>
          <w:t>三、估价目的</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_Toc155267088 \h </w:instrText>
        </w:r>
        <w:r w:rsidR="00837133" w:rsidRPr="0043038D">
          <w:rPr>
            <w:noProof/>
            <w:sz w:val="21"/>
            <w:szCs w:val="21"/>
          </w:rPr>
        </w:r>
        <w:r w:rsidR="00837133" w:rsidRPr="0043038D">
          <w:rPr>
            <w:noProof/>
            <w:sz w:val="21"/>
            <w:szCs w:val="21"/>
          </w:rPr>
          <w:fldChar w:fldCharType="separate"/>
        </w:r>
        <w:r w:rsidR="00332E91">
          <w:rPr>
            <w:noProof/>
            <w:sz w:val="21"/>
            <w:szCs w:val="21"/>
          </w:rPr>
          <w:t>10</w:t>
        </w:r>
        <w:r w:rsidR="00837133" w:rsidRPr="0043038D">
          <w:rPr>
            <w:noProof/>
            <w:sz w:val="21"/>
            <w:szCs w:val="21"/>
          </w:rPr>
          <w:fldChar w:fldCharType="end"/>
        </w:r>
      </w:hyperlink>
    </w:p>
    <w:p w14:paraId="37FED6A9" w14:textId="77777777" w:rsidR="000E5655" w:rsidRPr="0043038D" w:rsidRDefault="00335FB5">
      <w:pPr>
        <w:pStyle w:val="21"/>
        <w:rPr>
          <w:rFonts w:ascii="等线" w:eastAsia="等线" w:hAnsi="等线"/>
          <w:noProof/>
          <w:kern w:val="2"/>
          <w:sz w:val="21"/>
          <w:szCs w:val="21"/>
        </w:rPr>
      </w:pPr>
      <w:hyperlink w:anchor="_Toc155267089" w:history="1">
        <w:r w:rsidR="00837133" w:rsidRPr="0043038D">
          <w:rPr>
            <w:rStyle w:val="af5"/>
            <w:rFonts w:eastAsia="宋体"/>
            <w:noProof/>
            <w:sz w:val="21"/>
            <w:szCs w:val="21"/>
          </w:rPr>
          <w:t>四、估价对象</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_Toc155267089 \h </w:instrText>
        </w:r>
        <w:r w:rsidR="00837133" w:rsidRPr="0043038D">
          <w:rPr>
            <w:noProof/>
            <w:sz w:val="21"/>
            <w:szCs w:val="21"/>
          </w:rPr>
        </w:r>
        <w:r w:rsidR="00837133" w:rsidRPr="0043038D">
          <w:rPr>
            <w:noProof/>
            <w:sz w:val="21"/>
            <w:szCs w:val="21"/>
          </w:rPr>
          <w:fldChar w:fldCharType="separate"/>
        </w:r>
        <w:r w:rsidR="00332E91">
          <w:rPr>
            <w:noProof/>
            <w:sz w:val="21"/>
            <w:szCs w:val="21"/>
          </w:rPr>
          <w:t>10</w:t>
        </w:r>
        <w:r w:rsidR="00837133" w:rsidRPr="0043038D">
          <w:rPr>
            <w:noProof/>
            <w:sz w:val="21"/>
            <w:szCs w:val="21"/>
          </w:rPr>
          <w:fldChar w:fldCharType="end"/>
        </w:r>
      </w:hyperlink>
    </w:p>
    <w:p w14:paraId="467DF247" w14:textId="77777777" w:rsidR="000E5655" w:rsidRPr="0043038D" w:rsidRDefault="00335FB5">
      <w:pPr>
        <w:pStyle w:val="21"/>
        <w:rPr>
          <w:rFonts w:ascii="等线" w:eastAsia="等线" w:hAnsi="等线"/>
          <w:noProof/>
          <w:kern w:val="2"/>
          <w:sz w:val="21"/>
          <w:szCs w:val="21"/>
        </w:rPr>
      </w:pPr>
      <w:hyperlink w:anchor="_Toc155267090" w:history="1">
        <w:r w:rsidR="00837133" w:rsidRPr="0043038D">
          <w:rPr>
            <w:rStyle w:val="af5"/>
            <w:rFonts w:eastAsia="宋体"/>
            <w:noProof/>
            <w:sz w:val="21"/>
            <w:szCs w:val="21"/>
          </w:rPr>
          <w:t>五、价值时点</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_Toc155267090 \h </w:instrText>
        </w:r>
        <w:r w:rsidR="00837133" w:rsidRPr="0043038D">
          <w:rPr>
            <w:noProof/>
            <w:sz w:val="21"/>
            <w:szCs w:val="21"/>
          </w:rPr>
        </w:r>
        <w:r w:rsidR="00837133" w:rsidRPr="0043038D">
          <w:rPr>
            <w:noProof/>
            <w:sz w:val="21"/>
            <w:szCs w:val="21"/>
          </w:rPr>
          <w:fldChar w:fldCharType="separate"/>
        </w:r>
        <w:r w:rsidR="00332E91">
          <w:rPr>
            <w:noProof/>
            <w:sz w:val="21"/>
            <w:szCs w:val="21"/>
          </w:rPr>
          <w:t>14</w:t>
        </w:r>
        <w:r w:rsidR="00837133" w:rsidRPr="0043038D">
          <w:rPr>
            <w:noProof/>
            <w:sz w:val="21"/>
            <w:szCs w:val="21"/>
          </w:rPr>
          <w:fldChar w:fldCharType="end"/>
        </w:r>
      </w:hyperlink>
    </w:p>
    <w:p w14:paraId="68C4624F" w14:textId="77777777" w:rsidR="000E5655" w:rsidRPr="0043038D" w:rsidRDefault="00335FB5">
      <w:pPr>
        <w:pStyle w:val="21"/>
        <w:rPr>
          <w:rFonts w:ascii="等线" w:eastAsia="等线" w:hAnsi="等线"/>
          <w:noProof/>
          <w:kern w:val="2"/>
          <w:sz w:val="21"/>
          <w:szCs w:val="21"/>
        </w:rPr>
      </w:pPr>
      <w:hyperlink w:anchor="_Toc155267091" w:history="1">
        <w:r w:rsidR="00837133" w:rsidRPr="0043038D">
          <w:rPr>
            <w:rStyle w:val="af5"/>
            <w:rFonts w:eastAsia="宋体"/>
            <w:noProof/>
            <w:sz w:val="21"/>
            <w:szCs w:val="21"/>
          </w:rPr>
          <w:t>六、价值类型</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_Toc155267091 \h </w:instrText>
        </w:r>
        <w:r w:rsidR="00837133" w:rsidRPr="0043038D">
          <w:rPr>
            <w:noProof/>
            <w:sz w:val="21"/>
            <w:szCs w:val="21"/>
          </w:rPr>
        </w:r>
        <w:r w:rsidR="00837133" w:rsidRPr="0043038D">
          <w:rPr>
            <w:noProof/>
            <w:sz w:val="21"/>
            <w:szCs w:val="21"/>
          </w:rPr>
          <w:fldChar w:fldCharType="separate"/>
        </w:r>
        <w:r w:rsidR="00332E91">
          <w:rPr>
            <w:noProof/>
            <w:sz w:val="21"/>
            <w:szCs w:val="21"/>
          </w:rPr>
          <w:t>14</w:t>
        </w:r>
        <w:r w:rsidR="00837133" w:rsidRPr="0043038D">
          <w:rPr>
            <w:noProof/>
            <w:sz w:val="21"/>
            <w:szCs w:val="21"/>
          </w:rPr>
          <w:fldChar w:fldCharType="end"/>
        </w:r>
      </w:hyperlink>
    </w:p>
    <w:p w14:paraId="50FC6CB4" w14:textId="77777777" w:rsidR="000E5655" w:rsidRPr="0043038D" w:rsidRDefault="00335FB5">
      <w:pPr>
        <w:pStyle w:val="21"/>
        <w:rPr>
          <w:rFonts w:ascii="等线" w:eastAsia="等线" w:hAnsi="等线"/>
          <w:noProof/>
          <w:kern w:val="2"/>
          <w:sz w:val="21"/>
          <w:szCs w:val="21"/>
        </w:rPr>
      </w:pPr>
      <w:hyperlink w:anchor="_Toc155267092" w:history="1">
        <w:r w:rsidR="00837133" w:rsidRPr="0043038D">
          <w:rPr>
            <w:rStyle w:val="af5"/>
            <w:rFonts w:eastAsia="宋体"/>
            <w:noProof/>
            <w:sz w:val="21"/>
            <w:szCs w:val="21"/>
          </w:rPr>
          <w:t>七、估价原则</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_Toc155267092 \h </w:instrText>
        </w:r>
        <w:r w:rsidR="00837133" w:rsidRPr="0043038D">
          <w:rPr>
            <w:noProof/>
            <w:sz w:val="21"/>
            <w:szCs w:val="21"/>
          </w:rPr>
        </w:r>
        <w:r w:rsidR="00837133" w:rsidRPr="0043038D">
          <w:rPr>
            <w:noProof/>
            <w:sz w:val="21"/>
            <w:szCs w:val="21"/>
          </w:rPr>
          <w:fldChar w:fldCharType="separate"/>
        </w:r>
        <w:r w:rsidR="00332E91">
          <w:rPr>
            <w:noProof/>
            <w:sz w:val="21"/>
            <w:szCs w:val="21"/>
          </w:rPr>
          <w:t>15</w:t>
        </w:r>
        <w:r w:rsidR="00837133" w:rsidRPr="0043038D">
          <w:rPr>
            <w:noProof/>
            <w:sz w:val="21"/>
            <w:szCs w:val="21"/>
          </w:rPr>
          <w:fldChar w:fldCharType="end"/>
        </w:r>
      </w:hyperlink>
    </w:p>
    <w:p w14:paraId="7EE326D4" w14:textId="77777777" w:rsidR="000E5655" w:rsidRPr="0043038D" w:rsidRDefault="00335FB5">
      <w:pPr>
        <w:pStyle w:val="21"/>
        <w:rPr>
          <w:rFonts w:ascii="等线" w:eastAsia="等线" w:hAnsi="等线"/>
          <w:noProof/>
          <w:kern w:val="2"/>
          <w:sz w:val="21"/>
          <w:szCs w:val="21"/>
        </w:rPr>
      </w:pPr>
      <w:hyperlink w:anchor="_Toc155267093" w:history="1">
        <w:r w:rsidR="00837133" w:rsidRPr="0043038D">
          <w:rPr>
            <w:rStyle w:val="af5"/>
            <w:rFonts w:eastAsia="宋体"/>
            <w:noProof/>
            <w:sz w:val="21"/>
            <w:szCs w:val="21"/>
          </w:rPr>
          <w:t>八、估价依据</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_Toc155267093 \h </w:instrText>
        </w:r>
        <w:r w:rsidR="00837133" w:rsidRPr="0043038D">
          <w:rPr>
            <w:noProof/>
            <w:sz w:val="21"/>
            <w:szCs w:val="21"/>
          </w:rPr>
        </w:r>
        <w:r w:rsidR="00837133" w:rsidRPr="0043038D">
          <w:rPr>
            <w:noProof/>
            <w:sz w:val="21"/>
            <w:szCs w:val="21"/>
          </w:rPr>
          <w:fldChar w:fldCharType="separate"/>
        </w:r>
        <w:r w:rsidR="00332E91">
          <w:rPr>
            <w:noProof/>
            <w:sz w:val="21"/>
            <w:szCs w:val="21"/>
          </w:rPr>
          <w:t>16</w:t>
        </w:r>
        <w:r w:rsidR="00837133" w:rsidRPr="0043038D">
          <w:rPr>
            <w:noProof/>
            <w:sz w:val="21"/>
            <w:szCs w:val="21"/>
          </w:rPr>
          <w:fldChar w:fldCharType="end"/>
        </w:r>
      </w:hyperlink>
    </w:p>
    <w:p w14:paraId="6B55935E" w14:textId="77777777" w:rsidR="000E5655" w:rsidRPr="0043038D" w:rsidRDefault="00335FB5">
      <w:pPr>
        <w:pStyle w:val="21"/>
        <w:rPr>
          <w:rFonts w:ascii="等线" w:eastAsia="等线" w:hAnsi="等线"/>
          <w:noProof/>
          <w:kern w:val="2"/>
          <w:sz w:val="21"/>
          <w:szCs w:val="21"/>
        </w:rPr>
      </w:pPr>
      <w:hyperlink w:anchor="_Toc155267094" w:history="1">
        <w:r w:rsidR="00837133" w:rsidRPr="0043038D">
          <w:rPr>
            <w:rStyle w:val="af5"/>
            <w:rFonts w:eastAsia="宋体"/>
            <w:noProof/>
            <w:sz w:val="21"/>
            <w:szCs w:val="21"/>
          </w:rPr>
          <w:t>九、估价方法</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_Toc155267094 \h </w:instrText>
        </w:r>
        <w:r w:rsidR="00837133" w:rsidRPr="0043038D">
          <w:rPr>
            <w:noProof/>
            <w:sz w:val="21"/>
            <w:szCs w:val="21"/>
          </w:rPr>
        </w:r>
        <w:r w:rsidR="00837133" w:rsidRPr="0043038D">
          <w:rPr>
            <w:noProof/>
            <w:sz w:val="21"/>
            <w:szCs w:val="21"/>
          </w:rPr>
          <w:fldChar w:fldCharType="separate"/>
        </w:r>
        <w:r w:rsidR="00332E91">
          <w:rPr>
            <w:noProof/>
            <w:sz w:val="21"/>
            <w:szCs w:val="21"/>
          </w:rPr>
          <w:t>18</w:t>
        </w:r>
        <w:r w:rsidR="00837133" w:rsidRPr="0043038D">
          <w:rPr>
            <w:noProof/>
            <w:sz w:val="21"/>
            <w:szCs w:val="21"/>
          </w:rPr>
          <w:fldChar w:fldCharType="end"/>
        </w:r>
      </w:hyperlink>
    </w:p>
    <w:p w14:paraId="4D035CD5" w14:textId="77777777" w:rsidR="000E5655" w:rsidRPr="0043038D" w:rsidRDefault="00335FB5">
      <w:pPr>
        <w:pStyle w:val="21"/>
        <w:rPr>
          <w:rFonts w:ascii="等线" w:eastAsia="等线" w:hAnsi="等线"/>
          <w:noProof/>
          <w:kern w:val="2"/>
          <w:sz w:val="21"/>
          <w:szCs w:val="21"/>
        </w:rPr>
      </w:pPr>
      <w:hyperlink w:anchor="_Toc155267095" w:history="1">
        <w:r w:rsidR="00837133" w:rsidRPr="0043038D">
          <w:rPr>
            <w:rStyle w:val="af5"/>
            <w:rFonts w:eastAsia="宋体"/>
            <w:noProof/>
            <w:sz w:val="21"/>
            <w:szCs w:val="21"/>
          </w:rPr>
          <w:t>十、估价结果</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_Toc155267095 \h </w:instrText>
        </w:r>
        <w:r w:rsidR="00837133" w:rsidRPr="0043038D">
          <w:rPr>
            <w:noProof/>
            <w:sz w:val="21"/>
            <w:szCs w:val="21"/>
          </w:rPr>
        </w:r>
        <w:r w:rsidR="00837133" w:rsidRPr="0043038D">
          <w:rPr>
            <w:noProof/>
            <w:sz w:val="21"/>
            <w:szCs w:val="21"/>
          </w:rPr>
          <w:fldChar w:fldCharType="separate"/>
        </w:r>
        <w:r w:rsidR="00332E91">
          <w:rPr>
            <w:noProof/>
            <w:sz w:val="21"/>
            <w:szCs w:val="21"/>
          </w:rPr>
          <w:t>20</w:t>
        </w:r>
        <w:r w:rsidR="00837133" w:rsidRPr="0043038D">
          <w:rPr>
            <w:noProof/>
            <w:sz w:val="21"/>
            <w:szCs w:val="21"/>
          </w:rPr>
          <w:fldChar w:fldCharType="end"/>
        </w:r>
      </w:hyperlink>
    </w:p>
    <w:p w14:paraId="150D2F93" w14:textId="77777777" w:rsidR="000E5655" w:rsidRPr="0043038D" w:rsidRDefault="00335FB5">
      <w:pPr>
        <w:pStyle w:val="21"/>
        <w:rPr>
          <w:rFonts w:ascii="等线" w:eastAsia="等线" w:hAnsi="等线"/>
          <w:noProof/>
          <w:kern w:val="2"/>
          <w:sz w:val="21"/>
          <w:szCs w:val="21"/>
        </w:rPr>
      </w:pPr>
      <w:hyperlink w:anchor="_Toc155267096" w:history="1">
        <w:r w:rsidR="00837133" w:rsidRPr="0043038D">
          <w:rPr>
            <w:rStyle w:val="af5"/>
            <w:rFonts w:eastAsia="宋体"/>
            <w:noProof/>
            <w:sz w:val="21"/>
            <w:szCs w:val="21"/>
          </w:rPr>
          <w:t>十一、参与本次估价工作的评估专业人员</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_Toc155267096 \h </w:instrText>
        </w:r>
        <w:r w:rsidR="00837133" w:rsidRPr="0043038D">
          <w:rPr>
            <w:noProof/>
            <w:sz w:val="21"/>
            <w:szCs w:val="21"/>
          </w:rPr>
        </w:r>
        <w:r w:rsidR="00837133" w:rsidRPr="0043038D">
          <w:rPr>
            <w:noProof/>
            <w:sz w:val="21"/>
            <w:szCs w:val="21"/>
          </w:rPr>
          <w:fldChar w:fldCharType="separate"/>
        </w:r>
        <w:r w:rsidR="00332E91">
          <w:rPr>
            <w:noProof/>
            <w:sz w:val="21"/>
            <w:szCs w:val="21"/>
          </w:rPr>
          <w:t>21</w:t>
        </w:r>
        <w:r w:rsidR="00837133" w:rsidRPr="0043038D">
          <w:rPr>
            <w:noProof/>
            <w:sz w:val="21"/>
            <w:szCs w:val="21"/>
          </w:rPr>
          <w:fldChar w:fldCharType="end"/>
        </w:r>
      </w:hyperlink>
    </w:p>
    <w:p w14:paraId="35E6C5DD" w14:textId="77777777" w:rsidR="000E5655" w:rsidRPr="0043038D" w:rsidRDefault="00335FB5">
      <w:pPr>
        <w:pStyle w:val="21"/>
        <w:rPr>
          <w:rFonts w:ascii="等线" w:eastAsia="等线" w:hAnsi="等线"/>
          <w:noProof/>
          <w:kern w:val="2"/>
          <w:sz w:val="21"/>
          <w:szCs w:val="21"/>
        </w:rPr>
      </w:pPr>
      <w:hyperlink w:anchor="_Toc155267097" w:history="1">
        <w:r w:rsidR="00837133" w:rsidRPr="0043038D">
          <w:rPr>
            <w:rStyle w:val="af5"/>
            <w:rFonts w:eastAsia="宋体"/>
            <w:noProof/>
            <w:sz w:val="21"/>
            <w:szCs w:val="21"/>
          </w:rPr>
          <w:t>十二、实地查勘期</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_Toc155267097 \h </w:instrText>
        </w:r>
        <w:r w:rsidR="00837133" w:rsidRPr="0043038D">
          <w:rPr>
            <w:noProof/>
            <w:sz w:val="21"/>
            <w:szCs w:val="21"/>
          </w:rPr>
        </w:r>
        <w:r w:rsidR="00837133" w:rsidRPr="0043038D">
          <w:rPr>
            <w:noProof/>
            <w:sz w:val="21"/>
            <w:szCs w:val="21"/>
          </w:rPr>
          <w:fldChar w:fldCharType="separate"/>
        </w:r>
        <w:r w:rsidR="00332E91">
          <w:rPr>
            <w:noProof/>
            <w:sz w:val="21"/>
            <w:szCs w:val="21"/>
          </w:rPr>
          <w:t>21</w:t>
        </w:r>
        <w:r w:rsidR="00837133" w:rsidRPr="0043038D">
          <w:rPr>
            <w:noProof/>
            <w:sz w:val="21"/>
            <w:szCs w:val="21"/>
          </w:rPr>
          <w:fldChar w:fldCharType="end"/>
        </w:r>
      </w:hyperlink>
    </w:p>
    <w:p w14:paraId="7141703F" w14:textId="77777777" w:rsidR="000E5655" w:rsidRPr="0043038D" w:rsidRDefault="00335FB5">
      <w:pPr>
        <w:pStyle w:val="21"/>
        <w:rPr>
          <w:rFonts w:ascii="等线" w:eastAsia="等线" w:hAnsi="等线"/>
          <w:noProof/>
          <w:kern w:val="2"/>
          <w:sz w:val="21"/>
          <w:szCs w:val="21"/>
        </w:rPr>
      </w:pPr>
      <w:hyperlink w:anchor="_Toc155267098" w:history="1">
        <w:r w:rsidR="00837133" w:rsidRPr="0043038D">
          <w:rPr>
            <w:rStyle w:val="af5"/>
            <w:rFonts w:eastAsia="宋体"/>
            <w:noProof/>
            <w:sz w:val="21"/>
            <w:szCs w:val="21"/>
          </w:rPr>
          <w:t>十三、估价作业期</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_Toc155267098 \h </w:instrText>
        </w:r>
        <w:r w:rsidR="00837133" w:rsidRPr="0043038D">
          <w:rPr>
            <w:noProof/>
            <w:sz w:val="21"/>
            <w:szCs w:val="21"/>
          </w:rPr>
        </w:r>
        <w:r w:rsidR="00837133" w:rsidRPr="0043038D">
          <w:rPr>
            <w:noProof/>
            <w:sz w:val="21"/>
            <w:szCs w:val="21"/>
          </w:rPr>
          <w:fldChar w:fldCharType="separate"/>
        </w:r>
        <w:r w:rsidR="00332E91">
          <w:rPr>
            <w:noProof/>
            <w:sz w:val="21"/>
            <w:szCs w:val="21"/>
          </w:rPr>
          <w:t>21</w:t>
        </w:r>
        <w:r w:rsidR="00837133" w:rsidRPr="0043038D">
          <w:rPr>
            <w:noProof/>
            <w:sz w:val="21"/>
            <w:szCs w:val="21"/>
          </w:rPr>
          <w:fldChar w:fldCharType="end"/>
        </w:r>
      </w:hyperlink>
    </w:p>
    <w:p w14:paraId="767C0D3B" w14:textId="77777777" w:rsidR="000E5655" w:rsidRPr="0043038D" w:rsidRDefault="00335FB5">
      <w:pPr>
        <w:pStyle w:val="10"/>
        <w:rPr>
          <w:rFonts w:ascii="等线" w:eastAsia="等线" w:hAnsi="等线"/>
          <w:b w:val="0"/>
          <w:bCs w:val="0"/>
          <w:noProof/>
          <w:kern w:val="2"/>
          <w:sz w:val="24"/>
          <w:szCs w:val="24"/>
        </w:rPr>
      </w:pPr>
      <w:hyperlink w:anchor="_Toc155267099" w:history="1">
        <w:r w:rsidR="00837133" w:rsidRPr="0043038D">
          <w:rPr>
            <w:rStyle w:val="af5"/>
            <w:rFonts w:eastAsia="方正黑体简体"/>
            <w:noProof/>
            <w:sz w:val="24"/>
            <w:szCs w:val="24"/>
          </w:rPr>
          <w:t>估价技术报告</w:t>
        </w:r>
        <w:r w:rsidR="00837133" w:rsidRPr="0043038D">
          <w:rPr>
            <w:noProof/>
            <w:sz w:val="24"/>
            <w:szCs w:val="24"/>
          </w:rPr>
          <w:tab/>
        </w:r>
        <w:r w:rsidR="00837133" w:rsidRPr="0043038D">
          <w:rPr>
            <w:noProof/>
            <w:sz w:val="24"/>
            <w:szCs w:val="24"/>
          </w:rPr>
          <w:fldChar w:fldCharType="begin"/>
        </w:r>
        <w:r w:rsidR="00837133" w:rsidRPr="0043038D">
          <w:rPr>
            <w:noProof/>
            <w:sz w:val="24"/>
            <w:szCs w:val="24"/>
          </w:rPr>
          <w:instrText xml:space="preserve"> PAGEREF _Toc155267099 \h </w:instrText>
        </w:r>
        <w:r w:rsidR="00837133" w:rsidRPr="0043038D">
          <w:rPr>
            <w:noProof/>
            <w:sz w:val="24"/>
            <w:szCs w:val="24"/>
          </w:rPr>
        </w:r>
        <w:r w:rsidR="00837133" w:rsidRPr="0043038D">
          <w:rPr>
            <w:noProof/>
            <w:sz w:val="24"/>
            <w:szCs w:val="24"/>
          </w:rPr>
          <w:fldChar w:fldCharType="separate"/>
        </w:r>
        <w:r w:rsidR="00332E91">
          <w:rPr>
            <w:noProof/>
            <w:sz w:val="24"/>
            <w:szCs w:val="24"/>
          </w:rPr>
          <w:t>22</w:t>
        </w:r>
        <w:r w:rsidR="00837133" w:rsidRPr="0043038D">
          <w:rPr>
            <w:noProof/>
            <w:sz w:val="24"/>
            <w:szCs w:val="24"/>
          </w:rPr>
          <w:fldChar w:fldCharType="end"/>
        </w:r>
      </w:hyperlink>
    </w:p>
    <w:p w14:paraId="10148374" w14:textId="77777777" w:rsidR="000E5655" w:rsidRPr="0043038D" w:rsidRDefault="00335FB5">
      <w:pPr>
        <w:pStyle w:val="21"/>
        <w:rPr>
          <w:rFonts w:ascii="等线" w:eastAsia="等线" w:hAnsi="等线"/>
          <w:noProof/>
          <w:kern w:val="2"/>
          <w:sz w:val="21"/>
          <w:szCs w:val="21"/>
        </w:rPr>
      </w:pPr>
      <w:hyperlink w:anchor="_Toc155267100" w:history="1">
        <w:r w:rsidR="00837133" w:rsidRPr="0043038D">
          <w:rPr>
            <w:rStyle w:val="af5"/>
            <w:rFonts w:eastAsia="宋体"/>
            <w:noProof/>
            <w:sz w:val="21"/>
            <w:szCs w:val="21"/>
          </w:rPr>
          <w:t>一、估价对象描述与分析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_Toc155267100 \h </w:instrText>
        </w:r>
        <w:r w:rsidR="00837133" w:rsidRPr="0043038D">
          <w:rPr>
            <w:noProof/>
            <w:sz w:val="21"/>
            <w:szCs w:val="21"/>
          </w:rPr>
        </w:r>
        <w:r w:rsidR="00837133" w:rsidRPr="0043038D">
          <w:rPr>
            <w:noProof/>
            <w:sz w:val="21"/>
            <w:szCs w:val="21"/>
          </w:rPr>
          <w:fldChar w:fldCharType="separate"/>
        </w:r>
        <w:r w:rsidR="00332E91">
          <w:rPr>
            <w:noProof/>
            <w:sz w:val="21"/>
            <w:szCs w:val="21"/>
          </w:rPr>
          <w:t>22</w:t>
        </w:r>
        <w:r w:rsidR="00837133" w:rsidRPr="0043038D">
          <w:rPr>
            <w:noProof/>
            <w:sz w:val="21"/>
            <w:szCs w:val="21"/>
          </w:rPr>
          <w:fldChar w:fldCharType="end"/>
        </w:r>
      </w:hyperlink>
    </w:p>
    <w:p w14:paraId="7E03A5B8" w14:textId="77777777" w:rsidR="000E5655" w:rsidRPr="0043038D" w:rsidRDefault="00335FB5">
      <w:pPr>
        <w:pStyle w:val="21"/>
        <w:rPr>
          <w:rFonts w:ascii="等线" w:eastAsia="等线" w:hAnsi="等线"/>
          <w:noProof/>
          <w:kern w:val="2"/>
          <w:sz w:val="21"/>
          <w:szCs w:val="21"/>
        </w:rPr>
      </w:pPr>
      <w:hyperlink w:anchor="_Toc155267101" w:history="1">
        <w:r w:rsidR="00837133" w:rsidRPr="0043038D">
          <w:rPr>
            <w:rStyle w:val="af5"/>
            <w:rFonts w:eastAsia="宋体"/>
            <w:noProof/>
            <w:sz w:val="21"/>
            <w:szCs w:val="21"/>
          </w:rPr>
          <w:t>（一）区位状况分析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_Toc155267101 \h </w:instrText>
        </w:r>
        <w:r w:rsidR="00837133" w:rsidRPr="0043038D">
          <w:rPr>
            <w:noProof/>
            <w:sz w:val="21"/>
            <w:szCs w:val="21"/>
          </w:rPr>
        </w:r>
        <w:r w:rsidR="00837133" w:rsidRPr="0043038D">
          <w:rPr>
            <w:noProof/>
            <w:sz w:val="21"/>
            <w:szCs w:val="21"/>
          </w:rPr>
          <w:fldChar w:fldCharType="separate"/>
        </w:r>
        <w:r w:rsidR="00332E91">
          <w:rPr>
            <w:noProof/>
            <w:sz w:val="21"/>
            <w:szCs w:val="21"/>
          </w:rPr>
          <w:t>22</w:t>
        </w:r>
        <w:r w:rsidR="00837133" w:rsidRPr="0043038D">
          <w:rPr>
            <w:noProof/>
            <w:sz w:val="21"/>
            <w:szCs w:val="21"/>
          </w:rPr>
          <w:fldChar w:fldCharType="end"/>
        </w:r>
      </w:hyperlink>
    </w:p>
    <w:p w14:paraId="6CF986F7" w14:textId="77777777" w:rsidR="000E5655" w:rsidRPr="0043038D" w:rsidRDefault="00335FB5">
      <w:pPr>
        <w:pStyle w:val="21"/>
        <w:rPr>
          <w:rFonts w:ascii="等线" w:eastAsia="等线" w:hAnsi="等线"/>
          <w:noProof/>
          <w:kern w:val="2"/>
          <w:sz w:val="21"/>
          <w:szCs w:val="21"/>
        </w:rPr>
      </w:pPr>
      <w:hyperlink w:anchor="_Toc155267102" w:history="1">
        <w:r w:rsidR="00837133" w:rsidRPr="0043038D">
          <w:rPr>
            <w:rStyle w:val="af5"/>
            <w:rFonts w:eastAsia="宋体"/>
            <w:noProof/>
            <w:sz w:val="21"/>
            <w:szCs w:val="21"/>
          </w:rPr>
          <w:t>（二）实物状况分析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_Toc155267102 \h </w:instrText>
        </w:r>
        <w:r w:rsidR="00837133" w:rsidRPr="0043038D">
          <w:rPr>
            <w:noProof/>
            <w:sz w:val="21"/>
            <w:szCs w:val="21"/>
          </w:rPr>
        </w:r>
        <w:r w:rsidR="00837133" w:rsidRPr="0043038D">
          <w:rPr>
            <w:noProof/>
            <w:sz w:val="21"/>
            <w:szCs w:val="21"/>
          </w:rPr>
          <w:fldChar w:fldCharType="separate"/>
        </w:r>
        <w:r w:rsidR="00332E91">
          <w:rPr>
            <w:noProof/>
            <w:sz w:val="21"/>
            <w:szCs w:val="21"/>
          </w:rPr>
          <w:t>23</w:t>
        </w:r>
        <w:r w:rsidR="00837133" w:rsidRPr="0043038D">
          <w:rPr>
            <w:noProof/>
            <w:sz w:val="21"/>
            <w:szCs w:val="21"/>
          </w:rPr>
          <w:fldChar w:fldCharType="end"/>
        </w:r>
      </w:hyperlink>
    </w:p>
    <w:p w14:paraId="3BBBAD23" w14:textId="77777777" w:rsidR="000E5655" w:rsidRPr="0043038D" w:rsidRDefault="00335FB5">
      <w:pPr>
        <w:pStyle w:val="21"/>
        <w:rPr>
          <w:rFonts w:ascii="等线" w:eastAsia="等线" w:hAnsi="等线"/>
          <w:noProof/>
          <w:kern w:val="2"/>
          <w:sz w:val="21"/>
          <w:szCs w:val="21"/>
        </w:rPr>
      </w:pPr>
      <w:hyperlink w:anchor="_Toc155267103" w:history="1">
        <w:r w:rsidR="00837133" w:rsidRPr="0043038D">
          <w:rPr>
            <w:rStyle w:val="af5"/>
            <w:rFonts w:eastAsia="宋体"/>
            <w:noProof/>
            <w:sz w:val="21"/>
            <w:szCs w:val="21"/>
          </w:rPr>
          <w:t>（三）权益状况分析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_Toc155267103 \h </w:instrText>
        </w:r>
        <w:r w:rsidR="00837133" w:rsidRPr="0043038D">
          <w:rPr>
            <w:noProof/>
            <w:sz w:val="21"/>
            <w:szCs w:val="21"/>
          </w:rPr>
        </w:r>
        <w:r w:rsidR="00837133" w:rsidRPr="0043038D">
          <w:rPr>
            <w:noProof/>
            <w:sz w:val="21"/>
            <w:szCs w:val="21"/>
          </w:rPr>
          <w:fldChar w:fldCharType="separate"/>
        </w:r>
        <w:r w:rsidR="00332E91">
          <w:rPr>
            <w:noProof/>
            <w:sz w:val="21"/>
            <w:szCs w:val="21"/>
          </w:rPr>
          <w:t>25</w:t>
        </w:r>
        <w:r w:rsidR="00837133" w:rsidRPr="0043038D">
          <w:rPr>
            <w:noProof/>
            <w:sz w:val="21"/>
            <w:szCs w:val="21"/>
          </w:rPr>
          <w:fldChar w:fldCharType="end"/>
        </w:r>
      </w:hyperlink>
    </w:p>
    <w:p w14:paraId="29EDF7D9" w14:textId="77777777" w:rsidR="000E5655" w:rsidRPr="0043038D" w:rsidRDefault="00335FB5">
      <w:pPr>
        <w:pStyle w:val="21"/>
        <w:rPr>
          <w:rFonts w:ascii="等线" w:eastAsia="等线" w:hAnsi="等线"/>
          <w:noProof/>
          <w:kern w:val="2"/>
          <w:sz w:val="21"/>
          <w:szCs w:val="21"/>
        </w:rPr>
      </w:pPr>
      <w:hyperlink w:anchor="_Toc155267104" w:history="1">
        <w:r w:rsidR="00837133" w:rsidRPr="0043038D">
          <w:rPr>
            <w:rStyle w:val="af5"/>
            <w:rFonts w:eastAsia="宋体"/>
            <w:noProof/>
            <w:sz w:val="21"/>
            <w:szCs w:val="21"/>
          </w:rPr>
          <w:t>二、市场背景描述与分析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_Toc155267104 \h </w:instrText>
        </w:r>
        <w:r w:rsidR="00837133" w:rsidRPr="0043038D">
          <w:rPr>
            <w:noProof/>
            <w:sz w:val="21"/>
            <w:szCs w:val="21"/>
          </w:rPr>
        </w:r>
        <w:r w:rsidR="00837133" w:rsidRPr="0043038D">
          <w:rPr>
            <w:noProof/>
            <w:sz w:val="21"/>
            <w:szCs w:val="21"/>
          </w:rPr>
          <w:fldChar w:fldCharType="separate"/>
        </w:r>
        <w:r w:rsidR="00332E91">
          <w:rPr>
            <w:noProof/>
            <w:sz w:val="21"/>
            <w:szCs w:val="21"/>
          </w:rPr>
          <w:t>25</w:t>
        </w:r>
        <w:r w:rsidR="00837133" w:rsidRPr="0043038D">
          <w:rPr>
            <w:noProof/>
            <w:sz w:val="21"/>
            <w:szCs w:val="21"/>
          </w:rPr>
          <w:fldChar w:fldCharType="end"/>
        </w:r>
      </w:hyperlink>
    </w:p>
    <w:p w14:paraId="294A1B65" w14:textId="77777777" w:rsidR="000E5655" w:rsidRPr="0043038D" w:rsidRDefault="00335FB5">
      <w:pPr>
        <w:pStyle w:val="21"/>
        <w:rPr>
          <w:rFonts w:ascii="等线" w:eastAsia="等线" w:hAnsi="等线"/>
          <w:noProof/>
          <w:kern w:val="2"/>
          <w:sz w:val="21"/>
          <w:szCs w:val="21"/>
        </w:rPr>
      </w:pPr>
      <w:hyperlink w:anchor="_Toc155267105" w:history="1">
        <w:r w:rsidR="00837133" w:rsidRPr="0043038D">
          <w:rPr>
            <w:rStyle w:val="af5"/>
            <w:rFonts w:eastAsia="宋体"/>
            <w:noProof/>
            <w:sz w:val="21"/>
            <w:szCs w:val="21"/>
          </w:rPr>
          <w:t>三、最高最佳利用分析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_Toc155267105 \h </w:instrText>
        </w:r>
        <w:r w:rsidR="00837133" w:rsidRPr="0043038D">
          <w:rPr>
            <w:noProof/>
            <w:sz w:val="21"/>
            <w:szCs w:val="21"/>
          </w:rPr>
        </w:r>
        <w:r w:rsidR="00837133" w:rsidRPr="0043038D">
          <w:rPr>
            <w:noProof/>
            <w:sz w:val="21"/>
            <w:szCs w:val="21"/>
          </w:rPr>
          <w:fldChar w:fldCharType="separate"/>
        </w:r>
        <w:r w:rsidR="00332E91">
          <w:rPr>
            <w:noProof/>
            <w:sz w:val="21"/>
            <w:szCs w:val="21"/>
          </w:rPr>
          <w:t>43</w:t>
        </w:r>
        <w:r w:rsidR="00837133" w:rsidRPr="0043038D">
          <w:rPr>
            <w:noProof/>
            <w:sz w:val="21"/>
            <w:szCs w:val="21"/>
          </w:rPr>
          <w:fldChar w:fldCharType="end"/>
        </w:r>
      </w:hyperlink>
    </w:p>
    <w:p w14:paraId="1B09CA2F" w14:textId="77777777" w:rsidR="000E5655" w:rsidRPr="0043038D" w:rsidRDefault="00335FB5">
      <w:pPr>
        <w:pStyle w:val="21"/>
        <w:rPr>
          <w:rFonts w:ascii="等线" w:eastAsia="等线" w:hAnsi="等线"/>
          <w:noProof/>
          <w:kern w:val="2"/>
          <w:sz w:val="21"/>
          <w:szCs w:val="21"/>
        </w:rPr>
      </w:pPr>
      <w:hyperlink w:anchor="_Toc155267106" w:history="1">
        <w:r w:rsidR="00837133" w:rsidRPr="0043038D">
          <w:rPr>
            <w:rStyle w:val="af5"/>
            <w:rFonts w:eastAsia="宋体"/>
            <w:noProof/>
            <w:sz w:val="21"/>
            <w:szCs w:val="21"/>
          </w:rPr>
          <w:t>四、估价方法适用性分析</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_Toc155267106 \h </w:instrText>
        </w:r>
        <w:r w:rsidR="00837133" w:rsidRPr="0043038D">
          <w:rPr>
            <w:noProof/>
            <w:sz w:val="21"/>
            <w:szCs w:val="21"/>
          </w:rPr>
        </w:r>
        <w:r w:rsidR="00837133" w:rsidRPr="0043038D">
          <w:rPr>
            <w:noProof/>
            <w:sz w:val="21"/>
            <w:szCs w:val="21"/>
          </w:rPr>
          <w:fldChar w:fldCharType="separate"/>
        </w:r>
        <w:r w:rsidR="00332E91">
          <w:rPr>
            <w:noProof/>
            <w:sz w:val="21"/>
            <w:szCs w:val="21"/>
          </w:rPr>
          <w:t>45</w:t>
        </w:r>
        <w:r w:rsidR="00837133" w:rsidRPr="0043038D">
          <w:rPr>
            <w:noProof/>
            <w:sz w:val="21"/>
            <w:szCs w:val="21"/>
          </w:rPr>
          <w:fldChar w:fldCharType="end"/>
        </w:r>
      </w:hyperlink>
    </w:p>
    <w:p w14:paraId="619E3467" w14:textId="77777777" w:rsidR="000E5655" w:rsidRPr="0043038D" w:rsidRDefault="00335FB5">
      <w:pPr>
        <w:pStyle w:val="21"/>
        <w:rPr>
          <w:rFonts w:ascii="等线" w:eastAsia="等线" w:hAnsi="等线"/>
          <w:noProof/>
          <w:kern w:val="2"/>
          <w:sz w:val="21"/>
          <w:szCs w:val="21"/>
        </w:rPr>
      </w:pPr>
      <w:hyperlink w:anchor="_Toc155267107" w:history="1">
        <w:r w:rsidR="00837133" w:rsidRPr="0043038D">
          <w:rPr>
            <w:rStyle w:val="af5"/>
            <w:rFonts w:eastAsia="宋体"/>
            <w:noProof/>
            <w:sz w:val="21"/>
            <w:szCs w:val="21"/>
          </w:rPr>
          <w:t>五、估价测算过程</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_Toc155267107 \h </w:instrText>
        </w:r>
        <w:r w:rsidR="00837133" w:rsidRPr="0043038D">
          <w:rPr>
            <w:noProof/>
            <w:sz w:val="21"/>
            <w:szCs w:val="21"/>
          </w:rPr>
        </w:r>
        <w:r w:rsidR="00837133" w:rsidRPr="0043038D">
          <w:rPr>
            <w:noProof/>
            <w:sz w:val="21"/>
            <w:szCs w:val="21"/>
          </w:rPr>
          <w:fldChar w:fldCharType="separate"/>
        </w:r>
        <w:r w:rsidR="00332E91">
          <w:rPr>
            <w:noProof/>
            <w:sz w:val="21"/>
            <w:szCs w:val="21"/>
          </w:rPr>
          <w:t>47</w:t>
        </w:r>
        <w:r w:rsidR="00837133" w:rsidRPr="0043038D">
          <w:rPr>
            <w:noProof/>
            <w:sz w:val="21"/>
            <w:szCs w:val="21"/>
          </w:rPr>
          <w:fldChar w:fldCharType="end"/>
        </w:r>
      </w:hyperlink>
    </w:p>
    <w:p w14:paraId="0D4D50A0" w14:textId="77777777" w:rsidR="000E5655" w:rsidRPr="0043038D" w:rsidRDefault="00335FB5">
      <w:pPr>
        <w:pStyle w:val="21"/>
        <w:rPr>
          <w:rFonts w:ascii="等线" w:eastAsia="等线" w:hAnsi="等线"/>
          <w:noProof/>
          <w:kern w:val="2"/>
          <w:sz w:val="21"/>
          <w:szCs w:val="21"/>
        </w:rPr>
      </w:pPr>
      <w:hyperlink w:anchor="_Toc155267108" w:history="1">
        <w:r w:rsidR="00837133" w:rsidRPr="0043038D">
          <w:rPr>
            <w:rStyle w:val="af5"/>
            <w:rFonts w:eastAsia="宋体"/>
            <w:noProof/>
            <w:sz w:val="21"/>
            <w:szCs w:val="21"/>
          </w:rPr>
          <w:t>六、估价结果确定</w:t>
        </w:r>
        <w:r w:rsidR="00837133" w:rsidRPr="0043038D">
          <w:rPr>
            <w:noProof/>
            <w:sz w:val="21"/>
            <w:szCs w:val="21"/>
          </w:rPr>
          <w:tab/>
        </w:r>
        <w:r w:rsidR="00837133" w:rsidRPr="0043038D">
          <w:rPr>
            <w:noProof/>
            <w:sz w:val="21"/>
            <w:szCs w:val="21"/>
          </w:rPr>
          <w:fldChar w:fldCharType="begin"/>
        </w:r>
        <w:r w:rsidR="00837133" w:rsidRPr="0043038D">
          <w:rPr>
            <w:noProof/>
            <w:sz w:val="21"/>
            <w:szCs w:val="21"/>
          </w:rPr>
          <w:instrText xml:space="preserve"> PAGEREF _Toc155267108 \h </w:instrText>
        </w:r>
        <w:r w:rsidR="00837133" w:rsidRPr="0043038D">
          <w:rPr>
            <w:noProof/>
            <w:sz w:val="21"/>
            <w:szCs w:val="21"/>
          </w:rPr>
        </w:r>
        <w:r w:rsidR="00837133" w:rsidRPr="0043038D">
          <w:rPr>
            <w:noProof/>
            <w:sz w:val="21"/>
            <w:szCs w:val="21"/>
          </w:rPr>
          <w:fldChar w:fldCharType="separate"/>
        </w:r>
        <w:r w:rsidR="00332E91">
          <w:rPr>
            <w:noProof/>
            <w:sz w:val="21"/>
            <w:szCs w:val="21"/>
          </w:rPr>
          <w:t>76</w:t>
        </w:r>
        <w:r w:rsidR="00837133" w:rsidRPr="0043038D">
          <w:rPr>
            <w:noProof/>
            <w:sz w:val="21"/>
            <w:szCs w:val="21"/>
          </w:rPr>
          <w:fldChar w:fldCharType="end"/>
        </w:r>
      </w:hyperlink>
    </w:p>
    <w:p w14:paraId="6A1AD19B" w14:textId="77777777" w:rsidR="000E5655" w:rsidRPr="0043038D" w:rsidRDefault="00335FB5">
      <w:pPr>
        <w:pStyle w:val="10"/>
        <w:rPr>
          <w:rFonts w:ascii="等线" w:eastAsia="等线" w:hAnsi="等线"/>
          <w:b w:val="0"/>
          <w:bCs w:val="0"/>
          <w:noProof/>
          <w:kern w:val="2"/>
          <w:sz w:val="24"/>
          <w:szCs w:val="24"/>
        </w:rPr>
      </w:pPr>
      <w:hyperlink w:anchor="_Toc155267109" w:history="1">
        <w:r w:rsidR="00837133" w:rsidRPr="0043038D">
          <w:rPr>
            <w:rStyle w:val="af5"/>
            <w:rFonts w:eastAsia="方正黑体简体"/>
            <w:noProof/>
            <w:sz w:val="24"/>
            <w:szCs w:val="24"/>
          </w:rPr>
          <w:t>附</w:t>
        </w:r>
        <w:r w:rsidR="00837133" w:rsidRPr="0043038D">
          <w:rPr>
            <w:rStyle w:val="af5"/>
            <w:rFonts w:eastAsia="方正黑体简体"/>
            <w:noProof/>
            <w:sz w:val="24"/>
            <w:szCs w:val="24"/>
          </w:rPr>
          <w:t xml:space="preserve">   </w:t>
        </w:r>
        <w:r w:rsidR="00837133" w:rsidRPr="0043038D">
          <w:rPr>
            <w:rStyle w:val="af5"/>
            <w:rFonts w:eastAsia="方正黑体简体"/>
            <w:noProof/>
            <w:sz w:val="24"/>
            <w:szCs w:val="24"/>
          </w:rPr>
          <w:t>件</w:t>
        </w:r>
        <w:r w:rsidR="00837133" w:rsidRPr="0043038D">
          <w:rPr>
            <w:noProof/>
            <w:sz w:val="24"/>
            <w:szCs w:val="24"/>
          </w:rPr>
          <w:tab/>
        </w:r>
        <w:r w:rsidR="00837133" w:rsidRPr="0043038D">
          <w:rPr>
            <w:noProof/>
            <w:sz w:val="24"/>
            <w:szCs w:val="24"/>
          </w:rPr>
          <w:fldChar w:fldCharType="begin"/>
        </w:r>
        <w:r w:rsidR="00837133" w:rsidRPr="0043038D">
          <w:rPr>
            <w:noProof/>
            <w:sz w:val="24"/>
            <w:szCs w:val="24"/>
          </w:rPr>
          <w:instrText xml:space="preserve"> PAGEREF _Toc155267109 \h </w:instrText>
        </w:r>
        <w:r w:rsidR="00837133" w:rsidRPr="0043038D">
          <w:rPr>
            <w:noProof/>
            <w:sz w:val="24"/>
            <w:szCs w:val="24"/>
          </w:rPr>
        </w:r>
        <w:r w:rsidR="00837133" w:rsidRPr="0043038D">
          <w:rPr>
            <w:noProof/>
            <w:sz w:val="24"/>
            <w:szCs w:val="24"/>
          </w:rPr>
          <w:fldChar w:fldCharType="separate"/>
        </w:r>
        <w:r w:rsidR="00332E91">
          <w:rPr>
            <w:noProof/>
            <w:sz w:val="24"/>
            <w:szCs w:val="24"/>
          </w:rPr>
          <w:t>77</w:t>
        </w:r>
        <w:r w:rsidR="00837133" w:rsidRPr="0043038D">
          <w:rPr>
            <w:noProof/>
            <w:sz w:val="24"/>
            <w:szCs w:val="24"/>
          </w:rPr>
          <w:fldChar w:fldCharType="end"/>
        </w:r>
      </w:hyperlink>
    </w:p>
    <w:p w14:paraId="21E80C17"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宋体" w:hAnsi="宋体" w:cs="Arial"/>
          <w:szCs w:val="24"/>
        </w:rPr>
        <w:fldChar w:fldCharType="end"/>
      </w:r>
      <w:r w:rsidRPr="0043038D">
        <w:rPr>
          <w:rFonts w:ascii="Arial" w:hAnsi="Arial" w:cs="Arial" w:hint="eastAsia"/>
          <w:sz w:val="21"/>
          <w:szCs w:val="21"/>
        </w:rPr>
        <w:t>《估价委托书》复印件</w:t>
      </w:r>
    </w:p>
    <w:p w14:paraId="5E248D98"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估价对象所在位置示意图</w:t>
      </w:r>
    </w:p>
    <w:p w14:paraId="3B58E5BF"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估价对象现状照片</w:t>
      </w:r>
    </w:p>
    <w:p w14:paraId="5C72AEF2"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14:paraId="36AE5C98"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14:paraId="5A231586"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r w:rsidRPr="0043038D">
        <w:rPr>
          <w:rFonts w:ascii="Arial" w:hAnsi="Arial" w:cs="Arial" w:hint="eastAsia"/>
          <w:sz w:val="21"/>
          <w:szCs w:val="21"/>
        </w:rPr>
        <w:t>规自（大）建字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14:paraId="0EFD9B83"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14:paraId="32439E4C"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r w:rsidRPr="0043038D">
        <w:rPr>
          <w:rFonts w:ascii="Arial" w:hAnsi="Arial" w:cs="Arial" w:hint="eastAsia"/>
          <w:sz w:val="21"/>
          <w:szCs w:val="21"/>
        </w:rPr>
        <w:t>大竣</w:t>
      </w:r>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14:paraId="671C9BCE"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14:paraId="4F9211A4"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14:paraId="31BB9852"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房地产估价机构《营业执照（副本）》复印件</w:t>
      </w:r>
    </w:p>
    <w:p w14:paraId="04CF502B"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房地产估价机构资质证书复印件</w:t>
      </w:r>
    </w:p>
    <w:p w14:paraId="204334F3" w14:textId="77777777"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评估专业人员执业证书复印件</w:t>
      </w:r>
    </w:p>
    <w:p w14:paraId="4D531203" w14:textId="77777777" w:rsidR="000E5655" w:rsidRPr="0043038D" w:rsidRDefault="000E5655">
      <w:pPr>
        <w:spacing w:line="240" w:lineRule="auto"/>
        <w:jc w:val="both"/>
        <w:outlineLvl w:val="0"/>
        <w:rPr>
          <w:rFonts w:ascii="Arial" w:eastAsia="楷体_GB2312" w:hAnsi="Arial" w:cs="Arial"/>
          <w:i/>
          <w:kern w:val="2"/>
          <w:sz w:val="28"/>
          <w:szCs w:val="28"/>
        </w:rPr>
        <w:sectPr w:rsidR="000E5655" w:rsidRPr="0043038D">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06E6DEBA" w14:textId="77777777" w:rsidR="000E5655" w:rsidRPr="0043038D" w:rsidRDefault="00837133">
      <w:pPr>
        <w:pStyle w:val="1"/>
        <w:spacing w:line="480" w:lineRule="auto"/>
        <w:jc w:val="center"/>
        <w:rPr>
          <w:rFonts w:eastAsia="方正黑体简体"/>
          <w:b w:val="0"/>
          <w:kern w:val="2"/>
          <w:sz w:val="32"/>
          <w:szCs w:val="32"/>
        </w:rPr>
      </w:pPr>
      <w:bookmarkStart w:id="6" w:name="_Toc379795041"/>
      <w:bookmarkStart w:id="7" w:name="_Toc155267083"/>
      <w:r w:rsidRPr="0043038D">
        <w:rPr>
          <w:rFonts w:eastAsia="方正黑体简体" w:hint="eastAsia"/>
          <w:b w:val="0"/>
          <w:kern w:val="2"/>
          <w:sz w:val="32"/>
          <w:szCs w:val="32"/>
        </w:rPr>
        <w:t>估价师声明</w:t>
      </w:r>
      <w:bookmarkEnd w:id="6"/>
      <w:bookmarkEnd w:id="7"/>
    </w:p>
    <w:p w14:paraId="61FB2CAE" w14:textId="77777777"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注册房地产估价师郑重声明：</w:t>
      </w:r>
    </w:p>
    <w:p w14:paraId="7BEE085E" w14:textId="77777777" w:rsidR="000E5655" w:rsidRPr="0043038D" w:rsidRDefault="00837133">
      <w:pPr>
        <w:spacing w:line="480" w:lineRule="auto"/>
        <w:jc w:val="both"/>
        <w:outlineLvl w:val="0"/>
        <w:rPr>
          <w:rFonts w:ascii="Arial" w:hAnsi="Arial" w:cs="Arial"/>
          <w:kern w:val="2"/>
          <w:sz w:val="21"/>
          <w:szCs w:val="21"/>
        </w:rPr>
      </w:pPr>
      <w:bookmarkStart w:id="8" w:name="_Toc168225811"/>
      <w:r w:rsidRPr="0043038D">
        <w:rPr>
          <w:rFonts w:ascii="Arial" w:hAnsi="Arial" w:cs="Arial"/>
          <w:kern w:val="2"/>
          <w:sz w:val="21"/>
          <w:szCs w:val="21"/>
        </w:rPr>
        <w:t>（一）注册房地产估价师在本估价报告中对事实的说明是真实的和准确的，没有虚假记载、误导性陈述和重大遗漏。</w:t>
      </w:r>
    </w:p>
    <w:p w14:paraId="75C3F355" w14:textId="77777777"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95B0760" w14:textId="77777777"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（三）</w:t>
      </w:r>
      <w:r w:rsidRPr="0043038D">
        <w:rPr>
          <w:rFonts w:ascii="Arial" w:hAnsi="Arial" w:cs="Arial" w:hint="eastAsia"/>
          <w:kern w:val="2"/>
          <w:sz w:val="21"/>
          <w:szCs w:val="21"/>
        </w:rPr>
        <w:t>评估专业人员已于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日对估价对象进行了实地查勘。我们</w:t>
      </w:r>
      <w:r w:rsidRPr="0043038D">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436E5B0" w14:textId="77777777"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（四）注册房地产估价师依照中华人民共和国国家标准《房地产估价规范》</w:t>
      </w:r>
      <w:bookmarkStart w:id="9" w:name="_Hlk130229083"/>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50291-2015]</w:t>
      </w:r>
      <w:bookmarkEnd w:id="9"/>
      <w:r w:rsidRPr="0043038D">
        <w:rPr>
          <w:rFonts w:ascii="Arial" w:hAnsi="Arial" w:cs="Arial" w:hint="eastAsia"/>
          <w:kern w:val="2"/>
          <w:sz w:val="21"/>
          <w:szCs w:val="21"/>
        </w:rPr>
        <w:t>、《</w:t>
      </w:r>
      <w:r w:rsidRPr="0043038D">
        <w:rPr>
          <w:rFonts w:ascii="Arial" w:hAnsi="Arial" w:cs="Arial"/>
          <w:kern w:val="2"/>
          <w:sz w:val="21"/>
          <w:szCs w:val="21"/>
        </w:rPr>
        <w:t>房地产估价基本术语标</w:t>
      </w:r>
      <w:r w:rsidRPr="0043038D">
        <w:rPr>
          <w:rFonts w:ascii="Arial" w:hAnsi="Arial" w:cs="Arial" w:hint="eastAsia"/>
          <w:kern w:val="2"/>
          <w:sz w:val="21"/>
          <w:szCs w:val="21"/>
        </w:rPr>
        <w:t>准》</w:t>
      </w:r>
      <w:bookmarkStart w:id="10" w:name="_Hlk130229088"/>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50899-2013]</w:t>
      </w:r>
      <w:bookmarkEnd w:id="10"/>
      <w:r w:rsidRPr="0043038D">
        <w:rPr>
          <w:rFonts w:ascii="Arial" w:hAnsi="Arial" w:cs="Arial"/>
          <w:kern w:val="2"/>
          <w:sz w:val="21"/>
          <w:szCs w:val="21"/>
        </w:rPr>
        <w:t>以及相关房地产估价专项标准，撰写本估价报告。</w:t>
      </w:r>
    </w:p>
    <w:p w14:paraId="3916557F" w14:textId="77777777" w:rsidR="000E5655" w:rsidRPr="0043038D" w:rsidRDefault="000E5655">
      <w:pPr>
        <w:rPr>
          <w:rFonts w:ascii="Arial" w:eastAsia="楷体_GB2312" w:hAnsi="Arial" w:cs="Arial"/>
          <w:kern w:val="2"/>
          <w:sz w:val="28"/>
        </w:rPr>
        <w:sectPr w:rsidR="000E5655" w:rsidRPr="0043038D">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28DACAB2" w14:textId="77777777" w:rsidR="000E5655" w:rsidRPr="0043038D" w:rsidRDefault="00837133">
      <w:pPr>
        <w:pStyle w:val="1"/>
        <w:spacing w:line="480" w:lineRule="auto"/>
        <w:jc w:val="center"/>
        <w:rPr>
          <w:rFonts w:eastAsia="方正黑体简体"/>
          <w:b w:val="0"/>
          <w:kern w:val="2"/>
          <w:sz w:val="32"/>
          <w:szCs w:val="32"/>
        </w:rPr>
      </w:pPr>
      <w:bookmarkStart w:id="11" w:name="_Toc155267084"/>
      <w:bookmarkStart w:id="12" w:name="_Toc379795042"/>
      <w:r w:rsidRPr="0043038D">
        <w:rPr>
          <w:rFonts w:eastAsia="方正黑体简体" w:hint="eastAsia"/>
          <w:b w:val="0"/>
          <w:kern w:val="2"/>
          <w:sz w:val="32"/>
          <w:szCs w:val="32"/>
        </w:rPr>
        <w:t>估价假设和限制条件</w:t>
      </w:r>
      <w:bookmarkEnd w:id="11"/>
      <w:bookmarkEnd w:id="12"/>
    </w:p>
    <w:p w14:paraId="6C9ED52B" w14:textId="77777777"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（一）</w:t>
      </w:r>
      <w:r w:rsidRPr="0043038D">
        <w:rPr>
          <w:rFonts w:ascii="Arial" w:hAnsi="Arial" w:cs="Arial" w:hint="eastAsia"/>
          <w:b/>
          <w:kern w:val="2"/>
          <w:sz w:val="21"/>
          <w:szCs w:val="21"/>
        </w:rPr>
        <w:t>本次估价的一般假设</w:t>
      </w:r>
    </w:p>
    <w:p w14:paraId="2464CFE7"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w:t>
      </w:r>
      <w:r w:rsidRPr="0043038D">
        <w:rPr>
          <w:rFonts w:ascii="Arial" w:hAnsi="Arial" w:cs="Arial"/>
          <w:kern w:val="2"/>
          <w:sz w:val="21"/>
          <w:szCs w:val="21"/>
        </w:rPr>
        <w:t>在</w:t>
      </w:r>
      <w:r w:rsidRPr="0043038D">
        <w:rPr>
          <w:rFonts w:ascii="Arial" w:hAnsi="Arial" w:cs="Arial" w:hint="eastAsia"/>
          <w:kern w:val="2"/>
          <w:sz w:val="21"/>
          <w:szCs w:val="21"/>
        </w:rPr>
        <w:t>估价时段</w:t>
      </w:r>
      <w:r w:rsidRPr="0043038D">
        <w:rPr>
          <w:rFonts w:ascii="Arial" w:hAnsi="Arial" w:cs="Arial"/>
          <w:kern w:val="2"/>
          <w:sz w:val="21"/>
          <w:szCs w:val="21"/>
        </w:rPr>
        <w:t>的房地产</w:t>
      </w:r>
      <w:r w:rsidRPr="0043038D">
        <w:rPr>
          <w:rFonts w:ascii="Arial" w:hAnsi="Arial" w:cs="Arial" w:hint="eastAsia"/>
          <w:kern w:val="2"/>
          <w:sz w:val="21"/>
          <w:szCs w:val="21"/>
        </w:rPr>
        <w:t>租赁</w:t>
      </w:r>
      <w:r w:rsidRPr="0043038D">
        <w:rPr>
          <w:rFonts w:ascii="Arial" w:hAnsi="Arial" w:cs="Arial"/>
          <w:kern w:val="2"/>
          <w:sz w:val="21"/>
          <w:szCs w:val="21"/>
        </w:rPr>
        <w:t>市场为公开、平等、自愿的交易市场。</w:t>
      </w:r>
    </w:p>
    <w:p w14:paraId="4A889F5E"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kern w:val="2"/>
          <w:sz w:val="21"/>
        </w:rPr>
        <w:t>以估价对象为符合法律、法规规定，在市场上可进行出租的房地产为假设前提。</w:t>
      </w:r>
    </w:p>
    <w:p w14:paraId="7656B9CE"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rPr>
        <w:t>3</w:t>
      </w:r>
      <w:r w:rsidRPr="0043038D">
        <w:rPr>
          <w:rFonts w:ascii="Arial" w:hAnsi="Arial" w:cs="Arial"/>
          <w:kern w:val="2"/>
          <w:sz w:val="21"/>
        </w:rPr>
        <w:t>.</w:t>
      </w:r>
      <w:r w:rsidRPr="0043038D">
        <w:rPr>
          <w:rFonts w:ascii="Arial" w:hAnsi="Arial" w:cs="Arial"/>
          <w:kern w:val="2"/>
          <w:sz w:val="21"/>
        </w:rPr>
        <w:t>以</w:t>
      </w:r>
      <w:r w:rsidRPr="0043038D">
        <w:rPr>
          <w:rFonts w:ascii="Arial" w:hAnsi="Arial" w:cs="Arial" w:hint="eastAsia"/>
          <w:kern w:val="2"/>
          <w:sz w:val="21"/>
        </w:rPr>
        <w:t>估价委托人</w:t>
      </w:r>
      <w:r w:rsidRPr="0043038D">
        <w:rPr>
          <w:rFonts w:ascii="Arial" w:hAnsi="Arial" w:cs="Arial"/>
          <w:kern w:val="2"/>
          <w:sz w:val="21"/>
        </w:rPr>
        <w:t>能按照设定用途</w:t>
      </w:r>
      <w:r w:rsidRPr="0043038D">
        <w:rPr>
          <w:rFonts w:ascii="宋体" w:hAnsi="宋体" w:hint="eastAsia"/>
          <w:kern w:val="2"/>
          <w:sz w:val="21"/>
        </w:rPr>
        <w:t>正常使用并可持续对外出租</w:t>
      </w:r>
      <w:r w:rsidRPr="0043038D">
        <w:rPr>
          <w:rFonts w:ascii="Arial" w:hAnsi="Arial" w:cs="Arial"/>
          <w:kern w:val="2"/>
          <w:sz w:val="21"/>
        </w:rPr>
        <w:t>为假设前提。</w:t>
      </w:r>
    </w:p>
    <w:p w14:paraId="7822F9CF"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4.</w:t>
      </w:r>
      <w:r w:rsidRPr="0043038D">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70D682A4"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5</w:t>
      </w:r>
      <w:r w:rsidRPr="0043038D">
        <w:rPr>
          <w:rFonts w:ascii="Arial" w:hAnsi="Arial" w:cs="Arial" w:hint="eastAsia"/>
          <w:kern w:val="2"/>
          <w:sz w:val="21"/>
          <w:szCs w:val="21"/>
        </w:rPr>
        <w:t>.</w:t>
      </w:r>
      <w:r w:rsidRPr="0043038D">
        <w:rPr>
          <w:rFonts w:ascii="Arial" w:hAnsi="Arial" w:cs="Arial" w:hint="eastAsia"/>
          <w:kern w:val="2"/>
          <w:sz w:val="21"/>
          <w:szCs w:val="21"/>
        </w:rPr>
        <w:t>本次估价结果是在满足全部假设与限制条件下，于价值时点</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00C81EDB">
        <w:rPr>
          <w:rFonts w:ascii="Arial" w:hAnsi="Arial" w:cs="Arial" w:hint="eastAsia"/>
          <w:kern w:val="2"/>
          <w:sz w:val="21"/>
          <w:szCs w:val="21"/>
        </w:rPr>
        <w:t>10</w:t>
      </w:r>
      <w:r w:rsidR="00C81EDB">
        <w:rPr>
          <w:rFonts w:ascii="Arial" w:hAnsi="Arial" w:cs="Arial" w:hint="eastAsia"/>
          <w:kern w:val="2"/>
          <w:sz w:val="21"/>
          <w:szCs w:val="21"/>
        </w:rPr>
        <w:t>月</w:t>
      </w:r>
      <w:r w:rsidR="00C81EDB">
        <w:rPr>
          <w:rFonts w:ascii="Arial" w:hAnsi="Arial" w:cs="Arial" w:hint="eastAsia"/>
          <w:kern w:val="2"/>
          <w:sz w:val="21"/>
          <w:szCs w:val="21"/>
        </w:rPr>
        <w:t>14</w:t>
      </w:r>
      <w:r w:rsidRPr="0043038D">
        <w:rPr>
          <w:rFonts w:ascii="Arial" w:hAnsi="Arial" w:cs="Arial" w:hint="eastAsia"/>
          <w:kern w:val="2"/>
          <w:sz w:val="21"/>
          <w:szCs w:val="21"/>
        </w:rPr>
        <w:t>日，</w:t>
      </w:r>
      <w:r w:rsidRPr="0043038D">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p w14:paraId="705EC4F0"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6</w:t>
      </w:r>
      <w:r w:rsidRPr="0043038D">
        <w:rPr>
          <w:rFonts w:ascii="Arial" w:hAnsi="Arial" w:cs="Arial" w:hint="eastAsia"/>
          <w:kern w:val="2"/>
          <w:sz w:val="21"/>
          <w:szCs w:val="21"/>
        </w:rPr>
        <w:t>.</w:t>
      </w:r>
      <w:r w:rsidRPr="0043038D">
        <w:rPr>
          <w:rFonts w:ascii="Arial" w:hAnsi="Arial" w:cs="Arial" w:hint="eastAsia"/>
          <w:kern w:val="2"/>
          <w:sz w:val="21"/>
          <w:szCs w:val="21"/>
        </w:rPr>
        <w:t>本次估价所涉及</w:t>
      </w:r>
      <w:r w:rsidRPr="0043038D">
        <w:rPr>
          <w:rFonts w:ascii="Arial" w:hAnsi="Arial" w:cs="Arial"/>
          <w:kern w:val="2"/>
          <w:sz w:val="21"/>
          <w:szCs w:val="21"/>
        </w:rPr>
        <w:t>估价对象</w:t>
      </w:r>
      <w:r w:rsidRPr="0043038D">
        <w:rPr>
          <w:rFonts w:ascii="Arial" w:hAnsi="Arial" w:cs="Arial" w:hint="eastAsia"/>
          <w:kern w:val="2"/>
          <w:sz w:val="21"/>
          <w:szCs w:val="21"/>
        </w:rPr>
        <w:t>坐落、户型、建筑面积、朝向、套数、装修及设备等情况均以估价委托人提供的《估价委托书》</w:t>
      </w:r>
      <w:r w:rsidRPr="0043038D">
        <w:rPr>
          <w:rFonts w:ascii="Arial" w:hAnsi="Arial" w:cs="Arial"/>
          <w:kern w:val="2"/>
          <w:sz w:val="21"/>
          <w:szCs w:val="21"/>
        </w:rPr>
        <w:t>为</w:t>
      </w:r>
      <w:r w:rsidRPr="0043038D">
        <w:rPr>
          <w:rFonts w:ascii="Arial" w:hAnsi="Arial" w:cs="Arial"/>
          <w:sz w:val="21"/>
          <w:szCs w:val="21"/>
        </w:rPr>
        <w:t>依据。</w:t>
      </w:r>
      <w:r w:rsidRPr="0043038D">
        <w:rPr>
          <w:rFonts w:ascii="Arial" w:hAnsi="Arial" w:cs="Arial"/>
          <w:kern w:val="2"/>
          <w:sz w:val="21"/>
        </w:rPr>
        <w:t>如上述情况发生变化，估价结果需做相应调整，在此提请报告使用者注意。</w:t>
      </w:r>
    </w:p>
    <w:p w14:paraId="7EB612A9"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7.</w:t>
      </w:r>
      <w:r w:rsidRPr="0043038D">
        <w:rPr>
          <w:rFonts w:ascii="Arial" w:hAnsi="Arial" w:cs="Arial"/>
          <w:kern w:val="2"/>
          <w:sz w:val="21"/>
          <w:szCs w:val="21"/>
        </w:rPr>
        <w:t>评估专业人员</w:t>
      </w:r>
      <w:r w:rsidRPr="0043038D">
        <w:rPr>
          <w:rFonts w:ascii="Arial" w:hAnsi="Arial" w:cs="Arial" w:hint="eastAsia"/>
          <w:kern w:val="2"/>
          <w:sz w:val="21"/>
          <w:szCs w:val="21"/>
        </w:rPr>
        <w:t>仅</w:t>
      </w:r>
      <w:r w:rsidRPr="0043038D">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9F6D7C1"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8.</w:t>
      </w:r>
      <w:r w:rsidRPr="0043038D">
        <w:rPr>
          <w:rFonts w:ascii="Arial" w:hAnsi="Arial" w:cs="Arial"/>
          <w:kern w:val="2"/>
          <w:sz w:val="21"/>
          <w:szCs w:val="21"/>
        </w:rPr>
        <w:t>任何有关估价对象的运作方式、程序符合国家、地方的有关法律、法规。</w:t>
      </w:r>
    </w:p>
    <w:p w14:paraId="7DBFD26A"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9.</w:t>
      </w:r>
      <w:r w:rsidRPr="0043038D">
        <w:rPr>
          <w:rFonts w:ascii="Arial" w:hAnsi="Arial" w:cs="Arial"/>
          <w:kern w:val="2"/>
          <w:sz w:val="21"/>
          <w:szCs w:val="21"/>
        </w:rPr>
        <w:t>本次估价结果未考虑国家宏观政策发生重大变化以及遇有自然力和其他不可抗力对估价结果的影响。</w:t>
      </w:r>
    </w:p>
    <w:p w14:paraId="42F81B67"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10</w:t>
      </w:r>
      <w:r w:rsidRPr="0043038D">
        <w:rPr>
          <w:rFonts w:ascii="Arial" w:hAnsi="Arial" w:cs="Arial" w:hint="eastAsia"/>
          <w:kern w:val="2"/>
          <w:sz w:val="21"/>
          <w:szCs w:val="21"/>
        </w:rPr>
        <w:t>.</w:t>
      </w:r>
      <w:r w:rsidRPr="0043038D">
        <w:rPr>
          <w:rFonts w:ascii="Arial" w:hAnsi="Arial" w:cs="Arial"/>
          <w:kern w:val="2"/>
          <w:sz w:val="21"/>
          <w:szCs w:val="21"/>
        </w:rPr>
        <w:t>估价结果未考虑估价对象及其运营企业已承担的债务、或有债务及经营决策失误或市场运作失当对其</w:t>
      </w:r>
      <w:bookmarkStart w:id="13" w:name="_Hlk130229376"/>
      <w:r w:rsidRPr="0043038D">
        <w:rPr>
          <w:rFonts w:ascii="Arial" w:hAnsi="Arial" w:cs="Arial" w:hint="eastAsia"/>
          <w:kern w:val="2"/>
          <w:sz w:val="21"/>
          <w:szCs w:val="21"/>
        </w:rPr>
        <w:t>租赁价格水平</w:t>
      </w:r>
      <w:bookmarkEnd w:id="13"/>
      <w:r w:rsidRPr="0043038D">
        <w:rPr>
          <w:rFonts w:ascii="Arial" w:hAnsi="Arial" w:cs="Arial"/>
          <w:kern w:val="2"/>
          <w:sz w:val="21"/>
          <w:szCs w:val="21"/>
        </w:rPr>
        <w:t>的影响。</w:t>
      </w:r>
    </w:p>
    <w:p w14:paraId="434011AA"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hint="eastAsia"/>
          <w:kern w:val="2"/>
          <w:sz w:val="21"/>
          <w:szCs w:val="21"/>
        </w:rPr>
        <w:t>.</w:t>
      </w:r>
      <w:r w:rsidRPr="0043038D">
        <w:rPr>
          <w:rFonts w:ascii="Arial" w:hAnsi="Arial" w:cs="Arial" w:hint="eastAsia"/>
          <w:kern w:val="2"/>
          <w:sz w:val="21"/>
          <w:szCs w:val="21"/>
        </w:rPr>
        <w:t>评估专业人员于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日对估价对象现状利用状况进行了实地查勘</w:t>
      </w:r>
      <w:r w:rsidRPr="0043038D">
        <w:rPr>
          <w:rFonts w:ascii="Arial" w:hAnsi="Arial" w:cs="Arial"/>
          <w:kern w:val="2"/>
          <w:sz w:val="21"/>
          <w:szCs w:val="21"/>
        </w:rPr>
        <w:t>.</w:t>
      </w:r>
      <w:r w:rsidRPr="0043038D">
        <w:rPr>
          <w:rFonts w:ascii="Arial" w:hAnsi="Arial" w:cs="Arial" w:hint="eastAsia"/>
          <w:kern w:val="2"/>
          <w:sz w:val="21"/>
          <w:szCs w:val="21"/>
        </w:rPr>
        <w:t>本次评估设定估价对象在价值时点</w:t>
      </w:r>
      <w:r w:rsidRPr="0043038D">
        <w:rPr>
          <w:rFonts w:ascii="Arial" w:hAnsi="Arial" w:cs="Arial" w:hint="eastAsia"/>
          <w:kern w:val="2"/>
          <w:sz w:val="21"/>
          <w:szCs w:val="21"/>
        </w:rPr>
        <w:t>202</w:t>
      </w:r>
      <w:r w:rsidRPr="0043038D">
        <w:rPr>
          <w:rFonts w:ascii="Arial" w:hAnsi="Arial" w:cs="Arial"/>
          <w:kern w:val="2"/>
          <w:sz w:val="21"/>
          <w:szCs w:val="21"/>
        </w:rPr>
        <w:t>4</w:t>
      </w:r>
      <w:r w:rsidRPr="0043038D">
        <w:rPr>
          <w:rFonts w:ascii="Arial" w:hAnsi="Arial" w:cs="Arial" w:hint="eastAsia"/>
          <w:kern w:val="2"/>
          <w:sz w:val="21"/>
          <w:szCs w:val="21"/>
        </w:rPr>
        <w:t>年</w:t>
      </w:r>
      <w:r w:rsidR="00C81EDB">
        <w:rPr>
          <w:rFonts w:ascii="Arial" w:hAnsi="Arial" w:cs="Arial" w:hint="eastAsia"/>
          <w:kern w:val="2"/>
          <w:sz w:val="21"/>
          <w:szCs w:val="21"/>
        </w:rPr>
        <w:t>10</w:t>
      </w:r>
      <w:r w:rsidR="00C81EDB">
        <w:rPr>
          <w:rFonts w:ascii="Arial" w:hAnsi="Arial" w:cs="Arial" w:hint="eastAsia"/>
          <w:kern w:val="2"/>
          <w:sz w:val="21"/>
          <w:szCs w:val="21"/>
        </w:rPr>
        <w:t>月</w:t>
      </w:r>
      <w:r w:rsidR="00C81EDB">
        <w:rPr>
          <w:rFonts w:ascii="Arial" w:hAnsi="Arial" w:cs="Arial" w:hint="eastAsia"/>
          <w:kern w:val="2"/>
          <w:sz w:val="21"/>
          <w:szCs w:val="21"/>
        </w:rPr>
        <w:t>14</w:t>
      </w:r>
      <w:r w:rsidRPr="0043038D">
        <w:rPr>
          <w:rFonts w:ascii="Arial" w:hAnsi="Arial" w:cs="Arial" w:hint="eastAsia"/>
          <w:kern w:val="2"/>
          <w:sz w:val="21"/>
          <w:szCs w:val="21"/>
        </w:rPr>
        <w:t>日的现状利用状况同实地勘察日利用状况相同。</w:t>
      </w:r>
    </w:p>
    <w:p w14:paraId="0BF27908"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7019EC50" w14:textId="77777777"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二</w:t>
      </w:r>
      <w:r w:rsidRPr="0043038D">
        <w:rPr>
          <w:rFonts w:ascii="Arial" w:hAnsi="Arial" w:cs="Arial"/>
          <w:b/>
          <w:kern w:val="2"/>
          <w:sz w:val="21"/>
          <w:szCs w:val="21"/>
        </w:rPr>
        <w:t>）</w:t>
      </w:r>
      <w:r w:rsidRPr="0043038D">
        <w:rPr>
          <w:rFonts w:ascii="Arial" w:hAnsi="Arial" w:cs="Arial" w:hint="eastAsia"/>
          <w:b/>
          <w:kern w:val="2"/>
          <w:sz w:val="21"/>
          <w:szCs w:val="21"/>
        </w:rPr>
        <w:t>本次估价的未定事项假设</w:t>
      </w:r>
    </w:p>
    <w:p w14:paraId="2D8BB30C"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无。</w:t>
      </w:r>
    </w:p>
    <w:p w14:paraId="6360A21B" w14:textId="77777777"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4" w:name="_Hlk118391731"/>
      <w:r w:rsidRPr="0043038D">
        <w:rPr>
          <w:rFonts w:ascii="Arial" w:hAnsi="Arial" w:cs="Arial" w:hint="eastAsia"/>
          <w:b/>
          <w:kern w:val="2"/>
          <w:sz w:val="21"/>
          <w:szCs w:val="21"/>
        </w:rPr>
        <w:t>背离事实假设</w:t>
      </w:r>
      <w:bookmarkEnd w:id="14"/>
    </w:p>
    <w:p w14:paraId="0D37E258"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14:paraId="33F2F91A" w14:textId="77777777"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四</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5" w:name="_Hlk124791168"/>
      <w:r w:rsidRPr="0043038D">
        <w:rPr>
          <w:rFonts w:ascii="Arial" w:hAnsi="Arial" w:cs="Arial" w:hint="eastAsia"/>
          <w:b/>
          <w:kern w:val="2"/>
          <w:sz w:val="21"/>
          <w:szCs w:val="21"/>
        </w:rPr>
        <w:t>不相一致假设</w:t>
      </w:r>
      <w:bookmarkEnd w:id="15"/>
    </w:p>
    <w:p w14:paraId="0B4B1797"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14:paraId="5AD4B7B9" w14:textId="77777777"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五</w:t>
      </w:r>
      <w:r w:rsidRPr="0043038D">
        <w:rPr>
          <w:rFonts w:ascii="Arial" w:hAnsi="Arial" w:cs="Arial"/>
          <w:b/>
          <w:kern w:val="2"/>
          <w:sz w:val="21"/>
          <w:szCs w:val="21"/>
        </w:rPr>
        <w:t>）</w:t>
      </w:r>
      <w:r w:rsidRPr="0043038D">
        <w:rPr>
          <w:rFonts w:ascii="Arial" w:hAnsi="Arial" w:cs="Arial" w:hint="eastAsia"/>
          <w:b/>
          <w:kern w:val="2"/>
          <w:sz w:val="21"/>
          <w:szCs w:val="21"/>
        </w:rPr>
        <w:t>本次估价的依据不足假设</w:t>
      </w:r>
    </w:p>
    <w:p w14:paraId="2D991311"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截至价值时点，估价对象尚未取得《不动产权证书》，本次评估建筑面积以委托人提供的《估价委托书》为依据，并以估价对象可正常取得《不动产权证书》为前提，如上述情况有变动，估价结果应做相应调整，提请报告使用者注意。</w:t>
      </w:r>
    </w:p>
    <w:p w14:paraId="647D4B5D" w14:textId="77777777"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六</w:t>
      </w:r>
      <w:r w:rsidRPr="0043038D">
        <w:rPr>
          <w:rFonts w:ascii="Arial" w:hAnsi="Arial" w:cs="Arial"/>
          <w:b/>
          <w:kern w:val="2"/>
          <w:sz w:val="21"/>
          <w:szCs w:val="21"/>
        </w:rPr>
        <w:t>）</w:t>
      </w:r>
      <w:r w:rsidRPr="0043038D">
        <w:rPr>
          <w:rFonts w:ascii="Arial" w:hAnsi="Arial" w:cs="Arial" w:hint="eastAsia"/>
          <w:b/>
          <w:kern w:val="2"/>
          <w:sz w:val="21"/>
          <w:szCs w:val="21"/>
        </w:rPr>
        <w:t>估价报告使用限制</w:t>
      </w:r>
    </w:p>
    <w:p w14:paraId="35C126F9"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hint="eastAsia"/>
          <w:kern w:val="2"/>
          <w:sz w:val="21"/>
          <w:szCs w:val="21"/>
        </w:rPr>
        <w:t>使用范围：本估价报告只能由估价报告载明的报告使用者使用，且只能用于本报告载明的唯一估价目的和用途。</w:t>
      </w:r>
    </w:p>
    <w:p w14:paraId="4E00DF6B"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287F838"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3.</w:t>
      </w:r>
      <w:r w:rsidRPr="0043038D">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54A48D9"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4.</w:t>
      </w:r>
      <w:r w:rsidRPr="0043038D">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DD971C5"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5.</w:t>
      </w:r>
      <w:r w:rsidRPr="0043038D">
        <w:rPr>
          <w:rFonts w:ascii="Arial" w:hAnsi="Arial" w:cs="Arial"/>
          <w:kern w:val="2"/>
          <w:sz w:val="21"/>
          <w:szCs w:val="21"/>
        </w:rPr>
        <w:t>本</w:t>
      </w:r>
      <w:r w:rsidRPr="0043038D">
        <w:rPr>
          <w:rFonts w:ascii="Arial" w:hAnsi="Arial" w:cs="Arial"/>
          <w:sz w:val="21"/>
          <w:szCs w:val="21"/>
        </w:rPr>
        <w:t>估价报告</w:t>
      </w:r>
      <w:r w:rsidRPr="0043038D">
        <w:rPr>
          <w:rFonts w:ascii="Arial" w:hAnsi="Arial" w:cs="Arial"/>
          <w:kern w:val="2"/>
          <w:sz w:val="21"/>
          <w:szCs w:val="21"/>
        </w:rPr>
        <w:t>评估目的是</w:t>
      </w:r>
      <w:r w:rsidRPr="0043038D">
        <w:rPr>
          <w:rFonts w:ascii="Arial" w:hAnsi="Arial" w:cs="Arial" w:hint="eastAsia"/>
          <w:sz w:val="21"/>
          <w:szCs w:val="21"/>
        </w:rPr>
        <w:t>为有关单位合理确定或调整保障性租赁住房项目租金提供参考依据</w:t>
      </w:r>
      <w:r w:rsidRPr="0043038D">
        <w:rPr>
          <w:rFonts w:ascii="Arial" w:hAnsi="Arial" w:cs="Arial"/>
          <w:kern w:val="2"/>
          <w:sz w:val="21"/>
          <w:szCs w:val="21"/>
        </w:rPr>
        <w:t>，不做其他评估目的之用。如果估价对象的评估条件或目的发生变化，需重新进行评估。</w:t>
      </w:r>
    </w:p>
    <w:p w14:paraId="69EE4A3C"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kern w:val="2"/>
          <w:sz w:val="21"/>
          <w:szCs w:val="21"/>
        </w:rPr>
        <w:t>估价委托人应对其提供的评估相关资料的真实性、完整性和合法性负责</w:t>
      </w:r>
      <w:r w:rsidRPr="0043038D">
        <w:rPr>
          <w:rFonts w:ascii="Arial" w:hAnsi="Arial" w:cs="Arial"/>
          <w:kern w:val="2"/>
          <w:sz w:val="21"/>
          <w:szCs w:val="21"/>
        </w:rPr>
        <w:t>。如因资料失实或资料提供人有所隐匿而导致估价结果失真，估价机构不承担相应的责任。</w:t>
      </w:r>
    </w:p>
    <w:p w14:paraId="75A2DE6C"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7.</w:t>
      </w:r>
      <w:r w:rsidRPr="0043038D">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043BD464"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64FBD40"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sz w:val="21"/>
          <w:szCs w:val="21"/>
        </w:rPr>
        <w:t>本估价报告在估价机构盖章和注册房地产估价师签字</w:t>
      </w:r>
      <w:r w:rsidRPr="0043038D">
        <w:rPr>
          <w:rFonts w:ascii="Arial" w:hAnsi="Arial" w:cs="Arial" w:hint="eastAsia"/>
          <w:sz w:val="21"/>
          <w:szCs w:val="21"/>
        </w:rPr>
        <w:t>或盖章</w:t>
      </w:r>
      <w:r w:rsidRPr="0043038D">
        <w:rPr>
          <w:rFonts w:ascii="Arial" w:hAnsi="Arial" w:cs="Arial"/>
          <w:sz w:val="21"/>
          <w:szCs w:val="21"/>
        </w:rPr>
        <w:t>的条件下有效。</w:t>
      </w:r>
    </w:p>
    <w:p w14:paraId="3C1BE737"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10</w:t>
      </w:r>
      <w:r w:rsidRPr="0043038D">
        <w:rPr>
          <w:rFonts w:ascii="Arial" w:hAnsi="Arial" w:cs="Arial"/>
          <w:kern w:val="2"/>
          <w:sz w:val="21"/>
          <w:szCs w:val="21"/>
        </w:rPr>
        <w:t>.</w:t>
      </w:r>
      <w:r w:rsidRPr="0043038D">
        <w:rPr>
          <w:rFonts w:ascii="Arial" w:hAnsi="Arial" w:cs="Arial"/>
          <w:sz w:val="21"/>
          <w:szCs w:val="21"/>
        </w:rPr>
        <w:t>价值时点后，估价报告有效期内估价对象的质量及价格标准发生变化，并对估价对象租赁价值产生明显影响时，不能直接使用本次估价结论</w:t>
      </w:r>
      <w:r w:rsidRPr="0043038D">
        <w:rPr>
          <w:rFonts w:ascii="Arial" w:hAnsi="Arial" w:cs="Arial" w:hint="eastAsia"/>
          <w:sz w:val="21"/>
          <w:szCs w:val="21"/>
        </w:rPr>
        <w:t>。</w:t>
      </w:r>
    </w:p>
    <w:p w14:paraId="1581EDD8"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11.</w:t>
      </w:r>
      <w:r w:rsidRPr="0043038D">
        <w:rPr>
          <w:rFonts w:ascii="Arial" w:hAnsi="Arial" w:cs="Arial"/>
          <w:sz w:val="21"/>
          <w:szCs w:val="21"/>
        </w:rPr>
        <w:t>本次估价未考虑特殊交易方式对估价结果的影响。</w:t>
      </w:r>
    </w:p>
    <w:p w14:paraId="348E282C"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12.</w:t>
      </w:r>
      <w:r w:rsidRPr="0043038D">
        <w:rPr>
          <w:rFonts w:ascii="Arial" w:hAnsi="Arial" w:cs="Arial" w:hint="eastAsia"/>
          <w:sz w:val="21"/>
          <w:szCs w:val="21"/>
        </w:rPr>
        <w:t>根据评估专业人员调查，于价值时点，估价对象存在抵押情况，根据本次估价目的，不考虑抵押权对估价结果的影响。</w:t>
      </w:r>
    </w:p>
    <w:p w14:paraId="4CA7FC5F"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13</w:t>
      </w:r>
      <w:r w:rsidRPr="0043038D">
        <w:rPr>
          <w:rFonts w:ascii="Arial" w:hAnsi="Arial" w:cs="Arial"/>
          <w:kern w:val="2"/>
          <w:sz w:val="21"/>
          <w:szCs w:val="21"/>
        </w:rPr>
        <w:t>.</w:t>
      </w:r>
      <w:r w:rsidRPr="0043038D">
        <w:rPr>
          <w:rFonts w:ascii="Arial" w:hAnsi="Arial" w:cs="Arial"/>
          <w:kern w:val="2"/>
          <w:sz w:val="21"/>
          <w:szCs w:val="21"/>
        </w:rPr>
        <w:t>本估价报告</w:t>
      </w:r>
      <w:r w:rsidRPr="0043038D">
        <w:rPr>
          <w:rFonts w:ascii="Arial" w:hAnsi="Arial" w:cs="Arial" w:hint="eastAsia"/>
          <w:kern w:val="2"/>
          <w:sz w:val="21"/>
          <w:szCs w:val="21"/>
        </w:rPr>
        <w:t>自报告出具日起计算，自</w:t>
      </w:r>
      <w:r w:rsidRPr="0043038D">
        <w:rPr>
          <w:rFonts w:ascii="Arial" w:hAnsi="Arial" w:cs="Arial"/>
          <w:kern w:val="2"/>
          <w:sz w:val="21"/>
          <w:szCs w:val="21"/>
        </w:rPr>
        <w:t>2024</w:t>
      </w:r>
      <w:r w:rsidRPr="0043038D">
        <w:rPr>
          <w:rFonts w:ascii="Arial" w:hAnsi="Arial" w:cs="Arial"/>
          <w:kern w:val="2"/>
          <w:sz w:val="21"/>
          <w:szCs w:val="21"/>
        </w:rPr>
        <w:t>年</w:t>
      </w:r>
      <w:r w:rsidR="00D6006C" w:rsidRPr="0043038D">
        <w:rPr>
          <w:rFonts w:ascii="Arial" w:hAnsi="Arial" w:cs="Arial"/>
          <w:kern w:val="2"/>
          <w:sz w:val="21"/>
          <w:szCs w:val="21"/>
        </w:rPr>
        <w:t>11</w:t>
      </w:r>
      <w:r w:rsidRPr="0043038D">
        <w:rPr>
          <w:rFonts w:ascii="Arial" w:hAnsi="Arial" w:cs="Arial"/>
          <w:kern w:val="2"/>
          <w:sz w:val="21"/>
          <w:szCs w:val="21"/>
        </w:rPr>
        <w:t>月</w:t>
      </w:r>
      <w:r w:rsidR="00D6006C" w:rsidRPr="0043038D">
        <w:rPr>
          <w:rFonts w:ascii="Arial" w:hAnsi="Arial" w:cs="Arial"/>
          <w:kern w:val="2"/>
          <w:sz w:val="21"/>
          <w:szCs w:val="21"/>
        </w:rPr>
        <w:t>5</w:t>
      </w:r>
      <w:r w:rsidRPr="0043038D">
        <w:rPr>
          <w:rFonts w:ascii="Arial" w:hAnsi="Arial" w:cs="Arial"/>
          <w:kern w:val="2"/>
          <w:sz w:val="21"/>
          <w:szCs w:val="21"/>
        </w:rPr>
        <w:t>日</w:t>
      </w:r>
      <w:r w:rsidRPr="0043038D">
        <w:rPr>
          <w:rFonts w:ascii="Arial" w:hAnsi="Arial" w:cs="Arial" w:hint="eastAsia"/>
          <w:kern w:val="2"/>
          <w:sz w:val="21"/>
          <w:szCs w:val="21"/>
        </w:rPr>
        <w:t>至</w:t>
      </w:r>
      <w:r w:rsidRPr="0043038D">
        <w:rPr>
          <w:rFonts w:ascii="Arial" w:hAnsi="Arial" w:cs="Arial"/>
          <w:kern w:val="2"/>
          <w:sz w:val="21"/>
          <w:szCs w:val="21"/>
        </w:rPr>
        <w:t>2025</w:t>
      </w:r>
      <w:r w:rsidRPr="0043038D">
        <w:rPr>
          <w:rFonts w:ascii="Arial" w:hAnsi="Arial" w:cs="Arial" w:hint="eastAsia"/>
          <w:kern w:val="2"/>
          <w:sz w:val="21"/>
          <w:szCs w:val="21"/>
        </w:rPr>
        <w:t>年</w:t>
      </w:r>
      <w:r w:rsidR="00D6006C" w:rsidRPr="0043038D">
        <w:rPr>
          <w:rFonts w:ascii="Arial" w:hAnsi="Arial" w:cs="Arial"/>
          <w:kern w:val="2"/>
          <w:sz w:val="21"/>
          <w:szCs w:val="21"/>
        </w:rPr>
        <w:t>11</w:t>
      </w:r>
      <w:r w:rsidRPr="0043038D">
        <w:rPr>
          <w:rFonts w:ascii="Arial" w:hAnsi="Arial" w:cs="Arial" w:hint="eastAsia"/>
          <w:kern w:val="2"/>
          <w:sz w:val="21"/>
          <w:szCs w:val="21"/>
        </w:rPr>
        <w:t>月</w:t>
      </w:r>
      <w:r w:rsidR="00D6006C" w:rsidRPr="0043038D">
        <w:rPr>
          <w:rFonts w:ascii="Arial" w:hAnsi="Arial" w:cs="Arial"/>
          <w:kern w:val="2"/>
          <w:sz w:val="21"/>
          <w:szCs w:val="21"/>
        </w:rPr>
        <w:t>4</w:t>
      </w:r>
      <w:r w:rsidRPr="0043038D">
        <w:rPr>
          <w:rFonts w:ascii="Arial" w:hAnsi="Arial" w:cs="Arial" w:hint="eastAsia"/>
          <w:kern w:val="2"/>
          <w:sz w:val="21"/>
          <w:szCs w:val="21"/>
        </w:rPr>
        <w:t>日有效</w:t>
      </w:r>
      <w:r w:rsidRPr="0043038D">
        <w:rPr>
          <w:rFonts w:ascii="Arial" w:hAnsi="Arial" w:cs="Arial"/>
          <w:kern w:val="2"/>
          <w:sz w:val="21"/>
          <w:szCs w:val="21"/>
        </w:rPr>
        <w:t>。</w:t>
      </w:r>
    </w:p>
    <w:bookmarkEnd w:id="8"/>
    <w:p w14:paraId="6389A0ED" w14:textId="77777777" w:rsidR="000E5655" w:rsidRPr="0043038D" w:rsidRDefault="000E5655" w:rsidP="00D6006C">
      <w:pPr>
        <w:spacing w:line="480" w:lineRule="auto"/>
        <w:jc w:val="both"/>
        <w:rPr>
          <w:rFonts w:ascii="Arial" w:hAnsi="Arial" w:cs="Arial"/>
          <w:kern w:val="2"/>
          <w:sz w:val="21"/>
          <w:szCs w:val="21"/>
        </w:rPr>
        <w:sectPr w:rsidR="000E5655" w:rsidRPr="0043038D">
          <w:pgSz w:w="11907" w:h="16840"/>
          <w:pgMar w:top="1843" w:right="1134" w:bottom="1134" w:left="1134" w:header="1134" w:footer="907" w:gutter="340"/>
          <w:cols w:space="720"/>
          <w:docGrid w:linePitch="326"/>
        </w:sectPr>
      </w:pPr>
    </w:p>
    <w:p w14:paraId="31EF8AD3" w14:textId="77777777" w:rsidR="000E5655" w:rsidRPr="0043038D" w:rsidRDefault="00837133">
      <w:pPr>
        <w:pStyle w:val="1"/>
        <w:spacing w:line="360" w:lineRule="auto"/>
        <w:jc w:val="center"/>
        <w:rPr>
          <w:rFonts w:eastAsia="方正黑体简体"/>
          <w:b w:val="0"/>
          <w:kern w:val="2"/>
          <w:sz w:val="32"/>
          <w:szCs w:val="32"/>
        </w:rPr>
      </w:pPr>
      <w:bookmarkStart w:id="16" w:name="_Toc155267085"/>
      <w:bookmarkStart w:id="17" w:name="_Toc168225812"/>
      <w:r w:rsidRPr="0043038D">
        <w:rPr>
          <w:rFonts w:eastAsia="方正黑体简体" w:hint="eastAsia"/>
          <w:b w:val="0"/>
          <w:kern w:val="2"/>
          <w:sz w:val="32"/>
          <w:szCs w:val="32"/>
        </w:rPr>
        <w:t>估价结果报告</w:t>
      </w:r>
      <w:bookmarkEnd w:id="16"/>
      <w:bookmarkEnd w:id="17"/>
    </w:p>
    <w:p w14:paraId="4DAD9B9D"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55267086"/>
      <w:r w:rsidRPr="0043038D">
        <w:rPr>
          <w:rFonts w:eastAsia="宋体"/>
          <w:kern w:val="2"/>
          <w:sz w:val="21"/>
          <w:szCs w:val="21"/>
        </w:rPr>
        <w:t>一</w:t>
      </w:r>
      <w:bookmarkEnd w:id="18"/>
      <w:r w:rsidRPr="0043038D">
        <w:rPr>
          <w:rFonts w:eastAsia="宋体"/>
          <w:kern w:val="2"/>
          <w:sz w:val="21"/>
          <w:szCs w:val="21"/>
        </w:rPr>
        <w:t>、估价委托人</w:t>
      </w:r>
      <w:bookmarkEnd w:id="19"/>
    </w:p>
    <w:p w14:paraId="1837C382"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估价委托人为</w:t>
      </w:r>
      <w:r w:rsidRPr="0043038D">
        <w:rPr>
          <w:rFonts w:ascii="Arial" w:hAnsi="Arial" w:cs="Arial" w:hint="eastAsia"/>
          <w:sz w:val="21"/>
          <w:szCs w:val="21"/>
        </w:rPr>
        <w:t>北京市燕兴保障性住房建设投资有限公司</w:t>
      </w:r>
      <w:r w:rsidRPr="0043038D">
        <w:rPr>
          <w:rFonts w:ascii="Arial" w:hAnsi="Arial" w:cs="Arial"/>
          <w:sz w:val="21"/>
          <w:szCs w:val="21"/>
        </w:rPr>
        <w:t>。</w:t>
      </w:r>
    </w:p>
    <w:p w14:paraId="2E54142A"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单位名称：</w:t>
      </w:r>
      <w:r w:rsidRPr="0043038D">
        <w:rPr>
          <w:rFonts w:ascii="Arial" w:hAnsi="Arial" w:cs="Arial" w:hint="eastAsia"/>
          <w:sz w:val="21"/>
          <w:szCs w:val="21"/>
        </w:rPr>
        <w:t>北京市燕兴保障性住房建设投资有限公司</w:t>
      </w:r>
    </w:p>
    <w:p w14:paraId="6A96631A"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地</w:t>
      </w:r>
      <w:r w:rsidRPr="0043038D">
        <w:rPr>
          <w:rFonts w:ascii="Arial" w:hAnsi="Arial" w:cs="Arial" w:hint="eastAsia"/>
          <w:sz w:val="21"/>
          <w:szCs w:val="21"/>
        </w:rPr>
        <w:t xml:space="preserve">    </w:t>
      </w:r>
      <w:r w:rsidRPr="0043038D">
        <w:rPr>
          <w:rFonts w:ascii="Arial" w:hAnsi="Arial" w:cs="Arial" w:hint="eastAsia"/>
          <w:sz w:val="21"/>
          <w:szCs w:val="21"/>
        </w:rPr>
        <w:t>址：北京市大兴区欣雅街</w:t>
      </w:r>
      <w:r w:rsidRPr="0043038D">
        <w:rPr>
          <w:rFonts w:ascii="Arial" w:hAnsi="Arial" w:cs="Arial" w:hint="eastAsia"/>
          <w:sz w:val="21"/>
          <w:szCs w:val="21"/>
        </w:rPr>
        <w:t>15</w:t>
      </w:r>
      <w:r w:rsidRPr="0043038D">
        <w:rPr>
          <w:rFonts w:ascii="Arial" w:hAnsi="Arial" w:cs="Arial" w:hint="eastAsia"/>
          <w:sz w:val="21"/>
          <w:szCs w:val="21"/>
        </w:rPr>
        <w:t>号院</w:t>
      </w:r>
      <w:r w:rsidRPr="0043038D">
        <w:rPr>
          <w:rFonts w:ascii="Arial" w:hAnsi="Arial" w:cs="Arial" w:hint="eastAsia"/>
          <w:sz w:val="21"/>
          <w:szCs w:val="21"/>
        </w:rPr>
        <w:t>1</w:t>
      </w:r>
      <w:r w:rsidRPr="0043038D">
        <w:rPr>
          <w:rFonts w:ascii="Arial" w:hAnsi="Arial" w:cs="Arial" w:hint="eastAsia"/>
          <w:sz w:val="21"/>
          <w:szCs w:val="21"/>
        </w:rPr>
        <w:t>号楼</w:t>
      </w:r>
      <w:r w:rsidRPr="0043038D">
        <w:rPr>
          <w:rFonts w:ascii="Arial" w:hAnsi="Arial" w:cs="Arial" w:hint="eastAsia"/>
          <w:sz w:val="21"/>
          <w:szCs w:val="21"/>
        </w:rPr>
        <w:t>6</w:t>
      </w:r>
      <w:r w:rsidRPr="0043038D">
        <w:rPr>
          <w:rFonts w:ascii="Arial" w:hAnsi="Arial" w:cs="Arial" w:hint="eastAsia"/>
          <w:sz w:val="21"/>
          <w:szCs w:val="21"/>
        </w:rPr>
        <w:t>层</w:t>
      </w:r>
      <w:r w:rsidRPr="0043038D">
        <w:rPr>
          <w:rFonts w:ascii="Arial" w:hAnsi="Arial" w:cs="Arial" w:hint="eastAsia"/>
          <w:sz w:val="21"/>
          <w:szCs w:val="21"/>
        </w:rPr>
        <w:t>606</w:t>
      </w:r>
    </w:p>
    <w:p w14:paraId="2664C01A" w14:textId="77777777"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14:paraId="022A6F41"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55267087"/>
      <w:r w:rsidRPr="0043038D">
        <w:rPr>
          <w:rFonts w:eastAsia="宋体"/>
          <w:kern w:val="2"/>
          <w:sz w:val="21"/>
          <w:szCs w:val="21"/>
        </w:rPr>
        <w:t>二、房地产估价机构</w:t>
      </w:r>
      <w:bookmarkEnd w:id="20"/>
      <w:bookmarkEnd w:id="21"/>
    </w:p>
    <w:p w14:paraId="30FAC0DE"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受托机构：北京康正宏基房地产评估有限公司</w:t>
      </w:r>
    </w:p>
    <w:p w14:paraId="1EC5DD98"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资质级别：壹级</w:t>
      </w:r>
    </w:p>
    <w:p w14:paraId="27D2CBA4" w14:textId="77777777"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资格证书号：建房估备字</w:t>
      </w:r>
      <w:r w:rsidRPr="0043038D">
        <w:rPr>
          <w:rFonts w:ascii="Arial" w:hAnsi="Arial" w:hint="eastAsia"/>
          <w:sz w:val="21"/>
          <w:szCs w:val="21"/>
        </w:rPr>
        <w:t>[2013</w:t>
      </w:r>
      <w:r w:rsidRPr="0043038D">
        <w:rPr>
          <w:rFonts w:ascii="Arial" w:hAnsi="Arial" w:hint="eastAsia"/>
          <w:sz w:val="21"/>
          <w:szCs w:val="21"/>
        </w:rPr>
        <w:t>第</w:t>
      </w:r>
      <w:r w:rsidRPr="0043038D">
        <w:rPr>
          <w:rFonts w:ascii="Arial" w:hAnsi="Arial" w:hint="eastAsia"/>
          <w:sz w:val="21"/>
          <w:szCs w:val="21"/>
        </w:rPr>
        <w:t>]081</w:t>
      </w:r>
      <w:r w:rsidRPr="0043038D">
        <w:rPr>
          <w:rFonts w:ascii="Arial" w:hAnsi="Arial" w:hint="eastAsia"/>
          <w:sz w:val="21"/>
          <w:szCs w:val="21"/>
        </w:rPr>
        <w:t>号</w:t>
      </w:r>
    </w:p>
    <w:p w14:paraId="5CDB07A0" w14:textId="77777777"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有效期限：</w:t>
      </w:r>
      <w:r w:rsidRPr="0043038D">
        <w:rPr>
          <w:rFonts w:ascii="Arial" w:hAnsi="Arial"/>
          <w:sz w:val="21"/>
          <w:szCs w:val="21"/>
        </w:rPr>
        <w:t>2022</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30</w:t>
      </w:r>
      <w:r w:rsidRPr="0043038D">
        <w:rPr>
          <w:rFonts w:ascii="Arial" w:hAnsi="Arial" w:hint="eastAsia"/>
          <w:sz w:val="21"/>
          <w:szCs w:val="21"/>
        </w:rPr>
        <w:t>日至</w:t>
      </w:r>
      <w:r w:rsidRPr="0043038D">
        <w:rPr>
          <w:rFonts w:ascii="Arial" w:hAnsi="Arial"/>
          <w:sz w:val="21"/>
          <w:szCs w:val="21"/>
        </w:rPr>
        <w:t>2025</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29</w:t>
      </w:r>
      <w:r w:rsidRPr="0043038D">
        <w:rPr>
          <w:rFonts w:ascii="Arial" w:hAnsi="Arial" w:hint="eastAsia"/>
          <w:sz w:val="21"/>
          <w:szCs w:val="21"/>
        </w:rPr>
        <w:t>日</w:t>
      </w:r>
    </w:p>
    <w:p w14:paraId="59C0760A" w14:textId="77777777"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注册地址：北京市丰台区芳城园一区</w:t>
      </w:r>
      <w:r w:rsidRPr="0043038D">
        <w:rPr>
          <w:rFonts w:ascii="Arial" w:hAnsi="Arial" w:hint="eastAsia"/>
          <w:sz w:val="21"/>
          <w:szCs w:val="21"/>
        </w:rPr>
        <w:t>16</w:t>
      </w:r>
      <w:r w:rsidRPr="0043038D">
        <w:rPr>
          <w:rFonts w:ascii="Arial" w:hAnsi="Arial" w:hint="eastAsia"/>
          <w:sz w:val="21"/>
          <w:szCs w:val="21"/>
        </w:rPr>
        <w:t>号楼</w:t>
      </w:r>
      <w:r w:rsidRPr="0043038D">
        <w:rPr>
          <w:rFonts w:ascii="Arial" w:hAnsi="Arial" w:hint="eastAsia"/>
          <w:sz w:val="21"/>
          <w:szCs w:val="21"/>
        </w:rPr>
        <w:t>2</w:t>
      </w:r>
      <w:r w:rsidRPr="0043038D">
        <w:rPr>
          <w:rFonts w:ascii="Arial" w:hAnsi="Arial" w:hint="eastAsia"/>
          <w:sz w:val="21"/>
          <w:szCs w:val="21"/>
        </w:rPr>
        <w:t>层</w:t>
      </w:r>
      <w:r w:rsidRPr="0043038D">
        <w:rPr>
          <w:rFonts w:ascii="Arial" w:hAnsi="Arial" w:hint="eastAsia"/>
          <w:sz w:val="21"/>
          <w:szCs w:val="21"/>
        </w:rPr>
        <w:t>2</w:t>
      </w:r>
      <w:r w:rsidRPr="0043038D">
        <w:rPr>
          <w:rFonts w:ascii="Arial" w:hAnsi="Arial" w:hint="eastAsia"/>
          <w:sz w:val="21"/>
          <w:szCs w:val="21"/>
        </w:rPr>
        <w:t>门配套公建</w:t>
      </w:r>
      <w:r w:rsidRPr="0043038D">
        <w:rPr>
          <w:rFonts w:ascii="Arial" w:hAnsi="Arial" w:hint="eastAsia"/>
          <w:sz w:val="21"/>
          <w:szCs w:val="21"/>
        </w:rPr>
        <w:t>01</w:t>
      </w:r>
    </w:p>
    <w:p w14:paraId="477D5392" w14:textId="77777777"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法定代表人：齐宏</w:t>
      </w:r>
    </w:p>
    <w:p w14:paraId="2DFBDE22"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w:t>
      </w:r>
      <w:r w:rsidRPr="0043038D">
        <w:rPr>
          <w:rFonts w:ascii="Arial" w:hAnsi="Arial" w:cs="Arial" w:hint="eastAsia"/>
          <w:sz w:val="21"/>
          <w:szCs w:val="21"/>
        </w:rPr>
        <w:t xml:space="preserve"> </w:t>
      </w:r>
      <w:r w:rsidRPr="0043038D">
        <w:rPr>
          <w:rFonts w:ascii="Arial" w:hAnsi="Arial" w:cs="Arial"/>
          <w:sz w:val="21"/>
          <w:szCs w:val="21"/>
        </w:rPr>
        <w:t>系</w:t>
      </w:r>
      <w:r w:rsidRPr="0043038D">
        <w:rPr>
          <w:rFonts w:ascii="Arial" w:hAnsi="Arial" w:cs="Arial" w:hint="eastAsia"/>
          <w:sz w:val="21"/>
          <w:szCs w:val="21"/>
        </w:rPr>
        <w:t xml:space="preserve"> </w:t>
      </w:r>
      <w:r w:rsidRPr="0043038D">
        <w:rPr>
          <w:rFonts w:ascii="Arial" w:hAnsi="Arial" w:cs="Arial"/>
          <w:sz w:val="21"/>
          <w:szCs w:val="21"/>
        </w:rPr>
        <w:t>人：</w:t>
      </w:r>
      <w:r w:rsidRPr="0043038D">
        <w:rPr>
          <w:rFonts w:ascii="Arial" w:hAnsi="Arial" w:cs="Arial" w:hint="eastAsia"/>
          <w:sz w:val="21"/>
          <w:szCs w:val="21"/>
        </w:rPr>
        <w:t>李诗霖</w:t>
      </w:r>
    </w:p>
    <w:p w14:paraId="32858CE1"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联系电话：</w:t>
      </w:r>
      <w:r w:rsidRPr="0043038D">
        <w:rPr>
          <w:rFonts w:ascii="Arial" w:hAnsi="Arial" w:cs="Arial"/>
          <w:sz w:val="21"/>
          <w:szCs w:val="21"/>
        </w:rPr>
        <w:t>010-82253558</w:t>
      </w:r>
    </w:p>
    <w:p w14:paraId="487A5500" w14:textId="77777777" w:rsidR="000E5655" w:rsidRPr="0043038D" w:rsidRDefault="000E5655">
      <w:pPr>
        <w:wordWrap w:val="0"/>
        <w:overflowPunct w:val="0"/>
        <w:spacing w:line="480" w:lineRule="auto"/>
        <w:ind w:firstLineChars="200" w:firstLine="420"/>
        <w:jc w:val="both"/>
        <w:textAlignment w:val="auto"/>
        <w:rPr>
          <w:rFonts w:ascii="Arial" w:hAnsi="Arial" w:cs="Arial"/>
          <w:kern w:val="2"/>
          <w:sz w:val="21"/>
          <w:szCs w:val="21"/>
        </w:rPr>
      </w:pPr>
    </w:p>
    <w:p w14:paraId="181BC2DC"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55267088"/>
      <w:r w:rsidRPr="0043038D">
        <w:rPr>
          <w:rFonts w:eastAsia="宋体"/>
          <w:kern w:val="2"/>
          <w:sz w:val="21"/>
          <w:szCs w:val="21"/>
        </w:rPr>
        <w:t>三、估价目的</w:t>
      </w:r>
      <w:bookmarkEnd w:id="22"/>
      <w:bookmarkEnd w:id="23"/>
    </w:p>
    <w:p w14:paraId="7C0F2DF0" w14:textId="77777777"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sz w:val="21"/>
          <w:szCs w:val="21"/>
        </w:rPr>
        <w:t>评估保障性租赁住房项目同地段同品质市场租赁住房租金，为有关单位合理确定保障性租赁住房项目租金提供参考依据</w:t>
      </w:r>
      <w:r w:rsidRPr="0043038D">
        <w:rPr>
          <w:rFonts w:ascii="Arial" w:hAnsi="Arial" w:cs="Arial" w:hint="eastAsia"/>
          <w:kern w:val="2"/>
          <w:sz w:val="21"/>
          <w:szCs w:val="21"/>
        </w:rPr>
        <w:t>。</w:t>
      </w:r>
      <w:r w:rsidRPr="0043038D">
        <w:rPr>
          <w:rFonts w:ascii="Arial" w:hAnsi="Arial" w:cs="Arial"/>
          <w:kern w:val="2"/>
          <w:sz w:val="21"/>
          <w:szCs w:val="21"/>
        </w:rPr>
        <w:t xml:space="preserve"> </w:t>
      </w:r>
    </w:p>
    <w:p w14:paraId="6D623CFB" w14:textId="77777777"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14:paraId="6CCA5F7E"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55267089"/>
      <w:bookmarkStart w:id="25" w:name="_Toc168225816"/>
      <w:r w:rsidRPr="0043038D">
        <w:rPr>
          <w:rFonts w:eastAsia="宋体"/>
          <w:kern w:val="2"/>
          <w:sz w:val="21"/>
          <w:szCs w:val="21"/>
        </w:rPr>
        <w:t>四、估价对象</w:t>
      </w:r>
      <w:bookmarkEnd w:id="24"/>
      <w:bookmarkEnd w:id="25"/>
    </w:p>
    <w:p w14:paraId="2ABE5DC9" w14:textId="77777777"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（一）估价对象范围</w:t>
      </w:r>
    </w:p>
    <w:p w14:paraId="6420A8FB"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根据估价委托人提供的《估价委托书》、《北京市保障性住房收购合同》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kern w:val="2"/>
          <w:sz w:val="21"/>
          <w:szCs w:val="21"/>
        </w:rPr>
        <w:t>估价对象为北京市大兴区西红门镇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号楼</w:t>
      </w:r>
      <w:r w:rsidRPr="0043038D">
        <w:rPr>
          <w:rFonts w:ascii="Arial" w:hAnsi="Arial" w:cs="Arial" w:hint="eastAsia"/>
          <w:kern w:val="2"/>
          <w:sz w:val="21"/>
          <w:szCs w:val="21"/>
        </w:rPr>
        <w:t>保障性租赁住房</w:t>
      </w:r>
      <w:r w:rsidRPr="0043038D">
        <w:rPr>
          <w:rFonts w:ascii="Arial" w:hAnsi="Arial" w:cs="Arial" w:hint="eastAsia"/>
          <w:sz w:val="21"/>
          <w:szCs w:val="21"/>
        </w:rPr>
        <w:t>。估价对象收购方为北京市燕兴保障性住房建设投资有限公司，所在项目现状四至为东至欣顺街，南至</w:t>
      </w:r>
      <w:r w:rsidRPr="0043038D">
        <w:rPr>
          <w:rFonts w:ascii="Arial" w:hAnsi="Arial" w:cs="Arial" w:hint="eastAsia"/>
          <w:sz w:val="21"/>
          <w:szCs w:val="21"/>
        </w:rPr>
        <w:t>DX04-0102-6012</w:t>
      </w:r>
      <w:r w:rsidRPr="0043038D">
        <w:rPr>
          <w:rFonts w:ascii="Arial" w:hAnsi="Arial" w:cs="Arial" w:hint="eastAsia"/>
          <w:sz w:val="21"/>
          <w:szCs w:val="21"/>
        </w:rPr>
        <w:t>地块北用地红线，西至欣业巷，北至宏旭东路，估价对象用途为保障性租赁住房（住宅型），建筑面积为</w:t>
      </w:r>
      <w:r w:rsidRPr="0043038D">
        <w:rPr>
          <w:rFonts w:ascii="Arial" w:hAnsi="Arial" w:cs="Arial" w:hint="eastAsia"/>
          <w:sz w:val="21"/>
          <w:szCs w:val="21"/>
        </w:rPr>
        <w:t>17833.86</w:t>
      </w:r>
      <w:r w:rsidRPr="0043038D">
        <w:rPr>
          <w:rFonts w:ascii="Arial" w:hAnsi="Arial" w:cs="Arial" w:hint="eastAsia"/>
          <w:sz w:val="21"/>
          <w:szCs w:val="21"/>
        </w:rPr>
        <w:t>平方米。具体情况如下：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14:paraId="7E1EB5FB" w14:textId="77777777">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F918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0E7EDAE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33A0E19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14:paraId="3DFAC8C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58F638B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78EB837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14:paraId="3C67A208"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7B384AE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14:paraId="399E6F5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14:paraId="0E2213F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14:paraId="4C65409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636B30A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14:paraId="22373E8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14:paraId="60D3C167"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6EBFDB94"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5157B25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14:paraId="2C611A3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14:paraId="243726F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72DF998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14:paraId="071236F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14:paraId="3CEDE726"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6AF692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一居室</w:t>
            </w:r>
          </w:p>
        </w:tc>
        <w:tc>
          <w:tcPr>
            <w:tcW w:w="1600" w:type="dxa"/>
            <w:tcBorders>
              <w:top w:val="nil"/>
              <w:left w:val="nil"/>
              <w:bottom w:val="single" w:sz="4" w:space="0" w:color="auto"/>
              <w:right w:val="single" w:sz="4" w:space="0" w:color="auto"/>
            </w:tcBorders>
            <w:shd w:val="clear" w:color="auto" w:fill="auto"/>
            <w:noWrap/>
            <w:vAlign w:val="center"/>
          </w:tcPr>
          <w:p w14:paraId="0262DE9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14:paraId="2602B26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14:paraId="508402C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736C3EF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14:paraId="1AB8C1C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14:paraId="3BEAEB1E"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DC97513"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049D0C5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14:paraId="17EED5B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14:paraId="4089E09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0478E3A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14:paraId="2CC27AB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14:paraId="72DC421B"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E4AA48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14:paraId="5097C07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14:paraId="68BE754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14:paraId="6DA5466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7889FC8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60A9F30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14:paraId="437CBD79"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6E0F05C"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E71B84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14:paraId="6BB7B19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14:paraId="0123FAF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14:paraId="5C60AAB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14:paraId="0382943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14:paraId="39A98E10"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37DAD57"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276FA90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14:paraId="01B4B49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14:paraId="0C808AB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3A55D55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09E5383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14:paraId="48EEEE52"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8BBC29F"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6261A3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14:paraId="4EC787C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14:paraId="57B04C5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216E3D5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14:paraId="1D33026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14:paraId="5597A5EB"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1139AAA4"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C5409C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14:paraId="6F08EE7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14:paraId="44B121C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14:paraId="5A697AF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14:paraId="1B9F9EB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14:paraId="7734156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5C51C5C"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5DDD62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14:paraId="0A6D831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264BCD6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4514729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3C7BDF5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14:paraId="401A0C73"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426C400"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E39FFE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14:paraId="121B1AD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34E1360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3EE2331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14:paraId="06CEA19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14:paraId="240A42CD"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425C7583"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015055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14:paraId="717AEA3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13792E4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2AF241D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2AD40D2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14:paraId="7A1AB4D8"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8B188F1"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0DDF508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14:paraId="4B222A9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14:paraId="78C9600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14:paraId="6076306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312BD86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14:paraId="0AC87D1C"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6D98CE3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14:paraId="1A2BBE5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14:paraId="1B30F50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14:paraId="4034F1F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14:paraId="4A32BA0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1717E56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14:paraId="71703DE5"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487442BC"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2F30FC8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14:paraId="0555169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14:paraId="2C50A49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14:paraId="2CC78A8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7E1B1E8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14:paraId="57F22A0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A037465"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19550C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14:paraId="0848FFD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14:paraId="738CC12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14:paraId="79DC2A9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14:paraId="0E5B199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14:paraId="727E4945" w14:textId="77777777">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14:paraId="0043E6E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14:paraId="47FEE06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14:paraId="17F37BC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14:paraId="72E0578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14:paraId="238AFF3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14:paraId="266E59F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14:paraId="71CDD586" w14:textId="77777777" w:rsidR="000E5655" w:rsidRPr="0043038D" w:rsidRDefault="00837133">
      <w:pPr>
        <w:overflowPunct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于价值时点，估价对象已竣工，根据现场勘查及委托人介绍，室内装修情况均为精装修。</w:t>
      </w:r>
    </w:p>
    <w:p w14:paraId="00856075" w14:textId="77777777" w:rsidR="000E5655" w:rsidRPr="0043038D" w:rsidRDefault="00837133">
      <w:pPr>
        <w:overflowPunct w:val="0"/>
        <w:spacing w:line="480" w:lineRule="auto"/>
        <w:jc w:val="center"/>
        <w:textAlignment w:val="auto"/>
        <w:rPr>
          <w:rFonts w:ascii="Arial" w:hAnsi="Arial" w:cs="Arial"/>
          <w:kern w:val="2"/>
          <w:sz w:val="21"/>
          <w:szCs w:val="21"/>
        </w:rPr>
      </w:pPr>
      <w:r w:rsidRPr="0043038D">
        <w:rPr>
          <w:noProof/>
        </w:rPr>
        <mc:AlternateContent>
          <mc:Choice Requires="wps">
            <w:drawing>
              <wp:anchor distT="0" distB="0" distL="114300" distR="114300" simplePos="0" relativeHeight="251659264" behindDoc="0" locked="0" layoutInCell="1" allowOverlap="1" wp14:anchorId="23C854B3" wp14:editId="57661F55">
                <wp:simplePos x="0" y="0"/>
                <wp:positionH relativeFrom="column">
                  <wp:posOffset>3754120</wp:posOffset>
                </wp:positionH>
                <wp:positionV relativeFrom="paragraph">
                  <wp:posOffset>1859280</wp:posOffset>
                </wp:positionV>
                <wp:extent cx="1057275" cy="390525"/>
                <wp:effectExtent l="0" t="0" r="0" b="0"/>
                <wp:wrapNone/>
                <wp:docPr id="55977023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54866"/>
                            <a:gd name="adj2" fmla="val 180407"/>
                            <a:gd name="adj3" fmla="val 16667"/>
                          </a:avLst>
                        </a:prstGeom>
                        <a:solidFill>
                          <a:srgbClr val="FF0000"/>
                        </a:solidFill>
                        <a:ln w="9525">
                          <a:solidFill>
                            <a:srgbClr val="000000"/>
                          </a:solidFill>
                          <a:miter lim="800000"/>
                        </a:ln>
                      </wps:spPr>
                      <wps:txbx>
                        <w:txbxContent>
                          <w:p w14:paraId="72A4BEA1" w14:textId="77777777" w:rsidR="000E5655" w:rsidRDefault="00837133">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anchor>
            </w:drawing>
          </mc:Choice>
          <mc:Fallback>
            <w:pict>
              <v:shapetype w14:anchorId="23C854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95.6pt;margin-top:146.4pt;width:83.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" adj="-1051,49768" fillcolor="red">
                <v:textbox>
                  <w:txbxContent>
                    <w:p w14:paraId="72A4BEA1" w14:textId="77777777" w:rsidR="000E5655" w:rsidRDefault="00837133">
                      <w:pPr>
                        <w:jc w:val="center"/>
                        <w:rPr>
                          <w:color w:val="FFFFFF"/>
                        </w:rPr>
                      </w:pPr>
                      <w:r>
                        <w:rPr>
                          <w:rFonts w:hint="eastAsia"/>
                          <w:color w:val="FFFFFF"/>
                        </w:rPr>
                        <w:t>估价对象</w:t>
                      </w:r>
                    </w:p>
                  </w:txbxContent>
                </v:textbox>
              </v:shape>
            </w:pict>
          </mc:Fallback>
        </mc:AlternateContent>
      </w:r>
      <w:r w:rsidRPr="0043038D">
        <w:rPr>
          <w:rFonts w:ascii="Arial" w:hAnsi="Arial" w:cs="Arial" w:hint="eastAsia"/>
          <w:kern w:val="2"/>
          <w:sz w:val="21"/>
          <w:szCs w:val="21"/>
        </w:rPr>
        <w:t>估价对象位置示意图</w:t>
      </w:r>
      <w:r w:rsidRPr="0043038D">
        <w:t xml:space="preserve"> </w:t>
      </w:r>
      <w:r w:rsidRPr="0043038D">
        <w:rPr>
          <w:noProof/>
        </w:rPr>
        <w:drawing>
          <wp:inline distT="0" distB="0" distL="0" distR="0" wp14:anchorId="03CCE496" wp14:editId="666A06C3">
            <wp:extent cx="5459095" cy="346265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59095" cy="3462655"/>
                    </a:xfrm>
                    <a:prstGeom prst="rect">
                      <a:avLst/>
                    </a:prstGeom>
                    <a:noFill/>
                    <a:ln>
                      <a:noFill/>
                    </a:ln>
                  </pic:spPr>
                </pic:pic>
              </a:graphicData>
            </a:graphic>
          </wp:inline>
        </w:drawing>
      </w:r>
    </w:p>
    <w:p w14:paraId="17D215D7" w14:textId="77777777"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（二）土地基本状况</w:t>
      </w:r>
    </w:p>
    <w:p w14:paraId="719C8875" w14:textId="77777777"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二类居住用地（配建“保障性租赁住房”）为国有建设用地，权利性质为出让，用途为</w:t>
      </w:r>
      <w:r w:rsidRPr="0043038D">
        <w:rPr>
          <w:rFonts w:ascii="Arial" w:hAnsi="Arial" w:cs="Arial" w:hint="eastAsia"/>
          <w:kern w:val="2"/>
          <w:sz w:val="21"/>
          <w:szCs w:val="21"/>
        </w:rPr>
        <w:t>R2</w:t>
      </w:r>
      <w:r w:rsidRPr="0043038D">
        <w:rPr>
          <w:rFonts w:ascii="Arial" w:hAnsi="Arial" w:cs="Arial" w:hint="eastAsia"/>
          <w:kern w:val="2"/>
          <w:sz w:val="21"/>
          <w:szCs w:val="21"/>
        </w:rPr>
        <w:t>二类住宅用地，宗地总面积为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14:paraId="1D2BF46B"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w:t>
      </w:r>
      <w:r w:rsidRPr="0043038D">
        <w:rPr>
          <w:rFonts w:ascii="Arial" w:hAnsi="Arial" w:cs="Arial"/>
          <w:sz w:val="21"/>
          <w:szCs w:val="21"/>
        </w:rPr>
        <w:t>估价对象所属项目</w:t>
      </w:r>
      <w:r w:rsidRPr="0043038D">
        <w:rPr>
          <w:rFonts w:ascii="Arial" w:hAnsi="Arial" w:cs="Arial" w:hint="eastAsia"/>
          <w:sz w:val="21"/>
          <w:szCs w:val="21"/>
        </w:rPr>
        <w:t>现状</w:t>
      </w:r>
      <w:r w:rsidRPr="0043038D">
        <w:rPr>
          <w:rFonts w:ascii="Arial" w:hAnsi="Arial" w:cs="Arial"/>
          <w:sz w:val="21"/>
          <w:szCs w:val="21"/>
        </w:rPr>
        <w:t>四至：</w:t>
      </w:r>
    </w:p>
    <w:p w14:paraId="3A4C6B23" w14:textId="77777777"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现状四至为东至欣顺街，南至</w:t>
      </w:r>
      <w:r w:rsidRPr="0043038D">
        <w:rPr>
          <w:rFonts w:ascii="Arial" w:hAnsi="Arial" w:cs="Arial" w:hint="eastAsia"/>
          <w:kern w:val="2"/>
          <w:sz w:val="21"/>
          <w:szCs w:val="21"/>
        </w:rPr>
        <w:t>DX04-0102-6012</w:t>
      </w:r>
      <w:r w:rsidRPr="0043038D">
        <w:rPr>
          <w:rFonts w:ascii="Arial" w:hAnsi="Arial" w:cs="Arial" w:hint="eastAsia"/>
          <w:kern w:val="2"/>
          <w:sz w:val="21"/>
          <w:szCs w:val="21"/>
        </w:rPr>
        <w:t>地块北用地红线，西至欣业巷，北至宏旭东路。</w:t>
      </w:r>
    </w:p>
    <w:p w14:paraId="20B6F562"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14:paraId="25F07803"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sz w:val="21"/>
          <w:szCs w:val="21"/>
        </w:rPr>
        <w:t>.</w:t>
      </w:r>
      <w:r w:rsidRPr="0043038D">
        <w:rPr>
          <w:rFonts w:ascii="Arial" w:hAnsi="Arial" w:cs="Arial" w:hint="eastAsia"/>
          <w:sz w:val="21"/>
          <w:szCs w:val="21"/>
        </w:rPr>
        <w:t>开发程度</w:t>
      </w:r>
      <w:r w:rsidRPr="0043038D">
        <w:rPr>
          <w:rFonts w:ascii="Arial" w:hAnsi="Arial" w:cs="Arial"/>
          <w:sz w:val="21"/>
          <w:szCs w:val="21"/>
        </w:rPr>
        <w:t>：</w:t>
      </w:r>
    </w:p>
    <w:p w14:paraId="1538C28A" w14:textId="77777777"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14:paraId="3D8BEB7E"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14:paraId="3BD625ED" w14:textId="77777777" w:rsidR="000E5655" w:rsidRPr="0043038D" w:rsidRDefault="00837133">
      <w:pPr>
        <w:wordWrap w:val="0"/>
        <w:overflowPunct w:val="0"/>
        <w:spacing w:line="480" w:lineRule="auto"/>
        <w:ind w:firstLineChars="200" w:firstLine="422"/>
        <w:jc w:val="both"/>
        <w:textAlignment w:val="auto"/>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）建筑物基本状况</w:t>
      </w:r>
    </w:p>
    <w:p w14:paraId="2179D72E"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号楼</w:t>
      </w:r>
      <w:r w:rsidRPr="0043038D">
        <w:rPr>
          <w:rFonts w:ascii="Arial" w:hAnsi="Arial" w:cs="Arial" w:hint="eastAsia"/>
          <w:kern w:val="2"/>
          <w:sz w:val="21"/>
          <w:szCs w:val="21"/>
        </w:rPr>
        <w:t>保障性租赁住房。估价对象收购方为北京市燕兴保障性住房建设投资有限公司，所在项目现状四至为东至欣顺街，南至</w:t>
      </w:r>
      <w:r w:rsidRPr="0043038D">
        <w:rPr>
          <w:rFonts w:ascii="Arial" w:hAnsi="Arial" w:cs="Arial" w:hint="eastAsia"/>
          <w:kern w:val="2"/>
          <w:sz w:val="21"/>
          <w:szCs w:val="21"/>
        </w:rPr>
        <w:t>DX</w:t>
      </w:r>
      <w:r w:rsidRPr="0043038D">
        <w:rPr>
          <w:rFonts w:ascii="Arial" w:hAnsi="Arial" w:cs="Arial"/>
          <w:kern w:val="2"/>
          <w:sz w:val="21"/>
          <w:szCs w:val="21"/>
        </w:rPr>
        <w:t>04-0102-6012</w:t>
      </w:r>
      <w:r w:rsidRPr="0043038D">
        <w:rPr>
          <w:rFonts w:ascii="Arial" w:hAnsi="Arial" w:cs="Arial"/>
          <w:kern w:val="2"/>
          <w:sz w:val="21"/>
          <w:szCs w:val="21"/>
        </w:rPr>
        <w:t>地块北用地红线</w:t>
      </w:r>
      <w:r w:rsidRPr="0043038D">
        <w:rPr>
          <w:rFonts w:ascii="Arial" w:hAnsi="Arial" w:cs="Arial" w:hint="eastAsia"/>
          <w:kern w:val="2"/>
          <w:sz w:val="21"/>
          <w:szCs w:val="21"/>
        </w:rPr>
        <w:t>，西至欣业巷，北至宏旭东路，估价对象用途为保障性租赁住房（住宅型），建筑面积为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14:paraId="588684A3" w14:textId="77777777">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0D0A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0390B74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61D43C9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14:paraId="26255B3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022988E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0E75CEA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14:paraId="2A8FF2F2"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B9B3E2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14:paraId="4DAB347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14:paraId="3C08366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14:paraId="221B2B3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0754A54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14:paraId="5554A02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14:paraId="7A563491"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6F680966"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053D85F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14:paraId="24483A0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14:paraId="01E60ED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71D3CC6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14:paraId="65549E9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14:paraId="7DCA0B03"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582B93B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一居室</w:t>
            </w:r>
          </w:p>
        </w:tc>
        <w:tc>
          <w:tcPr>
            <w:tcW w:w="1600" w:type="dxa"/>
            <w:tcBorders>
              <w:top w:val="nil"/>
              <w:left w:val="nil"/>
              <w:bottom w:val="single" w:sz="4" w:space="0" w:color="auto"/>
              <w:right w:val="single" w:sz="4" w:space="0" w:color="auto"/>
            </w:tcBorders>
            <w:shd w:val="clear" w:color="auto" w:fill="auto"/>
            <w:noWrap/>
            <w:vAlign w:val="center"/>
          </w:tcPr>
          <w:p w14:paraId="1ACEA2D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14:paraId="0449869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14:paraId="13BC439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3878D1D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14:paraId="0E1604F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14:paraId="6F930D9B"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4B157FA1"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2CE21F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14:paraId="08FA292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14:paraId="000A3D0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23D4DAD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14:paraId="37DB352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14:paraId="12BFA08D"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777DD77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14:paraId="31C0AAB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14:paraId="4761A29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14:paraId="07A6731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1799E7B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065C01D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14:paraId="4C6A205A"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5C7EF5F9"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0DAF268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14:paraId="1364DC9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14:paraId="1F6E2E8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14:paraId="60FC671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14:paraId="4E0C642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14:paraId="2671C431"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1E67F8C9"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5BFF39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14:paraId="7FEFAC2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14:paraId="28AC7A5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7BDEF0C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32C764C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14:paraId="27FC02F4"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580517B"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56C2D90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14:paraId="0C0D2A2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14:paraId="7015F12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14D0613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14:paraId="192E804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14:paraId="7939EF3B"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A0A1858"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4054A94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14:paraId="0AEFFE2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14:paraId="33F6492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14:paraId="0A614A5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14:paraId="516DB80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14:paraId="43BE9987"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E9BB2F4"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62D12A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14:paraId="3A32877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3F83833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334DF4E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50B8270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14:paraId="17F1D841"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214A34B"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CC9202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14:paraId="7AE362F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0057A22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3CF55E1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14:paraId="2C280FC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14:paraId="2B7B37F1"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401E75E"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4815CC0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14:paraId="0740077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3E6A8C6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189881F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2DBFA07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14:paraId="010A19EB"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11DDC10"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1901E8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14:paraId="70F06DF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14:paraId="52B7BB2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14:paraId="6D92BA8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310AA93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14:paraId="31DFFC55"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7B9100A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14:paraId="04D3981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14:paraId="447E3BA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14:paraId="39C3C10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14:paraId="25D0DBF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58939C4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14:paraId="18E7E0D5"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8E011DB"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4719FB9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14:paraId="4AD6960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14:paraId="25460B7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14:paraId="0B31CEC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10D6BB9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14:paraId="63842AE3"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12A915B6"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BB2A1C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14:paraId="0EF57E7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14:paraId="7B01DBD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14:paraId="115CD3C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14:paraId="3135442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14:paraId="5E438584" w14:textId="77777777">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14:paraId="606E326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14:paraId="7E91C2B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14:paraId="38E799A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14:paraId="27FE9E4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14:paraId="6E0A878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14:paraId="24FECE7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14:paraId="5F66146F"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bookmarkStart w:id="26" w:name="OLE_LINK3"/>
      <w:bookmarkStart w:id="27" w:name="OLE_LINK2"/>
    </w:p>
    <w:p w14:paraId="6A2ACD59"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估价对象为板塔结合</w:t>
      </w:r>
      <w:r w:rsidRPr="0043038D">
        <w:rPr>
          <w:rFonts w:ascii="Arial" w:hAnsi="Arial" w:cs="Arial" w:hint="eastAsia"/>
          <w:sz w:val="21"/>
          <w:szCs w:val="21"/>
        </w:rPr>
        <w:t>。</w:t>
      </w:r>
    </w:p>
    <w:p w14:paraId="0714C62C"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栓、安防系统等设备齐全；估价对象内部配备客厅、卧室、厨卫等基本家具家电，铺设地暖。估价对象作为保障性租赁住房（住宅型）出租使用。</w:t>
      </w:r>
    </w:p>
    <w:p w14:paraId="43033C9B"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14:paraId="6E38F01B"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14:paraId="196027EF"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户型设计：估价对象均为平层结构，分为四种户型，分别为零居室、一居室、小两居、两居室。其中零居室</w:t>
      </w:r>
      <w:r w:rsidRPr="0043038D">
        <w:rPr>
          <w:rFonts w:ascii="Arial" w:hAnsi="Arial" w:cs="Arial"/>
          <w:sz w:val="21"/>
          <w:szCs w:val="21"/>
        </w:rPr>
        <w:t>60</w:t>
      </w:r>
      <w:r w:rsidRPr="0043038D">
        <w:rPr>
          <w:rFonts w:ascii="Arial" w:hAnsi="Arial" w:cs="Arial" w:hint="eastAsia"/>
          <w:sz w:val="21"/>
          <w:szCs w:val="21"/>
        </w:rPr>
        <w:t>套、一居室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14:paraId="18E8B380"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；一居室有南北、东西朝向，其中南北朝向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套、南朝向</w:t>
      </w:r>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14:paraId="323AE767"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14:paraId="18CC3336"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10</w:t>
      </w:r>
      <w:r w:rsidRPr="0043038D">
        <w:rPr>
          <w:rFonts w:ascii="Arial" w:hAnsi="Arial" w:cs="Arial" w:hint="eastAsia"/>
          <w:sz w:val="21"/>
          <w:szCs w:val="21"/>
        </w:rPr>
        <w:t>：水电气费执行标准：估价对象执行民水民电标准。</w:t>
      </w:r>
    </w:p>
    <w:bookmarkEnd w:id="26"/>
    <w:bookmarkEnd w:id="27"/>
    <w:p w14:paraId="6CD55B75" w14:textId="77777777"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（四）对价格影响的分析</w:t>
      </w:r>
    </w:p>
    <w:p w14:paraId="50228439" w14:textId="77777777"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w:t>
      </w:r>
      <w:r w:rsidRPr="0043038D">
        <w:rPr>
          <w:rFonts w:ascii="Arial" w:hAnsi="Arial" w:cs="Arial" w:hint="eastAsia"/>
          <w:sz w:val="21"/>
          <w:szCs w:val="21"/>
        </w:rPr>
        <w:t>不会</w:t>
      </w:r>
      <w:r w:rsidRPr="0043038D">
        <w:rPr>
          <w:rFonts w:ascii="Arial" w:hAnsi="Arial" w:cs="Arial"/>
          <w:sz w:val="21"/>
          <w:szCs w:val="21"/>
        </w:rPr>
        <w:t>影响其租金价格水平。</w:t>
      </w:r>
    </w:p>
    <w:p w14:paraId="57376E20" w14:textId="77777777"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（五）他项权利状况</w:t>
      </w:r>
    </w:p>
    <w:p w14:paraId="04889F4A" w14:textId="77777777" w:rsidR="000E5655" w:rsidRPr="0043038D" w:rsidRDefault="00837133">
      <w:pPr>
        <w:spacing w:line="480" w:lineRule="auto"/>
        <w:ind w:firstLineChars="200" w:firstLine="420"/>
        <w:rPr>
          <w:rFonts w:ascii="Arial" w:hAnsi="Arial" w:cs="Arial"/>
          <w:kern w:val="2"/>
          <w:sz w:val="21"/>
          <w:szCs w:val="21"/>
        </w:rPr>
      </w:pPr>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根据估价目的，本次估价未考虑租赁、地役、查封等他项权利影响，故设定估价对象于价值时点不存在抵押、租赁、地役、查封等他项权利限制。</w:t>
      </w:r>
    </w:p>
    <w:p w14:paraId="08538F4F" w14:textId="77777777" w:rsidR="000E5655" w:rsidRPr="0043038D" w:rsidRDefault="000E5655">
      <w:pPr>
        <w:overflowPunct w:val="0"/>
        <w:spacing w:line="480" w:lineRule="auto"/>
        <w:ind w:firstLineChars="200" w:firstLine="420"/>
        <w:jc w:val="both"/>
        <w:textAlignment w:val="auto"/>
        <w:rPr>
          <w:rFonts w:ascii="Arial" w:hAnsi="Arial" w:cs="Arial"/>
          <w:sz w:val="21"/>
          <w:szCs w:val="21"/>
        </w:rPr>
      </w:pPr>
    </w:p>
    <w:p w14:paraId="08AD90BC"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155267090"/>
      <w:r w:rsidRPr="0043038D">
        <w:rPr>
          <w:rFonts w:eastAsia="宋体"/>
          <w:kern w:val="2"/>
          <w:sz w:val="21"/>
          <w:szCs w:val="21"/>
        </w:rPr>
        <w:t>五</w:t>
      </w:r>
      <w:bookmarkEnd w:id="28"/>
      <w:r w:rsidRPr="0043038D">
        <w:rPr>
          <w:rFonts w:eastAsia="宋体"/>
          <w:kern w:val="2"/>
          <w:sz w:val="21"/>
          <w:szCs w:val="21"/>
        </w:rPr>
        <w:t>、价值时点</w:t>
      </w:r>
      <w:bookmarkEnd w:id="29"/>
    </w:p>
    <w:p w14:paraId="05963745"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00C81EDB">
        <w:rPr>
          <w:rFonts w:ascii="Arial" w:hAnsi="Arial" w:cs="Arial"/>
          <w:sz w:val="21"/>
          <w:szCs w:val="21"/>
        </w:rPr>
        <w:t>10</w:t>
      </w:r>
      <w:r w:rsidR="00C81EDB">
        <w:rPr>
          <w:rFonts w:ascii="Arial" w:hAnsi="Arial" w:cs="Arial"/>
          <w:sz w:val="21"/>
          <w:szCs w:val="21"/>
        </w:rPr>
        <w:t>月</w:t>
      </w:r>
      <w:r w:rsidR="00C81EDB">
        <w:rPr>
          <w:rFonts w:ascii="Arial" w:hAnsi="Arial" w:cs="Arial"/>
          <w:sz w:val="21"/>
          <w:szCs w:val="21"/>
        </w:rPr>
        <w:t>14</w:t>
      </w:r>
      <w:r w:rsidRPr="0043038D">
        <w:rPr>
          <w:rFonts w:ascii="Arial" w:hAnsi="Arial" w:cs="Arial"/>
          <w:sz w:val="21"/>
          <w:szCs w:val="21"/>
        </w:rPr>
        <w:t>日（</w:t>
      </w:r>
      <w:r w:rsidRPr="0043038D">
        <w:rPr>
          <w:rFonts w:ascii="Arial" w:hAnsi="Arial" w:cs="Arial" w:hint="eastAsia"/>
          <w:sz w:val="21"/>
          <w:szCs w:val="21"/>
        </w:rPr>
        <w:t>根据《估价委托书》确定</w:t>
      </w:r>
      <w:r w:rsidRPr="0043038D">
        <w:rPr>
          <w:rFonts w:ascii="Arial" w:hAnsi="Arial" w:cs="Arial"/>
          <w:sz w:val="21"/>
          <w:szCs w:val="21"/>
        </w:rPr>
        <w:t>）</w:t>
      </w:r>
    </w:p>
    <w:p w14:paraId="6ED303AB" w14:textId="77777777"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14:paraId="30409A67" w14:textId="77777777" w:rsidR="000E5655" w:rsidRPr="0043038D" w:rsidRDefault="00837133">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0" w:name="_Toc168225818"/>
      <w:bookmarkStart w:id="31" w:name="_Toc155267091"/>
      <w:r w:rsidRPr="0043038D">
        <w:rPr>
          <w:rFonts w:eastAsia="宋体"/>
          <w:kern w:val="2"/>
          <w:sz w:val="21"/>
          <w:szCs w:val="21"/>
        </w:rPr>
        <w:t>六</w:t>
      </w:r>
      <w:bookmarkEnd w:id="30"/>
      <w:r w:rsidRPr="0043038D">
        <w:rPr>
          <w:rFonts w:eastAsia="宋体"/>
          <w:kern w:val="2"/>
          <w:sz w:val="21"/>
          <w:szCs w:val="21"/>
        </w:rPr>
        <w:t>、价值类型</w:t>
      </w:r>
      <w:bookmarkEnd w:id="31"/>
    </w:p>
    <w:p w14:paraId="39702ED2" w14:textId="77777777"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（一）价值类型</w:t>
      </w:r>
    </w:p>
    <w:p w14:paraId="1FC0FA1E" w14:textId="77777777"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r w:rsidRPr="0043038D">
        <w:rPr>
          <w:rFonts w:ascii="Arial" w:hAnsi="Arial" w:cs="Arial"/>
          <w:sz w:val="21"/>
          <w:szCs w:val="21"/>
        </w:rPr>
        <w:t xml:space="preserve"> </w:t>
      </w:r>
    </w:p>
    <w:p w14:paraId="494823D8" w14:textId="77777777"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（二）设定条件</w:t>
      </w:r>
    </w:p>
    <w:p w14:paraId="6F93F23A" w14:textId="77777777"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估价结果中的房地产租金价格是指估价对象</w:t>
      </w:r>
      <w:r w:rsidRPr="0043038D">
        <w:rPr>
          <w:rFonts w:ascii="Arial" w:hAnsi="Arial" w:cs="Arial" w:hint="eastAsia"/>
          <w:sz w:val="21"/>
          <w:szCs w:val="21"/>
        </w:rPr>
        <w:t>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w:t>
      </w:r>
      <w:r w:rsidRPr="0043038D">
        <w:rPr>
          <w:rFonts w:ascii="Arial" w:hAnsi="Arial" w:cs="Arial"/>
          <w:sz w:val="21"/>
          <w:szCs w:val="21"/>
        </w:rPr>
        <w:t>估价对象在规划利用条件及下述设定条件下</w:t>
      </w:r>
      <w:r w:rsidRPr="0043038D">
        <w:rPr>
          <w:rFonts w:ascii="Arial" w:hAnsi="Arial" w:cs="Arial" w:hint="eastAsia"/>
          <w:sz w:val="21"/>
          <w:szCs w:val="21"/>
        </w:rPr>
        <w:t>项目同地段、同品质住宅（住宅型）房地产</w:t>
      </w:r>
      <w:r w:rsidRPr="0043038D">
        <w:rPr>
          <w:rFonts w:ascii="Arial" w:hAnsi="Arial" w:cs="Arial"/>
          <w:sz w:val="21"/>
          <w:szCs w:val="21"/>
        </w:rPr>
        <w:t>的市场租金价格：</w:t>
      </w:r>
    </w:p>
    <w:p w14:paraId="19C09654" w14:textId="77777777"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租金估价结果</w:t>
      </w:r>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p w14:paraId="0C53E6B7" w14:textId="77777777" w:rsidR="000E5655" w:rsidRPr="0043038D" w:rsidRDefault="000E5655">
      <w:pPr>
        <w:spacing w:line="480" w:lineRule="auto"/>
        <w:ind w:firstLineChars="200" w:firstLine="420"/>
        <w:rPr>
          <w:rFonts w:ascii="Arial" w:hAnsi="Arial" w:cs="Arial"/>
          <w:sz w:val="21"/>
          <w:szCs w:val="21"/>
        </w:rPr>
      </w:pPr>
    </w:p>
    <w:p w14:paraId="09C6B7ED"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155267092"/>
      <w:r w:rsidRPr="0043038D">
        <w:rPr>
          <w:rFonts w:eastAsia="宋体"/>
          <w:kern w:val="2"/>
          <w:sz w:val="21"/>
          <w:szCs w:val="21"/>
        </w:rPr>
        <w:t>七、估价原则</w:t>
      </w:r>
      <w:bookmarkEnd w:id="32"/>
      <w:bookmarkEnd w:id="33"/>
    </w:p>
    <w:p w14:paraId="278AB07A" w14:textId="77777777" w:rsidR="000E5655" w:rsidRPr="0043038D" w:rsidRDefault="00837133">
      <w:pPr>
        <w:wordWrap w:val="0"/>
        <w:overflowPunct w:val="0"/>
        <w:spacing w:line="480" w:lineRule="auto"/>
        <w:ind w:firstLineChars="202" w:firstLine="424"/>
        <w:jc w:val="both"/>
        <w:textAlignment w:val="auto"/>
        <w:rPr>
          <w:rFonts w:ascii="Arial" w:hAnsi="Arial" w:cs="Arial"/>
          <w:sz w:val="21"/>
          <w:szCs w:val="21"/>
        </w:rPr>
      </w:pPr>
      <w:r w:rsidRPr="0043038D">
        <w:rPr>
          <w:rFonts w:ascii="Arial" w:hAnsi="Arial" w:cs="Arial"/>
          <w:sz w:val="21"/>
          <w:szCs w:val="21"/>
        </w:rPr>
        <w:t>我们在本次估价时遵循了以下原则：</w:t>
      </w:r>
      <w:r w:rsidRPr="0043038D">
        <w:rPr>
          <w:rFonts w:ascii="Arial" w:hAnsi="Arial" w:cs="Arial"/>
          <w:sz w:val="21"/>
          <w:szCs w:val="21"/>
        </w:rPr>
        <w:t xml:space="preserve"> </w:t>
      </w:r>
    </w:p>
    <w:p w14:paraId="0EA106B3"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（一）独立、客观、公正原则</w:t>
      </w:r>
    </w:p>
    <w:p w14:paraId="528AB45A"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独立、客观、公正原则要求</w:t>
      </w:r>
      <w:r w:rsidRPr="0043038D">
        <w:rPr>
          <w:rFonts w:ascii="Arial" w:hAnsi="Arial" w:cs="Arial" w:hint="eastAsia"/>
          <w:sz w:val="21"/>
          <w:szCs w:val="21"/>
        </w:rPr>
        <w:t>评估专业人员</w:t>
      </w:r>
      <w:r w:rsidRPr="0043038D">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2E35CACC"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（二）</w:t>
      </w:r>
      <w:r w:rsidRPr="0043038D">
        <w:rPr>
          <w:rFonts w:ascii="Arial" w:hAnsi="Arial" w:cs="Arial" w:hint="eastAsia"/>
          <w:b/>
          <w:sz w:val="21"/>
          <w:szCs w:val="21"/>
        </w:rPr>
        <w:t>合法原则</w:t>
      </w:r>
    </w:p>
    <w:p w14:paraId="60B1AF60"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1BA1E9B7" w14:textId="77777777" w:rsidR="000E5655" w:rsidRPr="0043038D" w:rsidRDefault="00837133">
      <w:pPr>
        <w:wordWrap w:val="0"/>
        <w:overflowPunct w:val="0"/>
        <w:spacing w:line="480" w:lineRule="auto"/>
        <w:ind w:firstLineChars="200" w:firstLine="420"/>
        <w:jc w:val="both"/>
        <w:textAlignment w:val="auto"/>
        <w:rPr>
          <w:rFonts w:ascii="Arial" w:hAnsi="Arial" w:cs="Arial"/>
          <w:b/>
          <w:sz w:val="21"/>
          <w:szCs w:val="21"/>
        </w:rPr>
      </w:pPr>
      <w:r w:rsidRPr="0043038D">
        <w:rPr>
          <w:rFonts w:ascii="Arial" w:hAnsi="Arial" w:cs="Arial" w:hint="eastAsia"/>
          <w:sz w:val="21"/>
          <w:szCs w:val="21"/>
        </w:rPr>
        <w:t>估价对象已取得《国有建设用地使用权出让合同（正文）》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、《建设工程规划许可证》</w:t>
      </w:r>
      <w:r w:rsidRPr="0043038D">
        <w:rPr>
          <w:rFonts w:ascii="Arial" w:hAnsi="Arial" w:cs="Arial" w:hint="eastAsia"/>
          <w:sz w:val="21"/>
          <w:szCs w:val="21"/>
        </w:rPr>
        <w:t>[2022</w:t>
      </w:r>
      <w:r w:rsidRPr="0043038D">
        <w:rPr>
          <w:rFonts w:ascii="Arial" w:hAnsi="Arial" w:cs="Arial" w:hint="eastAsia"/>
          <w:sz w:val="21"/>
          <w:szCs w:val="21"/>
        </w:rPr>
        <w:t>规自（大）建字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w:t>
      </w:r>
      <w:r w:rsidRPr="0043038D">
        <w:rPr>
          <w:rFonts w:ascii="Arial" w:hAnsi="Arial" w:cs="Arial" w:hint="eastAsia"/>
          <w:kern w:val="2"/>
          <w:sz w:val="21"/>
          <w:szCs w:val="21"/>
        </w:rPr>
        <w:t>、</w:t>
      </w: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r w:rsidRPr="0043038D">
        <w:rPr>
          <w:rFonts w:ascii="Arial" w:hAnsi="Arial" w:cs="Arial" w:hint="eastAsia"/>
          <w:sz w:val="21"/>
          <w:szCs w:val="21"/>
        </w:rPr>
        <w:t>大竣</w:t>
      </w:r>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kern w:val="2"/>
          <w:sz w:val="21"/>
          <w:szCs w:val="21"/>
        </w:rPr>
        <w:t>，产权合法，使用合法。</w:t>
      </w:r>
    </w:p>
    <w:p w14:paraId="2D8FE447"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（三）</w:t>
      </w:r>
      <w:r w:rsidRPr="0043038D">
        <w:rPr>
          <w:rFonts w:ascii="Arial" w:hAnsi="Arial" w:cs="Arial"/>
          <w:b/>
          <w:sz w:val="21"/>
          <w:szCs w:val="21"/>
        </w:rPr>
        <w:t>最高最佳利用原则</w:t>
      </w:r>
    </w:p>
    <w:p w14:paraId="0435469F"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0AE2F88A"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四</w:t>
      </w:r>
      <w:r w:rsidRPr="0043038D">
        <w:rPr>
          <w:rFonts w:ascii="Arial" w:hAnsi="Arial" w:cs="Arial"/>
          <w:b/>
          <w:sz w:val="21"/>
          <w:szCs w:val="21"/>
        </w:rPr>
        <w:t>）替代原则</w:t>
      </w:r>
    </w:p>
    <w:p w14:paraId="40657124"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EB255F6"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A9876B6"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五</w:t>
      </w:r>
      <w:r w:rsidRPr="0043038D">
        <w:rPr>
          <w:rFonts w:ascii="Arial" w:hAnsi="Arial" w:cs="Arial"/>
          <w:b/>
          <w:sz w:val="21"/>
          <w:szCs w:val="21"/>
        </w:rPr>
        <w:t>）价值时点原则</w:t>
      </w:r>
    </w:p>
    <w:p w14:paraId="760F14BB"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9B4A5C"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809226"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（六）一贯性原则</w:t>
      </w:r>
    </w:p>
    <w:p w14:paraId="127396C5"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在不同时间为了同一估价目的对同一或同类房地产再次或多次进行估价时，应采用相同的估价方法或对待方式。</w:t>
      </w:r>
    </w:p>
    <w:p w14:paraId="776BCAAC" w14:textId="77777777"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14:paraId="7D4B10C8"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155267093"/>
      <w:r w:rsidRPr="0043038D">
        <w:rPr>
          <w:rFonts w:eastAsia="宋体"/>
          <w:kern w:val="2"/>
          <w:sz w:val="21"/>
          <w:szCs w:val="21"/>
        </w:rPr>
        <w:t>八、估价</w:t>
      </w:r>
      <w:bookmarkEnd w:id="34"/>
      <w:r w:rsidRPr="0043038D">
        <w:rPr>
          <w:rFonts w:eastAsia="宋体"/>
          <w:kern w:val="2"/>
          <w:sz w:val="21"/>
          <w:szCs w:val="21"/>
        </w:rPr>
        <w:t>依据</w:t>
      </w:r>
      <w:bookmarkEnd w:id="35"/>
    </w:p>
    <w:p w14:paraId="43CFC2DD"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（一）有关的法律、法规</w:t>
      </w:r>
    </w:p>
    <w:p w14:paraId="14737C05"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 xml:space="preserve">1. </w:t>
      </w:r>
      <w:r w:rsidRPr="0043038D">
        <w:rPr>
          <w:rFonts w:ascii="Arial" w:hAnsi="Arial" w:cs="Arial" w:hint="eastAsia"/>
          <w:sz w:val="21"/>
          <w:szCs w:val="21"/>
        </w:rPr>
        <w:t>《中华人民共和国土地管理法》（</w:t>
      </w:r>
      <w:r w:rsidRPr="0043038D">
        <w:rPr>
          <w:rFonts w:ascii="Arial" w:hAnsi="Arial" w:cs="Arial" w:hint="eastAsia"/>
          <w:sz w:val="21"/>
          <w:szCs w:val="21"/>
        </w:rPr>
        <w:t>1986</w:t>
      </w:r>
      <w:r w:rsidRPr="0043038D">
        <w:rPr>
          <w:rFonts w:ascii="Arial" w:hAnsi="Arial" w:cs="Arial" w:hint="eastAsia"/>
          <w:sz w:val="21"/>
          <w:szCs w:val="21"/>
        </w:rPr>
        <w:t>年</w:t>
      </w:r>
      <w:r w:rsidRPr="0043038D">
        <w:rPr>
          <w:rFonts w:ascii="Arial" w:hAnsi="Arial" w:cs="Arial" w:hint="eastAsia"/>
          <w:sz w:val="21"/>
          <w:szCs w:val="21"/>
        </w:rPr>
        <w:t>6</w:t>
      </w:r>
      <w:r w:rsidRPr="0043038D">
        <w:rPr>
          <w:rFonts w:ascii="Arial" w:hAnsi="Arial" w:cs="Arial" w:hint="eastAsia"/>
          <w:sz w:val="21"/>
          <w:szCs w:val="21"/>
        </w:rPr>
        <w:t>月</w:t>
      </w:r>
      <w:r w:rsidRPr="0043038D">
        <w:rPr>
          <w:rFonts w:ascii="Arial" w:hAnsi="Arial" w:cs="Arial" w:hint="eastAsia"/>
          <w:sz w:val="21"/>
          <w:szCs w:val="21"/>
        </w:rPr>
        <w:t>25</w:t>
      </w:r>
      <w:r w:rsidRPr="0043038D">
        <w:rPr>
          <w:rFonts w:ascii="Arial" w:hAnsi="Arial" w:cs="Arial" w:hint="eastAsia"/>
          <w:sz w:val="21"/>
          <w:szCs w:val="21"/>
        </w:rPr>
        <w:t>日第六届全国人民代表大会常务委员会第十六次会议通过，中华人民共和国主席令第</w:t>
      </w:r>
      <w:r w:rsidRPr="0043038D">
        <w:rPr>
          <w:rFonts w:ascii="Arial" w:hAnsi="Arial" w:cs="Arial" w:hint="eastAsia"/>
          <w:sz w:val="21"/>
          <w:szCs w:val="21"/>
        </w:rPr>
        <w:t>41</w:t>
      </w:r>
      <w:r w:rsidRPr="0043038D">
        <w:rPr>
          <w:rFonts w:ascii="Arial" w:hAnsi="Arial" w:cs="Arial" w:hint="eastAsia"/>
          <w:sz w:val="21"/>
          <w:szCs w:val="21"/>
        </w:rPr>
        <w:t>号公布，</w:t>
      </w:r>
      <w:r w:rsidRPr="0043038D">
        <w:rPr>
          <w:rFonts w:ascii="Arial" w:hAnsi="Arial" w:cs="Arial" w:hint="eastAsia"/>
          <w:sz w:val="21"/>
          <w:szCs w:val="21"/>
        </w:rPr>
        <w:t>1987</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日第七届全国人民代表大会常务委员会第五次会议第一次修正通过，自</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日起施行；</w:t>
      </w:r>
      <w:r w:rsidRPr="0043038D">
        <w:rPr>
          <w:rFonts w:ascii="Arial" w:hAnsi="Arial" w:cs="Arial" w:hint="eastAsia"/>
          <w:sz w:val="21"/>
          <w:szCs w:val="21"/>
        </w:rPr>
        <w:t>1998</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日第九届全国人民代表大会常务委员会第四次会议修订通过，中华人民共和国主席令第</w:t>
      </w:r>
      <w:r w:rsidRPr="0043038D">
        <w:rPr>
          <w:rFonts w:ascii="Arial" w:hAnsi="Arial" w:cs="Arial" w:hint="eastAsia"/>
          <w:sz w:val="21"/>
          <w:szCs w:val="21"/>
        </w:rPr>
        <w:t>8</w:t>
      </w:r>
      <w:r w:rsidRPr="0043038D">
        <w:rPr>
          <w:rFonts w:ascii="Arial" w:hAnsi="Arial" w:cs="Arial" w:hint="eastAsia"/>
          <w:sz w:val="21"/>
          <w:szCs w:val="21"/>
        </w:rPr>
        <w:t>号公布，自</w:t>
      </w:r>
      <w:r w:rsidRPr="0043038D">
        <w:rPr>
          <w:rFonts w:ascii="Arial" w:hAnsi="Arial" w:cs="Arial" w:hint="eastAsia"/>
          <w:sz w:val="21"/>
          <w:szCs w:val="21"/>
        </w:rPr>
        <w:t>1999</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2004</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日第十届全国人民代表大会常务委员会第十一次会议第二次修正通过，中华人民共和国主席令第</w:t>
      </w:r>
      <w:r w:rsidRPr="0043038D">
        <w:rPr>
          <w:rFonts w:ascii="Arial" w:hAnsi="Arial" w:cs="Arial" w:hint="eastAsia"/>
          <w:sz w:val="21"/>
          <w:szCs w:val="21"/>
        </w:rPr>
        <w:t>28</w:t>
      </w:r>
      <w:r w:rsidRPr="0043038D">
        <w:rPr>
          <w:rFonts w:ascii="Arial" w:hAnsi="Arial" w:cs="Arial" w:hint="eastAsia"/>
          <w:sz w:val="21"/>
          <w:szCs w:val="21"/>
        </w:rPr>
        <w:t>号公布，自公布起日起施行；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日第十三届全国人民代表大会常务委员会第十二次会议第三次修正通过，自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14:paraId="2D69763A"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《中华人民共和国资产评估法》（</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hint="eastAsia"/>
          <w:sz w:val="21"/>
          <w:szCs w:val="21"/>
        </w:rPr>
        <w:t>日第十二届全国人民代表大会常务委员会第二十一次会议通过</w:t>
      </w:r>
      <w:r w:rsidRPr="0043038D">
        <w:rPr>
          <w:rFonts w:ascii="Arial" w:hAnsi="Arial" w:cs="Arial" w:hint="eastAsia"/>
          <w:sz w:val="21"/>
          <w:szCs w:val="21"/>
        </w:rPr>
        <w:t xml:space="preserve"> 2016</w:t>
      </w:r>
      <w:r w:rsidRPr="0043038D">
        <w:rPr>
          <w:rFonts w:ascii="Arial" w:hAnsi="Arial" w:cs="Arial" w:hint="eastAsia"/>
          <w:sz w:val="21"/>
          <w:szCs w:val="21"/>
        </w:rPr>
        <w:t>年</w:t>
      </w:r>
      <w:r w:rsidRPr="0043038D">
        <w:rPr>
          <w:rFonts w:ascii="Arial" w:hAnsi="Arial" w:cs="Arial" w:hint="eastAsia"/>
          <w:sz w:val="21"/>
          <w:szCs w:val="21"/>
        </w:rPr>
        <w:t>3</w:t>
      </w:r>
      <w:r w:rsidRPr="0043038D">
        <w:rPr>
          <w:rFonts w:ascii="Arial" w:hAnsi="Arial" w:cs="Arial" w:hint="eastAsia"/>
          <w:sz w:val="21"/>
          <w:szCs w:val="21"/>
        </w:rPr>
        <w:t>月</w:t>
      </w:r>
      <w:r w:rsidRPr="0043038D">
        <w:rPr>
          <w:rFonts w:ascii="Arial" w:hAnsi="Arial" w:cs="Arial" w:hint="eastAsia"/>
          <w:sz w:val="21"/>
          <w:szCs w:val="21"/>
        </w:rPr>
        <w:t>16</w:t>
      </w:r>
      <w:r w:rsidRPr="0043038D">
        <w:rPr>
          <w:rFonts w:ascii="Arial" w:hAnsi="Arial" w:cs="Arial" w:hint="eastAsia"/>
          <w:sz w:val="21"/>
          <w:szCs w:val="21"/>
        </w:rPr>
        <w:t>日中华人民共和国主席令第</w:t>
      </w:r>
      <w:r w:rsidRPr="0043038D">
        <w:rPr>
          <w:rFonts w:ascii="Arial" w:hAnsi="Arial" w:cs="Arial" w:hint="eastAsia"/>
          <w:sz w:val="21"/>
          <w:szCs w:val="21"/>
        </w:rPr>
        <w:t>46</w:t>
      </w:r>
      <w:r w:rsidRPr="0043038D">
        <w:rPr>
          <w:rFonts w:ascii="Arial" w:hAnsi="Arial" w:cs="Arial" w:hint="eastAsia"/>
          <w:sz w:val="21"/>
          <w:szCs w:val="21"/>
        </w:rPr>
        <w:t>号公布</w:t>
      </w:r>
      <w:r w:rsidRPr="0043038D">
        <w:rPr>
          <w:rFonts w:ascii="Arial" w:hAnsi="Arial" w:cs="Arial" w:hint="eastAsia"/>
          <w:sz w:val="21"/>
          <w:szCs w:val="21"/>
        </w:rPr>
        <w:t xml:space="preserve"> </w:t>
      </w:r>
      <w:r w:rsidRPr="0043038D">
        <w:rPr>
          <w:rFonts w:ascii="Arial" w:hAnsi="Arial" w:cs="Arial" w:hint="eastAsia"/>
          <w:sz w:val="21"/>
          <w:szCs w:val="21"/>
        </w:rPr>
        <w:t>自</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14:paraId="41E96191"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《中华人民共和国城镇国有土地使用权出让和转让暂行条例》（</w:t>
      </w:r>
      <w:r w:rsidRPr="0043038D">
        <w:rPr>
          <w:rFonts w:ascii="Arial" w:hAnsi="Arial" w:cs="Arial" w:hint="eastAsia"/>
          <w:sz w:val="21"/>
          <w:szCs w:val="21"/>
        </w:rPr>
        <w:t>1</w:t>
      </w:r>
      <w:r w:rsidRPr="0043038D">
        <w:rPr>
          <w:rFonts w:ascii="Arial" w:hAnsi="Arial" w:cs="Arial"/>
          <w:sz w:val="21"/>
          <w:szCs w:val="21"/>
        </w:rPr>
        <w:t>990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sz w:val="21"/>
          <w:szCs w:val="21"/>
        </w:rPr>
        <w:t>9</w:t>
      </w:r>
      <w:r w:rsidRPr="0043038D">
        <w:rPr>
          <w:rFonts w:ascii="Arial" w:hAnsi="Arial" w:cs="Arial" w:hint="eastAsia"/>
          <w:sz w:val="21"/>
          <w:szCs w:val="21"/>
        </w:rPr>
        <w:t>日中华人民共和国国务院令第</w:t>
      </w:r>
      <w:r w:rsidRPr="0043038D">
        <w:rPr>
          <w:rFonts w:ascii="Arial" w:hAnsi="Arial" w:cs="Arial" w:hint="eastAsia"/>
          <w:sz w:val="21"/>
          <w:szCs w:val="21"/>
        </w:rPr>
        <w:t>5</w:t>
      </w:r>
      <w:r w:rsidRPr="0043038D">
        <w:rPr>
          <w:rFonts w:ascii="Arial" w:hAnsi="Arial" w:cs="Arial"/>
          <w:sz w:val="21"/>
          <w:szCs w:val="21"/>
        </w:rPr>
        <w:t>5</w:t>
      </w:r>
      <w:r w:rsidRPr="0043038D">
        <w:rPr>
          <w:rFonts w:ascii="Arial" w:hAnsi="Arial" w:cs="Arial" w:hint="eastAsia"/>
          <w:sz w:val="21"/>
          <w:szCs w:val="21"/>
        </w:rPr>
        <w:t>号发布　根据</w:t>
      </w:r>
      <w:r w:rsidRPr="0043038D">
        <w:rPr>
          <w:rFonts w:ascii="Arial" w:hAnsi="Arial" w:cs="Arial" w:hint="eastAsia"/>
          <w:sz w:val="21"/>
          <w:szCs w:val="21"/>
        </w:rPr>
        <w:t>2</w:t>
      </w:r>
      <w:r w:rsidRPr="0043038D">
        <w:rPr>
          <w:rFonts w:ascii="Arial" w:hAnsi="Arial" w:cs="Arial"/>
          <w:sz w:val="21"/>
          <w:szCs w:val="21"/>
        </w:rPr>
        <w:t>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sz w:val="21"/>
          <w:szCs w:val="21"/>
        </w:rPr>
        <w:t>1</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日《国务院关于修改和废止部分行政法规的决定》修订）</w:t>
      </w:r>
    </w:p>
    <w:p w14:paraId="3150D0FE"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《中华人民共和国民法典》（</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日第十三届全国人大三次会议表决通过，自</w:t>
      </w:r>
      <w:r w:rsidRPr="0043038D">
        <w:rPr>
          <w:rFonts w:ascii="Arial" w:hAnsi="Arial" w:cs="Arial" w:hint="eastAsia"/>
          <w:sz w:val="21"/>
          <w:szCs w:val="21"/>
        </w:rPr>
        <w:t>2021</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14:paraId="046E6789"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《中华人民共和国城市房地产管理法》（</w:t>
      </w:r>
      <w:r w:rsidRPr="0043038D">
        <w:rPr>
          <w:rFonts w:ascii="Arial" w:hAnsi="Arial" w:cs="Arial" w:hint="eastAsia"/>
          <w:sz w:val="21"/>
          <w:szCs w:val="21"/>
        </w:rPr>
        <w:t>1994</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5</w:t>
      </w:r>
      <w:r w:rsidRPr="0043038D">
        <w:rPr>
          <w:rFonts w:ascii="Arial" w:hAnsi="Arial" w:cs="Arial" w:hint="eastAsia"/>
          <w:sz w:val="21"/>
          <w:szCs w:val="21"/>
        </w:rPr>
        <w:t>日第八届全国人民代表大会常务委员会第八次会议通过，中华人民共和国主席令第</w:t>
      </w:r>
      <w:r w:rsidRPr="0043038D">
        <w:rPr>
          <w:rFonts w:ascii="Arial" w:hAnsi="Arial" w:cs="Arial" w:hint="eastAsia"/>
          <w:sz w:val="21"/>
          <w:szCs w:val="21"/>
        </w:rPr>
        <w:t>29</w:t>
      </w:r>
      <w:r w:rsidRPr="0043038D">
        <w:rPr>
          <w:rFonts w:ascii="Arial" w:hAnsi="Arial" w:cs="Arial" w:hint="eastAsia"/>
          <w:sz w:val="21"/>
          <w:szCs w:val="21"/>
        </w:rPr>
        <w:t>号公布，自</w:t>
      </w:r>
      <w:r w:rsidRPr="0043038D">
        <w:rPr>
          <w:rFonts w:ascii="Arial" w:hAnsi="Arial" w:cs="Arial" w:hint="eastAsia"/>
          <w:sz w:val="21"/>
          <w:szCs w:val="21"/>
        </w:rPr>
        <w:t>1995</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2007</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30</w:t>
      </w:r>
      <w:r w:rsidRPr="0043038D">
        <w:rPr>
          <w:rFonts w:ascii="Arial" w:hAnsi="Arial" w:cs="Arial" w:hint="eastAsia"/>
          <w:sz w:val="21"/>
          <w:szCs w:val="21"/>
        </w:rPr>
        <w:t>日第十届全国人民代表大会常务委员会第二十九次会议通过第一次修正通过，中华人民共和国主席令第</w:t>
      </w:r>
      <w:r w:rsidRPr="0043038D">
        <w:rPr>
          <w:rFonts w:ascii="Arial" w:hAnsi="Arial" w:cs="Arial" w:hint="eastAsia"/>
          <w:sz w:val="21"/>
          <w:szCs w:val="21"/>
        </w:rPr>
        <w:t>72</w:t>
      </w:r>
      <w:r w:rsidRPr="0043038D">
        <w:rPr>
          <w:rFonts w:ascii="Arial" w:hAnsi="Arial" w:cs="Arial" w:hint="eastAsia"/>
          <w:sz w:val="21"/>
          <w:szCs w:val="21"/>
        </w:rPr>
        <w:t>号公布，自公布之日起施行；</w:t>
      </w:r>
      <w:r w:rsidRPr="0043038D">
        <w:rPr>
          <w:rFonts w:ascii="Arial" w:hAnsi="Arial" w:cs="Arial" w:hint="eastAsia"/>
          <w:sz w:val="21"/>
          <w:szCs w:val="21"/>
        </w:rPr>
        <w:t>2009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27</w:t>
      </w:r>
      <w:r w:rsidRPr="0043038D">
        <w:rPr>
          <w:rFonts w:ascii="Arial" w:hAnsi="Arial" w:cs="Arial" w:hint="eastAsia"/>
          <w:sz w:val="21"/>
          <w:szCs w:val="21"/>
        </w:rPr>
        <w:t>日第十一届全国人民代表大会常务委员会第十次会议第二次修正通过，中华人民共和国主席令第</w:t>
      </w:r>
      <w:r w:rsidRPr="0043038D">
        <w:rPr>
          <w:rFonts w:ascii="Arial" w:hAnsi="Arial" w:cs="Arial" w:hint="eastAsia"/>
          <w:sz w:val="21"/>
          <w:szCs w:val="21"/>
        </w:rPr>
        <w:t>18</w:t>
      </w:r>
      <w:r w:rsidRPr="0043038D">
        <w:rPr>
          <w:rFonts w:ascii="Arial" w:hAnsi="Arial" w:cs="Arial" w:hint="eastAsia"/>
          <w:sz w:val="21"/>
          <w:szCs w:val="21"/>
        </w:rPr>
        <w:t>号公布，自公布之日起施行；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日第十三届全国人大常委会第十二次会议通过第三次修正，自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14:paraId="1A869C48"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sz w:val="21"/>
          <w:szCs w:val="21"/>
        </w:rPr>
        <w:t>《关于完善住房租赁有关税收政策的公告》（财务部</w:t>
      </w:r>
      <w:r w:rsidRPr="0043038D">
        <w:rPr>
          <w:rFonts w:ascii="Arial" w:hAnsi="Arial" w:cs="Arial" w:hint="eastAsia"/>
          <w:sz w:val="21"/>
          <w:szCs w:val="21"/>
        </w:rPr>
        <w:t xml:space="preserve"> </w:t>
      </w:r>
      <w:r w:rsidRPr="0043038D">
        <w:rPr>
          <w:rFonts w:ascii="Arial" w:hAnsi="Arial" w:cs="Arial" w:hint="eastAsia"/>
          <w:sz w:val="21"/>
          <w:szCs w:val="21"/>
        </w:rPr>
        <w:t>税务总局</w:t>
      </w:r>
      <w:r w:rsidRPr="0043038D">
        <w:rPr>
          <w:rFonts w:ascii="Arial" w:hAnsi="Arial" w:cs="Arial" w:hint="eastAsia"/>
          <w:sz w:val="21"/>
          <w:szCs w:val="21"/>
        </w:rPr>
        <w:t xml:space="preserve"> </w:t>
      </w:r>
      <w:r w:rsidRPr="0043038D">
        <w:rPr>
          <w:rFonts w:ascii="Arial" w:hAnsi="Arial" w:cs="Arial" w:hint="eastAsia"/>
          <w:sz w:val="21"/>
          <w:szCs w:val="21"/>
        </w:rPr>
        <w:t>住房城乡建设部公告</w:t>
      </w:r>
      <w:r w:rsidRPr="0043038D">
        <w:rPr>
          <w:rFonts w:ascii="Arial" w:hAnsi="Arial" w:cs="Arial" w:hint="eastAsia"/>
          <w:sz w:val="21"/>
          <w:szCs w:val="21"/>
        </w:rPr>
        <w:t>2</w:t>
      </w:r>
      <w:r w:rsidRPr="0043038D">
        <w:rPr>
          <w:rFonts w:ascii="Arial" w:hAnsi="Arial" w:cs="Arial"/>
          <w:sz w:val="21"/>
          <w:szCs w:val="21"/>
        </w:rPr>
        <w:t>021</w:t>
      </w:r>
      <w:r w:rsidRPr="0043038D">
        <w:rPr>
          <w:rFonts w:ascii="Arial" w:hAnsi="Arial" w:cs="Arial" w:hint="eastAsia"/>
          <w:sz w:val="21"/>
          <w:szCs w:val="21"/>
        </w:rPr>
        <w:t>年第</w:t>
      </w:r>
      <w:r w:rsidRPr="0043038D">
        <w:rPr>
          <w:rFonts w:ascii="Arial" w:hAnsi="Arial" w:cs="Arial" w:hint="eastAsia"/>
          <w:sz w:val="21"/>
          <w:szCs w:val="21"/>
        </w:rPr>
        <w:t>2</w:t>
      </w:r>
      <w:r w:rsidRPr="0043038D">
        <w:rPr>
          <w:rFonts w:ascii="Arial" w:hAnsi="Arial" w:cs="Arial"/>
          <w:sz w:val="21"/>
          <w:szCs w:val="21"/>
        </w:rPr>
        <w:t>4</w:t>
      </w:r>
      <w:r w:rsidRPr="0043038D">
        <w:rPr>
          <w:rFonts w:ascii="Arial" w:hAnsi="Arial" w:cs="Arial" w:hint="eastAsia"/>
          <w:sz w:val="21"/>
          <w:szCs w:val="21"/>
        </w:rPr>
        <w:t>号）</w:t>
      </w:r>
    </w:p>
    <w:p w14:paraId="392641C2"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sz w:val="21"/>
          <w:szCs w:val="21"/>
        </w:rPr>
        <w:t>.</w:t>
      </w:r>
      <w:r w:rsidRPr="0043038D">
        <w:rPr>
          <w:rFonts w:hint="eastAsia"/>
        </w:rPr>
        <w:t xml:space="preserve"> </w:t>
      </w:r>
      <w:r w:rsidRPr="0043038D">
        <w:rPr>
          <w:rFonts w:hint="eastAsia"/>
        </w:rPr>
        <w:t>《</w:t>
      </w:r>
      <w:r w:rsidRPr="0043038D">
        <w:rPr>
          <w:rFonts w:ascii="Arial" w:hAnsi="Arial" w:cs="Arial" w:hint="eastAsia"/>
          <w:sz w:val="21"/>
          <w:szCs w:val="21"/>
        </w:rPr>
        <w:t>国务院办公厅关于加快发展保障性租赁住房的意见</w:t>
      </w:r>
      <w:r w:rsidRPr="0043038D">
        <w:rPr>
          <w:rFonts w:hint="eastAsia"/>
        </w:rPr>
        <w:t>》</w:t>
      </w:r>
      <w:r w:rsidRPr="0043038D">
        <w:rPr>
          <w:rFonts w:ascii="Arial" w:hAnsi="Arial" w:cs="Arial" w:hint="eastAsia"/>
          <w:sz w:val="21"/>
          <w:szCs w:val="21"/>
        </w:rPr>
        <w:t>（国办发〔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22</w:t>
      </w:r>
      <w:r w:rsidRPr="0043038D">
        <w:rPr>
          <w:rFonts w:ascii="Arial" w:hAnsi="Arial" w:cs="Arial" w:hint="eastAsia"/>
          <w:sz w:val="21"/>
          <w:szCs w:val="21"/>
        </w:rPr>
        <w:t>号）</w:t>
      </w:r>
    </w:p>
    <w:p w14:paraId="0BB593E2"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hint="eastAsia"/>
        </w:rPr>
        <w:t xml:space="preserve"> </w:t>
      </w:r>
      <w:r w:rsidRPr="0043038D">
        <w:rPr>
          <w:rFonts w:ascii="Arial" w:hAnsi="Arial" w:cs="Arial" w:hint="eastAsia"/>
          <w:sz w:val="21"/>
          <w:szCs w:val="21"/>
        </w:rPr>
        <w:t>《北京市住房和城乡建设委员会等四部门关于进一步规范本市新供住宅项目配建公租房、保障性租赁住房工作的通知》（京建发〔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389</w:t>
      </w:r>
      <w:r w:rsidRPr="0043038D">
        <w:rPr>
          <w:rFonts w:ascii="Arial" w:hAnsi="Arial" w:cs="Arial" w:hint="eastAsia"/>
          <w:sz w:val="21"/>
          <w:szCs w:val="21"/>
        </w:rPr>
        <w:t>号）</w:t>
      </w:r>
    </w:p>
    <w:p w14:paraId="4FF707DD"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hint="eastAsia"/>
          <w:sz w:val="21"/>
          <w:szCs w:val="21"/>
        </w:rPr>
        <w:t xml:space="preserve"> </w:t>
      </w:r>
      <w:r w:rsidRPr="0043038D">
        <w:rPr>
          <w:rFonts w:ascii="Arial" w:hAnsi="Arial" w:cs="Arial" w:hint="eastAsia"/>
          <w:sz w:val="21"/>
          <w:szCs w:val="21"/>
        </w:rPr>
        <w:t>《北京市人民政府办公厅印发〈北京市关于加快发展保障性租赁住房的实施方案〉的通知》（京政办发〔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号）</w:t>
      </w:r>
    </w:p>
    <w:p w14:paraId="52F57D0E"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sz w:val="21"/>
          <w:szCs w:val="21"/>
        </w:rPr>
        <w:t>10.</w:t>
      </w:r>
      <w:r w:rsidRPr="0043038D">
        <w:rPr>
          <w:rFonts w:ascii="Arial" w:hAnsi="Arial" w:cs="Arial" w:hint="eastAsia"/>
          <w:sz w:val="21"/>
          <w:szCs w:val="21"/>
        </w:rPr>
        <w:t>《北京市住房和城乡建设委员会</w:t>
      </w:r>
      <w:r w:rsidRPr="0043038D">
        <w:rPr>
          <w:rFonts w:ascii="Arial" w:hAnsi="Arial" w:cs="Arial" w:hint="eastAsia"/>
          <w:sz w:val="21"/>
          <w:szCs w:val="21"/>
        </w:rPr>
        <w:t xml:space="preserve"> </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北京市规划和自然资源委员会关于印发</w:t>
      </w:r>
      <w:r w:rsidRPr="0043038D">
        <w:rPr>
          <w:rFonts w:ascii="Arial" w:hAnsi="Arial" w:cs="Arial" w:hint="eastAsia"/>
          <w:sz w:val="21"/>
          <w:szCs w:val="21"/>
        </w:rPr>
        <w:t>2022</w:t>
      </w:r>
      <w:r w:rsidRPr="0043038D">
        <w:rPr>
          <w:rFonts w:ascii="Arial" w:hAnsi="Arial" w:cs="Arial" w:hint="eastAsia"/>
          <w:sz w:val="21"/>
          <w:szCs w:val="21"/>
        </w:rPr>
        <w:t>年全市首批保障性住房开竣工项目建设计划的通知》（京建发</w:t>
      </w:r>
      <w:r w:rsidRPr="0043038D">
        <w:rPr>
          <w:rFonts w:ascii="Arial" w:hAnsi="Arial" w:cs="Arial" w:hint="eastAsia"/>
          <w:sz w:val="21"/>
          <w:szCs w:val="21"/>
        </w:rPr>
        <w:t>[2022]121</w:t>
      </w:r>
      <w:r w:rsidRPr="0043038D">
        <w:rPr>
          <w:rFonts w:ascii="Arial" w:hAnsi="Arial" w:cs="Arial" w:hint="eastAsia"/>
          <w:sz w:val="21"/>
          <w:szCs w:val="21"/>
        </w:rPr>
        <w:t>号）</w:t>
      </w:r>
    </w:p>
    <w:p w14:paraId="2ECB5EC6"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11.</w:t>
      </w:r>
      <w:r w:rsidRPr="0043038D">
        <w:rPr>
          <w:rFonts w:ascii="Arial" w:hAnsi="Arial" w:cs="Arial" w:hint="eastAsia"/>
          <w:sz w:val="21"/>
          <w:szCs w:val="21"/>
        </w:rPr>
        <w:t>《北京市保障性租赁住房建设导则（试行）》（京建发〔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105</w:t>
      </w:r>
      <w:r w:rsidRPr="0043038D">
        <w:rPr>
          <w:rFonts w:ascii="Arial" w:hAnsi="Arial" w:cs="Arial" w:hint="eastAsia"/>
          <w:sz w:val="21"/>
          <w:szCs w:val="21"/>
        </w:rPr>
        <w:t>号）</w:t>
      </w:r>
    </w:p>
    <w:p w14:paraId="4AFF9FDB" w14:textId="77777777"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b/>
          <w:sz w:val="21"/>
          <w:szCs w:val="21"/>
        </w:rPr>
        <w:t>（</w:t>
      </w:r>
      <w:r w:rsidRPr="0043038D">
        <w:rPr>
          <w:rFonts w:ascii="Arial" w:hAnsi="Arial" w:cs="Arial" w:hint="eastAsia"/>
          <w:b/>
          <w:sz w:val="21"/>
          <w:szCs w:val="21"/>
        </w:rPr>
        <w:t>二</w:t>
      </w:r>
      <w:r w:rsidRPr="0043038D">
        <w:rPr>
          <w:rFonts w:ascii="Arial" w:hAnsi="Arial" w:cs="Arial"/>
          <w:b/>
          <w:sz w:val="21"/>
          <w:szCs w:val="21"/>
        </w:rPr>
        <w:t>）</w:t>
      </w:r>
      <w:r w:rsidRPr="0043038D">
        <w:rPr>
          <w:rFonts w:ascii="Arial" w:hAnsi="Arial" w:cs="Arial" w:hint="eastAsia"/>
          <w:b/>
          <w:sz w:val="21"/>
          <w:szCs w:val="21"/>
        </w:rPr>
        <w:t>技术标准</w:t>
      </w:r>
    </w:p>
    <w:p w14:paraId="4BA46ACD" w14:textId="77777777" w:rsidR="000E5655" w:rsidRPr="0043038D" w:rsidRDefault="00837133">
      <w:pPr>
        <w:numPr>
          <w:ilvl w:val="0"/>
          <w:numId w:val="6"/>
        </w:numPr>
        <w:wordWrap w:val="0"/>
        <w:overflowPunct w:val="0"/>
        <w:spacing w:line="480" w:lineRule="auto"/>
        <w:ind w:left="0" w:firstLine="0"/>
        <w:jc w:val="both"/>
        <w:textAlignment w:val="auto"/>
        <w:rPr>
          <w:rFonts w:ascii="Arial" w:hAnsi="Arial" w:cs="Arial"/>
          <w:sz w:val="21"/>
          <w:szCs w:val="21"/>
        </w:rPr>
      </w:pPr>
      <w:r w:rsidRPr="0043038D">
        <w:rPr>
          <w:rFonts w:ascii="Arial" w:hAnsi="Arial" w:cs="Arial"/>
          <w:sz w:val="21"/>
          <w:szCs w:val="21"/>
        </w:rPr>
        <w:t>《房地产估价规范》</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p>
    <w:p w14:paraId="7DA216EE" w14:textId="77777777" w:rsidR="000E5655" w:rsidRPr="0043038D" w:rsidRDefault="00837133">
      <w:pPr>
        <w:numPr>
          <w:ilvl w:val="0"/>
          <w:numId w:val="6"/>
        </w:numPr>
        <w:wordWrap w:val="0"/>
        <w:overflowPunct w:val="0"/>
        <w:spacing w:line="480" w:lineRule="auto"/>
        <w:ind w:left="0" w:firstLine="0"/>
        <w:jc w:val="both"/>
        <w:textAlignment w:val="auto"/>
        <w:rPr>
          <w:rFonts w:ascii="Arial" w:hAnsi="Arial" w:cs="Arial"/>
          <w:b/>
          <w:sz w:val="21"/>
          <w:szCs w:val="21"/>
        </w:rPr>
      </w:pPr>
      <w:r w:rsidRPr="0043038D">
        <w:rPr>
          <w:rFonts w:ascii="Arial" w:hAnsi="Arial" w:cs="Arial" w:hint="eastAsia"/>
          <w:sz w:val="21"/>
          <w:szCs w:val="21"/>
        </w:rPr>
        <w:t>《</w:t>
      </w:r>
      <w:r w:rsidRPr="0043038D">
        <w:rPr>
          <w:rFonts w:ascii="Arial" w:hAnsi="Arial" w:cs="Arial"/>
          <w:sz w:val="21"/>
          <w:szCs w:val="21"/>
        </w:rPr>
        <w:t>房地产估价基本术语标</w:t>
      </w:r>
      <w:r w:rsidRPr="0043038D">
        <w:rPr>
          <w:rFonts w:ascii="Arial" w:hAnsi="Arial" w:cs="Arial" w:hint="eastAsia"/>
          <w:sz w:val="21"/>
          <w:szCs w:val="21"/>
        </w:rPr>
        <w:t>准》</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50899-2013]</w:t>
      </w:r>
    </w:p>
    <w:p w14:paraId="4E56AE35"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三</w:t>
      </w:r>
      <w:r w:rsidRPr="0043038D">
        <w:rPr>
          <w:rFonts w:ascii="Arial" w:hAnsi="Arial" w:cs="Arial"/>
          <w:b/>
          <w:sz w:val="21"/>
          <w:szCs w:val="21"/>
        </w:rPr>
        <w:t>）估价委托人提供的资料</w:t>
      </w:r>
    </w:p>
    <w:p w14:paraId="6E6609EF" w14:textId="77777777" w:rsidR="000E5655" w:rsidRPr="0043038D" w:rsidRDefault="00837133">
      <w:pPr>
        <w:numPr>
          <w:ilvl w:val="0"/>
          <w:numId w:val="7"/>
        </w:numPr>
        <w:overflowPunct w:val="0"/>
        <w:spacing w:line="480" w:lineRule="auto"/>
        <w:ind w:left="0" w:firstLine="0"/>
        <w:jc w:val="both"/>
        <w:textAlignment w:val="auto"/>
        <w:rPr>
          <w:rFonts w:ascii="Arial" w:hAnsi="Arial" w:cs="Arial"/>
          <w:sz w:val="21"/>
          <w:szCs w:val="21"/>
        </w:rPr>
      </w:pPr>
      <w:r w:rsidRPr="0043038D">
        <w:rPr>
          <w:rFonts w:ascii="Arial" w:hAnsi="Arial" w:cs="Arial" w:hint="eastAsia"/>
          <w:sz w:val="21"/>
          <w:szCs w:val="21"/>
        </w:rPr>
        <w:t>《估价委托书》</w:t>
      </w:r>
    </w:p>
    <w:p w14:paraId="5B97F821"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14:paraId="7016EFD0"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14:paraId="3AFAF8FF"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r w:rsidRPr="0043038D">
        <w:rPr>
          <w:rFonts w:ascii="Arial" w:hAnsi="Arial" w:cs="Arial" w:hint="eastAsia"/>
          <w:sz w:val="21"/>
          <w:szCs w:val="21"/>
        </w:rPr>
        <w:t>规自（大）建字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14:paraId="492F20FC"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14:paraId="30112EED"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r w:rsidRPr="0043038D">
        <w:rPr>
          <w:rFonts w:ascii="Arial" w:hAnsi="Arial" w:cs="Arial" w:hint="eastAsia"/>
          <w:sz w:val="21"/>
          <w:szCs w:val="21"/>
        </w:rPr>
        <w:t>大竣</w:t>
      </w:r>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14:paraId="1E420999"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14:paraId="667701B4" w14:textId="77777777"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估价委托人《营业执照（副本）》复印件</w:t>
      </w:r>
    </w:p>
    <w:p w14:paraId="7E894F65"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（四）评估专业人员实地查勘的有关资料</w:t>
      </w:r>
    </w:p>
    <w:p w14:paraId="74B7E34E" w14:textId="77777777"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（五）</w:t>
      </w:r>
      <w:r w:rsidRPr="0043038D">
        <w:rPr>
          <w:rFonts w:ascii="Arial" w:hAnsi="Arial" w:cs="Arial" w:hint="eastAsia"/>
          <w:b/>
          <w:sz w:val="21"/>
          <w:szCs w:val="21"/>
        </w:rPr>
        <w:t>房地产</w:t>
      </w:r>
      <w:r w:rsidRPr="0043038D">
        <w:rPr>
          <w:rFonts w:ascii="Arial" w:hAnsi="Arial" w:cs="Arial"/>
          <w:b/>
          <w:sz w:val="21"/>
          <w:szCs w:val="21"/>
        </w:rPr>
        <w:t>估价机构资质证书</w:t>
      </w:r>
    </w:p>
    <w:p w14:paraId="4D980CDD" w14:textId="77777777" w:rsidR="000E5655" w:rsidRPr="0043038D" w:rsidRDefault="000E5655">
      <w:pPr>
        <w:wordWrap w:val="0"/>
        <w:overflowPunct w:val="0"/>
        <w:spacing w:line="360" w:lineRule="auto"/>
        <w:ind w:firstLineChars="200" w:firstLine="420"/>
        <w:jc w:val="both"/>
        <w:textAlignment w:val="auto"/>
        <w:rPr>
          <w:rFonts w:ascii="Arial" w:hAnsi="Arial" w:cs="Arial"/>
          <w:sz w:val="21"/>
          <w:szCs w:val="21"/>
        </w:rPr>
      </w:pPr>
      <w:bookmarkStart w:id="36" w:name="_Toc168225821"/>
    </w:p>
    <w:p w14:paraId="5D3258EB" w14:textId="77777777" w:rsidR="000E5655" w:rsidRPr="0043038D" w:rsidRDefault="00837133">
      <w:pPr>
        <w:pStyle w:val="2"/>
        <w:numPr>
          <w:ilvl w:val="0"/>
          <w:numId w:val="8"/>
        </w:numPr>
        <w:wordWrap w:val="0"/>
        <w:overflowPunct w:val="0"/>
        <w:spacing w:line="480" w:lineRule="auto"/>
        <w:ind w:left="358" w:hanging="358"/>
        <w:jc w:val="both"/>
        <w:textAlignment w:val="auto"/>
        <w:rPr>
          <w:rFonts w:eastAsia="宋体"/>
          <w:kern w:val="2"/>
          <w:sz w:val="21"/>
          <w:szCs w:val="21"/>
        </w:rPr>
      </w:pPr>
      <w:bookmarkStart w:id="37" w:name="_Toc155267094"/>
      <w:r w:rsidRPr="0043038D">
        <w:rPr>
          <w:rFonts w:eastAsia="宋体"/>
          <w:kern w:val="2"/>
          <w:sz w:val="21"/>
          <w:szCs w:val="21"/>
        </w:rPr>
        <w:t>估价方法</w:t>
      </w:r>
      <w:bookmarkEnd w:id="36"/>
      <w:bookmarkEnd w:id="37"/>
    </w:p>
    <w:p w14:paraId="6F8A1904" w14:textId="77777777" w:rsidR="000E5655" w:rsidRPr="0043038D" w:rsidRDefault="00837133">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p>
    <w:p w14:paraId="1FEEB301" w14:textId="77777777"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（一）估价思路</w:t>
      </w:r>
      <w:r w:rsidRPr="0043038D">
        <w:rPr>
          <w:rFonts w:ascii="Arial" w:hAnsi="Arial" w:cs="Arial"/>
          <w:b/>
          <w:sz w:val="21"/>
          <w:szCs w:val="21"/>
        </w:rPr>
        <w:t xml:space="preserve"> </w:t>
      </w:r>
    </w:p>
    <w:p w14:paraId="2355ED47"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14:paraId="327C944F" w14:textId="77777777"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14:paraId="2BB96A00" w14:textId="77777777">
        <w:trPr>
          <w:jc w:val="center"/>
        </w:trPr>
        <w:tc>
          <w:tcPr>
            <w:tcW w:w="1556" w:type="dxa"/>
          </w:tcPr>
          <w:p w14:paraId="70527A88"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14:paraId="27339976"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14:paraId="019306A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14:paraId="00722243"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14:paraId="35991AAA"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14:paraId="4DA0C52F"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14:paraId="705796D1" w14:textId="77777777">
        <w:trPr>
          <w:jc w:val="center"/>
        </w:trPr>
        <w:tc>
          <w:tcPr>
            <w:tcW w:w="1556" w:type="dxa"/>
          </w:tcPr>
          <w:p w14:paraId="0324583F"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14:paraId="245A1EFD"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零居室、一居室</w:t>
            </w:r>
          </w:p>
        </w:tc>
        <w:tc>
          <w:tcPr>
            <w:tcW w:w="1693" w:type="dxa"/>
          </w:tcPr>
          <w:p w14:paraId="306388EF"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14:paraId="75890C11"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14:paraId="25A0E0D0"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27DD5020"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14:paraId="4F9D9DE5" w14:textId="77777777">
        <w:trPr>
          <w:jc w:val="center"/>
        </w:trPr>
        <w:tc>
          <w:tcPr>
            <w:tcW w:w="1556" w:type="dxa"/>
          </w:tcPr>
          <w:p w14:paraId="6B41BCCB"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14:paraId="53F4B51A"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14:paraId="6DD47BF0"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14:paraId="0BA389B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14:paraId="1BE62D89"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686D9943"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14:paraId="252E7413" w14:textId="77777777">
        <w:trPr>
          <w:jc w:val="center"/>
        </w:trPr>
        <w:tc>
          <w:tcPr>
            <w:tcW w:w="1556" w:type="dxa"/>
          </w:tcPr>
          <w:p w14:paraId="6CBF2C03"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14:paraId="7D08566A"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14:paraId="43E80CEE"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14:paraId="3844DA0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14:paraId="446C468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08D9C385"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14:paraId="0227BD92" w14:textId="77777777"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14:paraId="49A03426"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p>
    <w:p w14:paraId="21FD72CC" w14:textId="77777777" w:rsidR="000E5655" w:rsidRPr="0043038D" w:rsidRDefault="00837133">
      <w:pPr>
        <w:pStyle w:val="12"/>
        <w:wordWrap w:val="0"/>
        <w:overflowPunct w:val="0"/>
        <w:autoSpaceDE w:val="0"/>
        <w:autoSpaceDN w:val="0"/>
        <w:spacing w:line="480" w:lineRule="auto"/>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14:paraId="1329B030"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14:paraId="4158DE21"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14:paraId="094E76C7"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住宅</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p>
    <w:p w14:paraId="222F5B27"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14:paraId="0DC8BD1D" w14:textId="77777777"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r w:rsidRPr="0043038D">
        <w:rPr>
          <w:rFonts w:hAnsi="宋体" w:cs="Arial" w:hint="eastAsia"/>
          <w:sz w:val="21"/>
          <w:szCs w:val="21"/>
        </w:rPr>
        <w:t>（1）估价对象适用比较法，且已优先采用比较法进行评估，故不再采用成本法进行测算。</w:t>
      </w:r>
    </w:p>
    <w:p w14:paraId="690BC21F" w14:textId="77777777"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（2）假设开发法可评估房地产市场价值，但不适于租赁价格的评估。</w:t>
      </w:r>
    </w:p>
    <w:p w14:paraId="03230F22"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hAnsi="宋体" w:cs="Arial" w:hint="eastAsia"/>
          <w:sz w:val="21"/>
          <w:szCs w:val="21"/>
        </w:rPr>
        <w:t>（3）</w:t>
      </w:r>
      <w:r w:rsidRPr="0043038D">
        <w:rPr>
          <w:rFonts w:ascii="Arial" w:hAnsi="Arial" w:cs="Arial"/>
          <w:sz w:val="21"/>
          <w:szCs w:val="21"/>
        </w:rPr>
        <w:t>收益法适用于有现实收益或潜在收益的土地或房地产估价。估价对象用途</w:t>
      </w:r>
      <w:r w:rsidRPr="0043038D">
        <w:rPr>
          <w:rFonts w:ascii="Arial" w:hAnsi="Arial" w:cs="Arial" w:hint="eastAsia"/>
          <w:kern w:val="2"/>
          <w:sz w:val="21"/>
          <w:szCs w:val="21"/>
        </w:rPr>
        <w:t>设定为保障性租赁住房</w:t>
      </w:r>
      <w:r w:rsidRPr="0043038D">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ascii="Arial" w:hAnsi="Arial" w:cs="Arial" w:hint="eastAsia"/>
          <w:sz w:val="21"/>
          <w:szCs w:val="21"/>
        </w:rPr>
        <w:t>公寓</w:t>
      </w:r>
      <w:r w:rsidRPr="0043038D">
        <w:rPr>
          <w:rFonts w:ascii="Arial" w:hAnsi="Arial" w:cs="Arial"/>
          <w:sz w:val="21"/>
          <w:szCs w:val="21"/>
        </w:rPr>
        <w:t>业态租售比差距较大，采用房屋交易价格测算出的房屋租金不能反映正常的市场租金水平，故未采用收益法</w:t>
      </w:r>
      <w:r w:rsidRPr="0043038D">
        <w:rPr>
          <w:rFonts w:ascii="Arial" w:hAnsi="Arial" w:cs="Arial" w:hint="eastAsia"/>
          <w:sz w:val="21"/>
          <w:szCs w:val="21"/>
        </w:rPr>
        <w:t>。</w:t>
      </w:r>
      <w:r w:rsidRPr="0043038D">
        <w:rPr>
          <w:rFonts w:ascii="Arial" w:hAnsi="Arial" w:cs="Arial"/>
          <w:sz w:val="21"/>
          <w:szCs w:val="21"/>
        </w:rPr>
        <w:t xml:space="preserve"> </w:t>
      </w:r>
    </w:p>
    <w:p w14:paraId="73084618" w14:textId="77777777" w:rsidR="000E5655" w:rsidRPr="0043038D" w:rsidRDefault="000E5655">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1F75F026" w14:textId="77777777"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8" w:name="_Toc168225822"/>
      <w:bookmarkStart w:id="39" w:name="_Toc155267095"/>
      <w:r w:rsidRPr="0043038D">
        <w:rPr>
          <w:rFonts w:eastAsia="宋体"/>
          <w:kern w:val="2"/>
          <w:sz w:val="21"/>
          <w:szCs w:val="21"/>
        </w:rPr>
        <w:t>十、估价结果</w:t>
      </w:r>
      <w:bookmarkEnd w:id="38"/>
      <w:bookmarkEnd w:id="39"/>
    </w:p>
    <w:p w14:paraId="0A8A9BBA"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日同地段、同品质市场租赁住房租金为：</w:t>
      </w:r>
      <w:r w:rsidRPr="0043038D">
        <w:rPr>
          <w:rFonts w:ascii="Arial" w:hAnsi="Arial" w:cs="Arial" w:hint="eastAsia"/>
          <w:sz w:val="21"/>
          <w:szCs w:val="21"/>
        </w:rPr>
        <w:t xml:space="preserve"> </w:t>
      </w:r>
    </w:p>
    <w:p w14:paraId="5B26375A" w14:textId="77777777" w:rsidR="001520AF" w:rsidRPr="0043038D" w:rsidRDefault="001520AF" w:rsidP="001520AF">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零居室、一居室（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Pr>
          <w:rFonts w:ascii="Arial" w:hAnsi="Arial" w:cs="Arial" w:hint="eastAsia"/>
          <w:b/>
          <w:bCs/>
          <w:sz w:val="21"/>
          <w:szCs w:val="21"/>
        </w:rPr>
        <w:t>4.</w:t>
      </w:r>
      <w:r>
        <w:rPr>
          <w:rFonts w:ascii="Arial" w:hAnsi="Arial" w:cs="Arial"/>
          <w:b/>
          <w:bCs/>
          <w:sz w:val="21"/>
          <w:szCs w:val="21"/>
        </w:rPr>
        <w:t>89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64265461" w14:textId="77777777" w:rsidR="001520AF" w:rsidRPr="0043038D" w:rsidRDefault="001520AF" w:rsidP="001520AF">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557D5772" w14:textId="2D800187" w:rsidR="000E5655" w:rsidRPr="0043038D" w:rsidRDefault="001520AF" w:rsidP="001520AF">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44909737" w14:textId="77777777"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14:paraId="7A05FAE9" w14:textId="77777777"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p w14:paraId="5277A5FE" w14:textId="77777777"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p>
    <w:p w14:paraId="5327EA19" w14:textId="77777777"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0" w:name="_Toc168225824"/>
      <w:bookmarkStart w:id="41" w:name="_Toc155267096"/>
      <w:r w:rsidRPr="0043038D">
        <w:rPr>
          <w:rFonts w:eastAsia="宋体"/>
          <w:kern w:val="2"/>
          <w:sz w:val="21"/>
          <w:szCs w:val="21"/>
        </w:rPr>
        <w:br w:type="page"/>
      </w:r>
      <w:r w:rsidRPr="0043038D">
        <w:rPr>
          <w:rFonts w:eastAsia="宋体"/>
          <w:kern w:val="2"/>
          <w:sz w:val="21"/>
          <w:szCs w:val="21"/>
        </w:rPr>
        <w:t>十</w:t>
      </w:r>
      <w:bookmarkEnd w:id="40"/>
      <w:r w:rsidRPr="0043038D">
        <w:rPr>
          <w:rFonts w:eastAsia="宋体"/>
          <w:kern w:val="2"/>
          <w:sz w:val="21"/>
          <w:szCs w:val="21"/>
        </w:rPr>
        <w:t>一、参与本次估价工作的</w:t>
      </w:r>
      <w:r w:rsidRPr="0043038D">
        <w:rPr>
          <w:rFonts w:eastAsia="宋体" w:hint="eastAsia"/>
          <w:kern w:val="2"/>
          <w:sz w:val="21"/>
          <w:szCs w:val="21"/>
        </w:rPr>
        <w:t>评估专业</w:t>
      </w:r>
      <w:r w:rsidRPr="0043038D">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0E5655" w:rsidRPr="0043038D" w14:paraId="3F89B9C7" w14:textId="77777777">
        <w:trPr>
          <w:cantSplit/>
          <w:trHeight w:hRule="exact" w:val="454"/>
          <w:jc w:val="center"/>
        </w:trPr>
        <w:tc>
          <w:tcPr>
            <w:tcW w:w="9299" w:type="dxa"/>
            <w:gridSpan w:val="4"/>
            <w:tcBorders>
              <w:bottom w:val="single" w:sz="2" w:space="0" w:color="404040"/>
            </w:tcBorders>
            <w:vAlign w:val="center"/>
          </w:tcPr>
          <w:p w14:paraId="3D4C9F58" w14:textId="77777777" w:rsidR="000E5655" w:rsidRPr="0043038D" w:rsidRDefault="00837133">
            <w:pPr>
              <w:tabs>
                <w:tab w:val="left" w:pos="5160"/>
              </w:tabs>
              <w:overflowPunct w:val="0"/>
              <w:spacing w:line="240" w:lineRule="auto"/>
              <w:rPr>
                <w:rFonts w:ascii="Arial" w:hAnsi="Arial" w:cs="Arial"/>
                <w:b/>
                <w:sz w:val="21"/>
                <w:szCs w:val="21"/>
              </w:rPr>
            </w:pPr>
            <w:r w:rsidRPr="0043038D">
              <w:rPr>
                <w:rFonts w:ascii="Arial" w:hAnsi="Arial" w:cs="Arial"/>
                <w:b/>
                <w:kern w:val="2"/>
                <w:sz w:val="21"/>
                <w:szCs w:val="21"/>
              </w:rPr>
              <w:t>注册房地产估价师</w:t>
            </w:r>
          </w:p>
        </w:tc>
      </w:tr>
      <w:tr w:rsidR="000E5655" w:rsidRPr="0043038D" w14:paraId="5092327B" w14:textId="77777777">
        <w:trPr>
          <w:cantSplit/>
          <w:trHeight w:hRule="exact" w:val="454"/>
          <w:jc w:val="center"/>
        </w:trPr>
        <w:tc>
          <w:tcPr>
            <w:tcW w:w="1746" w:type="dxa"/>
            <w:vAlign w:val="center"/>
          </w:tcPr>
          <w:p w14:paraId="21A8D3B9"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14:paraId="64CF1E2C"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注册号</w:t>
            </w:r>
          </w:p>
        </w:tc>
        <w:tc>
          <w:tcPr>
            <w:tcW w:w="2774" w:type="dxa"/>
            <w:vAlign w:val="center"/>
          </w:tcPr>
          <w:p w14:paraId="78C56023"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14:paraId="47061CF8"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14:paraId="30ECBC16" w14:textId="77777777">
        <w:trPr>
          <w:cantSplit/>
          <w:trHeight w:hRule="exact" w:val="1134"/>
          <w:jc w:val="center"/>
        </w:trPr>
        <w:tc>
          <w:tcPr>
            <w:tcW w:w="1746" w:type="dxa"/>
            <w:vAlign w:val="center"/>
          </w:tcPr>
          <w:p w14:paraId="13A7711A"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高</w:t>
            </w:r>
            <w:r w:rsidRPr="0043038D">
              <w:rPr>
                <w:rFonts w:ascii="Arial" w:hAnsi="Arial" w:cs="Arial" w:hint="eastAsia"/>
                <w:sz w:val="21"/>
                <w:szCs w:val="21"/>
              </w:rPr>
              <w:t xml:space="preserve"> </w:t>
            </w:r>
            <w:r w:rsidRPr="0043038D">
              <w:rPr>
                <w:rFonts w:ascii="Arial" w:hAnsi="Arial" w:cs="Arial"/>
                <w:sz w:val="21"/>
                <w:szCs w:val="21"/>
              </w:rPr>
              <w:t xml:space="preserve"> </w:t>
            </w:r>
            <w:r w:rsidRPr="0043038D">
              <w:rPr>
                <w:rFonts w:ascii="Arial" w:hAnsi="Arial" w:cs="Arial" w:hint="eastAsia"/>
                <w:sz w:val="21"/>
                <w:szCs w:val="21"/>
              </w:rPr>
              <w:t>鹏</w:t>
            </w:r>
          </w:p>
        </w:tc>
        <w:tc>
          <w:tcPr>
            <w:tcW w:w="2197" w:type="dxa"/>
            <w:vAlign w:val="center"/>
          </w:tcPr>
          <w:p w14:paraId="19AAB2D0"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cs="Arial"/>
                <w:sz w:val="21"/>
                <w:szCs w:val="21"/>
              </w:rPr>
              <w:t>1120140024</w:t>
            </w:r>
          </w:p>
        </w:tc>
        <w:tc>
          <w:tcPr>
            <w:tcW w:w="2774" w:type="dxa"/>
            <w:vAlign w:val="center"/>
          </w:tcPr>
          <w:p w14:paraId="449A8A2A" w14:textId="77777777"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14:paraId="77B3345D" w14:textId="77777777"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14:paraId="2FD2A313" w14:textId="77777777">
        <w:trPr>
          <w:cantSplit/>
          <w:trHeight w:hRule="exact" w:val="1134"/>
          <w:jc w:val="center"/>
        </w:trPr>
        <w:tc>
          <w:tcPr>
            <w:tcW w:w="1746" w:type="dxa"/>
            <w:vAlign w:val="center"/>
          </w:tcPr>
          <w:p w14:paraId="04F86BD7"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许皓源</w:t>
            </w:r>
          </w:p>
        </w:tc>
        <w:tc>
          <w:tcPr>
            <w:tcW w:w="2197" w:type="dxa"/>
            <w:vAlign w:val="center"/>
          </w:tcPr>
          <w:p w14:paraId="494DD466"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sz w:val="21"/>
                <w:szCs w:val="21"/>
              </w:rPr>
              <w:t>1119980019</w:t>
            </w:r>
          </w:p>
        </w:tc>
        <w:tc>
          <w:tcPr>
            <w:tcW w:w="2774" w:type="dxa"/>
            <w:vAlign w:val="center"/>
          </w:tcPr>
          <w:p w14:paraId="49DA16DC" w14:textId="77777777"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14:paraId="4EABCC8A" w14:textId="77777777"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14:paraId="6DC029B0" w14:textId="77777777">
        <w:trPr>
          <w:cantSplit/>
          <w:trHeight w:hRule="exact" w:val="454"/>
          <w:jc w:val="center"/>
        </w:trPr>
        <w:tc>
          <w:tcPr>
            <w:tcW w:w="9299" w:type="dxa"/>
            <w:gridSpan w:val="4"/>
            <w:vAlign w:val="center"/>
          </w:tcPr>
          <w:p w14:paraId="3EC6DAAE" w14:textId="77777777" w:rsidR="000E5655" w:rsidRPr="0043038D" w:rsidRDefault="00837133">
            <w:pPr>
              <w:tabs>
                <w:tab w:val="left" w:pos="5160"/>
              </w:tabs>
              <w:overflowPunct w:val="0"/>
              <w:spacing w:line="240" w:lineRule="auto"/>
              <w:rPr>
                <w:rFonts w:ascii="Arial" w:hAnsi="Arial" w:cs="Arial"/>
                <w:b/>
                <w:kern w:val="2"/>
                <w:sz w:val="21"/>
                <w:szCs w:val="21"/>
              </w:rPr>
            </w:pPr>
            <w:r w:rsidRPr="0043038D">
              <w:rPr>
                <w:rFonts w:ascii="Arial" w:hAnsi="Arial" w:cs="Arial" w:hint="eastAsia"/>
                <w:b/>
                <w:kern w:val="2"/>
                <w:sz w:val="21"/>
                <w:szCs w:val="21"/>
              </w:rPr>
              <w:t>其他评估专业</w:t>
            </w:r>
            <w:r w:rsidRPr="0043038D">
              <w:rPr>
                <w:rFonts w:ascii="Arial" w:hAnsi="Arial" w:cs="Arial"/>
                <w:b/>
                <w:kern w:val="2"/>
                <w:sz w:val="21"/>
                <w:szCs w:val="21"/>
              </w:rPr>
              <w:t>人员</w:t>
            </w:r>
            <w:r w:rsidRPr="0043038D">
              <w:rPr>
                <w:rFonts w:ascii="Arial" w:hAnsi="Arial" w:cs="Arial" w:hint="eastAsia"/>
                <w:b/>
                <w:kern w:val="2"/>
                <w:sz w:val="21"/>
                <w:szCs w:val="21"/>
              </w:rPr>
              <w:t xml:space="preserve"> </w:t>
            </w:r>
          </w:p>
        </w:tc>
      </w:tr>
      <w:tr w:rsidR="000E5655" w:rsidRPr="0043038D" w14:paraId="21A644F6" w14:textId="77777777">
        <w:trPr>
          <w:cantSplit/>
          <w:trHeight w:hRule="exact" w:val="454"/>
          <w:jc w:val="center"/>
        </w:trPr>
        <w:tc>
          <w:tcPr>
            <w:tcW w:w="1746" w:type="dxa"/>
            <w:vAlign w:val="center"/>
          </w:tcPr>
          <w:p w14:paraId="000C3509"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14:paraId="6F5B438D"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kern w:val="2"/>
                <w:sz w:val="21"/>
                <w:szCs w:val="21"/>
              </w:rPr>
              <w:t>相关资格或职称</w:t>
            </w:r>
          </w:p>
        </w:tc>
        <w:tc>
          <w:tcPr>
            <w:tcW w:w="2774" w:type="dxa"/>
            <w:vAlign w:val="center"/>
          </w:tcPr>
          <w:p w14:paraId="1B3B7BA7"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14:paraId="5403677F"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14:paraId="317951C2" w14:textId="77777777">
        <w:trPr>
          <w:cantSplit/>
          <w:trHeight w:hRule="exact" w:val="1134"/>
          <w:jc w:val="center"/>
        </w:trPr>
        <w:tc>
          <w:tcPr>
            <w:tcW w:w="1746" w:type="dxa"/>
            <w:vAlign w:val="center"/>
          </w:tcPr>
          <w:p w14:paraId="02B05256"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李诗霖</w:t>
            </w:r>
          </w:p>
        </w:tc>
        <w:tc>
          <w:tcPr>
            <w:tcW w:w="2197" w:type="dxa"/>
            <w:vAlign w:val="center"/>
          </w:tcPr>
          <w:p w14:paraId="41534CDD" w14:textId="77777777"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w:t>
            </w:r>
          </w:p>
        </w:tc>
        <w:tc>
          <w:tcPr>
            <w:tcW w:w="2774" w:type="dxa"/>
            <w:vAlign w:val="center"/>
          </w:tcPr>
          <w:p w14:paraId="33B886CA" w14:textId="77777777"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14:paraId="4917CF52" w14:textId="77777777"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bl>
    <w:p w14:paraId="16425892" w14:textId="77777777" w:rsidR="000E5655" w:rsidRPr="0043038D" w:rsidRDefault="000E5655">
      <w:pPr>
        <w:overflowPunct w:val="0"/>
        <w:spacing w:line="480" w:lineRule="auto"/>
        <w:jc w:val="both"/>
        <w:textAlignment w:val="auto"/>
        <w:rPr>
          <w:rFonts w:ascii="Arial" w:hAnsi="Arial" w:cs="Arial"/>
          <w:kern w:val="2"/>
          <w:sz w:val="21"/>
          <w:szCs w:val="21"/>
        </w:rPr>
      </w:pPr>
    </w:p>
    <w:p w14:paraId="0A4C8B65" w14:textId="77777777"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2" w:name="_Toc155267097"/>
      <w:r w:rsidRPr="0043038D">
        <w:rPr>
          <w:rFonts w:eastAsia="宋体"/>
          <w:kern w:val="2"/>
          <w:sz w:val="21"/>
          <w:szCs w:val="21"/>
        </w:rPr>
        <w:t>十二、实地查勘期</w:t>
      </w:r>
      <w:bookmarkEnd w:id="42"/>
    </w:p>
    <w:p w14:paraId="358C5791"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w:t>
      </w:r>
    </w:p>
    <w:p w14:paraId="64082027" w14:textId="77777777" w:rsidR="000E5655" w:rsidRPr="0043038D" w:rsidRDefault="000E5655">
      <w:pPr>
        <w:overflowPunct w:val="0"/>
        <w:spacing w:line="480" w:lineRule="auto"/>
        <w:jc w:val="both"/>
        <w:textAlignment w:val="auto"/>
        <w:rPr>
          <w:rFonts w:ascii="Arial" w:hAnsi="Arial" w:cs="Arial"/>
          <w:kern w:val="2"/>
          <w:sz w:val="21"/>
          <w:szCs w:val="21"/>
        </w:rPr>
      </w:pPr>
    </w:p>
    <w:p w14:paraId="26C66723" w14:textId="77777777"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3" w:name="_Toc168225825"/>
      <w:bookmarkStart w:id="44" w:name="_Toc155267098"/>
      <w:r w:rsidRPr="0043038D">
        <w:rPr>
          <w:rFonts w:eastAsia="宋体"/>
          <w:kern w:val="2"/>
          <w:sz w:val="21"/>
          <w:szCs w:val="21"/>
        </w:rPr>
        <w:t>十三、估价作业期</w:t>
      </w:r>
      <w:bookmarkEnd w:id="43"/>
      <w:bookmarkEnd w:id="44"/>
      <w:r w:rsidRPr="0043038D">
        <w:rPr>
          <w:rFonts w:eastAsia="宋体" w:hint="eastAsia"/>
          <w:kern w:val="2"/>
          <w:sz w:val="21"/>
          <w:szCs w:val="21"/>
        </w:rPr>
        <w:t xml:space="preserve">  </w:t>
      </w:r>
    </w:p>
    <w:p w14:paraId="246F83EE"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日至</w:t>
      </w:r>
      <w:r w:rsidRPr="0043038D">
        <w:rPr>
          <w:rFonts w:ascii="Arial" w:hAnsi="Arial" w:cs="Arial"/>
          <w:sz w:val="21"/>
          <w:szCs w:val="21"/>
        </w:rPr>
        <w:t>2024</w:t>
      </w:r>
      <w:r w:rsidRPr="0043038D">
        <w:rPr>
          <w:rFonts w:ascii="Arial" w:hAnsi="Arial" w:cs="Arial"/>
          <w:sz w:val="21"/>
          <w:szCs w:val="21"/>
        </w:rPr>
        <w:t>年</w:t>
      </w:r>
      <w:r w:rsidR="00D6006C" w:rsidRPr="0043038D">
        <w:rPr>
          <w:rFonts w:ascii="Arial" w:hAnsi="Arial" w:cs="Arial"/>
          <w:sz w:val="21"/>
          <w:szCs w:val="21"/>
        </w:rPr>
        <w:t>11</w:t>
      </w:r>
      <w:r w:rsidRPr="0043038D">
        <w:rPr>
          <w:rFonts w:ascii="Arial" w:hAnsi="Arial" w:cs="Arial"/>
          <w:sz w:val="21"/>
          <w:szCs w:val="21"/>
        </w:rPr>
        <w:t>月</w:t>
      </w:r>
      <w:r w:rsidR="00D6006C" w:rsidRPr="0043038D">
        <w:rPr>
          <w:rFonts w:ascii="Arial" w:hAnsi="Arial" w:cs="Arial"/>
          <w:sz w:val="21"/>
          <w:szCs w:val="21"/>
        </w:rPr>
        <w:t>5</w:t>
      </w:r>
      <w:r w:rsidRPr="0043038D">
        <w:rPr>
          <w:rFonts w:ascii="Arial" w:hAnsi="Arial" w:cs="Arial"/>
          <w:sz w:val="21"/>
          <w:szCs w:val="21"/>
        </w:rPr>
        <w:t>日</w:t>
      </w:r>
    </w:p>
    <w:p w14:paraId="65250F9C" w14:textId="77777777" w:rsidR="000E5655" w:rsidRPr="0043038D" w:rsidRDefault="000E5655">
      <w:pPr>
        <w:overflowPunct w:val="0"/>
        <w:spacing w:line="480" w:lineRule="auto"/>
        <w:jc w:val="both"/>
        <w:textAlignment w:val="auto"/>
        <w:outlineLvl w:val="0"/>
        <w:rPr>
          <w:rFonts w:ascii="Arial" w:hAnsi="Arial" w:cs="Arial"/>
          <w:b/>
          <w:kern w:val="2"/>
          <w:sz w:val="21"/>
          <w:szCs w:val="21"/>
        </w:rPr>
        <w:sectPr w:rsidR="000E5655" w:rsidRPr="0043038D">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14:paraId="59D4BED1" w14:textId="77777777" w:rsidR="000E5655" w:rsidRPr="0043038D" w:rsidRDefault="00837133">
      <w:pPr>
        <w:pStyle w:val="1"/>
        <w:spacing w:line="480" w:lineRule="auto"/>
        <w:jc w:val="center"/>
        <w:rPr>
          <w:rFonts w:eastAsia="方正黑体简体"/>
          <w:b w:val="0"/>
          <w:kern w:val="2"/>
          <w:sz w:val="32"/>
          <w:szCs w:val="32"/>
        </w:rPr>
      </w:pPr>
      <w:bookmarkStart w:id="45" w:name="_Toc525655431"/>
      <w:bookmarkStart w:id="46" w:name="_Toc155267099"/>
      <w:r w:rsidRPr="0043038D">
        <w:rPr>
          <w:rFonts w:eastAsia="方正黑体简体" w:hint="eastAsia"/>
          <w:b w:val="0"/>
          <w:kern w:val="2"/>
          <w:sz w:val="32"/>
          <w:szCs w:val="32"/>
        </w:rPr>
        <w:t>估价技术报告</w:t>
      </w:r>
      <w:bookmarkEnd w:id="45"/>
      <w:bookmarkEnd w:id="46"/>
    </w:p>
    <w:p w14:paraId="51A94E63" w14:textId="77777777"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47" w:name="_Toc525655432"/>
      <w:bookmarkStart w:id="48" w:name="_Toc155267100"/>
      <w:r w:rsidRPr="0043038D">
        <w:rPr>
          <w:rFonts w:eastAsia="宋体"/>
          <w:kern w:val="2"/>
          <w:sz w:val="21"/>
          <w:szCs w:val="21"/>
        </w:rPr>
        <w:t>一、估价对象描述与分析</w:t>
      </w:r>
      <w:bookmarkEnd w:id="47"/>
      <w:bookmarkEnd w:id="48"/>
    </w:p>
    <w:p w14:paraId="67310C78" w14:textId="77777777"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49" w:name="_Toc525655433"/>
      <w:bookmarkStart w:id="50" w:name="_Toc155267101"/>
      <w:r w:rsidRPr="0043038D">
        <w:rPr>
          <w:rFonts w:eastAsia="宋体"/>
          <w:kern w:val="2"/>
          <w:sz w:val="21"/>
          <w:szCs w:val="21"/>
        </w:rPr>
        <w:t>（</w:t>
      </w:r>
      <w:r w:rsidRPr="0043038D">
        <w:rPr>
          <w:rFonts w:eastAsia="宋体" w:hint="eastAsia"/>
          <w:kern w:val="2"/>
          <w:sz w:val="21"/>
          <w:szCs w:val="21"/>
        </w:rPr>
        <w:t>一</w:t>
      </w:r>
      <w:r w:rsidRPr="0043038D">
        <w:rPr>
          <w:rFonts w:eastAsia="宋体"/>
          <w:kern w:val="2"/>
          <w:sz w:val="21"/>
          <w:szCs w:val="21"/>
        </w:rPr>
        <w:t>）区位状况分析</w:t>
      </w:r>
      <w:bookmarkEnd w:id="49"/>
      <w:bookmarkEnd w:id="50"/>
    </w:p>
    <w:p w14:paraId="5FB855FF"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1.</w:t>
      </w:r>
      <w:r w:rsidRPr="0043038D">
        <w:rPr>
          <w:rFonts w:ascii="Arial" w:hAnsi="Arial" w:cs="Arial"/>
          <w:sz w:val="21"/>
          <w:szCs w:val="21"/>
        </w:rPr>
        <w:t>位置状况</w:t>
      </w:r>
      <w:r w:rsidRPr="0043038D">
        <w:rPr>
          <w:rFonts w:ascii="Arial" w:hAnsi="Arial" w:cs="Arial" w:hint="eastAsia"/>
          <w:sz w:val="21"/>
          <w:szCs w:val="21"/>
        </w:rPr>
        <w:t xml:space="preserve">  </w:t>
      </w:r>
      <w:r w:rsidRPr="0043038D">
        <w:rPr>
          <w:rFonts w:ascii="Arial" w:hAnsi="Arial" w:cs="Arial" w:hint="eastAsia"/>
          <w:kern w:val="2"/>
          <w:sz w:val="21"/>
          <w:szCs w:val="21"/>
        </w:rPr>
        <w:t xml:space="preserve">  </w:t>
      </w:r>
    </w:p>
    <w:p w14:paraId="3DC801E3"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估价对象位于北京市</w:t>
      </w:r>
      <w:r w:rsidRPr="0043038D">
        <w:rPr>
          <w:rFonts w:ascii="Arial" w:hAnsi="Arial" w:cs="Arial" w:hint="eastAsia"/>
          <w:kern w:val="2"/>
          <w:sz w:val="21"/>
          <w:szCs w:val="21"/>
        </w:rPr>
        <w:t>大兴区</w:t>
      </w:r>
      <w:r w:rsidRPr="0043038D">
        <w:rPr>
          <w:rFonts w:ascii="Arial" w:hAnsi="Arial" w:cs="Arial"/>
          <w:kern w:val="2"/>
          <w:sz w:val="21"/>
          <w:szCs w:val="21"/>
        </w:rPr>
        <w:t>，临近京开高速、南五环，土地级别属于北京市基准地价</w:t>
      </w:r>
      <w:r w:rsidRPr="0043038D">
        <w:rPr>
          <w:rFonts w:ascii="Arial" w:hAnsi="Arial" w:cs="Arial" w:hint="eastAsia"/>
          <w:kern w:val="2"/>
          <w:sz w:val="21"/>
          <w:szCs w:val="21"/>
        </w:rPr>
        <w:t>住宅</w:t>
      </w:r>
      <w:r w:rsidRPr="0043038D">
        <w:rPr>
          <w:rFonts w:ascii="Arial" w:hAnsi="Arial" w:cs="Arial"/>
          <w:kern w:val="2"/>
          <w:sz w:val="21"/>
          <w:szCs w:val="21"/>
        </w:rPr>
        <w:t>类</w:t>
      </w:r>
      <w:r w:rsidRPr="0043038D">
        <w:rPr>
          <w:rFonts w:ascii="Arial" w:hAnsi="Arial" w:cs="Arial" w:hint="eastAsia"/>
          <w:kern w:val="2"/>
          <w:sz w:val="21"/>
          <w:szCs w:val="21"/>
        </w:rPr>
        <w:t>六</w:t>
      </w:r>
      <w:r w:rsidRPr="0043038D">
        <w:rPr>
          <w:rFonts w:ascii="Arial" w:hAnsi="Arial" w:cs="Arial"/>
          <w:kern w:val="2"/>
          <w:sz w:val="21"/>
          <w:szCs w:val="21"/>
        </w:rPr>
        <w:t>级，</w:t>
      </w:r>
      <w:r w:rsidRPr="0043038D">
        <w:rPr>
          <w:rFonts w:ascii="Arial" w:hAnsi="Arial" w:cs="Arial"/>
          <w:kern w:val="2"/>
          <w:sz w:val="21"/>
          <w:szCs w:val="21"/>
        </w:rPr>
        <w:t>VI-</w:t>
      </w:r>
      <w:r w:rsidRPr="0043038D">
        <w:rPr>
          <w:rFonts w:ascii="Arial" w:hAnsi="Arial" w:cs="Arial" w:hint="eastAsia"/>
          <w:kern w:val="2"/>
          <w:sz w:val="21"/>
          <w:szCs w:val="21"/>
        </w:rPr>
        <w:t>兴</w:t>
      </w:r>
      <w:r w:rsidRPr="0043038D">
        <w:rPr>
          <w:rFonts w:ascii="Arial" w:hAnsi="Arial" w:cs="Arial"/>
          <w:kern w:val="2"/>
          <w:sz w:val="21"/>
          <w:szCs w:val="21"/>
        </w:rPr>
        <w:t>2</w:t>
      </w:r>
      <w:r w:rsidRPr="0043038D">
        <w:rPr>
          <w:rFonts w:ascii="Arial" w:hAnsi="Arial" w:cs="Arial"/>
          <w:kern w:val="2"/>
          <w:sz w:val="21"/>
          <w:szCs w:val="21"/>
        </w:rPr>
        <w:t>区片，地理位置状况</w:t>
      </w:r>
      <w:r w:rsidRPr="0043038D">
        <w:rPr>
          <w:rFonts w:ascii="Arial" w:hAnsi="Arial" w:cs="Arial" w:hint="eastAsia"/>
          <w:kern w:val="2"/>
          <w:sz w:val="21"/>
          <w:szCs w:val="21"/>
        </w:rPr>
        <w:t>一般</w:t>
      </w:r>
      <w:r w:rsidRPr="0043038D">
        <w:rPr>
          <w:rFonts w:ascii="Arial" w:hAnsi="Arial" w:cs="Arial"/>
          <w:kern w:val="2"/>
          <w:sz w:val="21"/>
          <w:szCs w:val="21"/>
        </w:rPr>
        <w:t>。</w:t>
      </w:r>
    </w:p>
    <w:p w14:paraId="3CFD2AAC"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居住社区成熟度</w:t>
      </w:r>
    </w:p>
    <w:p w14:paraId="575ACDB8"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公里内有福星花园、宏大中园、宏盛家园、鸿坤理想城、九龙家园、九龙山庄、瑞海家园、同兴园、熙红印、兴都苑、兴海家园、月桂庄园等，居住小区规模较大，入住率较好，综合评价居住区成熟度较好。</w:t>
      </w:r>
    </w:p>
    <w:p w14:paraId="5192DF63"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3.</w:t>
      </w:r>
      <w:r w:rsidRPr="0043038D">
        <w:rPr>
          <w:rFonts w:ascii="Arial" w:hAnsi="Arial" w:cs="Arial" w:hint="eastAsia"/>
          <w:sz w:val="21"/>
          <w:szCs w:val="21"/>
        </w:rPr>
        <w:t>交</w:t>
      </w:r>
      <w:r w:rsidRPr="0043038D">
        <w:rPr>
          <w:rFonts w:ascii="Arial" w:hAnsi="Arial" w:cs="Arial"/>
          <w:sz w:val="21"/>
          <w:szCs w:val="21"/>
        </w:rPr>
        <w:t>通状况</w:t>
      </w:r>
    </w:p>
    <w:p w14:paraId="0A90C71D"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估价对象距离城市主干道—南四路直线距离约</w:t>
      </w:r>
      <w:r w:rsidRPr="0043038D">
        <w:rPr>
          <w:rFonts w:ascii="Arial" w:hAnsi="Arial" w:cs="Arial" w:hint="eastAsia"/>
          <w:kern w:val="2"/>
          <w:sz w:val="21"/>
          <w:szCs w:val="21"/>
        </w:rPr>
        <w:t>3</w:t>
      </w:r>
      <w:r w:rsidRPr="0043038D">
        <w:rPr>
          <w:rFonts w:ascii="Arial" w:hAnsi="Arial" w:cs="Arial"/>
          <w:kern w:val="2"/>
          <w:sz w:val="21"/>
          <w:szCs w:val="21"/>
        </w:rPr>
        <w:t>50</w:t>
      </w:r>
      <w:r w:rsidRPr="0043038D">
        <w:rPr>
          <w:rFonts w:ascii="Arial" w:hAnsi="Arial" w:cs="Arial" w:hint="eastAsia"/>
          <w:kern w:val="2"/>
          <w:sz w:val="21"/>
          <w:szCs w:val="21"/>
        </w:rPr>
        <w:t>米，周边路网较密集；距离地铁</w:t>
      </w:r>
      <w:r w:rsidRPr="0043038D">
        <w:rPr>
          <w:rFonts w:ascii="Arial" w:hAnsi="Arial" w:cs="Arial" w:hint="eastAsia"/>
          <w:kern w:val="2"/>
          <w:sz w:val="21"/>
          <w:szCs w:val="21"/>
        </w:rPr>
        <w:t>4</w:t>
      </w:r>
      <w:r w:rsidRPr="0043038D">
        <w:rPr>
          <w:rFonts w:ascii="Arial" w:hAnsi="Arial" w:cs="Arial" w:hint="eastAsia"/>
          <w:kern w:val="2"/>
          <w:sz w:val="21"/>
          <w:szCs w:val="21"/>
        </w:rPr>
        <w:t>号线西红门站约</w:t>
      </w:r>
      <w:r w:rsidRPr="0043038D">
        <w:rPr>
          <w:rFonts w:ascii="Arial" w:hAnsi="Arial" w:cs="Arial" w:hint="eastAsia"/>
          <w:kern w:val="2"/>
          <w:sz w:val="21"/>
          <w:szCs w:val="21"/>
        </w:rPr>
        <w:t>2</w:t>
      </w:r>
      <w:r w:rsidRPr="0043038D">
        <w:rPr>
          <w:rFonts w:ascii="Arial" w:hAnsi="Arial" w:cs="Arial" w:hint="eastAsia"/>
          <w:kern w:val="2"/>
          <w:sz w:val="21"/>
          <w:szCs w:val="21"/>
        </w:rPr>
        <w:t>公里，周边</w:t>
      </w:r>
      <w:r w:rsidRPr="0043038D">
        <w:rPr>
          <w:rFonts w:ascii="Arial" w:hAnsi="Arial" w:cs="Arial" w:hint="eastAsia"/>
          <w:kern w:val="2"/>
          <w:sz w:val="21"/>
          <w:szCs w:val="21"/>
        </w:rPr>
        <w:t>1</w:t>
      </w:r>
      <w:r w:rsidRPr="0043038D">
        <w:rPr>
          <w:rFonts w:ascii="Arial" w:hAnsi="Arial" w:cs="Arial" w:hint="eastAsia"/>
          <w:kern w:val="2"/>
          <w:sz w:val="21"/>
          <w:szCs w:val="21"/>
        </w:rPr>
        <w:t>公里内有</w:t>
      </w:r>
      <w:r w:rsidRPr="0043038D">
        <w:rPr>
          <w:rFonts w:ascii="Arial" w:hAnsi="Arial" w:cs="Arial" w:hint="eastAsia"/>
          <w:kern w:val="2"/>
          <w:sz w:val="21"/>
          <w:szCs w:val="21"/>
        </w:rPr>
        <w:t>366</w:t>
      </w:r>
      <w:r w:rsidRPr="0043038D">
        <w:rPr>
          <w:rFonts w:ascii="Arial" w:hAnsi="Arial" w:cs="Arial" w:hint="eastAsia"/>
          <w:kern w:val="2"/>
          <w:sz w:val="21"/>
          <w:szCs w:val="21"/>
        </w:rPr>
        <w:t>路、</w:t>
      </w:r>
      <w:r w:rsidRPr="0043038D">
        <w:rPr>
          <w:rFonts w:ascii="Arial" w:hAnsi="Arial" w:cs="Arial" w:hint="eastAsia"/>
          <w:kern w:val="2"/>
          <w:sz w:val="21"/>
          <w:szCs w:val="21"/>
        </w:rPr>
        <w:t>377</w:t>
      </w:r>
      <w:r w:rsidRPr="0043038D">
        <w:rPr>
          <w:rFonts w:ascii="Arial" w:hAnsi="Arial" w:cs="Arial" w:hint="eastAsia"/>
          <w:kern w:val="2"/>
          <w:sz w:val="21"/>
          <w:szCs w:val="21"/>
        </w:rPr>
        <w:t>路、</w:t>
      </w:r>
      <w:r w:rsidRPr="0043038D">
        <w:rPr>
          <w:rFonts w:ascii="Arial" w:hAnsi="Arial" w:cs="Arial" w:hint="eastAsia"/>
          <w:kern w:val="2"/>
          <w:sz w:val="21"/>
          <w:szCs w:val="21"/>
        </w:rPr>
        <w:t>410</w:t>
      </w:r>
      <w:r w:rsidRPr="0043038D">
        <w:rPr>
          <w:rFonts w:ascii="Arial" w:hAnsi="Arial" w:cs="Arial" w:hint="eastAsia"/>
          <w:kern w:val="2"/>
          <w:sz w:val="21"/>
          <w:szCs w:val="21"/>
        </w:rPr>
        <w:t>路、</w:t>
      </w:r>
      <w:r w:rsidRPr="0043038D">
        <w:rPr>
          <w:rFonts w:ascii="Arial" w:hAnsi="Arial" w:cs="Arial" w:hint="eastAsia"/>
          <w:kern w:val="2"/>
          <w:sz w:val="21"/>
          <w:szCs w:val="21"/>
        </w:rPr>
        <w:t>679</w:t>
      </w:r>
      <w:r w:rsidRPr="0043038D">
        <w:rPr>
          <w:rFonts w:ascii="Arial" w:hAnsi="Arial" w:cs="Arial" w:hint="eastAsia"/>
          <w:kern w:val="2"/>
          <w:sz w:val="21"/>
          <w:szCs w:val="21"/>
        </w:rPr>
        <w:t>路、</w:t>
      </w:r>
      <w:r w:rsidRPr="0043038D">
        <w:rPr>
          <w:rFonts w:ascii="Arial" w:hAnsi="Arial" w:cs="Arial" w:hint="eastAsia"/>
          <w:kern w:val="2"/>
          <w:sz w:val="21"/>
          <w:szCs w:val="21"/>
        </w:rPr>
        <w:t>827</w:t>
      </w:r>
      <w:r w:rsidRPr="0043038D">
        <w:rPr>
          <w:rFonts w:ascii="Arial" w:hAnsi="Arial" w:cs="Arial" w:hint="eastAsia"/>
          <w:kern w:val="2"/>
          <w:sz w:val="21"/>
          <w:szCs w:val="21"/>
        </w:rPr>
        <w:t>路、兴</w:t>
      </w:r>
      <w:r w:rsidRPr="0043038D">
        <w:rPr>
          <w:rFonts w:ascii="Arial" w:hAnsi="Arial" w:cs="Arial" w:hint="eastAsia"/>
          <w:kern w:val="2"/>
          <w:sz w:val="21"/>
          <w:szCs w:val="21"/>
        </w:rPr>
        <w:t>12</w:t>
      </w:r>
      <w:r w:rsidRPr="0043038D">
        <w:rPr>
          <w:rFonts w:ascii="Arial" w:hAnsi="Arial" w:cs="Arial" w:hint="eastAsia"/>
          <w:kern w:val="2"/>
          <w:sz w:val="21"/>
          <w:szCs w:val="21"/>
        </w:rPr>
        <w:t>路、兴</w:t>
      </w:r>
      <w:r w:rsidRPr="0043038D">
        <w:rPr>
          <w:rFonts w:ascii="Arial" w:hAnsi="Arial" w:cs="Arial" w:hint="eastAsia"/>
          <w:kern w:val="2"/>
          <w:sz w:val="21"/>
          <w:szCs w:val="21"/>
        </w:rPr>
        <w:t>13</w:t>
      </w:r>
      <w:r w:rsidRPr="0043038D">
        <w:rPr>
          <w:rFonts w:ascii="Arial" w:hAnsi="Arial" w:cs="Arial" w:hint="eastAsia"/>
          <w:kern w:val="2"/>
          <w:sz w:val="21"/>
          <w:szCs w:val="21"/>
        </w:rPr>
        <w:t>路等公交线路途径并设立站点，综合评价交通便捷度较好。</w:t>
      </w:r>
    </w:p>
    <w:p w14:paraId="6F335775"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4.</w:t>
      </w:r>
      <w:r w:rsidRPr="0043038D">
        <w:rPr>
          <w:rFonts w:ascii="Arial" w:hAnsi="Arial" w:cs="Arial" w:hint="eastAsia"/>
          <w:sz w:val="21"/>
          <w:szCs w:val="21"/>
        </w:rPr>
        <w:t>商业繁华度</w:t>
      </w:r>
    </w:p>
    <w:p w14:paraId="1FAF1EFD"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估价对象周边有鸿坤广场、北京荟聚、西红门新光界等商业场所，综合商业繁华度较好。</w:t>
      </w:r>
    </w:p>
    <w:p w14:paraId="1C449093"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5.</w:t>
      </w:r>
      <w:r w:rsidRPr="0043038D">
        <w:rPr>
          <w:rFonts w:ascii="Arial" w:hAnsi="Arial" w:cs="Arial"/>
          <w:sz w:val="21"/>
          <w:szCs w:val="21"/>
        </w:rPr>
        <w:t>环境状况</w:t>
      </w:r>
    </w:p>
    <w:p w14:paraId="0D6B27E1"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w:t>
      </w:r>
      <w:r w:rsidRPr="0043038D">
        <w:rPr>
          <w:rFonts w:ascii="Arial" w:hAnsi="Arial" w:cs="Arial" w:hint="eastAsia"/>
          <w:kern w:val="2"/>
          <w:sz w:val="21"/>
          <w:szCs w:val="21"/>
        </w:rPr>
        <w:t>2</w:t>
      </w:r>
      <w:r w:rsidRPr="0043038D">
        <w:rPr>
          <w:rFonts w:ascii="Arial" w:hAnsi="Arial" w:cs="Arial" w:hint="eastAsia"/>
          <w:kern w:val="2"/>
          <w:sz w:val="21"/>
          <w:szCs w:val="21"/>
        </w:rPr>
        <w:t>公里周边有兴海公园、大兴生态文明教育公园等自然景观，自然与人文环境较好</w:t>
      </w:r>
      <w:r w:rsidRPr="0043038D">
        <w:rPr>
          <w:rFonts w:ascii="Arial" w:hAnsi="Arial" w:cs="Arial" w:hint="eastAsia"/>
          <w:sz w:val="21"/>
          <w:szCs w:val="21"/>
        </w:rPr>
        <w:t>。</w:t>
      </w:r>
    </w:p>
    <w:p w14:paraId="62E5995C" w14:textId="77777777" w:rsidR="000E5655" w:rsidRPr="0043038D" w:rsidRDefault="00837133">
      <w:pPr>
        <w:spacing w:line="480" w:lineRule="auto"/>
        <w:ind w:firstLineChars="200" w:firstLine="420"/>
        <w:jc w:val="both"/>
        <w:rPr>
          <w:rFonts w:ascii="Arial" w:hAnsi="Arial" w:cs="Arial"/>
          <w:i/>
          <w:sz w:val="21"/>
          <w:szCs w:val="21"/>
        </w:rPr>
      </w:pPr>
      <w:r w:rsidRPr="0043038D">
        <w:rPr>
          <w:rFonts w:ascii="Arial" w:hAnsi="Arial" w:cs="Arial" w:hint="eastAsia"/>
          <w:sz w:val="21"/>
          <w:szCs w:val="21"/>
        </w:rPr>
        <w:t>6.</w:t>
      </w:r>
      <w:r w:rsidRPr="0043038D">
        <w:rPr>
          <w:rFonts w:ascii="Arial" w:hAnsi="Arial" w:cs="Arial"/>
          <w:sz w:val="21"/>
          <w:szCs w:val="21"/>
        </w:rPr>
        <w:t>外部配套设施状况</w:t>
      </w:r>
    </w:p>
    <w:p w14:paraId="1D394839"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估价对象</w:t>
      </w:r>
      <w:r w:rsidRPr="0043038D">
        <w:rPr>
          <w:rFonts w:ascii="Arial" w:hAnsi="Arial" w:cs="Arial"/>
          <w:sz w:val="21"/>
          <w:szCs w:val="21"/>
        </w:rPr>
        <w:t>所处区域目前已拥有完善的基础设施配套保障，区内大部分区域基础设施配套目前可达到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w:t>
      </w:r>
      <w:r w:rsidRPr="0043038D">
        <w:rPr>
          <w:rFonts w:ascii="Arial" w:hAnsi="Arial" w:cs="Arial"/>
          <w:sz w:val="21"/>
          <w:szCs w:val="21"/>
        </w:rPr>
        <w:t>（通路、通电、通讯、供水、排水</w:t>
      </w:r>
      <w:r w:rsidRPr="0043038D">
        <w:rPr>
          <w:rFonts w:ascii="Arial" w:hAnsi="Arial" w:cs="Arial" w:hint="eastAsia"/>
          <w:sz w:val="21"/>
          <w:szCs w:val="21"/>
        </w:rPr>
        <w:t>、通暖、通燃气</w:t>
      </w:r>
      <w:r w:rsidRPr="0043038D">
        <w:rPr>
          <w:rFonts w:ascii="Arial" w:hAnsi="Arial" w:cs="Arial"/>
          <w:sz w:val="21"/>
          <w:szCs w:val="21"/>
        </w:rPr>
        <w:t>）条件，且保证程度高。</w:t>
      </w:r>
    </w:p>
    <w:p w14:paraId="39947877" w14:textId="77777777" w:rsidR="000E5655" w:rsidRPr="0043038D" w:rsidRDefault="00837133">
      <w:pPr>
        <w:spacing w:line="480" w:lineRule="auto"/>
        <w:ind w:firstLineChars="200" w:firstLine="420"/>
        <w:jc w:val="both"/>
        <w:rPr>
          <w:rFonts w:ascii="Arial" w:hAnsi="Arial" w:cs="Arial"/>
          <w:kern w:val="2"/>
          <w:sz w:val="21"/>
          <w:szCs w:val="21"/>
        </w:rPr>
      </w:pPr>
      <w:bookmarkStart w:id="51" w:name="_Toc525655434"/>
      <w:r w:rsidRPr="0043038D">
        <w:rPr>
          <w:rFonts w:ascii="Arial" w:hAnsi="Arial" w:cs="Arial" w:hint="eastAsia"/>
          <w:kern w:val="2"/>
          <w:sz w:val="21"/>
          <w:szCs w:val="21"/>
        </w:rPr>
        <w:t>估价对象所在区域周边</w:t>
      </w:r>
      <w:r w:rsidRPr="0043038D">
        <w:rPr>
          <w:rFonts w:ascii="Arial" w:hAnsi="Arial" w:cs="Arial" w:hint="eastAsia"/>
          <w:kern w:val="2"/>
          <w:sz w:val="21"/>
          <w:szCs w:val="21"/>
        </w:rPr>
        <w:t>2</w:t>
      </w:r>
      <w:r w:rsidRPr="0043038D">
        <w:rPr>
          <w:rFonts w:ascii="Arial" w:hAnsi="Arial" w:cs="Arial" w:hint="eastAsia"/>
          <w:kern w:val="2"/>
          <w:sz w:val="21"/>
          <w:szCs w:val="21"/>
        </w:rPr>
        <w:t>公里范围内有鸿坤广场、北京荟聚、西红门新光界等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p w14:paraId="0FDE4B32"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总体评价</w:t>
      </w:r>
    </w:p>
    <w:p w14:paraId="5DF76819" w14:textId="77777777"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估价对象地理位置状况一般，居住社区成熟度较好，交通便捷度较好，商业繁华度较好，环境状况较好</w:t>
      </w:r>
      <w:r w:rsidRPr="0043038D">
        <w:rPr>
          <w:rFonts w:ascii="Arial" w:hAnsi="Arial" w:cs="Arial"/>
          <w:sz w:val="21"/>
          <w:szCs w:val="21"/>
        </w:rPr>
        <w:t>，区内大部分区域基础设施配套目前可达到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”，公共配套设施状况较好。</w:t>
      </w:r>
      <w:r w:rsidRPr="0043038D">
        <w:rPr>
          <w:rFonts w:ascii="Arial" w:hAnsi="Arial" w:cs="Arial"/>
          <w:sz w:val="21"/>
          <w:szCs w:val="21"/>
        </w:rPr>
        <w:t>区域规划</w:t>
      </w:r>
      <w:r w:rsidRPr="0043038D">
        <w:rPr>
          <w:rFonts w:ascii="Arial" w:hAnsi="Arial" w:cs="Arial" w:hint="eastAsia"/>
          <w:sz w:val="21"/>
          <w:szCs w:val="21"/>
        </w:rPr>
        <w:t>无特殊限制</w:t>
      </w:r>
      <w:r w:rsidRPr="0043038D">
        <w:rPr>
          <w:rFonts w:ascii="Arial" w:hAnsi="Arial" w:cs="Arial"/>
          <w:sz w:val="21"/>
          <w:szCs w:val="21"/>
        </w:rPr>
        <w:t>。</w:t>
      </w:r>
      <w:bookmarkEnd w:id="51"/>
      <w:r w:rsidRPr="0043038D">
        <w:rPr>
          <w:rFonts w:ascii="Arial" w:hAnsi="Arial" w:cs="Arial"/>
          <w:sz w:val="21"/>
          <w:szCs w:val="21"/>
        </w:rPr>
        <w:t>总体评价影响估价对象的</w:t>
      </w:r>
      <w:r w:rsidRPr="0043038D">
        <w:rPr>
          <w:rFonts w:ascii="Arial" w:hAnsi="Arial" w:cs="Arial" w:hint="eastAsia"/>
          <w:sz w:val="21"/>
          <w:szCs w:val="21"/>
        </w:rPr>
        <w:t>区位条件较好</w:t>
      </w:r>
      <w:r w:rsidRPr="0043038D">
        <w:rPr>
          <w:rFonts w:ascii="Arial" w:hAnsi="Arial" w:cs="Arial"/>
          <w:sz w:val="21"/>
          <w:szCs w:val="21"/>
        </w:rPr>
        <w:t>。</w:t>
      </w:r>
    </w:p>
    <w:p w14:paraId="776163FD" w14:textId="77777777"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2" w:name="_Toc155267102"/>
      <w:bookmarkStart w:id="53" w:name="_Toc525655435"/>
      <w:r w:rsidRPr="0043038D">
        <w:rPr>
          <w:rFonts w:eastAsia="宋体"/>
          <w:kern w:val="2"/>
          <w:sz w:val="21"/>
          <w:szCs w:val="21"/>
        </w:rPr>
        <w:t>（</w:t>
      </w:r>
      <w:r w:rsidRPr="0043038D">
        <w:rPr>
          <w:rFonts w:eastAsia="宋体" w:hint="eastAsia"/>
          <w:kern w:val="2"/>
          <w:sz w:val="21"/>
          <w:szCs w:val="21"/>
        </w:rPr>
        <w:t>二</w:t>
      </w:r>
      <w:r w:rsidRPr="0043038D">
        <w:rPr>
          <w:rFonts w:eastAsia="宋体"/>
          <w:kern w:val="2"/>
          <w:sz w:val="21"/>
          <w:szCs w:val="21"/>
        </w:rPr>
        <w:t>）实物状况分析</w:t>
      </w:r>
      <w:bookmarkEnd w:id="52"/>
      <w:bookmarkEnd w:id="53"/>
    </w:p>
    <w:p w14:paraId="6E45EA1A"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土地实物状况</w:t>
      </w:r>
    </w:p>
    <w:p w14:paraId="0B32D7C4" w14:textId="77777777"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二类居住用地（配建“保障性租赁住房”）为国有建设用地，权利性质为出让，用途为</w:t>
      </w:r>
      <w:r w:rsidRPr="0043038D">
        <w:rPr>
          <w:rFonts w:ascii="Arial" w:hAnsi="Arial" w:cs="Arial" w:hint="eastAsia"/>
          <w:kern w:val="2"/>
          <w:sz w:val="21"/>
          <w:szCs w:val="21"/>
        </w:rPr>
        <w:t>R2</w:t>
      </w:r>
      <w:r w:rsidRPr="0043038D">
        <w:rPr>
          <w:rFonts w:ascii="Arial" w:hAnsi="Arial" w:cs="Arial" w:hint="eastAsia"/>
          <w:kern w:val="2"/>
          <w:sz w:val="21"/>
          <w:szCs w:val="21"/>
        </w:rPr>
        <w:t>二类住宅用地，宗地总面积为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14:paraId="388C3878"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w:t>
      </w:r>
      <w:r w:rsidRPr="0043038D">
        <w:rPr>
          <w:rFonts w:ascii="Arial" w:hAnsi="Arial" w:cs="Arial"/>
          <w:sz w:val="21"/>
          <w:szCs w:val="21"/>
        </w:rPr>
        <w:t>估价对象所属项目用地四至：</w:t>
      </w:r>
    </w:p>
    <w:p w14:paraId="765F2B42" w14:textId="77777777"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现状四至为东至欣顺街，南至</w:t>
      </w:r>
      <w:r w:rsidRPr="0043038D">
        <w:rPr>
          <w:rFonts w:ascii="Arial" w:hAnsi="Arial" w:cs="Arial" w:hint="eastAsia"/>
          <w:kern w:val="2"/>
          <w:sz w:val="21"/>
          <w:szCs w:val="21"/>
        </w:rPr>
        <w:t>DX04-0102-6012</w:t>
      </w:r>
      <w:r w:rsidRPr="0043038D">
        <w:rPr>
          <w:rFonts w:ascii="Arial" w:hAnsi="Arial" w:cs="Arial" w:hint="eastAsia"/>
          <w:kern w:val="2"/>
          <w:sz w:val="21"/>
          <w:szCs w:val="21"/>
        </w:rPr>
        <w:t>地块北用地红线，西至欣业巷，北至宏旭东路。</w:t>
      </w:r>
    </w:p>
    <w:p w14:paraId="3C0B70BF"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14:paraId="1DF12D46"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）开发程度</w:t>
      </w:r>
      <w:r w:rsidRPr="0043038D">
        <w:rPr>
          <w:rFonts w:ascii="Arial" w:hAnsi="Arial" w:cs="Arial"/>
          <w:sz w:val="21"/>
          <w:szCs w:val="21"/>
        </w:rPr>
        <w:t>：</w:t>
      </w:r>
    </w:p>
    <w:p w14:paraId="4862A0C2" w14:textId="77777777" w:rsidR="000E5655" w:rsidRPr="0043038D" w:rsidRDefault="00837133">
      <w:pPr>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14:paraId="0ABE1383"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14:paraId="38FF44AF"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建筑物实物状况</w:t>
      </w:r>
    </w:p>
    <w:p w14:paraId="33FABAFA"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，估价对象为北京市大兴区西红门镇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r w:rsidRPr="0043038D">
        <w:rPr>
          <w:rFonts w:ascii="Arial" w:hAnsi="Arial" w:cs="Arial" w:hint="eastAsia"/>
          <w:kern w:val="2"/>
          <w:sz w:val="21"/>
          <w:szCs w:val="21"/>
        </w:rPr>
        <w:t>二类居住用地（配建“保障性租赁住房”）项目（橡树湾）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号楼</w:t>
      </w:r>
      <w:r w:rsidRPr="0043038D">
        <w:rPr>
          <w:rFonts w:ascii="Arial" w:hAnsi="Arial" w:cs="Arial" w:hint="eastAsia"/>
          <w:kern w:val="2"/>
          <w:sz w:val="21"/>
          <w:szCs w:val="21"/>
        </w:rPr>
        <w:t>保障性租赁住房。估价对象收购方为北京市燕兴保障性住房建设投资有限公司，所在项目现状四至为东至欣顺街，南至</w:t>
      </w:r>
      <w:r w:rsidRPr="0043038D">
        <w:rPr>
          <w:rFonts w:ascii="Arial" w:hAnsi="Arial" w:cs="Arial" w:hint="eastAsia"/>
          <w:kern w:val="2"/>
          <w:sz w:val="21"/>
          <w:szCs w:val="21"/>
        </w:rPr>
        <w:t>DX</w:t>
      </w:r>
      <w:r w:rsidRPr="0043038D">
        <w:rPr>
          <w:rFonts w:ascii="Arial" w:hAnsi="Arial" w:cs="Arial"/>
          <w:kern w:val="2"/>
          <w:sz w:val="21"/>
          <w:szCs w:val="21"/>
        </w:rPr>
        <w:t>04-0102-6012</w:t>
      </w:r>
      <w:r w:rsidRPr="0043038D">
        <w:rPr>
          <w:rFonts w:ascii="Arial" w:hAnsi="Arial" w:cs="Arial"/>
          <w:kern w:val="2"/>
          <w:sz w:val="21"/>
          <w:szCs w:val="21"/>
        </w:rPr>
        <w:t>地块北用地红线</w:t>
      </w:r>
      <w:r w:rsidRPr="0043038D">
        <w:rPr>
          <w:rFonts w:ascii="Arial" w:hAnsi="Arial" w:cs="Arial" w:hint="eastAsia"/>
          <w:kern w:val="2"/>
          <w:sz w:val="21"/>
          <w:szCs w:val="21"/>
        </w:rPr>
        <w:t>，西至欣业巷，北至宏旭东路，估价对象用途为保障性租赁住房（住宅型），建筑面积为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14:paraId="722887C1" w14:textId="77777777">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3D4A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2361B74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76BFEF0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14:paraId="3C411AF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28B507B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43F6E7D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14:paraId="1C020D7C"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17ECEBD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14:paraId="7720E408"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14:paraId="43D8FEF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14:paraId="76B93D1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3B69778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14:paraId="581AECF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14:paraId="43BCA05B"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15CC1FA6"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52E6CF5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14:paraId="7BADF52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14:paraId="5BA1E4B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6CD0A99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14:paraId="1C06963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14:paraId="6820659E"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66092A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一居室</w:t>
            </w:r>
          </w:p>
        </w:tc>
        <w:tc>
          <w:tcPr>
            <w:tcW w:w="1600" w:type="dxa"/>
            <w:tcBorders>
              <w:top w:val="nil"/>
              <w:left w:val="nil"/>
              <w:bottom w:val="single" w:sz="4" w:space="0" w:color="auto"/>
              <w:right w:val="single" w:sz="4" w:space="0" w:color="auto"/>
            </w:tcBorders>
            <w:shd w:val="clear" w:color="auto" w:fill="auto"/>
            <w:noWrap/>
            <w:vAlign w:val="center"/>
          </w:tcPr>
          <w:p w14:paraId="31E626F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14:paraId="6570E07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14:paraId="365F105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7801AEE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14:paraId="73A04FC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14:paraId="3EC8A4F9"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3DE75BC1"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FB7D08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14:paraId="79C7CDF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14:paraId="01347CF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55AB685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14:paraId="2BCEFCE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14:paraId="6FADB25F"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26DBEB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14:paraId="373B7A8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14:paraId="7FD78DE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14:paraId="0B6B344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2AC24B1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7AC8428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14:paraId="1F71E497"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5A0EBA8"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397D83B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14:paraId="1F31FA4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14:paraId="5B5BAC5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14:paraId="66EE8B8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14:paraId="686C57D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14:paraId="662B59E6"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6F5B2B67"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79CF14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14:paraId="7ADFEE3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14:paraId="7BC2257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14:paraId="6223574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14:paraId="00D77EE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14:paraId="7588F5D8"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824B66E"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2377722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14:paraId="386313FE"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14:paraId="4C02B83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14:paraId="1F62C22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14:paraId="2ABED1F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14:paraId="0FC2E3E6"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24C63DF"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67A013F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14:paraId="032BB0A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14:paraId="3E256F3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14:paraId="3D280AF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14:paraId="443A685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14:paraId="11122D2D"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42ADAACC"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B7E2F7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14:paraId="52EF125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38A04D7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78C93D6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5B456A7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14:paraId="04277814"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15BD7F1"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3B77DBB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14:paraId="0033F66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6480E8A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406ACFC0"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14:paraId="5CB0C2A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14:paraId="2BC341D2"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93645B8"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321D955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14:paraId="33F7CB7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14:paraId="4445039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14:paraId="26A7D1F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0F2F7C6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14:paraId="6BE44FD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7CC0F20C"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1112B19F"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14:paraId="1534CC9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14:paraId="2599C70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14:paraId="177508E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7FE4141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14:paraId="523753DE" w14:textId="77777777">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14:paraId="30D8951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14:paraId="7FDCA26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14:paraId="4E4ECD0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14:paraId="401BE181"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14:paraId="08A6DD8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14:paraId="048DE28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14:paraId="060855B8"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2F993FCB"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253127EA"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14:paraId="69D4F553"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14:paraId="29D46FA2"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14:paraId="55CB64B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14:paraId="76E338D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14:paraId="7CDEEB2C" w14:textId="77777777">
        <w:trPr>
          <w:trHeight w:val="276"/>
        </w:trPr>
        <w:tc>
          <w:tcPr>
            <w:tcW w:w="980" w:type="dxa"/>
            <w:vMerge/>
            <w:tcBorders>
              <w:top w:val="nil"/>
              <w:left w:val="single" w:sz="4" w:space="0" w:color="auto"/>
              <w:bottom w:val="single" w:sz="4" w:space="0" w:color="auto"/>
              <w:right w:val="single" w:sz="4" w:space="0" w:color="auto"/>
            </w:tcBorders>
            <w:vAlign w:val="center"/>
          </w:tcPr>
          <w:p w14:paraId="08CD1D95" w14:textId="77777777"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3FF49746"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14:paraId="255C307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14:paraId="5CBC55D7"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14:paraId="403608AD"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14:paraId="73F79A1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14:paraId="695AB3A9" w14:textId="77777777">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14:paraId="0EF0E535"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14:paraId="4A95DD39"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14:paraId="7254ABAC"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14:paraId="354AC8C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14:paraId="1104D49B"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14:paraId="015D0A24" w14:textId="77777777"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14:paraId="57AB3728"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p>
    <w:p w14:paraId="5E6FD9E3"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估价对象为板塔结合</w:t>
      </w:r>
      <w:r w:rsidRPr="0043038D">
        <w:rPr>
          <w:rFonts w:ascii="Arial" w:hAnsi="Arial" w:cs="Arial" w:hint="eastAsia"/>
          <w:sz w:val="21"/>
          <w:szCs w:val="21"/>
        </w:rPr>
        <w:t>。</w:t>
      </w:r>
    </w:p>
    <w:p w14:paraId="0406C9F0"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栓、安防系统等设备齐全；估价对象内部配备厨卫等基本家具家电，铺设地暖。估价对象作为保障性租赁住房（住宅型）出租使用。</w:t>
      </w:r>
    </w:p>
    <w:p w14:paraId="137DA1F4"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14:paraId="55BAD618" w14:textId="77777777"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14:paraId="7BB4495B"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）户型设计：估价对象均为平层结构，分为四种户型，分别为零居室、一居室、小两居、两居室。其中零居室</w:t>
      </w:r>
      <w:r w:rsidRPr="0043038D">
        <w:rPr>
          <w:rFonts w:ascii="Arial" w:hAnsi="Arial" w:cs="Arial"/>
          <w:sz w:val="21"/>
          <w:szCs w:val="21"/>
        </w:rPr>
        <w:t>60</w:t>
      </w:r>
      <w:r w:rsidRPr="0043038D">
        <w:rPr>
          <w:rFonts w:ascii="Arial" w:hAnsi="Arial" w:cs="Arial" w:hint="eastAsia"/>
          <w:sz w:val="21"/>
          <w:szCs w:val="21"/>
        </w:rPr>
        <w:t>套、一居室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14:paraId="4E6F24D0"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8</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；一居室有南北、东西朝向，其中南北朝向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套、南朝向</w:t>
      </w:r>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14:paraId="18E42A0A"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14:paraId="042D7962"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10</w:t>
      </w:r>
      <w:r w:rsidRPr="0043038D">
        <w:rPr>
          <w:rFonts w:ascii="Arial" w:hAnsi="Arial" w:cs="Arial" w:hint="eastAsia"/>
          <w:sz w:val="21"/>
          <w:szCs w:val="21"/>
        </w:rPr>
        <w:t>）水电气费执行标准：估价对象执行民水民电标准。</w:t>
      </w:r>
    </w:p>
    <w:p w14:paraId="5F965D78" w14:textId="77777777" w:rsidR="000E5655" w:rsidRPr="0043038D" w:rsidRDefault="00837133">
      <w:pPr>
        <w:spacing w:line="480" w:lineRule="auto"/>
        <w:ind w:firstLineChars="200" w:firstLine="420"/>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hint="eastAsia"/>
          <w:sz w:val="21"/>
          <w:szCs w:val="21"/>
        </w:rPr>
        <w:t>对价格影响的分析</w:t>
      </w:r>
    </w:p>
    <w:p w14:paraId="268CBFA1" w14:textId="77777777"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kern w:val="2"/>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租者的需求，因此将会在一定程度上影响其租金价格水平。</w:t>
      </w:r>
    </w:p>
    <w:p w14:paraId="00A040B5" w14:textId="77777777"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4" w:name="_Toc525655436"/>
      <w:bookmarkStart w:id="55" w:name="_Toc155267103"/>
      <w:r w:rsidRPr="0043038D">
        <w:rPr>
          <w:rFonts w:eastAsia="宋体"/>
          <w:kern w:val="2"/>
          <w:sz w:val="21"/>
          <w:szCs w:val="21"/>
        </w:rPr>
        <w:t>（</w:t>
      </w:r>
      <w:r w:rsidRPr="0043038D">
        <w:rPr>
          <w:rFonts w:eastAsia="宋体" w:hint="eastAsia"/>
          <w:kern w:val="2"/>
          <w:sz w:val="21"/>
          <w:szCs w:val="21"/>
        </w:rPr>
        <w:t>三</w:t>
      </w:r>
      <w:r w:rsidRPr="0043038D">
        <w:rPr>
          <w:rFonts w:eastAsia="宋体"/>
          <w:kern w:val="2"/>
          <w:sz w:val="21"/>
          <w:szCs w:val="21"/>
        </w:rPr>
        <w:t>）权益状况分析</w:t>
      </w:r>
      <w:bookmarkEnd w:id="54"/>
      <w:bookmarkEnd w:id="55"/>
    </w:p>
    <w:p w14:paraId="1EDF2298" w14:textId="77777777" w:rsidR="000E5655" w:rsidRPr="0043038D" w:rsidRDefault="00837133">
      <w:pPr>
        <w:spacing w:line="480" w:lineRule="auto"/>
        <w:ind w:firstLineChars="200" w:firstLine="420"/>
        <w:rPr>
          <w:rFonts w:ascii="Arial" w:hAnsi="Arial" w:cs="Arial"/>
          <w:kern w:val="2"/>
          <w:sz w:val="21"/>
          <w:szCs w:val="21"/>
        </w:rPr>
      </w:pPr>
      <w:bookmarkStart w:id="56" w:name="_Toc525655437"/>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根据估价目的，本次估价未考虑抵押、租赁、地役、查封等他项权利影响，故设定估价对象于价值时点不存在租赁、地役、查封等他项权利限制。</w:t>
      </w:r>
    </w:p>
    <w:p w14:paraId="713ED598" w14:textId="77777777" w:rsidR="000E5655" w:rsidRPr="0043038D" w:rsidRDefault="000E5655">
      <w:pPr>
        <w:pStyle w:val="2"/>
        <w:numPr>
          <w:ilvl w:val="0"/>
          <w:numId w:val="0"/>
        </w:numPr>
        <w:spacing w:line="480" w:lineRule="auto"/>
        <w:ind w:left="358" w:hangingChars="170" w:hanging="358"/>
        <w:jc w:val="both"/>
        <w:rPr>
          <w:rFonts w:eastAsia="宋体"/>
          <w:kern w:val="2"/>
          <w:sz w:val="21"/>
          <w:szCs w:val="21"/>
        </w:rPr>
      </w:pPr>
    </w:p>
    <w:p w14:paraId="12950C4A" w14:textId="77777777"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57" w:name="_Toc155267104"/>
      <w:r w:rsidRPr="0043038D">
        <w:rPr>
          <w:rFonts w:eastAsia="宋体"/>
          <w:kern w:val="2"/>
          <w:sz w:val="21"/>
          <w:szCs w:val="21"/>
        </w:rPr>
        <w:t>二、市场背景描述与分析</w:t>
      </w:r>
      <w:bookmarkEnd w:id="56"/>
      <w:bookmarkEnd w:id="57"/>
    </w:p>
    <w:p w14:paraId="7B052981" w14:textId="77777777" w:rsidR="000E5655" w:rsidRPr="0043038D" w:rsidRDefault="00837133">
      <w:pPr>
        <w:overflowPunct w:val="0"/>
        <w:spacing w:line="480" w:lineRule="auto"/>
        <w:ind w:right="205"/>
        <w:jc w:val="both"/>
        <w:rPr>
          <w:rFonts w:ascii="Arial" w:hAnsi="Arial"/>
          <w:b/>
          <w:bCs/>
          <w:sz w:val="21"/>
          <w:szCs w:val="21"/>
        </w:rPr>
      </w:pPr>
      <w:bookmarkStart w:id="58" w:name="_Toc525655438"/>
      <w:r w:rsidRPr="0043038D">
        <w:rPr>
          <w:rFonts w:ascii="Arial" w:hAnsi="Arial" w:hint="eastAsia"/>
          <w:b/>
          <w:bCs/>
          <w:sz w:val="21"/>
          <w:szCs w:val="21"/>
        </w:rPr>
        <w:t>（一）类似房地产市场状况</w:t>
      </w:r>
    </w:p>
    <w:p w14:paraId="101623AA" w14:textId="77777777"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宏观环境</w:t>
      </w:r>
    </w:p>
    <w:p w14:paraId="3C62F684"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59" w:name="OLE_LINK33"/>
      <w:bookmarkStart w:id="60" w:name="OLE_LINK34"/>
      <w:r w:rsidRPr="0043038D">
        <w:rPr>
          <w:rFonts w:ascii="Arial" w:hAnsi="Arial" w:hint="eastAsia"/>
          <w:color w:val="000000"/>
          <w:sz w:val="21"/>
          <w:szCs w:val="21"/>
        </w:rPr>
        <w:t>北京市位于北纬</w:t>
      </w:r>
      <w:r w:rsidRPr="0043038D">
        <w:rPr>
          <w:rFonts w:ascii="Arial" w:hAnsi="Arial"/>
          <w:color w:val="000000"/>
          <w:sz w:val="21"/>
          <w:szCs w:val="21"/>
        </w:rPr>
        <w:t>39</w:t>
      </w:r>
      <w:r w:rsidRPr="0043038D">
        <w:rPr>
          <w:rFonts w:ascii="Arial" w:hAnsi="Arial" w:hint="eastAsia"/>
          <w:color w:val="000000"/>
          <w:sz w:val="21"/>
          <w:szCs w:val="21"/>
        </w:rPr>
        <w:t>度</w:t>
      </w:r>
      <w:r w:rsidRPr="0043038D">
        <w:rPr>
          <w:rFonts w:ascii="Arial" w:hAnsi="Arial"/>
          <w:color w:val="000000"/>
          <w:sz w:val="21"/>
          <w:szCs w:val="21"/>
        </w:rPr>
        <w:t>56</w:t>
      </w:r>
      <w:r w:rsidRPr="0043038D">
        <w:rPr>
          <w:rFonts w:ascii="Arial" w:hAnsi="Arial" w:hint="eastAsia"/>
          <w:color w:val="000000"/>
          <w:sz w:val="21"/>
          <w:szCs w:val="21"/>
        </w:rPr>
        <w:t>分，东经</w:t>
      </w:r>
      <w:r w:rsidRPr="0043038D">
        <w:rPr>
          <w:rFonts w:ascii="Arial" w:hAnsi="Arial"/>
          <w:color w:val="000000"/>
          <w:sz w:val="21"/>
          <w:szCs w:val="21"/>
        </w:rPr>
        <w:t>116</w:t>
      </w:r>
      <w:r w:rsidRPr="0043038D">
        <w:rPr>
          <w:rFonts w:ascii="Arial" w:hAnsi="Arial" w:hint="eastAsia"/>
          <w:color w:val="000000"/>
          <w:sz w:val="21"/>
          <w:szCs w:val="21"/>
        </w:rPr>
        <w:t>度</w:t>
      </w:r>
      <w:r w:rsidRPr="0043038D">
        <w:rPr>
          <w:rFonts w:ascii="Arial" w:hAnsi="Arial"/>
          <w:color w:val="000000"/>
          <w:sz w:val="21"/>
          <w:szCs w:val="21"/>
        </w:rPr>
        <w:t>20</w:t>
      </w:r>
      <w:r w:rsidRPr="0043038D">
        <w:rPr>
          <w:rFonts w:ascii="Arial" w:hAnsi="Arial" w:hint="eastAsia"/>
          <w:color w:val="000000"/>
          <w:sz w:val="21"/>
          <w:szCs w:val="21"/>
        </w:rPr>
        <w:t>分，地处华北大平原的北部，北京市土地面积</w:t>
      </w:r>
      <w:r w:rsidRPr="0043038D">
        <w:rPr>
          <w:rFonts w:ascii="Arial" w:hAnsi="Arial"/>
          <w:color w:val="000000"/>
          <w:sz w:val="21"/>
          <w:szCs w:val="21"/>
        </w:rPr>
        <w:t>16410.54</w:t>
      </w:r>
      <w:r w:rsidRPr="0043038D">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43038D">
        <w:rPr>
          <w:rFonts w:ascii="Arial" w:hAnsi="Arial"/>
          <w:color w:val="000000"/>
          <w:sz w:val="21"/>
          <w:szCs w:val="21"/>
        </w:rPr>
        <w:t>16</w:t>
      </w:r>
      <w:r w:rsidRPr="0043038D">
        <w:rPr>
          <w:rFonts w:ascii="Arial" w:hAnsi="Arial" w:hint="eastAsia"/>
          <w:color w:val="000000"/>
          <w:sz w:val="21"/>
          <w:szCs w:val="21"/>
        </w:rPr>
        <w:t>区格局，即东城、西城、海淀、朝阳、丰台、石景山、顺义、昌平、通州、门头沟、房山、大兴、怀柔、平谷、密云、延庆。</w:t>
      </w:r>
    </w:p>
    <w:p w14:paraId="3B9803EA"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截至</w:t>
      </w:r>
      <w:r w:rsidRPr="0043038D">
        <w:rPr>
          <w:rFonts w:ascii="Arial" w:hAnsi="Arial"/>
          <w:color w:val="000000"/>
          <w:sz w:val="21"/>
          <w:szCs w:val="21"/>
        </w:rPr>
        <w:t>2023</w:t>
      </w:r>
      <w:r w:rsidRPr="0043038D">
        <w:rPr>
          <w:rFonts w:ascii="Arial" w:hAnsi="Arial" w:hint="eastAsia"/>
          <w:color w:val="000000"/>
          <w:sz w:val="21"/>
          <w:szCs w:val="21"/>
        </w:rPr>
        <w:t>年年末，北京市常住人口为</w:t>
      </w:r>
      <w:r w:rsidRPr="0043038D">
        <w:rPr>
          <w:rFonts w:ascii="Arial" w:hAnsi="Arial"/>
          <w:color w:val="000000"/>
          <w:sz w:val="21"/>
          <w:szCs w:val="21"/>
        </w:rPr>
        <w:t>2185.8</w:t>
      </w:r>
      <w:r w:rsidRPr="0043038D">
        <w:rPr>
          <w:rFonts w:ascii="Arial" w:hAnsi="Arial" w:hint="eastAsia"/>
          <w:color w:val="000000"/>
          <w:sz w:val="21"/>
          <w:szCs w:val="21"/>
        </w:rPr>
        <w:t>万人，从年龄构成看，</w:t>
      </w:r>
      <w:r w:rsidRPr="0043038D">
        <w:rPr>
          <w:rFonts w:ascii="Arial" w:hAnsi="Arial"/>
          <w:color w:val="000000"/>
          <w:sz w:val="21"/>
          <w:szCs w:val="21"/>
        </w:rPr>
        <w:t>0-14</w:t>
      </w:r>
      <w:r w:rsidRPr="0043038D">
        <w:rPr>
          <w:rFonts w:ascii="Arial" w:hAnsi="Arial" w:hint="eastAsia"/>
          <w:color w:val="000000"/>
          <w:sz w:val="21"/>
          <w:szCs w:val="21"/>
        </w:rPr>
        <w:t>岁常住人口</w:t>
      </w:r>
      <w:r w:rsidRPr="0043038D">
        <w:rPr>
          <w:rFonts w:ascii="Arial" w:hAnsi="Arial"/>
          <w:color w:val="000000"/>
          <w:sz w:val="21"/>
          <w:szCs w:val="21"/>
        </w:rPr>
        <w:t>262.5</w:t>
      </w:r>
      <w:r w:rsidRPr="0043038D">
        <w:rPr>
          <w:rFonts w:ascii="Arial" w:hAnsi="Arial" w:hint="eastAsia"/>
          <w:color w:val="000000"/>
          <w:sz w:val="21"/>
          <w:szCs w:val="21"/>
        </w:rPr>
        <w:t>万人，占全市常住人口的比重为</w:t>
      </w:r>
      <w:r w:rsidRPr="0043038D">
        <w:rPr>
          <w:rFonts w:ascii="Arial" w:hAnsi="Arial"/>
          <w:color w:val="000000"/>
          <w:sz w:val="21"/>
          <w:szCs w:val="21"/>
        </w:rPr>
        <w:t>12.0%</w:t>
      </w:r>
      <w:r w:rsidRPr="0043038D">
        <w:rPr>
          <w:rFonts w:ascii="Arial" w:hAnsi="Arial" w:hint="eastAsia"/>
          <w:color w:val="000000"/>
          <w:sz w:val="21"/>
          <w:szCs w:val="21"/>
        </w:rPr>
        <w:t>；</w:t>
      </w:r>
      <w:r w:rsidRPr="0043038D">
        <w:rPr>
          <w:rFonts w:ascii="Arial" w:hAnsi="Arial"/>
          <w:color w:val="000000"/>
          <w:sz w:val="21"/>
          <w:szCs w:val="21"/>
        </w:rPr>
        <w:t>15-59</w:t>
      </w:r>
      <w:r w:rsidRPr="0043038D">
        <w:rPr>
          <w:rFonts w:ascii="Arial" w:hAnsi="Arial" w:hint="eastAsia"/>
          <w:color w:val="000000"/>
          <w:sz w:val="21"/>
          <w:szCs w:val="21"/>
        </w:rPr>
        <w:t>岁常住人口</w:t>
      </w:r>
      <w:r w:rsidRPr="0043038D">
        <w:rPr>
          <w:rFonts w:ascii="Arial" w:hAnsi="Arial"/>
          <w:color w:val="000000"/>
          <w:sz w:val="21"/>
          <w:szCs w:val="21"/>
        </w:rPr>
        <w:t>1428.5</w:t>
      </w:r>
      <w:r w:rsidRPr="0043038D">
        <w:rPr>
          <w:rFonts w:ascii="Arial" w:hAnsi="Arial" w:hint="eastAsia"/>
          <w:color w:val="000000"/>
          <w:sz w:val="21"/>
          <w:szCs w:val="21"/>
        </w:rPr>
        <w:t>万人，占</w:t>
      </w:r>
      <w:r w:rsidRPr="0043038D">
        <w:rPr>
          <w:rFonts w:ascii="Arial" w:hAnsi="Arial"/>
          <w:color w:val="000000"/>
          <w:sz w:val="21"/>
          <w:szCs w:val="21"/>
        </w:rPr>
        <w:t>65.4%</w:t>
      </w:r>
      <w:r w:rsidRPr="0043038D">
        <w:rPr>
          <w:rFonts w:ascii="Arial" w:hAnsi="Arial" w:hint="eastAsia"/>
          <w:color w:val="000000"/>
          <w:sz w:val="21"/>
          <w:szCs w:val="21"/>
        </w:rPr>
        <w:t>；</w:t>
      </w:r>
      <w:r w:rsidRPr="0043038D">
        <w:rPr>
          <w:rFonts w:ascii="Arial" w:hAnsi="Arial"/>
          <w:color w:val="000000"/>
          <w:sz w:val="21"/>
          <w:szCs w:val="21"/>
        </w:rPr>
        <w:t>60</w:t>
      </w:r>
      <w:r w:rsidRPr="0043038D">
        <w:rPr>
          <w:rFonts w:ascii="Arial" w:hAnsi="Arial" w:hint="eastAsia"/>
          <w:color w:val="000000"/>
          <w:sz w:val="21"/>
          <w:szCs w:val="21"/>
        </w:rPr>
        <w:t>岁及以上常住人口</w:t>
      </w:r>
      <w:r w:rsidRPr="0043038D">
        <w:rPr>
          <w:rFonts w:ascii="Arial" w:hAnsi="Arial"/>
          <w:color w:val="000000"/>
          <w:sz w:val="21"/>
          <w:szCs w:val="21"/>
        </w:rPr>
        <w:t>494.8</w:t>
      </w:r>
      <w:r w:rsidRPr="0043038D">
        <w:rPr>
          <w:rFonts w:ascii="Arial" w:hAnsi="Arial" w:hint="eastAsia"/>
          <w:color w:val="000000"/>
          <w:sz w:val="21"/>
          <w:szCs w:val="21"/>
        </w:rPr>
        <w:t>万人，占</w:t>
      </w:r>
      <w:r w:rsidRPr="0043038D">
        <w:rPr>
          <w:rFonts w:ascii="Arial" w:hAnsi="Arial"/>
          <w:color w:val="000000"/>
          <w:sz w:val="21"/>
          <w:szCs w:val="21"/>
        </w:rPr>
        <w:t>22.6%</w:t>
      </w:r>
      <w:r w:rsidRPr="0043038D">
        <w:rPr>
          <w:rFonts w:ascii="Arial" w:hAnsi="Arial" w:hint="eastAsia"/>
          <w:color w:val="000000"/>
          <w:sz w:val="21"/>
          <w:szCs w:val="21"/>
        </w:rPr>
        <w:t>。</w:t>
      </w:r>
    </w:p>
    <w:p w14:paraId="51DAF94E"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bCs/>
          <w:color w:val="000000"/>
          <w:szCs w:val="24"/>
        </w:rPr>
        <w:t>2019-2023</w:t>
      </w:r>
      <w:r w:rsidRPr="0043038D">
        <w:rPr>
          <w:rFonts w:ascii="Arial" w:eastAsia="方正黑体简体" w:hAnsi="Arial" w:hint="eastAsia"/>
          <w:bCs/>
          <w:color w:val="000000"/>
          <w:szCs w:val="24"/>
        </w:rPr>
        <w:t>年常住人口增量及增长速度</w:t>
      </w:r>
    </w:p>
    <w:p w14:paraId="589B023F" w14:textId="77777777" w:rsidR="000E5655" w:rsidRPr="0043038D" w:rsidRDefault="00837133">
      <w:pPr>
        <w:widowControl/>
        <w:adjustRightInd/>
        <w:spacing w:line="480" w:lineRule="auto"/>
        <w:jc w:val="center"/>
        <w:rPr>
          <w:rFonts w:ascii="Arial" w:hAnsi="Arial"/>
          <w:color w:val="000000"/>
          <w:sz w:val="21"/>
          <w:szCs w:val="21"/>
        </w:rPr>
      </w:pPr>
      <w:r w:rsidRPr="0043038D">
        <w:rPr>
          <w:noProof/>
        </w:rPr>
        <w:drawing>
          <wp:inline distT="0" distB="0" distL="0" distR="0" wp14:anchorId="0C92507E" wp14:editId="6426A998">
            <wp:extent cx="5907405" cy="2538095"/>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59"/>
    <w:bookmarkEnd w:id="60"/>
    <w:p w14:paraId="4DB20DB7"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根据北京市统计局地区生产总值统一核算结果，</w:t>
      </w:r>
      <w:r w:rsidRPr="0043038D">
        <w:rPr>
          <w:rFonts w:ascii="Arial" w:hAnsi="Arial"/>
          <w:color w:val="000000"/>
          <w:sz w:val="21"/>
          <w:szCs w:val="21"/>
        </w:rPr>
        <w:t>2024</w:t>
      </w:r>
      <w:r w:rsidRPr="0043038D">
        <w:rPr>
          <w:rFonts w:ascii="Arial" w:hAnsi="Arial" w:hint="eastAsia"/>
          <w:color w:val="000000"/>
          <w:sz w:val="21"/>
          <w:szCs w:val="21"/>
        </w:rPr>
        <w:t>年上半年，北京市实现地区生产总值</w:t>
      </w:r>
      <w:r w:rsidRPr="0043038D">
        <w:rPr>
          <w:rFonts w:ascii="Arial" w:hAnsi="Arial"/>
          <w:color w:val="000000"/>
          <w:sz w:val="21"/>
          <w:szCs w:val="21"/>
        </w:rPr>
        <w:t>21791.3</w:t>
      </w:r>
      <w:r w:rsidRPr="0043038D">
        <w:rPr>
          <w:rFonts w:ascii="Arial" w:hAnsi="Arial" w:hint="eastAsia"/>
          <w:color w:val="000000"/>
          <w:sz w:val="21"/>
          <w:szCs w:val="21"/>
        </w:rPr>
        <w:t>亿元，按不变价格计算，同比增长</w:t>
      </w:r>
      <w:r w:rsidRPr="0043038D">
        <w:rPr>
          <w:rFonts w:ascii="Arial" w:hAnsi="Arial"/>
          <w:color w:val="000000"/>
          <w:sz w:val="21"/>
          <w:szCs w:val="21"/>
        </w:rPr>
        <w:t>5.4%</w:t>
      </w:r>
      <w:r w:rsidRPr="0043038D">
        <w:rPr>
          <w:rFonts w:ascii="Arial" w:hAnsi="Arial" w:hint="eastAsia"/>
          <w:color w:val="000000"/>
          <w:sz w:val="21"/>
          <w:szCs w:val="21"/>
        </w:rPr>
        <w:t>。分产业看，第一产业实现增加值</w:t>
      </w:r>
      <w:r w:rsidRPr="0043038D">
        <w:rPr>
          <w:rFonts w:ascii="Arial" w:hAnsi="Arial"/>
          <w:color w:val="000000"/>
          <w:sz w:val="21"/>
          <w:szCs w:val="21"/>
        </w:rPr>
        <w:t>41.1</w:t>
      </w:r>
      <w:r w:rsidRPr="0043038D">
        <w:rPr>
          <w:rFonts w:ascii="Arial" w:hAnsi="Arial" w:hint="eastAsia"/>
          <w:color w:val="000000"/>
          <w:sz w:val="21"/>
          <w:szCs w:val="21"/>
        </w:rPr>
        <w:t>亿元，下降</w:t>
      </w:r>
      <w:r w:rsidRPr="0043038D">
        <w:rPr>
          <w:rFonts w:ascii="Arial" w:hAnsi="Arial"/>
          <w:color w:val="000000"/>
          <w:sz w:val="21"/>
          <w:szCs w:val="21"/>
        </w:rPr>
        <w:t>0.1%</w:t>
      </w:r>
      <w:r w:rsidRPr="0043038D">
        <w:rPr>
          <w:rFonts w:ascii="Arial" w:hAnsi="Arial" w:hint="eastAsia"/>
          <w:color w:val="000000"/>
          <w:sz w:val="21"/>
          <w:szCs w:val="21"/>
        </w:rPr>
        <w:t>；第二产业实现增加值</w:t>
      </w:r>
      <w:r w:rsidRPr="0043038D">
        <w:rPr>
          <w:rFonts w:ascii="Arial" w:hAnsi="Arial"/>
          <w:color w:val="000000"/>
          <w:sz w:val="21"/>
          <w:szCs w:val="21"/>
        </w:rPr>
        <w:t>3038.2</w:t>
      </w:r>
      <w:r w:rsidRPr="0043038D">
        <w:rPr>
          <w:rFonts w:ascii="Arial" w:hAnsi="Arial" w:hint="eastAsia"/>
          <w:color w:val="000000"/>
          <w:sz w:val="21"/>
          <w:szCs w:val="21"/>
        </w:rPr>
        <w:t>亿元，增长</w:t>
      </w:r>
      <w:r w:rsidRPr="0043038D">
        <w:rPr>
          <w:rFonts w:ascii="Arial" w:hAnsi="Arial"/>
          <w:color w:val="000000"/>
          <w:sz w:val="21"/>
          <w:szCs w:val="21"/>
        </w:rPr>
        <w:t>5.7%</w:t>
      </w:r>
      <w:r w:rsidRPr="0043038D">
        <w:rPr>
          <w:rFonts w:ascii="Arial" w:hAnsi="Arial" w:hint="eastAsia"/>
          <w:color w:val="000000"/>
          <w:sz w:val="21"/>
          <w:szCs w:val="21"/>
        </w:rPr>
        <w:t>；第三产业实现增加值</w:t>
      </w:r>
      <w:r w:rsidRPr="0043038D">
        <w:rPr>
          <w:rFonts w:ascii="Arial" w:hAnsi="Arial"/>
          <w:color w:val="000000"/>
          <w:sz w:val="21"/>
          <w:szCs w:val="21"/>
        </w:rPr>
        <w:t>18712.1</w:t>
      </w:r>
      <w:r w:rsidRPr="0043038D">
        <w:rPr>
          <w:rFonts w:ascii="Arial" w:hAnsi="Arial" w:hint="eastAsia"/>
          <w:color w:val="000000"/>
          <w:sz w:val="21"/>
          <w:szCs w:val="21"/>
        </w:rPr>
        <w:t>亿元，增长</w:t>
      </w:r>
      <w:r w:rsidRPr="0043038D">
        <w:rPr>
          <w:rFonts w:ascii="Arial" w:hAnsi="Arial"/>
          <w:color w:val="000000"/>
          <w:sz w:val="21"/>
          <w:szCs w:val="21"/>
        </w:rPr>
        <w:t>5.4%</w:t>
      </w:r>
      <w:r w:rsidRPr="0043038D">
        <w:rPr>
          <w:rFonts w:ascii="Arial" w:hAnsi="Arial" w:hint="eastAsia"/>
          <w:color w:val="000000"/>
          <w:sz w:val="21"/>
          <w:szCs w:val="21"/>
        </w:rPr>
        <w:t>。</w:t>
      </w:r>
    </w:p>
    <w:p w14:paraId="42C515B9"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61" w:name="OLE_LINK39"/>
      <w:r w:rsidRPr="0043038D">
        <w:rPr>
          <w:rFonts w:ascii="Arial" w:hAnsi="Arial" w:hint="eastAsia"/>
          <w:color w:val="000000"/>
          <w:sz w:val="21"/>
          <w:szCs w:val="21"/>
        </w:rPr>
        <w:t>上半年，北京市固定资产投资（不含农户）同比增长</w:t>
      </w:r>
      <w:r w:rsidRPr="0043038D">
        <w:rPr>
          <w:rFonts w:ascii="Arial" w:hAnsi="Arial"/>
          <w:color w:val="000000"/>
          <w:sz w:val="21"/>
          <w:szCs w:val="21"/>
        </w:rPr>
        <w:t>9.6%</w:t>
      </w:r>
      <w:r w:rsidRPr="0043038D">
        <w:rPr>
          <w:rFonts w:ascii="Arial" w:hAnsi="Arial" w:hint="eastAsia"/>
          <w:color w:val="000000"/>
          <w:sz w:val="21"/>
          <w:szCs w:val="21"/>
        </w:rPr>
        <w:t>。有效投资持续扩大，反映企业扩大生产能力的设备购置投资增长</w:t>
      </w:r>
      <w:r w:rsidRPr="0043038D">
        <w:rPr>
          <w:rFonts w:ascii="Arial" w:hAnsi="Arial"/>
          <w:color w:val="000000"/>
          <w:sz w:val="21"/>
          <w:szCs w:val="21"/>
        </w:rPr>
        <w:t>32.9%</w:t>
      </w:r>
      <w:r w:rsidRPr="0043038D">
        <w:rPr>
          <w:rFonts w:ascii="Arial" w:hAnsi="Arial" w:hint="eastAsia"/>
          <w:color w:val="000000"/>
          <w:sz w:val="21"/>
          <w:szCs w:val="21"/>
        </w:rPr>
        <w:t>，电子制造业、信息服务业带动作用明显，反映实物工作量的建筑安装工程投资增长</w:t>
      </w:r>
      <w:r w:rsidRPr="0043038D">
        <w:rPr>
          <w:rFonts w:ascii="Arial" w:hAnsi="Arial"/>
          <w:color w:val="000000"/>
          <w:sz w:val="21"/>
          <w:szCs w:val="21"/>
        </w:rPr>
        <w:t>4.0%</w:t>
      </w:r>
      <w:r w:rsidRPr="0043038D">
        <w:rPr>
          <w:rFonts w:ascii="Arial" w:hAnsi="Arial" w:hint="eastAsia"/>
          <w:color w:val="000000"/>
          <w:sz w:val="21"/>
          <w:szCs w:val="21"/>
        </w:rPr>
        <w:t>。分领域看，基础设施投资增长</w:t>
      </w:r>
      <w:r w:rsidRPr="0043038D">
        <w:rPr>
          <w:rFonts w:ascii="Arial" w:hAnsi="Arial"/>
          <w:color w:val="000000"/>
          <w:sz w:val="21"/>
          <w:szCs w:val="21"/>
        </w:rPr>
        <w:t>30.5%</w:t>
      </w:r>
      <w:r w:rsidRPr="0043038D">
        <w:rPr>
          <w:rFonts w:ascii="Arial" w:hAnsi="Arial" w:hint="eastAsia"/>
          <w:color w:val="000000"/>
          <w:sz w:val="21"/>
          <w:szCs w:val="21"/>
        </w:rPr>
        <w:t>，制造业投资增长</w:t>
      </w:r>
      <w:r w:rsidRPr="0043038D">
        <w:rPr>
          <w:rFonts w:ascii="Arial" w:hAnsi="Arial"/>
          <w:color w:val="000000"/>
          <w:sz w:val="21"/>
          <w:szCs w:val="21"/>
        </w:rPr>
        <w:t>33.9%</w:t>
      </w:r>
      <w:r w:rsidRPr="0043038D">
        <w:rPr>
          <w:rFonts w:ascii="Arial" w:hAnsi="Arial" w:hint="eastAsia"/>
          <w:color w:val="000000"/>
          <w:sz w:val="21"/>
          <w:szCs w:val="21"/>
        </w:rPr>
        <w:t>，房地产开发投资下降</w:t>
      </w:r>
      <w:r w:rsidRPr="0043038D">
        <w:rPr>
          <w:rFonts w:ascii="Arial" w:hAnsi="Arial"/>
          <w:color w:val="000000"/>
          <w:sz w:val="21"/>
          <w:szCs w:val="21"/>
        </w:rPr>
        <w:t>1.7%</w:t>
      </w:r>
      <w:r w:rsidRPr="0043038D">
        <w:rPr>
          <w:rFonts w:ascii="Arial" w:hAnsi="Arial" w:hint="eastAsia"/>
          <w:color w:val="000000"/>
          <w:sz w:val="21"/>
          <w:szCs w:val="21"/>
        </w:rPr>
        <w:t>。分产业看，第一产业投资下降</w:t>
      </w:r>
      <w:r w:rsidRPr="0043038D">
        <w:rPr>
          <w:rFonts w:ascii="Arial" w:hAnsi="Arial"/>
          <w:color w:val="000000"/>
          <w:sz w:val="21"/>
          <w:szCs w:val="21"/>
        </w:rPr>
        <w:t>6.4%</w:t>
      </w:r>
      <w:r w:rsidRPr="0043038D">
        <w:rPr>
          <w:rFonts w:ascii="Arial" w:hAnsi="Arial" w:hint="eastAsia"/>
          <w:color w:val="000000"/>
          <w:sz w:val="21"/>
          <w:szCs w:val="21"/>
        </w:rPr>
        <w:t>，第二产业投资增长</w:t>
      </w:r>
      <w:r w:rsidRPr="0043038D">
        <w:rPr>
          <w:rFonts w:ascii="Arial" w:hAnsi="Arial"/>
          <w:color w:val="000000"/>
          <w:sz w:val="21"/>
          <w:szCs w:val="21"/>
        </w:rPr>
        <w:t>25.3%</w:t>
      </w:r>
      <w:r w:rsidRPr="0043038D">
        <w:rPr>
          <w:rFonts w:ascii="Arial" w:hAnsi="Arial" w:hint="eastAsia"/>
          <w:color w:val="000000"/>
          <w:sz w:val="21"/>
          <w:szCs w:val="21"/>
        </w:rPr>
        <w:t>，第三产业投资增长</w:t>
      </w:r>
      <w:r w:rsidRPr="0043038D">
        <w:rPr>
          <w:rFonts w:ascii="Arial" w:hAnsi="Arial"/>
          <w:color w:val="000000"/>
          <w:sz w:val="21"/>
          <w:szCs w:val="21"/>
        </w:rPr>
        <w:t>8.1%</w:t>
      </w:r>
      <w:r w:rsidRPr="0043038D">
        <w:rPr>
          <w:rFonts w:ascii="Arial" w:hAnsi="Arial" w:hint="eastAsia"/>
          <w:color w:val="000000"/>
          <w:sz w:val="21"/>
          <w:szCs w:val="21"/>
        </w:rPr>
        <w:t>。高技术产业投资保持活跃，高技术制造业和高技术服务业投资分别增长</w:t>
      </w:r>
      <w:r w:rsidRPr="0043038D">
        <w:rPr>
          <w:rFonts w:ascii="Arial" w:hAnsi="Arial"/>
          <w:color w:val="000000"/>
          <w:sz w:val="21"/>
          <w:szCs w:val="21"/>
        </w:rPr>
        <w:t>53.5%</w:t>
      </w:r>
      <w:r w:rsidRPr="0043038D">
        <w:rPr>
          <w:rFonts w:ascii="Arial" w:hAnsi="Arial" w:hint="eastAsia"/>
          <w:color w:val="000000"/>
          <w:sz w:val="21"/>
          <w:szCs w:val="21"/>
        </w:rPr>
        <w:t>和</w:t>
      </w:r>
      <w:r w:rsidRPr="0043038D">
        <w:rPr>
          <w:rFonts w:ascii="Arial" w:hAnsi="Arial"/>
          <w:color w:val="000000"/>
          <w:sz w:val="21"/>
          <w:szCs w:val="21"/>
        </w:rPr>
        <w:t>13.6%</w:t>
      </w:r>
      <w:r w:rsidRPr="0043038D">
        <w:rPr>
          <w:rFonts w:ascii="Arial" w:hAnsi="Arial" w:hint="eastAsia"/>
          <w:color w:val="000000"/>
          <w:sz w:val="21"/>
          <w:szCs w:val="21"/>
        </w:rPr>
        <w:t>。</w:t>
      </w:r>
    </w:p>
    <w:p w14:paraId="1DDF37CB"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上半年，北京市房屋施工面积</w:t>
      </w:r>
      <w:r w:rsidRPr="0043038D">
        <w:rPr>
          <w:rFonts w:ascii="Arial" w:hAnsi="Arial"/>
          <w:color w:val="000000"/>
          <w:sz w:val="21"/>
          <w:szCs w:val="21"/>
        </w:rPr>
        <w:t>10755.1</w:t>
      </w:r>
      <w:r w:rsidRPr="0043038D">
        <w:rPr>
          <w:rFonts w:ascii="Arial" w:hAnsi="Arial" w:hint="eastAsia"/>
          <w:color w:val="000000"/>
          <w:sz w:val="21"/>
          <w:szCs w:val="21"/>
        </w:rPr>
        <w:t>万平方米，同比下降</w:t>
      </w:r>
      <w:r w:rsidRPr="0043038D">
        <w:rPr>
          <w:rFonts w:ascii="Arial" w:hAnsi="Arial"/>
          <w:color w:val="000000"/>
          <w:sz w:val="21"/>
          <w:szCs w:val="21"/>
        </w:rPr>
        <w:t>9.3%</w:t>
      </w:r>
      <w:r w:rsidRPr="0043038D">
        <w:rPr>
          <w:rFonts w:ascii="Arial" w:hAnsi="Arial" w:hint="eastAsia"/>
          <w:color w:val="000000"/>
          <w:sz w:val="21"/>
          <w:szCs w:val="21"/>
        </w:rPr>
        <w:t>，其中住宅施工面积</w:t>
      </w:r>
      <w:r w:rsidRPr="0043038D">
        <w:rPr>
          <w:rFonts w:ascii="Arial" w:hAnsi="Arial"/>
          <w:color w:val="000000"/>
          <w:sz w:val="21"/>
          <w:szCs w:val="21"/>
        </w:rPr>
        <w:t>5377.4</w:t>
      </w:r>
      <w:r w:rsidRPr="0043038D">
        <w:rPr>
          <w:rFonts w:ascii="Arial" w:hAnsi="Arial" w:hint="eastAsia"/>
          <w:color w:val="000000"/>
          <w:sz w:val="21"/>
          <w:szCs w:val="21"/>
        </w:rPr>
        <w:t>万平方米，下降</w:t>
      </w:r>
      <w:r w:rsidRPr="0043038D">
        <w:rPr>
          <w:rFonts w:ascii="Arial" w:hAnsi="Arial"/>
          <w:color w:val="000000"/>
          <w:sz w:val="21"/>
          <w:szCs w:val="21"/>
        </w:rPr>
        <w:t>8.2%</w:t>
      </w:r>
      <w:r w:rsidRPr="0043038D">
        <w:rPr>
          <w:rFonts w:ascii="Arial" w:hAnsi="Arial" w:hint="eastAsia"/>
          <w:color w:val="000000"/>
          <w:sz w:val="21"/>
          <w:szCs w:val="21"/>
        </w:rPr>
        <w:t>。全市商品房销售面积</w:t>
      </w:r>
      <w:r w:rsidRPr="0043038D">
        <w:rPr>
          <w:rFonts w:ascii="Arial" w:hAnsi="Arial"/>
          <w:color w:val="000000"/>
          <w:sz w:val="21"/>
          <w:szCs w:val="21"/>
        </w:rPr>
        <w:t>509.9</w:t>
      </w:r>
      <w:r w:rsidRPr="0043038D">
        <w:rPr>
          <w:rFonts w:ascii="Arial" w:hAnsi="Arial" w:hint="eastAsia"/>
          <w:color w:val="000000"/>
          <w:sz w:val="21"/>
          <w:szCs w:val="21"/>
        </w:rPr>
        <w:t>万平方米，同比下降</w:t>
      </w:r>
      <w:r w:rsidRPr="0043038D">
        <w:rPr>
          <w:rFonts w:ascii="Arial" w:hAnsi="Arial"/>
          <w:color w:val="000000"/>
          <w:sz w:val="21"/>
          <w:szCs w:val="21"/>
        </w:rPr>
        <w:t>2.5%</w:t>
      </w:r>
      <w:r w:rsidRPr="0043038D">
        <w:rPr>
          <w:rFonts w:ascii="Arial" w:hAnsi="Arial" w:hint="eastAsia"/>
          <w:color w:val="000000"/>
          <w:sz w:val="21"/>
          <w:szCs w:val="21"/>
        </w:rPr>
        <w:t>，其中住宅销售面积</w:t>
      </w:r>
      <w:r w:rsidRPr="0043038D">
        <w:rPr>
          <w:rFonts w:ascii="Arial" w:hAnsi="Arial"/>
          <w:color w:val="000000"/>
          <w:sz w:val="21"/>
          <w:szCs w:val="21"/>
        </w:rPr>
        <w:t>355.3</w:t>
      </w:r>
      <w:r w:rsidRPr="0043038D">
        <w:rPr>
          <w:rFonts w:ascii="Arial" w:hAnsi="Arial" w:hint="eastAsia"/>
          <w:color w:val="000000"/>
          <w:sz w:val="21"/>
          <w:szCs w:val="21"/>
        </w:rPr>
        <w:t>万平方米，下降</w:t>
      </w:r>
      <w:r w:rsidRPr="0043038D">
        <w:rPr>
          <w:rFonts w:ascii="Arial" w:hAnsi="Arial"/>
          <w:color w:val="000000"/>
          <w:sz w:val="21"/>
          <w:szCs w:val="21"/>
        </w:rPr>
        <w:t>6.2%</w:t>
      </w:r>
      <w:r w:rsidRPr="0043038D">
        <w:rPr>
          <w:rFonts w:ascii="Arial" w:hAnsi="Arial" w:hint="eastAsia"/>
          <w:color w:val="000000"/>
          <w:sz w:val="21"/>
          <w:szCs w:val="21"/>
        </w:rPr>
        <w:t>。</w:t>
      </w:r>
    </w:p>
    <w:bookmarkEnd w:id="61"/>
    <w:p w14:paraId="176C3B91"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总的来看，上半年北京市经济持续恢复，高质量发展扎实推进。在市委、市政府坚强领导下，全市上下坚决贯彻落实党中央、国务院决策部署和市委、市政府工作要求，坚持稳中求进工作总基调，落实落细各项政策措施，着力稳增长、扩需求、育动能，扎实推进首都经济高质量发展，生产需求持续恢复，就业物价保持稳定，居民收入继续增加，总体经济延续恢复向好态势。</w:t>
      </w:r>
    </w:p>
    <w:p w14:paraId="2E35F4D5" w14:textId="77777777"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color w:val="000000"/>
          <w:sz w:val="21"/>
          <w:szCs w:val="21"/>
        </w:rPr>
        <w:t>2.</w:t>
      </w:r>
      <w:r w:rsidRPr="0043038D">
        <w:rPr>
          <w:rFonts w:ascii="Arial" w:hAnsi="Arial" w:hint="eastAsia"/>
          <w:color w:val="000000"/>
          <w:sz w:val="21"/>
          <w:szCs w:val="21"/>
        </w:rPr>
        <w:t>土地市场</w:t>
      </w:r>
    </w:p>
    <w:p w14:paraId="66FE49F9" w14:textId="77777777"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hint="eastAsia"/>
          <w:color w:val="000000"/>
          <w:sz w:val="21"/>
          <w:szCs w:val="21"/>
        </w:rPr>
        <w:t>（</w:t>
      </w:r>
      <w:r w:rsidRPr="0043038D">
        <w:rPr>
          <w:rFonts w:ascii="Arial" w:hAnsi="Arial"/>
          <w:color w:val="000000"/>
          <w:sz w:val="21"/>
          <w:szCs w:val="21"/>
        </w:rPr>
        <w:t>1</w:t>
      </w:r>
      <w:r w:rsidRPr="0043038D">
        <w:rPr>
          <w:rFonts w:ascii="Arial" w:hAnsi="Arial" w:hint="eastAsia"/>
          <w:color w:val="000000"/>
          <w:sz w:val="21"/>
          <w:szCs w:val="21"/>
        </w:rPr>
        <w:t>）土地供求情况</w:t>
      </w:r>
    </w:p>
    <w:p w14:paraId="4468B0F2" w14:textId="77777777"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color w:val="000000"/>
          <w:sz w:val="21"/>
          <w:szCs w:val="21"/>
        </w:rPr>
        <w:t>2024</w:t>
      </w:r>
      <w:r w:rsidRPr="0043038D">
        <w:rPr>
          <w:rFonts w:ascii="Arial" w:hAnsi="Arial" w:hint="eastAsia"/>
          <w:color w:val="000000"/>
          <w:sz w:val="21"/>
          <w:szCs w:val="21"/>
        </w:rPr>
        <w:t>年上半年北京商品住宅用地共推出</w:t>
      </w:r>
      <w:r w:rsidRPr="0043038D">
        <w:rPr>
          <w:rFonts w:ascii="Arial" w:hAnsi="Arial"/>
          <w:color w:val="000000"/>
          <w:sz w:val="21"/>
          <w:szCs w:val="21"/>
        </w:rPr>
        <w:t>20</w:t>
      </w:r>
      <w:r w:rsidRPr="0043038D">
        <w:rPr>
          <w:rFonts w:ascii="Arial" w:hAnsi="Arial" w:hint="eastAsia"/>
          <w:color w:val="000000"/>
          <w:sz w:val="21"/>
          <w:szCs w:val="21"/>
        </w:rPr>
        <w:t>宗，累计供应规划建面</w:t>
      </w:r>
      <w:r w:rsidRPr="0043038D">
        <w:rPr>
          <w:rFonts w:ascii="Arial" w:hAnsi="Arial"/>
          <w:color w:val="000000"/>
          <w:sz w:val="21"/>
          <w:szCs w:val="21"/>
        </w:rPr>
        <w:t>236.45</w:t>
      </w:r>
      <w:r w:rsidRPr="0043038D">
        <w:rPr>
          <w:rFonts w:ascii="Arial" w:hAnsi="Arial" w:hint="eastAsia"/>
          <w:color w:val="000000"/>
          <w:sz w:val="21"/>
          <w:szCs w:val="21"/>
        </w:rPr>
        <w:t>万㎡，同比下降</w:t>
      </w:r>
      <w:r w:rsidRPr="0043038D">
        <w:rPr>
          <w:rFonts w:ascii="Arial" w:hAnsi="Arial"/>
          <w:color w:val="000000"/>
          <w:sz w:val="21"/>
          <w:szCs w:val="21"/>
        </w:rPr>
        <w:t>14.13%</w:t>
      </w:r>
      <w:r w:rsidRPr="0043038D">
        <w:rPr>
          <w:rFonts w:ascii="Arial" w:hAnsi="Arial" w:hint="eastAsia"/>
          <w:color w:val="000000"/>
          <w:sz w:val="21"/>
          <w:szCs w:val="21"/>
        </w:rPr>
        <w:t>。上半年，北京累计成交</w:t>
      </w:r>
      <w:r w:rsidRPr="0043038D">
        <w:rPr>
          <w:rFonts w:ascii="Arial" w:hAnsi="Arial"/>
          <w:color w:val="000000"/>
          <w:sz w:val="21"/>
          <w:szCs w:val="21"/>
        </w:rPr>
        <w:t>19</w:t>
      </w:r>
      <w:r w:rsidRPr="0043038D">
        <w:rPr>
          <w:rFonts w:ascii="Arial" w:hAnsi="Arial" w:hint="eastAsia"/>
          <w:color w:val="000000"/>
          <w:sz w:val="21"/>
          <w:szCs w:val="21"/>
        </w:rPr>
        <w:t>宗商品住宅用地，成交规划建面</w:t>
      </w:r>
      <w:r w:rsidRPr="0043038D">
        <w:rPr>
          <w:rFonts w:ascii="Arial" w:hAnsi="Arial"/>
          <w:color w:val="000000"/>
          <w:sz w:val="21"/>
          <w:szCs w:val="21"/>
        </w:rPr>
        <w:t>237.33</w:t>
      </w:r>
      <w:r w:rsidRPr="0043038D">
        <w:rPr>
          <w:rFonts w:ascii="Arial" w:hAnsi="Arial" w:hint="eastAsia"/>
          <w:color w:val="000000"/>
          <w:sz w:val="21"/>
          <w:szCs w:val="21"/>
        </w:rPr>
        <w:t>万㎡，同比略降</w:t>
      </w:r>
      <w:r w:rsidRPr="0043038D">
        <w:rPr>
          <w:rFonts w:ascii="Arial" w:hAnsi="Arial"/>
          <w:color w:val="000000"/>
          <w:sz w:val="21"/>
          <w:szCs w:val="21"/>
        </w:rPr>
        <w:t>4.36%</w:t>
      </w:r>
      <w:r w:rsidRPr="0043038D">
        <w:rPr>
          <w:rFonts w:ascii="Arial" w:hAnsi="Arial" w:hint="eastAsia"/>
          <w:color w:val="000000"/>
          <w:sz w:val="21"/>
          <w:szCs w:val="21"/>
        </w:rPr>
        <w:t>。北京宅地成交总地价款达</w:t>
      </w:r>
      <w:r w:rsidRPr="0043038D">
        <w:rPr>
          <w:rFonts w:ascii="Arial" w:hAnsi="Arial"/>
          <w:color w:val="000000"/>
          <w:sz w:val="21"/>
          <w:szCs w:val="21"/>
        </w:rPr>
        <w:t>732.4</w:t>
      </w:r>
      <w:r w:rsidRPr="0043038D">
        <w:rPr>
          <w:rFonts w:ascii="Arial" w:hAnsi="Arial" w:hint="eastAsia"/>
          <w:color w:val="000000"/>
          <w:sz w:val="21"/>
          <w:szCs w:val="21"/>
        </w:rPr>
        <w:t>亿元，同比下降</w:t>
      </w:r>
      <w:r w:rsidRPr="0043038D">
        <w:rPr>
          <w:rFonts w:ascii="Arial" w:hAnsi="Arial"/>
          <w:color w:val="000000"/>
          <w:sz w:val="21"/>
          <w:szCs w:val="21"/>
        </w:rPr>
        <w:t>14.65%</w:t>
      </w:r>
      <w:r w:rsidRPr="0043038D">
        <w:rPr>
          <w:rFonts w:ascii="Arial" w:hAnsi="Arial" w:hint="eastAsia"/>
          <w:color w:val="000000"/>
          <w:sz w:val="21"/>
          <w:szCs w:val="21"/>
        </w:rPr>
        <w:t>，仍领跑全国宅地成交地价排行榜。上半年，北京宅地成交楼面均价为</w:t>
      </w:r>
      <w:r w:rsidRPr="0043038D">
        <w:rPr>
          <w:rFonts w:ascii="Arial" w:hAnsi="Arial"/>
          <w:color w:val="000000"/>
          <w:sz w:val="21"/>
          <w:szCs w:val="21"/>
        </w:rPr>
        <w:t>30858</w:t>
      </w:r>
      <w:r w:rsidRPr="0043038D">
        <w:rPr>
          <w:rFonts w:ascii="Arial" w:hAnsi="Arial" w:hint="eastAsia"/>
          <w:color w:val="000000"/>
          <w:sz w:val="21"/>
          <w:szCs w:val="21"/>
        </w:rPr>
        <w:t>元</w:t>
      </w:r>
      <w:r w:rsidRPr="0043038D">
        <w:rPr>
          <w:rFonts w:ascii="Arial" w:hAnsi="Arial"/>
          <w:color w:val="000000"/>
          <w:sz w:val="21"/>
          <w:szCs w:val="21"/>
        </w:rPr>
        <w:t>/</w:t>
      </w:r>
      <w:r w:rsidRPr="0043038D">
        <w:rPr>
          <w:rFonts w:ascii="Arial" w:hAnsi="Arial" w:hint="eastAsia"/>
          <w:color w:val="000000"/>
          <w:sz w:val="21"/>
          <w:szCs w:val="21"/>
        </w:rPr>
        <w:t>㎡，同比下降</w:t>
      </w:r>
      <w:r w:rsidRPr="0043038D">
        <w:rPr>
          <w:rFonts w:ascii="Arial" w:hAnsi="Arial"/>
          <w:color w:val="000000"/>
          <w:sz w:val="21"/>
          <w:szCs w:val="21"/>
        </w:rPr>
        <w:t>10.76%</w:t>
      </w:r>
      <w:r w:rsidRPr="0043038D">
        <w:rPr>
          <w:rFonts w:ascii="Arial" w:hAnsi="Arial" w:hint="eastAsia"/>
          <w:color w:val="000000"/>
          <w:sz w:val="21"/>
          <w:szCs w:val="21"/>
        </w:rPr>
        <w:t>；平均溢价率为</w:t>
      </w:r>
      <w:r w:rsidRPr="0043038D">
        <w:rPr>
          <w:rFonts w:ascii="Arial" w:hAnsi="Arial"/>
          <w:color w:val="000000"/>
          <w:sz w:val="21"/>
          <w:szCs w:val="21"/>
        </w:rPr>
        <w:t>3.87%</w:t>
      </w:r>
      <w:r w:rsidRPr="0043038D">
        <w:rPr>
          <w:rFonts w:ascii="Arial" w:hAnsi="Arial" w:hint="eastAsia"/>
          <w:color w:val="000000"/>
          <w:sz w:val="21"/>
          <w:szCs w:val="21"/>
        </w:rPr>
        <w:t>，同比下降</w:t>
      </w:r>
      <w:r w:rsidRPr="0043038D">
        <w:rPr>
          <w:rFonts w:ascii="Arial" w:hAnsi="Arial"/>
          <w:color w:val="000000"/>
          <w:sz w:val="21"/>
          <w:szCs w:val="21"/>
        </w:rPr>
        <w:t>8.9%</w:t>
      </w:r>
      <w:r w:rsidRPr="0043038D">
        <w:rPr>
          <w:rFonts w:ascii="Arial" w:hAnsi="Arial" w:hint="eastAsia"/>
          <w:color w:val="000000"/>
          <w:sz w:val="21"/>
          <w:szCs w:val="21"/>
        </w:rPr>
        <w:t>。</w:t>
      </w:r>
    </w:p>
    <w:p w14:paraId="7F59056F"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至今北京市区涉宅用地楼面价和溢价率季度走势</w:t>
      </w:r>
    </w:p>
    <w:p w14:paraId="15326525" w14:textId="77777777" w:rsidR="000E5655" w:rsidRPr="0043038D" w:rsidRDefault="00837133">
      <w:pPr>
        <w:widowControl/>
        <w:overflowPunct w:val="0"/>
        <w:adjustRightInd/>
        <w:spacing w:line="480" w:lineRule="auto"/>
        <w:jc w:val="center"/>
      </w:pPr>
      <w:r w:rsidRPr="0043038D">
        <w:rPr>
          <w:noProof/>
        </w:rPr>
        <w:drawing>
          <wp:inline distT="0" distB="0" distL="0" distR="0" wp14:anchorId="3A45126C" wp14:editId="06E089C9">
            <wp:extent cx="5907405" cy="240792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07405" cy="2407920"/>
                    </a:xfrm>
                    <a:prstGeom prst="rect">
                      <a:avLst/>
                    </a:prstGeom>
                    <a:noFill/>
                    <a:ln>
                      <a:noFill/>
                    </a:ln>
                  </pic:spPr>
                </pic:pic>
              </a:graphicData>
            </a:graphic>
          </wp:inline>
        </w:drawing>
      </w:r>
    </w:p>
    <w:p w14:paraId="495EEC9F" w14:textId="77777777"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hint="eastAsia"/>
          <w:sz w:val="21"/>
          <w:szCs w:val="21"/>
        </w:rPr>
        <w:t>（</w:t>
      </w:r>
      <w:r w:rsidRPr="0043038D">
        <w:rPr>
          <w:rFonts w:ascii="Arial" w:hAnsi="Arial"/>
          <w:sz w:val="21"/>
          <w:szCs w:val="21"/>
        </w:rPr>
        <w:t>2</w:t>
      </w:r>
      <w:r w:rsidRPr="0043038D">
        <w:rPr>
          <w:rFonts w:ascii="Arial" w:hAnsi="Arial" w:hint="eastAsia"/>
          <w:sz w:val="21"/>
          <w:szCs w:val="21"/>
        </w:rPr>
        <w:t>）土地成交情况</w:t>
      </w:r>
    </w:p>
    <w:p w14:paraId="59A861BB" w14:textId="77777777"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sz w:val="21"/>
          <w:szCs w:val="21"/>
        </w:rPr>
        <w:t>2024</w:t>
      </w:r>
      <w:r w:rsidRPr="0043038D">
        <w:rPr>
          <w:rFonts w:ascii="Arial" w:hAnsi="Arial" w:hint="eastAsia"/>
          <w:sz w:val="21"/>
          <w:szCs w:val="21"/>
        </w:rPr>
        <w:t>年上半年，北京市中心城区共成交</w:t>
      </w:r>
      <w:r w:rsidRPr="0043038D">
        <w:rPr>
          <w:rFonts w:ascii="Arial" w:hAnsi="Arial"/>
          <w:sz w:val="21"/>
          <w:szCs w:val="21"/>
        </w:rPr>
        <w:t>8</w:t>
      </w:r>
      <w:r w:rsidRPr="0043038D">
        <w:rPr>
          <w:rFonts w:ascii="Arial" w:hAnsi="Arial" w:hint="eastAsia"/>
          <w:sz w:val="21"/>
          <w:szCs w:val="21"/>
        </w:rPr>
        <w:t>宗宅地，成交规划建面</w:t>
      </w:r>
      <w:r w:rsidRPr="0043038D">
        <w:rPr>
          <w:rFonts w:ascii="Arial" w:hAnsi="Arial"/>
          <w:sz w:val="21"/>
          <w:szCs w:val="21"/>
        </w:rPr>
        <w:t>109.87</w:t>
      </w:r>
      <w:r w:rsidRPr="0043038D">
        <w:rPr>
          <w:rFonts w:ascii="Arial" w:hAnsi="Arial" w:hint="eastAsia"/>
          <w:sz w:val="21"/>
          <w:szCs w:val="21"/>
        </w:rPr>
        <w:t>万㎡，占比</w:t>
      </w:r>
      <w:r w:rsidRPr="0043038D">
        <w:rPr>
          <w:rFonts w:ascii="Arial" w:hAnsi="Arial"/>
          <w:sz w:val="21"/>
          <w:szCs w:val="21"/>
        </w:rPr>
        <w:t>46.29%</w:t>
      </w:r>
      <w:r w:rsidRPr="0043038D">
        <w:rPr>
          <w:rFonts w:ascii="Arial" w:hAnsi="Arial" w:hint="eastAsia"/>
          <w:sz w:val="21"/>
          <w:szCs w:val="21"/>
        </w:rPr>
        <w:t>。其中朝阳为成交主力区域，累计成交规模超</w:t>
      </w:r>
      <w:r w:rsidRPr="0043038D">
        <w:rPr>
          <w:rFonts w:ascii="Arial" w:hAnsi="Arial"/>
          <w:sz w:val="21"/>
          <w:szCs w:val="21"/>
        </w:rPr>
        <w:t>40</w:t>
      </w:r>
      <w:r w:rsidRPr="0043038D">
        <w:rPr>
          <w:rFonts w:ascii="Arial" w:hAnsi="Arial" w:hint="eastAsia"/>
          <w:sz w:val="21"/>
          <w:szCs w:val="21"/>
        </w:rPr>
        <w:t>万㎡。近郊区与中心城区基本一致，累计成交</w:t>
      </w:r>
      <w:r w:rsidRPr="0043038D">
        <w:rPr>
          <w:rFonts w:ascii="Arial" w:hAnsi="Arial"/>
          <w:sz w:val="21"/>
          <w:szCs w:val="21"/>
        </w:rPr>
        <w:t>112.56</w:t>
      </w:r>
      <w:r w:rsidRPr="0043038D">
        <w:rPr>
          <w:rFonts w:ascii="Arial" w:hAnsi="Arial" w:hint="eastAsia"/>
          <w:sz w:val="21"/>
          <w:szCs w:val="21"/>
        </w:rPr>
        <w:t>万㎡，占比为</w:t>
      </w:r>
      <w:r w:rsidRPr="0043038D">
        <w:rPr>
          <w:rFonts w:ascii="Arial" w:hAnsi="Arial"/>
          <w:sz w:val="21"/>
          <w:szCs w:val="21"/>
        </w:rPr>
        <w:t>47.43%</w:t>
      </w:r>
      <w:r w:rsidRPr="0043038D">
        <w:rPr>
          <w:rFonts w:ascii="Arial" w:hAnsi="Arial" w:hint="eastAsia"/>
          <w:sz w:val="21"/>
          <w:szCs w:val="21"/>
        </w:rPr>
        <w:t>；其中大兴为主力成交区域，成交规模为</w:t>
      </w:r>
      <w:r w:rsidRPr="0043038D">
        <w:rPr>
          <w:rFonts w:ascii="Arial" w:hAnsi="Arial"/>
          <w:sz w:val="21"/>
          <w:szCs w:val="21"/>
        </w:rPr>
        <w:t>44.97</w:t>
      </w:r>
      <w:r w:rsidRPr="0043038D">
        <w:rPr>
          <w:rFonts w:ascii="Arial" w:hAnsi="Arial" w:hint="eastAsia"/>
          <w:sz w:val="21"/>
          <w:szCs w:val="21"/>
        </w:rPr>
        <w:t>万㎡，成交规模占比分别为</w:t>
      </w:r>
      <w:r w:rsidRPr="0043038D">
        <w:rPr>
          <w:rFonts w:ascii="Arial" w:hAnsi="Arial"/>
          <w:sz w:val="21"/>
          <w:szCs w:val="21"/>
        </w:rPr>
        <w:t>18.95%</w:t>
      </w:r>
      <w:r w:rsidRPr="0043038D">
        <w:rPr>
          <w:rFonts w:ascii="Arial" w:hAnsi="Arial" w:hint="eastAsia"/>
          <w:sz w:val="21"/>
          <w:szCs w:val="21"/>
        </w:rPr>
        <w:t>。</w:t>
      </w:r>
    </w:p>
    <w:p w14:paraId="2BBA3833"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至今三大圈层区域成交规划总建面占比季度走势</w:t>
      </w:r>
    </w:p>
    <w:p w14:paraId="220ABA45" w14:textId="77777777" w:rsidR="000E5655" w:rsidRPr="0043038D" w:rsidRDefault="00837133">
      <w:pPr>
        <w:widowControl/>
        <w:overflowPunct w:val="0"/>
        <w:adjustRightInd/>
        <w:spacing w:line="480" w:lineRule="auto"/>
        <w:jc w:val="center"/>
      </w:pPr>
      <w:r w:rsidRPr="0043038D">
        <w:rPr>
          <w:noProof/>
        </w:rPr>
        <w:drawing>
          <wp:inline distT="0" distB="0" distL="0" distR="0" wp14:anchorId="6F12A19C" wp14:editId="38CEC35A">
            <wp:extent cx="4318635" cy="223139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318635" cy="2231390"/>
                    </a:xfrm>
                    <a:prstGeom prst="rect">
                      <a:avLst/>
                    </a:prstGeom>
                    <a:noFill/>
                    <a:ln>
                      <a:noFill/>
                    </a:ln>
                  </pic:spPr>
                </pic:pic>
              </a:graphicData>
            </a:graphic>
          </wp:inline>
        </w:drawing>
      </w:r>
    </w:p>
    <w:p w14:paraId="1098B652"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至今三大圈层区域成交地价款占比季度走势</w:t>
      </w:r>
    </w:p>
    <w:p w14:paraId="4D9725AE" w14:textId="77777777" w:rsidR="000E5655" w:rsidRPr="0043038D" w:rsidRDefault="00837133">
      <w:pPr>
        <w:widowControl/>
        <w:overflowPunct w:val="0"/>
        <w:adjustRightInd/>
        <w:spacing w:line="480" w:lineRule="auto"/>
        <w:jc w:val="center"/>
      </w:pPr>
      <w:r w:rsidRPr="0043038D">
        <w:rPr>
          <w:noProof/>
        </w:rPr>
        <w:drawing>
          <wp:inline distT="0" distB="0" distL="0" distR="0" wp14:anchorId="6F2919E7" wp14:editId="16D39454">
            <wp:extent cx="4318635" cy="235394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18635" cy="2353945"/>
                    </a:xfrm>
                    <a:prstGeom prst="rect">
                      <a:avLst/>
                    </a:prstGeom>
                    <a:noFill/>
                    <a:ln>
                      <a:noFill/>
                    </a:ln>
                  </pic:spPr>
                </pic:pic>
              </a:graphicData>
            </a:graphic>
          </wp:inline>
        </w:drawing>
      </w:r>
    </w:p>
    <w:p w14:paraId="3A8D5F66" w14:textId="77777777" w:rsidR="000E5655" w:rsidRPr="0043038D" w:rsidRDefault="00837133">
      <w:pPr>
        <w:overflowPunct w:val="0"/>
        <w:spacing w:line="480" w:lineRule="auto"/>
        <w:ind w:firstLineChars="200" w:firstLine="420"/>
        <w:jc w:val="both"/>
        <w:rPr>
          <w:rFonts w:ascii="Arial" w:hAnsi="Arial" w:cs="宋体"/>
          <w:sz w:val="21"/>
          <w:szCs w:val="21"/>
        </w:rPr>
      </w:pPr>
      <w:r w:rsidRPr="0043038D">
        <w:rPr>
          <w:rFonts w:ascii="Arial" w:hAnsi="Arial" w:cs="宋体" w:hint="eastAsia"/>
          <w:sz w:val="21"/>
          <w:szCs w:val="21"/>
        </w:rPr>
        <w:t>（</w:t>
      </w:r>
      <w:r w:rsidRPr="0043038D">
        <w:rPr>
          <w:rFonts w:ascii="Arial" w:hAnsi="Arial"/>
          <w:sz w:val="21"/>
        </w:rPr>
        <w:t>3</w:t>
      </w:r>
      <w:r w:rsidRPr="0043038D">
        <w:rPr>
          <w:rFonts w:ascii="Arial" w:hAnsi="Arial" w:cs="宋体" w:hint="eastAsia"/>
          <w:sz w:val="21"/>
          <w:szCs w:val="21"/>
        </w:rPr>
        <w:t>）土地成交价格</w:t>
      </w:r>
    </w:p>
    <w:p w14:paraId="5C91A811"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年上半年，北京市成交总地价款达</w:t>
      </w:r>
      <w:r w:rsidRPr="0043038D">
        <w:rPr>
          <w:rFonts w:ascii="Arial" w:hAnsi="Arial"/>
          <w:sz w:val="21"/>
          <w:szCs w:val="28"/>
        </w:rPr>
        <w:t>732.4</w:t>
      </w:r>
      <w:r w:rsidRPr="0043038D">
        <w:rPr>
          <w:rFonts w:ascii="Arial" w:hAnsi="Arial" w:hint="eastAsia"/>
          <w:sz w:val="21"/>
          <w:szCs w:val="28"/>
        </w:rPr>
        <w:t>亿元，平均溢价率为</w:t>
      </w:r>
      <w:r w:rsidRPr="0043038D">
        <w:rPr>
          <w:rFonts w:ascii="Arial" w:hAnsi="Arial"/>
          <w:sz w:val="21"/>
          <w:szCs w:val="28"/>
        </w:rPr>
        <w:t>3.87%</w:t>
      </w:r>
      <w:r w:rsidRPr="0043038D">
        <w:rPr>
          <w:rFonts w:ascii="Arial" w:hAnsi="Arial" w:hint="eastAsia"/>
          <w:sz w:val="21"/>
          <w:szCs w:val="28"/>
        </w:rPr>
        <w:t>，呈“先扬后抑”趋势。</w:t>
      </w:r>
      <w:r w:rsidRPr="0043038D">
        <w:rPr>
          <w:rFonts w:ascii="Arial" w:hAnsi="Arial"/>
          <w:sz w:val="21"/>
          <w:szCs w:val="28"/>
        </w:rPr>
        <w:t>1-3</w:t>
      </w:r>
      <w:r w:rsidRPr="0043038D">
        <w:rPr>
          <w:rFonts w:ascii="Arial" w:hAnsi="Arial" w:hint="eastAsia"/>
          <w:sz w:val="21"/>
          <w:szCs w:val="28"/>
        </w:rPr>
        <w:t>月，受优质地块拍地节奏加快影响，成交地价款总额及楼面地价结构性上扬。企业投资继续聚焦城市核心区域，土拍热度分化加剧。拿地企业方面，央国企拿地意愿占比提升。</w:t>
      </w:r>
      <w:r w:rsidRPr="0043038D">
        <w:rPr>
          <w:rFonts w:ascii="Arial" w:hAnsi="Arial"/>
          <w:sz w:val="21"/>
          <w:szCs w:val="28"/>
        </w:rPr>
        <w:t>4-6</w:t>
      </w:r>
      <w:r w:rsidRPr="0043038D">
        <w:rPr>
          <w:rFonts w:ascii="Arial" w:hAnsi="Arial" w:hint="eastAsia"/>
          <w:sz w:val="21"/>
          <w:szCs w:val="28"/>
        </w:rPr>
        <w:t>月，地块热度低迷，均为国央企拿地，除海淀西北旺溢价</w:t>
      </w:r>
      <w:r w:rsidRPr="0043038D">
        <w:rPr>
          <w:rFonts w:ascii="Arial" w:hAnsi="Arial"/>
          <w:sz w:val="21"/>
          <w:szCs w:val="28"/>
        </w:rPr>
        <w:t>1.5%</w:t>
      </w:r>
      <w:r w:rsidRPr="0043038D">
        <w:rPr>
          <w:rFonts w:ascii="Arial" w:hAnsi="Arial" w:hint="eastAsia"/>
          <w:sz w:val="21"/>
          <w:szCs w:val="28"/>
        </w:rPr>
        <w:t>外，全部底价成交。</w:t>
      </w:r>
    </w:p>
    <w:p w14:paraId="5AE9701D"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月北京住宅用地成交楼面均价及溢价率走势</w:t>
      </w:r>
    </w:p>
    <w:p w14:paraId="487EDD81" w14:textId="77777777" w:rsidR="000E5655" w:rsidRPr="0043038D" w:rsidRDefault="00837133">
      <w:pPr>
        <w:spacing w:line="480" w:lineRule="auto"/>
        <w:jc w:val="center"/>
        <w:rPr>
          <w:rFonts w:ascii="Arial" w:hAnsi="Arial" w:cs="Arial"/>
          <w:sz w:val="21"/>
          <w:szCs w:val="21"/>
        </w:rPr>
      </w:pPr>
      <w:r w:rsidRPr="0043038D">
        <w:rPr>
          <w:rFonts w:ascii="Arial" w:eastAsia="仿宋_GB2312" w:hAnsi="Arial" w:cs="Arial"/>
          <w:bCs/>
          <w:noProof/>
          <w:color w:val="000000"/>
          <w:sz w:val="28"/>
          <w:szCs w:val="28"/>
        </w:rPr>
        <w:drawing>
          <wp:inline distT="0" distB="0" distL="0" distR="0" wp14:anchorId="4DEE1316" wp14:editId="415F1227">
            <wp:extent cx="5486400" cy="1981200"/>
            <wp:effectExtent l="0" t="0" r="0" b="0"/>
            <wp:docPr id="25"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0476F4"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4</w:t>
      </w:r>
      <w:r w:rsidRPr="0043038D">
        <w:rPr>
          <w:rFonts w:ascii="Arial" w:hAnsi="Arial" w:hint="eastAsia"/>
          <w:sz w:val="21"/>
          <w:szCs w:val="28"/>
        </w:rPr>
        <w:t>）供应计划</w:t>
      </w:r>
    </w:p>
    <w:p w14:paraId="3454475B"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1</w:t>
      </w:r>
      <w:r w:rsidRPr="0043038D">
        <w:rPr>
          <w:rFonts w:ascii="Arial" w:hAnsi="Arial" w:hint="eastAsia"/>
          <w:sz w:val="21"/>
          <w:szCs w:val="28"/>
        </w:rPr>
        <w:t>月</w:t>
      </w:r>
      <w:r w:rsidRPr="0043038D">
        <w:rPr>
          <w:rFonts w:ascii="Arial" w:hAnsi="Arial"/>
          <w:sz w:val="21"/>
          <w:szCs w:val="28"/>
        </w:rPr>
        <w:t>17</w:t>
      </w:r>
      <w:r w:rsidRPr="0043038D">
        <w:rPr>
          <w:rFonts w:ascii="Arial" w:hAnsi="Arial" w:hint="eastAsia"/>
          <w:sz w:val="21"/>
          <w:szCs w:val="28"/>
        </w:rPr>
        <w:t>日，北京市规划和自然资源委员会、北京市发展和改革委员会联合发布《北京市</w:t>
      </w:r>
      <w:r w:rsidRPr="0043038D">
        <w:rPr>
          <w:rFonts w:ascii="Arial" w:hAnsi="Arial"/>
          <w:sz w:val="21"/>
          <w:szCs w:val="28"/>
        </w:rPr>
        <w:t>2024</w:t>
      </w:r>
      <w:r w:rsidRPr="0043038D">
        <w:rPr>
          <w:rFonts w:ascii="Arial" w:hAnsi="Arial" w:hint="eastAsia"/>
          <w:sz w:val="21"/>
          <w:szCs w:val="28"/>
        </w:rPr>
        <w:t>年度建设用地供应计划》，</w:t>
      </w:r>
      <w:r w:rsidRPr="0043038D">
        <w:rPr>
          <w:rFonts w:ascii="Arial" w:hAnsi="Arial"/>
          <w:sz w:val="21"/>
          <w:szCs w:val="28"/>
        </w:rPr>
        <w:t>2024</w:t>
      </w:r>
      <w:r w:rsidRPr="0043038D">
        <w:rPr>
          <w:rFonts w:ascii="Arial" w:hAnsi="Arial" w:hint="eastAsia"/>
          <w:sz w:val="21"/>
          <w:szCs w:val="28"/>
        </w:rPr>
        <w:t>年计划安排建设用地供应总量</w:t>
      </w:r>
      <w:r w:rsidRPr="0043038D">
        <w:rPr>
          <w:rFonts w:ascii="Arial" w:hAnsi="Arial"/>
          <w:sz w:val="21"/>
          <w:szCs w:val="28"/>
        </w:rPr>
        <w:t>3240</w:t>
      </w:r>
      <w:r w:rsidRPr="0043038D">
        <w:rPr>
          <w:rFonts w:ascii="Arial" w:hAnsi="Arial" w:hint="eastAsia"/>
          <w:sz w:val="21"/>
          <w:szCs w:val="28"/>
        </w:rPr>
        <w:t>至</w:t>
      </w:r>
      <w:r w:rsidRPr="0043038D">
        <w:rPr>
          <w:rFonts w:ascii="Arial" w:hAnsi="Arial"/>
          <w:sz w:val="21"/>
          <w:szCs w:val="28"/>
        </w:rPr>
        <w:t>3660</w:t>
      </w:r>
      <w:r w:rsidRPr="0043038D">
        <w:rPr>
          <w:rFonts w:ascii="Arial" w:hAnsi="Arial" w:hint="eastAsia"/>
          <w:sz w:val="21"/>
          <w:szCs w:val="28"/>
        </w:rPr>
        <w:t>公顷，较</w:t>
      </w:r>
      <w:r w:rsidRPr="0043038D">
        <w:rPr>
          <w:rFonts w:ascii="Arial" w:hAnsi="Arial"/>
          <w:sz w:val="21"/>
          <w:szCs w:val="28"/>
        </w:rPr>
        <w:t>2023</w:t>
      </w:r>
      <w:r w:rsidRPr="0043038D">
        <w:rPr>
          <w:rFonts w:ascii="Arial" w:hAnsi="Arial" w:hint="eastAsia"/>
          <w:sz w:val="21"/>
          <w:szCs w:val="28"/>
        </w:rPr>
        <w:t>年增加</w:t>
      </w:r>
      <w:r w:rsidRPr="0043038D">
        <w:rPr>
          <w:rFonts w:ascii="Arial" w:hAnsi="Arial"/>
          <w:sz w:val="21"/>
          <w:szCs w:val="28"/>
        </w:rPr>
        <w:t>30</w:t>
      </w:r>
      <w:r w:rsidRPr="0043038D">
        <w:rPr>
          <w:rFonts w:ascii="Arial" w:hAnsi="Arial" w:hint="eastAsia"/>
          <w:sz w:val="21"/>
          <w:szCs w:val="28"/>
        </w:rPr>
        <w:t>公顷（全部增加在特交水用地）。住宅用地安排</w:t>
      </w:r>
      <w:r w:rsidRPr="0043038D">
        <w:rPr>
          <w:rFonts w:ascii="Arial" w:hAnsi="Arial"/>
          <w:sz w:val="21"/>
          <w:szCs w:val="28"/>
        </w:rPr>
        <w:t>1060</w:t>
      </w:r>
      <w:r w:rsidRPr="0043038D">
        <w:rPr>
          <w:rFonts w:ascii="Arial" w:hAnsi="Arial" w:hint="eastAsia"/>
          <w:sz w:val="21"/>
          <w:szCs w:val="28"/>
        </w:rPr>
        <w:t>公顷，与去年持平。本次供地计划保持供应总量、生产生活结构基本稳定，重点在优空间、调结构、提质量上积极进取，全力稳投资、保增长、稳预期。</w:t>
      </w:r>
    </w:p>
    <w:p w14:paraId="20424A4C"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3</w:t>
      </w:r>
      <w:r w:rsidRPr="0043038D">
        <w:rPr>
          <w:rFonts w:ascii="Arial" w:hAnsi="Arial" w:hint="eastAsia"/>
          <w:sz w:val="21"/>
          <w:szCs w:val="28"/>
        </w:rPr>
        <w:t>月</w:t>
      </w:r>
      <w:r w:rsidRPr="0043038D">
        <w:rPr>
          <w:rFonts w:ascii="Arial" w:hAnsi="Arial"/>
          <w:sz w:val="21"/>
          <w:szCs w:val="28"/>
        </w:rPr>
        <w:t>28</w:t>
      </w:r>
      <w:r w:rsidRPr="0043038D">
        <w:rPr>
          <w:rFonts w:ascii="Arial" w:hAnsi="Arial" w:hint="eastAsia"/>
          <w:sz w:val="21"/>
          <w:szCs w:val="28"/>
        </w:rPr>
        <w:t>日北京市举办“</w:t>
      </w:r>
      <w:r w:rsidRPr="0043038D">
        <w:rPr>
          <w:rFonts w:ascii="Arial" w:hAnsi="Arial"/>
          <w:sz w:val="21"/>
          <w:szCs w:val="28"/>
        </w:rPr>
        <w:t>2024</w:t>
      </w:r>
      <w:r w:rsidRPr="0043038D">
        <w:rPr>
          <w:rFonts w:ascii="Arial" w:hAnsi="Arial" w:hint="eastAsia"/>
          <w:sz w:val="21"/>
          <w:szCs w:val="28"/>
        </w:rPr>
        <w:t>年北京商品住宅用地推介会”，会上北京对外推介了</w:t>
      </w:r>
      <w:r w:rsidRPr="0043038D">
        <w:rPr>
          <w:rFonts w:ascii="Arial" w:hAnsi="Arial"/>
          <w:sz w:val="21"/>
          <w:szCs w:val="28"/>
        </w:rPr>
        <w:t>87</w:t>
      </w:r>
      <w:r w:rsidRPr="0043038D">
        <w:rPr>
          <w:rFonts w:ascii="Arial" w:hAnsi="Arial" w:hint="eastAsia"/>
          <w:sz w:val="21"/>
          <w:szCs w:val="28"/>
        </w:rPr>
        <w:t>宗优质地块、建设用地面积</w:t>
      </w:r>
      <w:r w:rsidRPr="0043038D">
        <w:rPr>
          <w:rFonts w:ascii="Arial" w:hAnsi="Arial"/>
          <w:sz w:val="21"/>
          <w:szCs w:val="28"/>
        </w:rPr>
        <w:t>540</w:t>
      </w:r>
      <w:r w:rsidRPr="0043038D">
        <w:rPr>
          <w:rFonts w:ascii="Arial" w:hAnsi="Arial" w:hint="eastAsia"/>
          <w:sz w:val="21"/>
          <w:szCs w:val="28"/>
        </w:rPr>
        <w:t>公顷、建筑规模</w:t>
      </w:r>
      <w:r w:rsidRPr="0043038D">
        <w:rPr>
          <w:rFonts w:ascii="Arial" w:hAnsi="Arial"/>
          <w:sz w:val="21"/>
          <w:szCs w:val="28"/>
        </w:rPr>
        <w:t>1100</w:t>
      </w:r>
      <w:r w:rsidRPr="0043038D">
        <w:rPr>
          <w:rFonts w:ascii="Arial" w:hAnsi="Arial" w:hint="eastAsia"/>
          <w:sz w:val="21"/>
          <w:szCs w:val="28"/>
        </w:rPr>
        <w:t>万㎡。</w:t>
      </w:r>
      <w:r w:rsidRPr="0043038D">
        <w:rPr>
          <w:rFonts w:ascii="Arial" w:hAnsi="Arial"/>
          <w:sz w:val="21"/>
          <w:szCs w:val="28"/>
        </w:rPr>
        <w:t>87</w:t>
      </w:r>
      <w:r w:rsidRPr="0043038D">
        <w:rPr>
          <w:rFonts w:ascii="Arial" w:hAnsi="Arial" w:hint="eastAsia"/>
          <w:sz w:val="21"/>
          <w:szCs w:val="28"/>
        </w:rPr>
        <w:t>宗地块中，中心城区占其中</w:t>
      </w:r>
      <w:r w:rsidRPr="0043038D">
        <w:rPr>
          <w:rFonts w:ascii="Arial" w:hAnsi="Arial"/>
          <w:sz w:val="21"/>
          <w:szCs w:val="28"/>
        </w:rPr>
        <w:t>32</w:t>
      </w:r>
      <w:r w:rsidRPr="0043038D">
        <w:rPr>
          <w:rFonts w:ascii="Arial" w:hAnsi="Arial" w:hint="eastAsia"/>
          <w:sz w:val="21"/>
          <w:szCs w:val="28"/>
        </w:rPr>
        <w:t>宗住宅用地，分别为海淀区</w:t>
      </w:r>
      <w:r w:rsidRPr="0043038D">
        <w:rPr>
          <w:rFonts w:ascii="Arial" w:hAnsi="Arial"/>
          <w:sz w:val="21"/>
          <w:szCs w:val="28"/>
        </w:rPr>
        <w:t>4</w:t>
      </w:r>
      <w:r w:rsidRPr="0043038D">
        <w:rPr>
          <w:rFonts w:ascii="Arial" w:hAnsi="Arial" w:hint="eastAsia"/>
          <w:sz w:val="21"/>
          <w:szCs w:val="28"/>
        </w:rPr>
        <w:t>宗、朝阳区</w:t>
      </w:r>
      <w:r w:rsidRPr="0043038D">
        <w:rPr>
          <w:rFonts w:ascii="Arial" w:hAnsi="Arial"/>
          <w:sz w:val="21"/>
          <w:szCs w:val="28"/>
        </w:rPr>
        <w:t>10</w:t>
      </w:r>
      <w:r w:rsidRPr="0043038D">
        <w:rPr>
          <w:rFonts w:ascii="Arial" w:hAnsi="Arial" w:hint="eastAsia"/>
          <w:sz w:val="21"/>
          <w:szCs w:val="28"/>
        </w:rPr>
        <w:t>宗、丰台区</w:t>
      </w:r>
      <w:r w:rsidRPr="0043038D">
        <w:rPr>
          <w:rFonts w:ascii="Arial" w:hAnsi="Arial"/>
          <w:sz w:val="21"/>
          <w:szCs w:val="28"/>
        </w:rPr>
        <w:t>13</w:t>
      </w:r>
      <w:r w:rsidRPr="0043038D">
        <w:rPr>
          <w:rFonts w:ascii="Arial" w:hAnsi="Arial" w:hint="eastAsia"/>
          <w:sz w:val="21"/>
          <w:szCs w:val="28"/>
        </w:rPr>
        <w:t>宗、石景山区</w:t>
      </w:r>
      <w:r w:rsidRPr="0043038D">
        <w:rPr>
          <w:rFonts w:ascii="Arial" w:hAnsi="Arial"/>
          <w:sz w:val="21"/>
          <w:szCs w:val="28"/>
        </w:rPr>
        <w:t>5</w:t>
      </w:r>
      <w:r w:rsidRPr="0043038D">
        <w:rPr>
          <w:rFonts w:ascii="Arial" w:hAnsi="Arial" w:hint="eastAsia"/>
          <w:sz w:val="21"/>
          <w:szCs w:val="28"/>
        </w:rPr>
        <w:t>宗。</w:t>
      </w:r>
    </w:p>
    <w:p w14:paraId="2A291017"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月初，北京市规划和自然资源委员会发布“</w:t>
      </w:r>
      <w:r w:rsidRPr="0043038D">
        <w:rPr>
          <w:rFonts w:ascii="Arial" w:hAnsi="Arial"/>
          <w:sz w:val="21"/>
          <w:szCs w:val="28"/>
        </w:rPr>
        <w:t>2024</w:t>
      </w:r>
      <w:r w:rsidRPr="0043038D">
        <w:rPr>
          <w:rFonts w:ascii="Arial" w:hAnsi="Arial" w:hint="eastAsia"/>
          <w:sz w:val="21"/>
          <w:szCs w:val="28"/>
        </w:rPr>
        <w:t>年度第二轮拟供应商品住宅用地清单”。该清单共涉及</w:t>
      </w:r>
      <w:r w:rsidRPr="0043038D">
        <w:rPr>
          <w:rFonts w:ascii="Arial" w:hAnsi="Arial"/>
          <w:sz w:val="21"/>
          <w:szCs w:val="28"/>
        </w:rPr>
        <w:t>23</w:t>
      </w:r>
      <w:r w:rsidRPr="0043038D">
        <w:rPr>
          <w:rFonts w:ascii="Arial" w:hAnsi="Arial" w:hint="eastAsia"/>
          <w:sz w:val="21"/>
          <w:szCs w:val="28"/>
        </w:rPr>
        <w:t>宗地，土地面积约</w:t>
      </w:r>
      <w:r w:rsidRPr="0043038D">
        <w:rPr>
          <w:rFonts w:ascii="Arial" w:hAnsi="Arial"/>
          <w:sz w:val="21"/>
          <w:szCs w:val="28"/>
        </w:rPr>
        <w:t>122</w:t>
      </w:r>
      <w:r w:rsidRPr="0043038D">
        <w:rPr>
          <w:rFonts w:ascii="Arial" w:hAnsi="Arial" w:hint="eastAsia"/>
          <w:sz w:val="21"/>
          <w:szCs w:val="28"/>
        </w:rPr>
        <w:t>万㎡，规划建面约</w:t>
      </w:r>
      <w:r w:rsidRPr="0043038D">
        <w:rPr>
          <w:rFonts w:ascii="Arial" w:hAnsi="Arial"/>
          <w:sz w:val="21"/>
          <w:szCs w:val="28"/>
        </w:rPr>
        <w:t>243</w:t>
      </w:r>
      <w:r w:rsidRPr="0043038D">
        <w:rPr>
          <w:rFonts w:ascii="Arial" w:hAnsi="Arial" w:hint="eastAsia"/>
          <w:sz w:val="21"/>
          <w:szCs w:val="28"/>
        </w:rPr>
        <w:t>万㎡，清单内项目将于</w:t>
      </w: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w:t>
      </w:r>
      <w:r w:rsidRPr="0043038D">
        <w:rPr>
          <w:rFonts w:ascii="Arial" w:hAnsi="Arial"/>
          <w:sz w:val="21"/>
          <w:szCs w:val="28"/>
        </w:rPr>
        <w:t>4</w:t>
      </w:r>
      <w:r w:rsidRPr="0043038D">
        <w:rPr>
          <w:rFonts w:ascii="Arial" w:hAnsi="Arial" w:hint="eastAsia"/>
          <w:sz w:val="21"/>
          <w:szCs w:val="28"/>
        </w:rPr>
        <w:t>日至</w:t>
      </w:r>
      <w:r w:rsidRPr="0043038D">
        <w:rPr>
          <w:rFonts w:ascii="Arial" w:hAnsi="Arial"/>
          <w:sz w:val="21"/>
          <w:szCs w:val="28"/>
        </w:rPr>
        <w:t>9</w:t>
      </w:r>
      <w:r w:rsidRPr="0043038D">
        <w:rPr>
          <w:rFonts w:ascii="Arial" w:hAnsi="Arial" w:hint="eastAsia"/>
          <w:sz w:val="21"/>
          <w:szCs w:val="28"/>
        </w:rPr>
        <w:t>月</w:t>
      </w:r>
      <w:r w:rsidRPr="0043038D">
        <w:rPr>
          <w:rFonts w:ascii="Arial" w:hAnsi="Arial"/>
          <w:sz w:val="21"/>
          <w:szCs w:val="28"/>
        </w:rPr>
        <w:t>6</w:t>
      </w:r>
      <w:r w:rsidRPr="0043038D">
        <w:rPr>
          <w:rFonts w:ascii="Arial" w:hAnsi="Arial" w:hint="eastAsia"/>
          <w:sz w:val="21"/>
          <w:szCs w:val="28"/>
        </w:rPr>
        <w:t>日进行供应。本轮供地主力为近郊区，共供应</w:t>
      </w:r>
      <w:r w:rsidRPr="0043038D">
        <w:rPr>
          <w:rFonts w:ascii="Arial" w:hAnsi="Arial"/>
          <w:sz w:val="21"/>
          <w:szCs w:val="28"/>
        </w:rPr>
        <w:t>15</w:t>
      </w:r>
      <w:r w:rsidRPr="0043038D">
        <w:rPr>
          <w:rFonts w:ascii="Arial" w:hAnsi="Arial" w:hint="eastAsia"/>
          <w:sz w:val="21"/>
          <w:szCs w:val="28"/>
        </w:rPr>
        <w:t>宗地，规划建面约</w:t>
      </w:r>
      <w:r w:rsidRPr="0043038D">
        <w:rPr>
          <w:rFonts w:ascii="Arial" w:hAnsi="Arial"/>
          <w:sz w:val="21"/>
          <w:szCs w:val="28"/>
        </w:rPr>
        <w:t>161.6</w:t>
      </w:r>
      <w:r w:rsidRPr="0043038D">
        <w:rPr>
          <w:rFonts w:ascii="Arial" w:hAnsi="Arial" w:hint="eastAsia"/>
          <w:sz w:val="21"/>
          <w:szCs w:val="28"/>
        </w:rPr>
        <w:t>万㎡，占比达</w:t>
      </w:r>
      <w:r w:rsidRPr="0043038D">
        <w:rPr>
          <w:rFonts w:ascii="Arial" w:hAnsi="Arial"/>
          <w:sz w:val="21"/>
          <w:szCs w:val="28"/>
        </w:rPr>
        <w:t>65.2%</w:t>
      </w:r>
      <w:r w:rsidRPr="0043038D">
        <w:rPr>
          <w:rFonts w:ascii="Arial" w:hAnsi="Arial" w:hint="eastAsia"/>
          <w:sz w:val="21"/>
          <w:szCs w:val="28"/>
        </w:rPr>
        <w:t>。本轮中心城区共供地</w:t>
      </w:r>
      <w:r w:rsidRPr="0043038D">
        <w:rPr>
          <w:rFonts w:ascii="Arial" w:hAnsi="Arial"/>
          <w:sz w:val="21"/>
          <w:szCs w:val="28"/>
        </w:rPr>
        <w:t>7</w:t>
      </w:r>
      <w:r w:rsidRPr="0043038D">
        <w:rPr>
          <w:rFonts w:ascii="Arial" w:hAnsi="Arial" w:hint="eastAsia"/>
          <w:sz w:val="21"/>
          <w:szCs w:val="28"/>
        </w:rPr>
        <w:t>宗地，规划建面约</w:t>
      </w:r>
      <w:r w:rsidRPr="0043038D">
        <w:rPr>
          <w:rFonts w:ascii="Arial" w:hAnsi="Arial"/>
          <w:sz w:val="21"/>
          <w:szCs w:val="28"/>
        </w:rPr>
        <w:t>79.2</w:t>
      </w:r>
      <w:r w:rsidRPr="0043038D">
        <w:rPr>
          <w:rFonts w:ascii="Arial" w:hAnsi="Arial" w:hint="eastAsia"/>
          <w:sz w:val="21"/>
          <w:szCs w:val="28"/>
        </w:rPr>
        <w:t>万㎡，占比</w:t>
      </w:r>
      <w:r w:rsidRPr="0043038D">
        <w:rPr>
          <w:rFonts w:ascii="Arial" w:hAnsi="Arial"/>
          <w:sz w:val="21"/>
          <w:szCs w:val="28"/>
        </w:rPr>
        <w:t>30.4%</w:t>
      </w:r>
      <w:r w:rsidRPr="0043038D">
        <w:rPr>
          <w:rFonts w:ascii="Arial" w:hAnsi="Arial" w:hint="eastAsia"/>
          <w:sz w:val="21"/>
          <w:szCs w:val="28"/>
        </w:rPr>
        <w:t>。</w:t>
      </w:r>
    </w:p>
    <w:p w14:paraId="045B0AF7"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3.</w:t>
      </w:r>
      <w:r w:rsidRPr="0043038D">
        <w:rPr>
          <w:rFonts w:ascii="Arial" w:hAnsi="Arial" w:hint="eastAsia"/>
          <w:sz w:val="21"/>
          <w:szCs w:val="28"/>
        </w:rPr>
        <w:t>商品房住宅市场</w:t>
      </w:r>
    </w:p>
    <w:p w14:paraId="33C05995"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1</w:t>
      </w:r>
      <w:r w:rsidRPr="0043038D">
        <w:rPr>
          <w:rFonts w:ascii="Arial" w:hAnsi="Arial" w:hint="eastAsia"/>
          <w:sz w:val="21"/>
          <w:szCs w:val="28"/>
        </w:rPr>
        <w:t>）商品住宅供给状况</w:t>
      </w:r>
    </w:p>
    <w:p w14:paraId="75397747"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年上半年北京商品住宅（不含保障房）供应呈低位态势，月均新批上市建筑面积为</w:t>
      </w:r>
      <w:r w:rsidRPr="0043038D">
        <w:rPr>
          <w:rFonts w:ascii="Arial" w:hAnsi="Arial"/>
          <w:sz w:val="21"/>
          <w:szCs w:val="28"/>
        </w:rPr>
        <w:t>33.28</w:t>
      </w:r>
      <w:r w:rsidRPr="0043038D">
        <w:rPr>
          <w:rFonts w:ascii="Arial" w:hAnsi="Arial" w:hint="eastAsia"/>
          <w:sz w:val="21"/>
          <w:szCs w:val="28"/>
        </w:rPr>
        <w:t>万㎡，同比下降</w:t>
      </w:r>
      <w:r w:rsidRPr="0043038D">
        <w:rPr>
          <w:rFonts w:ascii="Arial" w:hAnsi="Arial"/>
          <w:sz w:val="21"/>
          <w:szCs w:val="28"/>
        </w:rPr>
        <w:t>9.3%</w:t>
      </w:r>
      <w:r w:rsidRPr="0043038D">
        <w:rPr>
          <w:rFonts w:ascii="Arial" w:hAnsi="Arial" w:hint="eastAsia"/>
          <w:sz w:val="21"/>
          <w:szCs w:val="28"/>
        </w:rPr>
        <w:t>，整体供应规模仍相对较低。</w:t>
      </w:r>
    </w:p>
    <w:p w14:paraId="38A1C9F1"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2018</w:t>
      </w:r>
      <w:r w:rsidRPr="0043038D">
        <w:rPr>
          <w:rFonts w:ascii="Arial" w:eastAsia="方正黑体简体" w:hAnsi="Arial" w:hint="eastAsia"/>
          <w:bCs/>
          <w:color w:val="000000"/>
          <w:szCs w:val="24"/>
        </w:rPr>
        <w:t>年至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年北京商品住宅（不含保障性住房）</w:t>
      </w:r>
      <w:r w:rsidRPr="0043038D">
        <w:rPr>
          <w:rFonts w:ascii="Arial" w:eastAsia="方正黑体简体" w:hAnsi="Arial"/>
          <w:bCs/>
          <w:color w:val="000000"/>
          <w:szCs w:val="24"/>
        </w:rPr>
        <w:t>1-6</w:t>
      </w:r>
      <w:r w:rsidRPr="0043038D">
        <w:rPr>
          <w:rFonts w:ascii="Arial" w:eastAsia="方正黑体简体" w:hAnsi="Arial" w:hint="eastAsia"/>
          <w:bCs/>
          <w:color w:val="000000"/>
          <w:szCs w:val="24"/>
        </w:rPr>
        <w:t>月供应量及同比走势</w:t>
      </w:r>
    </w:p>
    <w:p w14:paraId="31CCF2CD" w14:textId="77777777" w:rsidR="000E5655" w:rsidRPr="0043038D" w:rsidRDefault="00837133">
      <w:pPr>
        <w:overflowPunct w:val="0"/>
        <w:spacing w:line="480" w:lineRule="auto"/>
        <w:jc w:val="center"/>
        <w:rPr>
          <w:rFonts w:ascii="Arial" w:hAnsi="Arial"/>
          <w:sz w:val="21"/>
        </w:rPr>
      </w:pPr>
      <w:r w:rsidRPr="0043038D">
        <w:rPr>
          <w:noProof/>
        </w:rPr>
        <w:drawing>
          <wp:inline distT="0" distB="0" distL="0" distR="0" wp14:anchorId="77482FDE" wp14:editId="27613F5A">
            <wp:extent cx="4114800" cy="3505200"/>
            <wp:effectExtent l="0" t="0" r="0" b="0"/>
            <wp:docPr id="13" name="对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8B6A8E" w14:textId="77777777"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截至</w:t>
      </w:r>
      <w:r w:rsidRPr="0043038D">
        <w:rPr>
          <w:rFonts w:ascii="Arial" w:hAnsi="Arial"/>
          <w:sz w:val="21"/>
          <w:szCs w:val="28"/>
        </w:rPr>
        <w:t>6</w:t>
      </w:r>
      <w:r w:rsidRPr="0043038D">
        <w:rPr>
          <w:rFonts w:ascii="Arial" w:hAnsi="Arial" w:hint="eastAsia"/>
          <w:sz w:val="21"/>
          <w:szCs w:val="28"/>
        </w:rPr>
        <w:t>月底，北京商品住宅（不含保障性住房）可售面积约</w:t>
      </w:r>
      <w:r w:rsidRPr="0043038D">
        <w:rPr>
          <w:rFonts w:ascii="Arial" w:hAnsi="Arial"/>
          <w:sz w:val="21"/>
          <w:szCs w:val="28"/>
        </w:rPr>
        <w:t>942.18</w:t>
      </w:r>
      <w:r w:rsidRPr="0043038D">
        <w:rPr>
          <w:rFonts w:ascii="Arial" w:hAnsi="Arial" w:hint="eastAsia"/>
          <w:sz w:val="21"/>
          <w:szCs w:val="28"/>
        </w:rPr>
        <w:t>万㎡，环比下降</w:t>
      </w:r>
      <w:r w:rsidRPr="0043038D">
        <w:rPr>
          <w:rFonts w:ascii="Arial" w:hAnsi="Arial"/>
          <w:sz w:val="21"/>
          <w:szCs w:val="28"/>
        </w:rPr>
        <w:t>1.65%</w:t>
      </w:r>
      <w:r w:rsidRPr="0043038D">
        <w:rPr>
          <w:rFonts w:ascii="Arial" w:hAnsi="Arial" w:hint="eastAsia"/>
          <w:sz w:val="21"/>
          <w:szCs w:val="28"/>
        </w:rPr>
        <w:t>，同比下降</w:t>
      </w:r>
      <w:r w:rsidRPr="0043038D">
        <w:rPr>
          <w:rFonts w:ascii="Arial" w:hAnsi="Arial"/>
          <w:sz w:val="21"/>
          <w:szCs w:val="28"/>
        </w:rPr>
        <w:t>7.79%</w:t>
      </w:r>
      <w:r w:rsidRPr="0043038D">
        <w:rPr>
          <w:rFonts w:ascii="Arial" w:hAnsi="Arial" w:hint="eastAsia"/>
          <w:sz w:val="21"/>
          <w:szCs w:val="28"/>
        </w:rPr>
        <w:t>；短期库存去化时间为</w:t>
      </w:r>
      <w:r w:rsidRPr="0043038D">
        <w:rPr>
          <w:rFonts w:ascii="Arial" w:hAnsi="Arial"/>
          <w:sz w:val="21"/>
          <w:szCs w:val="28"/>
        </w:rPr>
        <w:t>28.9</w:t>
      </w:r>
      <w:r w:rsidRPr="0043038D">
        <w:rPr>
          <w:rFonts w:ascii="Arial" w:hAnsi="Arial" w:hint="eastAsia"/>
          <w:sz w:val="21"/>
          <w:szCs w:val="28"/>
        </w:rPr>
        <w:t>个月，环比延长</w:t>
      </w:r>
      <w:r w:rsidRPr="0043038D">
        <w:rPr>
          <w:rFonts w:ascii="Arial" w:hAnsi="Arial"/>
          <w:sz w:val="21"/>
          <w:szCs w:val="28"/>
        </w:rPr>
        <w:t>1.8</w:t>
      </w:r>
      <w:r w:rsidRPr="0043038D">
        <w:rPr>
          <w:rFonts w:ascii="Arial" w:hAnsi="Arial" w:hint="eastAsia"/>
          <w:sz w:val="21"/>
          <w:szCs w:val="28"/>
        </w:rPr>
        <w:t>个月，同比延长</w:t>
      </w:r>
      <w:r w:rsidRPr="0043038D">
        <w:rPr>
          <w:rFonts w:ascii="Arial" w:hAnsi="Arial"/>
          <w:sz w:val="21"/>
          <w:szCs w:val="28"/>
        </w:rPr>
        <w:t>10.7</w:t>
      </w:r>
      <w:r w:rsidRPr="0043038D">
        <w:rPr>
          <w:rFonts w:ascii="Arial" w:hAnsi="Arial" w:hint="eastAsia"/>
          <w:sz w:val="21"/>
          <w:szCs w:val="28"/>
        </w:rPr>
        <w:t>个月，市场去化压力继续加大。</w:t>
      </w:r>
    </w:p>
    <w:p w14:paraId="65839962"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月北京商品住宅（不含保障房）可售面积与库存去化时间</w:t>
      </w:r>
    </w:p>
    <w:p w14:paraId="04A02F9A" w14:textId="77777777" w:rsidR="000E5655" w:rsidRPr="0043038D" w:rsidRDefault="00837133">
      <w:pPr>
        <w:overflowPunct w:val="0"/>
        <w:spacing w:line="480" w:lineRule="auto"/>
        <w:jc w:val="center"/>
        <w:rPr>
          <w:rFonts w:ascii="Arial" w:hAnsi="Arial"/>
          <w:sz w:val="21"/>
          <w:szCs w:val="28"/>
        </w:rPr>
      </w:pPr>
      <w:r w:rsidRPr="0043038D">
        <w:rPr>
          <w:noProof/>
        </w:rPr>
        <w:drawing>
          <wp:inline distT="0" distB="0" distL="0" distR="0" wp14:anchorId="58C82228" wp14:editId="10D336CB">
            <wp:extent cx="5907405" cy="2466975"/>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07405" cy="2466975"/>
                    </a:xfrm>
                    <a:prstGeom prst="rect">
                      <a:avLst/>
                    </a:prstGeom>
                    <a:noFill/>
                    <a:ln>
                      <a:noFill/>
                    </a:ln>
                  </pic:spPr>
                </pic:pic>
              </a:graphicData>
            </a:graphic>
          </wp:inline>
        </w:drawing>
      </w:r>
    </w:p>
    <w:p w14:paraId="104EE91C" w14:textId="77777777" w:rsidR="000E5655" w:rsidRPr="0043038D" w:rsidRDefault="00837133">
      <w:pPr>
        <w:overflowPunct w:val="0"/>
        <w:spacing w:line="480" w:lineRule="auto"/>
        <w:ind w:firstLineChars="200" w:firstLine="420"/>
        <w:jc w:val="both"/>
        <w:rPr>
          <w:rFonts w:ascii="Arial" w:hAnsi="Arial"/>
          <w:bCs/>
          <w:sz w:val="21"/>
          <w:szCs w:val="28"/>
        </w:rPr>
      </w:pPr>
      <w:r w:rsidRPr="0043038D">
        <w:rPr>
          <w:rFonts w:ascii="Arial" w:hAnsi="Arial" w:hint="eastAsia"/>
          <w:sz w:val="21"/>
          <w:szCs w:val="28"/>
        </w:rPr>
        <w:t>（</w:t>
      </w:r>
      <w:r w:rsidRPr="0043038D">
        <w:rPr>
          <w:rFonts w:ascii="Arial" w:hAnsi="Arial"/>
          <w:sz w:val="21"/>
          <w:szCs w:val="28"/>
        </w:rPr>
        <w:t>2</w:t>
      </w:r>
      <w:r w:rsidRPr="0043038D">
        <w:rPr>
          <w:rFonts w:ascii="Arial" w:hAnsi="Arial" w:hint="eastAsia"/>
          <w:sz w:val="21"/>
          <w:szCs w:val="28"/>
        </w:rPr>
        <w:t>）商品</w:t>
      </w:r>
      <w:r w:rsidRPr="0043038D">
        <w:rPr>
          <w:rFonts w:ascii="Arial" w:hAnsi="Arial" w:hint="eastAsia"/>
          <w:bCs/>
          <w:sz w:val="21"/>
          <w:szCs w:val="28"/>
        </w:rPr>
        <w:t>住宅成交情况</w:t>
      </w:r>
    </w:p>
    <w:p w14:paraId="3E51998F" w14:textId="77777777" w:rsidR="000E5655" w:rsidRPr="0043038D" w:rsidRDefault="00837133">
      <w:pPr>
        <w:tabs>
          <w:tab w:val="left" w:pos="426"/>
        </w:tabs>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）成交量</w:t>
      </w:r>
    </w:p>
    <w:p w14:paraId="5B7CDA3D"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年上半年北京商品住宅（不含保障性住房）成交规模</w:t>
      </w:r>
      <w:r w:rsidRPr="0043038D">
        <w:rPr>
          <w:rFonts w:ascii="Arial" w:hAnsi="Arial"/>
          <w:sz w:val="21"/>
          <w:szCs w:val="28"/>
        </w:rPr>
        <w:t>195.5</w:t>
      </w:r>
      <w:r w:rsidRPr="0043038D">
        <w:rPr>
          <w:rFonts w:ascii="Arial" w:hAnsi="Arial" w:hint="eastAsia"/>
          <w:sz w:val="21"/>
          <w:szCs w:val="28"/>
        </w:rPr>
        <w:t>万㎡，同比下降</w:t>
      </w:r>
      <w:r w:rsidRPr="0043038D">
        <w:rPr>
          <w:rFonts w:ascii="Arial" w:hAnsi="Arial"/>
          <w:sz w:val="21"/>
          <w:szCs w:val="28"/>
        </w:rPr>
        <w:t>42.0%</w:t>
      </w:r>
      <w:r w:rsidRPr="0043038D">
        <w:rPr>
          <w:rFonts w:ascii="Arial" w:hAnsi="Arial" w:hint="eastAsia"/>
          <w:sz w:val="21"/>
          <w:szCs w:val="28"/>
        </w:rPr>
        <w:t>。分月度来看，</w:t>
      </w:r>
      <w:r w:rsidRPr="0043038D">
        <w:rPr>
          <w:rFonts w:ascii="Arial" w:hAnsi="Arial"/>
          <w:sz w:val="21"/>
          <w:szCs w:val="28"/>
        </w:rPr>
        <w:t>1-2</w:t>
      </w:r>
      <w:r w:rsidRPr="0043038D">
        <w:rPr>
          <w:rFonts w:ascii="Arial" w:hAnsi="Arial" w:hint="eastAsia"/>
          <w:sz w:val="21"/>
          <w:szCs w:val="28"/>
        </w:rPr>
        <w:t>月份正逢春节假期，叠加供应相对疲软，导致成交低迷；</w:t>
      </w:r>
      <w:r w:rsidRPr="0043038D">
        <w:rPr>
          <w:rFonts w:ascii="Arial" w:hAnsi="Arial"/>
          <w:sz w:val="21"/>
          <w:szCs w:val="28"/>
        </w:rPr>
        <w:t>3</w:t>
      </w:r>
      <w:r w:rsidRPr="0043038D">
        <w:rPr>
          <w:rFonts w:ascii="Arial" w:hAnsi="Arial" w:hint="eastAsia"/>
          <w:sz w:val="21"/>
          <w:szCs w:val="28"/>
        </w:rPr>
        <w:t>月新政落地后，市场热度无明显变化；</w:t>
      </w:r>
      <w:r w:rsidRPr="0043038D">
        <w:rPr>
          <w:rFonts w:ascii="Arial" w:hAnsi="Arial"/>
          <w:sz w:val="21"/>
          <w:szCs w:val="28"/>
        </w:rPr>
        <w:t>4</w:t>
      </w:r>
      <w:r w:rsidRPr="0043038D">
        <w:rPr>
          <w:rFonts w:ascii="Arial" w:hAnsi="Arial" w:hint="eastAsia"/>
          <w:sz w:val="21"/>
          <w:szCs w:val="28"/>
        </w:rPr>
        <w:t>月开局冷清，供应萎缩，成交量仅</w:t>
      </w:r>
      <w:r w:rsidRPr="0043038D">
        <w:rPr>
          <w:rFonts w:ascii="Arial" w:hAnsi="Arial"/>
          <w:sz w:val="21"/>
          <w:szCs w:val="28"/>
        </w:rPr>
        <w:t>34.8</w:t>
      </w:r>
      <w:r w:rsidRPr="0043038D">
        <w:rPr>
          <w:rFonts w:ascii="Arial" w:hAnsi="Arial" w:hint="eastAsia"/>
          <w:sz w:val="21"/>
          <w:szCs w:val="28"/>
        </w:rPr>
        <w:t>万㎡；</w:t>
      </w:r>
      <w:r w:rsidRPr="0043038D">
        <w:rPr>
          <w:rFonts w:ascii="Arial" w:hAnsi="Arial"/>
          <w:sz w:val="21"/>
          <w:szCs w:val="28"/>
        </w:rPr>
        <w:t>5</w:t>
      </w:r>
      <w:r w:rsidRPr="0043038D">
        <w:rPr>
          <w:rFonts w:ascii="Arial" w:hAnsi="Arial" w:hint="eastAsia"/>
          <w:sz w:val="21"/>
          <w:szCs w:val="28"/>
        </w:rPr>
        <w:t>月受新政影响，数据有所回升，市场成交量</w:t>
      </w:r>
      <w:r w:rsidRPr="0043038D">
        <w:rPr>
          <w:rFonts w:ascii="Arial" w:hAnsi="Arial"/>
          <w:sz w:val="21"/>
          <w:szCs w:val="28"/>
        </w:rPr>
        <w:t>34.9</w:t>
      </w:r>
      <w:r w:rsidRPr="0043038D">
        <w:rPr>
          <w:rFonts w:ascii="Arial" w:hAnsi="Arial" w:hint="eastAsia"/>
          <w:sz w:val="21"/>
          <w:szCs w:val="28"/>
        </w:rPr>
        <w:t>万㎡；</w:t>
      </w:r>
      <w:r w:rsidRPr="0043038D">
        <w:rPr>
          <w:rFonts w:ascii="Arial" w:hAnsi="Arial"/>
          <w:sz w:val="21"/>
          <w:szCs w:val="28"/>
        </w:rPr>
        <w:t>6</w:t>
      </w:r>
      <w:r w:rsidRPr="0043038D">
        <w:rPr>
          <w:rFonts w:ascii="Arial" w:hAnsi="Arial" w:hint="eastAsia"/>
          <w:sz w:val="21"/>
          <w:szCs w:val="28"/>
        </w:rPr>
        <w:t>月作为房企半年度业绩冲刺阶段，叠加“央行</w:t>
      </w:r>
      <w:r w:rsidRPr="0043038D">
        <w:rPr>
          <w:rFonts w:ascii="Arial" w:hAnsi="Arial"/>
          <w:sz w:val="21"/>
          <w:szCs w:val="28"/>
        </w:rPr>
        <w:t>517</w:t>
      </w:r>
      <w:r w:rsidRPr="0043038D">
        <w:rPr>
          <w:rFonts w:ascii="Arial" w:hAnsi="Arial" w:hint="eastAsia"/>
          <w:sz w:val="21"/>
          <w:szCs w:val="28"/>
        </w:rPr>
        <w:t>”新政刺激，市场热度走高，全月成交</w:t>
      </w:r>
      <w:r w:rsidRPr="0043038D">
        <w:rPr>
          <w:rFonts w:ascii="Arial" w:hAnsi="Arial"/>
          <w:sz w:val="21"/>
          <w:szCs w:val="28"/>
        </w:rPr>
        <w:t>43.0</w:t>
      </w:r>
      <w:r w:rsidRPr="0043038D">
        <w:rPr>
          <w:rFonts w:ascii="Arial" w:hAnsi="Arial" w:hint="eastAsia"/>
          <w:sz w:val="21"/>
          <w:szCs w:val="28"/>
        </w:rPr>
        <w:t>万㎡，市场景气度有所提升。但受限于供应规模仍难解淡市，成交量同比仍远低于去年同期</w:t>
      </w:r>
      <w:r w:rsidRPr="0043038D">
        <w:rPr>
          <w:rFonts w:ascii="Arial" w:hAnsi="Arial"/>
          <w:sz w:val="21"/>
          <w:szCs w:val="28"/>
        </w:rPr>
        <w:t>60</w:t>
      </w:r>
      <w:r w:rsidRPr="0043038D">
        <w:rPr>
          <w:rFonts w:ascii="Arial" w:hAnsi="Arial" w:hint="eastAsia"/>
          <w:sz w:val="21"/>
          <w:szCs w:val="28"/>
        </w:rPr>
        <w:t>万㎡的水平。</w:t>
      </w:r>
    </w:p>
    <w:p w14:paraId="5FCD4773"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noProof/>
        </w:rPr>
        <w:drawing>
          <wp:anchor distT="0" distB="0" distL="114300" distR="114300" simplePos="0" relativeHeight="251660288" behindDoc="0" locked="0" layoutInCell="1" allowOverlap="1" wp14:anchorId="11E9D08E" wp14:editId="51F2A403">
            <wp:simplePos x="0" y="0"/>
            <wp:positionH relativeFrom="column">
              <wp:align>center</wp:align>
            </wp:positionH>
            <wp:positionV relativeFrom="paragraph">
              <wp:posOffset>532765</wp:posOffset>
            </wp:positionV>
            <wp:extent cx="5760720" cy="1710055"/>
            <wp:effectExtent l="0" t="0" r="0" b="0"/>
            <wp:wrapSquare wrapText="bothSides"/>
            <wp:docPr id="11" name="图表 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60720" cy="1710055"/>
                    </a:xfrm>
                    <a:prstGeom prst="rect">
                      <a:avLst/>
                    </a:prstGeom>
                    <a:noFill/>
                  </pic:spPr>
                </pic:pic>
              </a:graphicData>
            </a:graphic>
          </wp:anchor>
        </w:drawing>
      </w: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4</w:t>
      </w:r>
      <w:r w:rsidRPr="0043038D">
        <w:rPr>
          <w:rFonts w:ascii="Arial" w:eastAsia="方正黑体简体" w:hAnsi="Arial" w:hint="eastAsia"/>
          <w:bCs/>
          <w:color w:val="000000"/>
          <w:szCs w:val="24"/>
        </w:rPr>
        <w:t>月至今北京市住宅供销价月度走势</w:t>
      </w:r>
    </w:p>
    <w:p w14:paraId="613AF931" w14:textId="77777777"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2</w:t>
      </w:r>
      <w:r w:rsidRPr="0043038D">
        <w:rPr>
          <w:rFonts w:ascii="Arial" w:hAnsi="Arial" w:hint="eastAsia"/>
          <w:sz w:val="21"/>
        </w:rPr>
        <w:t>）成交价格</w:t>
      </w:r>
    </w:p>
    <w:p w14:paraId="2E76B4A7" w14:textId="77777777"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A.</w:t>
      </w:r>
      <w:r w:rsidRPr="0043038D">
        <w:rPr>
          <w:rFonts w:ascii="Arial" w:hAnsi="Arial" w:hint="eastAsia"/>
          <w:sz w:val="21"/>
          <w:szCs w:val="28"/>
        </w:rPr>
        <w:t>成交价格</w:t>
      </w:r>
    </w:p>
    <w:p w14:paraId="1AFD3B12"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年上半年北京商品住宅成交价格同比涨幅持续低位，累计涨幅低于去年同期。整体来看，上半年北京新建商品住宅价格为</w:t>
      </w:r>
      <w:r w:rsidRPr="0043038D">
        <w:rPr>
          <w:rFonts w:ascii="Arial" w:hAnsi="Arial"/>
          <w:sz w:val="21"/>
          <w:szCs w:val="28"/>
        </w:rPr>
        <w:t>59218</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㎡，涨幅处于</w:t>
      </w:r>
      <w:r w:rsidRPr="0043038D">
        <w:rPr>
          <w:rFonts w:ascii="Arial" w:hAnsi="Arial"/>
          <w:sz w:val="21"/>
          <w:szCs w:val="28"/>
        </w:rPr>
        <w:t>2021</w:t>
      </w:r>
      <w:r w:rsidRPr="0043038D">
        <w:rPr>
          <w:rFonts w:ascii="Arial" w:hAnsi="Arial" w:hint="eastAsia"/>
          <w:sz w:val="21"/>
          <w:szCs w:val="28"/>
        </w:rPr>
        <w:t>年以来低位水平。</w:t>
      </w:r>
    </w:p>
    <w:p w14:paraId="7FCFD131"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月北京新建商品住宅均价及环比变化</w:t>
      </w:r>
    </w:p>
    <w:p w14:paraId="629932B8" w14:textId="77777777" w:rsidR="000E5655" w:rsidRPr="0043038D" w:rsidRDefault="00837133">
      <w:pPr>
        <w:tabs>
          <w:tab w:val="left" w:pos="426"/>
        </w:tabs>
        <w:overflowPunct w:val="0"/>
        <w:spacing w:line="480" w:lineRule="auto"/>
        <w:jc w:val="center"/>
        <w:rPr>
          <w:rFonts w:ascii="Arial" w:hAnsi="Arial"/>
          <w:sz w:val="21"/>
          <w:szCs w:val="28"/>
        </w:rPr>
      </w:pPr>
      <w:r w:rsidRPr="0043038D">
        <w:rPr>
          <w:rFonts w:ascii="Arial" w:eastAsia="仿宋_GB2312" w:hAnsi="Arial" w:cs="Arial"/>
          <w:bCs/>
          <w:noProof/>
          <w:color w:val="000000"/>
          <w:sz w:val="28"/>
          <w:szCs w:val="28"/>
        </w:rPr>
        <w:drawing>
          <wp:inline distT="0" distB="0" distL="0" distR="0" wp14:anchorId="648AEB6B" wp14:editId="40764A07">
            <wp:extent cx="4114165" cy="3428365"/>
            <wp:effectExtent l="0" t="0" r="0" b="0"/>
            <wp:docPr id="10"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3BA8AB" w14:textId="77777777"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B.</w:t>
      </w:r>
      <w:r w:rsidRPr="0043038D">
        <w:t xml:space="preserve"> </w:t>
      </w:r>
      <w:r w:rsidRPr="0043038D">
        <w:rPr>
          <w:rFonts w:ascii="Arial" w:hAnsi="Arial" w:hint="eastAsia"/>
          <w:sz w:val="21"/>
          <w:szCs w:val="28"/>
        </w:rPr>
        <w:t>成交结构</w:t>
      </w:r>
    </w:p>
    <w:p w14:paraId="4DC26A35"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年二季度</w:t>
      </w:r>
      <w:r w:rsidRPr="0043038D">
        <w:rPr>
          <w:rFonts w:ascii="Arial" w:hAnsi="Arial"/>
          <w:sz w:val="21"/>
          <w:szCs w:val="28"/>
        </w:rPr>
        <w:t>90</w:t>
      </w:r>
      <w:r w:rsidRPr="0043038D">
        <w:rPr>
          <w:rFonts w:ascii="Arial" w:hAnsi="Arial" w:hint="eastAsia"/>
          <w:sz w:val="21"/>
          <w:szCs w:val="28"/>
        </w:rPr>
        <w:t>㎡以下的房源成交占比高达</w:t>
      </w:r>
      <w:r w:rsidRPr="0043038D">
        <w:rPr>
          <w:rFonts w:ascii="Arial" w:hAnsi="Arial"/>
          <w:sz w:val="21"/>
          <w:szCs w:val="28"/>
        </w:rPr>
        <w:t>28.3%</w:t>
      </w:r>
      <w:r w:rsidRPr="0043038D">
        <w:rPr>
          <w:rFonts w:ascii="Arial" w:hAnsi="Arial" w:hint="eastAsia"/>
          <w:sz w:val="21"/>
          <w:szCs w:val="28"/>
        </w:rPr>
        <w:t>，占比扩大了</w:t>
      </w:r>
      <w:r w:rsidRPr="0043038D">
        <w:rPr>
          <w:rFonts w:ascii="Arial" w:hAnsi="Arial"/>
          <w:sz w:val="21"/>
          <w:szCs w:val="28"/>
        </w:rPr>
        <w:t>1.7</w:t>
      </w:r>
      <w:r w:rsidRPr="0043038D">
        <w:rPr>
          <w:rFonts w:ascii="Arial" w:hAnsi="Arial" w:hint="eastAsia"/>
          <w:sz w:val="21"/>
          <w:szCs w:val="28"/>
        </w:rPr>
        <w:t>个百分点；其次，是</w:t>
      </w:r>
      <w:r w:rsidRPr="0043038D">
        <w:rPr>
          <w:rFonts w:ascii="Arial" w:hAnsi="Arial"/>
          <w:sz w:val="21"/>
          <w:szCs w:val="28"/>
        </w:rPr>
        <w:t>90-100</w:t>
      </w:r>
      <w:r w:rsidRPr="0043038D">
        <w:rPr>
          <w:rFonts w:ascii="Arial" w:hAnsi="Arial" w:hint="eastAsia"/>
          <w:sz w:val="21"/>
          <w:szCs w:val="28"/>
        </w:rPr>
        <w:t>㎡和</w:t>
      </w:r>
      <w:r w:rsidRPr="0043038D">
        <w:rPr>
          <w:rFonts w:ascii="Arial" w:hAnsi="Arial"/>
          <w:sz w:val="21"/>
          <w:szCs w:val="28"/>
        </w:rPr>
        <w:t>110-120</w:t>
      </w:r>
      <w:r w:rsidRPr="0043038D">
        <w:rPr>
          <w:rFonts w:ascii="Arial" w:hAnsi="Arial" w:hint="eastAsia"/>
          <w:sz w:val="21"/>
          <w:szCs w:val="28"/>
        </w:rPr>
        <w:t>㎡两个刚改面积段产品占比较多。</w:t>
      </w:r>
    </w:p>
    <w:p w14:paraId="36715509"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从供应端来看，当前市场可售房源主要集中在中小户型，尤其是</w:t>
      </w:r>
      <w:r w:rsidRPr="0043038D">
        <w:rPr>
          <w:rFonts w:ascii="Arial" w:hAnsi="Arial"/>
          <w:sz w:val="21"/>
          <w:szCs w:val="28"/>
        </w:rPr>
        <w:t>120-130</w:t>
      </w:r>
      <w:r w:rsidRPr="0043038D">
        <w:rPr>
          <w:rFonts w:ascii="Arial" w:hAnsi="Arial" w:hint="eastAsia"/>
          <w:sz w:val="21"/>
          <w:szCs w:val="28"/>
        </w:rPr>
        <w:t>㎡、</w:t>
      </w:r>
      <w:r w:rsidRPr="0043038D">
        <w:rPr>
          <w:rFonts w:ascii="Arial" w:hAnsi="Arial"/>
          <w:sz w:val="21"/>
          <w:szCs w:val="28"/>
        </w:rPr>
        <w:t>130-140</w:t>
      </w:r>
      <w:r w:rsidRPr="0043038D">
        <w:rPr>
          <w:rFonts w:ascii="Arial" w:hAnsi="Arial" w:hint="eastAsia"/>
          <w:sz w:val="21"/>
          <w:szCs w:val="28"/>
        </w:rPr>
        <w:t>㎡和</w:t>
      </w:r>
      <w:r w:rsidRPr="0043038D">
        <w:rPr>
          <w:rFonts w:ascii="Arial" w:hAnsi="Arial"/>
          <w:sz w:val="21"/>
          <w:szCs w:val="28"/>
        </w:rPr>
        <w:t>90-100</w:t>
      </w:r>
      <w:r w:rsidRPr="0043038D">
        <w:rPr>
          <w:rFonts w:ascii="Arial" w:hAnsi="Arial" w:hint="eastAsia"/>
          <w:sz w:val="21"/>
          <w:szCs w:val="28"/>
        </w:rPr>
        <w:t>㎡三个面积段。从去化压力来看，</w:t>
      </w:r>
      <w:r w:rsidRPr="0043038D">
        <w:rPr>
          <w:rFonts w:ascii="Arial" w:hAnsi="Arial"/>
          <w:sz w:val="21"/>
          <w:szCs w:val="28"/>
        </w:rPr>
        <w:t>130-140</w:t>
      </w:r>
      <w:r w:rsidRPr="0043038D">
        <w:rPr>
          <w:rFonts w:ascii="Arial" w:hAnsi="Arial" w:hint="eastAsia"/>
          <w:sz w:val="21"/>
          <w:szCs w:val="28"/>
        </w:rPr>
        <w:t>㎡、</w:t>
      </w:r>
      <w:r w:rsidRPr="0043038D">
        <w:rPr>
          <w:rFonts w:ascii="Arial" w:hAnsi="Arial"/>
          <w:sz w:val="21"/>
          <w:szCs w:val="28"/>
        </w:rPr>
        <w:t>160-170</w:t>
      </w:r>
      <w:r w:rsidRPr="0043038D">
        <w:rPr>
          <w:rFonts w:ascii="Arial" w:hAnsi="Arial" w:hint="eastAsia"/>
          <w:sz w:val="21"/>
          <w:szCs w:val="28"/>
        </w:rPr>
        <w:t>㎡和</w:t>
      </w:r>
      <w:r w:rsidRPr="0043038D">
        <w:rPr>
          <w:rFonts w:ascii="Arial" w:hAnsi="Arial"/>
          <w:sz w:val="21"/>
          <w:szCs w:val="28"/>
        </w:rPr>
        <w:t>120-130</w:t>
      </w:r>
      <w:r w:rsidRPr="0043038D">
        <w:rPr>
          <w:rFonts w:ascii="Arial" w:hAnsi="Arial" w:hint="eastAsia"/>
          <w:sz w:val="21"/>
          <w:szCs w:val="28"/>
        </w:rPr>
        <w:t>㎡三个面积段的房源去化压力较大，出清周期都在三年以上。</w:t>
      </w:r>
    </w:p>
    <w:p w14:paraId="34D815AF"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年上半年北京各面积段可售面积及出清周期</w:t>
      </w:r>
    </w:p>
    <w:p w14:paraId="60C4A520" w14:textId="77777777" w:rsidR="000E5655" w:rsidRPr="0043038D" w:rsidRDefault="00837133">
      <w:pPr>
        <w:tabs>
          <w:tab w:val="left" w:pos="426"/>
        </w:tabs>
        <w:overflowPunct w:val="0"/>
        <w:spacing w:line="480" w:lineRule="auto"/>
        <w:jc w:val="center"/>
      </w:pPr>
      <w:r w:rsidRPr="0043038D">
        <w:rPr>
          <w:noProof/>
        </w:rPr>
        <w:drawing>
          <wp:inline distT="0" distB="0" distL="0" distR="0" wp14:anchorId="1502C670" wp14:editId="26836CA3">
            <wp:extent cx="5377815" cy="2834005"/>
            <wp:effectExtent l="0" t="0" r="0" b="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77815" cy="2834005"/>
                    </a:xfrm>
                    <a:prstGeom prst="rect">
                      <a:avLst/>
                    </a:prstGeom>
                    <a:noFill/>
                    <a:ln>
                      <a:noFill/>
                    </a:ln>
                  </pic:spPr>
                </pic:pic>
              </a:graphicData>
            </a:graphic>
          </wp:inline>
        </w:drawing>
      </w:r>
    </w:p>
    <w:p w14:paraId="72FFB28F"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从成交楼面单价来看，</w:t>
      </w:r>
      <w:r w:rsidRPr="0043038D">
        <w:rPr>
          <w:rFonts w:ascii="Arial" w:hAnsi="Arial"/>
          <w:sz w:val="21"/>
          <w:szCs w:val="28"/>
        </w:rPr>
        <w:t>50000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㎡以下之间的房源成交占比</w:t>
      </w:r>
      <w:r w:rsidRPr="0043038D">
        <w:rPr>
          <w:rFonts w:ascii="Arial" w:hAnsi="Arial"/>
          <w:sz w:val="21"/>
          <w:szCs w:val="28"/>
        </w:rPr>
        <w:t>49.3%</w:t>
      </w:r>
      <w:r w:rsidRPr="0043038D">
        <w:rPr>
          <w:rFonts w:ascii="Arial" w:hAnsi="Arial" w:hint="eastAsia"/>
          <w:sz w:val="21"/>
          <w:szCs w:val="28"/>
        </w:rPr>
        <w:t>，环比上升了</w:t>
      </w:r>
      <w:r w:rsidRPr="0043038D">
        <w:rPr>
          <w:rFonts w:ascii="Arial" w:hAnsi="Arial"/>
          <w:sz w:val="21"/>
          <w:szCs w:val="28"/>
        </w:rPr>
        <w:t>5.6</w:t>
      </w:r>
      <w:r w:rsidRPr="0043038D">
        <w:rPr>
          <w:rFonts w:ascii="Arial" w:hAnsi="Arial" w:hint="eastAsia"/>
          <w:sz w:val="21"/>
          <w:szCs w:val="28"/>
        </w:rPr>
        <w:t>个百分点；</w:t>
      </w:r>
      <w:r w:rsidRPr="0043038D">
        <w:rPr>
          <w:rFonts w:ascii="Arial" w:hAnsi="Arial"/>
          <w:sz w:val="21"/>
          <w:szCs w:val="28"/>
        </w:rPr>
        <w:t>50000-70000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㎡房源成交占比</w:t>
      </w:r>
      <w:r w:rsidRPr="0043038D">
        <w:rPr>
          <w:rFonts w:ascii="Arial" w:hAnsi="Arial"/>
          <w:sz w:val="21"/>
          <w:szCs w:val="28"/>
        </w:rPr>
        <w:t>29.8%</w:t>
      </w:r>
      <w:r w:rsidRPr="0043038D">
        <w:rPr>
          <w:rFonts w:ascii="Arial" w:hAnsi="Arial" w:hint="eastAsia"/>
          <w:sz w:val="21"/>
          <w:szCs w:val="28"/>
        </w:rPr>
        <w:t>，环比减少了</w:t>
      </w:r>
      <w:r w:rsidRPr="0043038D">
        <w:rPr>
          <w:rFonts w:ascii="Arial" w:hAnsi="Arial"/>
          <w:sz w:val="21"/>
          <w:szCs w:val="28"/>
        </w:rPr>
        <w:t>3.4</w:t>
      </w:r>
      <w:r w:rsidRPr="0043038D">
        <w:rPr>
          <w:rFonts w:ascii="Arial" w:hAnsi="Arial" w:hint="eastAsia"/>
          <w:sz w:val="21"/>
          <w:szCs w:val="28"/>
        </w:rPr>
        <w:t>个百分点；</w:t>
      </w:r>
      <w:r w:rsidRPr="0043038D">
        <w:rPr>
          <w:rFonts w:ascii="Arial" w:hAnsi="Arial"/>
          <w:sz w:val="21"/>
          <w:szCs w:val="28"/>
        </w:rPr>
        <w:t>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㎡以上单价的高端产品成交占比</w:t>
      </w:r>
      <w:r w:rsidRPr="0043038D">
        <w:rPr>
          <w:rFonts w:ascii="Arial" w:hAnsi="Arial"/>
          <w:sz w:val="21"/>
          <w:szCs w:val="28"/>
        </w:rPr>
        <w:t>20.9%</w:t>
      </w:r>
      <w:r w:rsidRPr="0043038D">
        <w:rPr>
          <w:rFonts w:ascii="Arial" w:hAnsi="Arial" w:hint="eastAsia"/>
          <w:sz w:val="21"/>
          <w:szCs w:val="28"/>
        </w:rPr>
        <w:t>，环比缩减了</w:t>
      </w:r>
      <w:r w:rsidRPr="0043038D">
        <w:rPr>
          <w:rFonts w:ascii="Arial" w:hAnsi="Arial"/>
          <w:sz w:val="21"/>
          <w:szCs w:val="28"/>
        </w:rPr>
        <w:t>2.3</w:t>
      </w:r>
      <w:r w:rsidRPr="0043038D">
        <w:rPr>
          <w:rFonts w:ascii="Arial" w:hAnsi="Arial" w:hint="eastAsia"/>
          <w:sz w:val="21"/>
          <w:szCs w:val="28"/>
        </w:rPr>
        <w:t>个百分点。</w:t>
      </w:r>
    </w:p>
    <w:p w14:paraId="56721467"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以来各成交楼面单价段成交套数分布季度变化</w:t>
      </w:r>
    </w:p>
    <w:p w14:paraId="7185A861" w14:textId="77777777" w:rsidR="000E5655" w:rsidRPr="0043038D" w:rsidRDefault="00837133">
      <w:pPr>
        <w:tabs>
          <w:tab w:val="left" w:pos="426"/>
        </w:tabs>
        <w:overflowPunct w:val="0"/>
        <w:spacing w:line="480" w:lineRule="auto"/>
        <w:rPr>
          <w:rFonts w:ascii="Arial" w:hAnsi="Arial"/>
          <w:sz w:val="21"/>
          <w:szCs w:val="28"/>
        </w:rPr>
      </w:pPr>
      <w:r w:rsidRPr="0043038D">
        <w:rPr>
          <w:noProof/>
        </w:rPr>
        <w:drawing>
          <wp:inline distT="0" distB="0" distL="0" distR="0" wp14:anchorId="1AEB7AAA" wp14:editId="56CD903E">
            <wp:extent cx="5898515" cy="369379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98515" cy="3693795"/>
                    </a:xfrm>
                    <a:prstGeom prst="rect">
                      <a:avLst/>
                    </a:prstGeom>
                    <a:noFill/>
                    <a:ln>
                      <a:noFill/>
                    </a:ln>
                  </pic:spPr>
                </pic:pic>
              </a:graphicData>
            </a:graphic>
          </wp:inline>
        </w:drawing>
      </w:r>
    </w:p>
    <w:p w14:paraId="2F997FD5"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从成交总价来看，成交房源总价集中</w:t>
      </w:r>
      <w:r w:rsidRPr="0043038D">
        <w:rPr>
          <w:rFonts w:ascii="Arial" w:hAnsi="Arial"/>
          <w:sz w:val="21"/>
          <w:szCs w:val="28"/>
        </w:rPr>
        <w:t>600</w:t>
      </w:r>
      <w:r w:rsidRPr="0043038D">
        <w:rPr>
          <w:rFonts w:ascii="Arial" w:hAnsi="Arial" w:hint="eastAsia"/>
          <w:sz w:val="21"/>
          <w:szCs w:val="28"/>
        </w:rPr>
        <w:t>万以下，合计占比</w:t>
      </w:r>
      <w:r w:rsidRPr="0043038D">
        <w:rPr>
          <w:rFonts w:ascii="Arial" w:hAnsi="Arial"/>
          <w:sz w:val="21"/>
          <w:szCs w:val="28"/>
        </w:rPr>
        <w:t>54.8%</w:t>
      </w:r>
      <w:r w:rsidRPr="0043038D">
        <w:rPr>
          <w:rFonts w:ascii="Arial" w:hAnsi="Arial" w:hint="eastAsia"/>
          <w:sz w:val="21"/>
          <w:szCs w:val="28"/>
        </w:rPr>
        <w:t>，较</w:t>
      </w:r>
      <w:r w:rsidRPr="0043038D">
        <w:rPr>
          <w:rFonts w:ascii="Arial" w:hAnsi="Arial"/>
          <w:sz w:val="21"/>
          <w:szCs w:val="28"/>
        </w:rPr>
        <w:t>24</w:t>
      </w:r>
      <w:r w:rsidRPr="0043038D">
        <w:rPr>
          <w:rFonts w:ascii="Arial" w:hAnsi="Arial" w:hint="eastAsia"/>
          <w:sz w:val="21"/>
          <w:szCs w:val="28"/>
        </w:rPr>
        <w:t>年一季度扩大了</w:t>
      </w:r>
      <w:r w:rsidRPr="0043038D">
        <w:rPr>
          <w:rFonts w:ascii="Arial" w:hAnsi="Arial"/>
          <w:sz w:val="21"/>
          <w:szCs w:val="28"/>
        </w:rPr>
        <w:t>1.7</w:t>
      </w:r>
      <w:r w:rsidRPr="0043038D">
        <w:rPr>
          <w:rFonts w:ascii="Arial" w:hAnsi="Arial" w:hint="eastAsia"/>
          <w:sz w:val="21"/>
          <w:szCs w:val="28"/>
        </w:rPr>
        <w:t>个百分点。总价</w:t>
      </w:r>
      <w:r w:rsidRPr="0043038D">
        <w:rPr>
          <w:rFonts w:ascii="Arial" w:hAnsi="Arial"/>
          <w:sz w:val="21"/>
          <w:szCs w:val="28"/>
        </w:rPr>
        <w:t>600</w:t>
      </w:r>
      <w:r w:rsidRPr="0043038D">
        <w:rPr>
          <w:rFonts w:ascii="Arial" w:hAnsi="Arial" w:hint="eastAsia"/>
          <w:sz w:val="21"/>
          <w:szCs w:val="28"/>
        </w:rPr>
        <w:t>万以上的中高端改善房源成交占比</w:t>
      </w:r>
      <w:r w:rsidRPr="0043038D">
        <w:rPr>
          <w:rFonts w:ascii="Arial" w:hAnsi="Arial"/>
          <w:sz w:val="21"/>
          <w:szCs w:val="28"/>
        </w:rPr>
        <w:t>45.2%</w:t>
      </w:r>
      <w:r w:rsidRPr="0043038D">
        <w:rPr>
          <w:rFonts w:ascii="Arial" w:hAnsi="Arial" w:hint="eastAsia"/>
          <w:sz w:val="21"/>
          <w:szCs w:val="28"/>
        </w:rPr>
        <w:t>，环比缩减</w:t>
      </w:r>
      <w:r w:rsidRPr="0043038D">
        <w:rPr>
          <w:rFonts w:ascii="Arial" w:hAnsi="Arial"/>
          <w:sz w:val="21"/>
          <w:szCs w:val="28"/>
        </w:rPr>
        <w:t>1.7</w:t>
      </w:r>
      <w:r w:rsidRPr="0043038D">
        <w:rPr>
          <w:rFonts w:ascii="Arial" w:hAnsi="Arial" w:hint="eastAsia"/>
          <w:sz w:val="21"/>
          <w:szCs w:val="28"/>
        </w:rPr>
        <w:t>个百分点。</w:t>
      </w:r>
    </w:p>
    <w:p w14:paraId="2EC9EC1E"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以来各成交总价段成交套数分布季度变化</w:t>
      </w:r>
    </w:p>
    <w:p w14:paraId="1373F74B" w14:textId="77777777" w:rsidR="000E5655" w:rsidRPr="0043038D" w:rsidRDefault="00837133">
      <w:pPr>
        <w:tabs>
          <w:tab w:val="left" w:pos="426"/>
        </w:tabs>
        <w:overflowPunct w:val="0"/>
        <w:spacing w:line="480" w:lineRule="auto"/>
        <w:jc w:val="both"/>
        <w:rPr>
          <w:rFonts w:ascii="Arial" w:hAnsi="Arial"/>
          <w:sz w:val="21"/>
          <w:szCs w:val="28"/>
        </w:rPr>
      </w:pPr>
      <w:r w:rsidRPr="0043038D">
        <w:rPr>
          <w:noProof/>
        </w:rPr>
        <w:drawing>
          <wp:inline distT="0" distB="0" distL="0" distR="0" wp14:anchorId="2723751D" wp14:editId="1650A42B">
            <wp:extent cx="5907405" cy="391541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7405" cy="3915410"/>
                    </a:xfrm>
                    <a:prstGeom prst="rect">
                      <a:avLst/>
                    </a:prstGeom>
                    <a:noFill/>
                    <a:ln>
                      <a:noFill/>
                    </a:ln>
                  </pic:spPr>
                </pic:pic>
              </a:graphicData>
            </a:graphic>
          </wp:inline>
        </w:drawing>
      </w:r>
    </w:p>
    <w:p w14:paraId="62E2BB28" w14:textId="77777777"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3</w:t>
      </w:r>
      <w:r w:rsidRPr="0043038D">
        <w:rPr>
          <w:rFonts w:ascii="Arial" w:hAnsi="Arial" w:hint="eastAsia"/>
          <w:sz w:val="21"/>
        </w:rPr>
        <w:t>）区域成交</w:t>
      </w:r>
    </w:p>
    <w:p w14:paraId="2F32CF3D"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年上半年，北京市区成交主力依旧是近郊六区，成交总规模超</w:t>
      </w:r>
      <w:r w:rsidRPr="0043038D">
        <w:rPr>
          <w:rFonts w:ascii="Arial" w:hAnsi="Arial"/>
          <w:sz w:val="21"/>
          <w:szCs w:val="28"/>
        </w:rPr>
        <w:t>117.3</w:t>
      </w:r>
      <w:r w:rsidRPr="0043038D">
        <w:rPr>
          <w:rFonts w:ascii="Arial" w:hAnsi="Arial" w:hint="eastAsia"/>
          <w:sz w:val="21"/>
          <w:szCs w:val="28"/>
        </w:rPr>
        <w:t>万㎡</w:t>
      </w:r>
      <w:r w:rsidRPr="0043038D">
        <w:rPr>
          <w:rFonts w:ascii="Arial" w:hAnsi="Arial"/>
          <w:sz w:val="21"/>
          <w:szCs w:val="28"/>
        </w:rPr>
        <w:t>,</w:t>
      </w:r>
      <w:r w:rsidRPr="0043038D">
        <w:rPr>
          <w:rFonts w:ascii="Arial" w:hAnsi="Arial" w:hint="eastAsia"/>
          <w:sz w:val="21"/>
          <w:szCs w:val="28"/>
        </w:rPr>
        <w:t>中心城区中朝阳区成交规模为</w:t>
      </w:r>
      <w:r w:rsidRPr="0043038D">
        <w:rPr>
          <w:rFonts w:ascii="Arial" w:hAnsi="Arial"/>
          <w:sz w:val="21"/>
          <w:szCs w:val="28"/>
        </w:rPr>
        <w:t>28.0</w:t>
      </w:r>
      <w:r w:rsidRPr="0043038D">
        <w:rPr>
          <w:rFonts w:ascii="Arial" w:hAnsi="Arial" w:hint="eastAsia"/>
          <w:sz w:val="21"/>
          <w:szCs w:val="28"/>
        </w:rPr>
        <w:t>万㎡，领跑市场；远郊区成交规模小，占比仅有</w:t>
      </w:r>
      <w:r w:rsidRPr="0043038D">
        <w:rPr>
          <w:rFonts w:ascii="Arial" w:hAnsi="Arial"/>
          <w:sz w:val="21"/>
          <w:szCs w:val="28"/>
        </w:rPr>
        <w:t>6.3%</w:t>
      </w:r>
      <w:r w:rsidRPr="0043038D">
        <w:rPr>
          <w:rFonts w:ascii="Arial" w:hAnsi="Arial" w:hint="eastAsia"/>
          <w:sz w:val="21"/>
          <w:szCs w:val="28"/>
        </w:rPr>
        <w:t>。</w:t>
      </w:r>
    </w:p>
    <w:p w14:paraId="4B452B9B"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同比来看，三大圈层成交全线下降。中心城区成交降幅最大（下降</w:t>
      </w:r>
      <w:r w:rsidRPr="0043038D">
        <w:rPr>
          <w:rFonts w:ascii="Arial" w:hAnsi="Arial"/>
          <w:sz w:val="21"/>
          <w:szCs w:val="28"/>
        </w:rPr>
        <w:t>46.0%</w:t>
      </w:r>
      <w:r w:rsidRPr="0043038D">
        <w:rPr>
          <w:rFonts w:ascii="Arial" w:hAnsi="Arial" w:hint="eastAsia"/>
          <w:sz w:val="21"/>
          <w:szCs w:val="28"/>
        </w:rPr>
        <w:t>），供应不足叠加观望情绪浓重，三大圈层成交规模或将持续磨底。近郊区成交降幅为</w:t>
      </w:r>
      <w:r w:rsidRPr="0043038D">
        <w:rPr>
          <w:rFonts w:ascii="Arial" w:hAnsi="Arial"/>
          <w:sz w:val="21"/>
          <w:szCs w:val="28"/>
        </w:rPr>
        <w:t>37.1%</w:t>
      </w:r>
      <w:r w:rsidRPr="0043038D">
        <w:rPr>
          <w:rFonts w:ascii="Arial" w:hAnsi="Arial" w:hint="eastAsia"/>
          <w:sz w:val="21"/>
          <w:szCs w:val="28"/>
        </w:rPr>
        <w:t>，区域成交波动下行；远郊区成交同比下降</w:t>
      </w:r>
      <w:r w:rsidRPr="0043038D">
        <w:rPr>
          <w:rFonts w:ascii="Arial" w:hAnsi="Arial"/>
          <w:sz w:val="21"/>
          <w:szCs w:val="28"/>
        </w:rPr>
        <w:t>30.6%</w:t>
      </w:r>
      <w:r w:rsidRPr="0043038D">
        <w:rPr>
          <w:rFonts w:ascii="Arial" w:hAnsi="Arial" w:hint="eastAsia"/>
          <w:sz w:val="21"/>
          <w:szCs w:val="28"/>
        </w:rPr>
        <w:t>，降幅最小，区域成交保持低位运行。</w:t>
      </w:r>
    </w:p>
    <w:p w14:paraId="37A6A7FC"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以来历季度北京三大圈层区域住宅成交走势</w:t>
      </w:r>
    </w:p>
    <w:p w14:paraId="0F873DC0" w14:textId="77777777"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drawing>
          <wp:inline distT="0" distB="0" distL="0" distR="0" wp14:anchorId="2EB6B5CD" wp14:editId="32694B72">
            <wp:extent cx="5029200" cy="4006215"/>
            <wp:effectExtent l="0" t="0" r="0" b="0"/>
            <wp:docPr id="17" name="图片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58A200" w14:textId="77777777" w:rsidR="000E5655" w:rsidRPr="0043038D" w:rsidRDefault="00837133">
      <w:pPr>
        <w:widowControl/>
        <w:overflowPunct w:val="0"/>
        <w:adjustRightInd/>
        <w:spacing w:line="480" w:lineRule="auto"/>
        <w:ind w:firstLineChars="200" w:firstLine="420"/>
        <w:jc w:val="both"/>
        <w:rPr>
          <w:rFonts w:ascii="Arial" w:hAnsi="Arial"/>
          <w:bCs/>
          <w:sz w:val="21"/>
          <w:szCs w:val="28"/>
        </w:rPr>
      </w:pPr>
      <w:r w:rsidRPr="0043038D">
        <w:rPr>
          <w:rFonts w:ascii="Arial" w:hAnsi="Arial" w:hint="eastAsia"/>
          <w:bCs/>
          <w:sz w:val="21"/>
          <w:szCs w:val="28"/>
        </w:rPr>
        <w:t>（</w:t>
      </w:r>
      <w:r w:rsidRPr="0043038D">
        <w:rPr>
          <w:rFonts w:ascii="Arial" w:hAnsi="Arial"/>
          <w:bCs/>
          <w:sz w:val="21"/>
          <w:szCs w:val="28"/>
        </w:rPr>
        <w:t>3</w:t>
      </w:r>
      <w:r w:rsidRPr="0043038D">
        <w:rPr>
          <w:rFonts w:ascii="Arial" w:hAnsi="Arial" w:hint="eastAsia"/>
          <w:bCs/>
          <w:sz w:val="21"/>
          <w:szCs w:val="28"/>
        </w:rPr>
        <w:t>）存量房住宅市场</w:t>
      </w:r>
    </w:p>
    <w:p w14:paraId="2D4BBD22" w14:textId="77777777"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）市场运行状况</w:t>
      </w:r>
    </w:p>
    <w:p w14:paraId="4DA380BE"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年上半年北京存量房市场成交套数为</w:t>
      </w:r>
      <w:r w:rsidRPr="0043038D">
        <w:rPr>
          <w:rFonts w:ascii="Arial" w:hAnsi="Arial"/>
          <w:sz w:val="21"/>
          <w:szCs w:val="28"/>
        </w:rPr>
        <w:t>74124</w:t>
      </w:r>
      <w:r w:rsidRPr="0043038D">
        <w:rPr>
          <w:rFonts w:ascii="Arial" w:hAnsi="Arial" w:hint="eastAsia"/>
          <w:sz w:val="21"/>
          <w:szCs w:val="28"/>
        </w:rPr>
        <w:t>套，月均成交套数略高于</w:t>
      </w:r>
      <w:r w:rsidRPr="0043038D">
        <w:rPr>
          <w:rFonts w:ascii="Arial" w:hAnsi="Arial"/>
          <w:sz w:val="21"/>
          <w:szCs w:val="28"/>
        </w:rPr>
        <w:t>1.2</w:t>
      </w:r>
      <w:r w:rsidRPr="0043038D">
        <w:rPr>
          <w:rFonts w:ascii="Arial" w:hAnsi="Arial" w:hint="eastAsia"/>
          <w:sz w:val="21"/>
          <w:szCs w:val="28"/>
        </w:rPr>
        <w:t>万套“荣枯线”，在近三年中处于中等规模水平。</w:t>
      </w:r>
      <w:r w:rsidRPr="0043038D">
        <w:rPr>
          <w:rFonts w:ascii="Arial" w:hAnsi="Arial"/>
          <w:sz w:val="21"/>
          <w:szCs w:val="28"/>
        </w:rPr>
        <w:t>4-5</w:t>
      </w:r>
      <w:r w:rsidRPr="0043038D">
        <w:rPr>
          <w:rFonts w:ascii="Arial" w:hAnsi="Arial" w:hint="eastAsia"/>
          <w:sz w:val="21"/>
          <w:szCs w:val="28"/>
        </w:rPr>
        <w:t>月一连串利好政策出台，</w:t>
      </w:r>
      <w:r w:rsidRPr="0043038D">
        <w:rPr>
          <w:rFonts w:ascii="Arial" w:hAnsi="Arial"/>
          <w:sz w:val="21"/>
          <w:szCs w:val="28"/>
        </w:rPr>
        <w:t>4</w:t>
      </w:r>
      <w:r w:rsidRPr="0043038D">
        <w:rPr>
          <w:rFonts w:ascii="Arial" w:hAnsi="Arial" w:hint="eastAsia"/>
          <w:sz w:val="21"/>
          <w:szCs w:val="28"/>
        </w:rPr>
        <w:t>月二手房成交规模恢复正常水平，环比小幅下降，</w:t>
      </w:r>
      <w:r w:rsidRPr="0043038D">
        <w:rPr>
          <w:rFonts w:ascii="Arial" w:hAnsi="Arial"/>
          <w:sz w:val="21"/>
          <w:szCs w:val="28"/>
        </w:rPr>
        <w:t>5</w:t>
      </w:r>
      <w:r w:rsidRPr="0043038D">
        <w:rPr>
          <w:rFonts w:ascii="Arial" w:hAnsi="Arial" w:hint="eastAsia"/>
          <w:sz w:val="21"/>
          <w:szCs w:val="28"/>
        </w:rPr>
        <w:t>月受“</w:t>
      </w:r>
      <w:r w:rsidRPr="0043038D">
        <w:rPr>
          <w:rFonts w:ascii="Arial" w:hAnsi="Arial"/>
          <w:sz w:val="21"/>
          <w:szCs w:val="28"/>
        </w:rPr>
        <w:t>430</w:t>
      </w:r>
      <w:r w:rsidRPr="0043038D">
        <w:rPr>
          <w:rFonts w:ascii="Arial" w:hAnsi="Arial" w:hint="eastAsia"/>
          <w:sz w:val="21"/>
          <w:szCs w:val="28"/>
        </w:rPr>
        <w:t>新政”影响，成交量环比小幅上涨，</w:t>
      </w:r>
      <w:r w:rsidRPr="0043038D">
        <w:rPr>
          <w:rFonts w:ascii="Arial" w:hAnsi="Arial"/>
          <w:sz w:val="21"/>
          <w:szCs w:val="28"/>
        </w:rPr>
        <w:t>6</w:t>
      </w:r>
      <w:r w:rsidRPr="0043038D">
        <w:rPr>
          <w:rFonts w:ascii="Arial" w:hAnsi="Arial" w:hint="eastAsia"/>
          <w:sz w:val="21"/>
          <w:szCs w:val="28"/>
        </w:rPr>
        <w:t>月，二手房市场受“</w:t>
      </w:r>
      <w:r w:rsidRPr="0043038D">
        <w:rPr>
          <w:rFonts w:ascii="Arial" w:hAnsi="Arial"/>
          <w:sz w:val="21"/>
          <w:szCs w:val="28"/>
        </w:rPr>
        <w:t>517</w:t>
      </w:r>
      <w:r w:rsidRPr="0043038D">
        <w:rPr>
          <w:rFonts w:ascii="Arial" w:hAnsi="Arial" w:hint="eastAsia"/>
          <w:sz w:val="21"/>
          <w:szCs w:val="28"/>
        </w:rPr>
        <w:t>楼市新政”影响，市场信心增强，成交量增长显著，为上半年最高，近</w:t>
      </w:r>
      <w:r w:rsidRPr="0043038D">
        <w:rPr>
          <w:rFonts w:ascii="Arial" w:hAnsi="Arial"/>
          <w:sz w:val="21"/>
          <w:szCs w:val="28"/>
        </w:rPr>
        <w:t>1.5</w:t>
      </w:r>
      <w:r w:rsidRPr="0043038D">
        <w:rPr>
          <w:rFonts w:ascii="Arial" w:hAnsi="Arial" w:hint="eastAsia"/>
          <w:sz w:val="21"/>
          <w:szCs w:val="28"/>
        </w:rPr>
        <w:t>万套，环比上涨</w:t>
      </w:r>
      <w:r w:rsidRPr="0043038D">
        <w:rPr>
          <w:rFonts w:ascii="Arial" w:hAnsi="Arial"/>
          <w:sz w:val="21"/>
          <w:szCs w:val="28"/>
        </w:rPr>
        <w:t>12.8%</w:t>
      </w:r>
      <w:r w:rsidRPr="0043038D">
        <w:rPr>
          <w:rFonts w:ascii="Arial" w:hAnsi="Arial" w:hint="eastAsia"/>
          <w:sz w:val="21"/>
          <w:szCs w:val="28"/>
        </w:rPr>
        <w:t>。</w:t>
      </w:r>
    </w:p>
    <w:p w14:paraId="148EC621" w14:textId="77777777"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2021</w:t>
      </w:r>
      <w:r w:rsidRPr="0043038D">
        <w:rPr>
          <w:rFonts w:ascii="Arial" w:eastAsia="方正黑体简体" w:hAnsi="Arial" w:hint="eastAsia"/>
          <w:bCs/>
          <w:color w:val="000000"/>
          <w:szCs w:val="24"/>
        </w:rPr>
        <w:t>年以来北京市二手住宅成交套数季度走势</w:t>
      </w:r>
    </w:p>
    <w:p w14:paraId="44538FF1" w14:textId="77777777"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drawing>
          <wp:inline distT="0" distB="0" distL="0" distR="0" wp14:anchorId="0C802351" wp14:editId="2AD7982B">
            <wp:extent cx="5486400" cy="2444750"/>
            <wp:effectExtent l="0" t="0" r="0" b="0"/>
            <wp:docPr id="18" name="图片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C5F3FB" w14:textId="77777777"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2</w:t>
      </w:r>
      <w:r w:rsidRPr="0043038D">
        <w:rPr>
          <w:rFonts w:ascii="Arial" w:hAnsi="Arial" w:hint="eastAsia"/>
          <w:sz w:val="21"/>
        </w:rPr>
        <w:t>）各区县统计</w:t>
      </w:r>
    </w:p>
    <w:p w14:paraId="492DBF72" w14:textId="77777777"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年上半年，朝阳区、海淀区、丰台区等区域为北京二手住宅成交主力区域，共成交</w:t>
      </w:r>
      <w:r w:rsidRPr="0043038D">
        <w:rPr>
          <w:rFonts w:ascii="Arial" w:hAnsi="Arial"/>
          <w:sz w:val="21"/>
          <w:szCs w:val="28"/>
        </w:rPr>
        <w:t>33313</w:t>
      </w:r>
      <w:r w:rsidRPr="0043038D">
        <w:rPr>
          <w:rFonts w:ascii="Arial" w:hAnsi="Arial" w:hint="eastAsia"/>
          <w:sz w:val="21"/>
          <w:szCs w:val="28"/>
        </w:rPr>
        <w:t>套，占城市成交套数的</w:t>
      </w:r>
      <w:r w:rsidRPr="0043038D">
        <w:rPr>
          <w:rFonts w:ascii="Arial" w:hAnsi="Arial"/>
          <w:sz w:val="21"/>
          <w:szCs w:val="28"/>
        </w:rPr>
        <w:t>44.9%</w:t>
      </w:r>
      <w:r w:rsidRPr="0043038D">
        <w:rPr>
          <w:rFonts w:ascii="Arial" w:hAnsi="Arial" w:hint="eastAsia"/>
          <w:sz w:val="21"/>
          <w:szCs w:val="28"/>
        </w:rPr>
        <w:t>。其中，成交套数同比增长的区域有怀柔区、延庆区、密云区等，同比分别增长</w:t>
      </w:r>
      <w:r w:rsidRPr="0043038D">
        <w:rPr>
          <w:rFonts w:ascii="Arial" w:hAnsi="Arial"/>
          <w:sz w:val="21"/>
          <w:szCs w:val="28"/>
        </w:rPr>
        <w:t>40.4%</w:t>
      </w:r>
      <w:r w:rsidRPr="0043038D">
        <w:rPr>
          <w:rFonts w:ascii="Arial" w:hAnsi="Arial" w:hint="eastAsia"/>
          <w:sz w:val="21"/>
          <w:szCs w:val="28"/>
        </w:rPr>
        <w:t>、</w:t>
      </w:r>
      <w:r w:rsidRPr="0043038D">
        <w:rPr>
          <w:rFonts w:ascii="Arial" w:hAnsi="Arial"/>
          <w:sz w:val="21"/>
          <w:szCs w:val="28"/>
        </w:rPr>
        <w:t>8.1%</w:t>
      </w:r>
      <w:r w:rsidRPr="0043038D">
        <w:rPr>
          <w:rFonts w:ascii="Arial" w:hAnsi="Arial" w:hint="eastAsia"/>
          <w:sz w:val="21"/>
          <w:szCs w:val="28"/>
        </w:rPr>
        <w:t>、</w:t>
      </w:r>
      <w:r w:rsidRPr="0043038D">
        <w:rPr>
          <w:rFonts w:ascii="Arial" w:hAnsi="Arial"/>
          <w:sz w:val="21"/>
          <w:szCs w:val="28"/>
        </w:rPr>
        <w:t>6.5%</w:t>
      </w:r>
      <w:r w:rsidRPr="0043038D">
        <w:rPr>
          <w:rFonts w:ascii="Arial" w:hAnsi="Arial" w:hint="eastAsia"/>
          <w:sz w:val="21"/>
          <w:szCs w:val="28"/>
        </w:rPr>
        <w:t>；成交套数同比下降的区域有大兴区、朝阳区、平谷区等，同比分别下降</w:t>
      </w:r>
      <w:r w:rsidRPr="0043038D">
        <w:rPr>
          <w:rFonts w:ascii="Arial" w:hAnsi="Arial"/>
          <w:sz w:val="21"/>
          <w:szCs w:val="28"/>
        </w:rPr>
        <w:t>27.1%</w:t>
      </w:r>
      <w:r w:rsidRPr="0043038D">
        <w:rPr>
          <w:rFonts w:ascii="Arial" w:hAnsi="Arial" w:hint="eastAsia"/>
          <w:sz w:val="21"/>
          <w:szCs w:val="28"/>
        </w:rPr>
        <w:t>、</w:t>
      </w:r>
      <w:r w:rsidRPr="0043038D">
        <w:rPr>
          <w:rFonts w:ascii="Arial" w:hAnsi="Arial"/>
          <w:sz w:val="21"/>
          <w:szCs w:val="28"/>
        </w:rPr>
        <w:t>16.8%</w:t>
      </w:r>
      <w:r w:rsidRPr="0043038D">
        <w:rPr>
          <w:rFonts w:ascii="Arial" w:hAnsi="Arial" w:hint="eastAsia"/>
          <w:sz w:val="21"/>
          <w:szCs w:val="28"/>
        </w:rPr>
        <w:t>、</w:t>
      </w:r>
      <w:r w:rsidRPr="0043038D">
        <w:rPr>
          <w:rFonts w:ascii="Arial" w:hAnsi="Arial"/>
          <w:sz w:val="21"/>
          <w:szCs w:val="28"/>
        </w:rPr>
        <w:t>15.4%</w:t>
      </w:r>
      <w:r w:rsidRPr="0043038D">
        <w:rPr>
          <w:rFonts w:ascii="Arial" w:hAnsi="Arial" w:hint="eastAsia"/>
          <w:sz w:val="21"/>
          <w:szCs w:val="28"/>
        </w:rPr>
        <w:t>。</w:t>
      </w:r>
    </w:p>
    <w:p w14:paraId="7B165B64" w14:textId="77777777" w:rsidR="000E5655" w:rsidRPr="0043038D" w:rsidRDefault="00837133">
      <w:pPr>
        <w:widowControl/>
        <w:spacing w:line="360" w:lineRule="auto"/>
        <w:ind w:firstLineChars="200" w:firstLine="420"/>
        <w:jc w:val="both"/>
        <w:rPr>
          <w:rFonts w:ascii="Arial" w:eastAsia="仿宋_GB2312" w:hAnsi="Arial" w:cs="Arial"/>
          <w:sz w:val="28"/>
        </w:rPr>
      </w:pPr>
      <w:r w:rsidRPr="0043038D">
        <w:rPr>
          <w:rFonts w:ascii="Arial" w:hAnsi="Arial"/>
          <w:sz w:val="21"/>
          <w:szCs w:val="28"/>
        </w:rPr>
        <w:t>2024</w:t>
      </w:r>
      <w:r w:rsidRPr="0043038D">
        <w:rPr>
          <w:rFonts w:ascii="Arial" w:hAnsi="Arial" w:hint="eastAsia"/>
          <w:sz w:val="21"/>
          <w:szCs w:val="28"/>
        </w:rPr>
        <w:t>年上半年各区县二手住宅成交信息如下：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17"/>
        <w:gridCol w:w="3191"/>
        <w:gridCol w:w="2097"/>
        <w:gridCol w:w="1595"/>
      </w:tblGrid>
      <w:tr w:rsidR="000E5655" w:rsidRPr="0043038D" w14:paraId="1F57B9C5" w14:textId="77777777">
        <w:trPr>
          <w:cantSplit/>
          <w:tblHeader/>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23BD0982"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区域</w:t>
            </w:r>
          </w:p>
        </w:tc>
        <w:tc>
          <w:tcPr>
            <w:tcW w:w="1984" w:type="dxa"/>
            <w:tcBorders>
              <w:top w:val="single" w:sz="4" w:space="0" w:color="auto"/>
              <w:left w:val="single" w:sz="4" w:space="0" w:color="auto"/>
              <w:bottom w:val="single" w:sz="4" w:space="0" w:color="auto"/>
              <w:right w:val="single" w:sz="4" w:space="0" w:color="auto"/>
            </w:tcBorders>
            <w:noWrap/>
            <w:vAlign w:val="center"/>
          </w:tcPr>
          <w:p w14:paraId="26229592"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w:t>
            </w:r>
            <w:r w:rsidRPr="0043038D">
              <w:rPr>
                <w:rFonts w:ascii="Arial" w:eastAsia="华文细黑" w:hAnsi="Arial" w:cs="Arial" w:hint="eastAsia"/>
                <w:sz w:val="18"/>
                <w:szCs w:val="18"/>
              </w:rPr>
              <w:t>月成交套数（套）</w:t>
            </w:r>
          </w:p>
        </w:tc>
        <w:tc>
          <w:tcPr>
            <w:tcW w:w="1304" w:type="dxa"/>
            <w:tcBorders>
              <w:top w:val="single" w:sz="4" w:space="0" w:color="auto"/>
              <w:left w:val="single" w:sz="4" w:space="0" w:color="auto"/>
              <w:bottom w:val="single" w:sz="4" w:space="0" w:color="auto"/>
              <w:right w:val="single" w:sz="4" w:space="0" w:color="auto"/>
            </w:tcBorders>
            <w:noWrap/>
            <w:vAlign w:val="center"/>
          </w:tcPr>
          <w:p w14:paraId="17D0D79C"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占比</w:t>
            </w:r>
            <w:r w:rsidRPr="0043038D">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41EC3FC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同比</w:t>
            </w:r>
            <w:r w:rsidRPr="0043038D">
              <w:rPr>
                <w:rFonts w:ascii="Arial" w:eastAsia="华文细黑" w:hAnsi="Arial" w:cs="Arial"/>
                <w:sz w:val="18"/>
                <w:szCs w:val="18"/>
              </w:rPr>
              <w:t>(%)</w:t>
            </w:r>
          </w:p>
        </w:tc>
      </w:tr>
      <w:tr w:rsidR="000E5655" w:rsidRPr="0043038D" w14:paraId="04EF2540"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037E737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朝阳区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251F645C"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16887</w:t>
            </w:r>
          </w:p>
        </w:tc>
        <w:tc>
          <w:tcPr>
            <w:tcW w:w="1304" w:type="dxa"/>
            <w:tcBorders>
              <w:top w:val="single" w:sz="4" w:space="0" w:color="auto"/>
              <w:left w:val="single" w:sz="4" w:space="0" w:color="auto"/>
              <w:bottom w:val="single" w:sz="4" w:space="0" w:color="auto"/>
              <w:right w:val="single" w:sz="4" w:space="0" w:color="auto"/>
            </w:tcBorders>
            <w:noWrap/>
            <w:vAlign w:val="center"/>
          </w:tcPr>
          <w:p w14:paraId="4059DAA3"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22.8</w:t>
            </w:r>
          </w:p>
        </w:tc>
        <w:tc>
          <w:tcPr>
            <w:tcW w:w="992" w:type="dxa"/>
            <w:tcBorders>
              <w:top w:val="single" w:sz="4" w:space="0" w:color="auto"/>
              <w:left w:val="single" w:sz="4" w:space="0" w:color="auto"/>
              <w:bottom w:val="single" w:sz="4" w:space="0" w:color="auto"/>
              <w:right w:val="single" w:sz="4" w:space="0" w:color="auto"/>
            </w:tcBorders>
            <w:noWrap/>
            <w:vAlign w:val="center"/>
          </w:tcPr>
          <w:p w14:paraId="5225886A"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w:t>
            </w:r>
          </w:p>
        </w:tc>
      </w:tr>
      <w:tr w:rsidR="000E5655" w:rsidRPr="0043038D" w14:paraId="3FBB1A47"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6574BA73"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海淀区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4A21C27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8286</w:t>
            </w:r>
          </w:p>
        </w:tc>
        <w:tc>
          <w:tcPr>
            <w:tcW w:w="1304" w:type="dxa"/>
            <w:tcBorders>
              <w:top w:val="single" w:sz="4" w:space="0" w:color="auto"/>
              <w:left w:val="single" w:sz="4" w:space="0" w:color="auto"/>
              <w:bottom w:val="single" w:sz="4" w:space="0" w:color="auto"/>
              <w:right w:val="single" w:sz="4" w:space="0" w:color="auto"/>
            </w:tcBorders>
            <w:noWrap/>
            <w:vAlign w:val="center"/>
          </w:tcPr>
          <w:p w14:paraId="0C2D3BC6"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w:t>
            </w:r>
          </w:p>
        </w:tc>
        <w:tc>
          <w:tcPr>
            <w:tcW w:w="992" w:type="dxa"/>
            <w:tcBorders>
              <w:top w:val="single" w:sz="4" w:space="0" w:color="auto"/>
              <w:left w:val="single" w:sz="4" w:space="0" w:color="auto"/>
              <w:bottom w:val="single" w:sz="4" w:space="0" w:color="auto"/>
              <w:right w:val="single" w:sz="4" w:space="0" w:color="auto"/>
            </w:tcBorders>
            <w:noWrap/>
            <w:vAlign w:val="center"/>
          </w:tcPr>
          <w:p w14:paraId="3E5AE2C9"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-13.1</w:t>
            </w:r>
          </w:p>
        </w:tc>
      </w:tr>
      <w:tr w:rsidR="000E5655" w:rsidRPr="0043038D" w14:paraId="6C79E846"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07EBE6CB"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丰台区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0001BACA"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8140</w:t>
            </w:r>
          </w:p>
        </w:tc>
        <w:tc>
          <w:tcPr>
            <w:tcW w:w="1304" w:type="dxa"/>
            <w:tcBorders>
              <w:top w:val="single" w:sz="4" w:space="0" w:color="auto"/>
              <w:left w:val="single" w:sz="4" w:space="0" w:color="auto"/>
              <w:bottom w:val="single" w:sz="4" w:space="0" w:color="auto"/>
              <w:right w:val="single" w:sz="4" w:space="0" w:color="auto"/>
            </w:tcBorders>
            <w:noWrap/>
            <w:vAlign w:val="center"/>
          </w:tcPr>
          <w:p w14:paraId="5D677DF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14:paraId="665881D6"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-10.9</w:t>
            </w:r>
          </w:p>
        </w:tc>
      </w:tr>
      <w:tr w:rsidR="000E5655" w:rsidRPr="0043038D" w14:paraId="07F2F094"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1BD0B719"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昌平区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310D02B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5816</w:t>
            </w:r>
          </w:p>
        </w:tc>
        <w:tc>
          <w:tcPr>
            <w:tcW w:w="1304" w:type="dxa"/>
            <w:tcBorders>
              <w:top w:val="single" w:sz="4" w:space="0" w:color="auto"/>
              <w:left w:val="single" w:sz="4" w:space="0" w:color="auto"/>
              <w:bottom w:val="single" w:sz="4" w:space="0" w:color="auto"/>
              <w:right w:val="single" w:sz="4" w:space="0" w:color="auto"/>
            </w:tcBorders>
            <w:noWrap/>
            <w:vAlign w:val="center"/>
          </w:tcPr>
          <w:p w14:paraId="5B2CF426"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7.8</w:t>
            </w:r>
          </w:p>
        </w:tc>
        <w:tc>
          <w:tcPr>
            <w:tcW w:w="992" w:type="dxa"/>
            <w:tcBorders>
              <w:top w:val="single" w:sz="4" w:space="0" w:color="auto"/>
              <w:left w:val="single" w:sz="4" w:space="0" w:color="auto"/>
              <w:bottom w:val="single" w:sz="4" w:space="0" w:color="auto"/>
              <w:right w:val="single" w:sz="4" w:space="0" w:color="auto"/>
            </w:tcBorders>
            <w:noWrap/>
            <w:vAlign w:val="center"/>
          </w:tcPr>
          <w:p w14:paraId="669F4A5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-11.5</w:t>
            </w:r>
          </w:p>
        </w:tc>
      </w:tr>
      <w:tr w:rsidR="000E5655" w:rsidRPr="0043038D" w14:paraId="6DA8F67E"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0E04078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大兴区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4BA09A02"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5718</w:t>
            </w:r>
          </w:p>
        </w:tc>
        <w:tc>
          <w:tcPr>
            <w:tcW w:w="1304" w:type="dxa"/>
            <w:tcBorders>
              <w:top w:val="single" w:sz="4" w:space="0" w:color="auto"/>
              <w:left w:val="single" w:sz="4" w:space="0" w:color="auto"/>
              <w:bottom w:val="single" w:sz="4" w:space="0" w:color="auto"/>
              <w:right w:val="single" w:sz="4" w:space="0" w:color="auto"/>
            </w:tcBorders>
            <w:noWrap/>
            <w:vAlign w:val="center"/>
          </w:tcPr>
          <w:p w14:paraId="6B4116C4"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7.7</w:t>
            </w:r>
          </w:p>
        </w:tc>
        <w:tc>
          <w:tcPr>
            <w:tcW w:w="992" w:type="dxa"/>
            <w:tcBorders>
              <w:top w:val="single" w:sz="4" w:space="0" w:color="auto"/>
              <w:left w:val="single" w:sz="4" w:space="0" w:color="auto"/>
              <w:bottom w:val="single" w:sz="4" w:space="0" w:color="auto"/>
              <w:right w:val="single" w:sz="4" w:space="0" w:color="auto"/>
            </w:tcBorders>
            <w:noWrap/>
            <w:vAlign w:val="center"/>
          </w:tcPr>
          <w:p w14:paraId="3B134774"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-27.1</w:t>
            </w:r>
          </w:p>
        </w:tc>
      </w:tr>
      <w:tr w:rsidR="000E5655" w:rsidRPr="0043038D" w14:paraId="4C48E05D"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0605395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通州区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1174572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4994</w:t>
            </w:r>
          </w:p>
        </w:tc>
        <w:tc>
          <w:tcPr>
            <w:tcW w:w="1304" w:type="dxa"/>
            <w:tcBorders>
              <w:top w:val="single" w:sz="4" w:space="0" w:color="auto"/>
              <w:left w:val="single" w:sz="4" w:space="0" w:color="auto"/>
              <w:bottom w:val="single" w:sz="4" w:space="0" w:color="auto"/>
              <w:right w:val="single" w:sz="4" w:space="0" w:color="auto"/>
            </w:tcBorders>
            <w:noWrap/>
            <w:vAlign w:val="center"/>
          </w:tcPr>
          <w:p w14:paraId="374049A3"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6.7</w:t>
            </w:r>
          </w:p>
        </w:tc>
        <w:tc>
          <w:tcPr>
            <w:tcW w:w="992" w:type="dxa"/>
            <w:tcBorders>
              <w:top w:val="single" w:sz="4" w:space="0" w:color="auto"/>
              <w:left w:val="single" w:sz="4" w:space="0" w:color="auto"/>
              <w:bottom w:val="single" w:sz="4" w:space="0" w:color="auto"/>
              <w:right w:val="single" w:sz="4" w:space="0" w:color="auto"/>
            </w:tcBorders>
            <w:noWrap/>
            <w:vAlign w:val="center"/>
          </w:tcPr>
          <w:p w14:paraId="3855BD3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-11.8</w:t>
            </w:r>
          </w:p>
        </w:tc>
      </w:tr>
      <w:tr w:rsidR="000E5655" w:rsidRPr="0043038D" w14:paraId="5B38B707"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22D43384"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西城区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41C91FBA"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4795</w:t>
            </w:r>
          </w:p>
        </w:tc>
        <w:tc>
          <w:tcPr>
            <w:tcW w:w="1304" w:type="dxa"/>
            <w:tcBorders>
              <w:top w:val="single" w:sz="4" w:space="0" w:color="auto"/>
              <w:left w:val="single" w:sz="4" w:space="0" w:color="auto"/>
              <w:bottom w:val="single" w:sz="4" w:space="0" w:color="auto"/>
              <w:right w:val="single" w:sz="4" w:space="0" w:color="auto"/>
            </w:tcBorders>
            <w:noWrap/>
            <w:vAlign w:val="center"/>
          </w:tcPr>
          <w:p w14:paraId="5BD2F51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c>
          <w:tcPr>
            <w:tcW w:w="992" w:type="dxa"/>
            <w:tcBorders>
              <w:top w:val="single" w:sz="4" w:space="0" w:color="auto"/>
              <w:left w:val="single" w:sz="4" w:space="0" w:color="auto"/>
              <w:bottom w:val="single" w:sz="4" w:space="0" w:color="auto"/>
              <w:right w:val="single" w:sz="4" w:space="0" w:color="auto"/>
            </w:tcBorders>
            <w:noWrap/>
            <w:vAlign w:val="center"/>
          </w:tcPr>
          <w:p w14:paraId="4710667D"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-0.5</w:t>
            </w:r>
          </w:p>
        </w:tc>
      </w:tr>
      <w:tr w:rsidR="000E5655" w:rsidRPr="0043038D" w14:paraId="47A3168E"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29D27DC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房山区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0B302D43"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4324</w:t>
            </w:r>
          </w:p>
        </w:tc>
        <w:tc>
          <w:tcPr>
            <w:tcW w:w="1304" w:type="dxa"/>
            <w:tcBorders>
              <w:top w:val="single" w:sz="4" w:space="0" w:color="auto"/>
              <w:left w:val="single" w:sz="4" w:space="0" w:color="auto"/>
              <w:bottom w:val="single" w:sz="4" w:space="0" w:color="auto"/>
              <w:right w:val="single" w:sz="4" w:space="0" w:color="auto"/>
            </w:tcBorders>
            <w:noWrap/>
            <w:vAlign w:val="center"/>
          </w:tcPr>
          <w:p w14:paraId="5245216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w:t>
            </w:r>
          </w:p>
        </w:tc>
        <w:tc>
          <w:tcPr>
            <w:tcW w:w="992" w:type="dxa"/>
            <w:tcBorders>
              <w:top w:val="single" w:sz="4" w:space="0" w:color="auto"/>
              <w:left w:val="single" w:sz="4" w:space="0" w:color="auto"/>
              <w:bottom w:val="single" w:sz="4" w:space="0" w:color="auto"/>
              <w:right w:val="single" w:sz="4" w:space="0" w:color="auto"/>
            </w:tcBorders>
            <w:noWrap/>
            <w:vAlign w:val="center"/>
          </w:tcPr>
          <w:p w14:paraId="411E6F5D"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r>
      <w:tr w:rsidR="000E5655" w:rsidRPr="0043038D" w14:paraId="24C7C9B6"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56A52245"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顺义区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1820A55C"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3568</w:t>
            </w:r>
          </w:p>
        </w:tc>
        <w:tc>
          <w:tcPr>
            <w:tcW w:w="1304" w:type="dxa"/>
            <w:tcBorders>
              <w:top w:val="single" w:sz="4" w:space="0" w:color="auto"/>
              <w:left w:val="single" w:sz="4" w:space="0" w:color="auto"/>
              <w:bottom w:val="single" w:sz="4" w:space="0" w:color="auto"/>
              <w:right w:val="single" w:sz="4" w:space="0" w:color="auto"/>
            </w:tcBorders>
            <w:noWrap/>
            <w:vAlign w:val="center"/>
          </w:tcPr>
          <w:p w14:paraId="37746A4D"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4.8</w:t>
            </w:r>
          </w:p>
        </w:tc>
        <w:tc>
          <w:tcPr>
            <w:tcW w:w="992" w:type="dxa"/>
            <w:tcBorders>
              <w:top w:val="single" w:sz="4" w:space="0" w:color="auto"/>
              <w:left w:val="single" w:sz="4" w:space="0" w:color="auto"/>
              <w:bottom w:val="single" w:sz="4" w:space="0" w:color="auto"/>
              <w:right w:val="single" w:sz="4" w:space="0" w:color="auto"/>
            </w:tcBorders>
            <w:noWrap/>
            <w:vAlign w:val="center"/>
          </w:tcPr>
          <w:p w14:paraId="081EE87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-7.4</w:t>
            </w:r>
          </w:p>
        </w:tc>
      </w:tr>
      <w:tr w:rsidR="000E5655" w:rsidRPr="0043038D" w14:paraId="0A76BEF8"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1F92075D"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东城区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40312FC3"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3003</w:t>
            </w:r>
          </w:p>
        </w:tc>
        <w:tc>
          <w:tcPr>
            <w:tcW w:w="1304" w:type="dxa"/>
            <w:tcBorders>
              <w:top w:val="single" w:sz="4" w:space="0" w:color="auto"/>
              <w:left w:val="single" w:sz="4" w:space="0" w:color="auto"/>
              <w:bottom w:val="single" w:sz="4" w:space="0" w:color="auto"/>
              <w:right w:val="single" w:sz="4" w:space="0" w:color="auto"/>
            </w:tcBorders>
            <w:noWrap/>
            <w:vAlign w:val="center"/>
          </w:tcPr>
          <w:p w14:paraId="3A020F6D"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4.1</w:t>
            </w:r>
          </w:p>
        </w:tc>
        <w:tc>
          <w:tcPr>
            <w:tcW w:w="992" w:type="dxa"/>
            <w:tcBorders>
              <w:top w:val="single" w:sz="4" w:space="0" w:color="auto"/>
              <w:left w:val="single" w:sz="4" w:space="0" w:color="auto"/>
              <w:bottom w:val="single" w:sz="4" w:space="0" w:color="auto"/>
              <w:right w:val="single" w:sz="4" w:space="0" w:color="auto"/>
            </w:tcBorders>
            <w:noWrap/>
            <w:vAlign w:val="center"/>
          </w:tcPr>
          <w:p w14:paraId="7C169C4A"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-4.5</w:t>
            </w:r>
          </w:p>
        </w:tc>
      </w:tr>
      <w:tr w:rsidR="000E5655" w:rsidRPr="0043038D" w14:paraId="658E5884"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0888DBC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石景山区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0564372A"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2868</w:t>
            </w:r>
          </w:p>
        </w:tc>
        <w:tc>
          <w:tcPr>
            <w:tcW w:w="1304" w:type="dxa"/>
            <w:tcBorders>
              <w:top w:val="single" w:sz="4" w:space="0" w:color="auto"/>
              <w:left w:val="single" w:sz="4" w:space="0" w:color="auto"/>
              <w:bottom w:val="single" w:sz="4" w:space="0" w:color="auto"/>
              <w:right w:val="single" w:sz="4" w:space="0" w:color="auto"/>
            </w:tcBorders>
            <w:noWrap/>
            <w:vAlign w:val="center"/>
          </w:tcPr>
          <w:p w14:paraId="70A4FFE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3.9</w:t>
            </w:r>
          </w:p>
        </w:tc>
        <w:tc>
          <w:tcPr>
            <w:tcW w:w="992" w:type="dxa"/>
            <w:tcBorders>
              <w:top w:val="single" w:sz="4" w:space="0" w:color="auto"/>
              <w:left w:val="single" w:sz="4" w:space="0" w:color="auto"/>
              <w:bottom w:val="single" w:sz="4" w:space="0" w:color="auto"/>
              <w:right w:val="single" w:sz="4" w:space="0" w:color="auto"/>
            </w:tcBorders>
            <w:noWrap/>
            <w:vAlign w:val="center"/>
          </w:tcPr>
          <w:p w14:paraId="04F9285E"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2.3</w:t>
            </w:r>
          </w:p>
        </w:tc>
      </w:tr>
      <w:tr w:rsidR="000E5655" w:rsidRPr="0043038D" w14:paraId="058F119A"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20E6ACE7"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密云区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4C83D17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1850</w:t>
            </w:r>
          </w:p>
        </w:tc>
        <w:tc>
          <w:tcPr>
            <w:tcW w:w="1304" w:type="dxa"/>
            <w:tcBorders>
              <w:top w:val="single" w:sz="4" w:space="0" w:color="auto"/>
              <w:left w:val="single" w:sz="4" w:space="0" w:color="auto"/>
              <w:bottom w:val="single" w:sz="4" w:space="0" w:color="auto"/>
              <w:right w:val="single" w:sz="4" w:space="0" w:color="auto"/>
            </w:tcBorders>
            <w:noWrap/>
            <w:vAlign w:val="center"/>
          </w:tcPr>
          <w:p w14:paraId="7806A66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c>
          <w:tcPr>
            <w:tcW w:w="992" w:type="dxa"/>
            <w:tcBorders>
              <w:top w:val="single" w:sz="4" w:space="0" w:color="auto"/>
              <w:left w:val="single" w:sz="4" w:space="0" w:color="auto"/>
              <w:bottom w:val="single" w:sz="4" w:space="0" w:color="auto"/>
              <w:right w:val="single" w:sz="4" w:space="0" w:color="auto"/>
            </w:tcBorders>
            <w:noWrap/>
            <w:vAlign w:val="center"/>
          </w:tcPr>
          <w:p w14:paraId="3229B846"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r>
      <w:tr w:rsidR="000E5655" w:rsidRPr="0043038D" w14:paraId="5157E4EF"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5CA2EEF3"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怀柔区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71B5CE58"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1129</w:t>
            </w:r>
          </w:p>
        </w:tc>
        <w:tc>
          <w:tcPr>
            <w:tcW w:w="1304" w:type="dxa"/>
            <w:tcBorders>
              <w:top w:val="single" w:sz="4" w:space="0" w:color="auto"/>
              <w:left w:val="single" w:sz="4" w:space="0" w:color="auto"/>
              <w:bottom w:val="single" w:sz="4" w:space="0" w:color="auto"/>
              <w:right w:val="single" w:sz="4" w:space="0" w:color="auto"/>
            </w:tcBorders>
            <w:noWrap/>
            <w:vAlign w:val="center"/>
          </w:tcPr>
          <w:p w14:paraId="66B9FFA6"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089182E9"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40.4</w:t>
            </w:r>
          </w:p>
        </w:tc>
      </w:tr>
      <w:tr w:rsidR="000E5655" w:rsidRPr="0043038D" w14:paraId="4EC67EB4"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33F678D2"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门头沟区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1185DB85"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977</w:t>
            </w:r>
          </w:p>
        </w:tc>
        <w:tc>
          <w:tcPr>
            <w:tcW w:w="1304" w:type="dxa"/>
            <w:tcBorders>
              <w:top w:val="single" w:sz="4" w:space="0" w:color="auto"/>
              <w:left w:val="single" w:sz="4" w:space="0" w:color="auto"/>
              <w:bottom w:val="single" w:sz="4" w:space="0" w:color="auto"/>
              <w:right w:val="single" w:sz="4" w:space="0" w:color="auto"/>
            </w:tcBorders>
            <w:noWrap/>
            <w:vAlign w:val="center"/>
          </w:tcPr>
          <w:p w14:paraId="57433EE1"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9D0151B"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r>
      <w:tr w:rsidR="000E5655" w:rsidRPr="0043038D" w14:paraId="4684D09A"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2FF7ADB0"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延庆区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4BCEFACD"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934</w:t>
            </w:r>
          </w:p>
        </w:tc>
        <w:tc>
          <w:tcPr>
            <w:tcW w:w="1304" w:type="dxa"/>
            <w:tcBorders>
              <w:top w:val="single" w:sz="4" w:space="0" w:color="auto"/>
              <w:left w:val="single" w:sz="4" w:space="0" w:color="auto"/>
              <w:bottom w:val="single" w:sz="4" w:space="0" w:color="auto"/>
              <w:right w:val="single" w:sz="4" w:space="0" w:color="auto"/>
            </w:tcBorders>
            <w:noWrap/>
            <w:vAlign w:val="center"/>
          </w:tcPr>
          <w:p w14:paraId="5E785759"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9BBD91C"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w:t>
            </w:r>
          </w:p>
        </w:tc>
      </w:tr>
      <w:tr w:rsidR="000E5655" w:rsidRPr="0043038D" w14:paraId="5BBA100D" w14:textId="77777777">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14:paraId="70437E15"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平谷区</w:t>
            </w:r>
          </w:p>
        </w:tc>
        <w:tc>
          <w:tcPr>
            <w:tcW w:w="1984" w:type="dxa"/>
            <w:tcBorders>
              <w:top w:val="single" w:sz="4" w:space="0" w:color="auto"/>
              <w:left w:val="single" w:sz="4" w:space="0" w:color="auto"/>
              <w:bottom w:val="single" w:sz="4" w:space="0" w:color="auto"/>
              <w:right w:val="single" w:sz="4" w:space="0" w:color="auto"/>
            </w:tcBorders>
            <w:noWrap/>
            <w:vAlign w:val="center"/>
          </w:tcPr>
          <w:p w14:paraId="6848D92C"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835</w:t>
            </w:r>
          </w:p>
        </w:tc>
        <w:tc>
          <w:tcPr>
            <w:tcW w:w="1304" w:type="dxa"/>
            <w:tcBorders>
              <w:top w:val="single" w:sz="4" w:space="0" w:color="auto"/>
              <w:left w:val="single" w:sz="4" w:space="0" w:color="auto"/>
              <w:bottom w:val="single" w:sz="4" w:space="0" w:color="auto"/>
              <w:right w:val="single" w:sz="4" w:space="0" w:color="auto"/>
            </w:tcBorders>
            <w:noWrap/>
            <w:vAlign w:val="center"/>
          </w:tcPr>
          <w:p w14:paraId="4DC05C67"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14:paraId="67A5B914" w14:textId="77777777"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-15.4</w:t>
            </w:r>
          </w:p>
        </w:tc>
      </w:tr>
    </w:tbl>
    <w:p w14:paraId="0C06B01F" w14:textId="77777777" w:rsidR="000E5655" w:rsidRPr="0043038D" w:rsidRDefault="000E5655">
      <w:pPr>
        <w:widowControl/>
        <w:kinsoku w:val="0"/>
        <w:overflowPunct w:val="0"/>
        <w:adjustRightInd/>
        <w:spacing w:line="240" w:lineRule="exact"/>
        <w:rPr>
          <w:rFonts w:ascii="Arial" w:eastAsia="华文细黑" w:hAnsi="Arial" w:cs="Arial"/>
          <w:sz w:val="18"/>
          <w:szCs w:val="18"/>
        </w:rPr>
      </w:pPr>
    </w:p>
    <w:p w14:paraId="779F503A"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整体来看，上半年北京存量房市场表现持续好于新房市场。和去年相比，购房者拥有更多的选择和决策时间，购房节奏明显拉长。而从成交结构来看，</w:t>
      </w:r>
      <w:r w:rsidRPr="0043038D">
        <w:rPr>
          <w:rFonts w:ascii="Arial" w:hAnsi="Arial"/>
          <w:color w:val="000000"/>
          <w:sz w:val="21"/>
        </w:rPr>
        <w:t>600</w:t>
      </w:r>
      <w:r w:rsidRPr="0043038D">
        <w:rPr>
          <w:rFonts w:ascii="Arial" w:hAnsi="Arial" w:hint="eastAsia"/>
          <w:color w:val="000000"/>
          <w:sz w:val="21"/>
        </w:rPr>
        <w:t>万元以下房源成交占比上升，二手房市场呈现出“对价格更为敏感”的刚需市场率先启动的规律</w:t>
      </w:r>
      <w:bookmarkStart w:id="62" w:name="OLE_LINK9"/>
      <w:bookmarkStart w:id="63" w:name="OLE_LINK8"/>
      <w:r w:rsidRPr="0043038D">
        <w:rPr>
          <w:rFonts w:ascii="Arial" w:hAnsi="Arial" w:hint="eastAsia"/>
          <w:color w:val="000000"/>
          <w:sz w:val="21"/>
        </w:rPr>
        <w:t>。</w:t>
      </w:r>
    </w:p>
    <w:p w14:paraId="35D5BF66" w14:textId="77777777" w:rsidR="000E5655" w:rsidRPr="0043038D" w:rsidRDefault="00837133">
      <w:pPr>
        <w:overflowPunct w:val="0"/>
        <w:spacing w:line="480" w:lineRule="auto"/>
        <w:ind w:firstLineChars="200" w:firstLine="420"/>
        <w:jc w:val="both"/>
        <w:rPr>
          <w:rFonts w:ascii="Arial" w:hAnsi="Arial"/>
          <w:color w:val="000000"/>
          <w:sz w:val="21"/>
          <w:szCs w:val="28"/>
        </w:rPr>
      </w:pPr>
      <w:r w:rsidRPr="0043038D">
        <w:rPr>
          <w:rFonts w:ascii="Arial" w:hAnsi="Arial"/>
          <w:color w:val="000000"/>
          <w:sz w:val="21"/>
          <w:szCs w:val="28"/>
        </w:rPr>
        <w:t>4.</w:t>
      </w:r>
      <w:r w:rsidRPr="0043038D">
        <w:rPr>
          <w:rFonts w:ascii="Arial" w:hAnsi="Arial" w:hint="eastAsia"/>
          <w:color w:val="000000"/>
          <w:sz w:val="21"/>
          <w:szCs w:val="28"/>
        </w:rPr>
        <w:t>产业政策</w:t>
      </w:r>
    </w:p>
    <w:p w14:paraId="641C8F7C" w14:textId="77777777"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全国：</w:t>
      </w:r>
    </w:p>
    <w:p w14:paraId="36B9634F"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0123B0AF"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13DDB07"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10</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三大工程”建设，构建房地产发展新模式。</w:t>
      </w:r>
    </w:p>
    <w:p w14:paraId="4D0870E3"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11</w:t>
      </w:r>
      <w:r w:rsidRPr="0043038D">
        <w:rPr>
          <w:rFonts w:ascii="Arial" w:hAnsi="Arial" w:hint="eastAsia"/>
          <w:color w:val="000000"/>
          <w:sz w:val="21"/>
        </w:rPr>
        <w:t>月</w:t>
      </w:r>
      <w:r w:rsidRPr="0043038D">
        <w:rPr>
          <w:rFonts w:ascii="Arial" w:hAnsi="Arial"/>
          <w:color w:val="000000"/>
          <w:sz w:val="21"/>
        </w:rPr>
        <w:t>17</w:t>
      </w:r>
      <w:r w:rsidRPr="0043038D">
        <w:rPr>
          <w:rFonts w:ascii="Arial" w:hAnsi="Arial" w:hint="eastAsia"/>
          <w:color w:val="000000"/>
          <w:sz w:val="21"/>
        </w:rPr>
        <w:t>日，中国人民银行、金融监管总局、中国证监会联合召开金融机构座谈会。会议提出三个“不低于”，分别是：一、各银行房地产贷款增速不低于行业平均贷款增速；二、对非国有房企贷款增速不低于本行增速；三、对非国有房企个人按揭增速不低于本行按揭增速。此外，会议还提出拟修改开发贷、经营性物业贷、个人住房贷款办法等。另外将起草一份房企白名单，在列的企业将获得包括信货、债券和股权融资等多方面的支持。</w:t>
      </w:r>
    </w:p>
    <w:p w14:paraId="57DF957F"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11</w:t>
      </w:r>
      <w:r w:rsidRPr="0043038D">
        <w:rPr>
          <w:rFonts w:ascii="Arial" w:hAnsi="Arial" w:hint="eastAsia"/>
          <w:color w:val="000000"/>
          <w:sz w:val="21"/>
        </w:rPr>
        <w:t>日至</w:t>
      </w:r>
      <w:r w:rsidRPr="0043038D">
        <w:rPr>
          <w:rFonts w:ascii="Arial" w:hAnsi="Arial"/>
          <w:color w:val="000000"/>
          <w:sz w:val="21"/>
        </w:rPr>
        <w:t>12</w:t>
      </w:r>
      <w:r w:rsidRPr="0043038D">
        <w:rPr>
          <w:rFonts w:ascii="Arial" w:hAnsi="Arial" w:hint="eastAsia"/>
          <w:color w:val="000000"/>
          <w:sz w:val="21"/>
        </w:rPr>
        <w:t>日，</w:t>
      </w:r>
      <w:r w:rsidRPr="0043038D">
        <w:rPr>
          <w:rFonts w:ascii="Arial" w:hAnsi="Arial"/>
          <w:color w:val="000000"/>
          <w:sz w:val="21"/>
        </w:rPr>
        <w:t>2023</w:t>
      </w:r>
      <w:r w:rsidRPr="0043038D">
        <w:rPr>
          <w:rFonts w:ascii="Arial" w:hAnsi="Arial" w:hint="eastAsia"/>
          <w:color w:val="000000"/>
          <w:sz w:val="21"/>
        </w:rPr>
        <w:t>年中央经济工作会议举行。会议提出“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平急两用’公共基础设施建设、城中村改造等‘三大工程’。完善相关基础性制度，加快构建房地产发展新模式。统筹好地方债务风险化解和稳定发展，经济大省要真正挑起大梁，为稳定全国经济作出更大贡献”。在房地产发展新模式形成过程中，当务之急是打破负反馈链条，阻断市场下滑，避免房地产市场风险蔓延。因此近期的政策重点在“保交楼”之外新增了“保主体”，无论是白名单制度还是“三个不低于”，目的都是打破市场的惯性下滑，疏通“金融与房地产的良性循环”，以实现“先立后破”。后续随着房地产政策“组合拳”效力愈发显现，市场预期有望逐步修复，房地产行业也有望筑底企稳。</w:t>
      </w:r>
    </w:p>
    <w:p w14:paraId="37770B98"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日至</w:t>
      </w:r>
      <w:r w:rsidRPr="0043038D">
        <w:rPr>
          <w:rFonts w:ascii="Arial" w:hAnsi="Arial"/>
          <w:color w:val="000000"/>
          <w:sz w:val="21"/>
        </w:rPr>
        <w:t>22</w:t>
      </w:r>
      <w:r w:rsidRPr="0043038D">
        <w:rPr>
          <w:rFonts w:ascii="Arial" w:hAnsi="Arial" w:hint="eastAsia"/>
          <w:color w:val="000000"/>
          <w:sz w:val="21"/>
        </w:rPr>
        <w:t>日，全国住房和城乡建设工作会议在北京召开。会议强调，</w:t>
      </w:r>
      <w:r w:rsidRPr="0043038D">
        <w:rPr>
          <w:rFonts w:ascii="Arial" w:hAnsi="Arial"/>
          <w:color w:val="000000"/>
          <w:sz w:val="21"/>
        </w:rPr>
        <w:t>2024</w:t>
      </w:r>
      <w:r w:rsidRPr="0043038D">
        <w:rPr>
          <w:rFonts w:ascii="Arial" w:hAnsi="Arial" w:hint="eastAsia"/>
          <w:color w:val="000000"/>
          <w:sz w:val="21"/>
        </w:rPr>
        <w:t>年的工作要坚持稳中求进、以进促稳、先立后破，重点抓好</w:t>
      </w:r>
      <w:r w:rsidRPr="0043038D">
        <w:rPr>
          <w:rFonts w:ascii="Arial" w:hAnsi="Arial"/>
          <w:color w:val="000000"/>
          <w:sz w:val="21"/>
        </w:rPr>
        <w:t>4</w:t>
      </w:r>
      <w:r w:rsidRPr="0043038D">
        <w:rPr>
          <w:rFonts w:ascii="Arial" w:hAnsi="Arial" w:hint="eastAsia"/>
          <w:color w:val="000000"/>
          <w:sz w:val="21"/>
        </w:rPr>
        <w:t>大板块</w:t>
      </w:r>
      <w:r w:rsidRPr="0043038D">
        <w:rPr>
          <w:rFonts w:ascii="Arial" w:hAnsi="Arial"/>
          <w:color w:val="000000"/>
          <w:sz w:val="21"/>
        </w:rPr>
        <w:t>18</w:t>
      </w:r>
      <w:r w:rsidRPr="0043038D">
        <w:rPr>
          <w:rFonts w:ascii="Arial" w:hAnsi="Arial" w:hint="eastAsia"/>
          <w:color w:val="000000"/>
          <w:sz w:val="21"/>
        </w:rPr>
        <w:t>个方面工作。一、住房和房地产板块，要坚持房子是用来住的、不是用来炒的定位，适应房地产市场供求关系发生重大变化新形势。二、城乡建设板块，要深入践行人民城市理念，把增进民生福祉、推进共同富裕作为出发点和落脚点，打造宜居韧性智慧城市，建设宜居宜业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6D04939E"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全国两会召开。关于房地产的定调，政府工作报告延续了去年底中央经济工作会议基调，聚焦在标本兼治化解房地产风险，积极向发展新模式转型过渡。政府工作报告关于房地产的提法主要集中在“更好统筹发展和安全，有效防范化解重点领域风险”部分，具体表述为“标本兼治化解房地产、地方债务、中小金融机构等风险，维护经济金融大局稳定”。</w:t>
      </w:r>
    </w:p>
    <w:p w14:paraId="63A00696"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0D29A1CE"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住房城乡建设部召开收购已建成存量商品房用作保障性住房工作视频会议。会议作出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1131123D" w14:textId="77777777"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北京：</w:t>
      </w:r>
    </w:p>
    <w:p w14:paraId="22955CB1"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日，北京市住建委官网发布《</w:t>
      </w:r>
      <w:r w:rsidRPr="0043038D">
        <w:rPr>
          <w:rFonts w:ascii="Arial" w:hAnsi="Arial"/>
          <w:color w:val="000000"/>
          <w:sz w:val="21"/>
        </w:rPr>
        <w:t>2023</w:t>
      </w:r>
      <w:r w:rsidRPr="0043038D">
        <w:rPr>
          <w:rFonts w:ascii="Arial" w:hAnsi="Arial" w:hint="eastAsia"/>
          <w:color w:val="000000"/>
          <w:sz w:val="21"/>
        </w:rPr>
        <w:t>年市政府工作报告重点任务清单及实事事项一季度工作进展情况》，其中提到，多子女家庭和职住平衡家庭购房支持政策按照“一区一策”的方式由房山区试点。</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43038D">
        <w:rPr>
          <w:rFonts w:ascii="Arial" w:hAnsi="Arial"/>
          <w:color w:val="000000"/>
          <w:sz w:val="21"/>
        </w:rPr>
        <w:t>11</w:t>
      </w:r>
      <w:r w:rsidRPr="0043038D">
        <w:rPr>
          <w:rFonts w:ascii="Arial" w:hAnsi="Arial" w:hint="eastAsia"/>
          <w:color w:val="000000"/>
          <w:sz w:val="21"/>
        </w:rPr>
        <w:t>个方面的利好举措。其中，针对战略人才和领军人才将最高一次性给予</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万元资金奖励，提供最高</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万元购房补贴或最高</w:t>
      </w:r>
      <w:r w:rsidRPr="0043038D">
        <w:rPr>
          <w:rFonts w:ascii="Arial" w:hAnsi="Arial"/>
          <w:color w:val="000000"/>
          <w:sz w:val="21"/>
        </w:rPr>
        <w:t>100%</w:t>
      </w:r>
      <w:r w:rsidRPr="0043038D">
        <w:rPr>
          <w:rFonts w:ascii="Arial" w:hAnsi="Arial" w:hint="eastAsia"/>
          <w:color w:val="000000"/>
          <w:sz w:val="21"/>
        </w:rPr>
        <w:t>、</w:t>
      </w:r>
      <w:r w:rsidRPr="0043038D">
        <w:rPr>
          <w:rFonts w:ascii="Arial" w:hAnsi="Arial"/>
          <w:color w:val="000000"/>
          <w:sz w:val="21"/>
        </w:rPr>
        <w:t>50%</w:t>
      </w:r>
      <w:r w:rsidRPr="0043038D">
        <w:rPr>
          <w:rFonts w:ascii="Arial" w:hAnsi="Arial" w:hint="eastAsia"/>
          <w:color w:val="000000"/>
          <w:sz w:val="21"/>
        </w:rPr>
        <w:t>租金补贴，优先推荐办理北京市户口，并提供子女教育、医疗健康、出入境便利及机场服务等。</w:t>
      </w:r>
    </w:p>
    <w:p w14:paraId="5711C46C"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日，北京住房公积金管理中心发布《关于进一步优化租房提取业务的通知》表示，租住北京市商品住房，未提供租房发票的，经告知承诺后，每人每月提取额度由</w:t>
      </w:r>
      <w:r w:rsidRPr="0043038D">
        <w:rPr>
          <w:rFonts w:ascii="Arial" w:hAnsi="Arial"/>
          <w:color w:val="000000"/>
          <w:sz w:val="21"/>
        </w:rPr>
        <w:t>1500</w:t>
      </w:r>
      <w:r w:rsidRPr="0043038D">
        <w:rPr>
          <w:rFonts w:ascii="Arial" w:hAnsi="Arial" w:hint="eastAsia"/>
          <w:color w:val="000000"/>
          <w:sz w:val="21"/>
        </w:rPr>
        <w:t>元调整为</w:t>
      </w:r>
      <w:r w:rsidRPr="0043038D">
        <w:rPr>
          <w:rFonts w:ascii="Arial" w:hAnsi="Arial"/>
          <w:color w:val="000000"/>
          <w:sz w:val="21"/>
        </w:rPr>
        <w:t>2000</w:t>
      </w:r>
      <w:r w:rsidRPr="0043038D">
        <w:rPr>
          <w:rFonts w:ascii="Arial" w:hAnsi="Arial" w:hint="eastAsia"/>
          <w:color w:val="000000"/>
          <w:sz w:val="21"/>
        </w:rPr>
        <w:t>元。其中，存在多子女家庭、租住公共租赁住房或保障性租赁住房等情况的，可按照实际月租金提取，不受月缴存额限制。</w:t>
      </w:r>
    </w:p>
    <w:p w14:paraId="5FA94012"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7B0BCE66"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1</w:t>
      </w:r>
      <w:r w:rsidRPr="0043038D">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0EFA136C"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14</w:t>
      </w:r>
      <w:r w:rsidRPr="0043038D">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43038D">
        <w:rPr>
          <w:rFonts w:ascii="Arial" w:hAnsi="Arial"/>
          <w:color w:val="000000"/>
          <w:sz w:val="21"/>
        </w:rPr>
        <w:t>30%</w:t>
      </w:r>
      <w:r w:rsidRPr="0043038D">
        <w:rPr>
          <w:rFonts w:ascii="Arial" w:hAnsi="Arial" w:hint="eastAsia"/>
          <w:color w:val="000000"/>
          <w:sz w:val="21"/>
        </w:rPr>
        <w:t>；二套住房个人住房贷款最低首付款比例下调为城六区</w:t>
      </w:r>
      <w:r w:rsidRPr="0043038D">
        <w:rPr>
          <w:rFonts w:ascii="Arial" w:hAnsi="Arial"/>
          <w:color w:val="000000"/>
          <w:sz w:val="21"/>
        </w:rPr>
        <w:t>50%</w:t>
      </w:r>
      <w:r w:rsidRPr="0043038D">
        <w:rPr>
          <w:rFonts w:ascii="Arial" w:hAnsi="Arial" w:hint="eastAsia"/>
          <w:color w:val="000000"/>
          <w:sz w:val="21"/>
        </w:rPr>
        <w:t>、非城六区</w:t>
      </w:r>
      <w:r w:rsidRPr="0043038D">
        <w:rPr>
          <w:rFonts w:ascii="Arial" w:hAnsi="Arial"/>
          <w:color w:val="000000"/>
          <w:sz w:val="21"/>
        </w:rPr>
        <w:t>40%</w:t>
      </w:r>
      <w:r w:rsidRPr="0043038D">
        <w:rPr>
          <w:rFonts w:ascii="Arial" w:hAnsi="Arial" w:hint="eastAsia"/>
          <w:color w:val="000000"/>
          <w:sz w:val="21"/>
        </w:rPr>
        <w:t>。下调最低首付款比例降低了居民购买住房的资金门槛，有利于更好满足刚性和改善性住房需求。同时，此次调整取消了房价过快上行阶段对房贷年限的从严管控，由目前最长</w:t>
      </w:r>
      <w:r w:rsidRPr="0043038D">
        <w:rPr>
          <w:rFonts w:ascii="Arial" w:hAnsi="Arial"/>
          <w:color w:val="000000"/>
          <w:sz w:val="21"/>
        </w:rPr>
        <w:t>25</w:t>
      </w:r>
      <w:r w:rsidRPr="0043038D">
        <w:rPr>
          <w:rFonts w:ascii="Arial" w:hAnsi="Arial" w:hint="eastAsia"/>
          <w:color w:val="000000"/>
          <w:sz w:val="21"/>
        </w:rPr>
        <w:t>年恢复至</w:t>
      </w:r>
      <w:r w:rsidRPr="0043038D">
        <w:rPr>
          <w:rFonts w:ascii="Arial" w:hAnsi="Arial"/>
          <w:color w:val="000000"/>
          <w:sz w:val="21"/>
        </w:rPr>
        <w:t>30</w:t>
      </w:r>
      <w:r w:rsidRPr="0043038D">
        <w:rPr>
          <w:rFonts w:ascii="Arial" w:hAnsi="Arial" w:hint="eastAsia"/>
          <w:color w:val="000000"/>
          <w:sz w:val="21"/>
        </w:rPr>
        <w:t>年。</w:t>
      </w:r>
    </w:p>
    <w:p w14:paraId="2AC7CD29"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19</w:t>
      </w:r>
      <w:r w:rsidRPr="0043038D">
        <w:rPr>
          <w:rFonts w:ascii="Arial" w:hAnsi="Arial" w:hint="eastAsia"/>
          <w:color w:val="000000"/>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43038D">
        <w:rPr>
          <w:rFonts w:ascii="Arial" w:hAnsi="Arial"/>
          <w:color w:val="000000"/>
          <w:sz w:val="21"/>
        </w:rPr>
        <w:t>2021</w:t>
      </w:r>
      <w:r w:rsidRPr="0043038D">
        <w:rPr>
          <w:rFonts w:ascii="Arial" w:hAnsi="Arial" w:hint="eastAsia"/>
          <w:color w:val="000000"/>
          <w:sz w:val="21"/>
        </w:rPr>
        <w:t>年以来已成交且尚未全部办理完成网签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p>
    <w:p w14:paraId="4E1656D7"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2</w:t>
      </w:r>
      <w:r w:rsidRPr="0043038D">
        <w:rPr>
          <w:rFonts w:ascii="Arial" w:hAnsi="Arial" w:hint="eastAsia"/>
          <w:color w:val="000000"/>
          <w:sz w:val="21"/>
        </w:rPr>
        <w:t>月</w:t>
      </w:r>
      <w:r w:rsidRPr="0043038D">
        <w:rPr>
          <w:rFonts w:ascii="Arial" w:hAnsi="Arial"/>
          <w:color w:val="000000"/>
          <w:sz w:val="21"/>
        </w:rPr>
        <w:t>6</w:t>
      </w:r>
      <w:r w:rsidRPr="0043038D">
        <w:rPr>
          <w:rFonts w:ascii="Arial" w:hAnsi="Arial" w:hint="eastAsia"/>
          <w:color w:val="000000"/>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现职住平衡。</w:t>
      </w:r>
    </w:p>
    <w:p w14:paraId="4A0E51BE"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27</w:t>
      </w:r>
      <w:r w:rsidRPr="0043038D">
        <w:rPr>
          <w:rFonts w:ascii="Arial" w:hAnsi="Arial" w:hint="eastAsia"/>
          <w:color w:val="000000"/>
          <w:sz w:val="21"/>
        </w:rPr>
        <w:t>日，北京市住房和城乡建设委员会废止了《北京市住房和城乡建设委员会关于进一步完善商品住房限购政策的公告》文件。该文件内容主要包括，夫妻离异的，原家庭在离异前拥有住房套数不符合本市商品住房限购政策规定的，自离异之日起</w:t>
      </w:r>
      <w:r w:rsidRPr="0043038D">
        <w:rPr>
          <w:rFonts w:ascii="Arial" w:hAnsi="Arial"/>
          <w:color w:val="000000"/>
          <w:sz w:val="21"/>
        </w:rPr>
        <w:t>3</w:t>
      </w:r>
      <w:r w:rsidRPr="0043038D">
        <w:rPr>
          <w:rFonts w:ascii="Arial" w:hAnsi="Arial" w:hint="eastAsia"/>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2262C57C"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423EE942"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hint="eastAsia"/>
          <w:color w:val="000000"/>
          <w:sz w:val="21"/>
        </w:rPr>
        <w:t>7</w:t>
      </w:r>
      <w:r w:rsidRPr="0043038D">
        <w:rPr>
          <w:rFonts w:ascii="Arial" w:hAnsi="Arial" w:hint="eastAsia"/>
          <w:color w:val="000000"/>
          <w:sz w:val="21"/>
        </w:rPr>
        <w:t>月</w:t>
      </w:r>
      <w:r w:rsidRPr="0043038D">
        <w:rPr>
          <w:rFonts w:ascii="Arial" w:hAnsi="Arial" w:hint="eastAsia"/>
          <w:color w:val="000000"/>
          <w:sz w:val="21"/>
        </w:rPr>
        <w:t>30</w:t>
      </w:r>
      <w:r w:rsidRPr="0043038D">
        <w:rPr>
          <w:rFonts w:ascii="Arial" w:hAnsi="Arial" w:hint="eastAsia"/>
          <w:color w:val="000000"/>
          <w:sz w:val="21"/>
        </w:rPr>
        <w:t>日，政治局会议部署存量住房收储、新政策落实等工作。要落实好促进房地产市场平稳健康发展的新政策，坚持消化存量和优化增量相结合，积极支持收购存量商品房用作保障性住房，进一步做好保交房工作，加快构建房地产发展新模式。</w:t>
      </w:r>
    </w:p>
    <w:p w14:paraId="02876032"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31</w:t>
      </w:r>
      <w:r w:rsidRPr="0043038D">
        <w:rPr>
          <w:rFonts w:ascii="Arial" w:hAnsi="Arial" w:hint="eastAsia"/>
          <w:color w:val="000000"/>
          <w:sz w:val="21"/>
        </w:rPr>
        <w:t>日，国务院印发新型城镇化战略五年行动计划。要经过</w:t>
      </w:r>
      <w:r w:rsidRPr="0043038D">
        <w:rPr>
          <w:rFonts w:ascii="Arial" w:hAnsi="Arial"/>
          <w:color w:val="000000"/>
          <w:sz w:val="21"/>
        </w:rPr>
        <w:t>5</w:t>
      </w:r>
      <w:r w:rsidRPr="0043038D">
        <w:rPr>
          <w:rFonts w:ascii="Arial" w:hAnsi="Arial" w:hint="eastAsia"/>
          <w:color w:val="000000"/>
          <w:sz w:val="21"/>
        </w:rPr>
        <w:t>年努力，使农业转移人口落户城市渠道进一步畅通，常住人口城镇化率提升至接近</w:t>
      </w:r>
      <w:r w:rsidRPr="0043038D">
        <w:rPr>
          <w:rFonts w:ascii="Arial" w:hAnsi="Arial"/>
          <w:color w:val="000000"/>
          <w:sz w:val="21"/>
        </w:rPr>
        <w:t>70%</w:t>
      </w:r>
      <w:r w:rsidRPr="0043038D">
        <w:rPr>
          <w:rFonts w:ascii="Arial" w:hAnsi="Arial" w:hint="eastAsia"/>
          <w:color w:val="000000"/>
          <w:sz w:val="21"/>
        </w:rPr>
        <w:t>。鼓励有条件的城市逐步将稳定就业生活的农业转移人口纳入城市住房保障政策范围。</w:t>
      </w:r>
    </w:p>
    <w:p w14:paraId="1E822220"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8</w:t>
      </w:r>
      <w:r w:rsidRPr="0043038D">
        <w:rPr>
          <w:rFonts w:ascii="Arial" w:hAnsi="Arial" w:hint="eastAsia"/>
          <w:color w:val="000000"/>
          <w:sz w:val="21"/>
        </w:rPr>
        <w:t>月</w:t>
      </w:r>
      <w:r w:rsidRPr="0043038D">
        <w:rPr>
          <w:rFonts w:ascii="Arial" w:hAnsi="Arial"/>
          <w:color w:val="000000"/>
          <w:sz w:val="21"/>
        </w:rPr>
        <w:t>23</w:t>
      </w:r>
      <w:r w:rsidRPr="0043038D">
        <w:rPr>
          <w:rFonts w:ascii="Arial" w:hAnsi="Arial" w:hint="eastAsia"/>
          <w:color w:val="000000"/>
          <w:sz w:val="21"/>
        </w:rPr>
        <w:t>日，住建部宣布开展住房养老金试点。住建部副部长董建国表示，研究建立房屋体检、房屋养老金、房屋保险制度，构建全生命周期房屋安全管理长效机制。目前，上海等</w:t>
      </w:r>
      <w:r w:rsidRPr="0043038D">
        <w:rPr>
          <w:rFonts w:ascii="Arial" w:hAnsi="Arial"/>
          <w:color w:val="000000"/>
          <w:sz w:val="21"/>
        </w:rPr>
        <w:t>22</w:t>
      </w:r>
      <w:r w:rsidRPr="0043038D">
        <w:rPr>
          <w:rFonts w:ascii="Arial" w:hAnsi="Arial" w:hint="eastAsia"/>
          <w:color w:val="000000"/>
          <w:sz w:val="21"/>
        </w:rPr>
        <w:t>个城市正在试点，个人账户通过缴纳住宅专项维修资金已经有了，试点的重点是政府把公共账户建立起来。</w:t>
      </w:r>
    </w:p>
    <w:p w14:paraId="0163F5CE"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日，央行推出多项重磅涉房政策。主要包括降准</w:t>
      </w:r>
      <w:r w:rsidRPr="0043038D">
        <w:rPr>
          <w:rFonts w:ascii="Arial" w:hAnsi="Arial"/>
          <w:color w:val="000000"/>
          <w:sz w:val="21"/>
        </w:rPr>
        <w:t>0.5</w:t>
      </w:r>
      <w:r w:rsidRPr="0043038D">
        <w:rPr>
          <w:rFonts w:ascii="Arial" w:hAnsi="Arial" w:hint="eastAsia"/>
          <w:color w:val="000000"/>
          <w:sz w:val="21"/>
        </w:rPr>
        <w:t>个百分点，下调</w:t>
      </w:r>
      <w:r w:rsidRPr="0043038D">
        <w:rPr>
          <w:rFonts w:ascii="Arial" w:hAnsi="Arial"/>
          <w:color w:val="000000"/>
          <w:sz w:val="21"/>
        </w:rPr>
        <w:t>7</w:t>
      </w:r>
      <w:r w:rsidRPr="0043038D">
        <w:rPr>
          <w:rFonts w:ascii="Arial" w:hAnsi="Arial" w:hint="eastAsia"/>
          <w:color w:val="000000"/>
          <w:sz w:val="21"/>
        </w:rPr>
        <w:t>天逆回购利率</w:t>
      </w:r>
      <w:r w:rsidRPr="0043038D">
        <w:rPr>
          <w:rFonts w:ascii="Arial" w:hAnsi="Arial"/>
          <w:color w:val="000000"/>
          <w:sz w:val="21"/>
        </w:rPr>
        <w:t>0.2</w:t>
      </w:r>
      <w:r w:rsidRPr="0043038D">
        <w:rPr>
          <w:rFonts w:ascii="Arial" w:hAnsi="Arial" w:hint="eastAsia"/>
          <w:color w:val="000000"/>
          <w:sz w:val="21"/>
        </w:rPr>
        <w:t>个百分点并引导贷款市场报价利率和存款利率同步下行，落地存量房贷降息预计平均降幅</w:t>
      </w:r>
      <w:r w:rsidRPr="0043038D">
        <w:rPr>
          <w:rFonts w:ascii="Arial" w:hAnsi="Arial"/>
          <w:color w:val="000000"/>
          <w:sz w:val="21"/>
        </w:rPr>
        <w:t>0.5</w:t>
      </w:r>
      <w:r w:rsidRPr="0043038D">
        <w:rPr>
          <w:rFonts w:ascii="Arial" w:hAnsi="Arial" w:hint="eastAsia"/>
          <w:color w:val="000000"/>
          <w:sz w:val="21"/>
        </w:rPr>
        <w:t>个百分点，二套房最低首付比例降至</w:t>
      </w:r>
      <w:r w:rsidRPr="0043038D">
        <w:rPr>
          <w:rFonts w:ascii="Arial" w:hAnsi="Arial"/>
          <w:color w:val="000000"/>
          <w:sz w:val="21"/>
        </w:rPr>
        <w:t>15%</w:t>
      </w:r>
      <w:r w:rsidRPr="0043038D">
        <w:rPr>
          <w:rFonts w:ascii="Arial" w:hAnsi="Arial" w:hint="eastAsia"/>
          <w:color w:val="000000"/>
          <w:sz w:val="21"/>
        </w:rPr>
        <w:t>，将保障性住房再贷款中的央行资金支持比例将由</w:t>
      </w:r>
      <w:r w:rsidRPr="0043038D">
        <w:rPr>
          <w:rFonts w:ascii="Arial" w:hAnsi="Arial"/>
          <w:color w:val="000000"/>
          <w:sz w:val="21"/>
        </w:rPr>
        <w:t>60%</w:t>
      </w:r>
      <w:r w:rsidRPr="0043038D">
        <w:rPr>
          <w:rFonts w:ascii="Arial" w:hAnsi="Arial" w:hint="eastAsia"/>
          <w:color w:val="000000"/>
          <w:sz w:val="21"/>
        </w:rPr>
        <w:t>提高至</w:t>
      </w:r>
      <w:r w:rsidRPr="0043038D">
        <w:rPr>
          <w:rFonts w:ascii="Arial" w:hAnsi="Arial"/>
          <w:color w:val="000000"/>
          <w:sz w:val="21"/>
        </w:rPr>
        <w:t>100%</w:t>
      </w:r>
      <w:r w:rsidRPr="0043038D">
        <w:rPr>
          <w:rFonts w:ascii="Arial" w:hAnsi="Arial" w:hint="eastAsia"/>
          <w:color w:val="000000"/>
          <w:sz w:val="21"/>
        </w:rPr>
        <w:t>，延长“金融</w:t>
      </w:r>
      <w:r w:rsidRPr="0043038D">
        <w:rPr>
          <w:rFonts w:ascii="Arial" w:hAnsi="Arial"/>
          <w:color w:val="000000"/>
          <w:sz w:val="21"/>
        </w:rPr>
        <w:t>16</w:t>
      </w:r>
      <w:r w:rsidRPr="0043038D">
        <w:rPr>
          <w:rFonts w:ascii="Arial" w:hAnsi="Arial" w:hint="eastAsia"/>
          <w:color w:val="000000"/>
          <w:sz w:val="21"/>
        </w:rPr>
        <w:t>条”、经营性物业贷款支持两项房地产金融政策文件的期限。</w:t>
      </w:r>
    </w:p>
    <w:p w14:paraId="72D99196"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政治局会议定调“促进市场止跌回稳”。要促进房地产市场止跌回稳，对商品房建设要严控增量、优化存量、提高质量，加大“白名单”项目贷款投放力度，支持盘活存量闲置土地。要回应群众关切，调整住房限购政策，降低存量房贷利率，抓紧完善土地、财税、金融等政策，推动构建房地产发展新模式。</w:t>
      </w:r>
    </w:p>
    <w:bookmarkEnd w:id="62"/>
    <w:bookmarkEnd w:id="63"/>
    <w:p w14:paraId="1FB318B6"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5.</w:t>
      </w:r>
      <w:r w:rsidRPr="0043038D">
        <w:rPr>
          <w:rFonts w:ascii="Arial" w:hAnsi="Arial" w:hint="eastAsia"/>
          <w:color w:val="000000"/>
          <w:sz w:val="21"/>
        </w:rPr>
        <w:t>未来市场预期</w:t>
      </w:r>
    </w:p>
    <w:p w14:paraId="34C7CED1" w14:textId="77777777"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目前，市场整体延续调整态势，新房、二手房互相拉扯，“</w:t>
      </w:r>
      <w:r w:rsidRPr="0043038D">
        <w:rPr>
          <w:rFonts w:ascii="Arial" w:hAnsi="Arial"/>
          <w:color w:val="000000"/>
          <w:sz w:val="21"/>
        </w:rPr>
        <w:t>517</w:t>
      </w:r>
      <w:r w:rsidRPr="0043038D">
        <w:rPr>
          <w:rFonts w:ascii="Arial" w:hAnsi="Arial" w:hint="eastAsia"/>
          <w:color w:val="000000"/>
          <w:sz w:val="21"/>
        </w:rPr>
        <w:t>楼市新政”后，二手房市场持续“以价换量”，购房者入市节奏加快，受到二手次新房对需求的持续分流，新房成交则无明显改善，购房者观望情绪浓重，个别楼盘甚至出现超低的开盘价现象。在二季度低基数下，三季度成交规模环比增长毋庸置疑。但整体成交量难超去年同期，楼市趋势走向继续磨底。二手房市场持续好于新房。当前市场观望形态难改，受制于购房者对未来收入预期的悲观态度，新政发挥作用或将低于预期。二手房预计将持续“以价换量”，成交规模占比将继续提升。同时，部分楼龄较高的“老破小”租售比已超过定期存款利率，价格底逐渐呈现。</w:t>
      </w:r>
    </w:p>
    <w:p w14:paraId="7055F373" w14:textId="77777777" w:rsidR="000E5655" w:rsidRPr="0043038D" w:rsidRDefault="00837133">
      <w:pPr>
        <w:spacing w:line="360" w:lineRule="auto"/>
        <w:rPr>
          <w:rFonts w:ascii="Arial" w:hAnsi="Arial"/>
          <w:b/>
          <w:kern w:val="2"/>
          <w:sz w:val="21"/>
          <w:szCs w:val="21"/>
        </w:rPr>
      </w:pPr>
      <w:r w:rsidRPr="0043038D">
        <w:rPr>
          <w:rFonts w:ascii="Arial" w:hAnsi="Arial"/>
          <w:b/>
          <w:kern w:val="2"/>
          <w:sz w:val="21"/>
          <w:szCs w:val="21"/>
        </w:rPr>
        <w:t>（二）估价对象所在区域相应用途房地产市场状况</w:t>
      </w:r>
    </w:p>
    <w:p w14:paraId="2C698694" w14:textId="77777777"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1.</w:t>
      </w:r>
      <w:r w:rsidRPr="0043038D">
        <w:rPr>
          <w:rFonts w:ascii="Arial" w:hAnsi="Arial" w:hint="eastAsia"/>
          <w:sz w:val="21"/>
          <w:szCs w:val="28"/>
        </w:rPr>
        <w:t>区域概况</w:t>
      </w:r>
    </w:p>
    <w:p w14:paraId="675CA2B8" w14:textId="77777777"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估价对象位于北京市</w:t>
      </w:r>
      <w:r w:rsidRPr="0043038D">
        <w:rPr>
          <w:rFonts w:ascii="Arial" w:hAnsi="Arial"/>
          <w:bCs/>
          <w:sz w:val="21"/>
          <w:szCs w:val="28"/>
        </w:rPr>
        <w:t>大兴区，大兴区位于北京市南部，全区南北长</w:t>
      </w:r>
      <w:r w:rsidRPr="0043038D">
        <w:rPr>
          <w:rFonts w:ascii="Arial" w:hAnsi="Arial"/>
          <w:bCs/>
          <w:sz w:val="21"/>
          <w:szCs w:val="28"/>
        </w:rPr>
        <w:t>42.70km</w:t>
      </w:r>
      <w:r w:rsidRPr="0043038D">
        <w:rPr>
          <w:rFonts w:ascii="Arial" w:hAnsi="Arial"/>
          <w:bCs/>
          <w:sz w:val="21"/>
          <w:szCs w:val="28"/>
        </w:rPr>
        <w:t>，东西宽</w:t>
      </w:r>
      <w:r w:rsidRPr="0043038D">
        <w:rPr>
          <w:rFonts w:ascii="Arial" w:hAnsi="Arial"/>
          <w:bCs/>
          <w:sz w:val="21"/>
          <w:szCs w:val="28"/>
        </w:rPr>
        <w:t>45.00km</w:t>
      </w:r>
      <w:r w:rsidRPr="0043038D">
        <w:rPr>
          <w:rFonts w:ascii="Arial" w:hAnsi="Arial"/>
          <w:bCs/>
          <w:sz w:val="21"/>
          <w:szCs w:val="28"/>
        </w:rPr>
        <w:t>，大兴区总面积</w:t>
      </w:r>
      <w:r w:rsidRPr="0043038D">
        <w:rPr>
          <w:rFonts w:ascii="Arial" w:hAnsi="Arial"/>
          <w:bCs/>
          <w:sz w:val="21"/>
          <w:szCs w:val="28"/>
        </w:rPr>
        <w:t>1036.33</w:t>
      </w:r>
      <w:r w:rsidRPr="0043038D">
        <w:rPr>
          <w:rFonts w:ascii="Arial" w:hAnsi="Arial"/>
          <w:bCs/>
          <w:sz w:val="21"/>
          <w:szCs w:val="28"/>
        </w:rPr>
        <w:t>平方公里，下辖黄村、西红门、旧宫、亦庄、瀛海、青云店等</w:t>
      </w:r>
      <w:r w:rsidRPr="0043038D">
        <w:rPr>
          <w:rFonts w:ascii="Arial" w:hAnsi="Arial"/>
          <w:bCs/>
          <w:sz w:val="21"/>
          <w:szCs w:val="28"/>
        </w:rPr>
        <w:t xml:space="preserve"> 14 </w:t>
      </w:r>
      <w:r w:rsidRPr="0043038D">
        <w:rPr>
          <w:rFonts w:ascii="Arial" w:hAnsi="Arial"/>
          <w:bCs/>
          <w:sz w:val="21"/>
          <w:szCs w:val="28"/>
        </w:rPr>
        <w:t>个镇和清源、兴丰等</w:t>
      </w:r>
      <w:r w:rsidRPr="0043038D">
        <w:rPr>
          <w:rFonts w:ascii="Arial" w:hAnsi="Arial"/>
          <w:bCs/>
          <w:sz w:val="21"/>
          <w:szCs w:val="28"/>
        </w:rPr>
        <w:t>8</w:t>
      </w:r>
      <w:r w:rsidRPr="0043038D">
        <w:rPr>
          <w:rFonts w:ascii="Arial" w:hAnsi="Arial"/>
          <w:bCs/>
          <w:sz w:val="21"/>
          <w:szCs w:val="28"/>
        </w:rPr>
        <w:t>个街道办事处。大兴区东临通州区，南临河北省固安县、霸州市等，西与房山区隔永定河为邻，北接丰台区、朝阳区。</w:t>
      </w:r>
    </w:p>
    <w:p w14:paraId="67DB6D92" w14:textId="77777777"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2024</w:t>
      </w:r>
      <w:r w:rsidRPr="0043038D">
        <w:rPr>
          <w:rFonts w:ascii="Arial" w:hAnsi="Arial" w:hint="eastAsia"/>
          <w:bCs/>
          <w:sz w:val="21"/>
          <w:szCs w:val="28"/>
        </w:rPr>
        <w:t>年上半年，大兴区经济持续保持向好态势，多项指标均排名全市前列，圆满实现了经济增长“双过半”的既定目标，一系列亮眼数据展现了强劲的发展势头。大兴区政府高位统筹，实施精准调度策略，每月专题研究产业发展情况，分领域、分区域深入剖析，确保政策精准对接企业需求。通过点对点下发“重点工作提示函”，建立综合经济部门信息共享机制，全区上下一盘棋，形成强大合力。这一系列举措有效推动了指标调度与数据归集工作的高效开展，使得二季度</w:t>
      </w:r>
      <w:r w:rsidRPr="0043038D">
        <w:rPr>
          <w:rFonts w:ascii="Arial" w:hAnsi="Arial" w:hint="eastAsia"/>
          <w:bCs/>
          <w:sz w:val="21"/>
          <w:szCs w:val="28"/>
        </w:rPr>
        <w:t>GDP</w:t>
      </w:r>
      <w:r w:rsidRPr="0043038D">
        <w:rPr>
          <w:rFonts w:ascii="Arial" w:hAnsi="Arial" w:hint="eastAsia"/>
          <w:bCs/>
          <w:sz w:val="21"/>
          <w:szCs w:val="28"/>
        </w:rPr>
        <w:t>增长率达到</w:t>
      </w:r>
      <w:r w:rsidRPr="0043038D">
        <w:rPr>
          <w:rFonts w:ascii="Arial" w:hAnsi="Arial" w:hint="eastAsia"/>
          <w:bCs/>
          <w:sz w:val="21"/>
          <w:szCs w:val="28"/>
        </w:rPr>
        <w:t>5.7%</w:t>
      </w:r>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年上半年整体增长率达到</w:t>
      </w:r>
      <w:r w:rsidRPr="0043038D">
        <w:rPr>
          <w:rFonts w:ascii="Arial" w:hAnsi="Arial" w:hint="eastAsia"/>
          <w:bCs/>
          <w:sz w:val="21"/>
          <w:szCs w:val="28"/>
        </w:rPr>
        <w:t>5.6%</w:t>
      </w:r>
      <w:r w:rsidRPr="0043038D">
        <w:rPr>
          <w:rFonts w:ascii="Arial" w:hAnsi="Arial" w:hint="eastAsia"/>
          <w:bCs/>
          <w:sz w:val="21"/>
          <w:szCs w:val="28"/>
        </w:rPr>
        <w:t>，高出市级</w:t>
      </w:r>
      <w:r w:rsidRPr="0043038D">
        <w:rPr>
          <w:rFonts w:ascii="Arial" w:hAnsi="Arial" w:hint="eastAsia"/>
          <w:bCs/>
          <w:sz w:val="21"/>
          <w:szCs w:val="28"/>
        </w:rPr>
        <w:t>0.2</w:t>
      </w:r>
      <w:r w:rsidRPr="0043038D">
        <w:rPr>
          <w:rFonts w:ascii="Arial" w:hAnsi="Arial" w:hint="eastAsia"/>
          <w:bCs/>
          <w:sz w:val="21"/>
          <w:szCs w:val="28"/>
        </w:rPr>
        <w:t>个百分点，均超额完成了市级下达的任务，成功实现“时间过半、任务过半”的奋斗目标。</w:t>
      </w:r>
    </w:p>
    <w:p w14:paraId="68075620" w14:textId="77777777"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为进一步提升经济总量，大兴区出台了全行业升规入统政策，并将升规工作纳入区级绩效考核体系，创新性地制定了</w:t>
      </w:r>
      <w:r w:rsidRPr="0043038D">
        <w:rPr>
          <w:rFonts w:ascii="Arial" w:hAnsi="Arial" w:hint="eastAsia"/>
          <w:bCs/>
          <w:sz w:val="21"/>
          <w:szCs w:val="28"/>
        </w:rPr>
        <w:t>3</w:t>
      </w:r>
      <w:r w:rsidRPr="0043038D">
        <w:rPr>
          <w:rFonts w:ascii="Arial" w:hAnsi="Arial" w:hint="eastAsia"/>
          <w:bCs/>
          <w:sz w:val="21"/>
          <w:szCs w:val="28"/>
        </w:rPr>
        <w:t>套目标清单，精准施策，靶向发力。经过不懈努力，</w:t>
      </w:r>
      <w:r w:rsidRPr="0043038D">
        <w:rPr>
          <w:rFonts w:ascii="Arial" w:hAnsi="Arial" w:hint="eastAsia"/>
          <w:bCs/>
          <w:sz w:val="21"/>
          <w:szCs w:val="28"/>
        </w:rPr>
        <w:t>2023</w:t>
      </w:r>
      <w:r w:rsidRPr="0043038D">
        <w:rPr>
          <w:rFonts w:ascii="Arial" w:hAnsi="Arial" w:hint="eastAsia"/>
          <w:bCs/>
          <w:sz w:val="21"/>
          <w:szCs w:val="28"/>
        </w:rPr>
        <w:t>年年度及</w:t>
      </w:r>
      <w:r w:rsidRPr="0043038D">
        <w:rPr>
          <w:rFonts w:ascii="Arial" w:hAnsi="Arial" w:hint="eastAsia"/>
          <w:bCs/>
          <w:sz w:val="21"/>
          <w:szCs w:val="28"/>
        </w:rPr>
        <w:t>2024</w:t>
      </w:r>
      <w:r w:rsidRPr="0043038D">
        <w:rPr>
          <w:rFonts w:ascii="Arial" w:hAnsi="Arial" w:hint="eastAsia"/>
          <w:bCs/>
          <w:sz w:val="21"/>
          <w:szCs w:val="28"/>
        </w:rPr>
        <w:t>年新增升规企业数量突破</w:t>
      </w:r>
      <w:r w:rsidRPr="0043038D">
        <w:rPr>
          <w:rFonts w:ascii="Arial" w:hAnsi="Arial" w:hint="eastAsia"/>
          <w:bCs/>
          <w:sz w:val="21"/>
          <w:szCs w:val="28"/>
        </w:rPr>
        <w:t>200</w:t>
      </w:r>
      <w:r w:rsidRPr="0043038D">
        <w:rPr>
          <w:rFonts w:ascii="Arial" w:hAnsi="Arial" w:hint="eastAsia"/>
          <w:bCs/>
          <w:sz w:val="21"/>
          <w:szCs w:val="28"/>
        </w:rPr>
        <w:t>家，远超近</w:t>
      </w:r>
      <w:r w:rsidRPr="0043038D">
        <w:rPr>
          <w:rFonts w:ascii="Arial" w:hAnsi="Arial" w:hint="eastAsia"/>
          <w:bCs/>
          <w:sz w:val="21"/>
          <w:szCs w:val="28"/>
        </w:rPr>
        <w:t>4</w:t>
      </w:r>
      <w:r w:rsidRPr="0043038D">
        <w:rPr>
          <w:rFonts w:ascii="Arial" w:hAnsi="Arial" w:hint="eastAsia"/>
          <w:bCs/>
          <w:sz w:val="21"/>
          <w:szCs w:val="28"/>
        </w:rPr>
        <w:t>年同期水平，其中工业升规企业达到</w:t>
      </w:r>
      <w:r w:rsidRPr="0043038D">
        <w:rPr>
          <w:rFonts w:ascii="Arial" w:hAnsi="Arial" w:hint="eastAsia"/>
          <w:bCs/>
          <w:sz w:val="21"/>
          <w:szCs w:val="28"/>
        </w:rPr>
        <w:t>29</w:t>
      </w:r>
      <w:r w:rsidRPr="0043038D">
        <w:rPr>
          <w:rFonts w:ascii="Arial" w:hAnsi="Arial" w:hint="eastAsia"/>
          <w:bCs/>
          <w:sz w:val="21"/>
          <w:szCs w:val="28"/>
        </w:rPr>
        <w:t>家，位居全市之首。这些新升规企业不仅为区域经济发展注入了新鲜血液，还带动了重点行业工资水平提升超</w:t>
      </w:r>
      <w:r w:rsidRPr="0043038D">
        <w:rPr>
          <w:rFonts w:ascii="Arial" w:hAnsi="Arial" w:hint="eastAsia"/>
          <w:bCs/>
          <w:sz w:val="21"/>
          <w:szCs w:val="28"/>
        </w:rPr>
        <w:t>30%</w:t>
      </w:r>
      <w:r w:rsidRPr="0043038D">
        <w:rPr>
          <w:rFonts w:ascii="Arial" w:hAnsi="Arial" w:hint="eastAsia"/>
          <w:bCs/>
          <w:sz w:val="21"/>
          <w:szCs w:val="28"/>
        </w:rPr>
        <w:t>，直接拉动</w:t>
      </w:r>
      <w:r w:rsidRPr="0043038D">
        <w:rPr>
          <w:rFonts w:ascii="Arial" w:hAnsi="Arial" w:hint="eastAsia"/>
          <w:bCs/>
          <w:sz w:val="21"/>
          <w:szCs w:val="28"/>
        </w:rPr>
        <w:t>GDP</w:t>
      </w:r>
      <w:r w:rsidRPr="0043038D">
        <w:rPr>
          <w:rFonts w:ascii="Arial" w:hAnsi="Arial" w:hint="eastAsia"/>
          <w:bCs/>
          <w:sz w:val="21"/>
          <w:szCs w:val="28"/>
        </w:rPr>
        <w:t>增长超过</w:t>
      </w:r>
      <w:r w:rsidRPr="0043038D">
        <w:rPr>
          <w:rFonts w:ascii="Arial" w:hAnsi="Arial" w:hint="eastAsia"/>
          <w:bCs/>
          <w:sz w:val="21"/>
          <w:szCs w:val="28"/>
        </w:rPr>
        <w:t>1</w:t>
      </w:r>
      <w:r w:rsidRPr="0043038D">
        <w:rPr>
          <w:rFonts w:ascii="Arial" w:hAnsi="Arial" w:hint="eastAsia"/>
          <w:bCs/>
          <w:sz w:val="21"/>
          <w:szCs w:val="28"/>
        </w:rPr>
        <w:t>个百分点，成为经济增长的重要驱动力。</w:t>
      </w:r>
    </w:p>
    <w:p w14:paraId="7C7FEC87" w14:textId="77777777"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在投资促进方面，大兴区全力以赴抓项目、促建设，对支撑性项目手续及进度进行全覆盖梳理，特别是对国企自有资金建设项目以及水、电、气、热等领域的增量项目实施重点推进，确保应统尽统。</w:t>
      </w:r>
      <w:r w:rsidRPr="0043038D">
        <w:rPr>
          <w:rFonts w:ascii="Arial" w:hAnsi="Arial" w:hint="eastAsia"/>
          <w:bCs/>
          <w:sz w:val="21"/>
          <w:szCs w:val="28"/>
        </w:rPr>
        <w:t>2024</w:t>
      </w:r>
      <w:r w:rsidRPr="0043038D">
        <w:rPr>
          <w:rFonts w:ascii="Arial" w:hAnsi="Arial" w:hint="eastAsia"/>
          <w:bCs/>
          <w:sz w:val="21"/>
          <w:szCs w:val="28"/>
        </w:rPr>
        <w:t>年上半年，固定资产投资完成额达到</w:t>
      </w:r>
      <w:r w:rsidRPr="0043038D">
        <w:rPr>
          <w:rFonts w:ascii="Arial" w:hAnsi="Arial" w:hint="eastAsia"/>
          <w:bCs/>
          <w:sz w:val="21"/>
          <w:szCs w:val="28"/>
        </w:rPr>
        <w:t>510.1</w:t>
      </w:r>
      <w:r w:rsidRPr="0043038D">
        <w:rPr>
          <w:rFonts w:ascii="Arial" w:hAnsi="Arial" w:hint="eastAsia"/>
          <w:bCs/>
          <w:sz w:val="21"/>
          <w:szCs w:val="28"/>
        </w:rPr>
        <w:t>亿元，位列全市第四；建安投资完成额达到</w:t>
      </w:r>
      <w:r w:rsidRPr="0043038D">
        <w:rPr>
          <w:rFonts w:ascii="Arial" w:hAnsi="Arial" w:hint="eastAsia"/>
          <w:bCs/>
          <w:sz w:val="21"/>
          <w:szCs w:val="28"/>
        </w:rPr>
        <w:t>191.6</w:t>
      </w:r>
      <w:r w:rsidRPr="0043038D">
        <w:rPr>
          <w:rFonts w:ascii="Arial" w:hAnsi="Arial" w:hint="eastAsia"/>
          <w:bCs/>
          <w:sz w:val="21"/>
          <w:szCs w:val="28"/>
        </w:rPr>
        <w:t>亿元，排名全市第二，均圆满达成“双过半”目标，为区域经济的长远发展奠定了坚实基础。</w:t>
      </w:r>
    </w:p>
    <w:p w14:paraId="52A1EE41" w14:textId="77777777"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未来，大兴区将继续坚持高质量发展道路，持续优化营商环境，加大投资力度，推动产业升级，为首都经济发展贡献更大力量。</w:t>
      </w:r>
    </w:p>
    <w:p w14:paraId="293E0D28" w14:textId="77777777"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2.</w:t>
      </w:r>
      <w:r w:rsidRPr="0043038D">
        <w:rPr>
          <w:rFonts w:ascii="Arial" w:hAnsi="Arial" w:hint="eastAsia"/>
          <w:sz w:val="21"/>
          <w:szCs w:val="28"/>
        </w:rPr>
        <w:t>区域</w:t>
      </w:r>
      <w:r w:rsidRPr="0043038D">
        <w:rPr>
          <w:rFonts w:ascii="Arial" w:hAnsi="Arial"/>
          <w:bCs/>
          <w:sz w:val="21"/>
          <w:szCs w:val="28"/>
        </w:rPr>
        <w:t>保障性租赁住房</w:t>
      </w:r>
      <w:r w:rsidRPr="0043038D">
        <w:rPr>
          <w:rFonts w:ascii="Arial" w:hAnsi="Arial" w:hint="eastAsia"/>
          <w:sz w:val="21"/>
          <w:szCs w:val="28"/>
        </w:rPr>
        <w:t>房地产市场状况</w:t>
      </w:r>
    </w:p>
    <w:p w14:paraId="4C8B6D54" w14:textId="77777777" w:rsidR="000E5655" w:rsidRPr="0043038D" w:rsidRDefault="00837133">
      <w:pPr>
        <w:widowControl/>
        <w:overflowPunct w:val="0"/>
        <w:adjustRightInd/>
        <w:spacing w:line="480" w:lineRule="auto"/>
        <w:ind w:firstLineChars="200" w:firstLine="420"/>
        <w:jc w:val="both"/>
        <w:textAlignment w:val="auto"/>
        <w:rPr>
          <w:rFonts w:ascii="Arial" w:hAnsi="Arial"/>
          <w:bCs/>
          <w:sz w:val="21"/>
          <w:szCs w:val="28"/>
        </w:rPr>
      </w:pPr>
      <w:r w:rsidRPr="0043038D">
        <w:rPr>
          <w:rFonts w:ascii="Arial" w:hAnsi="Arial"/>
          <w:bCs/>
          <w:sz w:val="21"/>
          <w:szCs w:val="28"/>
        </w:rPr>
        <w:t>2022</w:t>
      </w:r>
      <w:r w:rsidRPr="0043038D">
        <w:rPr>
          <w:rFonts w:ascii="Arial" w:hAnsi="Arial"/>
          <w:bCs/>
          <w:sz w:val="21"/>
          <w:szCs w:val="28"/>
        </w:rPr>
        <w:t>年</w:t>
      </w:r>
      <w:r w:rsidRPr="0043038D">
        <w:rPr>
          <w:rFonts w:ascii="Arial" w:hAnsi="Arial"/>
          <w:bCs/>
          <w:sz w:val="21"/>
          <w:szCs w:val="28"/>
        </w:rPr>
        <w:t>3</w:t>
      </w:r>
      <w:r w:rsidRPr="0043038D">
        <w:rPr>
          <w:rFonts w:ascii="Arial" w:hAnsi="Arial"/>
          <w:bCs/>
          <w:sz w:val="21"/>
          <w:szCs w:val="28"/>
        </w:rPr>
        <w:t>月，北京市人民政府发布《北京市关于加快发展保障性租赁住房的实施方案》（下称《方案》），提出争取在</w:t>
      </w:r>
      <w:r w:rsidRPr="0043038D">
        <w:rPr>
          <w:rFonts w:ascii="Arial" w:hAnsi="Arial"/>
          <w:bCs/>
          <w:sz w:val="21"/>
          <w:szCs w:val="28"/>
        </w:rPr>
        <w:t>“</w:t>
      </w:r>
      <w:r w:rsidRPr="0043038D">
        <w:rPr>
          <w:rFonts w:ascii="Arial" w:hAnsi="Arial"/>
          <w:bCs/>
          <w:sz w:val="21"/>
          <w:szCs w:val="28"/>
        </w:rPr>
        <w:t>十四五</w:t>
      </w:r>
      <w:r w:rsidRPr="0043038D">
        <w:rPr>
          <w:rFonts w:ascii="Arial" w:hAnsi="Arial"/>
          <w:bCs/>
          <w:sz w:val="21"/>
          <w:szCs w:val="28"/>
        </w:rPr>
        <w:t>”</w:t>
      </w:r>
      <w:r w:rsidRPr="0043038D">
        <w:rPr>
          <w:rFonts w:ascii="Arial" w:hAnsi="Arial"/>
          <w:bCs/>
          <w:sz w:val="21"/>
          <w:szCs w:val="28"/>
        </w:rPr>
        <w:t>期间建设筹集保障性租赁住房</w:t>
      </w:r>
      <w:r w:rsidRPr="0043038D">
        <w:rPr>
          <w:rFonts w:ascii="Arial" w:hAnsi="Arial"/>
          <w:bCs/>
          <w:sz w:val="21"/>
          <w:szCs w:val="28"/>
        </w:rPr>
        <w:t>40</w:t>
      </w:r>
      <w:r w:rsidRPr="0043038D">
        <w:rPr>
          <w:rFonts w:ascii="Arial" w:hAnsi="Arial"/>
          <w:bCs/>
          <w:sz w:val="21"/>
          <w:szCs w:val="28"/>
        </w:rPr>
        <w:t>万套（间），占新增住房供应总量的比例达</w:t>
      </w:r>
      <w:r w:rsidRPr="0043038D">
        <w:rPr>
          <w:rFonts w:ascii="Arial" w:hAnsi="Arial"/>
          <w:bCs/>
          <w:sz w:val="21"/>
          <w:szCs w:val="28"/>
        </w:rPr>
        <w:t>40%</w:t>
      </w:r>
      <w:r w:rsidRPr="0043038D">
        <w:rPr>
          <w:rFonts w:ascii="Arial" w:hAnsi="Arial"/>
          <w:bCs/>
          <w:sz w:val="21"/>
          <w:szCs w:val="28"/>
        </w:rPr>
        <w:t>的目标。</w:t>
      </w:r>
    </w:p>
    <w:p w14:paraId="1BEE1964" w14:textId="77777777"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截至</w:t>
      </w:r>
      <w:r w:rsidRPr="0043038D">
        <w:rPr>
          <w:rFonts w:ascii="Arial" w:hAnsi="Arial" w:hint="eastAsia"/>
          <w:bCs/>
          <w:sz w:val="21"/>
          <w:szCs w:val="28"/>
        </w:rPr>
        <w:t>2023</w:t>
      </w:r>
      <w:r w:rsidRPr="0043038D">
        <w:rPr>
          <w:rFonts w:ascii="Arial" w:hAnsi="Arial" w:hint="eastAsia"/>
          <w:bCs/>
          <w:sz w:val="21"/>
          <w:szCs w:val="28"/>
        </w:rPr>
        <w:t>年</w:t>
      </w:r>
      <w:r w:rsidRPr="0043038D">
        <w:rPr>
          <w:rFonts w:ascii="Arial" w:hAnsi="Arial" w:hint="eastAsia"/>
          <w:bCs/>
          <w:sz w:val="21"/>
          <w:szCs w:val="28"/>
        </w:rPr>
        <w:t>12</w:t>
      </w:r>
      <w:r w:rsidRPr="0043038D">
        <w:rPr>
          <w:rFonts w:ascii="Arial" w:hAnsi="Arial" w:hint="eastAsia"/>
          <w:bCs/>
          <w:sz w:val="21"/>
          <w:szCs w:val="28"/>
        </w:rPr>
        <w:t>月，北京市保障性租赁住房（简称“保租房”）已有</w:t>
      </w:r>
      <w:r w:rsidRPr="0043038D">
        <w:rPr>
          <w:rFonts w:ascii="Arial" w:hAnsi="Arial" w:hint="eastAsia"/>
          <w:bCs/>
          <w:sz w:val="21"/>
          <w:szCs w:val="28"/>
        </w:rPr>
        <w:t>26</w:t>
      </w:r>
      <w:r w:rsidRPr="0043038D">
        <w:rPr>
          <w:rFonts w:ascii="Arial" w:hAnsi="Arial" w:hint="eastAsia"/>
          <w:bCs/>
          <w:sz w:val="21"/>
          <w:szCs w:val="28"/>
        </w:rPr>
        <w:t>个项目开业并投入使用，共提供约</w:t>
      </w:r>
      <w:r w:rsidRPr="0043038D">
        <w:rPr>
          <w:rFonts w:ascii="Arial" w:hAnsi="Arial" w:hint="eastAsia"/>
          <w:bCs/>
          <w:sz w:val="21"/>
          <w:szCs w:val="28"/>
        </w:rPr>
        <w:t>2.7</w:t>
      </w:r>
      <w:r w:rsidRPr="0043038D">
        <w:rPr>
          <w:rFonts w:ascii="Arial" w:hAnsi="Arial" w:hint="eastAsia"/>
          <w:bCs/>
          <w:sz w:val="21"/>
          <w:szCs w:val="28"/>
        </w:rPr>
        <w:t>万间房源。在这些项目中，丰台区占据了主导地位，拥有</w:t>
      </w:r>
      <w:r w:rsidRPr="0043038D">
        <w:rPr>
          <w:rFonts w:ascii="Arial" w:hAnsi="Arial" w:hint="eastAsia"/>
          <w:bCs/>
          <w:sz w:val="21"/>
          <w:szCs w:val="28"/>
        </w:rPr>
        <w:t>4</w:t>
      </w:r>
      <w:r w:rsidRPr="0043038D">
        <w:rPr>
          <w:rFonts w:ascii="Arial" w:hAnsi="Arial" w:hint="eastAsia"/>
          <w:bCs/>
          <w:sz w:val="21"/>
          <w:szCs w:val="28"/>
        </w:rPr>
        <w:t>个项目，合计约</w:t>
      </w:r>
      <w:r w:rsidRPr="0043038D">
        <w:rPr>
          <w:rFonts w:ascii="Arial" w:hAnsi="Arial" w:hint="eastAsia"/>
          <w:bCs/>
          <w:sz w:val="21"/>
          <w:szCs w:val="28"/>
        </w:rPr>
        <w:t>9980</w:t>
      </w:r>
      <w:r w:rsidRPr="0043038D">
        <w:rPr>
          <w:rFonts w:ascii="Arial" w:hAnsi="Arial" w:hint="eastAsia"/>
          <w:bCs/>
          <w:sz w:val="21"/>
          <w:szCs w:val="28"/>
        </w:rPr>
        <w:t>间房源；其次为大兴区有</w:t>
      </w:r>
      <w:r w:rsidRPr="0043038D">
        <w:rPr>
          <w:rFonts w:ascii="Arial" w:hAnsi="Arial" w:hint="eastAsia"/>
          <w:bCs/>
          <w:sz w:val="21"/>
          <w:szCs w:val="28"/>
        </w:rPr>
        <w:t>4</w:t>
      </w:r>
      <w:r w:rsidRPr="0043038D">
        <w:rPr>
          <w:rFonts w:ascii="Arial" w:hAnsi="Arial" w:hint="eastAsia"/>
          <w:bCs/>
          <w:sz w:val="21"/>
          <w:szCs w:val="28"/>
        </w:rPr>
        <w:t>个项目，提供</w:t>
      </w:r>
      <w:r w:rsidRPr="0043038D">
        <w:rPr>
          <w:rFonts w:ascii="Arial" w:hAnsi="Arial" w:hint="eastAsia"/>
          <w:bCs/>
          <w:sz w:val="21"/>
          <w:szCs w:val="28"/>
        </w:rPr>
        <w:t>5729</w:t>
      </w:r>
      <w:r w:rsidRPr="0043038D">
        <w:rPr>
          <w:rFonts w:ascii="Arial" w:hAnsi="Arial" w:hint="eastAsia"/>
          <w:bCs/>
          <w:sz w:val="21"/>
          <w:szCs w:val="28"/>
        </w:rPr>
        <w:t>间房源；朝阳区有</w:t>
      </w:r>
      <w:r w:rsidRPr="0043038D">
        <w:rPr>
          <w:rFonts w:ascii="Arial" w:hAnsi="Arial" w:hint="eastAsia"/>
          <w:bCs/>
          <w:sz w:val="21"/>
          <w:szCs w:val="28"/>
        </w:rPr>
        <w:t>6</w:t>
      </w:r>
      <w:r w:rsidRPr="0043038D">
        <w:rPr>
          <w:rFonts w:ascii="Arial" w:hAnsi="Arial" w:hint="eastAsia"/>
          <w:bCs/>
          <w:sz w:val="21"/>
          <w:szCs w:val="28"/>
        </w:rPr>
        <w:t>个项目，提供</w:t>
      </w:r>
      <w:r w:rsidRPr="0043038D">
        <w:rPr>
          <w:rFonts w:ascii="Arial" w:hAnsi="Arial" w:hint="eastAsia"/>
          <w:bCs/>
          <w:sz w:val="21"/>
          <w:szCs w:val="28"/>
        </w:rPr>
        <w:t>4272</w:t>
      </w:r>
      <w:r w:rsidRPr="0043038D">
        <w:rPr>
          <w:rFonts w:ascii="Arial" w:hAnsi="Arial" w:hint="eastAsia"/>
          <w:bCs/>
          <w:sz w:val="21"/>
          <w:szCs w:val="28"/>
        </w:rPr>
        <w:t>间房源。</w:t>
      </w:r>
    </w:p>
    <w:p w14:paraId="1850DE0F" w14:textId="77777777"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在已经开业的保租房项目中，租赁式社区的占比最高，达到</w:t>
      </w:r>
      <w:r w:rsidRPr="0043038D">
        <w:rPr>
          <w:rFonts w:ascii="Arial" w:hAnsi="Arial" w:hint="eastAsia"/>
          <w:bCs/>
          <w:sz w:val="21"/>
          <w:szCs w:val="28"/>
        </w:rPr>
        <w:t>81.6%</w:t>
      </w:r>
      <w:r w:rsidRPr="0043038D">
        <w:rPr>
          <w:rFonts w:ascii="Arial" w:hAnsi="Arial" w:hint="eastAsia"/>
          <w:bCs/>
          <w:sz w:val="21"/>
          <w:szCs w:val="28"/>
        </w:rPr>
        <w:t>，其次为青年公寓占比</w:t>
      </w:r>
      <w:r w:rsidRPr="0043038D">
        <w:rPr>
          <w:rFonts w:ascii="Arial" w:hAnsi="Arial" w:hint="eastAsia"/>
          <w:bCs/>
          <w:sz w:val="21"/>
          <w:szCs w:val="28"/>
        </w:rPr>
        <w:t>14.9%</w:t>
      </w:r>
      <w:r w:rsidRPr="0043038D">
        <w:rPr>
          <w:rFonts w:ascii="Arial" w:hAnsi="Arial" w:hint="eastAsia"/>
          <w:bCs/>
          <w:sz w:val="21"/>
          <w:szCs w:val="28"/>
        </w:rPr>
        <w:t>。在租赁式社区中，大兴区的润棠·瀛海、丰台区的泊寓</w:t>
      </w:r>
      <w:r w:rsidRPr="0043038D">
        <w:rPr>
          <w:rFonts w:ascii="Arial" w:hAnsi="Arial" w:hint="eastAsia"/>
          <w:bCs/>
          <w:sz w:val="21"/>
          <w:szCs w:val="28"/>
        </w:rPr>
        <w:t>|</w:t>
      </w:r>
      <w:r w:rsidRPr="0043038D">
        <w:rPr>
          <w:rFonts w:ascii="Arial" w:hAnsi="Arial" w:hint="eastAsia"/>
          <w:bCs/>
          <w:sz w:val="21"/>
          <w:szCs w:val="28"/>
        </w:rPr>
        <w:t>院</w:t>
      </w:r>
      <w:r w:rsidRPr="0043038D">
        <w:rPr>
          <w:rFonts w:ascii="Arial" w:hAnsi="Arial" w:hint="eastAsia"/>
          <w:bCs/>
          <w:sz w:val="21"/>
          <w:szCs w:val="28"/>
        </w:rPr>
        <w:t>-</w:t>
      </w:r>
      <w:r w:rsidRPr="0043038D">
        <w:rPr>
          <w:rFonts w:ascii="Arial" w:hAnsi="Arial" w:hint="eastAsia"/>
          <w:bCs/>
          <w:sz w:val="21"/>
          <w:szCs w:val="28"/>
        </w:rPr>
        <w:t>草桥社区、高立庄社区等三个租赁式社区项目体量都超过了</w:t>
      </w:r>
      <w:r w:rsidRPr="0043038D">
        <w:rPr>
          <w:rFonts w:ascii="Arial" w:hAnsi="Arial" w:hint="eastAsia"/>
          <w:bCs/>
          <w:sz w:val="21"/>
          <w:szCs w:val="28"/>
        </w:rPr>
        <w:t>3000</w:t>
      </w:r>
      <w:r w:rsidRPr="0043038D">
        <w:rPr>
          <w:rFonts w:ascii="Arial" w:hAnsi="Arial" w:hint="eastAsia"/>
          <w:bCs/>
          <w:sz w:val="21"/>
          <w:szCs w:val="28"/>
        </w:rPr>
        <w:t>套，它们合计占据了约</w:t>
      </w:r>
      <w:r w:rsidRPr="0043038D">
        <w:rPr>
          <w:rFonts w:ascii="Arial" w:hAnsi="Arial" w:hint="eastAsia"/>
          <w:bCs/>
          <w:sz w:val="21"/>
          <w:szCs w:val="28"/>
        </w:rPr>
        <w:t>37%</w:t>
      </w:r>
      <w:r w:rsidRPr="0043038D">
        <w:rPr>
          <w:rFonts w:ascii="Arial" w:hAnsi="Arial" w:hint="eastAsia"/>
          <w:bCs/>
          <w:sz w:val="21"/>
          <w:szCs w:val="28"/>
        </w:rPr>
        <w:t>的房间规模。</w:t>
      </w:r>
    </w:p>
    <w:p w14:paraId="716398EC" w14:textId="77777777"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26</w:t>
      </w:r>
      <w:r w:rsidRPr="0043038D">
        <w:rPr>
          <w:rFonts w:ascii="Arial" w:hAnsi="Arial" w:hint="eastAsia"/>
          <w:bCs/>
          <w:sz w:val="21"/>
          <w:szCs w:val="28"/>
        </w:rPr>
        <w:t>个保租房项目在</w:t>
      </w:r>
      <w:r w:rsidRPr="0043038D">
        <w:rPr>
          <w:rFonts w:ascii="Arial" w:hAnsi="Arial" w:hint="eastAsia"/>
          <w:bCs/>
          <w:sz w:val="21"/>
          <w:szCs w:val="28"/>
        </w:rPr>
        <w:t>2023</w:t>
      </w:r>
      <w:r w:rsidRPr="0043038D">
        <w:rPr>
          <w:rFonts w:ascii="Arial" w:hAnsi="Arial" w:hint="eastAsia"/>
          <w:bCs/>
          <w:sz w:val="21"/>
          <w:szCs w:val="28"/>
        </w:rPr>
        <w:t>年的平均出租率为</w:t>
      </w:r>
      <w:r w:rsidRPr="0043038D">
        <w:rPr>
          <w:rFonts w:ascii="Arial" w:hAnsi="Arial" w:hint="eastAsia"/>
          <w:bCs/>
          <w:sz w:val="21"/>
          <w:szCs w:val="28"/>
        </w:rPr>
        <w:t xml:space="preserve">89.6% </w:t>
      </w:r>
      <w:r w:rsidRPr="0043038D">
        <w:rPr>
          <w:rFonts w:ascii="Arial" w:hAnsi="Arial" w:hint="eastAsia"/>
          <w:bCs/>
          <w:sz w:val="21"/>
          <w:szCs w:val="28"/>
        </w:rPr>
        <w:t>，与北京集中式公寓整体的出租率水平（</w:t>
      </w:r>
      <w:r w:rsidRPr="0043038D">
        <w:rPr>
          <w:rFonts w:ascii="Arial" w:hAnsi="Arial" w:hint="eastAsia"/>
          <w:bCs/>
          <w:sz w:val="21"/>
          <w:szCs w:val="28"/>
        </w:rPr>
        <w:t>87%</w:t>
      </w:r>
      <w:r w:rsidRPr="0043038D">
        <w:rPr>
          <w:rFonts w:ascii="Arial" w:hAnsi="Arial" w:hint="eastAsia"/>
          <w:bCs/>
          <w:sz w:val="21"/>
          <w:szCs w:val="28"/>
        </w:rPr>
        <w:t>）相比，高出</w:t>
      </w:r>
      <w:r w:rsidRPr="0043038D">
        <w:rPr>
          <w:rFonts w:ascii="Arial" w:hAnsi="Arial" w:hint="eastAsia"/>
          <w:bCs/>
          <w:sz w:val="21"/>
          <w:szCs w:val="28"/>
        </w:rPr>
        <w:t>2.6</w:t>
      </w:r>
      <w:r w:rsidRPr="0043038D">
        <w:rPr>
          <w:rFonts w:ascii="Arial" w:hAnsi="Arial" w:hint="eastAsia"/>
          <w:bCs/>
          <w:sz w:val="21"/>
          <w:szCs w:val="28"/>
        </w:rPr>
        <w:t>个百分点，体现了保租房项目在市场上的强劲需求，也说明了保租房项目在满足市场需求方面的高效性。</w:t>
      </w:r>
    </w:p>
    <w:p w14:paraId="14EE8DC6" w14:textId="77777777"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根据《</w:t>
      </w:r>
      <w:r w:rsidRPr="0043038D">
        <w:rPr>
          <w:rFonts w:ascii="Arial" w:hAnsi="Arial" w:hint="eastAsia"/>
          <w:bCs/>
          <w:sz w:val="21"/>
          <w:szCs w:val="28"/>
        </w:rPr>
        <w:t>2024</w:t>
      </w:r>
      <w:r w:rsidRPr="0043038D">
        <w:rPr>
          <w:rFonts w:ascii="Arial" w:hAnsi="Arial" w:hint="eastAsia"/>
          <w:bCs/>
          <w:sz w:val="21"/>
          <w:szCs w:val="28"/>
        </w:rPr>
        <w:t>年北京市住房发展年度计划》，北京市今年将保持住房用地供应总量稳定，安排各类住房用地</w:t>
      </w:r>
      <w:r w:rsidRPr="0043038D">
        <w:rPr>
          <w:rFonts w:ascii="Arial" w:hAnsi="Arial" w:hint="eastAsia"/>
          <w:bCs/>
          <w:sz w:val="21"/>
          <w:szCs w:val="28"/>
        </w:rPr>
        <w:t>1060</w:t>
      </w:r>
      <w:r w:rsidRPr="0043038D">
        <w:rPr>
          <w:rFonts w:ascii="Arial" w:hAnsi="Arial" w:hint="eastAsia"/>
          <w:bCs/>
          <w:sz w:val="21"/>
          <w:szCs w:val="28"/>
        </w:rPr>
        <w:t>公顷。其中，计划安排保障性住房用地</w:t>
      </w:r>
      <w:r w:rsidRPr="0043038D">
        <w:rPr>
          <w:rFonts w:ascii="Arial" w:hAnsi="Arial" w:hint="eastAsia"/>
          <w:bCs/>
          <w:sz w:val="21"/>
          <w:szCs w:val="28"/>
        </w:rPr>
        <w:t>460</w:t>
      </w:r>
      <w:r w:rsidRPr="0043038D">
        <w:rPr>
          <w:rFonts w:ascii="Arial" w:hAnsi="Arial" w:hint="eastAsia"/>
          <w:bCs/>
          <w:sz w:val="21"/>
          <w:szCs w:val="28"/>
        </w:rPr>
        <w:t>公顷，包括配租型和配售型保障性住房用地</w:t>
      </w:r>
      <w:r w:rsidRPr="0043038D">
        <w:rPr>
          <w:rFonts w:ascii="Arial" w:hAnsi="Arial" w:hint="eastAsia"/>
          <w:bCs/>
          <w:sz w:val="21"/>
          <w:szCs w:val="28"/>
        </w:rPr>
        <w:t>200</w:t>
      </w:r>
      <w:r w:rsidRPr="0043038D">
        <w:rPr>
          <w:rFonts w:ascii="Arial" w:hAnsi="Arial" w:hint="eastAsia"/>
          <w:bCs/>
          <w:sz w:val="21"/>
          <w:szCs w:val="28"/>
        </w:rPr>
        <w:t>公顷，积极引导保障性住房用地向重点功能区、轨道站点周边布局，明确地块清单，加快供地进度，有力支撑保障性住房建设和供给。持续建设筹集保障性住房，计划建设筹集保障性租赁住房</w:t>
      </w:r>
      <w:r w:rsidRPr="0043038D">
        <w:rPr>
          <w:rFonts w:ascii="Arial" w:hAnsi="Arial" w:hint="eastAsia"/>
          <w:bCs/>
          <w:sz w:val="21"/>
          <w:szCs w:val="28"/>
        </w:rPr>
        <w:t>7</w:t>
      </w:r>
      <w:r w:rsidRPr="0043038D">
        <w:rPr>
          <w:rFonts w:ascii="Arial" w:hAnsi="Arial" w:hint="eastAsia"/>
          <w:bCs/>
          <w:sz w:val="21"/>
          <w:szCs w:val="28"/>
        </w:rPr>
        <w:t>万套（间），竣工各类保障性住房</w:t>
      </w:r>
      <w:r w:rsidRPr="0043038D">
        <w:rPr>
          <w:rFonts w:ascii="Arial" w:hAnsi="Arial" w:hint="eastAsia"/>
          <w:bCs/>
          <w:sz w:val="21"/>
          <w:szCs w:val="28"/>
        </w:rPr>
        <w:t>8</w:t>
      </w:r>
      <w:r w:rsidRPr="0043038D">
        <w:rPr>
          <w:rFonts w:ascii="Arial" w:hAnsi="Arial" w:hint="eastAsia"/>
          <w:bCs/>
          <w:sz w:val="21"/>
          <w:szCs w:val="28"/>
        </w:rPr>
        <w:t>万套（间）。</w:t>
      </w:r>
    </w:p>
    <w:p w14:paraId="1EC1981C" w14:textId="77777777" w:rsidR="000E5655" w:rsidRPr="0043038D" w:rsidRDefault="00837133">
      <w:pPr>
        <w:spacing w:line="480" w:lineRule="auto"/>
        <w:ind w:firstLineChars="200" w:firstLine="420"/>
        <w:jc w:val="both"/>
        <w:rPr>
          <w:rFonts w:ascii="Arial" w:hAnsi="Arial"/>
          <w:sz w:val="21"/>
          <w:szCs w:val="28"/>
        </w:rPr>
      </w:pPr>
      <w:r w:rsidRPr="0043038D">
        <w:rPr>
          <w:rFonts w:ascii="Arial" w:hAnsi="Arial" w:hint="eastAsia"/>
          <w:sz w:val="21"/>
          <w:szCs w:val="28"/>
        </w:rPr>
        <w:t>3.</w:t>
      </w:r>
      <w:r w:rsidRPr="0043038D">
        <w:rPr>
          <w:rFonts w:ascii="Arial" w:hAnsi="Arial" w:hint="eastAsia"/>
          <w:sz w:val="21"/>
          <w:szCs w:val="28"/>
        </w:rPr>
        <w:t>区域住宅用房房地产市场状况</w:t>
      </w:r>
    </w:p>
    <w:p w14:paraId="03F51FF9" w14:textId="77777777" w:rsidR="000E5655" w:rsidRPr="0043038D" w:rsidRDefault="00837133">
      <w:pPr>
        <w:spacing w:line="480" w:lineRule="auto"/>
        <w:ind w:firstLineChars="200" w:firstLine="420"/>
        <w:jc w:val="both"/>
        <w:rPr>
          <w:rFonts w:ascii="Arial" w:hAnsi="Arial"/>
          <w:sz w:val="21"/>
          <w:szCs w:val="28"/>
        </w:rPr>
      </w:pPr>
      <w:r w:rsidRPr="0043038D">
        <w:rPr>
          <w:rFonts w:ascii="Arial" w:hAnsi="Arial" w:cs="Arial" w:hint="eastAsia"/>
          <w:kern w:val="2"/>
          <w:sz w:val="21"/>
          <w:szCs w:val="21"/>
        </w:rPr>
        <w:t>估价对象位于北京市大兴区，估价对象周边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公里内有福星花园、宏大中园、宏盛家园、鸿坤理想城、九龙家园、九龙山庄、瑞海家园、同兴园、熙红印、兴都苑、兴海家园、月桂庄园等，居住小区规模较大，入住率较好，综合评价居住区成熟度较好。</w:t>
      </w:r>
      <w:r w:rsidRPr="0043038D">
        <w:rPr>
          <w:rFonts w:ascii="Arial" w:hAnsi="Arial" w:hint="eastAsia"/>
          <w:sz w:val="21"/>
          <w:szCs w:val="28"/>
        </w:rPr>
        <w:t>据调查，估价对象周边同类型住宅租金约为</w:t>
      </w:r>
      <w:r w:rsidRPr="0043038D">
        <w:rPr>
          <w:rFonts w:ascii="Arial" w:hAnsi="Arial"/>
          <w:sz w:val="21"/>
          <w:szCs w:val="28"/>
        </w:rPr>
        <w:t>65</w:t>
      </w:r>
      <w:r w:rsidRPr="0043038D">
        <w:rPr>
          <w:rFonts w:ascii="Arial" w:hAnsi="Arial" w:hint="eastAsia"/>
          <w:sz w:val="21"/>
          <w:szCs w:val="28"/>
        </w:rPr>
        <w:t>-8</w:t>
      </w:r>
      <w:r w:rsidRPr="0043038D">
        <w:rPr>
          <w:rFonts w:ascii="Arial" w:hAnsi="Arial"/>
          <w:sz w:val="21"/>
          <w:szCs w:val="28"/>
        </w:rPr>
        <w:t>5</w:t>
      </w:r>
      <w:r w:rsidRPr="0043038D">
        <w:rPr>
          <w:rFonts w:ascii="Arial" w:hAnsi="Arial" w:hint="eastAsia"/>
          <w:sz w:val="21"/>
          <w:szCs w:val="28"/>
        </w:rPr>
        <w:t>元</w:t>
      </w:r>
      <w:r w:rsidRPr="0043038D">
        <w:rPr>
          <w:rFonts w:ascii="Arial" w:hAnsi="Arial" w:hint="eastAsia"/>
          <w:sz w:val="21"/>
          <w:szCs w:val="28"/>
        </w:rPr>
        <w:t>/</w:t>
      </w:r>
      <w:r w:rsidRPr="0043038D">
        <w:rPr>
          <w:rFonts w:ascii="Arial" w:hAnsi="Arial" w:hint="eastAsia"/>
          <w:sz w:val="21"/>
          <w:szCs w:val="28"/>
        </w:rPr>
        <w:t>平方米·月。</w:t>
      </w:r>
    </w:p>
    <w:p w14:paraId="6DD856F7" w14:textId="77777777" w:rsidR="000E5655" w:rsidRPr="0043038D" w:rsidRDefault="000E5655">
      <w:pPr>
        <w:spacing w:line="480" w:lineRule="auto"/>
        <w:ind w:firstLineChars="200" w:firstLine="420"/>
        <w:jc w:val="both"/>
        <w:rPr>
          <w:rFonts w:ascii="Arial" w:hAnsi="Arial"/>
          <w:sz w:val="21"/>
          <w:szCs w:val="28"/>
        </w:rPr>
      </w:pPr>
    </w:p>
    <w:p w14:paraId="1F8D34D3" w14:textId="77777777"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64" w:name="_Toc155267105"/>
      <w:r w:rsidRPr="0043038D">
        <w:rPr>
          <w:rFonts w:eastAsia="宋体"/>
          <w:kern w:val="2"/>
          <w:sz w:val="21"/>
          <w:szCs w:val="21"/>
        </w:rPr>
        <w:t>三、最高最佳利用分析</w:t>
      </w:r>
      <w:bookmarkEnd w:id="58"/>
      <w:bookmarkEnd w:id="64"/>
    </w:p>
    <w:p w14:paraId="07303622" w14:textId="77777777"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所谓最高最佳使用是指房地产估价要以房地产的最高最佳使用为前提。最高最佳使用是估价对象的一种最可能的使用</w:t>
      </w:r>
      <w:r w:rsidRPr="0043038D">
        <w:rPr>
          <w:rFonts w:ascii="Arial" w:hAnsi="Arial" w:cs="Arial" w:hint="eastAsia"/>
          <w:sz w:val="21"/>
          <w:szCs w:val="21"/>
        </w:rPr>
        <w:t>,</w:t>
      </w:r>
      <w:r w:rsidRPr="0043038D">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43038D">
        <w:rPr>
          <w:rFonts w:ascii="Arial" w:hAnsi="Arial" w:cs="Arial" w:hint="eastAsia"/>
          <w:sz w:val="21"/>
          <w:szCs w:val="21"/>
        </w:rPr>
        <w:t>:</w:t>
      </w:r>
    </w:p>
    <w:p w14:paraId="5F9961A9" w14:textId="77777777"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（一）法律上允许</w:t>
      </w:r>
      <w:r w:rsidRPr="0043038D">
        <w:rPr>
          <w:rFonts w:ascii="Arial" w:hAnsi="Arial" w:cs="Arial" w:hint="eastAsia"/>
          <w:b/>
          <w:sz w:val="21"/>
          <w:szCs w:val="21"/>
        </w:rPr>
        <w:t>（</w:t>
      </w:r>
      <w:r w:rsidRPr="0043038D">
        <w:rPr>
          <w:rFonts w:ascii="Arial" w:hAnsi="Arial" w:cs="Arial"/>
          <w:b/>
          <w:sz w:val="21"/>
          <w:szCs w:val="21"/>
        </w:rPr>
        <w:t>规划及相关政策法规许可</w:t>
      </w:r>
      <w:r w:rsidRPr="0043038D">
        <w:rPr>
          <w:rFonts w:ascii="Arial" w:hAnsi="Arial" w:cs="Arial" w:hint="eastAsia"/>
          <w:b/>
          <w:sz w:val="21"/>
          <w:szCs w:val="21"/>
        </w:rPr>
        <w:t>）</w:t>
      </w:r>
    </w:p>
    <w:p w14:paraId="1A4469C9" w14:textId="77777777"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法律上允许即不受现时使用状况的限制，而依照法律规章、规划发展方向，按照其可能的最优用途进行估价。</w:t>
      </w:r>
    </w:p>
    <w:p w14:paraId="4D9B123F" w14:textId="77777777"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bookmarkStart w:id="65" w:name="_Hlk130232101"/>
      <w:r w:rsidRPr="0043038D">
        <w:rPr>
          <w:rFonts w:ascii="Arial" w:hAnsi="Arial" w:cs="Arial" w:hint="eastAsia"/>
          <w:sz w:val="21"/>
          <w:szCs w:val="21"/>
        </w:rPr>
        <w:t>根据估价委托人介绍及《国有建设用地使用权出让合同（正文）》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，估价对象为</w:t>
      </w:r>
      <w:r w:rsidRPr="0043038D">
        <w:rPr>
          <w:rFonts w:ascii="Arial" w:hAnsi="Arial" w:cs="Arial" w:hint="eastAsia"/>
          <w:kern w:val="2"/>
          <w:sz w:val="21"/>
          <w:szCs w:val="21"/>
        </w:rPr>
        <w:t>保障性租赁住房（住宅型）</w:t>
      </w:r>
      <w:r w:rsidRPr="0043038D">
        <w:rPr>
          <w:rFonts w:ascii="Arial" w:hAnsi="Arial" w:cs="Arial" w:hint="eastAsia"/>
          <w:sz w:val="21"/>
          <w:szCs w:val="21"/>
        </w:rPr>
        <w:t>，法律上允许。</w:t>
      </w:r>
      <w:bookmarkEnd w:id="65"/>
    </w:p>
    <w:p w14:paraId="5117C6A3" w14:textId="77777777"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（二）技术上可能</w:t>
      </w:r>
    </w:p>
    <w:p w14:paraId="182C4D8F" w14:textId="77777777"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技术上可能</w:t>
      </w:r>
      <w:r w:rsidRPr="0043038D">
        <w:rPr>
          <w:rFonts w:ascii="Arial" w:hAnsi="Arial" w:cs="Arial"/>
          <w:sz w:val="21"/>
          <w:szCs w:val="21"/>
        </w:rPr>
        <w:t>即不能把技术上无法做到的使用当作最高最佳使用，要按照房屋建筑工程方面的技术要求进行估价。</w:t>
      </w:r>
    </w:p>
    <w:p w14:paraId="76A82177" w14:textId="77777777"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估价对象为</w:t>
      </w:r>
      <w:r w:rsidRPr="0043038D">
        <w:rPr>
          <w:rFonts w:ascii="Arial" w:hAnsi="Arial" w:cs="Arial" w:hint="eastAsia"/>
          <w:kern w:val="2"/>
          <w:sz w:val="21"/>
          <w:szCs w:val="21"/>
        </w:rPr>
        <w:t>钢混</w:t>
      </w:r>
      <w:r w:rsidRPr="0043038D">
        <w:rPr>
          <w:rFonts w:ascii="Arial" w:hAnsi="Arial" w:cs="Arial" w:hint="eastAsia"/>
          <w:sz w:val="21"/>
          <w:szCs w:val="21"/>
        </w:rPr>
        <w:t>结构的高层建筑物。</w:t>
      </w:r>
      <w:r w:rsidRPr="0043038D">
        <w:rPr>
          <w:rFonts w:ascii="Arial" w:hAnsi="Arial" w:cs="Arial"/>
          <w:sz w:val="21"/>
          <w:szCs w:val="21"/>
        </w:rPr>
        <w:t>估价对象建筑结构、功能、造型、立面效果、建筑材料和设备选用、施工技术等方面，</w:t>
      </w:r>
      <w:r w:rsidRPr="0043038D">
        <w:rPr>
          <w:rFonts w:ascii="Arial" w:hAnsi="Arial" w:cs="Arial" w:hint="eastAsia"/>
          <w:sz w:val="21"/>
          <w:szCs w:val="21"/>
        </w:rPr>
        <w:t>在目前的施工</w:t>
      </w:r>
      <w:r w:rsidRPr="0043038D">
        <w:rPr>
          <w:rFonts w:ascii="Arial" w:hAnsi="Arial" w:cs="Arial"/>
          <w:sz w:val="21"/>
          <w:szCs w:val="21"/>
        </w:rPr>
        <w:t>技术上均能满足要求。</w:t>
      </w:r>
    </w:p>
    <w:p w14:paraId="2B18CD1D" w14:textId="77777777"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（三）经济上可行</w:t>
      </w:r>
    </w:p>
    <w:p w14:paraId="7181A72D" w14:textId="77777777"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经济上可行</w:t>
      </w:r>
      <w:r w:rsidRPr="0043038D">
        <w:rPr>
          <w:rFonts w:ascii="Arial" w:hAnsi="Arial" w:cs="Arial"/>
          <w:sz w:val="21"/>
          <w:szCs w:val="21"/>
        </w:rPr>
        <w:t>即估价结果应是各种可能的使用方式中，以经济上有限的投入而能获得最大的收益的使用方式的估价结果。估价对象目前用途、</w:t>
      </w:r>
      <w:r w:rsidRPr="0043038D">
        <w:rPr>
          <w:rFonts w:ascii="Arial" w:hAnsi="Arial" w:cs="Arial" w:hint="eastAsia"/>
          <w:sz w:val="21"/>
          <w:szCs w:val="21"/>
        </w:rPr>
        <w:t>设定</w:t>
      </w:r>
      <w:r w:rsidRPr="0043038D">
        <w:rPr>
          <w:rFonts w:ascii="Arial" w:hAnsi="Arial" w:cs="Arial"/>
          <w:sz w:val="21"/>
          <w:szCs w:val="21"/>
        </w:rPr>
        <w:t>产权合法、建造标准技术上能满足要求，并且其收入现值大于支出现值，具有经济可行性。</w:t>
      </w:r>
    </w:p>
    <w:p w14:paraId="15F75ACB" w14:textId="77777777"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（四）价值最大化</w:t>
      </w:r>
    </w:p>
    <w:p w14:paraId="4D62D185" w14:textId="77777777"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价值最大化</w:t>
      </w:r>
      <w:r w:rsidRPr="0043038D">
        <w:rPr>
          <w:rFonts w:ascii="Arial" w:hAnsi="Arial" w:cs="Arial"/>
          <w:sz w:val="21"/>
          <w:szCs w:val="21"/>
        </w:rPr>
        <w:t>即在所有具有经济可行性的使用方式中，能使估价对象价值达到最大的使用方式，才是最高最佳的使用方式。估价对象用途为</w:t>
      </w:r>
      <w:r w:rsidRPr="0043038D">
        <w:rPr>
          <w:rFonts w:ascii="Arial" w:hAnsi="Arial" w:cs="Arial" w:hint="eastAsia"/>
          <w:kern w:val="2"/>
          <w:sz w:val="21"/>
          <w:szCs w:val="21"/>
        </w:rPr>
        <w:t>保障性租赁住房（住宅型）</w:t>
      </w:r>
      <w:r w:rsidRPr="0043038D">
        <w:rPr>
          <w:rFonts w:ascii="Arial" w:hAnsi="Arial" w:cs="Arial" w:hint="eastAsia"/>
          <w:sz w:val="21"/>
          <w:szCs w:val="21"/>
        </w:rPr>
        <w:t>，实际拟用作保障性租赁住房，</w:t>
      </w:r>
      <w:r w:rsidRPr="0043038D">
        <w:rPr>
          <w:rFonts w:ascii="Arial" w:hAnsi="Arial" w:cs="Arial"/>
          <w:sz w:val="21"/>
          <w:szCs w:val="21"/>
        </w:rPr>
        <w:t>其使用方式以满足法律上许可、技术上可能、经济上可行为前提条件，经过论证可使估价对象价值得到最大化。</w:t>
      </w:r>
    </w:p>
    <w:p w14:paraId="630CC8DC" w14:textId="77777777"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（五）使用前提说明与分析</w:t>
      </w:r>
    </w:p>
    <w:p w14:paraId="7C828F30" w14:textId="77777777"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设定</w:t>
      </w:r>
      <w:r w:rsidRPr="0043038D">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7BC1A86" w14:textId="77777777"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综上所述，我们认为估价对象用途</w:t>
      </w:r>
      <w:r w:rsidRPr="0043038D">
        <w:rPr>
          <w:rFonts w:ascii="Arial" w:hAnsi="Arial" w:cs="Arial" w:hint="eastAsia"/>
          <w:sz w:val="21"/>
          <w:szCs w:val="21"/>
        </w:rPr>
        <w:t>为保障性租赁住房（住宅型）</w:t>
      </w:r>
      <w:r w:rsidRPr="0043038D">
        <w:rPr>
          <w:rFonts w:ascii="Arial" w:hAnsi="Arial" w:cs="Arial"/>
          <w:sz w:val="21"/>
          <w:szCs w:val="21"/>
        </w:rPr>
        <w:t>为其最高最佳使用途径。</w:t>
      </w:r>
    </w:p>
    <w:p w14:paraId="46526AB5" w14:textId="77777777" w:rsidR="000E5655" w:rsidRPr="0043038D" w:rsidRDefault="000E5655">
      <w:pPr>
        <w:spacing w:line="480" w:lineRule="auto"/>
        <w:ind w:firstLineChars="200" w:firstLine="420"/>
        <w:jc w:val="both"/>
        <w:rPr>
          <w:rFonts w:ascii="Arial" w:hAnsi="Arial" w:cs="Arial"/>
          <w:sz w:val="21"/>
          <w:szCs w:val="21"/>
        </w:rPr>
      </w:pPr>
    </w:p>
    <w:p w14:paraId="62D48E66" w14:textId="77777777" w:rsidR="000E5655" w:rsidRPr="0043038D" w:rsidRDefault="00837133">
      <w:pPr>
        <w:pStyle w:val="2"/>
        <w:numPr>
          <w:ilvl w:val="0"/>
          <w:numId w:val="9"/>
        </w:numPr>
        <w:spacing w:line="480" w:lineRule="auto"/>
        <w:jc w:val="both"/>
        <w:rPr>
          <w:rFonts w:eastAsia="宋体"/>
          <w:kern w:val="2"/>
          <w:sz w:val="21"/>
          <w:szCs w:val="21"/>
        </w:rPr>
      </w:pPr>
      <w:bookmarkStart w:id="66" w:name="_Toc155267106"/>
      <w:bookmarkStart w:id="67" w:name="_Toc525655439"/>
      <w:r w:rsidRPr="0043038D">
        <w:rPr>
          <w:rFonts w:eastAsia="宋体"/>
          <w:kern w:val="2"/>
          <w:sz w:val="21"/>
          <w:szCs w:val="21"/>
        </w:rPr>
        <w:t>估价方法适用性分析</w:t>
      </w:r>
      <w:bookmarkEnd w:id="66"/>
      <w:bookmarkEnd w:id="67"/>
    </w:p>
    <w:p w14:paraId="0F67C76F" w14:textId="77777777" w:rsidR="000E5655" w:rsidRPr="0043038D" w:rsidRDefault="00837133">
      <w:pPr>
        <w:wordWrap w:val="0"/>
        <w:overflowPunct w:val="0"/>
        <w:spacing w:line="480" w:lineRule="auto"/>
        <w:ind w:firstLineChars="200" w:firstLine="420"/>
        <w:jc w:val="both"/>
        <w:textAlignment w:val="auto"/>
        <w:rPr>
          <w:rFonts w:ascii="Arial" w:hAnsi="Arial" w:cs="Arial"/>
          <w:bCs/>
          <w:spacing w:val="10"/>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r w:rsidRPr="0043038D">
        <w:rPr>
          <w:rFonts w:ascii="Arial" w:hAnsi="Arial" w:cs="Arial"/>
          <w:sz w:val="21"/>
          <w:szCs w:val="21"/>
        </w:rPr>
        <w:t>。</w:t>
      </w:r>
    </w:p>
    <w:p w14:paraId="1B5AA1C7" w14:textId="77777777"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w:t>
      </w:r>
      <w:r w:rsidRPr="0043038D">
        <w:rPr>
          <w:rFonts w:ascii="Arial" w:hAnsi="Arial" w:cs="Arial" w:hint="eastAsia"/>
          <w:b/>
          <w:sz w:val="21"/>
          <w:szCs w:val="21"/>
        </w:rPr>
        <w:t>估价思路</w:t>
      </w:r>
      <w:r w:rsidRPr="0043038D">
        <w:rPr>
          <w:rFonts w:ascii="Arial" w:hAnsi="Arial" w:cs="Arial"/>
          <w:b/>
          <w:sz w:val="21"/>
          <w:szCs w:val="21"/>
        </w:rPr>
        <w:t xml:space="preserve"> </w:t>
      </w:r>
    </w:p>
    <w:p w14:paraId="7EFD0876"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14:paraId="4C3A8769" w14:textId="77777777"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14:paraId="59487234" w14:textId="77777777">
        <w:trPr>
          <w:jc w:val="center"/>
        </w:trPr>
        <w:tc>
          <w:tcPr>
            <w:tcW w:w="1556" w:type="dxa"/>
          </w:tcPr>
          <w:p w14:paraId="7C699A63"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14:paraId="7A54C099"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14:paraId="206D988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14:paraId="27806E7F"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14:paraId="051BCB9E"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14:paraId="165F18D5"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14:paraId="05866F4F" w14:textId="77777777">
        <w:trPr>
          <w:jc w:val="center"/>
        </w:trPr>
        <w:tc>
          <w:tcPr>
            <w:tcW w:w="1556" w:type="dxa"/>
          </w:tcPr>
          <w:p w14:paraId="4B521207"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14:paraId="268A67EB"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零居室、一居室</w:t>
            </w:r>
          </w:p>
        </w:tc>
        <w:tc>
          <w:tcPr>
            <w:tcW w:w="1693" w:type="dxa"/>
          </w:tcPr>
          <w:p w14:paraId="26C15FE4"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14:paraId="6388662C"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14:paraId="02C4969B"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4AD26C0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14:paraId="22418FEC" w14:textId="77777777">
        <w:trPr>
          <w:jc w:val="center"/>
        </w:trPr>
        <w:tc>
          <w:tcPr>
            <w:tcW w:w="1556" w:type="dxa"/>
          </w:tcPr>
          <w:p w14:paraId="1168E75E"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14:paraId="0080C76F"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14:paraId="676FAF55"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14:paraId="42A6510E"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14:paraId="01807116"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377F1B28"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14:paraId="1BB5A3E7" w14:textId="77777777">
        <w:trPr>
          <w:jc w:val="center"/>
        </w:trPr>
        <w:tc>
          <w:tcPr>
            <w:tcW w:w="1556" w:type="dxa"/>
          </w:tcPr>
          <w:p w14:paraId="483B0D20"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14:paraId="1C736DE7"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14:paraId="134BF244"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14:paraId="6399C8C8"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14:paraId="1DB895B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4D539CDD"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14:paraId="225D91B0" w14:textId="77777777"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14:paraId="7AAACC53" w14:textId="77777777"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r w:rsidRPr="0043038D">
        <w:rPr>
          <w:rFonts w:ascii="Arial" w:hAnsi="Arial" w:cs="Arial" w:hint="eastAsia"/>
          <w:sz w:val="21"/>
          <w:szCs w:val="21"/>
        </w:rPr>
        <w:t>。</w:t>
      </w:r>
    </w:p>
    <w:p w14:paraId="056D7F9F" w14:textId="77777777"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14:paraId="54C5A6CA"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14:paraId="3D9C7DC8"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14:paraId="379238CC"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公寓</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 xml:space="preserve"> </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p>
    <w:p w14:paraId="7F99CD76"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14:paraId="4A6C2286" w14:textId="77777777"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43038D">
        <w:rPr>
          <w:rFonts w:hAnsi="宋体" w:cs="Arial" w:hint="eastAsia"/>
          <w:sz w:val="21"/>
          <w:szCs w:val="21"/>
        </w:rPr>
        <w:t>（1）估价对象适用比较法，且已优先采用比较法进行评估，故不再采用成本法进行测算。</w:t>
      </w:r>
    </w:p>
    <w:p w14:paraId="317555DB" w14:textId="77777777"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（2）假设开发法可评估房地产市场价值，但不适于租赁价格的评估。</w:t>
      </w:r>
    </w:p>
    <w:p w14:paraId="7D6B90F7" w14:textId="77777777"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（3）</w:t>
      </w:r>
      <w:r w:rsidRPr="0043038D">
        <w:rPr>
          <w:rFonts w:hAnsi="宋体" w:cs="Arial"/>
          <w:sz w:val="21"/>
          <w:szCs w:val="21"/>
        </w:rPr>
        <w:t>收益法适用于有现实收益或潜在收益的土地或房地产估价。估价对象用途</w:t>
      </w:r>
      <w:r w:rsidRPr="0043038D">
        <w:rPr>
          <w:rFonts w:hAnsi="宋体" w:cs="Arial" w:hint="eastAsia"/>
          <w:sz w:val="21"/>
          <w:szCs w:val="21"/>
        </w:rPr>
        <w:t>设定为保障性租赁住房</w:t>
      </w:r>
      <w:r w:rsidRPr="0043038D">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hAnsi="宋体" w:cs="Arial" w:hint="eastAsia"/>
          <w:sz w:val="21"/>
          <w:szCs w:val="21"/>
        </w:rPr>
        <w:t>公寓</w:t>
      </w:r>
      <w:r w:rsidRPr="0043038D">
        <w:rPr>
          <w:rFonts w:hAnsi="宋体" w:cs="Arial"/>
          <w:sz w:val="21"/>
          <w:szCs w:val="21"/>
        </w:rPr>
        <w:t>业态租售比差距较大， 采用房屋交易价格测算出的房屋租金不能反映正常的市场租金水平，故未采用收益法</w:t>
      </w:r>
      <w:bookmarkEnd w:id="68"/>
      <w:r w:rsidRPr="0043038D">
        <w:rPr>
          <w:rFonts w:hAnsi="宋体" w:cs="Arial" w:hint="eastAsia"/>
          <w:sz w:val="21"/>
          <w:szCs w:val="21"/>
        </w:rPr>
        <w:t>。</w:t>
      </w:r>
    </w:p>
    <w:p w14:paraId="22A54ED7" w14:textId="77777777"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（三）估价方法公式</w:t>
      </w:r>
      <w:r w:rsidRPr="0043038D">
        <w:rPr>
          <w:rFonts w:ascii="Arial" w:hAnsi="Arial" w:cs="Arial"/>
          <w:b/>
          <w:sz w:val="21"/>
          <w:szCs w:val="21"/>
        </w:rPr>
        <w:t xml:space="preserve"> </w:t>
      </w:r>
    </w:p>
    <w:p w14:paraId="3ACE525E" w14:textId="77777777"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比较法计算公式为：</w:t>
      </w:r>
    </w:p>
    <w:p w14:paraId="183AA5D6" w14:textId="77777777"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43038D">
        <w:rPr>
          <w:rFonts w:ascii="Arial" w:hAnsi="Arial" w:cs="Arial"/>
          <w:sz w:val="21"/>
          <w:szCs w:val="21"/>
        </w:rPr>
        <w:t>待估房地产租赁价格＝可比实例房地产租赁价格</w:t>
      </w:r>
      <w:r w:rsidRPr="0043038D">
        <w:rPr>
          <w:rFonts w:ascii="Arial" w:hAnsi="Arial" w:cs="Arial"/>
          <w:sz w:val="21"/>
          <w:szCs w:val="21"/>
        </w:rPr>
        <w:t>×</w:t>
      </w:r>
      <w:r w:rsidRPr="0043038D">
        <w:rPr>
          <w:rFonts w:ascii="Arial" w:hAnsi="Arial" w:cs="Arial"/>
          <w:sz w:val="21"/>
          <w:szCs w:val="21"/>
        </w:rPr>
        <w:t>（待估房地产交易情况指数</w:t>
      </w:r>
      <w:r w:rsidRPr="0043038D">
        <w:rPr>
          <w:rFonts w:ascii="Arial" w:hAnsi="Arial" w:cs="Arial"/>
          <w:sz w:val="21"/>
          <w:szCs w:val="21"/>
        </w:rPr>
        <w:t>/</w:t>
      </w:r>
      <w:r w:rsidRPr="0043038D">
        <w:rPr>
          <w:rFonts w:ascii="Arial" w:hAnsi="Arial" w:cs="Arial"/>
          <w:sz w:val="21"/>
          <w:szCs w:val="21"/>
        </w:rPr>
        <w:t>可比实例交易情况指数）</w:t>
      </w:r>
      <w:r w:rsidRPr="0043038D">
        <w:rPr>
          <w:rFonts w:ascii="Arial" w:hAnsi="Arial" w:cs="Arial"/>
          <w:sz w:val="21"/>
          <w:szCs w:val="21"/>
        </w:rPr>
        <w:t>×</w:t>
      </w:r>
      <w:r w:rsidRPr="0043038D">
        <w:rPr>
          <w:rFonts w:ascii="Arial" w:hAnsi="Arial" w:cs="Arial"/>
          <w:sz w:val="21"/>
          <w:szCs w:val="21"/>
        </w:rPr>
        <w:t>（待估房地产交易日期房地产价租赁格指数</w:t>
      </w:r>
      <w:r w:rsidRPr="0043038D">
        <w:rPr>
          <w:rFonts w:ascii="Arial" w:hAnsi="Arial" w:cs="Arial"/>
          <w:sz w:val="21"/>
          <w:szCs w:val="21"/>
        </w:rPr>
        <w:t>/</w:t>
      </w:r>
      <w:r w:rsidRPr="0043038D">
        <w:rPr>
          <w:rFonts w:ascii="Arial" w:hAnsi="Arial" w:cs="Arial"/>
          <w:sz w:val="21"/>
          <w:szCs w:val="21"/>
        </w:rPr>
        <w:t>可比实例交易日期房地产租赁价格指数）</w:t>
      </w:r>
      <w:r w:rsidRPr="0043038D">
        <w:rPr>
          <w:rFonts w:ascii="Arial" w:hAnsi="Arial" w:cs="Arial"/>
          <w:sz w:val="21"/>
          <w:szCs w:val="21"/>
        </w:rPr>
        <w:t>×</w:t>
      </w:r>
      <w:r w:rsidRPr="0043038D">
        <w:rPr>
          <w:rFonts w:ascii="Arial" w:hAnsi="Arial" w:cs="Arial"/>
          <w:sz w:val="21"/>
          <w:szCs w:val="21"/>
        </w:rPr>
        <w:t>（待估房地产</w:t>
      </w:r>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sz w:val="21"/>
          <w:szCs w:val="21"/>
        </w:rPr>
        <w:t>/</w:t>
      </w:r>
      <w:r w:rsidRPr="0043038D">
        <w:rPr>
          <w:rFonts w:ascii="Arial" w:hAnsi="Arial" w:cs="Arial"/>
          <w:sz w:val="21"/>
          <w:szCs w:val="21"/>
        </w:rPr>
        <w:t>可比实例</w:t>
      </w:r>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hint="eastAsia"/>
          <w:sz w:val="21"/>
          <w:szCs w:val="21"/>
        </w:rPr>
        <w:t>）</w:t>
      </w:r>
      <w:r w:rsidRPr="0043038D">
        <w:rPr>
          <w:rFonts w:ascii="Arial" w:hAnsi="Arial" w:cs="Arial"/>
          <w:sz w:val="21"/>
          <w:szCs w:val="21"/>
        </w:rPr>
        <w:t>…×</w:t>
      </w:r>
      <w:r w:rsidRPr="0043038D">
        <w:rPr>
          <w:rFonts w:ascii="Arial" w:hAnsi="Arial" w:cs="Arial"/>
          <w:sz w:val="21"/>
          <w:szCs w:val="21"/>
        </w:rPr>
        <w:t>（待估房地产区域状况条件指数</w:t>
      </w:r>
      <w:r w:rsidRPr="0043038D">
        <w:rPr>
          <w:rFonts w:ascii="Arial" w:hAnsi="Arial" w:cs="Arial"/>
          <w:sz w:val="21"/>
          <w:szCs w:val="21"/>
        </w:rPr>
        <w:t>/</w:t>
      </w:r>
      <w:r w:rsidRPr="0043038D">
        <w:rPr>
          <w:rFonts w:ascii="Arial" w:hAnsi="Arial" w:cs="Arial"/>
          <w:sz w:val="21"/>
          <w:szCs w:val="21"/>
        </w:rPr>
        <w:t>可比实例房地产区域状况条件指数）</w:t>
      </w:r>
      <w:r w:rsidRPr="0043038D">
        <w:rPr>
          <w:rFonts w:ascii="Arial" w:hAnsi="Arial" w:cs="Arial"/>
          <w:sz w:val="21"/>
          <w:szCs w:val="21"/>
        </w:rPr>
        <w:t>×</w:t>
      </w:r>
      <w:r w:rsidRPr="0043038D">
        <w:rPr>
          <w:rFonts w:ascii="Arial" w:hAnsi="Arial" w:cs="Arial"/>
          <w:sz w:val="21"/>
          <w:szCs w:val="21"/>
        </w:rPr>
        <w:t>（待估房地产实物状况条件指数</w:t>
      </w:r>
      <w:r w:rsidRPr="0043038D">
        <w:rPr>
          <w:rFonts w:ascii="Arial" w:hAnsi="Arial" w:cs="Arial"/>
          <w:sz w:val="21"/>
          <w:szCs w:val="21"/>
        </w:rPr>
        <w:t>/</w:t>
      </w:r>
      <w:r w:rsidRPr="0043038D">
        <w:rPr>
          <w:rFonts w:ascii="Arial" w:hAnsi="Arial" w:cs="Arial"/>
          <w:sz w:val="21"/>
          <w:szCs w:val="21"/>
        </w:rPr>
        <w:t>可比实例房地产实物状况条件指数）</w:t>
      </w:r>
    </w:p>
    <w:p w14:paraId="1CF8B360" w14:textId="77777777"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43038D">
        <w:rPr>
          <w:rFonts w:ascii="Arial" w:hAnsi="Arial" w:cs="Arial" w:hint="eastAsia"/>
          <w:sz w:val="21"/>
          <w:szCs w:val="21"/>
        </w:rPr>
        <w:t>具体步骤如下：</w:t>
      </w:r>
    </w:p>
    <w:p w14:paraId="0C0618EF" w14:textId="77777777"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选择可比案例</w:t>
      </w:r>
    </w:p>
    <w:p w14:paraId="60F73EFF" w14:textId="77777777" w:rsidR="000E5655" w:rsidRPr="0043038D" w:rsidRDefault="00837133">
      <w:pPr>
        <w:wordWrap w:val="0"/>
        <w:overflowPunct w:val="0"/>
        <w:spacing w:line="480" w:lineRule="auto"/>
        <w:ind w:left="780"/>
        <w:rPr>
          <w:rFonts w:ascii="Arial" w:hAnsi="Arial"/>
          <w:sz w:val="21"/>
          <w:szCs w:val="21"/>
        </w:rPr>
      </w:pPr>
      <w:r w:rsidRPr="0043038D">
        <w:rPr>
          <w:rFonts w:ascii="Arial" w:hAnsi="Arial" w:hint="eastAsia"/>
          <w:sz w:val="21"/>
          <w:szCs w:val="21"/>
        </w:rPr>
        <w:t>选择比较案例时，应符合以下要求（与待估房地产比较）</w:t>
      </w:r>
    </w:p>
    <w:p w14:paraId="0838A2FE" w14:textId="77777777"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1</w:t>
      </w:r>
      <w:r w:rsidRPr="0043038D">
        <w:rPr>
          <w:rFonts w:ascii="Arial" w:hAnsi="Arial" w:hint="eastAsia"/>
          <w:sz w:val="21"/>
          <w:szCs w:val="21"/>
        </w:rPr>
        <w:t>）用途相同</w:t>
      </w:r>
    </w:p>
    <w:p w14:paraId="7FD1A264" w14:textId="77777777"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2</w:t>
      </w:r>
      <w:r w:rsidRPr="0043038D">
        <w:rPr>
          <w:rFonts w:ascii="Arial" w:hAnsi="Arial" w:hint="eastAsia"/>
          <w:sz w:val="21"/>
          <w:szCs w:val="21"/>
        </w:rPr>
        <w:t>）属于正常交易</w:t>
      </w:r>
    </w:p>
    <w:p w14:paraId="284FD868" w14:textId="77777777"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3</w:t>
      </w:r>
      <w:r w:rsidRPr="0043038D">
        <w:rPr>
          <w:rFonts w:ascii="Arial" w:hAnsi="Arial" w:hint="eastAsia"/>
          <w:sz w:val="21"/>
          <w:szCs w:val="21"/>
        </w:rPr>
        <w:t>）房地产状况各因素相近</w:t>
      </w:r>
    </w:p>
    <w:p w14:paraId="1A2DCDD9" w14:textId="77777777"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4</w:t>
      </w:r>
      <w:r w:rsidRPr="0043038D">
        <w:rPr>
          <w:rFonts w:ascii="Arial" w:hAnsi="Arial" w:hint="eastAsia"/>
          <w:sz w:val="21"/>
          <w:szCs w:val="21"/>
        </w:rPr>
        <w:t>）价值时点接近</w:t>
      </w:r>
    </w:p>
    <w:p w14:paraId="6A3EBCEB" w14:textId="77777777"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5</w:t>
      </w:r>
      <w:r w:rsidRPr="0043038D">
        <w:rPr>
          <w:rFonts w:ascii="Arial" w:hAnsi="Arial" w:hint="eastAsia"/>
          <w:sz w:val="21"/>
          <w:szCs w:val="21"/>
        </w:rPr>
        <w:t>）统一价格基础</w:t>
      </w:r>
    </w:p>
    <w:p w14:paraId="03E28154" w14:textId="77777777"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进行交易情况、交易日期、项目类型、房地产状况等因素修正</w:t>
      </w:r>
    </w:p>
    <w:p w14:paraId="238833F5" w14:textId="77777777"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求取估价对象比准价格</w:t>
      </w:r>
    </w:p>
    <w:p w14:paraId="3B3DF993" w14:textId="77777777" w:rsidR="000E5655" w:rsidRPr="0043038D" w:rsidRDefault="000E5655">
      <w:pPr>
        <w:pStyle w:val="2"/>
        <w:numPr>
          <w:ilvl w:val="0"/>
          <w:numId w:val="0"/>
        </w:numPr>
        <w:spacing w:line="480" w:lineRule="auto"/>
        <w:ind w:left="358" w:hangingChars="170" w:hanging="358"/>
        <w:jc w:val="both"/>
        <w:rPr>
          <w:rFonts w:eastAsia="宋体"/>
          <w:kern w:val="2"/>
          <w:sz w:val="21"/>
          <w:szCs w:val="21"/>
        </w:rPr>
      </w:pPr>
      <w:bookmarkStart w:id="69" w:name="_Toc525655440"/>
      <w:bookmarkStart w:id="70" w:name="_Toc155267107"/>
    </w:p>
    <w:p w14:paraId="539C3F63" w14:textId="77777777"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五、估价测算过程</w:t>
      </w:r>
      <w:bookmarkEnd w:id="69"/>
      <w:bookmarkEnd w:id="70"/>
      <w:r w:rsidRPr="0043038D">
        <w:rPr>
          <w:rFonts w:eastAsia="宋体" w:hint="eastAsia"/>
          <w:kern w:val="2"/>
          <w:sz w:val="21"/>
          <w:szCs w:val="21"/>
        </w:rPr>
        <w:t xml:space="preserve">  </w:t>
      </w:r>
    </w:p>
    <w:p w14:paraId="2C38A1A4" w14:textId="77777777" w:rsidR="000E5655" w:rsidRPr="0043038D" w:rsidRDefault="00837133">
      <w:pPr>
        <w:pStyle w:val="12"/>
        <w:autoSpaceDE w:val="0"/>
        <w:autoSpaceDN w:val="0"/>
        <w:spacing w:line="480" w:lineRule="auto"/>
        <w:ind w:right="140" w:firstLineChars="200" w:firstLine="422"/>
        <w:jc w:val="both"/>
        <w:textAlignment w:val="bottom"/>
        <w:rPr>
          <w:rFonts w:ascii="Arial" w:hAnsi="Arial" w:cs="Arial"/>
          <w:b/>
          <w:sz w:val="21"/>
          <w:szCs w:val="21"/>
        </w:rPr>
      </w:pPr>
      <w:r w:rsidRPr="0043038D">
        <w:rPr>
          <w:rFonts w:ascii="Arial" w:hAnsi="Arial" w:cs="Arial" w:hint="eastAsia"/>
          <w:b/>
          <w:sz w:val="21"/>
          <w:szCs w:val="21"/>
        </w:rPr>
        <w:t>（一）标准房选取</w:t>
      </w:r>
    </w:p>
    <w:p w14:paraId="139DE0E7" w14:textId="77777777"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14:paraId="2AC9CCF8" w14:textId="77777777"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14:paraId="4E88E348" w14:textId="77777777">
        <w:trPr>
          <w:jc w:val="center"/>
        </w:trPr>
        <w:tc>
          <w:tcPr>
            <w:tcW w:w="1556" w:type="dxa"/>
          </w:tcPr>
          <w:p w14:paraId="1AC911C6"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14:paraId="2EBB9DF1"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14:paraId="6EA6E530"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14:paraId="13B35CF3"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14:paraId="63018927"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14:paraId="4CF783D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14:paraId="0C76A37C" w14:textId="77777777">
        <w:trPr>
          <w:jc w:val="center"/>
        </w:trPr>
        <w:tc>
          <w:tcPr>
            <w:tcW w:w="1556" w:type="dxa"/>
          </w:tcPr>
          <w:p w14:paraId="748432BF"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14:paraId="0E9BB151"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零居室、一居室</w:t>
            </w:r>
          </w:p>
        </w:tc>
        <w:tc>
          <w:tcPr>
            <w:tcW w:w="1693" w:type="dxa"/>
          </w:tcPr>
          <w:p w14:paraId="05EE2182"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14:paraId="1B882ABB"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14:paraId="51DC0BBE"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01BB60A1"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14:paraId="1156B1BD" w14:textId="77777777">
        <w:trPr>
          <w:jc w:val="center"/>
        </w:trPr>
        <w:tc>
          <w:tcPr>
            <w:tcW w:w="1556" w:type="dxa"/>
          </w:tcPr>
          <w:p w14:paraId="3E6A78DB"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14:paraId="15AB4BDC"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14:paraId="6789E719"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14:paraId="3073A26B"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14:paraId="5F2AB1C5"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03F2B6AD"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14:paraId="3CFFEC22" w14:textId="77777777">
        <w:trPr>
          <w:jc w:val="center"/>
        </w:trPr>
        <w:tc>
          <w:tcPr>
            <w:tcW w:w="1556" w:type="dxa"/>
          </w:tcPr>
          <w:p w14:paraId="45ED5D8D"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14:paraId="3E2AC569"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14:paraId="09E42929"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14:paraId="110BBF79"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14:paraId="0ABD3391"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14:paraId="176FF468" w14:textId="77777777"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14:paraId="4112B097" w14:textId="77777777" w:rsidR="000E5655" w:rsidRPr="0043038D" w:rsidRDefault="00837133">
      <w:pPr>
        <w:pStyle w:val="aa"/>
        <w:spacing w:beforeLines="100" w:before="240" w:line="480" w:lineRule="auto"/>
        <w:ind w:firstLineChars="200" w:firstLine="422"/>
        <w:rPr>
          <w:rFonts w:ascii="Arial" w:eastAsia="宋体" w:hAnsi="Arial" w:cs="Arial"/>
          <w:sz w:val="21"/>
          <w:szCs w:val="21"/>
        </w:rPr>
      </w:pPr>
      <w:r w:rsidRPr="0043038D">
        <w:rPr>
          <w:rFonts w:ascii="Arial" w:eastAsia="宋体" w:hAnsi="Arial" w:cs="Arial"/>
          <w:sz w:val="21"/>
          <w:szCs w:val="21"/>
        </w:rPr>
        <w:t>（</w:t>
      </w:r>
      <w:r w:rsidRPr="0043038D">
        <w:rPr>
          <w:rFonts w:ascii="Arial" w:eastAsia="宋体" w:hAnsi="Arial" w:cs="Arial" w:hint="eastAsia"/>
          <w:sz w:val="21"/>
          <w:szCs w:val="21"/>
        </w:rPr>
        <w:t>二</w:t>
      </w:r>
      <w:r w:rsidRPr="0043038D">
        <w:rPr>
          <w:rFonts w:ascii="Arial" w:eastAsia="宋体" w:hAnsi="Arial" w:cs="Arial"/>
          <w:sz w:val="21"/>
          <w:szCs w:val="21"/>
        </w:rPr>
        <w:t>）</w:t>
      </w:r>
      <w:r w:rsidRPr="0043038D">
        <w:rPr>
          <w:rFonts w:ascii="Arial" w:eastAsia="宋体" w:hAnsi="Arial" w:cs="Arial" w:hint="eastAsia"/>
          <w:sz w:val="21"/>
          <w:szCs w:val="21"/>
        </w:rPr>
        <w:t>比较法测算过程</w:t>
      </w:r>
    </w:p>
    <w:p w14:paraId="050D5B57"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6C75BAD8" w14:textId="77777777"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A.</w:t>
      </w:r>
      <w:r w:rsidRPr="0043038D">
        <w:rPr>
          <w:rFonts w:ascii="Arial" w:hAnsi="Arial" w:cs="Arial" w:hint="eastAsia"/>
          <w:b/>
          <w:sz w:val="21"/>
          <w:szCs w:val="21"/>
        </w:rPr>
        <w:t>标准房</w:t>
      </w:r>
      <w:r w:rsidRPr="0043038D">
        <w:rPr>
          <w:rFonts w:ascii="Arial" w:hAnsi="Arial" w:cs="Arial" w:hint="eastAsia"/>
          <w:b/>
          <w:sz w:val="21"/>
          <w:szCs w:val="21"/>
        </w:rPr>
        <w:t>1</w:t>
      </w:r>
      <w:r w:rsidRPr="0043038D">
        <w:rPr>
          <w:rFonts w:ascii="Arial" w:hAnsi="Arial" w:cs="Arial" w:hint="eastAsia"/>
          <w:b/>
          <w:sz w:val="21"/>
          <w:szCs w:val="21"/>
        </w:rPr>
        <w:t>（</w:t>
      </w:r>
      <w:r w:rsidRPr="0043038D">
        <w:rPr>
          <w:rFonts w:ascii="宋体" w:hAnsi="宋体" w:hint="eastAsia"/>
          <w:b/>
          <w:sz w:val="21"/>
          <w:szCs w:val="21"/>
        </w:rPr>
        <w:t>零居室、一居室标准房市场租金水平）</w:t>
      </w:r>
    </w:p>
    <w:p w14:paraId="7B8DF10B"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选取案例并作因素条件说明</w:t>
      </w:r>
    </w:p>
    <w:p w14:paraId="0F652783"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r w:rsidRPr="0043038D">
        <w:rPr>
          <w:rFonts w:ascii="Arial" w:hAnsi="Arial" w:cs="Arial" w:hint="eastAsia"/>
          <w:sz w:val="21"/>
          <w:szCs w:val="21"/>
        </w:rPr>
        <w:t>大兴</w:t>
      </w:r>
      <w:r w:rsidRPr="0043038D">
        <w:rPr>
          <w:rFonts w:ascii="Arial" w:hAnsi="Arial" w:cs="Arial"/>
          <w:sz w:val="21"/>
          <w:szCs w:val="21"/>
        </w:rPr>
        <w:t>区及其周边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14:paraId="36A99173"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w:t>
      </w:r>
    </w:p>
    <w:p w14:paraId="223DBFD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天恒金融街公园懿府</w:t>
      </w:r>
    </w:p>
    <w:p w14:paraId="35F59DDB"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北京市丰台区西红门路与槐房西路交叉口</w:t>
      </w:r>
    </w:p>
    <w:p w14:paraId="2AB5B2FA"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14:paraId="179FE130"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6B8EA30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5A117DBD"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hint="eastAsia"/>
          <w:sz w:val="21"/>
          <w:szCs w:val="21"/>
        </w:rPr>
        <w:t>周边有阳光星苑、南苑村、绿林苑、同兴园、南庭新苑、飞腾家园、南苑汇睿、天悦壹号、诚苑中里、翠海明苑、合顺家园居住小区规模较大，入住率较好，综合评价居住区成熟度较好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1.2</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946</w:t>
      </w:r>
      <w:r w:rsidRPr="0043038D">
        <w:rPr>
          <w:rFonts w:ascii="Arial" w:hAnsi="Arial" w:cs="Arial" w:hint="eastAsia"/>
          <w:sz w:val="21"/>
          <w:szCs w:val="21"/>
        </w:rPr>
        <w:t>路、兴</w:t>
      </w:r>
      <w:r w:rsidRPr="0043038D">
        <w:rPr>
          <w:rFonts w:ascii="Arial" w:hAnsi="Arial" w:cs="Arial" w:hint="eastAsia"/>
          <w:sz w:val="21"/>
          <w:szCs w:val="21"/>
        </w:rPr>
        <w:t>12</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路、专</w:t>
      </w:r>
      <w:r w:rsidRPr="0043038D">
        <w:rPr>
          <w:rFonts w:ascii="Arial" w:hAnsi="Arial" w:cs="Arial" w:hint="eastAsia"/>
          <w:sz w:val="21"/>
          <w:szCs w:val="21"/>
        </w:rPr>
        <w:t>67</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，综合评价交通便捷度较好；周边有星光视界公园、北京国际露营公园、南苑湿地公园等自然景观，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w:t>
      </w:r>
      <w:r w:rsidRPr="0043038D">
        <w:rPr>
          <w:rFonts w:ascii="Arial" w:hAnsi="Arial" w:cs="Arial"/>
          <w:kern w:val="2"/>
          <w:sz w:val="21"/>
          <w:szCs w:val="21"/>
        </w:rPr>
        <w:t>京客隆（西红门店）等商业场所；有北京教育科学研究院丰台学校、北京商贸学校、北京新桥外国语高中学校、北京市丰台区南苑第一幼儿园等教育设施；有北京市丰台区南苑医院、北京市大兴区城镇同兴园社区卫生服务站等医疗卫生机构；有北京农商银行（西红门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居室户型，低楼层，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017</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3.78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90.93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hint="eastAsia"/>
          <w:sz w:val="21"/>
          <w:szCs w:val="21"/>
        </w:rPr>
        <w:t>3.9</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14:paraId="6C11A408"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2</w:t>
      </w:r>
      <w:r w:rsidRPr="0043038D">
        <w:rPr>
          <w:rFonts w:ascii="Arial" w:hAnsi="Arial" w:cs="Arial"/>
          <w:sz w:val="21"/>
          <w:szCs w:val="21"/>
        </w:rPr>
        <w:t>：</w:t>
      </w:r>
    </w:p>
    <w:p w14:paraId="7BCEC814"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14:paraId="46DEAD2A"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14:paraId="67A5EE82"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14:paraId="63BBF1A7"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3C327A3F"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77888FE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hint="eastAsia"/>
          <w:sz w:val="21"/>
          <w:szCs w:val="21"/>
        </w:rPr>
        <w:t>周边有天悦壹号、诚苑中里、翠海明苑、合顺家园、德馨嘉园、御槐园、正商明苑居住小区规模较大，入住率较好，综合评价居住区成熟度较好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，综合评价交通便捷度较好；周边有海子公园、槐新公园、南苑湿地公园等自然景观，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0.75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84.73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14:paraId="4D05D35B"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w:t>
      </w:r>
    </w:p>
    <w:p w14:paraId="738A31A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鸿坤理想城八期</w:t>
      </w:r>
    </w:p>
    <w:p w14:paraId="17A0E86F"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北京市大兴区宏业路</w:t>
      </w:r>
      <w:r w:rsidRPr="0043038D">
        <w:rPr>
          <w:rFonts w:ascii="Arial" w:hAnsi="Arial" w:cs="Arial" w:hint="eastAsia"/>
          <w:sz w:val="21"/>
          <w:szCs w:val="21"/>
        </w:rPr>
        <w:t>5</w:t>
      </w:r>
      <w:r w:rsidRPr="0043038D">
        <w:rPr>
          <w:rFonts w:ascii="Arial" w:hAnsi="Arial" w:cs="Arial" w:hint="eastAsia"/>
          <w:sz w:val="21"/>
          <w:szCs w:val="21"/>
        </w:rPr>
        <w:t>号院</w:t>
      </w:r>
    </w:p>
    <w:p w14:paraId="1301A67F"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14:paraId="415D0425"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2874C726"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2308D021"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公里内有福星花园、宏大中园、宏盛家园、鸿坤理想城、九龙家园、九龙山庄、瑞海家园、同兴园、熙红印、兴都苑、兴海家园、月桂庄园等，居住小区规模较大，入住率较好，综合评价居住区成熟度较好；东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欣荣北大街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sz w:val="21"/>
          <w:szCs w:val="21"/>
        </w:rPr>
        <w:t>2.3</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米内有兴</w:t>
      </w:r>
      <w:r w:rsidRPr="0043038D">
        <w:rPr>
          <w:rFonts w:ascii="Arial" w:hAnsi="Arial" w:cs="Arial" w:hint="eastAsia"/>
          <w:sz w:val="21"/>
          <w:szCs w:val="21"/>
        </w:rPr>
        <w:t>71</w:t>
      </w:r>
      <w:r w:rsidRPr="0043038D">
        <w:rPr>
          <w:rFonts w:ascii="Arial" w:hAnsi="Arial" w:cs="Arial" w:hint="eastAsia"/>
          <w:sz w:val="21"/>
          <w:szCs w:val="21"/>
        </w:rPr>
        <w:t>路内环、兴</w:t>
      </w:r>
      <w:r w:rsidRPr="0043038D">
        <w:rPr>
          <w:rFonts w:ascii="Arial" w:hAnsi="Arial" w:cs="Arial" w:hint="eastAsia"/>
          <w:sz w:val="21"/>
          <w:szCs w:val="21"/>
        </w:rPr>
        <w:t>14</w:t>
      </w:r>
      <w:r w:rsidRPr="0043038D">
        <w:rPr>
          <w:rFonts w:ascii="Arial" w:hAnsi="Arial" w:cs="Arial" w:hint="eastAsia"/>
          <w:sz w:val="21"/>
          <w:szCs w:val="21"/>
        </w:rPr>
        <w:t>路、兴</w:t>
      </w:r>
      <w:r w:rsidRPr="0043038D">
        <w:rPr>
          <w:rFonts w:ascii="Arial" w:hAnsi="Arial" w:cs="Arial" w:hint="eastAsia"/>
          <w:sz w:val="21"/>
          <w:szCs w:val="21"/>
        </w:rPr>
        <w:t>66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周边有兴海公园、兴华公园、海子公园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w:t>
      </w:r>
      <w:r w:rsidRPr="0043038D">
        <w:rPr>
          <w:rFonts w:ascii="Arial" w:hAnsi="Arial" w:cs="Arial" w:hint="eastAsia"/>
          <w:kern w:val="2"/>
          <w:sz w:val="21"/>
          <w:szCs w:val="21"/>
        </w:rPr>
        <w:t>鸿坤广场、北京荟聚、西红门新光界</w:t>
      </w:r>
      <w:r w:rsidRPr="0043038D">
        <w:rPr>
          <w:rFonts w:ascii="Arial" w:hAnsi="Arial" w:cs="Arial"/>
          <w:kern w:val="2"/>
          <w:sz w:val="21"/>
          <w:szCs w:val="21"/>
        </w:rPr>
        <w:t>等商业场所；有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019</w:t>
      </w:r>
      <w:r w:rsidRPr="0043038D">
        <w:rPr>
          <w:rFonts w:ascii="Arial" w:hAnsi="Arial" w:cs="Arial"/>
          <w:sz w:val="21"/>
          <w:szCs w:val="21"/>
        </w:rPr>
        <w:t>年，建筑结构为钢混结构，装修为精装修，建筑面积为</w:t>
      </w:r>
      <w:r w:rsidRPr="0043038D">
        <w:rPr>
          <w:rFonts w:ascii="Arial" w:hAnsi="Arial" w:cs="Arial"/>
          <w:sz w:val="21"/>
          <w:szCs w:val="21"/>
        </w:rPr>
        <w:t>48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85.21</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sz w:val="21"/>
          <w:szCs w:val="21"/>
        </w:rPr>
        <w:t>1.62</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14:paraId="242534DE"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2"/>
        <w:gridCol w:w="1812"/>
        <w:gridCol w:w="1812"/>
        <w:gridCol w:w="1815"/>
      </w:tblGrid>
      <w:tr w:rsidR="000E5655" w:rsidRPr="0043038D" w14:paraId="3112EFC8" w14:textId="77777777">
        <w:trPr>
          <w:jc w:val="center"/>
        </w:trPr>
        <w:tc>
          <w:tcPr>
            <w:tcW w:w="2047" w:type="dxa"/>
            <w:vAlign w:val="center"/>
          </w:tcPr>
          <w:p w14:paraId="4269E8F0"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2" w:type="dxa"/>
            <w:vAlign w:val="center"/>
          </w:tcPr>
          <w:p w14:paraId="741A132E"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2" w:type="dxa"/>
            <w:vAlign w:val="center"/>
          </w:tcPr>
          <w:p w14:paraId="275EBD4E"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1812" w:type="dxa"/>
            <w:vAlign w:val="center"/>
          </w:tcPr>
          <w:p w14:paraId="78911AE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1815" w:type="dxa"/>
            <w:vAlign w:val="center"/>
          </w:tcPr>
          <w:p w14:paraId="71C1C0EB"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14:paraId="6B2BD871" w14:textId="77777777">
        <w:trPr>
          <w:jc w:val="center"/>
        </w:trPr>
        <w:tc>
          <w:tcPr>
            <w:tcW w:w="2047" w:type="dxa"/>
            <w:vAlign w:val="center"/>
          </w:tcPr>
          <w:p w14:paraId="3E85A19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2" w:type="dxa"/>
            <w:vAlign w:val="center"/>
          </w:tcPr>
          <w:p w14:paraId="2795518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2" w:type="dxa"/>
            <w:vAlign w:val="center"/>
          </w:tcPr>
          <w:p w14:paraId="2665BE47" w14:textId="77777777"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天恒金融街公园懿府</w:t>
            </w:r>
          </w:p>
        </w:tc>
        <w:tc>
          <w:tcPr>
            <w:tcW w:w="1812" w:type="dxa"/>
            <w:vAlign w:val="center"/>
          </w:tcPr>
          <w:p w14:paraId="2841648A" w14:textId="77777777"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5" w:type="dxa"/>
            <w:vAlign w:val="center"/>
          </w:tcPr>
          <w:p w14:paraId="6FBAC531" w14:textId="77777777"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lang w:bidi="ar"/>
              </w:rPr>
              <w:t>鸿坤理想城八期</w:t>
            </w:r>
          </w:p>
        </w:tc>
      </w:tr>
      <w:tr w:rsidR="000E5655" w:rsidRPr="0043038D" w14:paraId="00761465" w14:textId="77777777">
        <w:trPr>
          <w:jc w:val="center"/>
        </w:trPr>
        <w:tc>
          <w:tcPr>
            <w:tcW w:w="2047" w:type="dxa"/>
            <w:vAlign w:val="center"/>
          </w:tcPr>
          <w:p w14:paraId="0C1B59C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2" w:type="dxa"/>
            <w:vAlign w:val="center"/>
          </w:tcPr>
          <w:p w14:paraId="104F91A4"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待估</w:t>
            </w:r>
          </w:p>
        </w:tc>
        <w:tc>
          <w:tcPr>
            <w:tcW w:w="1812" w:type="dxa"/>
            <w:vAlign w:val="center"/>
          </w:tcPr>
          <w:p w14:paraId="57930776" w14:textId="77777777"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90.93</w:t>
            </w:r>
          </w:p>
        </w:tc>
        <w:tc>
          <w:tcPr>
            <w:tcW w:w="1812" w:type="dxa"/>
            <w:vAlign w:val="center"/>
          </w:tcPr>
          <w:p w14:paraId="3E920D43" w14:textId="77777777"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84.73</w:t>
            </w:r>
          </w:p>
        </w:tc>
        <w:tc>
          <w:tcPr>
            <w:tcW w:w="1815" w:type="dxa"/>
            <w:vAlign w:val="center"/>
          </w:tcPr>
          <w:p w14:paraId="0413A38D" w14:textId="77777777"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85.21</w:t>
            </w:r>
          </w:p>
        </w:tc>
      </w:tr>
      <w:tr w:rsidR="000E5655" w:rsidRPr="0043038D" w14:paraId="16DD9DAB" w14:textId="77777777">
        <w:trPr>
          <w:trHeight w:val="3402"/>
          <w:jc w:val="center"/>
        </w:trPr>
        <w:tc>
          <w:tcPr>
            <w:tcW w:w="2047" w:type="dxa"/>
            <w:vMerge w:val="restart"/>
            <w:vAlign w:val="center"/>
          </w:tcPr>
          <w:p w14:paraId="4CF914B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2" w:type="dxa"/>
            <w:vAlign w:val="center"/>
          </w:tcPr>
          <w:p w14:paraId="0A9BDEBD"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tc>
        <w:tc>
          <w:tcPr>
            <w:tcW w:w="1812" w:type="dxa"/>
            <w:vAlign w:val="center"/>
          </w:tcPr>
          <w:p w14:paraId="18BCB115"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14:paraId="19E243DB" w14:textId="77777777"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5" w:type="dxa"/>
            <w:vAlign w:val="center"/>
          </w:tcPr>
          <w:p w14:paraId="1851D824" w14:textId="77777777"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14:paraId="51E4A0E2" w14:textId="77777777">
        <w:trPr>
          <w:jc w:val="center"/>
        </w:trPr>
        <w:tc>
          <w:tcPr>
            <w:tcW w:w="2047" w:type="dxa"/>
            <w:vMerge/>
            <w:vAlign w:val="center"/>
          </w:tcPr>
          <w:p w14:paraId="4EF672A0"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14:paraId="5F98453B"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2" w:type="dxa"/>
            <w:vAlign w:val="center"/>
          </w:tcPr>
          <w:p w14:paraId="6FA4D1DB"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6.40</w:t>
            </w:r>
          </w:p>
        </w:tc>
        <w:tc>
          <w:tcPr>
            <w:tcW w:w="1812" w:type="dxa"/>
            <w:vAlign w:val="center"/>
          </w:tcPr>
          <w:p w14:paraId="2113AE34"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5" w:type="dxa"/>
            <w:vAlign w:val="center"/>
          </w:tcPr>
          <w:p w14:paraId="0B0ECD3F"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4.12</w:t>
            </w:r>
          </w:p>
        </w:tc>
      </w:tr>
      <w:tr w:rsidR="000E5655" w:rsidRPr="0043038D" w14:paraId="61223D96" w14:textId="77777777">
        <w:trPr>
          <w:jc w:val="center"/>
        </w:trPr>
        <w:tc>
          <w:tcPr>
            <w:tcW w:w="2047" w:type="dxa"/>
            <w:vMerge/>
            <w:vAlign w:val="center"/>
          </w:tcPr>
          <w:p w14:paraId="4AFCE461"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14:paraId="62D234C1"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2" w:type="dxa"/>
            <w:vAlign w:val="center"/>
          </w:tcPr>
          <w:p w14:paraId="353EAFF3"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14:paraId="40F0BCF7"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14:paraId="6E8E38B4"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14:paraId="366A76FF" w14:textId="77777777">
        <w:trPr>
          <w:jc w:val="center"/>
        </w:trPr>
        <w:tc>
          <w:tcPr>
            <w:tcW w:w="2047" w:type="dxa"/>
            <w:vMerge w:val="restart"/>
            <w:vAlign w:val="center"/>
          </w:tcPr>
          <w:p w14:paraId="79A1886B"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2" w:type="dxa"/>
            <w:vAlign w:val="center"/>
          </w:tcPr>
          <w:p w14:paraId="44FB646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14:paraId="7B47ED94"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14:paraId="11723404"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5" w:type="dxa"/>
          </w:tcPr>
          <w:p w14:paraId="65422AA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14:paraId="77994F47" w14:textId="77777777">
        <w:trPr>
          <w:jc w:val="center"/>
        </w:trPr>
        <w:tc>
          <w:tcPr>
            <w:tcW w:w="2047" w:type="dxa"/>
            <w:vMerge/>
            <w:vAlign w:val="center"/>
          </w:tcPr>
          <w:p w14:paraId="2D63EEED"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14:paraId="6DD1CF3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14:paraId="2507580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14:paraId="25C8154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14:paraId="07E50263"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14:paraId="49A6DA77" w14:textId="77777777">
        <w:trPr>
          <w:jc w:val="center"/>
        </w:trPr>
        <w:tc>
          <w:tcPr>
            <w:tcW w:w="2047" w:type="dxa"/>
            <w:vMerge w:val="restart"/>
            <w:vAlign w:val="center"/>
          </w:tcPr>
          <w:p w14:paraId="4F83434A"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2" w:type="dxa"/>
            <w:vAlign w:val="center"/>
          </w:tcPr>
          <w:p w14:paraId="79B94851"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14:paraId="541854D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14:paraId="447BC16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5" w:type="dxa"/>
            <w:vAlign w:val="center"/>
          </w:tcPr>
          <w:p w14:paraId="5AB76B93"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14:paraId="67E2E45C" w14:textId="77777777">
        <w:trPr>
          <w:jc w:val="center"/>
        </w:trPr>
        <w:tc>
          <w:tcPr>
            <w:tcW w:w="2047" w:type="dxa"/>
            <w:vMerge/>
            <w:vAlign w:val="center"/>
          </w:tcPr>
          <w:p w14:paraId="2117EEEF"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14:paraId="2E36094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14:paraId="6A0F13C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14:paraId="5F76A676"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14:paraId="65DCEFA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14:paraId="56367484" w14:textId="77777777">
        <w:trPr>
          <w:jc w:val="center"/>
        </w:trPr>
        <w:tc>
          <w:tcPr>
            <w:tcW w:w="2047" w:type="dxa"/>
            <w:vAlign w:val="center"/>
          </w:tcPr>
          <w:p w14:paraId="065F7F9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2" w:type="dxa"/>
            <w:vAlign w:val="center"/>
          </w:tcPr>
          <w:p w14:paraId="18AE28A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待估</w:t>
            </w:r>
          </w:p>
        </w:tc>
        <w:tc>
          <w:tcPr>
            <w:tcW w:w="1812" w:type="dxa"/>
            <w:vAlign w:val="center"/>
          </w:tcPr>
          <w:p w14:paraId="6C5A9157"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14:paraId="6986AE6A"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14:paraId="6EDE036E"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bl>
    <w:p w14:paraId="0220D8FA"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14:paraId="03759C47" w14:textId="77777777">
        <w:trPr>
          <w:cantSplit/>
          <w:jc w:val="center"/>
        </w:trPr>
        <w:tc>
          <w:tcPr>
            <w:tcW w:w="9300" w:type="dxa"/>
            <w:tcBorders>
              <w:top w:val="dotted" w:sz="2" w:space="0" w:color="404040"/>
              <w:left w:val="dotted" w:sz="2" w:space="0" w:color="404040"/>
              <w:bottom w:val="dotted" w:sz="2" w:space="0" w:color="404040"/>
              <w:right w:val="dotted" w:sz="2" w:space="0" w:color="404040"/>
            </w:tcBorders>
          </w:tcPr>
          <w:p w14:paraId="4130AD50" w14:textId="77777777"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14:paraId="57D44D30" w14:textId="77777777">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14:paraId="51F8FB7A" w14:textId="77777777" w:rsidR="000E5655" w:rsidRPr="0043038D" w:rsidRDefault="00837133">
            <w:pPr>
              <w:jc w:val="center"/>
              <w:rPr>
                <w:rFonts w:ascii="Calibri" w:hAnsi="Calibri"/>
              </w:rPr>
            </w:pPr>
            <w:r w:rsidRPr="0043038D">
              <w:rPr>
                <w:noProof/>
              </w:rPr>
              <w:drawing>
                <wp:inline distT="0" distB="0" distL="0" distR="0" wp14:anchorId="2BF576E0" wp14:editId="02DE2D45">
                  <wp:extent cx="5875655" cy="400621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75655" cy="4006215"/>
                          </a:xfrm>
                          <a:prstGeom prst="rect">
                            <a:avLst/>
                          </a:prstGeom>
                          <a:noFill/>
                          <a:ln>
                            <a:noFill/>
                          </a:ln>
                        </pic:spPr>
                      </pic:pic>
                    </a:graphicData>
                  </a:graphic>
                </wp:inline>
              </w:drawing>
            </w:r>
          </w:p>
        </w:tc>
      </w:tr>
    </w:tbl>
    <w:p w14:paraId="06A20A6D" w14:textId="77777777" w:rsidR="000E5655" w:rsidRPr="0043038D" w:rsidRDefault="000E5655"/>
    <w:p w14:paraId="11769EDD"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14:paraId="0EB93EA8"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14:paraId="73A5799C"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7"/>
        <w:gridCol w:w="1408"/>
        <w:gridCol w:w="1800"/>
        <w:gridCol w:w="1800"/>
        <w:gridCol w:w="1800"/>
        <w:gridCol w:w="1804"/>
      </w:tblGrid>
      <w:tr w:rsidR="000E5655" w:rsidRPr="0043038D" w14:paraId="5419E9B2"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14:paraId="2E3759E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14:paraId="1C817D2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14:paraId="2EAA8FB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968" w:type="pct"/>
            <w:tcBorders>
              <w:top w:val="single" w:sz="4" w:space="0" w:color="auto"/>
              <w:left w:val="nil"/>
              <w:bottom w:val="single" w:sz="4" w:space="0" w:color="auto"/>
              <w:right w:val="single" w:sz="4" w:space="0" w:color="auto"/>
            </w:tcBorders>
            <w:vAlign w:val="center"/>
          </w:tcPr>
          <w:p w14:paraId="60583DD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970" w:type="pct"/>
            <w:tcBorders>
              <w:top w:val="single" w:sz="4" w:space="0" w:color="auto"/>
              <w:left w:val="nil"/>
              <w:bottom w:val="single" w:sz="4" w:space="0" w:color="auto"/>
              <w:right w:val="single" w:sz="4" w:space="0" w:color="auto"/>
            </w:tcBorders>
            <w:vAlign w:val="center"/>
          </w:tcPr>
          <w:p w14:paraId="344848B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3</w:t>
            </w:r>
          </w:p>
        </w:tc>
      </w:tr>
      <w:tr w:rsidR="000E5655" w:rsidRPr="0043038D" w14:paraId="6F412622"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0127365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14:paraId="585D92C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14:paraId="18D4EC4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天恒金融街公园懿府</w:t>
            </w:r>
          </w:p>
        </w:tc>
        <w:tc>
          <w:tcPr>
            <w:tcW w:w="968" w:type="pct"/>
            <w:tcBorders>
              <w:top w:val="nil"/>
              <w:left w:val="nil"/>
              <w:bottom w:val="single" w:sz="4" w:space="0" w:color="auto"/>
              <w:right w:val="single" w:sz="4" w:space="0" w:color="auto"/>
            </w:tcBorders>
            <w:vAlign w:val="center"/>
          </w:tcPr>
          <w:p w14:paraId="3B7A55F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70" w:type="pct"/>
            <w:tcBorders>
              <w:top w:val="nil"/>
              <w:left w:val="nil"/>
              <w:bottom w:val="single" w:sz="4" w:space="0" w:color="auto"/>
              <w:right w:val="single" w:sz="4" w:space="0" w:color="auto"/>
            </w:tcBorders>
            <w:vAlign w:val="center"/>
          </w:tcPr>
          <w:p w14:paraId="5F4182B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lang w:bidi="ar"/>
              </w:rPr>
              <w:t>鸿坤理想城八期</w:t>
            </w:r>
          </w:p>
        </w:tc>
      </w:tr>
      <w:tr w:rsidR="000E5655" w:rsidRPr="0043038D" w14:paraId="518AF137"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3160DD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6C15375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待估</w:t>
            </w:r>
          </w:p>
        </w:tc>
        <w:tc>
          <w:tcPr>
            <w:tcW w:w="968" w:type="pct"/>
            <w:tcBorders>
              <w:top w:val="nil"/>
              <w:left w:val="nil"/>
              <w:bottom w:val="single" w:sz="4" w:space="0" w:color="auto"/>
              <w:right w:val="single" w:sz="4" w:space="0" w:color="auto"/>
            </w:tcBorders>
            <w:vAlign w:val="center"/>
          </w:tcPr>
          <w:p w14:paraId="04F9FDCC" w14:textId="77777777"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84.53</w:t>
            </w:r>
          </w:p>
        </w:tc>
        <w:tc>
          <w:tcPr>
            <w:tcW w:w="968" w:type="pct"/>
            <w:tcBorders>
              <w:top w:val="nil"/>
              <w:left w:val="nil"/>
              <w:bottom w:val="single" w:sz="4" w:space="0" w:color="auto"/>
              <w:right w:val="single" w:sz="4" w:space="0" w:color="auto"/>
            </w:tcBorders>
            <w:vAlign w:val="center"/>
          </w:tcPr>
          <w:p w14:paraId="058A3D46" w14:textId="77777777"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80.48</w:t>
            </w:r>
          </w:p>
        </w:tc>
        <w:tc>
          <w:tcPr>
            <w:tcW w:w="970" w:type="pct"/>
            <w:tcBorders>
              <w:top w:val="nil"/>
              <w:left w:val="nil"/>
              <w:bottom w:val="single" w:sz="4" w:space="0" w:color="auto"/>
              <w:right w:val="single" w:sz="4" w:space="0" w:color="auto"/>
            </w:tcBorders>
            <w:vAlign w:val="center"/>
          </w:tcPr>
          <w:p w14:paraId="235D68D1" w14:textId="77777777"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81.09</w:t>
            </w:r>
          </w:p>
        </w:tc>
      </w:tr>
      <w:tr w:rsidR="000E5655" w:rsidRPr="0043038D" w14:paraId="61136510"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5A54BC4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14:paraId="7FC7957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14:paraId="26BE778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73FC935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14:paraId="3BAC6E6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14:paraId="037313EA"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4019113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14:paraId="1CB7701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4453B96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5AFDAF1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14:paraId="5131ED8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14:paraId="2A163798"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70CFBBB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14:paraId="6C6249A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14:paraId="11B07F9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14:paraId="3B1B50F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14:paraId="21FE0BC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14:paraId="2F301DC5" w14:textId="77777777">
        <w:trPr>
          <w:trHeight w:val="397"/>
          <w:jc w:val="center"/>
        </w:trPr>
        <w:tc>
          <w:tcPr>
            <w:tcW w:w="365" w:type="pct"/>
            <w:vMerge w:val="restart"/>
            <w:tcBorders>
              <w:top w:val="nil"/>
              <w:left w:val="single" w:sz="4" w:space="0" w:color="auto"/>
              <w:bottom w:val="single" w:sz="4" w:space="0" w:color="000000"/>
              <w:right w:val="single" w:sz="4" w:space="0" w:color="auto"/>
            </w:tcBorders>
            <w:vAlign w:val="center"/>
          </w:tcPr>
          <w:p w14:paraId="315F907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14:paraId="3A35312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14:paraId="25AC0A9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公里内有福星花园、宏大中园、宏盛家园、鸿坤理想城、九龙家园、九龙山庄、瑞海家园、同兴园、熙红印、兴都苑、兴海家园、月桂庄园等，居住小区规模较大，入住率较好，综合评价居住区成熟度较好。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14:paraId="541F707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周边2公里内有阳光星苑、南苑村、绿林苑、同兴园、南庭新苑、飞腾家园、南苑汇睿、天悦壹号、诚苑中里、翠海明苑、合顺家园居住小区规模较大，入住率较好，综合评价居住区成熟度较好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14:paraId="552A59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公里内有天悦壹号、诚苑中里、翠海明苑、合顺家园、德馨嘉园、御槐园、正商明苑居住小区规模较大，入住率较好，综合评价居住区成熟度较好。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14:paraId="54C1F06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公里内有福星花园、宏大中园、宏盛家园、鸿坤理想城、九龙家园、九龙山庄、瑞海家园、同兴园、熙红印、兴都苑、兴海家园、月桂庄园等，居住小区规模较大，入住率较好，综合评价居住区成熟度较好。</w:t>
            </w:r>
          </w:p>
        </w:tc>
      </w:tr>
      <w:tr w:rsidR="000E5655" w:rsidRPr="0043038D" w14:paraId="512474CE"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63F2E88E"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78D06F3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14:paraId="6F46A24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14:paraId="03CDA61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周边500米内有主干道——槐房西路</w:t>
            </w:r>
          </w:p>
        </w:tc>
        <w:tc>
          <w:tcPr>
            <w:tcW w:w="968" w:type="pct"/>
            <w:tcBorders>
              <w:top w:val="nil"/>
              <w:left w:val="nil"/>
              <w:bottom w:val="single" w:sz="4" w:space="0" w:color="auto"/>
              <w:right w:val="single" w:sz="4" w:space="0" w:color="auto"/>
            </w:tcBorders>
            <w:vAlign w:val="center"/>
          </w:tcPr>
          <w:p w14:paraId="036A724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14:paraId="25AF4C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米内有主干道——欣荣北大街</w:t>
            </w:r>
          </w:p>
        </w:tc>
      </w:tr>
      <w:tr w:rsidR="000E5655" w:rsidRPr="0043038D" w14:paraId="72AEB18A"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7EA1D75A"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21CF93B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14:paraId="33622B8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14:paraId="582D547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1.2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14:paraId="5E0DC1A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14:paraId="50CA0F0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2.3</w:t>
            </w:r>
            <w:r w:rsidRPr="0043038D">
              <w:rPr>
                <w:rFonts w:ascii="Arial" w:hAnsi="Arial" w:cs="Arial" w:hint="eastAsia"/>
                <w:sz w:val="16"/>
                <w:szCs w:val="18"/>
              </w:rPr>
              <w:t>公里</w:t>
            </w:r>
          </w:p>
        </w:tc>
      </w:tr>
      <w:tr w:rsidR="000E5655" w:rsidRPr="0043038D" w14:paraId="77D19C65"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32DDF7F7"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087E89E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14:paraId="797C840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14:paraId="38E30EF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946</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路、专</w:t>
            </w:r>
            <w:r w:rsidRPr="0043038D">
              <w:rPr>
                <w:rFonts w:ascii="Arial" w:hAnsi="Arial" w:cs="Arial" w:hint="eastAsia"/>
                <w:sz w:val="16"/>
                <w:szCs w:val="18"/>
              </w:rPr>
              <w:t>67</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14:paraId="79C0DEC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14:paraId="772F977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米内有兴</w:t>
            </w:r>
            <w:r w:rsidRPr="0043038D">
              <w:rPr>
                <w:rFonts w:ascii="Arial" w:hAnsi="Arial" w:cs="Arial" w:hint="eastAsia"/>
                <w:sz w:val="16"/>
                <w:szCs w:val="18"/>
              </w:rPr>
              <w:t>71</w:t>
            </w:r>
            <w:r w:rsidRPr="0043038D">
              <w:rPr>
                <w:rFonts w:ascii="Arial" w:hAnsi="Arial" w:cs="Arial" w:hint="eastAsia"/>
                <w:sz w:val="16"/>
                <w:szCs w:val="18"/>
              </w:rPr>
              <w:t>路内环、兴</w:t>
            </w:r>
            <w:r w:rsidRPr="0043038D">
              <w:rPr>
                <w:rFonts w:ascii="Arial" w:hAnsi="Arial" w:cs="Arial" w:hint="eastAsia"/>
                <w:sz w:val="16"/>
                <w:szCs w:val="18"/>
              </w:rPr>
              <w:t>14</w:t>
            </w:r>
            <w:r w:rsidRPr="0043038D">
              <w:rPr>
                <w:rFonts w:ascii="Arial" w:hAnsi="Arial" w:cs="Arial" w:hint="eastAsia"/>
                <w:sz w:val="16"/>
                <w:szCs w:val="18"/>
              </w:rPr>
              <w:t>路、兴</w:t>
            </w:r>
            <w:r w:rsidRPr="0043038D">
              <w:rPr>
                <w:rFonts w:ascii="Arial" w:hAnsi="Arial" w:cs="Arial" w:hint="eastAsia"/>
                <w:sz w:val="16"/>
                <w:szCs w:val="18"/>
              </w:rPr>
              <w:t>66</w:t>
            </w:r>
            <w:r w:rsidRPr="0043038D">
              <w:rPr>
                <w:rFonts w:ascii="Arial" w:hAnsi="Arial" w:cs="Arial" w:hint="eastAsia"/>
                <w:sz w:val="16"/>
                <w:szCs w:val="18"/>
              </w:rPr>
              <w:t>路等公交线路途径并设立站点</w:t>
            </w:r>
          </w:p>
        </w:tc>
      </w:tr>
      <w:tr w:rsidR="000E5655" w:rsidRPr="0043038D" w14:paraId="471171DC"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3F69C082"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570B11C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14:paraId="5EB5848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74AA710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周边5km内无污染源</w:t>
            </w:r>
          </w:p>
        </w:tc>
        <w:tc>
          <w:tcPr>
            <w:tcW w:w="968" w:type="pct"/>
            <w:tcBorders>
              <w:top w:val="nil"/>
              <w:left w:val="nil"/>
              <w:bottom w:val="single" w:sz="4" w:space="0" w:color="auto"/>
              <w:right w:val="single" w:sz="4" w:space="0" w:color="auto"/>
            </w:tcBorders>
            <w:vAlign w:val="center"/>
          </w:tcPr>
          <w:p w14:paraId="49BF240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14:paraId="44D5545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r>
      <w:tr w:rsidR="000E5655" w:rsidRPr="0043038D" w14:paraId="3E50EA52"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0349E01D"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44276E2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自然及人文环境</w:t>
            </w:r>
          </w:p>
        </w:tc>
        <w:tc>
          <w:tcPr>
            <w:tcW w:w="968" w:type="pct"/>
            <w:tcBorders>
              <w:top w:val="nil"/>
              <w:left w:val="nil"/>
              <w:bottom w:val="single" w:sz="4" w:space="0" w:color="auto"/>
              <w:right w:val="single" w:sz="4" w:space="0" w:color="auto"/>
            </w:tcBorders>
            <w:vAlign w:val="center"/>
          </w:tcPr>
          <w:p w14:paraId="37BADD0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14:paraId="16BDA81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周边2公里周边有星光视界公园、北京国际露营公园、南苑湿地公园等自然景观，自然与人文环境较好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14:paraId="04E53DD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公里有海子公园、槐新公园、南苑湿地公园等自然景观，自然与人文环境较好。</w:t>
            </w:r>
          </w:p>
        </w:tc>
        <w:tc>
          <w:tcPr>
            <w:tcW w:w="970" w:type="pct"/>
            <w:tcBorders>
              <w:top w:val="nil"/>
              <w:left w:val="nil"/>
              <w:bottom w:val="single" w:sz="4" w:space="0" w:color="auto"/>
              <w:right w:val="single" w:sz="4" w:space="0" w:color="auto"/>
            </w:tcBorders>
            <w:vAlign w:val="center"/>
          </w:tcPr>
          <w:p w14:paraId="6982144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公里有兴海公园、兴华公园、海子公园等自然景观，自然与人文环境较好</w:t>
            </w:r>
            <w:r w:rsidRPr="0043038D">
              <w:rPr>
                <w:rFonts w:ascii="Arial" w:hAnsi="Arial" w:cs="Arial"/>
                <w:sz w:val="16"/>
                <w:szCs w:val="18"/>
              </w:rPr>
              <w:t>。</w:t>
            </w:r>
          </w:p>
        </w:tc>
      </w:tr>
      <w:tr w:rsidR="000E5655" w:rsidRPr="0043038D" w14:paraId="5EDD2724"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413A0F4D"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B69C9B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14:paraId="546BB1D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4293636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小区道路整洁、绿化率高、有景观设计、人车分</w:t>
            </w:r>
            <w:r w:rsidRPr="0043038D">
              <w:rPr>
                <w:rFonts w:ascii="Arial" w:hAnsi="Arial" w:cs="Arial" w:hint="eastAsia"/>
                <w:sz w:val="16"/>
                <w:szCs w:val="18"/>
              </w:rPr>
              <w:t>流</w:t>
            </w:r>
          </w:p>
        </w:tc>
        <w:tc>
          <w:tcPr>
            <w:tcW w:w="968" w:type="pct"/>
            <w:tcBorders>
              <w:top w:val="nil"/>
              <w:left w:val="nil"/>
              <w:bottom w:val="single" w:sz="4" w:space="0" w:color="auto"/>
              <w:right w:val="single" w:sz="4" w:space="0" w:color="auto"/>
            </w:tcBorders>
            <w:vAlign w:val="center"/>
          </w:tcPr>
          <w:p w14:paraId="2B58FA0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14:paraId="0F7D8ED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r>
      <w:tr w:rsidR="000E5655" w:rsidRPr="0043038D" w14:paraId="3DB07B71"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65337EE5"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039809D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14:paraId="7ABE06C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有鸿坤广场、北京荟聚、西红门新光界等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14:paraId="67169DF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范围内有京客隆（西红门店）等商业场所；有北京教育科学研究院丰台学校、北京商贸学校、北京新桥外国语高中学校、北京市丰台区南苑第一幼儿园等教育设施；有北京市丰台区南苑医院、北京市大兴区城镇同兴园社区卫生服务站等医疗卫生机构；有北京农商银行（西红门支行）、中国光大银行（北京新宫社区支行）等金融服务机构，公共配套设施状况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14:paraId="69B6E3D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p>
        </w:tc>
        <w:tc>
          <w:tcPr>
            <w:tcW w:w="970" w:type="pct"/>
            <w:tcBorders>
              <w:top w:val="nil"/>
              <w:left w:val="nil"/>
              <w:bottom w:val="single" w:sz="4" w:space="0" w:color="auto"/>
              <w:right w:val="single" w:sz="4" w:space="0" w:color="auto"/>
            </w:tcBorders>
            <w:vAlign w:val="center"/>
          </w:tcPr>
          <w:p w14:paraId="2850C55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鸿坤广场、北京荟聚、西红门新光界等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14:paraId="3230D8DA" w14:textId="77777777">
        <w:trPr>
          <w:trHeight w:val="397"/>
          <w:jc w:val="center"/>
        </w:trPr>
        <w:tc>
          <w:tcPr>
            <w:tcW w:w="365" w:type="pct"/>
            <w:vMerge/>
            <w:tcBorders>
              <w:top w:val="nil"/>
              <w:left w:val="single" w:sz="4" w:space="0" w:color="auto"/>
              <w:bottom w:val="single" w:sz="4" w:space="0" w:color="000000"/>
              <w:right w:val="single" w:sz="4" w:space="0" w:color="auto"/>
            </w:tcBorders>
            <w:vAlign w:val="center"/>
          </w:tcPr>
          <w:p w14:paraId="367C8527"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20D009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27DD398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14:paraId="6CF526F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68" w:type="pct"/>
            <w:tcBorders>
              <w:top w:val="nil"/>
              <w:left w:val="nil"/>
              <w:bottom w:val="single" w:sz="4" w:space="0" w:color="auto"/>
              <w:right w:val="single" w:sz="4" w:space="0" w:color="auto"/>
            </w:tcBorders>
            <w:vAlign w:val="center"/>
          </w:tcPr>
          <w:p w14:paraId="13E3D42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70" w:type="pct"/>
            <w:tcBorders>
              <w:top w:val="nil"/>
              <w:left w:val="nil"/>
              <w:bottom w:val="single" w:sz="4" w:space="0" w:color="auto"/>
              <w:right w:val="single" w:sz="4" w:space="0" w:color="auto"/>
            </w:tcBorders>
            <w:vAlign w:val="center"/>
          </w:tcPr>
          <w:p w14:paraId="264EA58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r>
      <w:tr w:rsidR="000E5655" w:rsidRPr="0043038D" w14:paraId="03F9702A" w14:textId="77777777">
        <w:trPr>
          <w:trHeight w:val="397"/>
          <w:jc w:val="center"/>
        </w:trPr>
        <w:tc>
          <w:tcPr>
            <w:tcW w:w="365" w:type="pct"/>
            <w:vMerge/>
            <w:tcBorders>
              <w:top w:val="nil"/>
              <w:left w:val="single" w:sz="4" w:space="0" w:color="auto"/>
              <w:bottom w:val="single" w:sz="4" w:space="0" w:color="auto"/>
              <w:right w:val="single" w:sz="4" w:space="0" w:color="auto"/>
            </w:tcBorders>
            <w:vAlign w:val="center"/>
          </w:tcPr>
          <w:p w14:paraId="16FBEE80"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59F96D0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14:paraId="50D89F2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p>
        </w:tc>
        <w:tc>
          <w:tcPr>
            <w:tcW w:w="968" w:type="pct"/>
            <w:tcBorders>
              <w:top w:val="nil"/>
              <w:left w:val="nil"/>
              <w:bottom w:val="single" w:sz="4" w:space="0" w:color="auto"/>
              <w:right w:val="single" w:sz="4" w:space="0" w:color="auto"/>
            </w:tcBorders>
            <w:vAlign w:val="center"/>
          </w:tcPr>
          <w:p w14:paraId="215E6D7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68" w:type="pct"/>
            <w:tcBorders>
              <w:top w:val="nil"/>
              <w:left w:val="nil"/>
              <w:bottom w:val="single" w:sz="4" w:space="0" w:color="auto"/>
              <w:right w:val="single" w:sz="4" w:space="0" w:color="auto"/>
            </w:tcBorders>
            <w:vAlign w:val="center"/>
          </w:tcPr>
          <w:p w14:paraId="3E994C7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70" w:type="pct"/>
            <w:tcBorders>
              <w:top w:val="nil"/>
              <w:left w:val="nil"/>
              <w:bottom w:val="single" w:sz="4" w:space="0" w:color="auto"/>
              <w:right w:val="single" w:sz="4" w:space="0" w:color="auto"/>
            </w:tcBorders>
            <w:vAlign w:val="center"/>
          </w:tcPr>
          <w:p w14:paraId="1A171E7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w:t>
            </w:r>
          </w:p>
        </w:tc>
      </w:tr>
      <w:tr w:rsidR="000E5655" w:rsidRPr="0043038D" w14:paraId="13A95AE0" w14:textId="77777777">
        <w:trPr>
          <w:trHeight w:val="397"/>
          <w:jc w:val="center"/>
        </w:trPr>
        <w:tc>
          <w:tcPr>
            <w:tcW w:w="365" w:type="pct"/>
            <w:vMerge w:val="restart"/>
            <w:tcBorders>
              <w:top w:val="single" w:sz="4" w:space="0" w:color="auto"/>
              <w:left w:val="single" w:sz="4" w:space="0" w:color="auto"/>
              <w:bottom w:val="single" w:sz="4" w:space="0" w:color="auto"/>
              <w:right w:val="single" w:sz="4" w:space="0" w:color="auto"/>
            </w:tcBorders>
            <w:vAlign w:val="center"/>
          </w:tcPr>
          <w:p w14:paraId="1350AB1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14:paraId="18BF5A4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14:paraId="7FF845D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14:paraId="729C2B5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80-90</w:t>
            </w:r>
            <w:r w:rsidRPr="0043038D">
              <w:rPr>
                <w:rFonts w:ascii="Arial" w:hAnsi="Arial" w:cs="Arial" w:hint="eastAsia"/>
                <w:sz w:val="16"/>
                <w:szCs w:val="18"/>
              </w:rPr>
              <w:t>%</w:t>
            </w:r>
          </w:p>
        </w:tc>
        <w:tc>
          <w:tcPr>
            <w:tcW w:w="968" w:type="pct"/>
            <w:tcBorders>
              <w:top w:val="single" w:sz="4" w:space="0" w:color="auto"/>
              <w:left w:val="nil"/>
              <w:bottom w:val="single" w:sz="4" w:space="0" w:color="auto"/>
              <w:right w:val="single" w:sz="4" w:space="0" w:color="auto"/>
            </w:tcBorders>
            <w:vAlign w:val="center"/>
          </w:tcPr>
          <w:p w14:paraId="6C37612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r w:rsidRPr="0043038D">
              <w:rPr>
                <w:rFonts w:ascii="Arial" w:hAnsi="Arial" w:cs="Arial" w:hint="eastAsia"/>
                <w:sz w:val="16"/>
                <w:szCs w:val="18"/>
              </w:rPr>
              <w:t>%</w:t>
            </w:r>
          </w:p>
        </w:tc>
        <w:tc>
          <w:tcPr>
            <w:tcW w:w="970" w:type="pct"/>
            <w:tcBorders>
              <w:top w:val="single" w:sz="4" w:space="0" w:color="auto"/>
              <w:left w:val="nil"/>
              <w:bottom w:val="single" w:sz="4" w:space="0" w:color="auto"/>
              <w:right w:val="single" w:sz="4" w:space="0" w:color="auto"/>
            </w:tcBorders>
            <w:vAlign w:val="center"/>
          </w:tcPr>
          <w:p w14:paraId="2397DA9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r w:rsidRPr="0043038D">
              <w:rPr>
                <w:rFonts w:ascii="Arial" w:hAnsi="Arial" w:cs="Arial" w:hint="eastAsia"/>
                <w:sz w:val="16"/>
                <w:szCs w:val="18"/>
              </w:rPr>
              <w:t>%</w:t>
            </w:r>
          </w:p>
        </w:tc>
      </w:tr>
      <w:tr w:rsidR="000E5655" w:rsidRPr="0043038D" w14:paraId="7F48A60D"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6310078F"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78FEDE0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14:paraId="64988DA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4B7F3B1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6B0A27F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7FABDCF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14:paraId="22D803C9"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21173517"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125C6A4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14:paraId="7E66051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2ADE921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37970F2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392D8870" w14:textId="62288726" w:rsidR="000E5655" w:rsidRPr="0043038D" w:rsidRDefault="00845EDC">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简单</w:t>
            </w:r>
            <w:r w:rsidR="00837133" w:rsidRPr="0043038D">
              <w:rPr>
                <w:rFonts w:ascii="Arial" w:hAnsi="Arial" w:cs="Arial" w:hint="eastAsia"/>
                <w:sz w:val="16"/>
                <w:szCs w:val="18"/>
              </w:rPr>
              <w:t>装修</w:t>
            </w:r>
          </w:p>
        </w:tc>
      </w:tr>
      <w:tr w:rsidR="000E5655" w:rsidRPr="0043038D" w14:paraId="5FE5E866"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5415FA5A"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6A3241B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14:paraId="250FB5F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66C580B3" w14:textId="47D59F30"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完善</w:t>
            </w:r>
          </w:p>
        </w:tc>
        <w:tc>
          <w:tcPr>
            <w:tcW w:w="968" w:type="pct"/>
            <w:tcBorders>
              <w:top w:val="single" w:sz="4" w:space="0" w:color="auto"/>
              <w:left w:val="nil"/>
              <w:bottom w:val="single" w:sz="4" w:space="0" w:color="auto"/>
              <w:right w:val="single" w:sz="4" w:space="0" w:color="auto"/>
            </w:tcBorders>
            <w:vAlign w:val="center"/>
          </w:tcPr>
          <w:p w14:paraId="41E7526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14:paraId="6251318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14:paraId="4DD43741"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12118186"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44A2BDC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14:paraId="325876A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06CCD75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14:paraId="7B6CC81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14:paraId="174504C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14:paraId="3A06E944"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61589BF7"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1F644D6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14:paraId="65F9B61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零</w:t>
            </w:r>
            <w:r w:rsidRPr="0043038D">
              <w:rPr>
                <w:rFonts w:ascii="Arial" w:hAnsi="Arial" w:cs="Arial"/>
                <w:sz w:val="16"/>
                <w:szCs w:val="18"/>
              </w:rPr>
              <w:t>居室</w:t>
            </w:r>
          </w:p>
        </w:tc>
        <w:tc>
          <w:tcPr>
            <w:tcW w:w="968" w:type="pct"/>
            <w:tcBorders>
              <w:top w:val="single" w:sz="4" w:space="0" w:color="auto"/>
              <w:left w:val="nil"/>
              <w:bottom w:val="single" w:sz="4" w:space="0" w:color="auto"/>
              <w:right w:val="single" w:sz="4" w:space="0" w:color="auto"/>
            </w:tcBorders>
            <w:vAlign w:val="center"/>
          </w:tcPr>
          <w:p w14:paraId="37CA819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一居室</w:t>
            </w:r>
          </w:p>
        </w:tc>
        <w:tc>
          <w:tcPr>
            <w:tcW w:w="968" w:type="pct"/>
            <w:tcBorders>
              <w:top w:val="single" w:sz="4" w:space="0" w:color="auto"/>
              <w:left w:val="nil"/>
              <w:bottom w:val="single" w:sz="4" w:space="0" w:color="auto"/>
              <w:right w:val="single" w:sz="4" w:space="0" w:color="auto"/>
            </w:tcBorders>
            <w:vAlign w:val="center"/>
          </w:tcPr>
          <w:p w14:paraId="6EDB634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一居室</w:t>
            </w:r>
          </w:p>
        </w:tc>
        <w:tc>
          <w:tcPr>
            <w:tcW w:w="970" w:type="pct"/>
            <w:tcBorders>
              <w:top w:val="single" w:sz="4" w:space="0" w:color="auto"/>
              <w:left w:val="nil"/>
              <w:bottom w:val="single" w:sz="4" w:space="0" w:color="auto"/>
              <w:right w:val="single" w:sz="4" w:space="0" w:color="auto"/>
            </w:tcBorders>
            <w:vAlign w:val="center"/>
          </w:tcPr>
          <w:p w14:paraId="717BEB8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一居室</w:t>
            </w:r>
          </w:p>
        </w:tc>
      </w:tr>
      <w:tr w:rsidR="000E5655" w:rsidRPr="0043038D" w14:paraId="74A95D23"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362FA61A"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5D04097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14:paraId="7EEBE1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3A41C7C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08998BD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14:paraId="05965E3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14:paraId="407E677D"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2066FCE8"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2A01070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14:paraId="0478757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41.45</w:t>
            </w:r>
          </w:p>
        </w:tc>
        <w:tc>
          <w:tcPr>
            <w:tcW w:w="968" w:type="pct"/>
            <w:tcBorders>
              <w:top w:val="single" w:sz="4" w:space="0" w:color="auto"/>
              <w:left w:val="nil"/>
              <w:bottom w:val="single" w:sz="4" w:space="0" w:color="auto"/>
              <w:right w:val="single" w:sz="4" w:space="0" w:color="auto"/>
            </w:tcBorders>
            <w:vAlign w:val="center"/>
          </w:tcPr>
          <w:p w14:paraId="1C3EED6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53.78</w:t>
            </w:r>
          </w:p>
        </w:tc>
        <w:tc>
          <w:tcPr>
            <w:tcW w:w="968" w:type="pct"/>
            <w:tcBorders>
              <w:top w:val="single" w:sz="4" w:space="0" w:color="auto"/>
              <w:left w:val="nil"/>
              <w:bottom w:val="single" w:sz="4" w:space="0" w:color="auto"/>
              <w:right w:val="single" w:sz="4" w:space="0" w:color="auto"/>
            </w:tcBorders>
            <w:vAlign w:val="center"/>
          </w:tcPr>
          <w:p w14:paraId="3525A75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50.75</w:t>
            </w:r>
          </w:p>
        </w:tc>
        <w:tc>
          <w:tcPr>
            <w:tcW w:w="970" w:type="pct"/>
            <w:tcBorders>
              <w:top w:val="single" w:sz="4" w:space="0" w:color="auto"/>
              <w:left w:val="nil"/>
              <w:bottom w:val="single" w:sz="4" w:space="0" w:color="auto"/>
              <w:right w:val="single" w:sz="4" w:space="0" w:color="auto"/>
            </w:tcBorders>
            <w:vAlign w:val="center"/>
          </w:tcPr>
          <w:p w14:paraId="0090725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48</w:t>
            </w:r>
          </w:p>
        </w:tc>
      </w:tr>
      <w:tr w:rsidR="000E5655" w:rsidRPr="0043038D" w14:paraId="5279A570"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4C550CFD"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75E01E6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14:paraId="31FB1C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098AC89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2C3E36B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14:paraId="69C555C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14:paraId="38733886" w14:textId="77777777">
        <w:trPr>
          <w:trHeight w:val="397"/>
          <w:jc w:val="center"/>
        </w:trPr>
        <w:tc>
          <w:tcPr>
            <w:tcW w:w="365" w:type="pct"/>
            <w:vMerge w:val="restart"/>
            <w:tcBorders>
              <w:left w:val="single" w:sz="4" w:space="0" w:color="auto"/>
              <w:bottom w:val="single" w:sz="4" w:space="0" w:color="auto"/>
              <w:right w:val="single" w:sz="4" w:space="0" w:color="auto"/>
            </w:tcBorders>
            <w:vAlign w:val="center"/>
          </w:tcPr>
          <w:p w14:paraId="1FCC9F3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14:paraId="0804DF8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14:paraId="3E0093D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373374D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4C174E7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352A726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14:paraId="1C72CFDB" w14:textId="77777777">
        <w:trPr>
          <w:trHeight w:val="397"/>
          <w:jc w:val="center"/>
        </w:trPr>
        <w:tc>
          <w:tcPr>
            <w:tcW w:w="365" w:type="pct"/>
            <w:vMerge/>
            <w:tcBorders>
              <w:left w:val="single" w:sz="4" w:space="0" w:color="auto"/>
              <w:bottom w:val="single" w:sz="4" w:space="0" w:color="auto"/>
              <w:right w:val="single" w:sz="4" w:space="0" w:color="auto"/>
            </w:tcBorders>
            <w:vAlign w:val="center"/>
          </w:tcPr>
          <w:p w14:paraId="374C507C"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05B87CC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水电气费执行标准</w:t>
            </w:r>
          </w:p>
        </w:tc>
        <w:tc>
          <w:tcPr>
            <w:tcW w:w="968" w:type="pct"/>
            <w:tcBorders>
              <w:top w:val="single" w:sz="4" w:space="0" w:color="auto"/>
              <w:left w:val="nil"/>
              <w:bottom w:val="single" w:sz="4" w:space="0" w:color="auto"/>
              <w:right w:val="single" w:sz="4" w:space="0" w:color="auto"/>
            </w:tcBorders>
            <w:vAlign w:val="center"/>
          </w:tcPr>
          <w:p w14:paraId="11981FC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68" w:type="pct"/>
            <w:tcBorders>
              <w:top w:val="single" w:sz="4" w:space="0" w:color="auto"/>
              <w:left w:val="nil"/>
              <w:bottom w:val="single" w:sz="4" w:space="0" w:color="auto"/>
              <w:right w:val="single" w:sz="4" w:space="0" w:color="auto"/>
            </w:tcBorders>
            <w:vAlign w:val="center"/>
          </w:tcPr>
          <w:p w14:paraId="14072F2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68" w:type="pct"/>
            <w:tcBorders>
              <w:top w:val="single" w:sz="4" w:space="0" w:color="auto"/>
              <w:left w:val="nil"/>
              <w:bottom w:val="single" w:sz="4" w:space="0" w:color="auto"/>
              <w:right w:val="single" w:sz="4" w:space="0" w:color="auto"/>
            </w:tcBorders>
            <w:vAlign w:val="center"/>
          </w:tcPr>
          <w:p w14:paraId="72A9485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70" w:type="pct"/>
            <w:tcBorders>
              <w:top w:val="single" w:sz="4" w:space="0" w:color="auto"/>
              <w:left w:val="nil"/>
              <w:bottom w:val="single" w:sz="4" w:space="0" w:color="auto"/>
              <w:right w:val="single" w:sz="4" w:space="0" w:color="auto"/>
            </w:tcBorders>
            <w:vAlign w:val="center"/>
          </w:tcPr>
          <w:p w14:paraId="6349ACB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r>
    </w:tbl>
    <w:p w14:paraId="7B9CB7F5" w14:textId="77777777" w:rsidR="000E5655" w:rsidRPr="0043038D" w:rsidRDefault="000E5655">
      <w:pPr>
        <w:overflowPunct w:val="0"/>
        <w:spacing w:line="480" w:lineRule="auto"/>
        <w:ind w:firstLineChars="200" w:firstLine="420"/>
        <w:jc w:val="center"/>
        <w:rPr>
          <w:rFonts w:ascii="Arial" w:hAnsi="Arial"/>
          <w:sz w:val="21"/>
          <w:szCs w:val="21"/>
        </w:rPr>
      </w:pPr>
    </w:p>
    <w:p w14:paraId="464A2312" w14:textId="77777777" w:rsidR="000E5655" w:rsidRPr="0043038D" w:rsidRDefault="000E5655">
      <w:pPr>
        <w:overflowPunct w:val="0"/>
        <w:spacing w:line="480" w:lineRule="auto"/>
        <w:ind w:firstLineChars="200" w:firstLine="420"/>
        <w:jc w:val="center"/>
        <w:rPr>
          <w:rFonts w:ascii="Arial" w:hAnsi="Arial"/>
          <w:sz w:val="21"/>
          <w:szCs w:val="21"/>
        </w:rPr>
      </w:pPr>
    </w:p>
    <w:p w14:paraId="25304720" w14:textId="77777777" w:rsidR="000E5655" w:rsidRPr="0043038D" w:rsidRDefault="000E5655">
      <w:pPr>
        <w:overflowPunct w:val="0"/>
        <w:spacing w:line="480" w:lineRule="auto"/>
        <w:ind w:firstLineChars="200" w:firstLine="420"/>
        <w:jc w:val="center"/>
        <w:rPr>
          <w:rFonts w:ascii="Arial" w:hAnsi="Arial"/>
          <w:sz w:val="21"/>
          <w:szCs w:val="21"/>
        </w:rPr>
      </w:pPr>
    </w:p>
    <w:p w14:paraId="48256B72" w14:textId="77777777" w:rsidR="000E5655" w:rsidRPr="0043038D" w:rsidRDefault="000E5655">
      <w:pPr>
        <w:overflowPunct w:val="0"/>
        <w:spacing w:line="480" w:lineRule="auto"/>
        <w:ind w:firstLineChars="200" w:firstLine="420"/>
        <w:jc w:val="center"/>
        <w:rPr>
          <w:rFonts w:ascii="Arial" w:hAnsi="Arial"/>
          <w:sz w:val="21"/>
          <w:szCs w:val="21"/>
        </w:rPr>
      </w:pPr>
    </w:p>
    <w:p w14:paraId="5E97BF91" w14:textId="77777777" w:rsidR="000E5655" w:rsidRPr="0043038D" w:rsidRDefault="000E5655">
      <w:pPr>
        <w:overflowPunct w:val="0"/>
        <w:spacing w:line="480" w:lineRule="auto"/>
        <w:ind w:firstLineChars="200" w:firstLine="420"/>
        <w:jc w:val="center"/>
        <w:rPr>
          <w:rFonts w:ascii="Arial" w:hAnsi="Arial"/>
          <w:sz w:val="21"/>
          <w:szCs w:val="21"/>
        </w:rPr>
      </w:pPr>
    </w:p>
    <w:p w14:paraId="7E9CFEA1" w14:textId="77777777" w:rsidR="000E5655" w:rsidRPr="0043038D" w:rsidRDefault="000E5655">
      <w:pPr>
        <w:overflowPunct w:val="0"/>
        <w:spacing w:line="480" w:lineRule="auto"/>
        <w:ind w:firstLineChars="200" w:firstLine="420"/>
        <w:jc w:val="center"/>
        <w:rPr>
          <w:rFonts w:ascii="Arial" w:hAnsi="Arial"/>
          <w:sz w:val="21"/>
          <w:szCs w:val="21"/>
        </w:rPr>
      </w:pPr>
    </w:p>
    <w:p w14:paraId="67E16856" w14:textId="77777777" w:rsidR="000E5655" w:rsidRPr="0043038D" w:rsidRDefault="000E5655">
      <w:pPr>
        <w:overflowPunct w:val="0"/>
        <w:spacing w:line="480" w:lineRule="auto"/>
        <w:ind w:firstLineChars="200" w:firstLine="420"/>
        <w:jc w:val="center"/>
        <w:rPr>
          <w:rFonts w:ascii="Arial" w:hAnsi="Arial"/>
          <w:sz w:val="21"/>
          <w:szCs w:val="21"/>
        </w:rPr>
      </w:pPr>
    </w:p>
    <w:p w14:paraId="4D6CA334" w14:textId="77777777" w:rsidR="000E5655" w:rsidRPr="0043038D" w:rsidRDefault="000E5655">
      <w:pPr>
        <w:overflowPunct w:val="0"/>
        <w:spacing w:line="480" w:lineRule="auto"/>
        <w:ind w:firstLineChars="200" w:firstLine="420"/>
        <w:jc w:val="center"/>
        <w:rPr>
          <w:rFonts w:ascii="Arial" w:hAnsi="Arial"/>
          <w:sz w:val="21"/>
          <w:szCs w:val="21"/>
        </w:rPr>
      </w:pPr>
    </w:p>
    <w:p w14:paraId="5BBDD44F" w14:textId="77777777" w:rsidR="000E5655" w:rsidRPr="0043038D" w:rsidRDefault="000E5655">
      <w:pPr>
        <w:overflowPunct w:val="0"/>
        <w:spacing w:line="480" w:lineRule="auto"/>
        <w:ind w:firstLineChars="200" w:firstLine="420"/>
        <w:jc w:val="center"/>
        <w:rPr>
          <w:rFonts w:ascii="Arial" w:hAnsi="Arial"/>
          <w:sz w:val="21"/>
          <w:szCs w:val="21"/>
        </w:rPr>
      </w:pPr>
    </w:p>
    <w:p w14:paraId="1C86D369" w14:textId="77777777" w:rsidR="000E5655" w:rsidRPr="0043038D" w:rsidRDefault="000E5655">
      <w:pPr>
        <w:wordWrap w:val="0"/>
        <w:overflowPunct w:val="0"/>
        <w:spacing w:line="480" w:lineRule="auto"/>
        <w:rPr>
          <w:rFonts w:ascii="Arial" w:hAnsi="Arial"/>
          <w:sz w:val="21"/>
          <w:szCs w:val="21"/>
        </w:rPr>
      </w:pPr>
    </w:p>
    <w:p w14:paraId="7B692E85"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14:paraId="0D2A9A2F"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43038D">
        <w:rPr>
          <w:rFonts w:ascii="Arial" w:hAnsi="Arial" w:hint="eastAsia"/>
          <w:sz w:val="21"/>
          <w:szCs w:val="21"/>
        </w:rPr>
        <w:t>：</w:t>
      </w:r>
    </w:p>
    <w:p w14:paraId="3669A5E9"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橡树湾</w:t>
      </w:r>
      <w:r w:rsidRPr="0043038D">
        <w:rPr>
          <w:rFonts w:ascii="Arial" w:hAnsi="Arial"/>
          <w:sz w:val="21"/>
          <w:szCs w:val="21"/>
        </w:rPr>
        <w:t>比较因素条件指数表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68"/>
        <w:gridCol w:w="983"/>
        <w:gridCol w:w="976"/>
        <w:gridCol w:w="976"/>
        <w:gridCol w:w="976"/>
        <w:gridCol w:w="976"/>
        <w:gridCol w:w="3719"/>
      </w:tblGrid>
      <w:tr w:rsidR="000E5655" w:rsidRPr="0043038D" w14:paraId="0D973B0D" w14:textId="77777777">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0E0EB543" w14:textId="77777777"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14:paraId="654C881B" w14:textId="77777777"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14:paraId="440E5990" w14:textId="77777777" w:rsidR="000E5655" w:rsidRPr="0043038D" w:rsidRDefault="000E5655">
            <w:pPr>
              <w:snapToGrid w:val="0"/>
              <w:spacing w:line="240" w:lineRule="exact"/>
              <w:jc w:val="both"/>
              <w:rPr>
                <w:rFonts w:ascii="宋体" w:hAnsi="宋体" w:cs="Arial"/>
                <w:sz w:val="16"/>
                <w:szCs w:val="18"/>
              </w:rPr>
            </w:pPr>
          </w:p>
          <w:p w14:paraId="758EB669" w14:textId="77777777" w:rsidR="000E5655" w:rsidRPr="0043038D" w:rsidRDefault="000E5655">
            <w:pPr>
              <w:snapToGrid w:val="0"/>
              <w:spacing w:line="240" w:lineRule="exact"/>
              <w:jc w:val="both"/>
              <w:rPr>
                <w:rFonts w:ascii="宋体" w:hAnsi="宋体" w:cs="Arial"/>
                <w:sz w:val="16"/>
                <w:szCs w:val="18"/>
              </w:rPr>
            </w:pPr>
          </w:p>
          <w:p w14:paraId="7EF8D6D2"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14:paraId="2B564015"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14:paraId="26E540F8"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可比实例1</w:t>
            </w:r>
          </w:p>
        </w:tc>
        <w:tc>
          <w:tcPr>
            <w:tcW w:w="532" w:type="pct"/>
            <w:tcBorders>
              <w:top w:val="single" w:sz="4" w:space="0" w:color="auto"/>
              <w:left w:val="nil"/>
              <w:bottom w:val="single" w:sz="4" w:space="0" w:color="auto"/>
              <w:right w:val="single" w:sz="4" w:space="0" w:color="auto"/>
            </w:tcBorders>
            <w:vAlign w:val="center"/>
          </w:tcPr>
          <w:p w14:paraId="43FA2DAE"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可比实例2</w:t>
            </w:r>
          </w:p>
        </w:tc>
        <w:tc>
          <w:tcPr>
            <w:tcW w:w="532" w:type="pct"/>
            <w:tcBorders>
              <w:top w:val="single" w:sz="4" w:space="0" w:color="auto"/>
              <w:left w:val="nil"/>
              <w:bottom w:val="single" w:sz="4" w:space="0" w:color="auto"/>
              <w:right w:val="single" w:sz="4" w:space="0" w:color="auto"/>
            </w:tcBorders>
            <w:vAlign w:val="center"/>
          </w:tcPr>
          <w:p w14:paraId="6FB73FE7"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可比实例3</w:t>
            </w:r>
          </w:p>
        </w:tc>
        <w:tc>
          <w:tcPr>
            <w:tcW w:w="2027" w:type="pct"/>
            <w:tcBorders>
              <w:top w:val="single" w:sz="4" w:space="0" w:color="auto"/>
              <w:left w:val="nil"/>
              <w:bottom w:val="single" w:sz="4" w:space="0" w:color="auto"/>
              <w:right w:val="single" w:sz="4" w:space="0" w:color="auto"/>
            </w:tcBorders>
            <w:vAlign w:val="center"/>
          </w:tcPr>
          <w:p w14:paraId="641B7CFF"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14:paraId="0B07E99D" w14:textId="7777777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7DC11139" w14:textId="77777777"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14:paraId="72BEBE0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14:paraId="1A8DECC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天恒金融街公园懿府</w:t>
            </w:r>
          </w:p>
        </w:tc>
        <w:tc>
          <w:tcPr>
            <w:tcW w:w="532" w:type="pct"/>
            <w:tcBorders>
              <w:top w:val="nil"/>
              <w:left w:val="nil"/>
              <w:bottom w:val="single" w:sz="4" w:space="0" w:color="auto"/>
              <w:right w:val="single" w:sz="4" w:space="0" w:color="auto"/>
            </w:tcBorders>
            <w:vAlign w:val="center"/>
          </w:tcPr>
          <w:p w14:paraId="51C1C2C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14:paraId="115AD58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lang w:bidi="ar"/>
              </w:rPr>
              <w:t>鸿坤理想城八期</w:t>
            </w:r>
          </w:p>
        </w:tc>
        <w:tc>
          <w:tcPr>
            <w:tcW w:w="2027" w:type="pct"/>
            <w:tcBorders>
              <w:top w:val="nil"/>
              <w:left w:val="nil"/>
              <w:bottom w:val="single" w:sz="4" w:space="0" w:color="auto"/>
              <w:right w:val="single" w:sz="4" w:space="0" w:color="auto"/>
            </w:tcBorders>
            <w:vAlign w:val="center"/>
          </w:tcPr>
          <w:p w14:paraId="64BEE945"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14:paraId="65B1F836"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4999F4F1"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14:paraId="32569147" w14:textId="77777777" w:rsidR="000E5655" w:rsidRPr="0043038D" w:rsidRDefault="00837133">
            <w:pPr>
              <w:pStyle w:val="110"/>
              <w:autoSpaceDE w:val="0"/>
              <w:autoSpaceDN w:val="0"/>
              <w:snapToGrid w:val="0"/>
              <w:spacing w:line="240" w:lineRule="exact"/>
              <w:jc w:val="both"/>
              <w:textAlignment w:val="bottom"/>
              <w:rPr>
                <w:rFonts w:hAnsi="宋体" w:cs="Arial"/>
                <w:sz w:val="16"/>
                <w:szCs w:val="18"/>
              </w:rPr>
            </w:pPr>
            <w:r w:rsidRPr="0043038D">
              <w:rPr>
                <w:rFonts w:hAnsi="宋体" w:cs="Arial"/>
                <w:sz w:val="16"/>
                <w:szCs w:val="18"/>
              </w:rPr>
              <w:t>待估</w:t>
            </w:r>
          </w:p>
        </w:tc>
        <w:tc>
          <w:tcPr>
            <w:tcW w:w="532" w:type="pct"/>
            <w:tcBorders>
              <w:top w:val="nil"/>
              <w:left w:val="nil"/>
              <w:bottom w:val="single" w:sz="4" w:space="0" w:color="auto"/>
              <w:right w:val="single" w:sz="4" w:space="0" w:color="auto"/>
            </w:tcBorders>
            <w:noWrap/>
            <w:vAlign w:val="center"/>
          </w:tcPr>
          <w:p w14:paraId="3E100E76" w14:textId="77777777"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84.53</w:t>
            </w:r>
          </w:p>
        </w:tc>
        <w:tc>
          <w:tcPr>
            <w:tcW w:w="532" w:type="pct"/>
            <w:tcBorders>
              <w:top w:val="nil"/>
              <w:left w:val="nil"/>
              <w:bottom w:val="single" w:sz="4" w:space="0" w:color="auto"/>
              <w:right w:val="single" w:sz="4" w:space="0" w:color="auto"/>
            </w:tcBorders>
            <w:noWrap/>
            <w:vAlign w:val="center"/>
          </w:tcPr>
          <w:p w14:paraId="09078B27" w14:textId="77777777"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80.48</w:t>
            </w:r>
          </w:p>
        </w:tc>
        <w:tc>
          <w:tcPr>
            <w:tcW w:w="532" w:type="pct"/>
            <w:tcBorders>
              <w:top w:val="nil"/>
              <w:left w:val="nil"/>
              <w:bottom w:val="single" w:sz="4" w:space="0" w:color="auto"/>
              <w:right w:val="single" w:sz="4" w:space="0" w:color="auto"/>
            </w:tcBorders>
            <w:noWrap/>
            <w:vAlign w:val="center"/>
          </w:tcPr>
          <w:p w14:paraId="0172192F" w14:textId="77777777"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81.09</w:t>
            </w:r>
          </w:p>
        </w:tc>
        <w:tc>
          <w:tcPr>
            <w:tcW w:w="2027" w:type="pct"/>
            <w:tcBorders>
              <w:top w:val="nil"/>
              <w:left w:val="nil"/>
              <w:bottom w:val="single" w:sz="4" w:space="0" w:color="auto"/>
              <w:right w:val="single" w:sz="4" w:space="0" w:color="auto"/>
            </w:tcBorders>
            <w:vAlign w:val="center"/>
          </w:tcPr>
          <w:p w14:paraId="113CD487"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14:paraId="1C4589BC"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78C2BA8"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14:paraId="5773D41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19CBDE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52DA28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2BFFE1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1A82856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14:paraId="3BC0787A"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2C1A154"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14:paraId="4956D78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398135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C2BBA2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490CB5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1D6E29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14:paraId="14AFC43F"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1DAB92F"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14:paraId="1EFF2A4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E049B7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1CDD3C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041D95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93D032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14:paraId="57A513AF"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60851C5"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14:paraId="7835C4D6"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14:paraId="41CD3084"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14:paraId="77CB0BA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38AB50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B4F793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2EA7BE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28A1862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5AB5A7C8"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2F10846"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23D74E42"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14:paraId="15E1F1F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80BC50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69372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1984B0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3A83508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439BD75D"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F281D8"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436BFB4F"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14:paraId="2094D64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8EC12D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532" w:type="pct"/>
            <w:tcBorders>
              <w:top w:val="nil"/>
              <w:left w:val="nil"/>
              <w:bottom w:val="single" w:sz="4" w:space="0" w:color="auto"/>
              <w:right w:val="single" w:sz="4" w:space="0" w:color="auto"/>
            </w:tcBorders>
            <w:noWrap/>
            <w:vAlign w:val="center"/>
          </w:tcPr>
          <w:p w14:paraId="639BA7C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14:paraId="6580902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1027029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102</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69739AB1"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CA1E992"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A8A5742"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14:paraId="28427B4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980602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6CF6BB8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5085C6D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14:paraId="372A365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14:paraId="4D60A2DA"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3027882"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60D5BE8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14:paraId="02FB672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01B15E2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0C74970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FD2576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7370E72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14:paraId="2756E3D6"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545D64"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28F70CA"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14:paraId="43E6B65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4EE3A5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24001E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C96CC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302C1CB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7623C9B4"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B6F6188"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AFD819D"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14:paraId="3A622A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3012DA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3F41F62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08DFC4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21336A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07F37846"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5FDEAF6"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92BC0DA"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14:paraId="6E922AB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87E495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FD036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1C3858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14E7494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6A236AE5"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59C77C"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6946A068"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14:paraId="5584B71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F71744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14:paraId="1E86B01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301E5C9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17D1E3F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36E9E6E8"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BC8D02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1E700ED"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14:paraId="661B4EF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0B0ABB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w:t>
            </w:r>
            <w:r w:rsidRPr="0043038D">
              <w:rPr>
                <w:rFonts w:ascii="Arial" w:hAnsi="Arial" w:cs="Arial"/>
                <w:sz w:val="16"/>
                <w:szCs w:val="18"/>
              </w:rPr>
              <w:t>.5</w:t>
            </w:r>
          </w:p>
        </w:tc>
        <w:tc>
          <w:tcPr>
            <w:tcW w:w="532" w:type="pct"/>
            <w:tcBorders>
              <w:top w:val="nil"/>
              <w:left w:val="nil"/>
              <w:bottom w:val="single" w:sz="4" w:space="0" w:color="auto"/>
              <w:right w:val="single" w:sz="4" w:space="0" w:color="auto"/>
            </w:tcBorders>
            <w:noWrap/>
            <w:vAlign w:val="center"/>
          </w:tcPr>
          <w:p w14:paraId="54B8C42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99.5</w:t>
            </w:r>
          </w:p>
        </w:tc>
        <w:tc>
          <w:tcPr>
            <w:tcW w:w="532" w:type="pct"/>
            <w:tcBorders>
              <w:top w:val="nil"/>
              <w:left w:val="nil"/>
              <w:bottom w:val="single" w:sz="4" w:space="0" w:color="auto"/>
              <w:right w:val="single" w:sz="4" w:space="0" w:color="auto"/>
            </w:tcBorders>
            <w:noWrap/>
            <w:vAlign w:val="center"/>
          </w:tcPr>
          <w:p w14:paraId="4F4AE8B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2027" w:type="pct"/>
            <w:tcBorders>
              <w:top w:val="nil"/>
              <w:left w:val="nil"/>
              <w:bottom w:val="single" w:sz="4" w:space="0" w:color="auto"/>
              <w:right w:val="single" w:sz="4" w:space="0" w:color="auto"/>
            </w:tcBorders>
            <w:vAlign w:val="center"/>
          </w:tcPr>
          <w:p w14:paraId="07CF4DD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从优到劣依次为：为南北向；南向；东、南；西、南；东、西；东；西；东、北；西、北；北。每档相差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sz w:val="16"/>
                <w:szCs w:val="18"/>
              </w:rPr>
              <w:t>.5</w:t>
            </w:r>
            <w:r w:rsidRPr="0043038D">
              <w:rPr>
                <w:rFonts w:ascii="Arial" w:hAnsi="Arial" w:cs="Arial" w:hint="eastAsia"/>
                <w:sz w:val="16"/>
                <w:szCs w:val="18"/>
              </w:rPr>
              <w:t>、</w:t>
            </w:r>
            <w:r w:rsidRPr="0043038D">
              <w:rPr>
                <w:rFonts w:ascii="Arial" w:hAnsi="Arial" w:cs="Arial"/>
                <w:sz w:val="16"/>
                <w:szCs w:val="18"/>
              </w:rPr>
              <w:t>99.5</w:t>
            </w:r>
            <w:r w:rsidRPr="0043038D">
              <w:rPr>
                <w:rFonts w:ascii="Arial" w:hAnsi="Arial" w:cs="Arial" w:hint="eastAsia"/>
                <w:sz w:val="16"/>
                <w:szCs w:val="18"/>
              </w:rPr>
              <w:t>、</w:t>
            </w:r>
            <w:r w:rsidRPr="0043038D">
              <w:rPr>
                <w:rFonts w:ascii="Arial" w:hAnsi="Arial" w:cs="Arial"/>
                <w:sz w:val="16"/>
                <w:szCs w:val="18"/>
              </w:rPr>
              <w:t>102</w:t>
            </w:r>
            <w:r w:rsidRPr="0043038D">
              <w:rPr>
                <w:rFonts w:ascii="Arial" w:hAnsi="Arial" w:cs="Arial"/>
                <w:sz w:val="16"/>
                <w:szCs w:val="18"/>
              </w:rPr>
              <w:t>；</w:t>
            </w:r>
          </w:p>
        </w:tc>
      </w:tr>
      <w:tr w:rsidR="000E5655" w:rsidRPr="0043038D" w14:paraId="50641A39"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464C15CB"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14:paraId="6FECD978"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14:paraId="6C5FD0CB"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14:paraId="32D9F3D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E6CF8F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6</w:t>
            </w:r>
          </w:p>
        </w:tc>
        <w:tc>
          <w:tcPr>
            <w:tcW w:w="532" w:type="pct"/>
            <w:tcBorders>
              <w:top w:val="nil"/>
              <w:left w:val="nil"/>
              <w:bottom w:val="single" w:sz="4" w:space="0" w:color="auto"/>
              <w:right w:val="single" w:sz="4" w:space="0" w:color="auto"/>
            </w:tcBorders>
            <w:noWrap/>
            <w:vAlign w:val="center"/>
          </w:tcPr>
          <w:p w14:paraId="6598F95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38A2937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000F92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98</w:t>
            </w:r>
            <w:r w:rsidRPr="0043038D">
              <w:rPr>
                <w:rFonts w:ascii="Arial" w:hAnsi="Arial" w:cs="Arial" w:hint="eastAsia"/>
                <w:sz w:val="16"/>
                <w:szCs w:val="18"/>
              </w:rPr>
              <w:t>、</w:t>
            </w:r>
            <w:r w:rsidRPr="0043038D">
              <w:rPr>
                <w:rFonts w:ascii="Arial" w:hAnsi="Arial" w:cs="Arial" w:hint="eastAsia"/>
                <w:sz w:val="16"/>
                <w:szCs w:val="18"/>
              </w:rPr>
              <w:t>9</w:t>
            </w:r>
            <w:r w:rsidRPr="0043038D">
              <w:rPr>
                <w:rFonts w:ascii="Arial" w:hAnsi="Arial" w:cs="Arial"/>
                <w:sz w:val="16"/>
                <w:szCs w:val="18"/>
              </w:rPr>
              <w:t>6</w:t>
            </w:r>
            <w:r w:rsidRPr="0043038D">
              <w:rPr>
                <w:rFonts w:ascii="Arial" w:hAnsi="Arial" w:cs="Arial" w:hint="eastAsia"/>
                <w:sz w:val="16"/>
                <w:szCs w:val="18"/>
              </w:rPr>
              <w:t>、</w:t>
            </w:r>
            <w:r w:rsidRPr="0043038D">
              <w:rPr>
                <w:rFonts w:ascii="Arial" w:hAnsi="Arial" w:cs="Arial" w:hint="eastAsia"/>
                <w:sz w:val="16"/>
                <w:szCs w:val="18"/>
              </w:rPr>
              <w:t>1</w:t>
            </w:r>
            <w:r w:rsidRPr="0043038D">
              <w:rPr>
                <w:rFonts w:ascii="Arial" w:hAnsi="Arial" w:cs="Arial"/>
                <w:sz w:val="16"/>
                <w:szCs w:val="18"/>
              </w:rPr>
              <w:t>00</w:t>
            </w:r>
            <w:r w:rsidRPr="0043038D">
              <w:rPr>
                <w:rFonts w:ascii="Arial" w:hAnsi="Arial" w:cs="Arial"/>
                <w:sz w:val="16"/>
                <w:szCs w:val="18"/>
              </w:rPr>
              <w:t>；</w:t>
            </w:r>
          </w:p>
        </w:tc>
      </w:tr>
      <w:tr w:rsidR="000E5655" w:rsidRPr="0043038D" w14:paraId="603810A3"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B4EE59C"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CCB508A"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14:paraId="6EDD80D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2A3C51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FCCE43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25CCCA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0D2504D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50CDBD66"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1E31734"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5FFE057F"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14:paraId="2F25D0A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8C23F4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2F0271D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0BD71AC8" w14:textId="46CC4FA1" w:rsidR="000E5655" w:rsidRPr="0043038D" w:rsidRDefault="00845EDC">
            <w:pPr>
              <w:snapToGrid w:val="0"/>
              <w:spacing w:line="240" w:lineRule="exact"/>
              <w:jc w:val="both"/>
              <w:rPr>
                <w:rFonts w:ascii="Arial" w:hAnsi="Arial" w:cs="Arial"/>
                <w:sz w:val="16"/>
                <w:szCs w:val="18"/>
              </w:rPr>
            </w:pPr>
            <w:r>
              <w:rPr>
                <w:rFonts w:ascii="Arial" w:hAnsi="Arial" w:cs="Arial"/>
                <w:sz w:val="16"/>
                <w:szCs w:val="18"/>
              </w:rPr>
              <w:t>94</w:t>
            </w:r>
          </w:p>
        </w:tc>
        <w:tc>
          <w:tcPr>
            <w:tcW w:w="2027" w:type="pct"/>
            <w:tcBorders>
              <w:top w:val="nil"/>
              <w:left w:val="nil"/>
              <w:bottom w:val="single" w:sz="4" w:space="0" w:color="auto"/>
              <w:right w:val="single" w:sz="4" w:space="0" w:color="auto"/>
            </w:tcBorders>
            <w:vAlign w:val="center"/>
          </w:tcPr>
          <w:p w14:paraId="562B28EC" w14:textId="3C15FB6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00845EDC">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044A171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FE7DFD2"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D827F76"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14:paraId="1260BB9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4097516" w14:textId="29A84542"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00845EDC">
              <w:rPr>
                <w:rFonts w:ascii="Arial" w:hAnsi="Arial" w:cs="Arial"/>
                <w:sz w:val="16"/>
                <w:szCs w:val="18"/>
              </w:rPr>
              <w:t>3</w:t>
            </w:r>
          </w:p>
        </w:tc>
        <w:tc>
          <w:tcPr>
            <w:tcW w:w="532" w:type="pct"/>
            <w:tcBorders>
              <w:top w:val="nil"/>
              <w:left w:val="nil"/>
              <w:bottom w:val="single" w:sz="4" w:space="0" w:color="auto"/>
              <w:right w:val="single" w:sz="4" w:space="0" w:color="auto"/>
            </w:tcBorders>
            <w:noWrap/>
            <w:vAlign w:val="center"/>
          </w:tcPr>
          <w:p w14:paraId="19DD8FA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3DDD30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4FF4FAE6" w14:textId="73FA7D5F"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00845EDC">
              <w:rPr>
                <w:rFonts w:ascii="Arial" w:hAnsi="Arial" w:cs="Arial" w:hint="eastAsia"/>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00845EDC">
              <w:rPr>
                <w:rFonts w:ascii="Arial" w:hAnsi="Arial" w:cs="Arial" w:hint="eastAsia"/>
                <w:sz w:val="16"/>
                <w:szCs w:val="18"/>
              </w:rPr>
              <w:t>10</w:t>
            </w:r>
            <w:r w:rsidR="00845EDC">
              <w:rPr>
                <w:rFonts w:ascii="Arial" w:hAnsi="Arial" w:cs="Arial"/>
                <w:sz w:val="16"/>
                <w:szCs w:val="18"/>
              </w:rPr>
              <w:t>3</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1C22081A"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9654093"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2C6B121B"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14:paraId="22A2735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D2EDEA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A2008D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A0073C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E66784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22B4D915"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09D9706"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8B7A942"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14:paraId="58E507E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56D8C0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36A1B13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102</w:t>
            </w:r>
          </w:p>
        </w:tc>
        <w:tc>
          <w:tcPr>
            <w:tcW w:w="532" w:type="pct"/>
            <w:tcBorders>
              <w:top w:val="nil"/>
              <w:left w:val="nil"/>
              <w:bottom w:val="single" w:sz="4" w:space="0" w:color="auto"/>
              <w:right w:val="single" w:sz="4" w:space="0" w:color="auto"/>
            </w:tcBorders>
            <w:noWrap/>
            <w:vAlign w:val="center"/>
          </w:tcPr>
          <w:p w14:paraId="7418B8E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102</w:t>
            </w:r>
          </w:p>
        </w:tc>
        <w:tc>
          <w:tcPr>
            <w:tcW w:w="2027" w:type="pct"/>
            <w:tcBorders>
              <w:top w:val="nil"/>
              <w:left w:val="nil"/>
              <w:bottom w:val="single" w:sz="4" w:space="0" w:color="auto"/>
              <w:right w:val="single" w:sz="4" w:space="0" w:color="auto"/>
            </w:tcBorders>
            <w:vAlign w:val="center"/>
          </w:tcPr>
          <w:p w14:paraId="7379CCD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102</w:t>
            </w:r>
            <w:r w:rsidRPr="0043038D">
              <w:rPr>
                <w:rFonts w:ascii="Arial" w:hAnsi="Arial" w:cs="Arial" w:hint="eastAsia"/>
                <w:sz w:val="16"/>
                <w:szCs w:val="18"/>
              </w:rPr>
              <w:t>、</w:t>
            </w:r>
            <w:r w:rsidRPr="0043038D">
              <w:rPr>
                <w:rFonts w:ascii="Arial" w:hAnsi="Arial" w:cs="Arial" w:hint="eastAsia"/>
                <w:sz w:val="16"/>
                <w:szCs w:val="18"/>
              </w:rPr>
              <w:t>102</w:t>
            </w:r>
            <w:r w:rsidRPr="0043038D">
              <w:rPr>
                <w:rFonts w:ascii="Arial" w:hAnsi="Arial" w:cs="Arial" w:hint="eastAsia"/>
                <w:sz w:val="16"/>
                <w:szCs w:val="18"/>
              </w:rPr>
              <w:t>、</w:t>
            </w:r>
            <w:r w:rsidRPr="0043038D">
              <w:rPr>
                <w:rFonts w:ascii="Arial" w:hAnsi="Arial" w:cs="Arial" w:hint="eastAsia"/>
                <w:sz w:val="16"/>
                <w:szCs w:val="18"/>
              </w:rPr>
              <w:t>102</w:t>
            </w:r>
            <w:r w:rsidRPr="0043038D">
              <w:rPr>
                <w:rFonts w:ascii="Arial" w:hAnsi="Arial" w:cs="Arial"/>
                <w:sz w:val="16"/>
                <w:szCs w:val="18"/>
              </w:rPr>
              <w:t>；</w:t>
            </w:r>
          </w:p>
        </w:tc>
      </w:tr>
      <w:tr w:rsidR="000E5655" w:rsidRPr="0043038D" w14:paraId="3F82242F"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EF8C749"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901E806"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14:paraId="592F2A5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177FE5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364DB9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F49327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3621889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2F865C6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EB2E74D"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0607913"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14:paraId="00118A6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BF6286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14:paraId="6D7861E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14:paraId="3E51307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4BBD12C8" w14:textId="77777777"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20603280"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09465F0"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681785B2"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14:paraId="6970F1E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CFC140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14:paraId="5D9897A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14:paraId="41FF807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14:paraId="01F147E8" w14:textId="77777777"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14:paraId="7530C0E4"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257E1A37"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71C085EC"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14:paraId="01DE95B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3214A9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F3771E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D197CB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65D345FC"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sz w:val="16"/>
                <w:szCs w:val="18"/>
              </w:rPr>
              <w:t>。</w:t>
            </w:r>
          </w:p>
        </w:tc>
      </w:tr>
      <w:tr w:rsidR="000E5655" w:rsidRPr="0043038D" w14:paraId="2B7A44D6"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A64DDB1"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A99BAAC"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水电气费执行标准</w:t>
            </w:r>
          </w:p>
        </w:tc>
        <w:tc>
          <w:tcPr>
            <w:tcW w:w="532" w:type="pct"/>
            <w:tcBorders>
              <w:top w:val="nil"/>
              <w:left w:val="nil"/>
              <w:bottom w:val="single" w:sz="4" w:space="0" w:color="auto"/>
              <w:right w:val="single" w:sz="4" w:space="0" w:color="auto"/>
            </w:tcBorders>
            <w:noWrap/>
            <w:vAlign w:val="center"/>
          </w:tcPr>
          <w:p w14:paraId="369B3D7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C92B88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3BEF8C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059BD9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3DCAE32F"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估价对象与案例均采用民水民电，确定可比实例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14:paraId="0CAF9984" w14:textId="77777777" w:rsidR="000E5655" w:rsidRPr="0043038D" w:rsidRDefault="000E5655">
      <w:pPr>
        <w:wordWrap w:val="0"/>
        <w:overflowPunct w:val="0"/>
        <w:spacing w:line="480" w:lineRule="auto"/>
        <w:rPr>
          <w:rFonts w:ascii="Arial" w:hAnsi="Arial"/>
          <w:sz w:val="21"/>
          <w:szCs w:val="21"/>
        </w:rPr>
      </w:pPr>
    </w:p>
    <w:p w14:paraId="47A11347" w14:textId="77777777" w:rsidR="000E5655" w:rsidRPr="0043038D" w:rsidRDefault="000E5655">
      <w:pPr>
        <w:wordWrap w:val="0"/>
        <w:overflowPunct w:val="0"/>
        <w:spacing w:line="480" w:lineRule="auto"/>
        <w:rPr>
          <w:rFonts w:ascii="Arial" w:hAnsi="Arial"/>
          <w:sz w:val="21"/>
          <w:szCs w:val="21"/>
        </w:rPr>
      </w:pPr>
    </w:p>
    <w:p w14:paraId="096D58B9" w14:textId="77777777" w:rsidR="000E5655" w:rsidRPr="0043038D" w:rsidRDefault="000E5655">
      <w:pPr>
        <w:wordWrap w:val="0"/>
        <w:overflowPunct w:val="0"/>
        <w:spacing w:line="480" w:lineRule="auto"/>
        <w:rPr>
          <w:rFonts w:ascii="Arial" w:hAnsi="Arial"/>
          <w:sz w:val="21"/>
          <w:szCs w:val="21"/>
        </w:rPr>
      </w:pPr>
    </w:p>
    <w:p w14:paraId="42F16116" w14:textId="77777777" w:rsidR="000E5655" w:rsidRPr="0043038D" w:rsidRDefault="000E5655">
      <w:pPr>
        <w:wordWrap w:val="0"/>
        <w:overflowPunct w:val="0"/>
        <w:spacing w:line="480" w:lineRule="auto"/>
        <w:rPr>
          <w:rFonts w:ascii="Arial" w:hAnsi="Arial"/>
          <w:sz w:val="21"/>
          <w:szCs w:val="21"/>
        </w:rPr>
      </w:pPr>
    </w:p>
    <w:p w14:paraId="41266574" w14:textId="77777777" w:rsidR="000E5655" w:rsidRPr="0043038D" w:rsidRDefault="000E5655">
      <w:pPr>
        <w:wordWrap w:val="0"/>
        <w:overflowPunct w:val="0"/>
        <w:spacing w:line="480" w:lineRule="auto"/>
        <w:rPr>
          <w:rFonts w:ascii="Arial" w:hAnsi="Arial"/>
          <w:sz w:val="21"/>
          <w:szCs w:val="21"/>
        </w:rPr>
      </w:pPr>
    </w:p>
    <w:p w14:paraId="790EF285"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14:paraId="4D7AE149"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根据比较因素条件指数表，编制因素各项目比较修正系数表，详见下表：</w:t>
      </w:r>
    </w:p>
    <w:p w14:paraId="7E2188DB"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14:paraId="4CEBAFB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78C238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063B061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14:paraId="2164C4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14:paraId="31C77BF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14:paraId="4F3CE34A"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8C0B21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637BB43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天恒金融街公园懿府</w:t>
            </w:r>
          </w:p>
        </w:tc>
        <w:tc>
          <w:tcPr>
            <w:tcW w:w="897" w:type="pct"/>
            <w:tcBorders>
              <w:top w:val="nil"/>
              <w:left w:val="nil"/>
              <w:bottom w:val="single" w:sz="4" w:space="0" w:color="auto"/>
              <w:right w:val="single" w:sz="4" w:space="0" w:color="auto"/>
            </w:tcBorders>
            <w:vAlign w:val="center"/>
          </w:tcPr>
          <w:p w14:paraId="1BBDF98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14:paraId="621B5FF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lang w:bidi="ar"/>
              </w:rPr>
              <w:t>鸿坤理想城八期</w:t>
            </w:r>
          </w:p>
        </w:tc>
      </w:tr>
      <w:tr w:rsidR="000E5655" w:rsidRPr="0043038D" w14:paraId="13B7027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DE86AF1"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085B9052"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897" w:type="pct"/>
            <w:tcBorders>
              <w:top w:val="nil"/>
              <w:left w:val="nil"/>
              <w:bottom w:val="single" w:sz="4" w:space="0" w:color="auto"/>
              <w:right w:val="single" w:sz="4" w:space="0" w:color="auto"/>
            </w:tcBorders>
            <w:vAlign w:val="center"/>
          </w:tcPr>
          <w:p w14:paraId="3BBC5B80"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897" w:type="pct"/>
            <w:tcBorders>
              <w:top w:val="nil"/>
              <w:left w:val="nil"/>
              <w:bottom w:val="single" w:sz="4" w:space="0" w:color="auto"/>
              <w:right w:val="single" w:sz="4" w:space="0" w:color="auto"/>
            </w:tcBorders>
            <w:vAlign w:val="center"/>
          </w:tcPr>
          <w:p w14:paraId="440F22CE"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14:paraId="0623414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E7647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3E05975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78B154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DBB511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2E8BE77"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18B99FC"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339F089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718D9C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F68649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7015C67"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5DFB67F"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1268E2C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CCFDDE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D81C8C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7CA0028"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3A42C5E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2EAE99F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B546B6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0A9E2E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0729BA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20DA46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B74B1A1"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6CF690B"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0DFDB91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9B1949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C9D854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2B76F53"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069713E"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82A1F3B"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62FCEDC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c>
          <w:tcPr>
            <w:tcW w:w="897" w:type="pct"/>
            <w:tcBorders>
              <w:top w:val="nil"/>
              <w:left w:val="nil"/>
              <w:bottom w:val="single" w:sz="4" w:space="0" w:color="auto"/>
              <w:right w:val="single" w:sz="4" w:space="0" w:color="auto"/>
            </w:tcBorders>
            <w:vAlign w:val="center"/>
          </w:tcPr>
          <w:p w14:paraId="1C39DE5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14:paraId="7314095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5275A4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236B4D2"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7C3A4D1"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2796DF8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620A5D1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42A3134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14:paraId="356CC69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1BFBE5F"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3F7152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14:paraId="78F386C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1868C0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1B705F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025A616"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90C9F33"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4442E6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26B5458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3399F5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4A2AF2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ABF5DD7"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F6161B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5EDE359"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14:paraId="3237A69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BFE15B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D92FB4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B92B16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A7FC2AA"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25BF17D"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14:paraId="5C4C1A4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E9A10A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77CD8B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BB4D26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45ADB7B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46D6037"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6310E01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14:paraId="1970CDF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100</w:t>
            </w:r>
          </w:p>
        </w:tc>
        <w:tc>
          <w:tcPr>
            <w:tcW w:w="897" w:type="pct"/>
            <w:tcBorders>
              <w:top w:val="nil"/>
              <w:left w:val="nil"/>
              <w:bottom w:val="single" w:sz="4" w:space="0" w:color="auto"/>
              <w:right w:val="single" w:sz="4" w:space="0" w:color="auto"/>
            </w:tcBorders>
            <w:vAlign w:val="center"/>
          </w:tcPr>
          <w:p w14:paraId="179A0B6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EE5D382"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2F96F2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62AC11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513DEAC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100/99.5</w:t>
            </w:r>
          </w:p>
        </w:tc>
        <w:tc>
          <w:tcPr>
            <w:tcW w:w="897" w:type="pct"/>
            <w:tcBorders>
              <w:top w:val="nil"/>
              <w:left w:val="nil"/>
              <w:bottom w:val="single" w:sz="4" w:space="0" w:color="auto"/>
              <w:right w:val="single" w:sz="4" w:space="0" w:color="auto"/>
            </w:tcBorders>
            <w:vAlign w:val="center"/>
          </w:tcPr>
          <w:p w14:paraId="4F652F0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99.5</w:t>
            </w:r>
          </w:p>
        </w:tc>
        <w:tc>
          <w:tcPr>
            <w:tcW w:w="897" w:type="pct"/>
            <w:tcBorders>
              <w:top w:val="nil"/>
              <w:left w:val="nil"/>
              <w:bottom w:val="single" w:sz="4" w:space="0" w:color="auto"/>
              <w:right w:val="single" w:sz="4" w:space="0" w:color="auto"/>
            </w:tcBorders>
            <w:vAlign w:val="center"/>
          </w:tcPr>
          <w:p w14:paraId="77C9419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r>
      <w:tr w:rsidR="000E5655" w:rsidRPr="0043038D" w14:paraId="7803427E" w14:textId="7777777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51F00F1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0180091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14:paraId="27E8F35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6</w:t>
            </w:r>
          </w:p>
        </w:tc>
        <w:tc>
          <w:tcPr>
            <w:tcW w:w="897" w:type="pct"/>
            <w:tcBorders>
              <w:top w:val="nil"/>
              <w:left w:val="nil"/>
              <w:bottom w:val="single" w:sz="4" w:space="0" w:color="auto"/>
              <w:right w:val="single" w:sz="4" w:space="0" w:color="auto"/>
            </w:tcBorders>
            <w:vAlign w:val="center"/>
          </w:tcPr>
          <w:p w14:paraId="2ECB6D5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4D2DFB0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F54FC49" w14:textId="77777777">
        <w:trPr>
          <w:trHeight w:val="227"/>
        </w:trPr>
        <w:tc>
          <w:tcPr>
            <w:tcW w:w="793" w:type="pct"/>
            <w:vMerge/>
            <w:tcBorders>
              <w:left w:val="single" w:sz="4" w:space="0" w:color="auto"/>
              <w:bottom w:val="single" w:sz="4" w:space="0" w:color="auto"/>
              <w:right w:val="single" w:sz="4" w:space="0" w:color="auto"/>
            </w:tcBorders>
            <w:vAlign w:val="center"/>
          </w:tcPr>
          <w:p w14:paraId="301ADE4D"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1CEF3A3"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4B65688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C67618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51630A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006F19C" w14:textId="77777777">
        <w:trPr>
          <w:trHeight w:val="227"/>
        </w:trPr>
        <w:tc>
          <w:tcPr>
            <w:tcW w:w="793" w:type="pct"/>
            <w:vMerge/>
            <w:tcBorders>
              <w:left w:val="single" w:sz="4" w:space="0" w:color="auto"/>
              <w:bottom w:val="single" w:sz="4" w:space="0" w:color="auto"/>
              <w:right w:val="single" w:sz="4" w:space="0" w:color="auto"/>
            </w:tcBorders>
            <w:vAlign w:val="center"/>
          </w:tcPr>
          <w:p w14:paraId="2A5F6E56"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A18AFC9"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101C83F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100762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9C25A16" w14:textId="6B29D919"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00845EDC">
              <w:rPr>
                <w:rFonts w:ascii="Arial" w:hAnsi="Arial" w:cs="Arial"/>
                <w:sz w:val="16"/>
                <w:szCs w:val="18"/>
              </w:rPr>
              <w:t>94</w:t>
            </w:r>
          </w:p>
        </w:tc>
      </w:tr>
      <w:tr w:rsidR="000E5655" w:rsidRPr="0043038D" w14:paraId="64130DFA" w14:textId="77777777">
        <w:trPr>
          <w:trHeight w:val="227"/>
        </w:trPr>
        <w:tc>
          <w:tcPr>
            <w:tcW w:w="793" w:type="pct"/>
            <w:vMerge/>
            <w:tcBorders>
              <w:left w:val="single" w:sz="4" w:space="0" w:color="auto"/>
              <w:bottom w:val="single" w:sz="4" w:space="0" w:color="auto"/>
              <w:right w:val="single" w:sz="4" w:space="0" w:color="auto"/>
            </w:tcBorders>
            <w:vAlign w:val="center"/>
          </w:tcPr>
          <w:p w14:paraId="156FABA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8186E5E" w14:textId="77777777" w:rsidR="000E5655" w:rsidRPr="0043038D" w:rsidRDefault="00837133">
            <w:pPr>
              <w:widowControl/>
              <w:adjustRightInd/>
              <w:spacing w:line="240" w:lineRule="auto"/>
              <w:textAlignment w:val="auto"/>
              <w:rPr>
                <w:rFonts w:ascii="Arial" w:hAnsi="Arial" w:cs="Arial" w:hint="eastAsia"/>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5C4F0A67" w14:textId="5E8F0244"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00845EDC">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5F4EEDC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05D04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41DB30F7" w14:textId="77777777">
        <w:trPr>
          <w:trHeight w:val="227"/>
        </w:trPr>
        <w:tc>
          <w:tcPr>
            <w:tcW w:w="793" w:type="pct"/>
            <w:vMerge/>
            <w:tcBorders>
              <w:left w:val="single" w:sz="4" w:space="0" w:color="auto"/>
              <w:bottom w:val="single" w:sz="4" w:space="0" w:color="auto"/>
              <w:right w:val="single" w:sz="4" w:space="0" w:color="auto"/>
            </w:tcBorders>
            <w:vAlign w:val="center"/>
          </w:tcPr>
          <w:p w14:paraId="4A0C0AD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B0967FF"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42E785D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705772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7B8A69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2B0573A" w14:textId="77777777">
        <w:trPr>
          <w:trHeight w:val="227"/>
        </w:trPr>
        <w:tc>
          <w:tcPr>
            <w:tcW w:w="793" w:type="pct"/>
            <w:vMerge/>
            <w:tcBorders>
              <w:left w:val="single" w:sz="4" w:space="0" w:color="auto"/>
              <w:bottom w:val="single" w:sz="4" w:space="0" w:color="auto"/>
              <w:right w:val="single" w:sz="4" w:space="0" w:color="auto"/>
            </w:tcBorders>
            <w:vAlign w:val="center"/>
          </w:tcPr>
          <w:p w14:paraId="10F24C39"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A62EE0A"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0052CC7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037B2BC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274C3C4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14:paraId="614E5D26" w14:textId="77777777">
        <w:trPr>
          <w:trHeight w:val="227"/>
        </w:trPr>
        <w:tc>
          <w:tcPr>
            <w:tcW w:w="793" w:type="pct"/>
            <w:vMerge/>
            <w:tcBorders>
              <w:left w:val="single" w:sz="4" w:space="0" w:color="auto"/>
              <w:bottom w:val="single" w:sz="4" w:space="0" w:color="auto"/>
              <w:right w:val="single" w:sz="4" w:space="0" w:color="auto"/>
            </w:tcBorders>
            <w:vAlign w:val="center"/>
          </w:tcPr>
          <w:p w14:paraId="320F15EA"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7C878E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30D4062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0FD1DD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96F63A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ACBF7B7" w14:textId="77777777">
        <w:trPr>
          <w:trHeight w:val="227"/>
        </w:trPr>
        <w:tc>
          <w:tcPr>
            <w:tcW w:w="793" w:type="pct"/>
            <w:vMerge/>
            <w:tcBorders>
              <w:left w:val="single" w:sz="4" w:space="0" w:color="auto"/>
              <w:bottom w:val="single" w:sz="4" w:space="0" w:color="auto"/>
              <w:right w:val="single" w:sz="4" w:space="0" w:color="auto"/>
            </w:tcBorders>
            <w:vAlign w:val="center"/>
          </w:tcPr>
          <w:p w14:paraId="16585B17"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6AB447D"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036F660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14:paraId="63A9BC4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14:paraId="01A8262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497D1ABA" w14:textId="77777777">
        <w:trPr>
          <w:trHeight w:val="227"/>
        </w:trPr>
        <w:tc>
          <w:tcPr>
            <w:tcW w:w="793" w:type="pct"/>
            <w:vMerge/>
            <w:tcBorders>
              <w:left w:val="single" w:sz="4" w:space="0" w:color="auto"/>
              <w:bottom w:val="single" w:sz="4" w:space="0" w:color="auto"/>
              <w:right w:val="single" w:sz="4" w:space="0" w:color="auto"/>
            </w:tcBorders>
            <w:vAlign w:val="center"/>
          </w:tcPr>
          <w:p w14:paraId="6DEAE9A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8122CD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1C4EA6F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069404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0D3D41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5A78C8AA" w14:textId="77777777">
        <w:trPr>
          <w:trHeight w:val="227"/>
        </w:trPr>
        <w:tc>
          <w:tcPr>
            <w:tcW w:w="793" w:type="pct"/>
            <w:vMerge w:val="restart"/>
            <w:tcBorders>
              <w:left w:val="single" w:sz="4" w:space="0" w:color="auto"/>
              <w:bottom w:val="single" w:sz="4" w:space="0" w:color="auto"/>
              <w:right w:val="single" w:sz="4" w:space="0" w:color="auto"/>
            </w:tcBorders>
            <w:vAlign w:val="center"/>
          </w:tcPr>
          <w:p w14:paraId="5F77224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786A7C97"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283AB0A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E97E3F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4123B4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32779EE" w14:textId="77777777">
        <w:trPr>
          <w:trHeight w:val="227"/>
        </w:trPr>
        <w:tc>
          <w:tcPr>
            <w:tcW w:w="793" w:type="pct"/>
            <w:vMerge/>
            <w:tcBorders>
              <w:left w:val="single" w:sz="4" w:space="0" w:color="auto"/>
              <w:bottom w:val="single" w:sz="4" w:space="0" w:color="auto"/>
              <w:right w:val="single" w:sz="4" w:space="0" w:color="auto"/>
            </w:tcBorders>
            <w:vAlign w:val="center"/>
          </w:tcPr>
          <w:p w14:paraId="66B71299"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851668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水电气费执行标准</w:t>
            </w:r>
          </w:p>
        </w:tc>
        <w:tc>
          <w:tcPr>
            <w:tcW w:w="897" w:type="pct"/>
            <w:tcBorders>
              <w:top w:val="nil"/>
              <w:left w:val="nil"/>
              <w:bottom w:val="single" w:sz="4" w:space="0" w:color="auto"/>
              <w:right w:val="single" w:sz="4" w:space="0" w:color="auto"/>
            </w:tcBorders>
            <w:vAlign w:val="center"/>
          </w:tcPr>
          <w:p w14:paraId="05D8097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BEEDBD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5748BE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15F70E9"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C7D599C"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0FE3675B" w14:textId="437F50EB" w:rsidR="000E5655" w:rsidRPr="0043038D" w:rsidRDefault="00837133" w:rsidP="00845EDC">
            <w:pPr>
              <w:spacing w:line="240" w:lineRule="auto"/>
              <w:jc w:val="center"/>
              <w:rPr>
                <w:rFonts w:ascii="Arial" w:hAnsi="Arial" w:cs="Arial"/>
                <w:sz w:val="16"/>
                <w:szCs w:val="18"/>
              </w:rPr>
            </w:pPr>
            <w:r w:rsidRPr="0043038D">
              <w:rPr>
                <w:rFonts w:ascii="Arial" w:hAnsi="Arial" w:cs="Arial"/>
                <w:sz w:val="16"/>
                <w:szCs w:val="18"/>
              </w:rPr>
              <w:t>1.0</w:t>
            </w:r>
            <w:r w:rsidR="00845EDC">
              <w:rPr>
                <w:rFonts w:ascii="Arial" w:hAnsi="Arial" w:cs="Arial"/>
                <w:sz w:val="16"/>
                <w:szCs w:val="18"/>
              </w:rPr>
              <w:t>504</w:t>
            </w:r>
          </w:p>
        </w:tc>
        <w:tc>
          <w:tcPr>
            <w:tcW w:w="897" w:type="pct"/>
            <w:tcBorders>
              <w:top w:val="single" w:sz="4" w:space="0" w:color="auto"/>
              <w:left w:val="nil"/>
              <w:bottom w:val="single" w:sz="4" w:space="0" w:color="auto"/>
              <w:right w:val="single" w:sz="4" w:space="0" w:color="auto"/>
            </w:tcBorders>
            <w:vAlign w:val="center"/>
          </w:tcPr>
          <w:p w14:paraId="2200C296" w14:textId="77777777"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509</w:t>
            </w:r>
          </w:p>
        </w:tc>
        <w:tc>
          <w:tcPr>
            <w:tcW w:w="897" w:type="pct"/>
            <w:tcBorders>
              <w:top w:val="single" w:sz="4" w:space="0" w:color="auto"/>
              <w:left w:val="nil"/>
              <w:bottom w:val="single" w:sz="4" w:space="0" w:color="auto"/>
              <w:right w:val="single" w:sz="4" w:space="0" w:color="auto"/>
            </w:tcBorders>
            <w:vAlign w:val="center"/>
          </w:tcPr>
          <w:p w14:paraId="1235B4A2" w14:textId="5A2C6D3C" w:rsidR="000E5655" w:rsidRPr="0043038D" w:rsidRDefault="00845EDC">
            <w:pPr>
              <w:spacing w:line="240" w:lineRule="auto"/>
              <w:jc w:val="center"/>
              <w:rPr>
                <w:rFonts w:ascii="Arial" w:hAnsi="Arial" w:cs="Arial"/>
                <w:sz w:val="16"/>
                <w:szCs w:val="18"/>
              </w:rPr>
            </w:pPr>
            <w:r>
              <w:rPr>
                <w:rFonts w:ascii="Arial" w:hAnsi="Arial" w:cs="Arial"/>
                <w:sz w:val="16"/>
                <w:szCs w:val="18"/>
              </w:rPr>
              <w:t>1.0025</w:t>
            </w:r>
          </w:p>
        </w:tc>
      </w:tr>
      <w:tr w:rsidR="000E5655" w:rsidRPr="0043038D" w14:paraId="3014C99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7B6E1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5B3C35B6" w14:textId="6B788B1D" w:rsidR="000E5655" w:rsidRPr="0043038D" w:rsidRDefault="00845EDC">
            <w:pPr>
              <w:spacing w:line="240" w:lineRule="auto"/>
              <w:jc w:val="center"/>
              <w:rPr>
                <w:rFonts w:ascii="Arial" w:hAnsi="Arial" w:cs="Arial"/>
                <w:sz w:val="16"/>
                <w:szCs w:val="18"/>
              </w:rPr>
            </w:pPr>
            <w:r>
              <w:rPr>
                <w:rFonts w:ascii="Arial" w:hAnsi="Arial" w:cs="Arial"/>
                <w:sz w:val="16"/>
                <w:szCs w:val="18"/>
              </w:rPr>
              <w:t>88.79</w:t>
            </w:r>
          </w:p>
        </w:tc>
        <w:tc>
          <w:tcPr>
            <w:tcW w:w="897" w:type="pct"/>
            <w:tcBorders>
              <w:top w:val="single" w:sz="4" w:space="0" w:color="auto"/>
              <w:left w:val="nil"/>
              <w:bottom w:val="single" w:sz="4" w:space="0" w:color="auto"/>
              <w:right w:val="single" w:sz="4" w:space="0" w:color="auto"/>
            </w:tcBorders>
            <w:vAlign w:val="center"/>
          </w:tcPr>
          <w:p w14:paraId="2FE56587" w14:textId="77777777"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4.58</w:t>
            </w:r>
          </w:p>
        </w:tc>
        <w:tc>
          <w:tcPr>
            <w:tcW w:w="897" w:type="pct"/>
            <w:tcBorders>
              <w:top w:val="single" w:sz="4" w:space="0" w:color="auto"/>
              <w:left w:val="nil"/>
              <w:bottom w:val="single" w:sz="4" w:space="0" w:color="auto"/>
              <w:right w:val="single" w:sz="4" w:space="0" w:color="auto"/>
            </w:tcBorders>
            <w:vAlign w:val="center"/>
          </w:tcPr>
          <w:p w14:paraId="0E74C0CA" w14:textId="25BE3B34" w:rsidR="000E5655" w:rsidRPr="0043038D" w:rsidRDefault="00845EDC">
            <w:pPr>
              <w:spacing w:line="240" w:lineRule="auto"/>
              <w:jc w:val="center"/>
              <w:rPr>
                <w:rFonts w:ascii="Arial" w:hAnsi="Arial" w:cs="Arial"/>
                <w:sz w:val="16"/>
                <w:szCs w:val="18"/>
              </w:rPr>
            </w:pPr>
            <w:r>
              <w:rPr>
                <w:rFonts w:ascii="Arial" w:hAnsi="Arial" w:cs="Arial"/>
                <w:sz w:val="16"/>
                <w:szCs w:val="18"/>
              </w:rPr>
              <w:t>81.29</w:t>
            </w:r>
          </w:p>
        </w:tc>
      </w:tr>
    </w:tbl>
    <w:p w14:paraId="2885A4C1" w14:textId="77777777"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（待估房地产交易情况指数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（待估房地产区域状况条件指数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（待估房地产实物状况条件指数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14:paraId="2A0E5B3A"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14:paraId="03CE951E" w14:textId="77777777"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14:paraId="273B5998" w14:textId="50333D12"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hint="eastAsia"/>
          <w:sz w:val="21"/>
          <w:szCs w:val="21"/>
        </w:rPr>
        <w:t>1</w:t>
      </w:r>
      <w:r w:rsidRPr="0043038D">
        <w:rPr>
          <w:rFonts w:ascii="Arial" w:hAnsi="Arial" w:hint="eastAsia"/>
          <w:bCs/>
          <w:sz w:val="21"/>
        </w:rPr>
        <w:t>市场租赁住房租金</w:t>
      </w:r>
      <w:r w:rsidRPr="0043038D">
        <w:rPr>
          <w:rFonts w:ascii="Arial" w:hAnsi="Arial" w:hint="eastAsia"/>
          <w:sz w:val="21"/>
          <w:szCs w:val="21"/>
        </w:rPr>
        <w:t>＝（</w:t>
      </w:r>
      <w:r w:rsidR="00845EDC">
        <w:rPr>
          <w:rFonts w:ascii="Arial" w:hAnsi="Arial"/>
          <w:sz w:val="21"/>
          <w:szCs w:val="21"/>
        </w:rPr>
        <w:t>88.79</w:t>
      </w:r>
      <w:r w:rsidRPr="0043038D">
        <w:rPr>
          <w:rFonts w:ascii="Arial" w:hAnsi="Arial" w:hint="eastAsia"/>
          <w:sz w:val="21"/>
          <w:szCs w:val="21"/>
        </w:rPr>
        <w:t>+</w:t>
      </w:r>
      <w:r w:rsidR="00845EDC">
        <w:rPr>
          <w:rFonts w:ascii="Arial" w:hAnsi="Arial"/>
          <w:sz w:val="21"/>
          <w:szCs w:val="21"/>
        </w:rPr>
        <w:t>84.58</w:t>
      </w:r>
      <w:r w:rsidRPr="0043038D">
        <w:rPr>
          <w:rFonts w:ascii="Arial" w:hAnsi="Arial" w:hint="eastAsia"/>
          <w:sz w:val="21"/>
          <w:szCs w:val="21"/>
        </w:rPr>
        <w:t>+</w:t>
      </w:r>
      <w:r w:rsidR="00845EDC">
        <w:rPr>
          <w:rFonts w:ascii="Arial" w:hAnsi="Arial"/>
          <w:sz w:val="21"/>
          <w:szCs w:val="21"/>
        </w:rPr>
        <w:t>81.29</w:t>
      </w:r>
      <w:r w:rsidRPr="0043038D">
        <w:rPr>
          <w:rFonts w:ascii="Arial" w:hAnsi="Arial" w:hint="eastAsia"/>
          <w:sz w:val="21"/>
          <w:szCs w:val="21"/>
        </w:rPr>
        <w:t>）÷</w:t>
      </w:r>
      <w:r w:rsidRPr="0043038D">
        <w:rPr>
          <w:rFonts w:ascii="Arial" w:hAnsi="Arial"/>
          <w:sz w:val="21"/>
          <w:szCs w:val="21"/>
        </w:rPr>
        <w:t>3</w:t>
      </w:r>
    </w:p>
    <w:p w14:paraId="2AE8F0D0" w14:textId="1F5B722F"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sz w:val="21"/>
          <w:szCs w:val="21"/>
        </w:rPr>
        <w:t>8</w:t>
      </w:r>
      <w:r w:rsidR="00845EDC">
        <w:rPr>
          <w:rFonts w:ascii="Arial" w:hAnsi="Arial" w:hint="eastAsia"/>
          <w:sz w:val="21"/>
          <w:szCs w:val="21"/>
        </w:rPr>
        <w:t>4.</w:t>
      </w:r>
      <w:r w:rsidR="00845EDC">
        <w:rPr>
          <w:rFonts w:ascii="Arial" w:hAnsi="Arial"/>
          <w:sz w:val="21"/>
          <w:szCs w:val="21"/>
        </w:rPr>
        <w:t>89</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14:paraId="456B382D" w14:textId="77777777"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B.</w:t>
      </w:r>
      <w:r w:rsidRPr="0043038D">
        <w:rPr>
          <w:rFonts w:ascii="Arial" w:hAnsi="Arial" w:cs="Arial" w:hint="eastAsia"/>
          <w:b/>
          <w:sz w:val="21"/>
          <w:szCs w:val="21"/>
        </w:rPr>
        <w:t>标准房</w:t>
      </w:r>
      <w:r w:rsidRPr="0043038D">
        <w:rPr>
          <w:rFonts w:ascii="Arial" w:hAnsi="Arial" w:cs="Arial"/>
          <w:b/>
          <w:sz w:val="21"/>
          <w:szCs w:val="21"/>
        </w:rPr>
        <w:t>2</w:t>
      </w:r>
      <w:r w:rsidRPr="0043038D">
        <w:rPr>
          <w:rFonts w:ascii="Arial" w:hAnsi="Arial" w:cs="Arial" w:hint="eastAsia"/>
          <w:b/>
          <w:sz w:val="21"/>
          <w:szCs w:val="21"/>
        </w:rPr>
        <w:t>（小两</w:t>
      </w:r>
      <w:r w:rsidRPr="0043038D">
        <w:rPr>
          <w:rFonts w:ascii="宋体" w:hAnsi="宋体" w:hint="eastAsia"/>
          <w:b/>
          <w:sz w:val="21"/>
          <w:szCs w:val="21"/>
        </w:rPr>
        <w:t>居标准房市场租金水平）</w:t>
      </w:r>
    </w:p>
    <w:p w14:paraId="3D56DD4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选取案例并作因素条件说明</w:t>
      </w:r>
    </w:p>
    <w:p w14:paraId="4874D3B3"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r w:rsidRPr="0043038D">
        <w:rPr>
          <w:rFonts w:ascii="Arial" w:hAnsi="Arial" w:cs="Arial" w:hint="eastAsia"/>
          <w:sz w:val="21"/>
          <w:szCs w:val="21"/>
        </w:rPr>
        <w:t>大兴</w:t>
      </w:r>
      <w:r w:rsidRPr="0043038D">
        <w:rPr>
          <w:rFonts w:ascii="Arial" w:hAnsi="Arial" w:cs="Arial"/>
          <w:sz w:val="21"/>
          <w:szCs w:val="21"/>
        </w:rPr>
        <w:t>区及其周边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14:paraId="44EA561D"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w:t>
      </w:r>
    </w:p>
    <w:p w14:paraId="6CF67970"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14:paraId="469DB4E6"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14:paraId="2B31B518"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14:paraId="2CFD35E2"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0908E29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r w:rsidRPr="0043038D">
        <w:rPr>
          <w:rFonts w:ascii="Arial" w:hAnsi="Arial" w:cs="Arial"/>
          <w:sz w:val="21"/>
          <w:szCs w:val="21"/>
        </w:rPr>
        <w:t xml:space="preserve">  </w:t>
      </w:r>
    </w:p>
    <w:p w14:paraId="34EA6DC3"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hint="eastAsia"/>
          <w:sz w:val="21"/>
          <w:szCs w:val="21"/>
        </w:rPr>
        <w:t>周边有天悦壹号、诚苑中里、翠海明苑、合顺家</w:t>
      </w:r>
      <w:r w:rsidRPr="0043038D">
        <w:rPr>
          <w:rFonts w:ascii="Arial" w:hAnsi="Arial" w:cs="Arial" w:hint="eastAsia"/>
          <w:i/>
          <w:sz w:val="21"/>
          <w:szCs w:val="21"/>
        </w:rPr>
        <w:t>园</w:t>
      </w:r>
      <w:r w:rsidRPr="0043038D">
        <w:rPr>
          <w:rFonts w:ascii="Arial" w:hAnsi="Arial" w:cs="Arial" w:hint="eastAsia"/>
          <w:sz w:val="21"/>
          <w:szCs w:val="21"/>
        </w:rPr>
        <w:t>、德馨嘉园、御槐园、正商明苑居住小区规模较大，入住率较好，综合评价居住区成熟度较好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，综合评价交通便捷度较好；周边有海子公园、槐新公园、南苑湿地公园等自然景观，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户型，中楼层，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73.17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14:paraId="2081ABA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w:t>
      </w:r>
    </w:p>
    <w:p w14:paraId="29A403E2"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14:paraId="1435CE7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14:paraId="6F3F85FF"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14:paraId="730479C0"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0DBFAD2B"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0D630C30"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hint="eastAsia"/>
          <w:sz w:val="21"/>
          <w:szCs w:val="21"/>
        </w:rPr>
        <w:t>周边有天悦壹号、诚苑中里、翠海明苑、合顺家</w:t>
      </w:r>
      <w:r w:rsidRPr="0043038D">
        <w:rPr>
          <w:rFonts w:ascii="Arial" w:hAnsi="Arial" w:cs="Arial" w:hint="eastAsia"/>
          <w:i/>
          <w:sz w:val="21"/>
          <w:szCs w:val="21"/>
        </w:rPr>
        <w:t>园</w:t>
      </w:r>
      <w:r w:rsidRPr="0043038D">
        <w:rPr>
          <w:rFonts w:ascii="Arial" w:hAnsi="Arial" w:cs="Arial" w:hint="eastAsia"/>
          <w:sz w:val="21"/>
          <w:szCs w:val="21"/>
        </w:rPr>
        <w:t>、德馨嘉园、御槐园、正商明苑居住小区规模较大，入住率较好，综合评价居住区成熟度较好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，综合评价交通便捷度较好；周边有海子公园、槐新公园、南苑湿地公园等自然景观，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户型，低楼层，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sz w:val="21"/>
          <w:szCs w:val="21"/>
        </w:rPr>
        <w:t>68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82.35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14:paraId="2BD73E71"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w:t>
      </w:r>
    </w:p>
    <w:p w14:paraId="7B8346F2"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世嘉博苑</w:t>
      </w:r>
    </w:p>
    <w:p w14:paraId="7645A035"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北京市大兴区欣宁街</w:t>
      </w:r>
      <w:r w:rsidRPr="0043038D">
        <w:rPr>
          <w:rFonts w:ascii="Arial" w:hAnsi="Arial" w:cs="Arial" w:hint="eastAsia"/>
          <w:sz w:val="21"/>
          <w:szCs w:val="21"/>
        </w:rPr>
        <w:t>67</w:t>
      </w:r>
      <w:r w:rsidRPr="0043038D">
        <w:rPr>
          <w:rFonts w:ascii="Arial" w:hAnsi="Arial" w:cs="Arial" w:hint="eastAsia"/>
          <w:sz w:val="21"/>
          <w:szCs w:val="21"/>
        </w:rPr>
        <w:t>号</w:t>
      </w:r>
    </w:p>
    <w:p w14:paraId="681FF97A"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14:paraId="2DB2B0A3"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3B2F259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1AC223E5"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公里内有瑞海家园、兴海家园、宏盛家园、鸿坤理想城、同兴园、熙红印、兴都苑等，居住小区规模较大，入住率较好，综合评价居住区成熟度较好；东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w:t>
      </w:r>
      <w:r w:rsidRPr="0043038D">
        <w:rPr>
          <w:rFonts w:ascii="Arial" w:hAnsi="Arial" w:cs="Arial" w:hint="eastAsia"/>
          <w:kern w:val="2"/>
          <w:sz w:val="21"/>
          <w:szCs w:val="21"/>
        </w:rPr>
        <w:t>鸿坤广场、北京荟聚、西红门新光界</w:t>
      </w:r>
      <w:r w:rsidRPr="0043038D">
        <w:rPr>
          <w:rFonts w:ascii="Arial" w:hAnsi="Arial" w:cs="Arial"/>
          <w:kern w:val="2"/>
          <w:sz w:val="21"/>
          <w:szCs w:val="21"/>
        </w:rPr>
        <w:t>等商业场所；有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61.77</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72.85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14:paraId="24E7BC58"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14:paraId="26810D56" w14:textId="77777777">
        <w:trPr>
          <w:jc w:val="center"/>
        </w:trPr>
        <w:tc>
          <w:tcPr>
            <w:tcW w:w="2047" w:type="dxa"/>
            <w:vAlign w:val="center"/>
          </w:tcPr>
          <w:p w14:paraId="69313FA0"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14:paraId="2162DE2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14:paraId="68F14FC3"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1812" w:type="dxa"/>
            <w:vAlign w:val="center"/>
          </w:tcPr>
          <w:p w14:paraId="0C8DE4A1"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1813" w:type="dxa"/>
            <w:vAlign w:val="center"/>
          </w:tcPr>
          <w:p w14:paraId="3A88A07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14:paraId="79A4EB1E" w14:textId="77777777">
        <w:trPr>
          <w:jc w:val="center"/>
        </w:trPr>
        <w:tc>
          <w:tcPr>
            <w:tcW w:w="2047" w:type="dxa"/>
            <w:vAlign w:val="center"/>
          </w:tcPr>
          <w:p w14:paraId="3FE96BBE"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14:paraId="78D7272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14:paraId="7105AF73" w14:textId="77777777"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14:paraId="0228B61C" w14:textId="77777777"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3" w:type="dxa"/>
            <w:vAlign w:val="center"/>
          </w:tcPr>
          <w:p w14:paraId="6EDEEFDD" w14:textId="77777777"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lang w:bidi="ar"/>
              </w:rPr>
              <w:t>世嘉博苑</w:t>
            </w:r>
          </w:p>
        </w:tc>
      </w:tr>
      <w:tr w:rsidR="000E5655" w:rsidRPr="0043038D" w14:paraId="66DAB6E0" w14:textId="77777777">
        <w:trPr>
          <w:jc w:val="center"/>
        </w:trPr>
        <w:tc>
          <w:tcPr>
            <w:tcW w:w="2047" w:type="dxa"/>
            <w:vAlign w:val="center"/>
          </w:tcPr>
          <w:p w14:paraId="46DCDC2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14:paraId="21F6A08F"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待估</w:t>
            </w:r>
          </w:p>
        </w:tc>
        <w:tc>
          <w:tcPr>
            <w:tcW w:w="1813" w:type="dxa"/>
            <w:vAlign w:val="center"/>
          </w:tcPr>
          <w:p w14:paraId="0D7A4001" w14:textId="77777777"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73.17</w:t>
            </w:r>
          </w:p>
        </w:tc>
        <w:tc>
          <w:tcPr>
            <w:tcW w:w="1812" w:type="dxa"/>
            <w:vAlign w:val="center"/>
          </w:tcPr>
          <w:p w14:paraId="25F626BB" w14:textId="77777777"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82.35</w:t>
            </w:r>
          </w:p>
        </w:tc>
        <w:tc>
          <w:tcPr>
            <w:tcW w:w="1813" w:type="dxa"/>
            <w:vAlign w:val="center"/>
          </w:tcPr>
          <w:p w14:paraId="6F388888" w14:textId="77777777"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72.85</w:t>
            </w:r>
          </w:p>
        </w:tc>
      </w:tr>
      <w:tr w:rsidR="000E5655" w:rsidRPr="0043038D" w14:paraId="1F33D484" w14:textId="77777777">
        <w:trPr>
          <w:trHeight w:val="3402"/>
          <w:jc w:val="center"/>
        </w:trPr>
        <w:tc>
          <w:tcPr>
            <w:tcW w:w="2047" w:type="dxa"/>
            <w:vMerge w:val="restart"/>
            <w:vAlign w:val="center"/>
          </w:tcPr>
          <w:p w14:paraId="6FA697BF"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14:paraId="65187B90"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14:paraId="774922D8"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14:paraId="4BCAA903" w14:textId="77777777"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14:paraId="38C2AB56" w14:textId="77777777"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14:paraId="5E6DC6B2" w14:textId="77777777">
        <w:trPr>
          <w:jc w:val="center"/>
        </w:trPr>
        <w:tc>
          <w:tcPr>
            <w:tcW w:w="2047" w:type="dxa"/>
            <w:vMerge/>
            <w:vAlign w:val="center"/>
          </w:tcPr>
          <w:p w14:paraId="226C905D"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39EB136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14:paraId="0A544B89"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2" w:type="dxa"/>
            <w:vAlign w:val="center"/>
          </w:tcPr>
          <w:p w14:paraId="5EE27692"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3" w:type="dxa"/>
            <w:vAlign w:val="center"/>
          </w:tcPr>
          <w:p w14:paraId="30EBBAE6"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4.00</w:t>
            </w:r>
          </w:p>
        </w:tc>
      </w:tr>
      <w:tr w:rsidR="000E5655" w:rsidRPr="0043038D" w14:paraId="28BDD1F4" w14:textId="77777777">
        <w:trPr>
          <w:jc w:val="center"/>
        </w:trPr>
        <w:tc>
          <w:tcPr>
            <w:tcW w:w="2047" w:type="dxa"/>
            <w:vMerge/>
            <w:vAlign w:val="center"/>
          </w:tcPr>
          <w:p w14:paraId="346C7CE5"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41003C0D"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14:paraId="410C96EA"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14:paraId="1B0660D5"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14:paraId="5EBD8C57"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r w:rsidR="000E5655" w:rsidRPr="0043038D" w14:paraId="6126C09A" w14:textId="77777777">
        <w:trPr>
          <w:jc w:val="center"/>
        </w:trPr>
        <w:tc>
          <w:tcPr>
            <w:tcW w:w="2047" w:type="dxa"/>
            <w:vMerge w:val="restart"/>
            <w:vAlign w:val="center"/>
          </w:tcPr>
          <w:p w14:paraId="152C4A2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14:paraId="5F253260"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14:paraId="310A6AE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14:paraId="77B444E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14:paraId="59C4776F"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14:paraId="2F027297" w14:textId="77777777">
        <w:trPr>
          <w:jc w:val="center"/>
        </w:trPr>
        <w:tc>
          <w:tcPr>
            <w:tcW w:w="2047" w:type="dxa"/>
            <w:vMerge/>
            <w:vAlign w:val="center"/>
          </w:tcPr>
          <w:p w14:paraId="26B7C7A3"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73727D1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14:paraId="0A3518F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14:paraId="320BBEA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14:paraId="079D0CD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14:paraId="03DCBABF" w14:textId="77777777">
        <w:trPr>
          <w:jc w:val="center"/>
        </w:trPr>
        <w:tc>
          <w:tcPr>
            <w:tcW w:w="2047" w:type="dxa"/>
            <w:vMerge w:val="restart"/>
            <w:vAlign w:val="center"/>
          </w:tcPr>
          <w:p w14:paraId="0BF2E69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14:paraId="00842F1B"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14:paraId="6A0FDDE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14:paraId="7DC0982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14:paraId="6099B5B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14:paraId="6B1E4166" w14:textId="77777777">
        <w:trPr>
          <w:jc w:val="center"/>
        </w:trPr>
        <w:tc>
          <w:tcPr>
            <w:tcW w:w="2047" w:type="dxa"/>
            <w:vMerge/>
            <w:vAlign w:val="center"/>
          </w:tcPr>
          <w:p w14:paraId="45F4EAA2"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5FDA19FF"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14:paraId="4D2440F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14:paraId="02DD7B8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14:paraId="05D8D98A"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14:paraId="65082AAC" w14:textId="77777777">
        <w:trPr>
          <w:jc w:val="center"/>
        </w:trPr>
        <w:tc>
          <w:tcPr>
            <w:tcW w:w="2047" w:type="dxa"/>
            <w:vAlign w:val="center"/>
          </w:tcPr>
          <w:p w14:paraId="02BFD4B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14:paraId="145045FA"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待估</w:t>
            </w:r>
          </w:p>
        </w:tc>
        <w:tc>
          <w:tcPr>
            <w:tcW w:w="1813" w:type="dxa"/>
            <w:vAlign w:val="center"/>
          </w:tcPr>
          <w:p w14:paraId="669944F6"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14:paraId="20F78A9A"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14:paraId="538D0BBD"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bl>
    <w:p w14:paraId="055A0099"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14:paraId="678AA2DE" w14:textId="77777777">
        <w:trPr>
          <w:cantSplit/>
          <w:jc w:val="center"/>
        </w:trPr>
        <w:tc>
          <w:tcPr>
            <w:tcW w:w="9300" w:type="dxa"/>
            <w:tcBorders>
              <w:top w:val="dotted" w:sz="2" w:space="0" w:color="404040"/>
              <w:left w:val="dotted" w:sz="2" w:space="0" w:color="404040"/>
              <w:bottom w:val="dotted" w:sz="2" w:space="0" w:color="404040"/>
              <w:right w:val="dotted" w:sz="2" w:space="0" w:color="404040"/>
            </w:tcBorders>
          </w:tcPr>
          <w:p w14:paraId="68D5A793" w14:textId="77777777"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14:paraId="5A795A88" w14:textId="77777777">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14:paraId="4C971123" w14:textId="77777777" w:rsidR="000E5655" w:rsidRPr="0043038D" w:rsidRDefault="00837133">
            <w:pPr>
              <w:jc w:val="center"/>
              <w:rPr>
                <w:rFonts w:ascii="Calibri" w:hAnsi="Calibri"/>
              </w:rPr>
            </w:pPr>
            <w:r w:rsidRPr="0043038D">
              <w:rPr>
                <w:noProof/>
              </w:rPr>
              <w:drawing>
                <wp:inline distT="0" distB="0" distL="0" distR="0" wp14:anchorId="207B64E5" wp14:editId="38DA5AD8">
                  <wp:extent cx="5866765" cy="433197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66765" cy="4331970"/>
                          </a:xfrm>
                          <a:prstGeom prst="rect">
                            <a:avLst/>
                          </a:prstGeom>
                          <a:noFill/>
                          <a:ln>
                            <a:noFill/>
                          </a:ln>
                        </pic:spPr>
                      </pic:pic>
                    </a:graphicData>
                  </a:graphic>
                </wp:inline>
              </w:drawing>
            </w:r>
          </w:p>
        </w:tc>
      </w:tr>
    </w:tbl>
    <w:p w14:paraId="7C93060B" w14:textId="77777777" w:rsidR="000E5655" w:rsidRPr="0043038D" w:rsidRDefault="000E5655"/>
    <w:p w14:paraId="2F5BD0C1"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14:paraId="70644038"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14:paraId="5100A8D1"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5"/>
        <w:gridCol w:w="1410"/>
        <w:gridCol w:w="1800"/>
        <w:gridCol w:w="1800"/>
        <w:gridCol w:w="1800"/>
        <w:gridCol w:w="1804"/>
      </w:tblGrid>
      <w:tr w:rsidR="000E5655" w:rsidRPr="0043038D" w14:paraId="7D360C9C"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14:paraId="2159392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14:paraId="76F2AE8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14:paraId="571FADE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968" w:type="pct"/>
            <w:tcBorders>
              <w:top w:val="single" w:sz="4" w:space="0" w:color="auto"/>
              <w:left w:val="nil"/>
              <w:bottom w:val="single" w:sz="4" w:space="0" w:color="auto"/>
              <w:right w:val="single" w:sz="4" w:space="0" w:color="auto"/>
            </w:tcBorders>
            <w:vAlign w:val="center"/>
          </w:tcPr>
          <w:p w14:paraId="755EED1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970" w:type="pct"/>
            <w:tcBorders>
              <w:top w:val="single" w:sz="4" w:space="0" w:color="auto"/>
              <w:left w:val="nil"/>
              <w:bottom w:val="single" w:sz="4" w:space="0" w:color="auto"/>
              <w:right w:val="single" w:sz="4" w:space="0" w:color="auto"/>
            </w:tcBorders>
            <w:vAlign w:val="center"/>
          </w:tcPr>
          <w:p w14:paraId="55BAE02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6</w:t>
            </w:r>
          </w:p>
        </w:tc>
      </w:tr>
      <w:tr w:rsidR="000E5655" w:rsidRPr="0043038D" w14:paraId="37320E0F"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1D8EB1B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14:paraId="0644627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橡树湾</w:t>
            </w:r>
          </w:p>
        </w:tc>
        <w:tc>
          <w:tcPr>
            <w:tcW w:w="968" w:type="pct"/>
            <w:tcBorders>
              <w:top w:val="nil"/>
              <w:left w:val="nil"/>
              <w:bottom w:val="single" w:sz="4" w:space="0" w:color="auto"/>
              <w:right w:val="single" w:sz="4" w:space="0" w:color="auto"/>
            </w:tcBorders>
            <w:vAlign w:val="center"/>
          </w:tcPr>
          <w:p w14:paraId="088256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68" w:type="pct"/>
            <w:tcBorders>
              <w:top w:val="nil"/>
              <w:left w:val="nil"/>
              <w:bottom w:val="single" w:sz="4" w:space="0" w:color="auto"/>
              <w:right w:val="single" w:sz="4" w:space="0" w:color="auto"/>
            </w:tcBorders>
            <w:vAlign w:val="center"/>
          </w:tcPr>
          <w:p w14:paraId="0B48118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70" w:type="pct"/>
            <w:tcBorders>
              <w:top w:val="nil"/>
              <w:left w:val="nil"/>
              <w:bottom w:val="single" w:sz="4" w:space="0" w:color="auto"/>
              <w:right w:val="single" w:sz="4" w:space="0" w:color="auto"/>
            </w:tcBorders>
            <w:vAlign w:val="center"/>
          </w:tcPr>
          <w:p w14:paraId="66D5E7F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lang w:bidi="ar"/>
              </w:rPr>
              <w:t>世嘉博苑</w:t>
            </w:r>
          </w:p>
        </w:tc>
      </w:tr>
      <w:tr w:rsidR="000E5655" w:rsidRPr="0043038D" w14:paraId="4683DD77"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165228E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68F8A68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待估</w:t>
            </w:r>
          </w:p>
        </w:tc>
        <w:tc>
          <w:tcPr>
            <w:tcW w:w="968" w:type="pct"/>
            <w:tcBorders>
              <w:top w:val="nil"/>
              <w:left w:val="nil"/>
              <w:bottom w:val="single" w:sz="4" w:space="0" w:color="auto"/>
              <w:right w:val="single" w:sz="4" w:space="0" w:color="auto"/>
            </w:tcBorders>
            <w:vAlign w:val="center"/>
          </w:tcPr>
          <w:p w14:paraId="261A274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968" w:type="pct"/>
            <w:tcBorders>
              <w:top w:val="nil"/>
              <w:left w:val="nil"/>
              <w:bottom w:val="single" w:sz="4" w:space="0" w:color="auto"/>
              <w:right w:val="single" w:sz="4" w:space="0" w:color="auto"/>
            </w:tcBorders>
            <w:vAlign w:val="center"/>
          </w:tcPr>
          <w:p w14:paraId="546156C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970" w:type="pct"/>
            <w:tcBorders>
              <w:top w:val="nil"/>
              <w:left w:val="nil"/>
              <w:bottom w:val="single" w:sz="4" w:space="0" w:color="auto"/>
              <w:right w:val="single" w:sz="4" w:space="0" w:color="auto"/>
            </w:tcBorders>
            <w:vAlign w:val="center"/>
          </w:tcPr>
          <w:p w14:paraId="354C2D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14:paraId="37CC4714"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4BD3F95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14:paraId="1E117A0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14:paraId="1F82A52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7206776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14:paraId="7D1F60A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14:paraId="0CA6CD41"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32CFA4B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14:paraId="62EE707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705CA4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2D1409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14:paraId="74C6E0B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14:paraId="21818D03"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761D00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14:paraId="51A01FB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14:paraId="06EEC3B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14:paraId="10D741D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70" w:type="pct"/>
            <w:tcBorders>
              <w:top w:val="nil"/>
              <w:left w:val="nil"/>
              <w:bottom w:val="single" w:sz="4" w:space="0" w:color="auto"/>
              <w:right w:val="single" w:sz="4" w:space="0" w:color="auto"/>
            </w:tcBorders>
            <w:vAlign w:val="center"/>
          </w:tcPr>
          <w:p w14:paraId="2D04857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r>
      <w:tr w:rsidR="000E5655" w:rsidRPr="0043038D" w14:paraId="54788DC1" w14:textId="77777777">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14:paraId="020B70F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14:paraId="0BF8F15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14:paraId="684F995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估价对象周边</w:t>
            </w:r>
            <w:r w:rsidRPr="0043038D">
              <w:rPr>
                <w:rFonts w:ascii="Arial" w:hAnsi="Arial" w:cs="Arial"/>
                <w:sz w:val="16"/>
                <w:szCs w:val="18"/>
              </w:rPr>
              <w:t>2</w:t>
            </w:r>
            <w:r w:rsidRPr="0043038D">
              <w:rPr>
                <w:rFonts w:ascii="Arial" w:hAnsi="Arial" w:cs="Arial"/>
                <w:sz w:val="16"/>
                <w:szCs w:val="18"/>
              </w:rPr>
              <w:t>公里内有福星花园、宏大中园、宏盛家园、鸿坤理想城、九龙家园、九龙山庄、瑞海家园、同兴园、熙红印、兴都苑、兴海家园、月桂庄园等，居住小区规模较大，入住率较好，综合评价居住区成熟度较好。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14:paraId="50BB277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公里内有天悦壹号、诚苑中里、翠海明苑、合顺家园、德馨嘉园、御槐园、正商明苑居住小区规模较大，入住率较好，综合评价居住区成熟度较好。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14:paraId="36E5F4F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公里内有天悦壹号、诚苑中里、翠海明苑、合顺家园、德馨嘉园、御槐园、正商明苑居住小区规模较大，入住率较好，综合评价居住区成熟度较好。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14:paraId="2EF3A7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公里内有瑞海家园、兴海家园、宏盛家园、鸿坤理想城、同兴园、熙红印、兴都苑等，居住小区规模较大，入住率较好，综合评价居住区成熟度较好。</w:t>
            </w:r>
          </w:p>
        </w:tc>
      </w:tr>
      <w:tr w:rsidR="000E5655" w:rsidRPr="0043038D" w14:paraId="2D563E4A"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2FE306BF"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33869A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14:paraId="4DEFE31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南西路</w:t>
            </w:r>
          </w:p>
        </w:tc>
        <w:tc>
          <w:tcPr>
            <w:tcW w:w="968" w:type="pct"/>
            <w:tcBorders>
              <w:top w:val="nil"/>
              <w:left w:val="nil"/>
              <w:bottom w:val="single" w:sz="4" w:space="0" w:color="auto"/>
              <w:right w:val="single" w:sz="4" w:space="0" w:color="auto"/>
            </w:tcBorders>
            <w:vAlign w:val="center"/>
          </w:tcPr>
          <w:p w14:paraId="06E76B7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14:paraId="77121E4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14:paraId="0D205B2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14:paraId="083071E5"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60A0632A"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04092AA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14:paraId="6EB563A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2</w:t>
            </w:r>
            <w:r w:rsidRPr="0043038D">
              <w:rPr>
                <w:rFonts w:ascii="Arial" w:hAnsi="Arial" w:cs="Arial"/>
                <w:sz w:val="16"/>
                <w:szCs w:val="18"/>
              </w:rPr>
              <w:t>公里</w:t>
            </w:r>
          </w:p>
        </w:tc>
        <w:tc>
          <w:tcPr>
            <w:tcW w:w="968" w:type="pct"/>
            <w:tcBorders>
              <w:top w:val="nil"/>
              <w:left w:val="nil"/>
              <w:bottom w:val="single" w:sz="4" w:space="0" w:color="auto"/>
              <w:right w:val="single" w:sz="4" w:space="0" w:color="auto"/>
            </w:tcBorders>
            <w:vAlign w:val="center"/>
          </w:tcPr>
          <w:p w14:paraId="3FBD504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14:paraId="5CBE178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14:paraId="0398639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14:paraId="26A0F7F1"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458E04DB"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745D14E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14:paraId="31F7EFD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1</w:t>
            </w:r>
            <w:r w:rsidRPr="0043038D">
              <w:rPr>
                <w:rFonts w:ascii="Arial" w:hAnsi="Arial" w:cs="Arial"/>
                <w:sz w:val="16"/>
                <w:szCs w:val="18"/>
              </w:rPr>
              <w:t>公里内有</w:t>
            </w:r>
            <w:r w:rsidRPr="0043038D">
              <w:rPr>
                <w:rFonts w:ascii="Arial" w:hAnsi="Arial" w:cs="Arial"/>
                <w:sz w:val="16"/>
                <w:szCs w:val="18"/>
              </w:rPr>
              <w:t>366</w:t>
            </w:r>
            <w:r w:rsidRPr="0043038D">
              <w:rPr>
                <w:rFonts w:ascii="Arial" w:hAnsi="Arial" w:cs="Arial"/>
                <w:sz w:val="16"/>
                <w:szCs w:val="18"/>
              </w:rPr>
              <w:t>路、</w:t>
            </w:r>
            <w:r w:rsidRPr="0043038D">
              <w:rPr>
                <w:rFonts w:ascii="Arial" w:hAnsi="Arial" w:cs="Arial"/>
                <w:sz w:val="16"/>
                <w:szCs w:val="18"/>
              </w:rPr>
              <w:t>377</w:t>
            </w:r>
            <w:r w:rsidRPr="0043038D">
              <w:rPr>
                <w:rFonts w:ascii="Arial" w:hAnsi="Arial" w:cs="Arial"/>
                <w:sz w:val="16"/>
                <w:szCs w:val="18"/>
              </w:rPr>
              <w:t>路、</w:t>
            </w:r>
            <w:r w:rsidRPr="0043038D">
              <w:rPr>
                <w:rFonts w:ascii="Arial" w:hAnsi="Arial" w:cs="Arial"/>
                <w:sz w:val="16"/>
                <w:szCs w:val="18"/>
              </w:rPr>
              <w:t>410</w:t>
            </w:r>
            <w:r w:rsidRPr="0043038D">
              <w:rPr>
                <w:rFonts w:ascii="Arial" w:hAnsi="Arial" w:cs="Arial"/>
                <w:sz w:val="16"/>
                <w:szCs w:val="18"/>
              </w:rPr>
              <w:t>路、</w:t>
            </w:r>
            <w:r w:rsidRPr="0043038D">
              <w:rPr>
                <w:rFonts w:ascii="Arial" w:hAnsi="Arial" w:cs="Arial"/>
                <w:sz w:val="16"/>
                <w:szCs w:val="18"/>
              </w:rPr>
              <w:t>679</w:t>
            </w:r>
            <w:r w:rsidRPr="0043038D">
              <w:rPr>
                <w:rFonts w:ascii="Arial" w:hAnsi="Arial" w:cs="Arial"/>
                <w:sz w:val="16"/>
                <w:szCs w:val="18"/>
              </w:rPr>
              <w:t>路、</w:t>
            </w:r>
            <w:r w:rsidRPr="0043038D">
              <w:rPr>
                <w:rFonts w:ascii="Arial" w:hAnsi="Arial" w:cs="Arial"/>
                <w:sz w:val="16"/>
                <w:szCs w:val="18"/>
              </w:rPr>
              <w:t>827</w:t>
            </w:r>
            <w:r w:rsidRPr="0043038D">
              <w:rPr>
                <w:rFonts w:ascii="Arial" w:hAnsi="Arial" w:cs="Arial"/>
                <w:sz w:val="16"/>
                <w:szCs w:val="18"/>
              </w:rPr>
              <w:t>路、兴</w:t>
            </w:r>
            <w:r w:rsidRPr="0043038D">
              <w:rPr>
                <w:rFonts w:ascii="Arial" w:hAnsi="Arial" w:cs="Arial"/>
                <w:sz w:val="16"/>
                <w:szCs w:val="18"/>
              </w:rPr>
              <w:t>12</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68" w:type="pct"/>
            <w:tcBorders>
              <w:top w:val="nil"/>
              <w:left w:val="nil"/>
              <w:bottom w:val="single" w:sz="4" w:space="0" w:color="auto"/>
              <w:right w:val="single" w:sz="4" w:space="0" w:color="auto"/>
            </w:tcBorders>
            <w:vAlign w:val="center"/>
          </w:tcPr>
          <w:p w14:paraId="0FB8996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14:paraId="37E26BF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14:paraId="0454071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14:paraId="644C71E7"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08549253"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2F7E2F5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环境质量优劣度</w:t>
            </w:r>
          </w:p>
        </w:tc>
        <w:tc>
          <w:tcPr>
            <w:tcW w:w="968" w:type="pct"/>
            <w:tcBorders>
              <w:top w:val="nil"/>
              <w:left w:val="nil"/>
              <w:bottom w:val="single" w:sz="4" w:space="0" w:color="auto"/>
              <w:right w:val="single" w:sz="4" w:space="0" w:color="auto"/>
            </w:tcBorders>
            <w:vAlign w:val="center"/>
          </w:tcPr>
          <w:p w14:paraId="16EB683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68" w:type="pct"/>
            <w:tcBorders>
              <w:top w:val="nil"/>
              <w:left w:val="nil"/>
              <w:bottom w:val="single" w:sz="4" w:space="0" w:color="auto"/>
              <w:right w:val="single" w:sz="4" w:space="0" w:color="auto"/>
            </w:tcBorders>
            <w:vAlign w:val="center"/>
          </w:tcPr>
          <w:p w14:paraId="6008C0C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4AD81C6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14:paraId="5FC6AFA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14:paraId="016B7772"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63BA9085"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074723D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自然及人文环境</w:t>
            </w:r>
          </w:p>
        </w:tc>
        <w:tc>
          <w:tcPr>
            <w:tcW w:w="968" w:type="pct"/>
            <w:tcBorders>
              <w:top w:val="nil"/>
              <w:left w:val="nil"/>
              <w:bottom w:val="single" w:sz="4" w:space="0" w:color="auto"/>
              <w:right w:val="single" w:sz="4" w:space="0" w:color="auto"/>
            </w:tcBorders>
            <w:vAlign w:val="center"/>
          </w:tcPr>
          <w:p w14:paraId="4F36F40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r w:rsidRPr="0043038D">
              <w:rPr>
                <w:rFonts w:ascii="Arial" w:hAnsi="Arial" w:cs="Arial"/>
                <w:sz w:val="16"/>
                <w:szCs w:val="18"/>
              </w:rPr>
              <w:t>2</w:t>
            </w:r>
            <w:r w:rsidRPr="0043038D">
              <w:rPr>
                <w:rFonts w:ascii="Arial" w:hAnsi="Arial" w:cs="Arial"/>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14:paraId="0A3C933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公里有海子公园、槐新公园、南苑湿地公园等自然景观，自然与人文环境较好。</w:t>
            </w:r>
          </w:p>
        </w:tc>
        <w:tc>
          <w:tcPr>
            <w:tcW w:w="968" w:type="pct"/>
            <w:tcBorders>
              <w:top w:val="nil"/>
              <w:left w:val="nil"/>
              <w:bottom w:val="single" w:sz="4" w:space="0" w:color="auto"/>
              <w:right w:val="single" w:sz="4" w:space="0" w:color="auto"/>
            </w:tcBorders>
            <w:vAlign w:val="center"/>
          </w:tcPr>
          <w:p w14:paraId="50E8D40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公里有海子公园、槐新公园、南苑湿地公园等自然景观，自然与人文环境较好。</w:t>
            </w:r>
          </w:p>
        </w:tc>
        <w:tc>
          <w:tcPr>
            <w:tcW w:w="970" w:type="pct"/>
            <w:tcBorders>
              <w:top w:val="nil"/>
              <w:left w:val="nil"/>
              <w:bottom w:val="single" w:sz="4" w:space="0" w:color="auto"/>
              <w:right w:val="single" w:sz="4" w:space="0" w:color="auto"/>
            </w:tcBorders>
            <w:vAlign w:val="center"/>
          </w:tcPr>
          <w:p w14:paraId="0F1A5CE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14:paraId="4A20ACD5"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12D1FC40"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1CC6E0B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小区环境</w:t>
            </w:r>
          </w:p>
        </w:tc>
        <w:tc>
          <w:tcPr>
            <w:tcW w:w="968" w:type="pct"/>
            <w:tcBorders>
              <w:top w:val="nil"/>
              <w:left w:val="nil"/>
              <w:bottom w:val="single" w:sz="4" w:space="0" w:color="auto"/>
              <w:right w:val="single" w:sz="4" w:space="0" w:color="auto"/>
            </w:tcBorders>
            <w:vAlign w:val="center"/>
          </w:tcPr>
          <w:p w14:paraId="14A6C98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5D8EB68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46FCE66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14:paraId="6F206D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14:paraId="2EBEF4ED"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6293481C"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4742471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公共服务设施状况</w:t>
            </w:r>
          </w:p>
        </w:tc>
        <w:tc>
          <w:tcPr>
            <w:tcW w:w="968" w:type="pct"/>
            <w:tcBorders>
              <w:top w:val="nil"/>
              <w:left w:val="nil"/>
              <w:bottom w:val="single" w:sz="4" w:space="0" w:color="auto"/>
              <w:right w:val="single" w:sz="4" w:space="0" w:color="auto"/>
            </w:tcBorders>
            <w:vAlign w:val="center"/>
          </w:tcPr>
          <w:p w14:paraId="54AF27C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估价对象所在区域周边</w:t>
            </w:r>
            <w:r w:rsidRPr="0043038D">
              <w:rPr>
                <w:rFonts w:ascii="Arial" w:hAnsi="Arial" w:cs="Arial"/>
                <w:sz w:val="16"/>
                <w:szCs w:val="18"/>
              </w:rPr>
              <w:t>2</w:t>
            </w:r>
            <w:r w:rsidRPr="0043038D">
              <w:rPr>
                <w:rFonts w:ascii="Arial" w:hAnsi="Arial" w:cs="Arial"/>
                <w:sz w:val="16"/>
                <w:szCs w:val="18"/>
              </w:rPr>
              <w:t>公里范围内有鸿坤广场、北京荟聚、西红门新光界等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14:paraId="5E96145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p>
        </w:tc>
        <w:tc>
          <w:tcPr>
            <w:tcW w:w="968" w:type="pct"/>
            <w:tcBorders>
              <w:top w:val="nil"/>
              <w:left w:val="nil"/>
              <w:bottom w:val="single" w:sz="4" w:space="0" w:color="auto"/>
              <w:right w:val="single" w:sz="4" w:space="0" w:color="auto"/>
            </w:tcBorders>
            <w:vAlign w:val="center"/>
          </w:tcPr>
          <w:p w14:paraId="3E977B5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p>
        </w:tc>
        <w:tc>
          <w:tcPr>
            <w:tcW w:w="970" w:type="pct"/>
            <w:tcBorders>
              <w:top w:val="nil"/>
              <w:left w:val="nil"/>
              <w:bottom w:val="single" w:sz="4" w:space="0" w:color="auto"/>
              <w:right w:val="single" w:sz="4" w:space="0" w:color="auto"/>
            </w:tcBorders>
            <w:vAlign w:val="center"/>
          </w:tcPr>
          <w:p w14:paraId="5464813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有鸿坤广场、北京荟聚、西红门新光界等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14:paraId="0EFDB32C"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6EC6F3EC"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1889E0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5123E8D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14:paraId="69A80F3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中楼层</w:t>
            </w:r>
          </w:p>
        </w:tc>
        <w:tc>
          <w:tcPr>
            <w:tcW w:w="968" w:type="pct"/>
            <w:tcBorders>
              <w:top w:val="nil"/>
              <w:left w:val="nil"/>
              <w:bottom w:val="single" w:sz="4" w:space="0" w:color="auto"/>
              <w:right w:val="single" w:sz="4" w:space="0" w:color="auto"/>
            </w:tcBorders>
            <w:vAlign w:val="center"/>
          </w:tcPr>
          <w:p w14:paraId="6F5D8B8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14:paraId="72BE70E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14:paraId="276EBC39" w14:textId="77777777">
        <w:trPr>
          <w:trHeight w:val="397"/>
          <w:jc w:val="center"/>
        </w:trPr>
        <w:tc>
          <w:tcPr>
            <w:tcW w:w="364" w:type="pct"/>
            <w:vMerge/>
            <w:tcBorders>
              <w:top w:val="nil"/>
              <w:left w:val="single" w:sz="4" w:space="0" w:color="auto"/>
              <w:bottom w:val="single" w:sz="4" w:space="0" w:color="auto"/>
              <w:right w:val="single" w:sz="4" w:space="0" w:color="auto"/>
            </w:tcBorders>
            <w:vAlign w:val="center"/>
          </w:tcPr>
          <w:p w14:paraId="35CF5875"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E81403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14:paraId="6F8880C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14:paraId="62C1183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14:paraId="24CA488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c>
          <w:tcPr>
            <w:tcW w:w="970" w:type="pct"/>
            <w:tcBorders>
              <w:top w:val="nil"/>
              <w:left w:val="nil"/>
              <w:bottom w:val="single" w:sz="4" w:space="0" w:color="auto"/>
              <w:right w:val="single" w:sz="4" w:space="0" w:color="auto"/>
            </w:tcBorders>
            <w:vAlign w:val="center"/>
          </w:tcPr>
          <w:p w14:paraId="7F4C268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r>
      <w:tr w:rsidR="000E5655" w:rsidRPr="0043038D" w14:paraId="2088BBEE" w14:textId="77777777">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14:paraId="5E378C9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14:paraId="1418FA9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14:paraId="1D52FB4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p>
        </w:tc>
        <w:tc>
          <w:tcPr>
            <w:tcW w:w="968" w:type="pct"/>
            <w:tcBorders>
              <w:top w:val="single" w:sz="4" w:space="0" w:color="auto"/>
              <w:left w:val="nil"/>
              <w:bottom w:val="single" w:sz="4" w:space="0" w:color="auto"/>
              <w:right w:val="single" w:sz="4" w:space="0" w:color="auto"/>
            </w:tcBorders>
            <w:vAlign w:val="center"/>
          </w:tcPr>
          <w:p w14:paraId="137EAD0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14:paraId="7DBFF3E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14:paraId="47FBC38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14:paraId="41C5F629"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389E618B"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2F10E14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14:paraId="359FE53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522A640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3F4D091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09634E7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14:paraId="6C8FBA2F"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62814EF2"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15BE81C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14:paraId="48850C9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334145F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6A25DC4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4980C8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14:paraId="0A919DF8"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60E682FA"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063B8B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14:paraId="3571450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5570CED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63BAFC2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14:paraId="1767F79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14:paraId="7281A9B8"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0F65E539"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5317830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14:paraId="480AED7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664528C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14:paraId="063B254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14:paraId="2610EDD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14:paraId="08D1A855"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7358FCC4"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7E5CE0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14:paraId="061DF93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小两居</w:t>
            </w:r>
          </w:p>
        </w:tc>
        <w:tc>
          <w:tcPr>
            <w:tcW w:w="968" w:type="pct"/>
            <w:tcBorders>
              <w:top w:val="single" w:sz="4" w:space="0" w:color="auto"/>
              <w:left w:val="nil"/>
              <w:bottom w:val="single" w:sz="4" w:space="0" w:color="auto"/>
              <w:right w:val="single" w:sz="4" w:space="0" w:color="auto"/>
            </w:tcBorders>
            <w:vAlign w:val="center"/>
          </w:tcPr>
          <w:p w14:paraId="46EEE44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55B7AF0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70" w:type="pct"/>
            <w:tcBorders>
              <w:top w:val="single" w:sz="4" w:space="0" w:color="auto"/>
              <w:left w:val="nil"/>
              <w:bottom w:val="single" w:sz="4" w:space="0" w:color="auto"/>
              <w:right w:val="single" w:sz="4" w:space="0" w:color="auto"/>
            </w:tcBorders>
            <w:vAlign w:val="center"/>
          </w:tcPr>
          <w:p w14:paraId="02C2DE2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r>
      <w:tr w:rsidR="000E5655" w:rsidRPr="0043038D" w14:paraId="6643F306"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6E338BC3"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4A85A23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14:paraId="03AD797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14:paraId="3118ACE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14:paraId="1AAD22D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70" w:type="pct"/>
            <w:tcBorders>
              <w:top w:val="single" w:sz="4" w:space="0" w:color="auto"/>
              <w:left w:val="nil"/>
              <w:bottom w:val="single" w:sz="4" w:space="0" w:color="auto"/>
              <w:right w:val="single" w:sz="4" w:space="0" w:color="auto"/>
            </w:tcBorders>
            <w:vAlign w:val="center"/>
          </w:tcPr>
          <w:p w14:paraId="7F1F13B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r>
      <w:tr w:rsidR="000E5655" w:rsidRPr="0043038D" w14:paraId="6FF84CFB"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57CF1926"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F04BD3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14:paraId="33DADA5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63.15</w:t>
            </w:r>
          </w:p>
        </w:tc>
        <w:tc>
          <w:tcPr>
            <w:tcW w:w="968" w:type="pct"/>
            <w:tcBorders>
              <w:top w:val="single" w:sz="4" w:space="0" w:color="auto"/>
              <w:left w:val="nil"/>
              <w:bottom w:val="single" w:sz="4" w:space="0" w:color="auto"/>
              <w:right w:val="single" w:sz="4" w:space="0" w:color="auto"/>
            </w:tcBorders>
            <w:vAlign w:val="center"/>
          </w:tcPr>
          <w:p w14:paraId="6DF717C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61.5</w:t>
            </w:r>
          </w:p>
        </w:tc>
        <w:tc>
          <w:tcPr>
            <w:tcW w:w="968" w:type="pct"/>
            <w:tcBorders>
              <w:top w:val="single" w:sz="4" w:space="0" w:color="auto"/>
              <w:left w:val="nil"/>
              <w:bottom w:val="single" w:sz="4" w:space="0" w:color="auto"/>
              <w:right w:val="single" w:sz="4" w:space="0" w:color="auto"/>
            </w:tcBorders>
            <w:vAlign w:val="center"/>
          </w:tcPr>
          <w:p w14:paraId="3B57A41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68</w:t>
            </w:r>
          </w:p>
        </w:tc>
        <w:tc>
          <w:tcPr>
            <w:tcW w:w="970" w:type="pct"/>
            <w:tcBorders>
              <w:top w:val="single" w:sz="4" w:space="0" w:color="auto"/>
              <w:left w:val="nil"/>
              <w:bottom w:val="single" w:sz="4" w:space="0" w:color="auto"/>
              <w:right w:val="single" w:sz="4" w:space="0" w:color="auto"/>
            </w:tcBorders>
            <w:vAlign w:val="center"/>
          </w:tcPr>
          <w:p w14:paraId="2C3E601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61.77</w:t>
            </w:r>
          </w:p>
        </w:tc>
      </w:tr>
      <w:tr w:rsidR="000E5655" w:rsidRPr="0043038D" w14:paraId="6099DCE5"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23AE2D1A"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6C04F1E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14:paraId="14C1BC6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6765BB5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44D014F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14:paraId="7DC0982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14:paraId="490FC807" w14:textId="77777777">
        <w:trPr>
          <w:trHeight w:val="397"/>
          <w:jc w:val="center"/>
        </w:trPr>
        <w:tc>
          <w:tcPr>
            <w:tcW w:w="364" w:type="pct"/>
            <w:vMerge w:val="restart"/>
            <w:tcBorders>
              <w:left w:val="single" w:sz="4" w:space="0" w:color="auto"/>
              <w:bottom w:val="single" w:sz="4" w:space="0" w:color="auto"/>
              <w:right w:val="single" w:sz="4" w:space="0" w:color="auto"/>
            </w:tcBorders>
            <w:vAlign w:val="center"/>
          </w:tcPr>
          <w:p w14:paraId="09BC170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14:paraId="0FCC5F9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14:paraId="2E7B8A2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546FEEC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6527543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30D7276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14:paraId="252B1C38"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7D79890F"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A8C007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水电气费执行标准</w:t>
            </w:r>
          </w:p>
        </w:tc>
        <w:tc>
          <w:tcPr>
            <w:tcW w:w="968" w:type="pct"/>
            <w:tcBorders>
              <w:top w:val="single" w:sz="4" w:space="0" w:color="auto"/>
              <w:left w:val="nil"/>
              <w:bottom w:val="single" w:sz="4" w:space="0" w:color="auto"/>
              <w:right w:val="single" w:sz="4" w:space="0" w:color="auto"/>
            </w:tcBorders>
            <w:vAlign w:val="center"/>
          </w:tcPr>
          <w:p w14:paraId="27FA53A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68" w:type="pct"/>
            <w:tcBorders>
              <w:top w:val="single" w:sz="4" w:space="0" w:color="auto"/>
              <w:left w:val="nil"/>
              <w:bottom w:val="single" w:sz="4" w:space="0" w:color="auto"/>
              <w:right w:val="single" w:sz="4" w:space="0" w:color="auto"/>
            </w:tcBorders>
            <w:vAlign w:val="center"/>
          </w:tcPr>
          <w:p w14:paraId="496834F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68" w:type="pct"/>
            <w:tcBorders>
              <w:top w:val="single" w:sz="4" w:space="0" w:color="auto"/>
              <w:left w:val="nil"/>
              <w:bottom w:val="single" w:sz="4" w:space="0" w:color="auto"/>
              <w:right w:val="single" w:sz="4" w:space="0" w:color="auto"/>
            </w:tcBorders>
            <w:vAlign w:val="center"/>
          </w:tcPr>
          <w:p w14:paraId="3DC5A96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70" w:type="pct"/>
            <w:tcBorders>
              <w:top w:val="single" w:sz="4" w:space="0" w:color="auto"/>
              <w:left w:val="nil"/>
              <w:bottom w:val="single" w:sz="4" w:space="0" w:color="auto"/>
              <w:right w:val="single" w:sz="4" w:space="0" w:color="auto"/>
            </w:tcBorders>
            <w:vAlign w:val="center"/>
          </w:tcPr>
          <w:p w14:paraId="63007F9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r>
    </w:tbl>
    <w:p w14:paraId="01E666D1" w14:textId="77777777" w:rsidR="000E5655" w:rsidRPr="0043038D" w:rsidRDefault="000E5655">
      <w:pPr>
        <w:overflowPunct w:val="0"/>
        <w:spacing w:line="480" w:lineRule="auto"/>
        <w:ind w:firstLineChars="200" w:firstLine="420"/>
        <w:jc w:val="center"/>
        <w:rPr>
          <w:rFonts w:ascii="Arial" w:hAnsi="Arial"/>
          <w:sz w:val="21"/>
          <w:szCs w:val="21"/>
        </w:rPr>
      </w:pPr>
    </w:p>
    <w:p w14:paraId="7F030490" w14:textId="77777777" w:rsidR="000E5655" w:rsidRPr="0043038D" w:rsidRDefault="000E5655">
      <w:pPr>
        <w:overflowPunct w:val="0"/>
        <w:spacing w:line="480" w:lineRule="auto"/>
        <w:ind w:firstLineChars="200" w:firstLine="420"/>
        <w:jc w:val="center"/>
        <w:rPr>
          <w:rFonts w:ascii="Arial" w:hAnsi="Arial"/>
          <w:sz w:val="21"/>
          <w:szCs w:val="21"/>
        </w:rPr>
      </w:pPr>
    </w:p>
    <w:p w14:paraId="31D301B3" w14:textId="77777777" w:rsidR="000E5655" w:rsidRPr="0043038D" w:rsidRDefault="000E5655">
      <w:pPr>
        <w:overflowPunct w:val="0"/>
        <w:spacing w:line="480" w:lineRule="auto"/>
        <w:ind w:firstLineChars="200" w:firstLine="420"/>
        <w:jc w:val="center"/>
        <w:rPr>
          <w:rFonts w:ascii="Arial" w:hAnsi="Arial"/>
          <w:sz w:val="21"/>
          <w:szCs w:val="21"/>
        </w:rPr>
      </w:pPr>
    </w:p>
    <w:p w14:paraId="06F5047A" w14:textId="77777777" w:rsidR="000E5655" w:rsidRPr="0043038D" w:rsidRDefault="000E5655">
      <w:pPr>
        <w:overflowPunct w:val="0"/>
        <w:spacing w:line="480" w:lineRule="auto"/>
        <w:ind w:firstLineChars="200" w:firstLine="420"/>
        <w:jc w:val="center"/>
        <w:rPr>
          <w:rFonts w:ascii="Arial" w:hAnsi="Arial"/>
          <w:sz w:val="21"/>
          <w:szCs w:val="21"/>
        </w:rPr>
      </w:pPr>
    </w:p>
    <w:p w14:paraId="00B964A3" w14:textId="77777777" w:rsidR="000E5655" w:rsidRPr="0043038D" w:rsidRDefault="000E5655">
      <w:pPr>
        <w:overflowPunct w:val="0"/>
        <w:spacing w:line="480" w:lineRule="auto"/>
        <w:ind w:firstLineChars="200" w:firstLine="420"/>
        <w:jc w:val="center"/>
        <w:rPr>
          <w:rFonts w:ascii="Arial" w:hAnsi="Arial"/>
          <w:sz w:val="21"/>
          <w:szCs w:val="21"/>
        </w:rPr>
      </w:pPr>
    </w:p>
    <w:p w14:paraId="63566A0D" w14:textId="77777777" w:rsidR="000E5655" w:rsidRPr="0043038D" w:rsidRDefault="000E5655">
      <w:pPr>
        <w:overflowPunct w:val="0"/>
        <w:spacing w:line="480" w:lineRule="auto"/>
        <w:ind w:firstLineChars="200" w:firstLine="420"/>
        <w:jc w:val="center"/>
        <w:rPr>
          <w:rFonts w:ascii="Arial" w:hAnsi="Arial"/>
          <w:sz w:val="21"/>
          <w:szCs w:val="21"/>
        </w:rPr>
      </w:pPr>
    </w:p>
    <w:p w14:paraId="052F4E58" w14:textId="77777777" w:rsidR="000E5655" w:rsidRPr="0043038D" w:rsidRDefault="000E5655">
      <w:pPr>
        <w:overflowPunct w:val="0"/>
        <w:spacing w:line="480" w:lineRule="auto"/>
        <w:ind w:firstLineChars="200" w:firstLine="420"/>
        <w:jc w:val="center"/>
        <w:rPr>
          <w:rFonts w:ascii="Arial" w:hAnsi="Arial"/>
          <w:sz w:val="21"/>
          <w:szCs w:val="21"/>
        </w:rPr>
      </w:pPr>
    </w:p>
    <w:p w14:paraId="02DD27D7" w14:textId="77777777" w:rsidR="000E5655" w:rsidRPr="0043038D" w:rsidRDefault="000E5655">
      <w:pPr>
        <w:overflowPunct w:val="0"/>
        <w:spacing w:line="480" w:lineRule="auto"/>
        <w:ind w:firstLineChars="200" w:firstLine="420"/>
        <w:jc w:val="center"/>
        <w:rPr>
          <w:rFonts w:ascii="Arial" w:hAnsi="Arial"/>
          <w:sz w:val="21"/>
          <w:szCs w:val="21"/>
        </w:rPr>
      </w:pPr>
    </w:p>
    <w:p w14:paraId="794E1A79" w14:textId="77777777" w:rsidR="000E5655" w:rsidRPr="0043038D" w:rsidRDefault="000E5655">
      <w:pPr>
        <w:overflowPunct w:val="0"/>
        <w:spacing w:line="480" w:lineRule="auto"/>
        <w:ind w:firstLineChars="200" w:firstLine="420"/>
        <w:jc w:val="center"/>
        <w:rPr>
          <w:rFonts w:ascii="Arial" w:hAnsi="Arial"/>
          <w:sz w:val="21"/>
          <w:szCs w:val="21"/>
        </w:rPr>
      </w:pPr>
    </w:p>
    <w:p w14:paraId="445A9D14" w14:textId="77777777" w:rsidR="000E5655" w:rsidRPr="0043038D" w:rsidRDefault="000E5655">
      <w:pPr>
        <w:wordWrap w:val="0"/>
        <w:overflowPunct w:val="0"/>
        <w:spacing w:line="480" w:lineRule="auto"/>
        <w:rPr>
          <w:rFonts w:ascii="Arial" w:hAnsi="Arial"/>
          <w:sz w:val="21"/>
          <w:szCs w:val="21"/>
        </w:rPr>
      </w:pPr>
    </w:p>
    <w:p w14:paraId="6348E241"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14:paraId="7E1CB738"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43038D">
        <w:rPr>
          <w:rFonts w:ascii="Arial" w:hAnsi="Arial" w:hint="eastAsia"/>
          <w:sz w:val="21"/>
          <w:szCs w:val="21"/>
        </w:rPr>
        <w:t>：</w:t>
      </w:r>
    </w:p>
    <w:p w14:paraId="2EADD6DB"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橡树湾</w:t>
      </w:r>
      <w:r w:rsidRPr="0043038D">
        <w:rPr>
          <w:rFonts w:ascii="Arial" w:hAnsi="Arial"/>
          <w:sz w:val="21"/>
          <w:szCs w:val="21"/>
        </w:rPr>
        <w:t>比较因素条件指数表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68"/>
        <w:gridCol w:w="983"/>
        <w:gridCol w:w="976"/>
        <w:gridCol w:w="976"/>
        <w:gridCol w:w="976"/>
        <w:gridCol w:w="976"/>
        <w:gridCol w:w="3719"/>
      </w:tblGrid>
      <w:tr w:rsidR="000E5655" w:rsidRPr="0043038D" w14:paraId="21C9DCB3" w14:textId="77777777">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5E185E9B" w14:textId="77777777"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14:paraId="67F25259" w14:textId="77777777"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14:paraId="564E0BB4" w14:textId="77777777" w:rsidR="000E5655" w:rsidRPr="0043038D" w:rsidRDefault="000E5655">
            <w:pPr>
              <w:snapToGrid w:val="0"/>
              <w:spacing w:line="240" w:lineRule="exact"/>
              <w:jc w:val="both"/>
              <w:rPr>
                <w:rFonts w:ascii="宋体" w:hAnsi="宋体" w:cs="Arial"/>
                <w:sz w:val="16"/>
                <w:szCs w:val="18"/>
              </w:rPr>
            </w:pPr>
          </w:p>
          <w:p w14:paraId="0B23DD66" w14:textId="77777777" w:rsidR="000E5655" w:rsidRPr="0043038D" w:rsidRDefault="000E5655">
            <w:pPr>
              <w:snapToGrid w:val="0"/>
              <w:spacing w:line="240" w:lineRule="exact"/>
              <w:jc w:val="both"/>
              <w:rPr>
                <w:rFonts w:ascii="宋体" w:hAnsi="宋体" w:cs="Arial"/>
                <w:sz w:val="16"/>
                <w:szCs w:val="18"/>
              </w:rPr>
            </w:pPr>
          </w:p>
          <w:p w14:paraId="79F13FD5"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14:paraId="372ACDE8"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14:paraId="002A1D1E"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可比实例4</w:t>
            </w:r>
          </w:p>
        </w:tc>
        <w:tc>
          <w:tcPr>
            <w:tcW w:w="532" w:type="pct"/>
            <w:tcBorders>
              <w:top w:val="single" w:sz="4" w:space="0" w:color="auto"/>
              <w:left w:val="nil"/>
              <w:bottom w:val="single" w:sz="4" w:space="0" w:color="auto"/>
              <w:right w:val="single" w:sz="4" w:space="0" w:color="auto"/>
            </w:tcBorders>
            <w:vAlign w:val="center"/>
          </w:tcPr>
          <w:p w14:paraId="6AABC796"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可比实例5</w:t>
            </w:r>
          </w:p>
        </w:tc>
        <w:tc>
          <w:tcPr>
            <w:tcW w:w="532" w:type="pct"/>
            <w:tcBorders>
              <w:top w:val="single" w:sz="4" w:space="0" w:color="auto"/>
              <w:left w:val="nil"/>
              <w:bottom w:val="single" w:sz="4" w:space="0" w:color="auto"/>
              <w:right w:val="single" w:sz="4" w:space="0" w:color="auto"/>
            </w:tcBorders>
            <w:vAlign w:val="center"/>
          </w:tcPr>
          <w:p w14:paraId="5B14AE78"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可比实例6</w:t>
            </w:r>
          </w:p>
        </w:tc>
        <w:tc>
          <w:tcPr>
            <w:tcW w:w="2027" w:type="pct"/>
            <w:tcBorders>
              <w:top w:val="single" w:sz="4" w:space="0" w:color="auto"/>
              <w:left w:val="nil"/>
              <w:bottom w:val="single" w:sz="4" w:space="0" w:color="auto"/>
              <w:right w:val="single" w:sz="4" w:space="0" w:color="auto"/>
            </w:tcBorders>
            <w:vAlign w:val="center"/>
          </w:tcPr>
          <w:p w14:paraId="437605D0"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14:paraId="3C4D4A66" w14:textId="7777777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5824743A" w14:textId="77777777"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14:paraId="098BAD9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14:paraId="4E8E34A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14:paraId="408674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14:paraId="013B0A8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lang w:bidi="ar"/>
              </w:rPr>
              <w:t>世嘉博苑</w:t>
            </w:r>
          </w:p>
        </w:tc>
        <w:tc>
          <w:tcPr>
            <w:tcW w:w="2027" w:type="pct"/>
            <w:tcBorders>
              <w:top w:val="nil"/>
              <w:left w:val="nil"/>
              <w:bottom w:val="single" w:sz="4" w:space="0" w:color="auto"/>
              <w:right w:val="single" w:sz="4" w:space="0" w:color="auto"/>
            </w:tcBorders>
            <w:vAlign w:val="center"/>
          </w:tcPr>
          <w:p w14:paraId="510EB547"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14:paraId="07B182EC"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7C2BF5AE"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14:paraId="3D7D111E" w14:textId="77777777" w:rsidR="000E5655" w:rsidRPr="0043038D" w:rsidRDefault="00837133">
            <w:pPr>
              <w:pStyle w:val="110"/>
              <w:autoSpaceDE w:val="0"/>
              <w:autoSpaceDN w:val="0"/>
              <w:snapToGrid w:val="0"/>
              <w:spacing w:line="240" w:lineRule="exact"/>
              <w:jc w:val="both"/>
              <w:textAlignment w:val="bottom"/>
              <w:rPr>
                <w:rFonts w:hAnsi="宋体" w:cs="Arial"/>
                <w:sz w:val="16"/>
                <w:szCs w:val="18"/>
              </w:rPr>
            </w:pPr>
            <w:r w:rsidRPr="0043038D">
              <w:rPr>
                <w:rFonts w:hAnsi="宋体" w:cs="Arial"/>
                <w:sz w:val="16"/>
                <w:szCs w:val="18"/>
              </w:rPr>
              <w:t>待估</w:t>
            </w:r>
          </w:p>
        </w:tc>
        <w:tc>
          <w:tcPr>
            <w:tcW w:w="976" w:type="dxa"/>
            <w:tcBorders>
              <w:top w:val="nil"/>
              <w:left w:val="nil"/>
              <w:bottom w:val="single" w:sz="4" w:space="0" w:color="auto"/>
              <w:right w:val="single" w:sz="4" w:space="0" w:color="auto"/>
            </w:tcBorders>
            <w:noWrap/>
            <w:vAlign w:val="center"/>
          </w:tcPr>
          <w:p w14:paraId="02067DF3"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68.92 </w:t>
            </w:r>
          </w:p>
        </w:tc>
        <w:tc>
          <w:tcPr>
            <w:tcW w:w="976" w:type="dxa"/>
            <w:tcBorders>
              <w:top w:val="nil"/>
              <w:left w:val="nil"/>
              <w:bottom w:val="single" w:sz="4" w:space="0" w:color="auto"/>
              <w:right w:val="single" w:sz="4" w:space="0" w:color="auto"/>
            </w:tcBorders>
            <w:noWrap/>
            <w:vAlign w:val="center"/>
          </w:tcPr>
          <w:p w14:paraId="4E1A82C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78.10 </w:t>
            </w:r>
          </w:p>
        </w:tc>
        <w:tc>
          <w:tcPr>
            <w:tcW w:w="976" w:type="dxa"/>
            <w:tcBorders>
              <w:top w:val="nil"/>
              <w:left w:val="nil"/>
              <w:bottom w:val="single" w:sz="4" w:space="0" w:color="auto"/>
              <w:right w:val="single" w:sz="4" w:space="0" w:color="auto"/>
            </w:tcBorders>
            <w:noWrap/>
            <w:vAlign w:val="center"/>
          </w:tcPr>
          <w:p w14:paraId="6A1812A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68.85 </w:t>
            </w:r>
          </w:p>
        </w:tc>
        <w:tc>
          <w:tcPr>
            <w:tcW w:w="2027" w:type="pct"/>
            <w:tcBorders>
              <w:top w:val="nil"/>
              <w:left w:val="nil"/>
              <w:bottom w:val="single" w:sz="4" w:space="0" w:color="auto"/>
              <w:right w:val="single" w:sz="4" w:space="0" w:color="auto"/>
            </w:tcBorders>
            <w:vAlign w:val="center"/>
          </w:tcPr>
          <w:p w14:paraId="38900235"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14:paraId="26CBE99B"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FF85F24"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14:paraId="3666C5E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FC27F3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396399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52C37F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7C6AC31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14:paraId="45F199C7"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7CDB074"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14:paraId="28F7477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17DFE8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99AF19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831FDB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10DE947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14:paraId="7409B0C5"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0A54241"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14:paraId="3EEBA51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128FEE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CC8C44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D1FC81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74B04F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14:paraId="7E1B2EC5"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2CF753F"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14:paraId="5BD1B924"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14:paraId="17B89051"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14:paraId="1E853F0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8CFD3F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802D40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F8D577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6C61C6F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5D2263BD"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3DE468E"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145B3B1"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14:paraId="5A0B5BC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0CBB56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1FB3CC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E56C07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21232A8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1A3911FA"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B593170"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7CA5F1D"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14:paraId="29AFDC0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A9932E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14:paraId="424224B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14:paraId="7E86D8F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14:paraId="163F6CA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14:paraId="20F3CDF7"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A73513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54FFFAC1"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14:paraId="7B43B26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F1FEFA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373A02E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478F4AE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14:paraId="5F38CBE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14:paraId="70F15873"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4313D2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0047C8E"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14:paraId="372B169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0B0DC7B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2AB387C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446DB8E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405AA82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14:paraId="3A42CD2F"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5DB18C7"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15284C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14:paraId="05BD85B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2BF7DD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74BA26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BA3436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15EBB4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54397466"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FC667B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69863AB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14:paraId="5D883B4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4E56EBB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779E561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1058FB6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0B0A86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22C98E1E"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B3345FF"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911126A"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14:paraId="5EFC50F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0BBC3A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E4D3A3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3BFA02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296F02C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57298468"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95DCCDF"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E8954CA"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14:paraId="458691B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68FF1A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14:paraId="6B35FF3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14:paraId="118CA44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2027" w:type="pct"/>
            <w:tcBorders>
              <w:top w:val="nil"/>
              <w:left w:val="nil"/>
              <w:bottom w:val="single" w:sz="4" w:space="0" w:color="auto"/>
              <w:right w:val="single" w:sz="4" w:space="0" w:color="auto"/>
            </w:tcBorders>
            <w:vAlign w:val="center"/>
          </w:tcPr>
          <w:p w14:paraId="5B86A30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w:t>
            </w:r>
            <w:r w:rsidRPr="0043038D">
              <w:rPr>
                <w:rFonts w:ascii="Arial" w:hAnsi="Arial" w:cs="Arial"/>
                <w:sz w:val="16"/>
                <w:szCs w:val="18"/>
              </w:rPr>
              <w:t>7</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p>
        </w:tc>
      </w:tr>
      <w:tr w:rsidR="000E5655" w:rsidRPr="0043038D" w14:paraId="4E027CD5" w14:textId="77777777">
        <w:trPr>
          <w:trHeight w:val="9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EC97873"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421EB87B"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14:paraId="2F98255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ADC7E1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99.5</w:t>
            </w:r>
          </w:p>
        </w:tc>
        <w:tc>
          <w:tcPr>
            <w:tcW w:w="532" w:type="pct"/>
            <w:tcBorders>
              <w:top w:val="nil"/>
              <w:left w:val="nil"/>
              <w:bottom w:val="single" w:sz="4" w:space="0" w:color="auto"/>
              <w:right w:val="single" w:sz="4" w:space="0" w:color="auto"/>
            </w:tcBorders>
            <w:noWrap/>
            <w:vAlign w:val="center"/>
          </w:tcPr>
          <w:p w14:paraId="77DD7D1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532" w:type="pct"/>
            <w:tcBorders>
              <w:top w:val="nil"/>
              <w:left w:val="nil"/>
              <w:bottom w:val="single" w:sz="4" w:space="0" w:color="auto"/>
              <w:right w:val="single" w:sz="4" w:space="0" w:color="auto"/>
            </w:tcBorders>
            <w:noWrap/>
            <w:vAlign w:val="center"/>
          </w:tcPr>
          <w:p w14:paraId="07149B4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14:paraId="3C957DA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从优到劣依次为：为南北向；南向；东、南；西、南；东、西；东；西；东、北；西、北；北。每档相差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14:paraId="2CA65E97"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07BD94F"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14:paraId="3A4C950D"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14:paraId="26FED60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14:paraId="1965E79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572814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44D5FFB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60C1078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14:paraId="684B526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p>
        </w:tc>
      </w:tr>
      <w:tr w:rsidR="000E5655" w:rsidRPr="0043038D" w14:paraId="4EB6F6EE"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87A0C6"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F2F7E35"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14:paraId="1C098C8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560BF4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B96F56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950B4B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383119C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394D6DC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C2BEA2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BC34811"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14:paraId="2DB082D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798B46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84D604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7B74737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3D7E81FC" w14:textId="13BDF776"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00332E91">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6535B2D6"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A7A0F5C"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67AC3DF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14:paraId="55D2557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125B88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1F250E6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BA551F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404654F3" w14:textId="02B56DAD"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00332E91">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7FA2D47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81A9D4C"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011597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14:paraId="04A29A9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D11D4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00E075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53CC77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57BCC37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6B3BD8E3"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4BEA4B7"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40C1CA23"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14:paraId="657469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DFC28E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0DB8E36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08F8D1F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98</w:t>
            </w:r>
          </w:p>
        </w:tc>
        <w:tc>
          <w:tcPr>
            <w:tcW w:w="2027" w:type="pct"/>
            <w:tcBorders>
              <w:top w:val="nil"/>
              <w:left w:val="nil"/>
              <w:bottom w:val="single" w:sz="4" w:space="0" w:color="auto"/>
              <w:right w:val="single" w:sz="4" w:space="0" w:color="auto"/>
            </w:tcBorders>
            <w:vAlign w:val="center"/>
          </w:tcPr>
          <w:p w14:paraId="4C9AD72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hint="eastAsia"/>
                <w:sz w:val="16"/>
                <w:szCs w:val="18"/>
              </w:rPr>
              <w:t>98</w:t>
            </w:r>
            <w:r w:rsidRPr="0043038D">
              <w:rPr>
                <w:rFonts w:ascii="Arial" w:hAnsi="Arial" w:cs="Arial"/>
                <w:sz w:val="16"/>
                <w:szCs w:val="18"/>
              </w:rPr>
              <w:t>；</w:t>
            </w:r>
          </w:p>
        </w:tc>
      </w:tr>
      <w:tr w:rsidR="000E5655" w:rsidRPr="0043038D" w14:paraId="70B5F3A1"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1FC7CBD"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E4A5DA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14:paraId="05F8181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9C17317"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D69046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0DBF05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009F0CA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23A2F404"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F505CD5"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9060144"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14:paraId="166B55C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EC6CFD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0</w:t>
            </w:r>
          </w:p>
        </w:tc>
        <w:tc>
          <w:tcPr>
            <w:tcW w:w="532" w:type="pct"/>
            <w:tcBorders>
              <w:top w:val="nil"/>
              <w:left w:val="nil"/>
              <w:bottom w:val="single" w:sz="4" w:space="0" w:color="auto"/>
              <w:right w:val="single" w:sz="4" w:space="0" w:color="auto"/>
            </w:tcBorders>
            <w:noWrap/>
            <w:vAlign w:val="center"/>
          </w:tcPr>
          <w:p w14:paraId="1C1F6FE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D15994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40A561BA" w14:textId="77777777"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p>
        </w:tc>
      </w:tr>
      <w:tr w:rsidR="000E5655" w:rsidRPr="0043038D" w14:paraId="30A0EB22"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D77EFF5"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D3D4DD1"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14:paraId="73DF0D2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F08CD9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14:paraId="1FC4D34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14:paraId="5CEA436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14:paraId="2229975F" w14:textId="77777777"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14:paraId="3717BC8C"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2869461A"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69B3299C"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14:paraId="1950418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6EEBB8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F9DCC1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3AB6D3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289AF52"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05F6CB9A"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4A925F2"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8217BA6"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水电气费执行标准</w:t>
            </w:r>
          </w:p>
        </w:tc>
        <w:tc>
          <w:tcPr>
            <w:tcW w:w="532" w:type="pct"/>
            <w:tcBorders>
              <w:top w:val="nil"/>
              <w:left w:val="nil"/>
              <w:bottom w:val="single" w:sz="4" w:space="0" w:color="auto"/>
              <w:right w:val="single" w:sz="4" w:space="0" w:color="auto"/>
            </w:tcBorders>
            <w:noWrap/>
            <w:vAlign w:val="center"/>
          </w:tcPr>
          <w:p w14:paraId="079154C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D6DA54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26AE9A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A92FA3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7397146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估价对象与案例均采用民水民电，确定可比实例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14:paraId="67ED831F" w14:textId="77777777" w:rsidR="000E5655" w:rsidRPr="0043038D" w:rsidRDefault="000E5655">
      <w:pPr>
        <w:wordWrap w:val="0"/>
        <w:overflowPunct w:val="0"/>
        <w:spacing w:line="480" w:lineRule="auto"/>
        <w:rPr>
          <w:rFonts w:ascii="Arial" w:hAnsi="Arial"/>
          <w:sz w:val="21"/>
          <w:szCs w:val="21"/>
        </w:rPr>
      </w:pPr>
    </w:p>
    <w:p w14:paraId="1DCC3499" w14:textId="77777777" w:rsidR="000E5655" w:rsidRPr="0043038D" w:rsidRDefault="000E5655">
      <w:pPr>
        <w:wordWrap w:val="0"/>
        <w:overflowPunct w:val="0"/>
        <w:spacing w:line="480" w:lineRule="auto"/>
        <w:rPr>
          <w:rFonts w:ascii="Arial" w:hAnsi="Arial"/>
          <w:sz w:val="21"/>
          <w:szCs w:val="21"/>
        </w:rPr>
      </w:pPr>
    </w:p>
    <w:p w14:paraId="3E0AA07B" w14:textId="77777777" w:rsidR="000E5655" w:rsidRPr="0043038D" w:rsidRDefault="000E5655">
      <w:pPr>
        <w:wordWrap w:val="0"/>
        <w:overflowPunct w:val="0"/>
        <w:spacing w:line="480" w:lineRule="auto"/>
        <w:rPr>
          <w:rFonts w:ascii="Arial" w:hAnsi="Arial"/>
          <w:sz w:val="21"/>
          <w:szCs w:val="21"/>
        </w:rPr>
      </w:pPr>
    </w:p>
    <w:p w14:paraId="38BB72CA" w14:textId="77777777" w:rsidR="000E5655" w:rsidRPr="0043038D" w:rsidRDefault="000E5655">
      <w:pPr>
        <w:wordWrap w:val="0"/>
        <w:overflowPunct w:val="0"/>
        <w:spacing w:line="480" w:lineRule="auto"/>
        <w:rPr>
          <w:rFonts w:ascii="Arial" w:hAnsi="Arial"/>
          <w:sz w:val="21"/>
          <w:szCs w:val="21"/>
        </w:rPr>
      </w:pPr>
    </w:p>
    <w:p w14:paraId="0A2F7CA3" w14:textId="77777777" w:rsidR="000E5655" w:rsidRPr="0043038D" w:rsidRDefault="000E5655">
      <w:pPr>
        <w:wordWrap w:val="0"/>
        <w:overflowPunct w:val="0"/>
        <w:spacing w:line="480" w:lineRule="auto"/>
        <w:rPr>
          <w:rFonts w:ascii="Arial" w:hAnsi="Arial"/>
          <w:sz w:val="21"/>
          <w:szCs w:val="21"/>
        </w:rPr>
      </w:pPr>
    </w:p>
    <w:p w14:paraId="5ACD371B"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14:paraId="0DC7E200"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根据比较因素条件指数表，编制因素各项目比较修正系数表，详见下表：</w:t>
      </w:r>
    </w:p>
    <w:p w14:paraId="4835CFA6"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14:paraId="10953B1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36BEF3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6EC5F27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897" w:type="pct"/>
            <w:tcBorders>
              <w:top w:val="single" w:sz="4" w:space="0" w:color="auto"/>
              <w:left w:val="nil"/>
              <w:bottom w:val="single" w:sz="4" w:space="0" w:color="auto"/>
              <w:right w:val="single" w:sz="4" w:space="0" w:color="auto"/>
            </w:tcBorders>
            <w:vAlign w:val="center"/>
          </w:tcPr>
          <w:p w14:paraId="3AF4A4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hint="eastAsia"/>
                <w:sz w:val="16"/>
                <w:szCs w:val="18"/>
              </w:rPr>
              <w:t>5</w:t>
            </w:r>
          </w:p>
        </w:tc>
        <w:tc>
          <w:tcPr>
            <w:tcW w:w="897" w:type="pct"/>
            <w:tcBorders>
              <w:top w:val="single" w:sz="4" w:space="0" w:color="auto"/>
              <w:left w:val="nil"/>
              <w:bottom w:val="single" w:sz="4" w:space="0" w:color="auto"/>
              <w:right w:val="single" w:sz="4" w:space="0" w:color="auto"/>
            </w:tcBorders>
            <w:vAlign w:val="center"/>
          </w:tcPr>
          <w:p w14:paraId="56658B1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14:paraId="2F15353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809678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2BD5956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14:paraId="3BD0CDA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14:paraId="546E85F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lang w:bidi="ar"/>
              </w:rPr>
              <w:t>世嘉博苑</w:t>
            </w:r>
          </w:p>
        </w:tc>
      </w:tr>
      <w:tr w:rsidR="000E5655" w:rsidRPr="0043038D" w14:paraId="46EE819C" w14:textId="77777777">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BA7171B"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14:paraId="342E536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1666" w:type="dxa"/>
            <w:tcBorders>
              <w:top w:val="nil"/>
              <w:left w:val="nil"/>
              <w:bottom w:val="single" w:sz="4" w:space="0" w:color="auto"/>
              <w:right w:val="single" w:sz="4" w:space="0" w:color="auto"/>
            </w:tcBorders>
            <w:vAlign w:val="center"/>
          </w:tcPr>
          <w:p w14:paraId="704191A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1666" w:type="dxa"/>
            <w:tcBorders>
              <w:top w:val="nil"/>
              <w:left w:val="nil"/>
              <w:bottom w:val="single" w:sz="4" w:space="0" w:color="auto"/>
              <w:right w:val="single" w:sz="4" w:space="0" w:color="auto"/>
            </w:tcBorders>
            <w:vAlign w:val="center"/>
          </w:tcPr>
          <w:p w14:paraId="1E7D45E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14:paraId="6C82294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6EF1257"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5C9F772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CAC2F4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49E6B2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B745E3A"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875C49B"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3904636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866FC6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1EDD0E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0959F87"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A4F99E7"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5AD0340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0687C7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37B69C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8135C5B"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3715FB0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614BEE1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38FAE60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C57F21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4F00C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039E6D1"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9CAC5C3"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3116DE1"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0EB138B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FDA88F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DC66C6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5C8FB9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48589E4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ABC755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7AEE5C4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14:paraId="2556E92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14:paraId="123C7E6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14:paraId="55A14DD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A68E46F"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5107DF2"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04BC7E1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4E3CFA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146DDC1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14:paraId="70E77BA8"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8346276"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CB2208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14:paraId="5896EF2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1626F3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8521B2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3D7D8F87"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B7FBE7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EBB8EF5"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2C684D3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866BC0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8472C5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947655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4F7FA2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8453272"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14:paraId="61ACE55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0E69DE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A44B7A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7790C2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308110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782F405"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14:paraId="15D824A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00212E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A9BD64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F09D2D0"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9D43F9D"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E991EC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533EDA1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14:paraId="2D4077F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14:paraId="1D465A7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r>
      <w:tr w:rsidR="000E5655" w:rsidRPr="0043038D" w14:paraId="7E046D6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6E93CE5"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CD1F40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7D8BC4B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99.5</w:t>
            </w:r>
          </w:p>
        </w:tc>
        <w:tc>
          <w:tcPr>
            <w:tcW w:w="897" w:type="pct"/>
            <w:tcBorders>
              <w:top w:val="nil"/>
              <w:left w:val="nil"/>
              <w:bottom w:val="single" w:sz="4" w:space="0" w:color="auto"/>
              <w:right w:val="single" w:sz="4" w:space="0" w:color="auto"/>
            </w:tcBorders>
            <w:vAlign w:val="center"/>
          </w:tcPr>
          <w:p w14:paraId="7607DE8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c>
          <w:tcPr>
            <w:tcW w:w="897" w:type="pct"/>
            <w:tcBorders>
              <w:top w:val="nil"/>
              <w:left w:val="nil"/>
              <w:bottom w:val="single" w:sz="4" w:space="0" w:color="auto"/>
              <w:right w:val="single" w:sz="4" w:space="0" w:color="auto"/>
            </w:tcBorders>
            <w:vAlign w:val="center"/>
          </w:tcPr>
          <w:p w14:paraId="26F0C6B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r>
      <w:tr w:rsidR="000E5655" w:rsidRPr="0043038D" w14:paraId="471CB9F3" w14:textId="7777777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AE65CE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42875BF1"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14:paraId="5DDF0BB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50D112D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7FCBC39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r>
      <w:tr w:rsidR="000E5655" w:rsidRPr="0043038D" w14:paraId="7F77CC3C" w14:textId="77777777">
        <w:trPr>
          <w:trHeight w:val="227"/>
        </w:trPr>
        <w:tc>
          <w:tcPr>
            <w:tcW w:w="793" w:type="pct"/>
            <w:vMerge/>
            <w:tcBorders>
              <w:left w:val="single" w:sz="4" w:space="0" w:color="auto"/>
              <w:bottom w:val="single" w:sz="4" w:space="0" w:color="auto"/>
              <w:right w:val="single" w:sz="4" w:space="0" w:color="auto"/>
            </w:tcBorders>
            <w:vAlign w:val="center"/>
          </w:tcPr>
          <w:p w14:paraId="34167D9D"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DDDBDCF"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1EC79CD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AD9D55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1DABC5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DD3008C" w14:textId="77777777">
        <w:trPr>
          <w:trHeight w:val="227"/>
        </w:trPr>
        <w:tc>
          <w:tcPr>
            <w:tcW w:w="793" w:type="pct"/>
            <w:vMerge/>
            <w:tcBorders>
              <w:left w:val="single" w:sz="4" w:space="0" w:color="auto"/>
              <w:bottom w:val="single" w:sz="4" w:space="0" w:color="auto"/>
              <w:right w:val="single" w:sz="4" w:space="0" w:color="auto"/>
            </w:tcBorders>
            <w:vAlign w:val="center"/>
          </w:tcPr>
          <w:p w14:paraId="31E32551"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21B504A"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1CE42C1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87CE02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9AFF19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E96612E" w14:textId="77777777">
        <w:trPr>
          <w:trHeight w:val="227"/>
        </w:trPr>
        <w:tc>
          <w:tcPr>
            <w:tcW w:w="793" w:type="pct"/>
            <w:vMerge/>
            <w:tcBorders>
              <w:left w:val="single" w:sz="4" w:space="0" w:color="auto"/>
              <w:bottom w:val="single" w:sz="4" w:space="0" w:color="auto"/>
              <w:right w:val="single" w:sz="4" w:space="0" w:color="auto"/>
            </w:tcBorders>
            <w:vAlign w:val="center"/>
          </w:tcPr>
          <w:p w14:paraId="42C8CF87"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CCE51A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021E29F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A3C9D1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263ED6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499FEEC0" w14:textId="77777777">
        <w:trPr>
          <w:trHeight w:val="227"/>
        </w:trPr>
        <w:tc>
          <w:tcPr>
            <w:tcW w:w="793" w:type="pct"/>
            <w:vMerge/>
            <w:tcBorders>
              <w:left w:val="single" w:sz="4" w:space="0" w:color="auto"/>
              <w:bottom w:val="single" w:sz="4" w:space="0" w:color="auto"/>
              <w:right w:val="single" w:sz="4" w:space="0" w:color="auto"/>
            </w:tcBorders>
            <w:vAlign w:val="center"/>
          </w:tcPr>
          <w:p w14:paraId="5A1AEB5D"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5C43DD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6484CF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60DA18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3FBB01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16B3934" w14:textId="77777777">
        <w:trPr>
          <w:trHeight w:val="227"/>
        </w:trPr>
        <w:tc>
          <w:tcPr>
            <w:tcW w:w="793" w:type="pct"/>
            <w:vMerge/>
            <w:tcBorders>
              <w:left w:val="single" w:sz="4" w:space="0" w:color="auto"/>
              <w:bottom w:val="single" w:sz="4" w:space="0" w:color="auto"/>
              <w:right w:val="single" w:sz="4" w:space="0" w:color="auto"/>
            </w:tcBorders>
            <w:vAlign w:val="center"/>
          </w:tcPr>
          <w:p w14:paraId="179707A8"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80D6B96"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55E50BC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4F0159D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01E0355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98</w:t>
            </w:r>
          </w:p>
        </w:tc>
      </w:tr>
      <w:tr w:rsidR="000E5655" w:rsidRPr="0043038D" w14:paraId="54766872" w14:textId="77777777">
        <w:trPr>
          <w:trHeight w:val="227"/>
        </w:trPr>
        <w:tc>
          <w:tcPr>
            <w:tcW w:w="793" w:type="pct"/>
            <w:vMerge/>
            <w:tcBorders>
              <w:left w:val="single" w:sz="4" w:space="0" w:color="auto"/>
              <w:bottom w:val="single" w:sz="4" w:space="0" w:color="auto"/>
              <w:right w:val="single" w:sz="4" w:space="0" w:color="auto"/>
            </w:tcBorders>
            <w:vAlign w:val="center"/>
          </w:tcPr>
          <w:p w14:paraId="597E374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A1AFF19"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58B9424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630F36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EF6FDE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4439B51" w14:textId="77777777">
        <w:trPr>
          <w:trHeight w:val="227"/>
        </w:trPr>
        <w:tc>
          <w:tcPr>
            <w:tcW w:w="793" w:type="pct"/>
            <w:vMerge/>
            <w:tcBorders>
              <w:left w:val="single" w:sz="4" w:space="0" w:color="auto"/>
              <w:bottom w:val="single" w:sz="4" w:space="0" w:color="auto"/>
              <w:right w:val="single" w:sz="4" w:space="0" w:color="auto"/>
            </w:tcBorders>
            <w:vAlign w:val="center"/>
          </w:tcPr>
          <w:p w14:paraId="5D91B0B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935F58A"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66196F6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8D4563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4FCE0A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9D75EE2" w14:textId="77777777">
        <w:trPr>
          <w:trHeight w:val="227"/>
        </w:trPr>
        <w:tc>
          <w:tcPr>
            <w:tcW w:w="793" w:type="pct"/>
            <w:vMerge/>
            <w:tcBorders>
              <w:left w:val="single" w:sz="4" w:space="0" w:color="auto"/>
              <w:bottom w:val="single" w:sz="4" w:space="0" w:color="auto"/>
              <w:right w:val="single" w:sz="4" w:space="0" w:color="auto"/>
            </w:tcBorders>
            <w:vAlign w:val="center"/>
          </w:tcPr>
          <w:p w14:paraId="60AA7027"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59D8095"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065A83A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978BDD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817885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73E3E2A" w14:textId="77777777">
        <w:trPr>
          <w:trHeight w:val="227"/>
        </w:trPr>
        <w:tc>
          <w:tcPr>
            <w:tcW w:w="793" w:type="pct"/>
            <w:vMerge w:val="restart"/>
            <w:tcBorders>
              <w:left w:val="single" w:sz="4" w:space="0" w:color="auto"/>
              <w:bottom w:val="single" w:sz="4" w:space="0" w:color="auto"/>
              <w:right w:val="single" w:sz="4" w:space="0" w:color="auto"/>
            </w:tcBorders>
            <w:vAlign w:val="center"/>
          </w:tcPr>
          <w:p w14:paraId="265FCAB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43EF7976"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55136E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57755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E0C419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4812D7A5" w14:textId="77777777">
        <w:trPr>
          <w:trHeight w:val="227"/>
        </w:trPr>
        <w:tc>
          <w:tcPr>
            <w:tcW w:w="793" w:type="pct"/>
            <w:vMerge/>
            <w:tcBorders>
              <w:left w:val="single" w:sz="4" w:space="0" w:color="auto"/>
              <w:bottom w:val="single" w:sz="4" w:space="0" w:color="auto"/>
              <w:right w:val="single" w:sz="4" w:space="0" w:color="auto"/>
            </w:tcBorders>
            <w:vAlign w:val="center"/>
          </w:tcPr>
          <w:p w14:paraId="19E39D17"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C0E27F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水电气费执行标准</w:t>
            </w:r>
          </w:p>
        </w:tc>
        <w:tc>
          <w:tcPr>
            <w:tcW w:w="897" w:type="pct"/>
            <w:tcBorders>
              <w:top w:val="nil"/>
              <w:left w:val="nil"/>
              <w:bottom w:val="single" w:sz="4" w:space="0" w:color="auto"/>
              <w:right w:val="single" w:sz="4" w:space="0" w:color="auto"/>
            </w:tcBorders>
            <w:vAlign w:val="center"/>
          </w:tcPr>
          <w:p w14:paraId="561EFEF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27852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D2CBB1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9C32EF1"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5E7B0C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74769CD5" w14:textId="77777777"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1.0509</w:t>
            </w:r>
          </w:p>
        </w:tc>
        <w:tc>
          <w:tcPr>
            <w:tcW w:w="897" w:type="pct"/>
            <w:tcBorders>
              <w:top w:val="single" w:sz="4" w:space="0" w:color="auto"/>
              <w:left w:val="nil"/>
              <w:bottom w:val="single" w:sz="4" w:space="0" w:color="auto"/>
              <w:right w:val="single" w:sz="4" w:space="0" w:color="auto"/>
            </w:tcBorders>
            <w:vAlign w:val="center"/>
          </w:tcPr>
          <w:p w14:paraId="056B9AF5" w14:textId="77777777"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1.0737</w:t>
            </w:r>
          </w:p>
        </w:tc>
        <w:tc>
          <w:tcPr>
            <w:tcW w:w="897" w:type="pct"/>
            <w:tcBorders>
              <w:top w:val="single" w:sz="4" w:space="0" w:color="auto"/>
              <w:left w:val="nil"/>
              <w:bottom w:val="single" w:sz="4" w:space="0" w:color="auto"/>
              <w:right w:val="single" w:sz="4" w:space="0" w:color="auto"/>
            </w:tcBorders>
            <w:vAlign w:val="center"/>
          </w:tcPr>
          <w:p w14:paraId="0C245AFC" w14:textId="77777777"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1.1294</w:t>
            </w:r>
          </w:p>
        </w:tc>
      </w:tr>
      <w:tr w:rsidR="000E5655" w:rsidRPr="0043038D" w14:paraId="58CBFD51"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FECB2A2"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14:paraId="368DDDF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72.43</w:t>
            </w:r>
          </w:p>
        </w:tc>
        <w:tc>
          <w:tcPr>
            <w:tcW w:w="1707" w:type="dxa"/>
            <w:tcBorders>
              <w:top w:val="single" w:sz="4" w:space="0" w:color="auto"/>
              <w:left w:val="nil"/>
              <w:bottom w:val="single" w:sz="4" w:space="0" w:color="auto"/>
              <w:right w:val="single" w:sz="4" w:space="0" w:color="auto"/>
            </w:tcBorders>
            <w:vAlign w:val="center"/>
          </w:tcPr>
          <w:p w14:paraId="7B8878B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83.86</w:t>
            </w:r>
          </w:p>
        </w:tc>
        <w:tc>
          <w:tcPr>
            <w:tcW w:w="1707" w:type="dxa"/>
            <w:tcBorders>
              <w:top w:val="single" w:sz="4" w:space="0" w:color="auto"/>
              <w:left w:val="nil"/>
              <w:bottom w:val="single" w:sz="4" w:space="0" w:color="auto"/>
              <w:right w:val="single" w:sz="4" w:space="0" w:color="auto"/>
            </w:tcBorders>
            <w:vAlign w:val="center"/>
          </w:tcPr>
          <w:p w14:paraId="3D8CACB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77.76</w:t>
            </w:r>
          </w:p>
        </w:tc>
      </w:tr>
    </w:tbl>
    <w:p w14:paraId="24C1F5C7" w14:textId="77777777"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（待估房地产交易情况指数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（待估房地产区域状况条件指数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（待估房地产实物状况条件指数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14:paraId="3FFE959B"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14:paraId="24BE2BA2" w14:textId="77777777"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14:paraId="2E9CB4E7"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sz w:val="21"/>
          <w:szCs w:val="21"/>
        </w:rPr>
        <w:t>2</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72.43+</w:t>
      </w:r>
      <w:r w:rsidRPr="0043038D">
        <w:rPr>
          <w:rFonts w:ascii="Arial" w:hAnsi="Arial"/>
          <w:sz w:val="21"/>
          <w:szCs w:val="21"/>
        </w:rPr>
        <w:t>8</w:t>
      </w:r>
      <w:r w:rsidRPr="0043038D">
        <w:rPr>
          <w:rFonts w:ascii="Arial" w:hAnsi="Arial" w:hint="eastAsia"/>
          <w:sz w:val="21"/>
          <w:szCs w:val="21"/>
        </w:rPr>
        <w:t>3.86+77.76</w:t>
      </w:r>
      <w:r w:rsidRPr="0043038D">
        <w:rPr>
          <w:rFonts w:ascii="Arial" w:hAnsi="Arial" w:hint="eastAsia"/>
          <w:sz w:val="21"/>
          <w:szCs w:val="21"/>
        </w:rPr>
        <w:t>）÷</w:t>
      </w:r>
      <w:r w:rsidRPr="0043038D">
        <w:rPr>
          <w:rFonts w:ascii="Arial" w:hAnsi="Arial"/>
          <w:sz w:val="21"/>
          <w:szCs w:val="21"/>
        </w:rPr>
        <w:t>3</w:t>
      </w:r>
    </w:p>
    <w:p w14:paraId="4CD4CD98"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78.02</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14:paraId="1AE02B98" w14:textId="77777777"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C.</w:t>
      </w:r>
      <w:r w:rsidRPr="0043038D">
        <w:rPr>
          <w:rFonts w:ascii="Arial" w:hAnsi="Arial" w:cs="Arial" w:hint="eastAsia"/>
          <w:b/>
          <w:sz w:val="21"/>
          <w:szCs w:val="21"/>
        </w:rPr>
        <w:t>标准房</w:t>
      </w:r>
      <w:r w:rsidRPr="0043038D">
        <w:rPr>
          <w:rFonts w:ascii="Arial" w:hAnsi="Arial" w:cs="Arial"/>
          <w:b/>
          <w:sz w:val="21"/>
          <w:szCs w:val="21"/>
        </w:rPr>
        <w:t>3</w:t>
      </w:r>
      <w:r w:rsidRPr="0043038D">
        <w:rPr>
          <w:rFonts w:ascii="Arial" w:hAnsi="Arial" w:cs="Arial" w:hint="eastAsia"/>
          <w:b/>
          <w:sz w:val="21"/>
          <w:szCs w:val="21"/>
        </w:rPr>
        <w:t>（两</w:t>
      </w:r>
      <w:r w:rsidRPr="0043038D">
        <w:rPr>
          <w:rFonts w:ascii="宋体" w:hAnsi="宋体" w:hint="eastAsia"/>
          <w:b/>
          <w:sz w:val="21"/>
          <w:szCs w:val="21"/>
        </w:rPr>
        <w:t>居室标准房市场租金水平）</w:t>
      </w:r>
    </w:p>
    <w:p w14:paraId="24F524DC"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选取案例并作因素条件说明</w:t>
      </w:r>
    </w:p>
    <w:p w14:paraId="6B93E010"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r w:rsidRPr="0043038D">
        <w:rPr>
          <w:rFonts w:ascii="Arial" w:hAnsi="Arial" w:cs="Arial" w:hint="eastAsia"/>
          <w:sz w:val="21"/>
          <w:szCs w:val="21"/>
        </w:rPr>
        <w:t>大兴</w:t>
      </w:r>
      <w:r w:rsidRPr="0043038D">
        <w:rPr>
          <w:rFonts w:ascii="Arial" w:hAnsi="Arial" w:cs="Arial"/>
          <w:sz w:val="21"/>
          <w:szCs w:val="21"/>
        </w:rPr>
        <w:t>区及其周边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14:paraId="2307C558"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w:t>
      </w:r>
    </w:p>
    <w:p w14:paraId="7C2A7A6F"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14:paraId="04A800B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14:paraId="3C313BC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14:paraId="47CF61CA"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79E75F11"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3C370377"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hint="eastAsia"/>
          <w:sz w:val="21"/>
          <w:szCs w:val="21"/>
        </w:rPr>
        <w:t>周边有天悦壹号、诚苑中里、翠海明苑、合顺家园、德馨嘉园、御槐园、正商明苑居住小区规模较大，入住率较好，综合评价居住区成熟度较好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，综合评价交通便捷度较好；周边有海子公园、槐新公园、南苑湿地公园等自然景观，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为</w:t>
      </w:r>
      <w:r w:rsidRPr="0043038D">
        <w:rPr>
          <w:rFonts w:ascii="Arial" w:hAnsi="Arial" w:cs="Arial" w:hint="eastAsia"/>
          <w:sz w:val="21"/>
          <w:szCs w:val="21"/>
        </w:rPr>
        <w:t>二居室</w:t>
      </w:r>
      <w:r w:rsidRPr="0043038D">
        <w:rPr>
          <w:rFonts w:ascii="Arial" w:hAnsi="Arial" w:cs="Arial"/>
          <w:sz w:val="21"/>
          <w:szCs w:val="21"/>
        </w:rPr>
        <w:t>户型，</w:t>
      </w:r>
      <w:r w:rsidRPr="0043038D">
        <w:rPr>
          <w:rFonts w:ascii="Arial" w:hAnsi="Arial" w:cs="Arial" w:hint="eastAsia"/>
          <w:sz w:val="21"/>
          <w:szCs w:val="21"/>
        </w:rPr>
        <w:t>高</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80.44</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65.88</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hint="eastAsia"/>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14:paraId="258CC27A"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w:t>
      </w:r>
    </w:p>
    <w:p w14:paraId="240D786C"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世嘉博苑</w:t>
      </w:r>
    </w:p>
    <w:p w14:paraId="33D18042"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北京市大兴区欣宁街</w:t>
      </w:r>
      <w:r w:rsidRPr="0043038D">
        <w:rPr>
          <w:rFonts w:ascii="Arial" w:hAnsi="Arial" w:cs="Arial" w:hint="eastAsia"/>
          <w:sz w:val="21"/>
          <w:szCs w:val="21"/>
        </w:rPr>
        <w:t>67</w:t>
      </w:r>
      <w:r w:rsidRPr="0043038D">
        <w:rPr>
          <w:rFonts w:ascii="Arial" w:hAnsi="Arial" w:cs="Arial" w:hint="eastAsia"/>
          <w:sz w:val="21"/>
          <w:szCs w:val="21"/>
        </w:rPr>
        <w:t>号</w:t>
      </w:r>
    </w:p>
    <w:p w14:paraId="0732203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14:paraId="290ADFAF"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21340029"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62F6F896"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公里内有瑞海家园、兴海家园、宏盛家园、鸿坤理想城、同兴园、熙红印、兴都苑等，居住小区规模较大，入住率较好，综合评价居住区成熟度较好；东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w:t>
      </w:r>
      <w:r w:rsidRPr="0043038D">
        <w:rPr>
          <w:rFonts w:ascii="Arial" w:hAnsi="Arial" w:cs="Arial" w:hint="eastAsia"/>
          <w:kern w:val="2"/>
          <w:sz w:val="21"/>
          <w:szCs w:val="21"/>
        </w:rPr>
        <w:t>鸿坤广场、北京荟聚、西红门新光界</w:t>
      </w:r>
      <w:r w:rsidRPr="0043038D">
        <w:rPr>
          <w:rFonts w:ascii="Arial" w:hAnsi="Arial" w:cs="Arial"/>
          <w:kern w:val="2"/>
          <w:sz w:val="21"/>
          <w:szCs w:val="21"/>
        </w:rPr>
        <w:t>等商业场所；有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为</w:t>
      </w:r>
      <w:r w:rsidRPr="0043038D">
        <w:rPr>
          <w:rFonts w:ascii="Arial" w:hAnsi="Arial" w:cs="Arial" w:hint="eastAsia"/>
          <w:sz w:val="21"/>
          <w:szCs w:val="21"/>
        </w:rPr>
        <w:t>二居室</w:t>
      </w:r>
      <w:r w:rsidRPr="0043038D">
        <w:rPr>
          <w:rFonts w:ascii="Arial" w:hAnsi="Arial" w:cs="Arial"/>
          <w:sz w:val="21"/>
          <w:szCs w:val="21"/>
        </w:rPr>
        <w:t>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sz w:val="21"/>
          <w:szCs w:val="21"/>
        </w:rPr>
        <w:t>平方米，</w:t>
      </w:r>
      <w:r w:rsidRPr="0043038D">
        <w:rPr>
          <w:rFonts w:ascii="Arial" w:hAnsi="Arial" w:cs="Arial" w:hint="eastAsia"/>
          <w:sz w:val="21"/>
          <w:szCs w:val="21"/>
        </w:rPr>
        <w:t>配备部分家具、家电较齐全；功能正常，质量有保证</w:t>
      </w:r>
      <w:r w:rsidRPr="0043038D">
        <w:rPr>
          <w:rFonts w:ascii="宋体" w:hAnsi="宋体" w:hint="eastAsia"/>
          <w:sz w:val="21"/>
          <w:szCs w:val="21"/>
        </w:rPr>
        <w:t>。交易价格</w:t>
      </w:r>
      <w:r w:rsidRPr="0043038D">
        <w:rPr>
          <w:rFonts w:ascii="Arial" w:hAnsi="Arial" w:cs="Arial" w:hint="eastAsia"/>
          <w:sz w:val="21"/>
          <w:szCs w:val="21"/>
        </w:rPr>
        <w:t>为</w:t>
      </w:r>
      <w:r w:rsidRPr="0043038D">
        <w:rPr>
          <w:rFonts w:ascii="Arial" w:hAnsi="Arial" w:cs="Arial" w:hint="eastAsia"/>
          <w:sz w:val="21"/>
          <w:szCs w:val="21"/>
        </w:rPr>
        <w:t>68.67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hint="eastAsia"/>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14:paraId="37AB8E93"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w:t>
      </w:r>
    </w:p>
    <w:p w14:paraId="4B896F73"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世嘉博苑</w:t>
      </w:r>
    </w:p>
    <w:p w14:paraId="728564A4"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北京市大兴区欣宁街</w:t>
      </w:r>
      <w:r w:rsidRPr="0043038D">
        <w:rPr>
          <w:rFonts w:ascii="Arial" w:hAnsi="Arial" w:cs="Arial" w:hint="eastAsia"/>
          <w:sz w:val="21"/>
          <w:szCs w:val="21"/>
        </w:rPr>
        <w:t>67</w:t>
      </w:r>
      <w:r w:rsidRPr="0043038D">
        <w:rPr>
          <w:rFonts w:ascii="Arial" w:hAnsi="Arial" w:cs="Arial" w:hint="eastAsia"/>
          <w:sz w:val="21"/>
          <w:szCs w:val="21"/>
        </w:rPr>
        <w:t>号</w:t>
      </w:r>
    </w:p>
    <w:p w14:paraId="0272EDEE"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14:paraId="0E1E6ACD"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14:paraId="3FF3FBD0" w14:textId="77777777"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14:paraId="0E103408" w14:textId="77777777"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公里内有瑞海家园、兴海家园、宏盛家园、鸿坤理想城、同兴园、熙红印、兴都苑等，居住小区规模较大，入住率较好，综合评价居住区成熟度较好；东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w:t>
      </w:r>
      <w:r w:rsidRPr="0043038D">
        <w:rPr>
          <w:rFonts w:ascii="Arial" w:hAnsi="Arial" w:cs="Arial" w:hint="eastAsia"/>
          <w:kern w:val="2"/>
          <w:sz w:val="21"/>
          <w:szCs w:val="21"/>
        </w:rPr>
        <w:t>鸿坤广场、北京荟聚、西红门新光界</w:t>
      </w:r>
      <w:r w:rsidRPr="0043038D">
        <w:rPr>
          <w:rFonts w:ascii="Arial" w:hAnsi="Arial" w:cs="Arial"/>
          <w:kern w:val="2"/>
          <w:sz w:val="21"/>
          <w:szCs w:val="21"/>
        </w:rPr>
        <w:t>等商业场所；有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所在社区有专业物业公司，物业服务保障好，且小区有一定规模的绿化，小区环境较好，小区内未配有专属活动站；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为</w:t>
      </w:r>
      <w:r w:rsidRPr="0043038D">
        <w:rPr>
          <w:rFonts w:ascii="Arial" w:hAnsi="Arial" w:cs="Arial" w:hint="eastAsia"/>
          <w:sz w:val="21"/>
          <w:szCs w:val="21"/>
        </w:rPr>
        <w:t>两</w:t>
      </w:r>
      <w:r w:rsidRPr="0043038D">
        <w:rPr>
          <w:rFonts w:ascii="Arial" w:hAnsi="Arial" w:cs="Arial"/>
          <w:sz w:val="21"/>
          <w:szCs w:val="21"/>
        </w:rPr>
        <w:t>居室户型，低楼层，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6.42</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65.96</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平方米·月（含物业费</w:t>
      </w:r>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14:paraId="1EA8C5BD"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14:paraId="3CA1E23D" w14:textId="77777777">
        <w:trPr>
          <w:jc w:val="center"/>
        </w:trPr>
        <w:tc>
          <w:tcPr>
            <w:tcW w:w="2047" w:type="dxa"/>
            <w:vAlign w:val="center"/>
          </w:tcPr>
          <w:p w14:paraId="4BB6AB4B"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14:paraId="39D6289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14:paraId="67E052F1"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1812" w:type="dxa"/>
            <w:vAlign w:val="center"/>
          </w:tcPr>
          <w:p w14:paraId="23DACDD4"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1813" w:type="dxa"/>
            <w:vAlign w:val="center"/>
          </w:tcPr>
          <w:p w14:paraId="1C17158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14:paraId="31CEA6A0" w14:textId="77777777">
        <w:trPr>
          <w:jc w:val="center"/>
        </w:trPr>
        <w:tc>
          <w:tcPr>
            <w:tcW w:w="2047" w:type="dxa"/>
            <w:vAlign w:val="center"/>
          </w:tcPr>
          <w:p w14:paraId="2971243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14:paraId="7487149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14:paraId="7D2DD10C" w14:textId="77777777" w:rsidR="000E5655" w:rsidRPr="0043038D" w:rsidRDefault="00837133">
            <w:pPr>
              <w:widowControl/>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14:paraId="61B9C4A6" w14:textId="77777777" w:rsidR="000E5655" w:rsidRPr="0043038D" w:rsidRDefault="00837133">
            <w:pPr>
              <w:widowControl/>
              <w:spacing w:line="240" w:lineRule="exact"/>
              <w:jc w:val="center"/>
              <w:textAlignment w:val="center"/>
              <w:rPr>
                <w:rFonts w:ascii="Arial" w:hAnsi="Arial" w:cs="Arial"/>
                <w:sz w:val="16"/>
                <w:szCs w:val="18"/>
              </w:rPr>
            </w:pPr>
            <w:r w:rsidRPr="0043038D">
              <w:rPr>
                <w:rFonts w:ascii="Arial" w:hAnsi="Arial" w:cs="Arial" w:hint="eastAsia"/>
                <w:sz w:val="16"/>
                <w:szCs w:val="18"/>
              </w:rPr>
              <w:t>世嘉博苑</w:t>
            </w:r>
          </w:p>
        </w:tc>
        <w:tc>
          <w:tcPr>
            <w:tcW w:w="1813" w:type="dxa"/>
            <w:vAlign w:val="center"/>
          </w:tcPr>
          <w:p w14:paraId="2EBA07EC" w14:textId="77777777" w:rsidR="000E5655" w:rsidRPr="0043038D" w:rsidRDefault="00837133">
            <w:pPr>
              <w:widowControl/>
              <w:spacing w:line="240" w:lineRule="exact"/>
              <w:jc w:val="center"/>
              <w:textAlignment w:val="center"/>
              <w:rPr>
                <w:rFonts w:ascii="Arial" w:hAnsi="Arial" w:cs="Arial"/>
                <w:sz w:val="16"/>
                <w:szCs w:val="18"/>
              </w:rPr>
            </w:pPr>
            <w:r w:rsidRPr="0043038D">
              <w:rPr>
                <w:rFonts w:ascii="Arial" w:hAnsi="Arial" w:cs="Arial" w:hint="eastAsia"/>
                <w:sz w:val="16"/>
                <w:szCs w:val="18"/>
              </w:rPr>
              <w:t>世嘉博苑</w:t>
            </w:r>
          </w:p>
        </w:tc>
      </w:tr>
      <w:tr w:rsidR="000E5655" w:rsidRPr="0043038D" w14:paraId="5A84E8E1" w14:textId="77777777">
        <w:trPr>
          <w:jc w:val="center"/>
        </w:trPr>
        <w:tc>
          <w:tcPr>
            <w:tcW w:w="2047" w:type="dxa"/>
            <w:vAlign w:val="center"/>
          </w:tcPr>
          <w:p w14:paraId="5FDB2350"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14:paraId="74E6901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待估</w:t>
            </w:r>
          </w:p>
        </w:tc>
        <w:tc>
          <w:tcPr>
            <w:tcW w:w="1813" w:type="dxa"/>
            <w:vAlign w:val="center"/>
          </w:tcPr>
          <w:p w14:paraId="4C3204D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65.88</w:t>
            </w:r>
          </w:p>
        </w:tc>
        <w:tc>
          <w:tcPr>
            <w:tcW w:w="1812" w:type="dxa"/>
            <w:vAlign w:val="center"/>
          </w:tcPr>
          <w:p w14:paraId="35F08126"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68.67</w:t>
            </w:r>
          </w:p>
        </w:tc>
        <w:tc>
          <w:tcPr>
            <w:tcW w:w="1813" w:type="dxa"/>
            <w:vAlign w:val="center"/>
          </w:tcPr>
          <w:p w14:paraId="66976EDC"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65.96</w:t>
            </w:r>
          </w:p>
        </w:tc>
      </w:tr>
      <w:tr w:rsidR="000E5655" w:rsidRPr="0043038D" w14:paraId="133BBE90" w14:textId="77777777">
        <w:trPr>
          <w:trHeight w:val="3402"/>
          <w:jc w:val="center"/>
        </w:trPr>
        <w:tc>
          <w:tcPr>
            <w:tcW w:w="2047" w:type="dxa"/>
            <w:vMerge w:val="restart"/>
            <w:vAlign w:val="center"/>
          </w:tcPr>
          <w:p w14:paraId="37E6DC5A"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14:paraId="2EA02FA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14:paraId="5250F408"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14:paraId="06AEB2FF" w14:textId="77777777"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14:paraId="77159D2D" w14:textId="77777777"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14:paraId="4451E5CB" w14:textId="77777777">
        <w:trPr>
          <w:jc w:val="center"/>
        </w:trPr>
        <w:tc>
          <w:tcPr>
            <w:tcW w:w="2047" w:type="dxa"/>
            <w:vMerge/>
            <w:vAlign w:val="center"/>
          </w:tcPr>
          <w:p w14:paraId="760A4D7C"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044B9093"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14:paraId="61F61B10"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4.25</w:t>
            </w:r>
          </w:p>
        </w:tc>
        <w:tc>
          <w:tcPr>
            <w:tcW w:w="1812" w:type="dxa"/>
            <w:vAlign w:val="center"/>
          </w:tcPr>
          <w:p w14:paraId="39790F7A"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c>
          <w:tcPr>
            <w:tcW w:w="1813" w:type="dxa"/>
            <w:vAlign w:val="center"/>
          </w:tcPr>
          <w:p w14:paraId="74538CEA"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r>
      <w:tr w:rsidR="000E5655" w:rsidRPr="0043038D" w14:paraId="1496C33B" w14:textId="77777777">
        <w:trPr>
          <w:jc w:val="center"/>
        </w:trPr>
        <w:tc>
          <w:tcPr>
            <w:tcW w:w="2047" w:type="dxa"/>
            <w:vMerge/>
            <w:vAlign w:val="center"/>
          </w:tcPr>
          <w:p w14:paraId="14E96F18"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5A57B718"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14:paraId="72180994"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14:paraId="1F346841"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14:paraId="38905843"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r w:rsidR="000E5655" w:rsidRPr="0043038D" w14:paraId="3361B51F" w14:textId="77777777">
        <w:trPr>
          <w:jc w:val="center"/>
        </w:trPr>
        <w:tc>
          <w:tcPr>
            <w:tcW w:w="2047" w:type="dxa"/>
            <w:vMerge w:val="restart"/>
            <w:vAlign w:val="center"/>
          </w:tcPr>
          <w:p w14:paraId="76CC6D7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14:paraId="1B8FA56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14:paraId="70C924FA"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14:paraId="6F9C6C60"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14:paraId="5EF68BE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14:paraId="68AA39E2" w14:textId="77777777">
        <w:trPr>
          <w:jc w:val="center"/>
        </w:trPr>
        <w:tc>
          <w:tcPr>
            <w:tcW w:w="2047" w:type="dxa"/>
            <w:vMerge/>
            <w:vAlign w:val="center"/>
          </w:tcPr>
          <w:p w14:paraId="466E3370"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0CB82CFA"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14:paraId="10A22BC5"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14:paraId="3875D9D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14:paraId="1C32EC91"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14:paraId="17F9767E" w14:textId="77777777">
        <w:trPr>
          <w:jc w:val="center"/>
        </w:trPr>
        <w:tc>
          <w:tcPr>
            <w:tcW w:w="2047" w:type="dxa"/>
            <w:vMerge w:val="restart"/>
            <w:vAlign w:val="center"/>
          </w:tcPr>
          <w:p w14:paraId="657B90AE"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14:paraId="506A4D8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14:paraId="192D50F2"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14:paraId="7A871506"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14:paraId="2B3E817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14:paraId="6B022984" w14:textId="77777777">
        <w:trPr>
          <w:jc w:val="center"/>
        </w:trPr>
        <w:tc>
          <w:tcPr>
            <w:tcW w:w="2047" w:type="dxa"/>
            <w:vMerge/>
            <w:vAlign w:val="center"/>
          </w:tcPr>
          <w:p w14:paraId="58438575" w14:textId="77777777"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14:paraId="3163B07F"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14:paraId="5876CD8E"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14:paraId="60B89D1F"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14:paraId="2570949E"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14:paraId="54652BB2" w14:textId="77777777">
        <w:trPr>
          <w:jc w:val="center"/>
        </w:trPr>
        <w:tc>
          <w:tcPr>
            <w:tcW w:w="2047" w:type="dxa"/>
            <w:vAlign w:val="center"/>
          </w:tcPr>
          <w:p w14:paraId="4CFFAF07"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14:paraId="07EA85F9" w14:textId="77777777"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待估</w:t>
            </w:r>
          </w:p>
        </w:tc>
        <w:tc>
          <w:tcPr>
            <w:tcW w:w="1813" w:type="dxa"/>
            <w:vAlign w:val="center"/>
          </w:tcPr>
          <w:p w14:paraId="4B22608C"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14:paraId="00DEB274"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14:paraId="7A70CC93" w14:textId="77777777"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bl>
    <w:p w14:paraId="484A40A0" w14:textId="77777777" w:rsidR="000E5655" w:rsidRPr="0043038D" w:rsidRDefault="000E5655">
      <w:pPr>
        <w:wordWrap w:val="0"/>
        <w:overflowPunct w:val="0"/>
        <w:spacing w:line="480" w:lineRule="auto"/>
        <w:ind w:firstLineChars="200" w:firstLine="420"/>
        <w:rPr>
          <w:rFonts w:ascii="宋体" w:hAnsi="宋体"/>
          <w:sz w:val="21"/>
          <w:szCs w:val="21"/>
        </w:rPr>
      </w:pPr>
    </w:p>
    <w:p w14:paraId="639E28B8"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14:paraId="4C292885" w14:textId="77777777">
        <w:trPr>
          <w:cantSplit/>
          <w:jc w:val="center"/>
        </w:trPr>
        <w:tc>
          <w:tcPr>
            <w:tcW w:w="9300" w:type="dxa"/>
            <w:tcBorders>
              <w:top w:val="dotted" w:sz="2" w:space="0" w:color="404040"/>
              <w:left w:val="dotted" w:sz="2" w:space="0" w:color="404040"/>
              <w:bottom w:val="dotted" w:sz="2" w:space="0" w:color="404040"/>
              <w:right w:val="dotted" w:sz="2" w:space="0" w:color="404040"/>
            </w:tcBorders>
          </w:tcPr>
          <w:p w14:paraId="458CF894" w14:textId="77777777"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14:paraId="5CD4058F" w14:textId="77777777">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14:paraId="62045F97" w14:textId="77777777" w:rsidR="000E5655" w:rsidRPr="0043038D" w:rsidRDefault="0043038D">
            <w:pPr>
              <w:jc w:val="center"/>
              <w:rPr>
                <w:rFonts w:ascii="Calibri" w:hAnsi="Calibri"/>
              </w:rPr>
            </w:pPr>
            <w:r>
              <w:rPr>
                <w:noProof/>
              </w:rPr>
              <w:drawing>
                <wp:inline distT="0" distB="0" distL="0" distR="0" wp14:anchorId="2BDBDD0C" wp14:editId="2CBBE143">
                  <wp:extent cx="5869940" cy="4136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9940" cy="4136390"/>
                          </a:xfrm>
                          <a:prstGeom prst="rect">
                            <a:avLst/>
                          </a:prstGeom>
                        </pic:spPr>
                      </pic:pic>
                    </a:graphicData>
                  </a:graphic>
                </wp:inline>
              </w:drawing>
            </w:r>
          </w:p>
        </w:tc>
      </w:tr>
    </w:tbl>
    <w:p w14:paraId="4CE639C2" w14:textId="77777777" w:rsidR="000E5655" w:rsidRPr="0043038D" w:rsidRDefault="000E5655"/>
    <w:p w14:paraId="37429627"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14:paraId="1087255F"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14:paraId="2BB160C4"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5"/>
        <w:gridCol w:w="1410"/>
        <w:gridCol w:w="1800"/>
        <w:gridCol w:w="1800"/>
        <w:gridCol w:w="1800"/>
        <w:gridCol w:w="1804"/>
      </w:tblGrid>
      <w:tr w:rsidR="000E5655" w:rsidRPr="0043038D" w14:paraId="1D25D091"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14:paraId="4ED9FBF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14:paraId="1BA43ED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14:paraId="070BD7F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968" w:type="pct"/>
            <w:tcBorders>
              <w:top w:val="single" w:sz="4" w:space="0" w:color="auto"/>
              <w:left w:val="nil"/>
              <w:bottom w:val="single" w:sz="4" w:space="0" w:color="auto"/>
              <w:right w:val="single" w:sz="4" w:space="0" w:color="auto"/>
            </w:tcBorders>
            <w:vAlign w:val="center"/>
          </w:tcPr>
          <w:p w14:paraId="6C67C22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970" w:type="pct"/>
            <w:tcBorders>
              <w:top w:val="single" w:sz="4" w:space="0" w:color="auto"/>
              <w:left w:val="nil"/>
              <w:bottom w:val="single" w:sz="4" w:space="0" w:color="auto"/>
              <w:right w:val="single" w:sz="4" w:space="0" w:color="auto"/>
            </w:tcBorders>
            <w:vAlign w:val="center"/>
          </w:tcPr>
          <w:p w14:paraId="638FC28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9</w:t>
            </w:r>
          </w:p>
        </w:tc>
      </w:tr>
      <w:tr w:rsidR="000E5655" w:rsidRPr="0043038D" w14:paraId="7A3613FE" w14:textId="77777777">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4EBF0E4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14:paraId="1292F40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14:paraId="2AA8D2F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68" w:type="pct"/>
            <w:tcBorders>
              <w:top w:val="nil"/>
              <w:left w:val="nil"/>
              <w:bottom w:val="single" w:sz="4" w:space="0" w:color="auto"/>
              <w:right w:val="single" w:sz="4" w:space="0" w:color="auto"/>
            </w:tcBorders>
            <w:vAlign w:val="center"/>
          </w:tcPr>
          <w:p w14:paraId="29B305F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世嘉博苑</w:t>
            </w:r>
          </w:p>
        </w:tc>
        <w:tc>
          <w:tcPr>
            <w:tcW w:w="970" w:type="pct"/>
            <w:tcBorders>
              <w:top w:val="nil"/>
              <w:left w:val="nil"/>
              <w:bottom w:val="single" w:sz="4" w:space="0" w:color="auto"/>
              <w:right w:val="single" w:sz="4" w:space="0" w:color="auto"/>
            </w:tcBorders>
            <w:vAlign w:val="center"/>
          </w:tcPr>
          <w:p w14:paraId="53F85DD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世嘉博苑</w:t>
            </w:r>
          </w:p>
        </w:tc>
      </w:tr>
      <w:tr w:rsidR="000E5655" w:rsidRPr="0043038D" w14:paraId="5D430F33"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07A9EB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1CB34A1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待估</w:t>
            </w:r>
          </w:p>
        </w:tc>
        <w:tc>
          <w:tcPr>
            <w:tcW w:w="968" w:type="pct"/>
            <w:tcBorders>
              <w:top w:val="nil"/>
              <w:left w:val="nil"/>
              <w:bottom w:val="single" w:sz="4" w:space="0" w:color="auto"/>
              <w:right w:val="single" w:sz="4" w:space="0" w:color="auto"/>
            </w:tcBorders>
            <w:vAlign w:val="center"/>
          </w:tcPr>
          <w:p w14:paraId="252D817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968" w:type="pct"/>
            <w:tcBorders>
              <w:top w:val="nil"/>
              <w:left w:val="nil"/>
              <w:bottom w:val="single" w:sz="4" w:space="0" w:color="auto"/>
              <w:right w:val="single" w:sz="4" w:space="0" w:color="auto"/>
            </w:tcBorders>
            <w:vAlign w:val="center"/>
          </w:tcPr>
          <w:p w14:paraId="5DCD4FE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970" w:type="pct"/>
            <w:tcBorders>
              <w:top w:val="nil"/>
              <w:left w:val="nil"/>
              <w:bottom w:val="single" w:sz="4" w:space="0" w:color="auto"/>
              <w:right w:val="single" w:sz="4" w:space="0" w:color="auto"/>
            </w:tcBorders>
            <w:vAlign w:val="center"/>
          </w:tcPr>
          <w:p w14:paraId="28804E2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14:paraId="29FECF79"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70AAF9F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14:paraId="6A4505F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14:paraId="7502072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14:paraId="69DA499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14:paraId="764757C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r>
      <w:tr w:rsidR="000E5655" w:rsidRPr="0043038D" w14:paraId="7C9069C8"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2F6A23B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14:paraId="15E8ACE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1A3EAF3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14:paraId="71D5279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14:paraId="195C14A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14:paraId="427666C6" w14:textId="77777777">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14:paraId="4B37232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14:paraId="1D4D699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14:paraId="3DD7889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14:paraId="109FC31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14:paraId="5C0B8EE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14:paraId="03A264B6" w14:textId="77777777">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14:paraId="5351838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14:paraId="792EFA4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14:paraId="1A45414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公里内有福星花园、宏大中园、宏盛家园、鸿坤理想城、九龙家园、九龙山庄、瑞海家园、同兴园、熙红印、兴都苑、兴海家园、月桂庄园等，居住小区规模较大，入住率较好，综合评价居住区成熟度较好。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14:paraId="6DE60A7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公里内有天悦壹号、诚苑中里、翠海明苑、合顺家园、德馨嘉园、御槐园、正商明苑居住小区规模较大，入住率较好，综合评价居住区成熟度较好。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14:paraId="2D2BA67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公里内有瑞海家园、兴海家园、宏盛家园、鸿坤理想城、同兴园、熙红印、兴都苑等，居住小区规模较大，入住率较好，综合评价居住区成熟度较好。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14:paraId="7E9DB7D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公里内有瑞海家园、兴海家园、宏盛家园、鸿坤理想城、同兴园、熙红印、兴都苑等，居住小区规模较大，入住率较好，综合评价居住区成熟度较好。</w:t>
            </w:r>
          </w:p>
        </w:tc>
      </w:tr>
      <w:tr w:rsidR="000E5655" w:rsidRPr="0043038D" w14:paraId="0D0C2FDD"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07FE5730"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4363815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14:paraId="5B65A33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14:paraId="6533998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14:paraId="07957F0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c>
          <w:tcPr>
            <w:tcW w:w="970" w:type="pct"/>
            <w:tcBorders>
              <w:top w:val="nil"/>
              <w:left w:val="nil"/>
              <w:bottom w:val="single" w:sz="4" w:space="0" w:color="auto"/>
              <w:right w:val="single" w:sz="4" w:space="0" w:color="auto"/>
            </w:tcBorders>
            <w:vAlign w:val="center"/>
          </w:tcPr>
          <w:p w14:paraId="0D36DE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14:paraId="28299818"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2794E909"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16BCB72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14:paraId="60CAB4B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14:paraId="5B84E6F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14:paraId="149D7AE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c>
          <w:tcPr>
            <w:tcW w:w="970" w:type="pct"/>
            <w:tcBorders>
              <w:top w:val="nil"/>
              <w:left w:val="nil"/>
              <w:bottom w:val="single" w:sz="4" w:space="0" w:color="auto"/>
              <w:right w:val="single" w:sz="4" w:space="0" w:color="auto"/>
            </w:tcBorders>
            <w:vAlign w:val="center"/>
          </w:tcPr>
          <w:p w14:paraId="7881D7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14:paraId="32CCC8E2"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5EBC9F2B"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0533154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14:paraId="13C42AC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14:paraId="67A9A99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14:paraId="72DB365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70" w:type="pct"/>
            <w:tcBorders>
              <w:top w:val="nil"/>
              <w:left w:val="nil"/>
              <w:bottom w:val="single" w:sz="4" w:space="0" w:color="auto"/>
              <w:right w:val="single" w:sz="4" w:space="0" w:color="auto"/>
            </w:tcBorders>
            <w:vAlign w:val="center"/>
          </w:tcPr>
          <w:p w14:paraId="5EC1259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14:paraId="60C94D60"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75435F90"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34B612D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14:paraId="47FEBCB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129AB22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14:paraId="53B1CE7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70" w:type="pct"/>
            <w:tcBorders>
              <w:top w:val="nil"/>
              <w:left w:val="nil"/>
              <w:bottom w:val="single" w:sz="4" w:space="0" w:color="auto"/>
              <w:right w:val="single" w:sz="4" w:space="0" w:color="auto"/>
            </w:tcBorders>
            <w:vAlign w:val="center"/>
          </w:tcPr>
          <w:p w14:paraId="674BC4C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14:paraId="49DBE814"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25AA4D78"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116AB62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自然环境</w:t>
            </w:r>
          </w:p>
        </w:tc>
        <w:tc>
          <w:tcPr>
            <w:tcW w:w="968" w:type="pct"/>
            <w:tcBorders>
              <w:top w:val="nil"/>
              <w:left w:val="nil"/>
              <w:bottom w:val="single" w:sz="4" w:space="0" w:color="auto"/>
              <w:right w:val="single" w:sz="4" w:space="0" w:color="auto"/>
            </w:tcBorders>
            <w:vAlign w:val="center"/>
          </w:tcPr>
          <w:p w14:paraId="45DAF3E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14:paraId="7BCB907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公里有海子公园、槐新公园、南苑湿地公园等自然景观，自然与人文环境较好。</w:t>
            </w:r>
          </w:p>
        </w:tc>
        <w:tc>
          <w:tcPr>
            <w:tcW w:w="968" w:type="pct"/>
            <w:tcBorders>
              <w:top w:val="nil"/>
              <w:left w:val="nil"/>
              <w:bottom w:val="single" w:sz="4" w:space="0" w:color="auto"/>
              <w:right w:val="single" w:sz="4" w:space="0" w:color="auto"/>
            </w:tcBorders>
            <w:vAlign w:val="center"/>
          </w:tcPr>
          <w:p w14:paraId="4B717A1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c>
          <w:tcPr>
            <w:tcW w:w="970" w:type="pct"/>
            <w:tcBorders>
              <w:top w:val="nil"/>
              <w:left w:val="nil"/>
              <w:bottom w:val="single" w:sz="4" w:space="0" w:color="auto"/>
              <w:right w:val="single" w:sz="4" w:space="0" w:color="auto"/>
            </w:tcBorders>
            <w:vAlign w:val="center"/>
          </w:tcPr>
          <w:p w14:paraId="5B64ECC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14:paraId="5881D09C"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14632F0B"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3C10826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14:paraId="606869B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20AD3ED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14:paraId="3150AD6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14:paraId="7F180B9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14:paraId="063965F7"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072CDD66"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5F3634A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14:paraId="3D8F812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有鸿坤广场、北京荟聚、西红门新光界等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14:paraId="455B7B4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区嘉园第一幼儿园等教育设施；有北京市丰台区南苑医院、南庭新苑等医疗卫生机构；有北京农商银行（槐新支行）、中国光大银行（北京新宫社区支行）等金融服务机构，公共配套设施状况较好。</w:t>
            </w:r>
          </w:p>
        </w:tc>
        <w:tc>
          <w:tcPr>
            <w:tcW w:w="968" w:type="pct"/>
            <w:tcBorders>
              <w:top w:val="nil"/>
              <w:left w:val="nil"/>
              <w:bottom w:val="single" w:sz="4" w:space="0" w:color="auto"/>
              <w:right w:val="single" w:sz="4" w:space="0" w:color="auto"/>
            </w:tcBorders>
            <w:vAlign w:val="center"/>
          </w:tcPr>
          <w:p w14:paraId="619459A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有鸿坤广场、北京荟聚、西红门新光界等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c>
          <w:tcPr>
            <w:tcW w:w="970" w:type="pct"/>
            <w:tcBorders>
              <w:top w:val="nil"/>
              <w:left w:val="nil"/>
              <w:bottom w:val="single" w:sz="4" w:space="0" w:color="auto"/>
              <w:right w:val="single" w:sz="4" w:space="0" w:color="auto"/>
            </w:tcBorders>
            <w:vAlign w:val="center"/>
          </w:tcPr>
          <w:p w14:paraId="133F80B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有鸿坤广场、北京荟聚、西红门新光界等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14:paraId="71BAB580" w14:textId="77777777">
        <w:trPr>
          <w:trHeight w:val="397"/>
          <w:jc w:val="center"/>
        </w:trPr>
        <w:tc>
          <w:tcPr>
            <w:tcW w:w="364" w:type="pct"/>
            <w:vMerge/>
            <w:tcBorders>
              <w:top w:val="nil"/>
              <w:left w:val="single" w:sz="4" w:space="0" w:color="auto"/>
              <w:bottom w:val="single" w:sz="4" w:space="0" w:color="000000"/>
              <w:right w:val="single" w:sz="4" w:space="0" w:color="auto"/>
            </w:tcBorders>
            <w:vAlign w:val="center"/>
          </w:tcPr>
          <w:p w14:paraId="63096FC6"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7C11DDD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5479467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14:paraId="4B9051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高</w:t>
            </w: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14:paraId="7A8A6CF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14:paraId="2B83936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14:paraId="03EE4971" w14:textId="77777777">
        <w:trPr>
          <w:trHeight w:val="397"/>
          <w:jc w:val="center"/>
        </w:trPr>
        <w:tc>
          <w:tcPr>
            <w:tcW w:w="364" w:type="pct"/>
            <w:vMerge/>
            <w:tcBorders>
              <w:top w:val="nil"/>
              <w:left w:val="single" w:sz="4" w:space="0" w:color="auto"/>
              <w:bottom w:val="single" w:sz="4" w:space="0" w:color="auto"/>
              <w:right w:val="single" w:sz="4" w:space="0" w:color="auto"/>
            </w:tcBorders>
            <w:vAlign w:val="center"/>
          </w:tcPr>
          <w:p w14:paraId="22D1DC99"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14:paraId="68089F0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14:paraId="2DCA2B1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西南</w:t>
            </w:r>
          </w:p>
        </w:tc>
        <w:tc>
          <w:tcPr>
            <w:tcW w:w="968" w:type="pct"/>
            <w:tcBorders>
              <w:top w:val="nil"/>
              <w:left w:val="nil"/>
              <w:bottom w:val="single" w:sz="4" w:space="0" w:color="auto"/>
              <w:right w:val="single" w:sz="4" w:space="0" w:color="auto"/>
            </w:tcBorders>
            <w:vAlign w:val="center"/>
          </w:tcPr>
          <w:p w14:paraId="3FE3A66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14:paraId="1B73E58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14:paraId="483A698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东南</w:t>
            </w:r>
          </w:p>
        </w:tc>
      </w:tr>
      <w:tr w:rsidR="000E5655" w:rsidRPr="0043038D" w14:paraId="3AEE0CB5" w14:textId="77777777">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14:paraId="678423C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14:paraId="535D7E2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14:paraId="44BE925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shd w:val="clear" w:color="auto" w:fill="auto"/>
            <w:vAlign w:val="center"/>
          </w:tcPr>
          <w:p w14:paraId="5E00CF1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14:paraId="6015D47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14:paraId="40849FA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14:paraId="41DC151B"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596A4E53"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5E4BA66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14:paraId="173CD9D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147D43E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24A2BD0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123978C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14:paraId="2FBA2CBB"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33229556"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50C7C6A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14:paraId="1B1BE5C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184AF49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14:paraId="0E95EA8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14:paraId="2853BE5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14:paraId="6B3716B4"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1452D7F4"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4933733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14:paraId="55D730E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3B7C3C2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14:paraId="281B7D8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14:paraId="41AB7F1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14:paraId="5CE7FEF8"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3B6EDB92"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26EA445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14:paraId="044C57F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14:paraId="7FD80F9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14:paraId="1EDC45F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14:paraId="0375E53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14:paraId="2D3D0CB3"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4B2D5792"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25854FF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14:paraId="065954A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2C106A2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14:paraId="0CC5F0F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70" w:type="pct"/>
            <w:tcBorders>
              <w:top w:val="single" w:sz="4" w:space="0" w:color="auto"/>
              <w:left w:val="nil"/>
              <w:bottom w:val="single" w:sz="4" w:space="0" w:color="auto"/>
              <w:right w:val="single" w:sz="4" w:space="0" w:color="auto"/>
            </w:tcBorders>
            <w:vAlign w:val="center"/>
          </w:tcPr>
          <w:p w14:paraId="20BA7C3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r>
      <w:tr w:rsidR="000E5655" w:rsidRPr="0043038D" w14:paraId="743C50A2"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1A1CEF05"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630A4AF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14:paraId="1CE9B4E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4CCDC1F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14:paraId="0C979FA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14:paraId="2FD407C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14:paraId="0FDADC9C"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48EE5F25"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7BC4F7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14:paraId="4E65C8E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80.43</w:t>
            </w:r>
          </w:p>
        </w:tc>
        <w:tc>
          <w:tcPr>
            <w:tcW w:w="968" w:type="pct"/>
            <w:tcBorders>
              <w:top w:val="single" w:sz="4" w:space="0" w:color="auto"/>
              <w:left w:val="nil"/>
              <w:bottom w:val="single" w:sz="4" w:space="0" w:color="auto"/>
              <w:right w:val="single" w:sz="4" w:space="0" w:color="auto"/>
            </w:tcBorders>
            <w:vAlign w:val="center"/>
          </w:tcPr>
          <w:p w14:paraId="31DA1ED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0.44</w:t>
            </w:r>
          </w:p>
        </w:tc>
        <w:tc>
          <w:tcPr>
            <w:tcW w:w="968" w:type="pct"/>
            <w:tcBorders>
              <w:top w:val="single" w:sz="4" w:space="0" w:color="auto"/>
              <w:left w:val="nil"/>
              <w:bottom w:val="single" w:sz="4" w:space="0" w:color="auto"/>
              <w:right w:val="single" w:sz="4" w:space="0" w:color="auto"/>
            </w:tcBorders>
            <w:vAlign w:val="center"/>
          </w:tcPr>
          <w:p w14:paraId="17DCEEE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89</w:t>
            </w:r>
          </w:p>
        </w:tc>
        <w:tc>
          <w:tcPr>
            <w:tcW w:w="970" w:type="pct"/>
            <w:tcBorders>
              <w:top w:val="single" w:sz="4" w:space="0" w:color="auto"/>
              <w:left w:val="nil"/>
              <w:bottom w:val="single" w:sz="4" w:space="0" w:color="auto"/>
              <w:right w:val="single" w:sz="4" w:space="0" w:color="auto"/>
            </w:tcBorders>
            <w:vAlign w:val="center"/>
          </w:tcPr>
          <w:p w14:paraId="11C6BA0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86.42</w:t>
            </w:r>
          </w:p>
        </w:tc>
      </w:tr>
      <w:tr w:rsidR="000E5655" w:rsidRPr="0043038D" w14:paraId="33164898"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5A4E0624"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7E4E792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14:paraId="2389CFF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78FBFCA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14:paraId="7617E51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配备部分家具、家电较齐全；功能正常，质量有保证，较好</w:t>
            </w:r>
          </w:p>
        </w:tc>
        <w:tc>
          <w:tcPr>
            <w:tcW w:w="970" w:type="pct"/>
            <w:tcBorders>
              <w:top w:val="single" w:sz="4" w:space="0" w:color="auto"/>
              <w:left w:val="nil"/>
              <w:bottom w:val="single" w:sz="4" w:space="0" w:color="auto"/>
              <w:right w:val="single" w:sz="4" w:space="0" w:color="auto"/>
            </w:tcBorders>
            <w:vAlign w:val="center"/>
          </w:tcPr>
          <w:p w14:paraId="0DBD529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14:paraId="0AC6B562" w14:textId="77777777">
        <w:trPr>
          <w:trHeight w:val="397"/>
          <w:jc w:val="center"/>
        </w:trPr>
        <w:tc>
          <w:tcPr>
            <w:tcW w:w="364" w:type="pct"/>
            <w:vMerge w:val="restart"/>
            <w:tcBorders>
              <w:left w:val="single" w:sz="4" w:space="0" w:color="auto"/>
              <w:bottom w:val="single" w:sz="4" w:space="0" w:color="auto"/>
              <w:right w:val="single" w:sz="4" w:space="0" w:color="auto"/>
            </w:tcBorders>
            <w:vAlign w:val="center"/>
          </w:tcPr>
          <w:p w14:paraId="78EBAB9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14:paraId="042368F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14:paraId="5D7DEDB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4314A11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14:paraId="097446D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4CCDB5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14:paraId="164E76E1" w14:textId="77777777">
        <w:trPr>
          <w:trHeight w:val="397"/>
          <w:jc w:val="center"/>
        </w:trPr>
        <w:tc>
          <w:tcPr>
            <w:tcW w:w="364" w:type="pct"/>
            <w:vMerge/>
            <w:tcBorders>
              <w:left w:val="single" w:sz="4" w:space="0" w:color="auto"/>
              <w:bottom w:val="single" w:sz="4" w:space="0" w:color="auto"/>
              <w:right w:val="single" w:sz="4" w:space="0" w:color="auto"/>
            </w:tcBorders>
            <w:vAlign w:val="center"/>
          </w:tcPr>
          <w:p w14:paraId="042918C4" w14:textId="77777777"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14:paraId="37A7D87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水电气费执行标准</w:t>
            </w:r>
          </w:p>
        </w:tc>
        <w:tc>
          <w:tcPr>
            <w:tcW w:w="968" w:type="pct"/>
            <w:tcBorders>
              <w:top w:val="single" w:sz="4" w:space="0" w:color="auto"/>
              <w:left w:val="nil"/>
              <w:bottom w:val="single" w:sz="4" w:space="0" w:color="auto"/>
              <w:right w:val="single" w:sz="4" w:space="0" w:color="auto"/>
            </w:tcBorders>
            <w:vAlign w:val="center"/>
          </w:tcPr>
          <w:p w14:paraId="3D282F1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68" w:type="pct"/>
            <w:tcBorders>
              <w:top w:val="single" w:sz="4" w:space="0" w:color="auto"/>
              <w:left w:val="nil"/>
              <w:bottom w:val="single" w:sz="4" w:space="0" w:color="auto"/>
              <w:right w:val="single" w:sz="4" w:space="0" w:color="auto"/>
            </w:tcBorders>
            <w:vAlign w:val="center"/>
          </w:tcPr>
          <w:p w14:paraId="49A3415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68" w:type="pct"/>
            <w:tcBorders>
              <w:top w:val="single" w:sz="4" w:space="0" w:color="auto"/>
              <w:left w:val="nil"/>
              <w:bottom w:val="single" w:sz="4" w:space="0" w:color="auto"/>
              <w:right w:val="single" w:sz="4" w:space="0" w:color="auto"/>
            </w:tcBorders>
            <w:vAlign w:val="center"/>
          </w:tcPr>
          <w:p w14:paraId="170FC64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c>
          <w:tcPr>
            <w:tcW w:w="970" w:type="pct"/>
            <w:tcBorders>
              <w:top w:val="single" w:sz="4" w:space="0" w:color="auto"/>
              <w:left w:val="nil"/>
              <w:bottom w:val="single" w:sz="4" w:space="0" w:color="auto"/>
              <w:right w:val="single" w:sz="4" w:space="0" w:color="auto"/>
            </w:tcBorders>
            <w:vAlign w:val="center"/>
          </w:tcPr>
          <w:p w14:paraId="533794A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民水民电</w:t>
            </w:r>
          </w:p>
        </w:tc>
      </w:tr>
    </w:tbl>
    <w:p w14:paraId="5B334FA8" w14:textId="77777777" w:rsidR="000E5655" w:rsidRPr="0043038D" w:rsidRDefault="000E5655">
      <w:pPr>
        <w:overflowPunct w:val="0"/>
        <w:spacing w:line="480" w:lineRule="auto"/>
        <w:ind w:firstLineChars="200" w:firstLine="420"/>
        <w:jc w:val="center"/>
        <w:rPr>
          <w:rFonts w:ascii="Arial" w:hAnsi="Arial"/>
          <w:sz w:val="21"/>
          <w:szCs w:val="21"/>
        </w:rPr>
      </w:pPr>
    </w:p>
    <w:p w14:paraId="5A83C987" w14:textId="77777777" w:rsidR="000E5655" w:rsidRPr="0043038D" w:rsidRDefault="000E5655">
      <w:pPr>
        <w:overflowPunct w:val="0"/>
        <w:spacing w:line="480" w:lineRule="auto"/>
        <w:ind w:firstLineChars="200" w:firstLine="420"/>
        <w:jc w:val="center"/>
        <w:rPr>
          <w:rFonts w:ascii="Arial" w:hAnsi="Arial"/>
          <w:sz w:val="21"/>
          <w:szCs w:val="21"/>
        </w:rPr>
      </w:pPr>
    </w:p>
    <w:p w14:paraId="0CD736A8" w14:textId="77777777" w:rsidR="000E5655" w:rsidRPr="0043038D" w:rsidRDefault="000E5655">
      <w:pPr>
        <w:overflowPunct w:val="0"/>
        <w:spacing w:line="480" w:lineRule="auto"/>
        <w:ind w:firstLineChars="200" w:firstLine="420"/>
        <w:jc w:val="center"/>
        <w:rPr>
          <w:rFonts w:ascii="Arial" w:hAnsi="Arial"/>
          <w:sz w:val="21"/>
          <w:szCs w:val="21"/>
        </w:rPr>
      </w:pPr>
    </w:p>
    <w:p w14:paraId="3758931D" w14:textId="77777777" w:rsidR="000E5655" w:rsidRPr="0043038D" w:rsidRDefault="000E5655">
      <w:pPr>
        <w:overflowPunct w:val="0"/>
        <w:spacing w:line="480" w:lineRule="auto"/>
        <w:ind w:firstLineChars="200" w:firstLine="420"/>
        <w:jc w:val="center"/>
        <w:rPr>
          <w:rFonts w:ascii="Arial" w:hAnsi="Arial"/>
          <w:sz w:val="21"/>
          <w:szCs w:val="21"/>
        </w:rPr>
      </w:pPr>
    </w:p>
    <w:p w14:paraId="5C108F55" w14:textId="77777777" w:rsidR="000E5655" w:rsidRPr="0043038D" w:rsidRDefault="000E5655">
      <w:pPr>
        <w:overflowPunct w:val="0"/>
        <w:spacing w:line="480" w:lineRule="auto"/>
        <w:ind w:firstLineChars="200" w:firstLine="420"/>
        <w:jc w:val="center"/>
        <w:rPr>
          <w:rFonts w:ascii="Arial" w:hAnsi="Arial"/>
          <w:sz w:val="21"/>
          <w:szCs w:val="21"/>
        </w:rPr>
      </w:pPr>
    </w:p>
    <w:p w14:paraId="02579AE1" w14:textId="77777777" w:rsidR="000E5655" w:rsidRPr="0043038D" w:rsidRDefault="000E5655">
      <w:pPr>
        <w:overflowPunct w:val="0"/>
        <w:spacing w:line="480" w:lineRule="auto"/>
        <w:ind w:firstLineChars="200" w:firstLine="420"/>
        <w:jc w:val="center"/>
        <w:rPr>
          <w:rFonts w:ascii="Arial" w:hAnsi="Arial"/>
          <w:sz w:val="21"/>
          <w:szCs w:val="21"/>
        </w:rPr>
      </w:pPr>
    </w:p>
    <w:p w14:paraId="75DD6BE6" w14:textId="77777777" w:rsidR="000E5655" w:rsidRPr="0043038D" w:rsidRDefault="000E5655">
      <w:pPr>
        <w:overflowPunct w:val="0"/>
        <w:spacing w:line="480" w:lineRule="auto"/>
        <w:ind w:firstLineChars="200" w:firstLine="420"/>
        <w:jc w:val="center"/>
        <w:rPr>
          <w:rFonts w:ascii="Arial" w:hAnsi="Arial"/>
          <w:sz w:val="21"/>
          <w:szCs w:val="21"/>
        </w:rPr>
      </w:pPr>
    </w:p>
    <w:p w14:paraId="4A813F4E" w14:textId="77777777" w:rsidR="000E5655" w:rsidRPr="0043038D" w:rsidRDefault="000E5655">
      <w:pPr>
        <w:overflowPunct w:val="0"/>
        <w:spacing w:line="480" w:lineRule="auto"/>
        <w:ind w:firstLineChars="200" w:firstLine="420"/>
        <w:jc w:val="center"/>
        <w:rPr>
          <w:rFonts w:ascii="Arial" w:hAnsi="Arial"/>
          <w:sz w:val="21"/>
          <w:szCs w:val="21"/>
        </w:rPr>
      </w:pPr>
    </w:p>
    <w:p w14:paraId="5B6681B4" w14:textId="77777777" w:rsidR="000E5655" w:rsidRPr="0043038D" w:rsidRDefault="000E5655">
      <w:pPr>
        <w:overflowPunct w:val="0"/>
        <w:spacing w:line="480" w:lineRule="auto"/>
        <w:ind w:firstLineChars="200" w:firstLine="420"/>
        <w:jc w:val="center"/>
        <w:rPr>
          <w:rFonts w:ascii="Arial" w:hAnsi="Arial"/>
          <w:sz w:val="21"/>
          <w:szCs w:val="21"/>
        </w:rPr>
      </w:pPr>
    </w:p>
    <w:p w14:paraId="068AC597" w14:textId="77777777" w:rsidR="000E5655" w:rsidRPr="0043038D" w:rsidRDefault="000E5655">
      <w:pPr>
        <w:wordWrap w:val="0"/>
        <w:overflowPunct w:val="0"/>
        <w:spacing w:line="480" w:lineRule="auto"/>
        <w:rPr>
          <w:rFonts w:ascii="Arial" w:hAnsi="Arial"/>
          <w:sz w:val="21"/>
          <w:szCs w:val="21"/>
        </w:rPr>
      </w:pPr>
    </w:p>
    <w:p w14:paraId="14CAD440"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14:paraId="443D5D0A"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43038D">
        <w:rPr>
          <w:rFonts w:ascii="Arial" w:hAnsi="Arial" w:hint="eastAsia"/>
          <w:sz w:val="21"/>
          <w:szCs w:val="21"/>
        </w:rPr>
        <w:t>：</w:t>
      </w:r>
    </w:p>
    <w:p w14:paraId="01270E8C"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橡树湾</w:t>
      </w:r>
      <w:r w:rsidRPr="0043038D">
        <w:rPr>
          <w:rFonts w:ascii="Arial" w:hAnsi="Arial"/>
          <w:sz w:val="21"/>
          <w:szCs w:val="21"/>
        </w:rPr>
        <w:t>比较因素条件指数表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57"/>
        <w:gridCol w:w="973"/>
        <w:gridCol w:w="967"/>
        <w:gridCol w:w="989"/>
        <w:gridCol w:w="989"/>
        <w:gridCol w:w="989"/>
        <w:gridCol w:w="3710"/>
      </w:tblGrid>
      <w:tr w:rsidR="000E5655" w:rsidRPr="0043038D" w14:paraId="5E2D21F1" w14:textId="77777777">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5265B007" w14:textId="77777777"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14:paraId="221EEBF7" w14:textId="77777777"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14:paraId="174F257F" w14:textId="77777777" w:rsidR="000E5655" w:rsidRPr="0043038D" w:rsidRDefault="000E5655">
            <w:pPr>
              <w:snapToGrid w:val="0"/>
              <w:spacing w:line="240" w:lineRule="exact"/>
              <w:jc w:val="both"/>
              <w:rPr>
                <w:rFonts w:ascii="宋体" w:hAnsi="宋体" w:cs="Arial"/>
                <w:sz w:val="16"/>
                <w:szCs w:val="18"/>
              </w:rPr>
            </w:pPr>
          </w:p>
          <w:p w14:paraId="525E268B" w14:textId="77777777" w:rsidR="000E5655" w:rsidRPr="0043038D" w:rsidRDefault="000E5655">
            <w:pPr>
              <w:snapToGrid w:val="0"/>
              <w:spacing w:line="240" w:lineRule="exact"/>
              <w:jc w:val="both"/>
              <w:rPr>
                <w:rFonts w:ascii="宋体" w:hAnsi="宋体" w:cs="Arial"/>
                <w:sz w:val="16"/>
                <w:szCs w:val="18"/>
              </w:rPr>
            </w:pPr>
          </w:p>
          <w:p w14:paraId="00F97F30"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14:paraId="7E90FBFF"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14:paraId="1B20623F"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可比实例7</w:t>
            </w:r>
          </w:p>
        </w:tc>
        <w:tc>
          <w:tcPr>
            <w:tcW w:w="532" w:type="pct"/>
            <w:tcBorders>
              <w:top w:val="single" w:sz="4" w:space="0" w:color="auto"/>
              <w:left w:val="nil"/>
              <w:bottom w:val="single" w:sz="4" w:space="0" w:color="auto"/>
              <w:right w:val="single" w:sz="4" w:space="0" w:color="auto"/>
            </w:tcBorders>
            <w:vAlign w:val="center"/>
          </w:tcPr>
          <w:p w14:paraId="4465CC99"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可比实例8</w:t>
            </w:r>
          </w:p>
        </w:tc>
        <w:tc>
          <w:tcPr>
            <w:tcW w:w="532" w:type="pct"/>
            <w:tcBorders>
              <w:top w:val="single" w:sz="4" w:space="0" w:color="auto"/>
              <w:left w:val="nil"/>
              <w:bottom w:val="single" w:sz="4" w:space="0" w:color="auto"/>
              <w:right w:val="single" w:sz="4" w:space="0" w:color="auto"/>
            </w:tcBorders>
            <w:vAlign w:val="center"/>
          </w:tcPr>
          <w:p w14:paraId="1066EEE3"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可比实例9</w:t>
            </w:r>
          </w:p>
        </w:tc>
        <w:tc>
          <w:tcPr>
            <w:tcW w:w="2027" w:type="pct"/>
            <w:tcBorders>
              <w:top w:val="single" w:sz="4" w:space="0" w:color="auto"/>
              <w:left w:val="nil"/>
              <w:bottom w:val="single" w:sz="4" w:space="0" w:color="auto"/>
              <w:right w:val="single" w:sz="4" w:space="0" w:color="auto"/>
            </w:tcBorders>
            <w:vAlign w:val="center"/>
          </w:tcPr>
          <w:p w14:paraId="57E7441E"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14:paraId="1864B527" w14:textId="7777777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047BFBBD" w14:textId="77777777"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14:paraId="2375255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89" w:type="dxa"/>
            <w:tcBorders>
              <w:top w:val="nil"/>
              <w:left w:val="nil"/>
              <w:bottom w:val="single" w:sz="4" w:space="0" w:color="auto"/>
              <w:right w:val="single" w:sz="4" w:space="0" w:color="auto"/>
            </w:tcBorders>
            <w:vAlign w:val="center"/>
          </w:tcPr>
          <w:p w14:paraId="6025CCA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南庭新苑南区</w:t>
            </w:r>
          </w:p>
        </w:tc>
        <w:tc>
          <w:tcPr>
            <w:tcW w:w="989" w:type="dxa"/>
            <w:tcBorders>
              <w:top w:val="nil"/>
              <w:left w:val="nil"/>
              <w:bottom w:val="single" w:sz="4" w:space="0" w:color="auto"/>
              <w:right w:val="single" w:sz="4" w:space="0" w:color="auto"/>
            </w:tcBorders>
            <w:vAlign w:val="center"/>
          </w:tcPr>
          <w:p w14:paraId="2529D56D"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世嘉博苑</w:t>
            </w:r>
          </w:p>
        </w:tc>
        <w:tc>
          <w:tcPr>
            <w:tcW w:w="989" w:type="dxa"/>
            <w:tcBorders>
              <w:top w:val="nil"/>
              <w:left w:val="nil"/>
              <w:bottom w:val="single" w:sz="4" w:space="0" w:color="auto"/>
              <w:right w:val="single" w:sz="4" w:space="0" w:color="auto"/>
            </w:tcBorders>
            <w:vAlign w:val="center"/>
          </w:tcPr>
          <w:p w14:paraId="50ED8280"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世嘉博苑</w:t>
            </w:r>
          </w:p>
        </w:tc>
        <w:tc>
          <w:tcPr>
            <w:tcW w:w="2027" w:type="pct"/>
            <w:tcBorders>
              <w:top w:val="nil"/>
              <w:left w:val="nil"/>
              <w:bottom w:val="single" w:sz="4" w:space="0" w:color="auto"/>
              <w:right w:val="single" w:sz="4" w:space="0" w:color="auto"/>
            </w:tcBorders>
            <w:vAlign w:val="center"/>
          </w:tcPr>
          <w:p w14:paraId="42B4426A"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14:paraId="2B038AC1"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6A864812"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14:paraId="3C87CF81" w14:textId="77777777" w:rsidR="000E5655" w:rsidRPr="0043038D" w:rsidRDefault="00837133">
            <w:pPr>
              <w:pStyle w:val="110"/>
              <w:autoSpaceDE w:val="0"/>
              <w:autoSpaceDN w:val="0"/>
              <w:snapToGrid w:val="0"/>
              <w:spacing w:line="240" w:lineRule="exact"/>
              <w:jc w:val="both"/>
              <w:textAlignment w:val="bottom"/>
              <w:rPr>
                <w:rFonts w:hAnsi="宋体" w:cs="Arial"/>
                <w:sz w:val="16"/>
                <w:szCs w:val="18"/>
              </w:rPr>
            </w:pPr>
            <w:r w:rsidRPr="0043038D">
              <w:rPr>
                <w:rFonts w:hAnsi="宋体" w:cs="Arial"/>
                <w:sz w:val="16"/>
                <w:szCs w:val="18"/>
              </w:rPr>
              <w:t>待估</w:t>
            </w:r>
          </w:p>
        </w:tc>
        <w:tc>
          <w:tcPr>
            <w:tcW w:w="989" w:type="dxa"/>
            <w:tcBorders>
              <w:top w:val="nil"/>
              <w:left w:val="nil"/>
              <w:bottom w:val="single" w:sz="4" w:space="0" w:color="auto"/>
              <w:right w:val="single" w:sz="4" w:space="0" w:color="auto"/>
            </w:tcBorders>
            <w:noWrap/>
            <w:vAlign w:val="center"/>
          </w:tcPr>
          <w:p w14:paraId="4130501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61.63 </w:t>
            </w:r>
          </w:p>
        </w:tc>
        <w:tc>
          <w:tcPr>
            <w:tcW w:w="989" w:type="dxa"/>
            <w:tcBorders>
              <w:top w:val="nil"/>
              <w:left w:val="nil"/>
              <w:bottom w:val="single" w:sz="4" w:space="0" w:color="auto"/>
              <w:right w:val="single" w:sz="4" w:space="0" w:color="auto"/>
            </w:tcBorders>
            <w:noWrap/>
            <w:vAlign w:val="center"/>
          </w:tcPr>
          <w:p w14:paraId="757D867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64.67 </w:t>
            </w:r>
          </w:p>
        </w:tc>
        <w:tc>
          <w:tcPr>
            <w:tcW w:w="989" w:type="dxa"/>
            <w:tcBorders>
              <w:top w:val="nil"/>
              <w:left w:val="nil"/>
              <w:bottom w:val="single" w:sz="4" w:space="0" w:color="auto"/>
              <w:right w:val="single" w:sz="4" w:space="0" w:color="auto"/>
            </w:tcBorders>
            <w:noWrap/>
            <w:vAlign w:val="center"/>
          </w:tcPr>
          <w:p w14:paraId="6B9BF2E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61.96 </w:t>
            </w:r>
          </w:p>
        </w:tc>
        <w:tc>
          <w:tcPr>
            <w:tcW w:w="2027" w:type="pct"/>
            <w:tcBorders>
              <w:top w:val="nil"/>
              <w:left w:val="nil"/>
              <w:bottom w:val="single" w:sz="4" w:space="0" w:color="auto"/>
              <w:right w:val="single" w:sz="4" w:space="0" w:color="auto"/>
            </w:tcBorders>
            <w:vAlign w:val="center"/>
          </w:tcPr>
          <w:p w14:paraId="58C2249D"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14:paraId="4E718B38"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41EEE149"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14:paraId="044578D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838FF2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DA2815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E47F92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A2D7F1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14:paraId="1516331F"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4F6B277"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14:paraId="3729783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CF6A37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CEAB86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3B0C73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6FD68E1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14:paraId="4276D4F0"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0FB3DE3E"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14:paraId="0261A9E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7C07B7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E4CFE3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AC246B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6A1F010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14:paraId="009AAA52"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D3D6E6"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14:paraId="50E81BFB"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14:paraId="738651A2"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14:paraId="02F6B1C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D1012B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CAAB90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C88CAA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66D47BB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47DDAE0E"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884BDEA"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2776A7B5"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14:paraId="0E0C86B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198407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8EEF5D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25A31A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79302A8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4492BF47"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E6B1D8A"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E58F16E"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14:paraId="0532C89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845916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3</w:t>
            </w:r>
          </w:p>
        </w:tc>
        <w:tc>
          <w:tcPr>
            <w:tcW w:w="532" w:type="pct"/>
            <w:tcBorders>
              <w:top w:val="nil"/>
              <w:left w:val="nil"/>
              <w:bottom w:val="single" w:sz="4" w:space="0" w:color="auto"/>
              <w:right w:val="single" w:sz="4" w:space="0" w:color="auto"/>
            </w:tcBorders>
            <w:noWrap/>
            <w:vAlign w:val="center"/>
          </w:tcPr>
          <w:p w14:paraId="6FE8331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14:paraId="39FD2AA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14:paraId="4059801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3</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14:paraId="2E8F215B"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CC0DBFC"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DC4408B"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14:paraId="0CECE0D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67AC23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5E78B81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14:paraId="583AAED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14:paraId="5E52EE5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14:paraId="1FD621BB"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3FF630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78785A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14:paraId="651FE7C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140CBF4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4811C5E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CE3007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5B95E09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14:paraId="7A5AB99D"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4D8B5B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8C0CCFB"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14:paraId="5784916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3C9E1B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2E450F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C03E64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CA53E7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0115B400"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8FC070"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6D63AA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14:paraId="13956B8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664A862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540AB41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39AC536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2307E62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269818C7"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8A71634"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D0B9730"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14:paraId="40B410F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6FC79D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2EDA6B2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C4E307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2EA5B83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6B1C87B9"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3FB5021"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4B3DC08E"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14:paraId="1B10D4C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6FBF1A1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115A1CF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14:paraId="4914D87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2027" w:type="pct"/>
            <w:tcBorders>
              <w:top w:val="nil"/>
              <w:left w:val="nil"/>
              <w:bottom w:val="single" w:sz="4" w:space="0" w:color="auto"/>
              <w:right w:val="single" w:sz="4" w:space="0" w:color="auto"/>
            </w:tcBorders>
            <w:vAlign w:val="center"/>
          </w:tcPr>
          <w:p w14:paraId="3FC1065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p>
        </w:tc>
      </w:tr>
      <w:tr w:rsidR="000E5655" w:rsidRPr="0043038D" w14:paraId="45B30CDC"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08FC1CA"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660A2657"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14:paraId="2E6DCE2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58A228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14:paraId="5F5C758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14:paraId="7914C07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14:paraId="2C29411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从优到劣依次为：为南北向；南向；东、南；西、南；东、西；东；西；东、北；西、北；北。每档相差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14:paraId="51F10A6C"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01013748"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14:paraId="26B27317"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14:paraId="26F5FA1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14:paraId="45884DA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91833E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14:paraId="508C35D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14:paraId="2DF9EB1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2027" w:type="pct"/>
            <w:tcBorders>
              <w:top w:val="nil"/>
              <w:left w:val="nil"/>
              <w:bottom w:val="single" w:sz="4" w:space="0" w:color="auto"/>
              <w:right w:val="single" w:sz="4" w:space="0" w:color="auto"/>
            </w:tcBorders>
            <w:vAlign w:val="center"/>
          </w:tcPr>
          <w:p w14:paraId="67BCD2D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p>
        </w:tc>
      </w:tr>
      <w:tr w:rsidR="000E5655" w:rsidRPr="0043038D" w14:paraId="56BB2395"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729B14B"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5835ED8"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14:paraId="1BDA3AB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1E0B6BC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73371D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BA2FAD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67D79E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47ED1D22"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450E497"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0E5E706A"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14:paraId="580B5A2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68DE36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4C5AD05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14:paraId="52F6C01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5F3323B1" w14:textId="18657B7C"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00332E91">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02A4848B"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E838767"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46EE6364"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14:paraId="4267DF9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14:paraId="25F9DC7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7D8C23B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0443E753"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3C0E10BA" w14:textId="7548073E"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00332E91">
              <w:rPr>
                <w:rFonts w:ascii="Arial" w:hAnsi="Arial" w:cs="Arial"/>
                <w:sz w:val="16"/>
                <w:szCs w:val="18"/>
              </w:rPr>
              <w:t>3</w:t>
            </w:r>
            <w:bookmarkStart w:id="71" w:name="_GoBack"/>
            <w:bookmarkEnd w:id="71"/>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14:paraId="5A0CA506"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C7D7B38"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4ED126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14:paraId="45E8AC8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14:paraId="0A3065A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7DB9907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52E8E1C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4B2B5FF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6666E05A"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223B66A"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1F19D52E"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14:paraId="3D1402EE"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14:paraId="43C1274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640D695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718F53E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22926CD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0259FA95"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B9D1E3"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5AB5A83C"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14:paraId="0603FD8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14:paraId="62222E4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5456853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1641F2B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7B0823F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3736C5FE"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0EECCDE"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743636F7"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14:paraId="5EE79C29"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14:paraId="765EC99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2D690AB0"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31CBD196"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7334448D" w14:textId="77777777"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01CEB88D"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B5662FC"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4C2042D9" w14:textId="77777777"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14:paraId="0CB16ED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14:paraId="0DF669E1"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4148978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14:paraId="18EB12FB"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14:paraId="0D43EC59" w14:textId="77777777"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sz w:val="16"/>
                <w:szCs w:val="18"/>
              </w:rPr>
              <w:t>90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14:paraId="20C08795"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728A9EC2"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4AF978C1"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14:paraId="5F9A73D4"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435A858D"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02C23D88"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0BF2C92"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711DD6A6"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14:paraId="1223230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51E1A8D" w14:textId="77777777"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14:paraId="3EED4846" w14:textId="77777777"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水电气费执行标准</w:t>
            </w:r>
          </w:p>
        </w:tc>
        <w:tc>
          <w:tcPr>
            <w:tcW w:w="532" w:type="pct"/>
            <w:tcBorders>
              <w:top w:val="nil"/>
              <w:left w:val="nil"/>
              <w:bottom w:val="single" w:sz="4" w:space="0" w:color="auto"/>
              <w:right w:val="single" w:sz="4" w:space="0" w:color="auto"/>
            </w:tcBorders>
            <w:noWrap/>
            <w:vAlign w:val="center"/>
          </w:tcPr>
          <w:p w14:paraId="2FFA6FFC"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35A6E61F"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5ED7095A"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14:paraId="7A8EB695" w14:textId="77777777"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14:paraId="4FFF59C1"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估价对象与案例均采用民水民电，确定可比实例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14:paraId="69044658" w14:textId="77777777" w:rsidR="000E5655" w:rsidRPr="0043038D" w:rsidRDefault="000E5655">
      <w:pPr>
        <w:wordWrap w:val="0"/>
        <w:overflowPunct w:val="0"/>
        <w:spacing w:line="480" w:lineRule="auto"/>
        <w:rPr>
          <w:rFonts w:ascii="Arial" w:hAnsi="Arial"/>
          <w:sz w:val="21"/>
          <w:szCs w:val="21"/>
        </w:rPr>
      </w:pPr>
    </w:p>
    <w:p w14:paraId="640B86A4" w14:textId="77777777" w:rsidR="000E5655" w:rsidRPr="0043038D" w:rsidRDefault="000E5655">
      <w:pPr>
        <w:wordWrap w:val="0"/>
        <w:overflowPunct w:val="0"/>
        <w:spacing w:line="480" w:lineRule="auto"/>
        <w:rPr>
          <w:rFonts w:ascii="Arial" w:hAnsi="Arial"/>
          <w:sz w:val="21"/>
          <w:szCs w:val="21"/>
        </w:rPr>
      </w:pPr>
    </w:p>
    <w:p w14:paraId="29393844" w14:textId="77777777" w:rsidR="000E5655" w:rsidRPr="0043038D" w:rsidRDefault="000E5655">
      <w:pPr>
        <w:wordWrap w:val="0"/>
        <w:overflowPunct w:val="0"/>
        <w:spacing w:line="480" w:lineRule="auto"/>
        <w:rPr>
          <w:rFonts w:ascii="Arial" w:hAnsi="Arial"/>
          <w:sz w:val="21"/>
          <w:szCs w:val="21"/>
        </w:rPr>
      </w:pPr>
    </w:p>
    <w:p w14:paraId="133057C1" w14:textId="77777777" w:rsidR="000E5655" w:rsidRPr="0043038D" w:rsidRDefault="000E5655">
      <w:pPr>
        <w:wordWrap w:val="0"/>
        <w:overflowPunct w:val="0"/>
        <w:spacing w:line="480" w:lineRule="auto"/>
        <w:rPr>
          <w:rFonts w:ascii="Arial" w:hAnsi="Arial"/>
          <w:sz w:val="21"/>
          <w:szCs w:val="21"/>
        </w:rPr>
      </w:pPr>
    </w:p>
    <w:p w14:paraId="40A352CB" w14:textId="77777777" w:rsidR="000E5655" w:rsidRPr="0043038D" w:rsidRDefault="000E5655">
      <w:pPr>
        <w:wordWrap w:val="0"/>
        <w:overflowPunct w:val="0"/>
        <w:spacing w:line="480" w:lineRule="auto"/>
        <w:rPr>
          <w:rFonts w:ascii="Arial" w:hAnsi="Arial"/>
          <w:sz w:val="21"/>
          <w:szCs w:val="21"/>
        </w:rPr>
      </w:pPr>
    </w:p>
    <w:p w14:paraId="54ABFAC1"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14:paraId="64BFA31D"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根据比较因素条件指数表，编制因素各项目比较修正系数表，详见下表：</w:t>
      </w:r>
    </w:p>
    <w:p w14:paraId="26E18A0B" w14:textId="77777777"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14:paraId="32D6F617"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79A12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1628819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897" w:type="pct"/>
            <w:tcBorders>
              <w:top w:val="single" w:sz="4" w:space="0" w:color="auto"/>
              <w:left w:val="nil"/>
              <w:bottom w:val="single" w:sz="4" w:space="0" w:color="auto"/>
              <w:right w:val="single" w:sz="4" w:space="0" w:color="auto"/>
            </w:tcBorders>
            <w:vAlign w:val="center"/>
          </w:tcPr>
          <w:p w14:paraId="2AFFE2E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897" w:type="pct"/>
            <w:tcBorders>
              <w:top w:val="single" w:sz="4" w:space="0" w:color="auto"/>
              <w:left w:val="nil"/>
              <w:bottom w:val="single" w:sz="4" w:space="0" w:color="auto"/>
              <w:right w:val="single" w:sz="4" w:space="0" w:color="auto"/>
            </w:tcBorders>
            <w:vAlign w:val="center"/>
          </w:tcPr>
          <w:p w14:paraId="35AFC2F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14:paraId="3A91455B"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BAB95F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1666" w:type="dxa"/>
            <w:tcBorders>
              <w:top w:val="nil"/>
              <w:left w:val="nil"/>
              <w:bottom w:val="single" w:sz="4" w:space="0" w:color="auto"/>
              <w:right w:val="single" w:sz="4" w:space="0" w:color="auto"/>
            </w:tcBorders>
            <w:vAlign w:val="center"/>
          </w:tcPr>
          <w:p w14:paraId="00A4F4C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南庭新苑南区</w:t>
            </w:r>
          </w:p>
        </w:tc>
        <w:tc>
          <w:tcPr>
            <w:tcW w:w="1666" w:type="dxa"/>
            <w:tcBorders>
              <w:top w:val="nil"/>
              <w:left w:val="nil"/>
              <w:bottom w:val="single" w:sz="4" w:space="0" w:color="auto"/>
              <w:right w:val="single" w:sz="4" w:space="0" w:color="auto"/>
            </w:tcBorders>
            <w:vAlign w:val="center"/>
          </w:tcPr>
          <w:p w14:paraId="534E69A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世嘉博苑</w:t>
            </w:r>
          </w:p>
        </w:tc>
        <w:tc>
          <w:tcPr>
            <w:tcW w:w="1666" w:type="dxa"/>
            <w:tcBorders>
              <w:top w:val="nil"/>
              <w:left w:val="nil"/>
              <w:bottom w:val="single" w:sz="4" w:space="0" w:color="auto"/>
              <w:right w:val="single" w:sz="4" w:space="0" w:color="auto"/>
            </w:tcBorders>
            <w:vAlign w:val="center"/>
          </w:tcPr>
          <w:p w14:paraId="023807D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世嘉博苑</w:t>
            </w:r>
          </w:p>
        </w:tc>
      </w:tr>
      <w:tr w:rsidR="000E5655" w:rsidRPr="0043038D" w14:paraId="6BBB0B8D" w14:textId="77777777">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21E78C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14:paraId="160BFDB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1666" w:type="dxa"/>
            <w:tcBorders>
              <w:top w:val="nil"/>
              <w:left w:val="nil"/>
              <w:bottom w:val="single" w:sz="4" w:space="0" w:color="auto"/>
              <w:right w:val="single" w:sz="4" w:space="0" w:color="auto"/>
            </w:tcBorders>
            <w:vAlign w:val="center"/>
          </w:tcPr>
          <w:p w14:paraId="651097A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1666" w:type="dxa"/>
            <w:tcBorders>
              <w:top w:val="nil"/>
              <w:left w:val="nil"/>
              <w:bottom w:val="single" w:sz="4" w:space="0" w:color="auto"/>
              <w:right w:val="single" w:sz="4" w:space="0" w:color="auto"/>
            </w:tcBorders>
            <w:vAlign w:val="center"/>
          </w:tcPr>
          <w:p w14:paraId="4897343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14:paraId="4C76A911"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1B71DC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68FF2BC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040014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27E25A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5C57A670"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F40DC9F"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765CABB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C351B6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C68D24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5A63D64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998FCD1"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6D27A78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551E7F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23BC79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51CAC936"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3210C8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65EA9EF6"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4E1303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046B1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A8CACB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0246A8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B960990"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5F9B732"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07F5E9E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01C378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58B681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58078DE4"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018C703"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197C0D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35CDD09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3</w:t>
            </w:r>
          </w:p>
        </w:tc>
        <w:tc>
          <w:tcPr>
            <w:tcW w:w="897" w:type="pct"/>
            <w:tcBorders>
              <w:top w:val="nil"/>
              <w:left w:val="nil"/>
              <w:bottom w:val="single" w:sz="4" w:space="0" w:color="auto"/>
              <w:right w:val="single" w:sz="4" w:space="0" w:color="auto"/>
            </w:tcBorders>
            <w:vAlign w:val="center"/>
          </w:tcPr>
          <w:p w14:paraId="33C844E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c>
          <w:tcPr>
            <w:tcW w:w="897" w:type="pct"/>
            <w:tcBorders>
              <w:top w:val="nil"/>
              <w:left w:val="nil"/>
              <w:bottom w:val="single" w:sz="4" w:space="0" w:color="auto"/>
              <w:right w:val="single" w:sz="4" w:space="0" w:color="auto"/>
            </w:tcBorders>
            <w:vAlign w:val="center"/>
          </w:tcPr>
          <w:p w14:paraId="2508A75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14:paraId="5C158084"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4DB37E6"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8FC44C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60E65D8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009FE85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14:paraId="11A0ACE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14:paraId="1D6C24F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FF03D8E"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E763A76"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14:paraId="18ADC4D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D645AD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DFCFC6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28F62F0"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8D38D1F"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6D9B33B"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28BDB78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136686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F4FC6E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7E367EB"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1D3804F"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9EE187D"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14:paraId="5E2E395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E59C45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4CD6D3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7F59677"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A1657C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632F425"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14:paraId="3BCCEA6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F49961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510937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4D1988F6"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39A3E7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F5ABF35"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376630A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664DBF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c>
          <w:tcPr>
            <w:tcW w:w="897" w:type="pct"/>
            <w:tcBorders>
              <w:top w:val="nil"/>
              <w:left w:val="nil"/>
              <w:bottom w:val="single" w:sz="4" w:space="0" w:color="auto"/>
              <w:right w:val="single" w:sz="4" w:space="0" w:color="auto"/>
            </w:tcBorders>
            <w:vAlign w:val="center"/>
          </w:tcPr>
          <w:p w14:paraId="4658860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r>
      <w:tr w:rsidR="000E5655" w:rsidRPr="0043038D" w14:paraId="0E9A3E90"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7A832D6"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AB3240B"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057A8DD8"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100/101.5</w:t>
            </w:r>
          </w:p>
        </w:tc>
        <w:tc>
          <w:tcPr>
            <w:tcW w:w="897" w:type="pct"/>
            <w:tcBorders>
              <w:top w:val="nil"/>
              <w:left w:val="nil"/>
              <w:bottom w:val="single" w:sz="4" w:space="0" w:color="auto"/>
              <w:right w:val="single" w:sz="4" w:space="0" w:color="auto"/>
            </w:tcBorders>
            <w:vAlign w:val="center"/>
          </w:tcPr>
          <w:p w14:paraId="49A054C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101.5</w:t>
            </w:r>
          </w:p>
        </w:tc>
        <w:tc>
          <w:tcPr>
            <w:tcW w:w="897" w:type="pct"/>
            <w:tcBorders>
              <w:top w:val="nil"/>
              <w:left w:val="nil"/>
              <w:bottom w:val="single" w:sz="4" w:space="0" w:color="auto"/>
              <w:right w:val="single" w:sz="4" w:space="0" w:color="auto"/>
            </w:tcBorders>
            <w:vAlign w:val="center"/>
          </w:tcPr>
          <w:p w14:paraId="26E086A5"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100/100.5</w:t>
            </w:r>
          </w:p>
        </w:tc>
      </w:tr>
      <w:tr w:rsidR="000E5655" w:rsidRPr="0043038D" w14:paraId="4EC1AE22" w14:textId="7777777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E5ECCE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25E7119C"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14:paraId="2C9B4BC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c>
          <w:tcPr>
            <w:tcW w:w="897" w:type="pct"/>
            <w:tcBorders>
              <w:top w:val="nil"/>
              <w:left w:val="nil"/>
              <w:bottom w:val="single" w:sz="4" w:space="0" w:color="auto"/>
              <w:right w:val="single" w:sz="4" w:space="0" w:color="auto"/>
            </w:tcBorders>
            <w:vAlign w:val="center"/>
          </w:tcPr>
          <w:p w14:paraId="5CB74E1C"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c>
          <w:tcPr>
            <w:tcW w:w="897" w:type="pct"/>
            <w:tcBorders>
              <w:top w:val="nil"/>
              <w:left w:val="nil"/>
              <w:bottom w:val="single" w:sz="4" w:space="0" w:color="auto"/>
              <w:right w:val="single" w:sz="4" w:space="0" w:color="auto"/>
            </w:tcBorders>
            <w:vAlign w:val="center"/>
          </w:tcPr>
          <w:p w14:paraId="7F3C7E2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r>
      <w:tr w:rsidR="000E5655" w:rsidRPr="0043038D" w14:paraId="3F1405B3" w14:textId="77777777">
        <w:trPr>
          <w:trHeight w:val="227"/>
        </w:trPr>
        <w:tc>
          <w:tcPr>
            <w:tcW w:w="793" w:type="pct"/>
            <w:vMerge/>
            <w:tcBorders>
              <w:left w:val="single" w:sz="4" w:space="0" w:color="auto"/>
              <w:bottom w:val="single" w:sz="4" w:space="0" w:color="auto"/>
              <w:right w:val="single" w:sz="4" w:space="0" w:color="auto"/>
            </w:tcBorders>
            <w:vAlign w:val="center"/>
          </w:tcPr>
          <w:p w14:paraId="77423F44"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38209A4"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6EB8AED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E178A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832C74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1304BDB1" w14:textId="77777777">
        <w:trPr>
          <w:trHeight w:val="227"/>
        </w:trPr>
        <w:tc>
          <w:tcPr>
            <w:tcW w:w="793" w:type="pct"/>
            <w:vMerge/>
            <w:tcBorders>
              <w:left w:val="single" w:sz="4" w:space="0" w:color="auto"/>
              <w:bottom w:val="single" w:sz="4" w:space="0" w:color="auto"/>
              <w:right w:val="single" w:sz="4" w:space="0" w:color="auto"/>
            </w:tcBorders>
            <w:vAlign w:val="center"/>
          </w:tcPr>
          <w:p w14:paraId="7E2B771F"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485CAF5"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7BC80C0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481EEB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7AEABE1"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6D3E1BB" w14:textId="77777777">
        <w:trPr>
          <w:trHeight w:val="227"/>
        </w:trPr>
        <w:tc>
          <w:tcPr>
            <w:tcW w:w="793" w:type="pct"/>
            <w:vMerge/>
            <w:tcBorders>
              <w:left w:val="single" w:sz="4" w:space="0" w:color="auto"/>
              <w:bottom w:val="single" w:sz="4" w:space="0" w:color="auto"/>
              <w:right w:val="single" w:sz="4" w:space="0" w:color="auto"/>
            </w:tcBorders>
            <w:vAlign w:val="center"/>
          </w:tcPr>
          <w:p w14:paraId="37EDF8CE"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F6ED7F2"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1A5F21F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EA73D1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0DFDAA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2DEC2A7A" w14:textId="77777777">
        <w:trPr>
          <w:trHeight w:val="227"/>
        </w:trPr>
        <w:tc>
          <w:tcPr>
            <w:tcW w:w="793" w:type="pct"/>
            <w:vMerge/>
            <w:tcBorders>
              <w:left w:val="single" w:sz="4" w:space="0" w:color="auto"/>
              <w:bottom w:val="single" w:sz="4" w:space="0" w:color="auto"/>
              <w:right w:val="single" w:sz="4" w:space="0" w:color="auto"/>
            </w:tcBorders>
            <w:vAlign w:val="center"/>
          </w:tcPr>
          <w:p w14:paraId="29878B18"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FEFD3A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3E96704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C5E89D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1DBF25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DCD286F" w14:textId="77777777">
        <w:trPr>
          <w:trHeight w:val="227"/>
        </w:trPr>
        <w:tc>
          <w:tcPr>
            <w:tcW w:w="793" w:type="pct"/>
            <w:vMerge/>
            <w:tcBorders>
              <w:left w:val="single" w:sz="4" w:space="0" w:color="auto"/>
              <w:bottom w:val="single" w:sz="4" w:space="0" w:color="auto"/>
              <w:right w:val="single" w:sz="4" w:space="0" w:color="auto"/>
            </w:tcBorders>
            <w:vAlign w:val="center"/>
          </w:tcPr>
          <w:p w14:paraId="5826595E"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23F5D30"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63E6E5C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C0B1B3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11F6E09"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8013229" w14:textId="77777777">
        <w:trPr>
          <w:trHeight w:val="227"/>
        </w:trPr>
        <w:tc>
          <w:tcPr>
            <w:tcW w:w="793" w:type="pct"/>
            <w:vMerge/>
            <w:tcBorders>
              <w:left w:val="single" w:sz="4" w:space="0" w:color="auto"/>
              <w:bottom w:val="single" w:sz="4" w:space="0" w:color="auto"/>
              <w:right w:val="single" w:sz="4" w:space="0" w:color="auto"/>
            </w:tcBorders>
            <w:vAlign w:val="center"/>
          </w:tcPr>
          <w:p w14:paraId="72950A01"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AADC6EA"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57B4F74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47ED9F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17DF3DD"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0C7A0EE5" w14:textId="77777777">
        <w:trPr>
          <w:trHeight w:val="227"/>
        </w:trPr>
        <w:tc>
          <w:tcPr>
            <w:tcW w:w="793" w:type="pct"/>
            <w:vMerge/>
            <w:tcBorders>
              <w:left w:val="single" w:sz="4" w:space="0" w:color="auto"/>
              <w:bottom w:val="single" w:sz="4" w:space="0" w:color="auto"/>
              <w:right w:val="single" w:sz="4" w:space="0" w:color="auto"/>
            </w:tcBorders>
            <w:vAlign w:val="center"/>
          </w:tcPr>
          <w:p w14:paraId="60EE36AB"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DB42DFE"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74552404"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15396E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CFFF17"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FDBC521" w14:textId="77777777">
        <w:trPr>
          <w:trHeight w:val="227"/>
        </w:trPr>
        <w:tc>
          <w:tcPr>
            <w:tcW w:w="793" w:type="pct"/>
            <w:vMerge/>
            <w:tcBorders>
              <w:left w:val="single" w:sz="4" w:space="0" w:color="auto"/>
              <w:bottom w:val="single" w:sz="4" w:space="0" w:color="auto"/>
              <w:right w:val="single" w:sz="4" w:space="0" w:color="auto"/>
            </w:tcBorders>
            <w:vAlign w:val="center"/>
          </w:tcPr>
          <w:p w14:paraId="419A17AC"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F8AE8F7"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1F18308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09D0D3"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99D3A8B"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7BAE6944" w14:textId="77777777">
        <w:trPr>
          <w:trHeight w:val="227"/>
        </w:trPr>
        <w:tc>
          <w:tcPr>
            <w:tcW w:w="793" w:type="pct"/>
            <w:vMerge w:val="restart"/>
            <w:tcBorders>
              <w:left w:val="single" w:sz="4" w:space="0" w:color="auto"/>
              <w:bottom w:val="single" w:sz="4" w:space="0" w:color="auto"/>
              <w:right w:val="single" w:sz="4" w:space="0" w:color="auto"/>
            </w:tcBorders>
            <w:vAlign w:val="center"/>
          </w:tcPr>
          <w:p w14:paraId="2D266CA3"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3622878D"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65B6F9FF"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7A19A4E"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DA9870A"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661830F6" w14:textId="77777777">
        <w:trPr>
          <w:trHeight w:val="227"/>
        </w:trPr>
        <w:tc>
          <w:tcPr>
            <w:tcW w:w="793" w:type="pct"/>
            <w:vMerge/>
            <w:tcBorders>
              <w:left w:val="single" w:sz="4" w:space="0" w:color="auto"/>
              <w:bottom w:val="single" w:sz="4" w:space="0" w:color="auto"/>
              <w:right w:val="single" w:sz="4" w:space="0" w:color="auto"/>
            </w:tcBorders>
            <w:vAlign w:val="center"/>
          </w:tcPr>
          <w:p w14:paraId="6D093F59" w14:textId="77777777"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6D03E08"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水电气费执行标准</w:t>
            </w:r>
          </w:p>
        </w:tc>
        <w:tc>
          <w:tcPr>
            <w:tcW w:w="897" w:type="pct"/>
            <w:tcBorders>
              <w:top w:val="nil"/>
              <w:left w:val="nil"/>
              <w:bottom w:val="single" w:sz="4" w:space="0" w:color="auto"/>
              <w:right w:val="single" w:sz="4" w:space="0" w:color="auto"/>
            </w:tcBorders>
            <w:vAlign w:val="center"/>
          </w:tcPr>
          <w:p w14:paraId="4DE886C2"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C868FC0"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1459956" w14:textId="77777777"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14:paraId="5579C8D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91B3A77"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349EB827" w14:textId="77777777"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1.0193</w:t>
            </w:r>
          </w:p>
        </w:tc>
        <w:tc>
          <w:tcPr>
            <w:tcW w:w="897" w:type="pct"/>
            <w:tcBorders>
              <w:top w:val="single" w:sz="4" w:space="0" w:color="auto"/>
              <w:left w:val="nil"/>
              <w:bottom w:val="single" w:sz="4" w:space="0" w:color="auto"/>
              <w:right w:val="single" w:sz="4" w:space="0" w:color="auto"/>
            </w:tcBorders>
            <w:vAlign w:val="center"/>
          </w:tcPr>
          <w:p w14:paraId="480B909A" w14:textId="77777777"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1.0740</w:t>
            </w:r>
          </w:p>
        </w:tc>
        <w:tc>
          <w:tcPr>
            <w:tcW w:w="897" w:type="pct"/>
            <w:tcBorders>
              <w:top w:val="single" w:sz="4" w:space="0" w:color="auto"/>
              <w:left w:val="nil"/>
              <w:bottom w:val="single" w:sz="4" w:space="0" w:color="auto"/>
              <w:right w:val="single" w:sz="4" w:space="0" w:color="auto"/>
            </w:tcBorders>
            <w:vAlign w:val="center"/>
          </w:tcPr>
          <w:p w14:paraId="7EB73504" w14:textId="77777777"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1.0846</w:t>
            </w:r>
          </w:p>
        </w:tc>
      </w:tr>
      <w:tr w:rsidR="000E5655" w:rsidRPr="0043038D" w14:paraId="797D662B"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C1A0F8F" w14:textId="77777777"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14:paraId="4ED3B0AC" w14:textId="77777777"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62.82</w:t>
            </w:r>
          </w:p>
        </w:tc>
        <w:tc>
          <w:tcPr>
            <w:tcW w:w="1707" w:type="dxa"/>
            <w:tcBorders>
              <w:top w:val="single" w:sz="4" w:space="0" w:color="auto"/>
              <w:left w:val="nil"/>
              <w:bottom w:val="single" w:sz="4" w:space="0" w:color="auto"/>
              <w:right w:val="single" w:sz="4" w:space="0" w:color="auto"/>
            </w:tcBorders>
            <w:vAlign w:val="center"/>
          </w:tcPr>
          <w:p w14:paraId="2A2D9A84" w14:textId="77777777"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69.4</w:t>
            </w:r>
            <w:r w:rsidRPr="0043038D">
              <w:rPr>
                <w:rFonts w:ascii="Arial" w:hAnsi="Arial" w:cs="Arial" w:hint="eastAsia"/>
                <w:sz w:val="16"/>
                <w:szCs w:val="18"/>
              </w:rPr>
              <w:t>6</w:t>
            </w:r>
          </w:p>
        </w:tc>
        <w:tc>
          <w:tcPr>
            <w:tcW w:w="1707" w:type="dxa"/>
            <w:tcBorders>
              <w:top w:val="single" w:sz="4" w:space="0" w:color="auto"/>
              <w:left w:val="nil"/>
              <w:bottom w:val="single" w:sz="4" w:space="0" w:color="auto"/>
              <w:right w:val="single" w:sz="4" w:space="0" w:color="auto"/>
            </w:tcBorders>
            <w:vAlign w:val="center"/>
          </w:tcPr>
          <w:p w14:paraId="328D803D" w14:textId="77777777"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67.20</w:t>
            </w:r>
          </w:p>
        </w:tc>
      </w:tr>
    </w:tbl>
    <w:p w14:paraId="5AC580CC" w14:textId="77777777"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（待估房地产交易情况指数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（待估房地产区域状况条件指数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（待估房地产实物状况条件指数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（待估房地产</w:t>
      </w:r>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14:paraId="65EAF1A4"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14:paraId="01451120" w14:textId="77777777"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14:paraId="51AEA55B" w14:textId="77777777"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sz w:val="21"/>
          <w:szCs w:val="21"/>
        </w:rPr>
        <w:t>3</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62.82+69.46+67.2</w:t>
      </w:r>
      <w:r w:rsidRPr="0043038D">
        <w:rPr>
          <w:rFonts w:ascii="Arial" w:hAnsi="Arial" w:hint="eastAsia"/>
          <w:sz w:val="21"/>
          <w:szCs w:val="21"/>
        </w:rPr>
        <w:t>）÷</w:t>
      </w:r>
      <w:r w:rsidRPr="0043038D">
        <w:rPr>
          <w:rFonts w:ascii="Arial" w:hAnsi="Arial"/>
          <w:sz w:val="21"/>
          <w:szCs w:val="21"/>
        </w:rPr>
        <w:t>3</w:t>
      </w:r>
    </w:p>
    <w:p w14:paraId="340A7EC2" w14:textId="77777777"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66.49</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14:paraId="11ADB098" w14:textId="77777777" w:rsidR="000E5655" w:rsidRPr="0043038D" w:rsidRDefault="000E5655">
      <w:pPr>
        <w:wordWrap w:val="0"/>
        <w:overflowPunct w:val="0"/>
        <w:spacing w:line="480" w:lineRule="auto"/>
        <w:ind w:firstLineChars="200" w:firstLine="420"/>
        <w:rPr>
          <w:kern w:val="2"/>
          <w:sz w:val="21"/>
          <w:szCs w:val="21"/>
        </w:rPr>
      </w:pPr>
      <w:bookmarkStart w:id="72" w:name="_Toc155267108"/>
      <w:bookmarkStart w:id="73" w:name="_Toc525655441"/>
    </w:p>
    <w:p w14:paraId="4F5C8212" w14:textId="77777777"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六、估价结果确定</w:t>
      </w:r>
      <w:bookmarkEnd w:id="72"/>
      <w:bookmarkEnd w:id="73"/>
    </w:p>
    <w:p w14:paraId="2AF6D7FD" w14:textId="77777777"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确定估价对象</w:t>
      </w:r>
      <w:r w:rsidRPr="0043038D">
        <w:rPr>
          <w:rFonts w:ascii="Arial" w:hAnsi="Arial" w:cs="Arial" w:hint="eastAsia"/>
          <w:sz w:val="21"/>
          <w:szCs w:val="21"/>
        </w:rPr>
        <w:t>项目同地段、同品质住宅（住宅型）房地产于价值时点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日市场租金水平为：</w:t>
      </w:r>
      <w:r w:rsidRPr="0043038D">
        <w:rPr>
          <w:rFonts w:ascii="Arial" w:hAnsi="Arial" w:cs="Arial" w:hint="eastAsia"/>
          <w:sz w:val="21"/>
          <w:szCs w:val="21"/>
        </w:rPr>
        <w:t xml:space="preserve"> </w:t>
      </w:r>
    </w:p>
    <w:p w14:paraId="5AC8CA84" w14:textId="62930A9B"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零居室、一居室（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00845EDC">
        <w:rPr>
          <w:rFonts w:ascii="Arial" w:hAnsi="Arial" w:cs="Arial" w:hint="eastAsia"/>
          <w:b/>
          <w:bCs/>
          <w:sz w:val="21"/>
          <w:szCs w:val="21"/>
        </w:rPr>
        <w:t>4.</w:t>
      </w:r>
      <w:r w:rsidR="00845EDC">
        <w:rPr>
          <w:rFonts w:ascii="Arial" w:hAnsi="Arial" w:cs="Arial"/>
          <w:b/>
          <w:bCs/>
          <w:sz w:val="21"/>
          <w:szCs w:val="21"/>
        </w:rPr>
        <w:t>89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640E2057" w14:textId="77777777"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0CFB8326" w14:textId="77777777"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14:paraId="27E2FE9B" w14:textId="77777777"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14:paraId="4A4E43D2" w14:textId="77777777"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网络等费用）、车位使用费等费用。</w:t>
      </w:r>
    </w:p>
    <w:p w14:paraId="378C9C04" w14:textId="77777777"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sectPr w:rsidR="000E5655" w:rsidRPr="0043038D">
          <w:headerReference w:type="even" r:id="rId47"/>
          <w:headerReference w:type="default" r:id="rId48"/>
          <w:headerReference w:type="first" r:id="rId49"/>
          <w:pgSz w:w="11907" w:h="16840"/>
          <w:pgMar w:top="1843" w:right="1134" w:bottom="1134" w:left="1134" w:header="1134" w:footer="907" w:gutter="340"/>
          <w:cols w:space="720"/>
          <w:docGrid w:linePitch="326"/>
        </w:sectPr>
      </w:pPr>
    </w:p>
    <w:p w14:paraId="284A1F4B" w14:textId="77777777"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14:paraId="3E9F51EB" w14:textId="77777777" w:rsidR="000E5655" w:rsidRPr="0043038D" w:rsidRDefault="00837133">
      <w:pPr>
        <w:pStyle w:val="1"/>
        <w:spacing w:line="480" w:lineRule="auto"/>
        <w:jc w:val="center"/>
        <w:rPr>
          <w:rFonts w:eastAsia="方正黑体简体"/>
          <w:b w:val="0"/>
          <w:kern w:val="2"/>
          <w:sz w:val="32"/>
          <w:szCs w:val="32"/>
        </w:rPr>
      </w:pPr>
      <w:bookmarkStart w:id="76" w:name="_Toc155267109"/>
      <w:r w:rsidRPr="0043038D">
        <w:rPr>
          <w:rFonts w:eastAsia="方正黑体简体" w:hint="eastAsia"/>
          <w:b w:val="0"/>
          <w:kern w:val="2"/>
          <w:sz w:val="32"/>
          <w:szCs w:val="32"/>
        </w:rPr>
        <w:t>附</w:t>
      </w:r>
      <w:r w:rsidRPr="0043038D">
        <w:rPr>
          <w:rFonts w:eastAsia="方正黑体简体" w:hint="eastAsia"/>
          <w:b w:val="0"/>
          <w:kern w:val="2"/>
          <w:sz w:val="32"/>
          <w:szCs w:val="32"/>
        </w:rPr>
        <w:t xml:space="preserve">   </w:t>
      </w:r>
      <w:r w:rsidRPr="0043038D">
        <w:rPr>
          <w:rFonts w:eastAsia="方正黑体简体" w:hint="eastAsia"/>
          <w:b w:val="0"/>
          <w:kern w:val="2"/>
          <w:sz w:val="32"/>
          <w:szCs w:val="32"/>
        </w:rPr>
        <w:t>件</w:t>
      </w:r>
      <w:bookmarkEnd w:id="76"/>
    </w:p>
    <w:p w14:paraId="01167DC4"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《估价委托书》复印件</w:t>
      </w:r>
    </w:p>
    <w:p w14:paraId="56E37010"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估价对象所在位置示意图</w:t>
      </w:r>
    </w:p>
    <w:p w14:paraId="6E4F07ED"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现状</w:t>
      </w:r>
      <w:r w:rsidRPr="0043038D">
        <w:rPr>
          <w:rFonts w:ascii="Arial" w:hAnsi="Arial" w:cs="Arial"/>
          <w:sz w:val="21"/>
          <w:szCs w:val="21"/>
        </w:rPr>
        <w:t>照片</w:t>
      </w:r>
    </w:p>
    <w:p w14:paraId="68F00CE6"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合同编号：京规自出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14:paraId="5C2BD2DB"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《北京市发展和改革委员会</w:t>
      </w:r>
      <w:r w:rsidRPr="0043038D">
        <w:rPr>
          <w:rFonts w:ascii="Arial" w:hAnsi="Arial" w:cs="Arial"/>
          <w:sz w:val="21"/>
          <w:szCs w:val="21"/>
        </w:rPr>
        <w:t xml:space="preserve"> </w:t>
      </w:r>
      <w:r w:rsidRPr="0043038D">
        <w:rPr>
          <w:rFonts w:ascii="Arial" w:hAnsi="Arial" w:cs="Arial"/>
          <w:sz w:val="21"/>
          <w:szCs w:val="21"/>
        </w:rPr>
        <w:t>北京市住房和城乡建设委员会关于大兴区西红门镇</w:t>
      </w:r>
      <w:r w:rsidRPr="0043038D">
        <w:rPr>
          <w:rFonts w:ascii="Arial" w:hAnsi="Arial" w:cs="Arial"/>
          <w:sz w:val="21"/>
          <w:szCs w:val="21"/>
        </w:rPr>
        <w:t>DX04-0102-6011</w:t>
      </w:r>
      <w:r w:rsidRPr="0043038D">
        <w:rPr>
          <w:rFonts w:ascii="Arial" w:hAnsi="Arial" w:cs="Arial"/>
          <w:sz w:val="21"/>
          <w:szCs w:val="21"/>
        </w:rPr>
        <w:t>、</w:t>
      </w:r>
      <w:r w:rsidRPr="0043038D">
        <w:rPr>
          <w:rFonts w:ascii="Arial" w:hAnsi="Arial" w:cs="Arial"/>
          <w:sz w:val="21"/>
          <w:szCs w:val="21"/>
        </w:rPr>
        <w:t>6014</w:t>
      </w:r>
      <w:r w:rsidRPr="0043038D">
        <w:rPr>
          <w:rFonts w:ascii="Arial" w:hAnsi="Arial" w:cs="Arial"/>
          <w:sz w:val="21"/>
          <w:szCs w:val="21"/>
        </w:rPr>
        <w:t>地块用地项目核准的批复》</w:t>
      </w:r>
      <w:r w:rsidRPr="0043038D">
        <w:rPr>
          <w:rFonts w:ascii="Arial" w:hAnsi="Arial" w:cs="Arial"/>
          <w:sz w:val="21"/>
          <w:szCs w:val="21"/>
        </w:rPr>
        <w:t>[</w:t>
      </w:r>
      <w:r w:rsidRPr="0043038D">
        <w:rPr>
          <w:rFonts w:ascii="Arial" w:hAnsi="Arial" w:cs="Arial"/>
          <w:sz w:val="21"/>
          <w:szCs w:val="21"/>
        </w:rPr>
        <w:t>京发改（核）</w:t>
      </w:r>
      <w:r w:rsidRPr="0043038D">
        <w:rPr>
          <w:rFonts w:ascii="Arial" w:hAnsi="Arial" w:cs="Arial"/>
          <w:sz w:val="21"/>
          <w:szCs w:val="21"/>
        </w:rPr>
        <w:t>[2021]236</w:t>
      </w:r>
      <w:r w:rsidRPr="0043038D">
        <w:rPr>
          <w:rFonts w:ascii="Arial" w:hAnsi="Arial" w:cs="Arial"/>
          <w:sz w:val="21"/>
          <w:szCs w:val="21"/>
        </w:rPr>
        <w:t>号</w:t>
      </w:r>
      <w:r w:rsidRPr="0043038D">
        <w:rPr>
          <w:rFonts w:ascii="Arial" w:hAnsi="Arial" w:cs="Arial"/>
          <w:sz w:val="21"/>
          <w:szCs w:val="21"/>
        </w:rPr>
        <w:t>]</w:t>
      </w:r>
      <w:r w:rsidRPr="0043038D">
        <w:rPr>
          <w:rFonts w:ascii="Arial" w:hAnsi="Arial" w:cs="Arial"/>
          <w:sz w:val="21"/>
          <w:szCs w:val="21"/>
        </w:rPr>
        <w:t>复印件</w:t>
      </w:r>
    </w:p>
    <w:p w14:paraId="18450CB4"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《建设工程规划许可证》</w:t>
      </w:r>
      <w:r w:rsidRPr="0043038D">
        <w:rPr>
          <w:rFonts w:ascii="Arial" w:hAnsi="Arial" w:cs="Arial" w:hint="eastAsia"/>
          <w:kern w:val="2"/>
          <w:sz w:val="21"/>
          <w:szCs w:val="21"/>
        </w:rPr>
        <w:t>[2022</w:t>
      </w:r>
      <w:r w:rsidRPr="0043038D">
        <w:rPr>
          <w:rFonts w:ascii="Arial" w:hAnsi="Arial" w:cs="Arial" w:hint="eastAsia"/>
          <w:kern w:val="2"/>
          <w:sz w:val="21"/>
          <w:szCs w:val="21"/>
        </w:rPr>
        <w:t>规自（大）建字</w:t>
      </w:r>
      <w:r w:rsidRPr="0043038D">
        <w:rPr>
          <w:rFonts w:ascii="Arial" w:hAnsi="Arial" w:cs="Arial" w:hint="eastAsia"/>
          <w:kern w:val="2"/>
          <w:sz w:val="21"/>
          <w:szCs w:val="21"/>
        </w:rPr>
        <w:t>0005</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及其附件附图复印件</w:t>
      </w:r>
    </w:p>
    <w:p w14:paraId="2C051382"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《建筑工程施工许可证》</w:t>
      </w:r>
      <w:r w:rsidRPr="0043038D">
        <w:rPr>
          <w:rFonts w:ascii="Arial" w:hAnsi="Arial" w:cs="Arial" w:hint="eastAsia"/>
          <w:kern w:val="2"/>
          <w:sz w:val="21"/>
          <w:szCs w:val="21"/>
        </w:rPr>
        <w:t>[</w:t>
      </w:r>
      <w:r w:rsidRPr="0043038D">
        <w:rPr>
          <w:rFonts w:ascii="Arial" w:hAnsi="Arial" w:cs="Arial" w:hint="eastAsia"/>
          <w:kern w:val="2"/>
          <w:sz w:val="21"/>
          <w:szCs w:val="21"/>
        </w:rPr>
        <w:t>编号：</w:t>
      </w:r>
      <w:r w:rsidRPr="0043038D">
        <w:rPr>
          <w:rFonts w:ascii="Arial" w:hAnsi="Arial" w:cs="Arial" w:hint="eastAsia"/>
          <w:kern w:val="2"/>
          <w:sz w:val="21"/>
          <w:szCs w:val="21"/>
        </w:rPr>
        <w:t>110115202201290101]</w:t>
      </w:r>
      <w:r w:rsidRPr="0043038D">
        <w:rPr>
          <w:rFonts w:ascii="Arial" w:hAnsi="Arial" w:cs="Arial" w:hint="eastAsia"/>
          <w:kern w:val="2"/>
          <w:sz w:val="21"/>
          <w:szCs w:val="21"/>
        </w:rPr>
        <w:t>及其附件复印件</w:t>
      </w:r>
    </w:p>
    <w:p w14:paraId="59CA2BF4"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《工程竣工验收备案表》</w:t>
      </w:r>
      <w:r w:rsidRPr="0043038D">
        <w:rPr>
          <w:rFonts w:ascii="Arial" w:hAnsi="Arial" w:cs="Arial" w:hint="eastAsia"/>
          <w:kern w:val="2"/>
          <w:sz w:val="21"/>
          <w:szCs w:val="21"/>
        </w:rPr>
        <w:t>[</w:t>
      </w:r>
      <w:r w:rsidRPr="0043038D">
        <w:rPr>
          <w:rFonts w:ascii="Arial" w:hAnsi="Arial" w:cs="Arial" w:hint="eastAsia"/>
          <w:kern w:val="2"/>
          <w:sz w:val="21"/>
          <w:szCs w:val="21"/>
        </w:rPr>
        <w:t>备案编号：</w:t>
      </w:r>
      <w:r w:rsidRPr="0043038D">
        <w:rPr>
          <w:rFonts w:ascii="Arial" w:hAnsi="Arial" w:cs="Arial" w:hint="eastAsia"/>
          <w:kern w:val="2"/>
          <w:sz w:val="21"/>
          <w:szCs w:val="21"/>
        </w:rPr>
        <w:t>0585</w:t>
      </w:r>
      <w:r w:rsidRPr="0043038D">
        <w:rPr>
          <w:rFonts w:ascii="Arial" w:hAnsi="Arial" w:cs="Arial" w:hint="eastAsia"/>
          <w:kern w:val="2"/>
          <w:sz w:val="21"/>
          <w:szCs w:val="21"/>
        </w:rPr>
        <w:t>大竣</w:t>
      </w:r>
      <w:r w:rsidRPr="0043038D">
        <w:rPr>
          <w:rFonts w:ascii="Arial" w:hAnsi="Arial" w:cs="Arial" w:hint="eastAsia"/>
          <w:kern w:val="2"/>
          <w:sz w:val="21"/>
          <w:szCs w:val="21"/>
        </w:rPr>
        <w:t>2023</w:t>
      </w:r>
      <w:r w:rsidRPr="0043038D">
        <w:rPr>
          <w:rFonts w:ascii="Arial" w:hAnsi="Arial" w:cs="Arial" w:hint="eastAsia"/>
          <w:kern w:val="2"/>
          <w:sz w:val="21"/>
          <w:szCs w:val="21"/>
        </w:rPr>
        <w:t>（建）</w:t>
      </w:r>
      <w:r w:rsidRPr="0043038D">
        <w:rPr>
          <w:rFonts w:ascii="Arial" w:hAnsi="Arial" w:cs="Arial" w:hint="eastAsia"/>
          <w:kern w:val="2"/>
          <w:sz w:val="21"/>
          <w:szCs w:val="21"/>
        </w:rPr>
        <w:t>0078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14:paraId="3C0525A7"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14:paraId="2C8254BB"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14:paraId="1EF95457"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房地产估价机构《营业执照（副本）》复印件</w:t>
      </w:r>
    </w:p>
    <w:p w14:paraId="5E254F3E"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房地产估价机构资质证书复印件</w:t>
      </w:r>
    </w:p>
    <w:p w14:paraId="585DDBDB" w14:textId="77777777"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评估专业人员</w:t>
      </w:r>
      <w:r w:rsidRPr="0043038D">
        <w:rPr>
          <w:rFonts w:ascii="Arial" w:hAnsi="Arial" w:cs="Arial"/>
          <w:sz w:val="21"/>
          <w:szCs w:val="21"/>
        </w:rPr>
        <w:t>执业证书复印件</w:t>
      </w:r>
    </w:p>
    <w:sectPr w:rsidR="000E5655" w:rsidRPr="0043038D">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994E7" w14:textId="77777777" w:rsidR="00335FB5" w:rsidRDefault="00335FB5">
      <w:pPr>
        <w:spacing w:line="240" w:lineRule="auto"/>
      </w:pPr>
      <w:r>
        <w:separator/>
      </w:r>
    </w:p>
  </w:endnote>
  <w:endnote w:type="continuationSeparator" w:id="0">
    <w:p w14:paraId="5DAFBD1C" w14:textId="77777777" w:rsidR="00335FB5" w:rsidRDefault="00335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auto"/>
    <w:pitch w:val="default"/>
    <w:sig w:usb0="00000000" w:usb1="00000000" w:usb2="00000000" w:usb3="00000000" w:csb0="00040000" w:csb1="00000000"/>
  </w:font>
  <w:font w:name="GungsuhChe">
    <w:altName w:val="Malgun Gothic"/>
    <w:charset w:val="81"/>
    <w:family w:val="modern"/>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69731" w14:textId="77777777"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14:paraId="19730500" w14:textId="77777777" w:rsidR="000E5655" w:rsidRDefault="000E565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C5CCA" w14:textId="77777777" w:rsidR="000E5655" w:rsidRDefault="00837133">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32E91" w:rsidRPr="00332E91">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6C59A" w14:textId="77777777" w:rsidR="000E5655" w:rsidRDefault="000E5655">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6834" w14:textId="77777777" w:rsidR="000E5655" w:rsidRDefault="00837133">
    <w:pPr>
      <w:pStyle w:val="ac"/>
      <w:jc w:val="center"/>
    </w:pPr>
    <w:r>
      <w:fldChar w:fldCharType="begin"/>
    </w:r>
    <w:r>
      <w:instrText>PAGE   \* MERGEFORMAT</w:instrText>
    </w:r>
    <w:r>
      <w:fldChar w:fldCharType="separate"/>
    </w:r>
    <w:r>
      <w:rPr>
        <w:rFonts w:ascii="Arial" w:hAnsi="Arial"/>
        <w:lang w:val="zh-CN"/>
      </w:rPr>
      <w:t>12</w:t>
    </w:r>
    <w:r>
      <w:fldChar w:fldCharType="end"/>
    </w:r>
  </w:p>
  <w:p w14:paraId="300D46F8" w14:textId="77777777" w:rsidR="000E5655" w:rsidRDefault="000E5655">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748A8" w14:textId="77777777"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14:paraId="793B5C80" w14:textId="77777777" w:rsidR="000E5655" w:rsidRDefault="000E5655">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9E473" w14:textId="77777777" w:rsidR="000E5655" w:rsidRDefault="00837133">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32E91" w:rsidRPr="00332E91">
      <w:rPr>
        <w:rFonts w:ascii="Arial" w:hAnsi="Arial"/>
        <w:noProof/>
        <w:lang w:val="zh-CN"/>
      </w:rPr>
      <w:t>74</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6CDBB" w14:textId="77777777" w:rsidR="00335FB5" w:rsidRDefault="00335FB5">
      <w:pPr>
        <w:spacing w:line="240" w:lineRule="auto"/>
      </w:pPr>
      <w:r>
        <w:separator/>
      </w:r>
    </w:p>
  </w:footnote>
  <w:footnote w:type="continuationSeparator" w:id="0">
    <w:p w14:paraId="79846E6A" w14:textId="77777777" w:rsidR="00335FB5" w:rsidRDefault="00335F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FD5C4" w14:textId="77777777" w:rsidR="000E5655" w:rsidRDefault="00837133">
    <w:pPr>
      <w:pStyle w:val="ad"/>
      <w:pBdr>
        <w:bottom w:val="none" w:sz="0" w:space="0" w:color="auto"/>
      </w:pBdr>
    </w:pPr>
    <w:r>
      <w:rPr>
        <w:noProof/>
      </w:rPr>
      <w:drawing>
        <wp:inline distT="0" distB="0" distL="0" distR="0" wp14:anchorId="459AC427" wp14:editId="5D63DFDD">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B035E" w14:textId="77777777"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5BEE87" wp14:editId="1FDA91C7">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2597" w14:textId="77777777" w:rsidR="000E5655" w:rsidRDefault="00837133">
    <w:pPr>
      <w:pStyle w:val="ad"/>
    </w:pPr>
    <w:r>
      <w:rPr>
        <w:noProof/>
      </w:rPr>
      <w:drawing>
        <wp:inline distT="0" distB="0" distL="0" distR="0" wp14:anchorId="1F1745E1" wp14:editId="5AE08042">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981CE" w14:textId="77777777" w:rsidR="000E5655" w:rsidRDefault="000E5655">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14E65" w14:textId="77777777"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14:anchorId="71A554AA" wp14:editId="6EAE0527">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ED3C" w14:textId="77777777" w:rsidR="000E5655" w:rsidRDefault="000E5655">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511A8" w14:textId="77777777" w:rsidR="000E5655" w:rsidRDefault="000E5655">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014B0" w14:textId="77777777" w:rsidR="000E5655" w:rsidRDefault="00837133">
    <w:pPr>
      <w:pStyle w:val="ad"/>
      <w:pBdr>
        <w:bottom w:val="none" w:sz="0" w:space="0" w:color="auto"/>
      </w:pBdr>
    </w:pPr>
    <w:bookmarkStart w:id="74" w:name="_Hlk154502003"/>
    <w:bookmarkStart w:id="75" w:name="_Hlk154502004"/>
    <w:r>
      <w:rPr>
        <w:noProof/>
      </w:rPr>
      <w:drawing>
        <wp:inline distT="0" distB="0" distL="0" distR="0" wp14:anchorId="25088BB3" wp14:editId="53E42678">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4"/>
    <w:bookmarkEnd w:id="7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8EAA8" w14:textId="77777777" w:rsidR="000E5655" w:rsidRDefault="000E565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4ACE5" w14:textId="77777777" w:rsidR="000E5655" w:rsidRDefault="000E5655">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89EE6" w14:textId="77777777" w:rsidR="000E5655" w:rsidRDefault="000E565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462D5" w14:textId="77777777"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14:anchorId="5B8FF700" wp14:editId="3D03B369">
          <wp:extent cx="5907405" cy="28956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07DF" w14:textId="77777777" w:rsidR="000E5655" w:rsidRDefault="000E5655">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E4BE" w14:textId="77777777" w:rsidR="000E5655" w:rsidRDefault="000E5655">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C8C5F" w14:textId="77777777" w:rsidR="000E5655" w:rsidRDefault="00837133">
    <w:pPr>
      <w:pStyle w:val="ad"/>
      <w:pBdr>
        <w:bottom w:val="none" w:sz="0" w:space="0" w:color="auto"/>
      </w:pBdr>
    </w:pPr>
    <w:r>
      <w:rPr>
        <w:noProof/>
      </w:rPr>
      <w:drawing>
        <wp:inline distT="0" distB="0" distL="0" distR="0" wp14:anchorId="52069903" wp14:editId="6228E812">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55DAC" w14:textId="77777777" w:rsidR="000E5655" w:rsidRDefault="000E5655">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54EEB" w14:textId="77777777" w:rsidR="000E5655" w:rsidRDefault="000E565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DFFFBE2E"/>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47D236DF"/>
    <w:rsid w:val="569267A7"/>
    <w:rsid w:val="6BE62696"/>
    <w:rsid w:val="6C08062F"/>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F296F0"/>
  <w15:docId w15:val="{64A211D8-D507-4ED0-829B-B18A3135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qFormat="1"/>
    <w:lsdException w:name="toc 8" w:semiHidden="1" w:uiPriority="0" w:unhideWhenUsed="1" w:qFormat="1"/>
    <w:lsdException w:name="toc 9" w:semiHidden="1" w:uiPriority="0"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basedOn w:val="a"/>
    <w:next w:val="a"/>
    <w:link w:val="2Char"/>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link w:val="4Char"/>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1"/>
    <w:semiHidden/>
    <w:qFormat/>
    <w:pPr>
      <w:shd w:val="clear" w:color="auto" w:fill="000080"/>
    </w:pPr>
  </w:style>
  <w:style w:type="paragraph" w:styleId="a6">
    <w:name w:val="annotation text"/>
    <w:basedOn w:val="a"/>
    <w:link w:val="Char10"/>
    <w:uiPriority w:val="99"/>
    <w:qFormat/>
  </w:style>
  <w:style w:type="paragraph" w:styleId="a7">
    <w:name w:val="Body Text"/>
    <w:basedOn w:val="a"/>
    <w:link w:val="Char"/>
    <w:rPr>
      <w:rFonts w:eastAsia="隶书"/>
      <w:sz w:val="52"/>
    </w:rPr>
  </w:style>
  <w:style w:type="paragraph" w:styleId="a8">
    <w:name w:val="Body Text Indent"/>
    <w:basedOn w:val="a"/>
    <w:link w:val="Char0"/>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pPr>
      <w:ind w:leftChars="400" w:left="840"/>
    </w:pPr>
  </w:style>
  <w:style w:type="paragraph" w:styleId="a9">
    <w:name w:val="Plain Text"/>
    <w:basedOn w:val="a"/>
    <w:link w:val="Char2"/>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link w:val="Char3"/>
    <w:qFormat/>
    <w:pPr>
      <w:jc w:val="both"/>
    </w:pPr>
    <w:rPr>
      <w:rFonts w:ascii="楷体_GB2312" w:eastAsia="楷体_GB2312"/>
      <w:b/>
      <w:sz w:val="28"/>
    </w:rPr>
  </w:style>
  <w:style w:type="paragraph" w:styleId="20">
    <w:name w:val="Body Text Indent 2"/>
    <w:basedOn w:val="a"/>
    <w:link w:val="2Char0"/>
    <w:pPr>
      <w:spacing w:before="120" w:line="360" w:lineRule="auto"/>
      <w:ind w:left="600" w:firstLine="480"/>
    </w:pPr>
    <w:rPr>
      <w:rFonts w:ascii="楷体_GB2312" w:eastAsia="楷体_GB2312"/>
      <w:kern w:val="2"/>
      <w:sz w:val="28"/>
    </w:rPr>
  </w:style>
  <w:style w:type="paragraph" w:styleId="ab">
    <w:name w:val="Balloon Text"/>
    <w:basedOn w:val="a"/>
    <w:link w:val="Char4"/>
    <w:semiHidden/>
    <w:qFormat/>
    <w:rPr>
      <w:sz w:val="18"/>
      <w:szCs w:val="18"/>
    </w:rPr>
  </w:style>
  <w:style w:type="paragraph" w:styleId="ac">
    <w:name w:val="footer"/>
    <w:basedOn w:val="a"/>
    <w:link w:val="Char20"/>
    <w:uiPriority w:val="99"/>
    <w:qFormat/>
    <w:pPr>
      <w:tabs>
        <w:tab w:val="center" w:pos="4153"/>
        <w:tab w:val="right" w:pos="8306"/>
      </w:tabs>
      <w:spacing w:line="240" w:lineRule="atLeast"/>
    </w:pPr>
    <w:rPr>
      <w:sz w:val="18"/>
    </w:rPr>
  </w:style>
  <w:style w:type="paragraph" w:styleId="ad">
    <w:name w:val="header"/>
    <w:basedOn w:val="a"/>
    <w:link w:val="Char2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link w:val="3Char0"/>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link w:val="2Char1"/>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link w:val="Char5"/>
    <w:semiHidden/>
    <w:qFormat/>
    <w:rPr>
      <w:b/>
      <w:bCs/>
    </w:rPr>
  </w:style>
  <w:style w:type="paragraph" w:styleId="af0">
    <w:name w:val="Body Text First Indent"/>
    <w:basedOn w:val="a7"/>
    <w:link w:val="Char6"/>
    <w:qFormat/>
    <w:pPr>
      <w:adjustRightInd/>
      <w:spacing w:after="120" w:line="240" w:lineRule="auto"/>
      <w:ind w:firstLine="420"/>
      <w:jc w:val="both"/>
      <w:textAlignment w:val="auto"/>
    </w:pPr>
    <w:rPr>
      <w:rFonts w:eastAsia="宋体"/>
      <w:kern w:val="2"/>
      <w:sz w:val="21"/>
    </w:rPr>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Char1">
    <w:name w:val="文档结构图 Char1"/>
    <w:link w:val="a5"/>
    <w:semiHidden/>
    <w:qFormat/>
    <w:rPr>
      <w:sz w:val="24"/>
      <w:shd w:val="clear" w:color="auto" w:fill="000080"/>
    </w:rPr>
  </w:style>
  <w:style w:type="character" w:customStyle="1" w:styleId="Char10">
    <w:name w:val="批注文字 Char1"/>
    <w:link w:val="a6"/>
    <w:qFormat/>
    <w:rPr>
      <w:sz w:val="24"/>
    </w:rPr>
  </w:style>
  <w:style w:type="character" w:customStyle="1" w:styleId="Char20">
    <w:name w:val="页脚 Char2"/>
    <w:link w:val="ac"/>
    <w:uiPriority w:val="99"/>
    <w:rPr>
      <w:sz w:val="18"/>
    </w:rPr>
  </w:style>
  <w:style w:type="character" w:customStyle="1" w:styleId="Char21">
    <w:name w:val="页眉 Char2"/>
    <w:link w:val="ad"/>
    <w:uiPriority w:val="99"/>
    <w:rPr>
      <w:sz w:val="18"/>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color w:val="000000"/>
      <w:sz w:val="18"/>
      <w:szCs w:val="18"/>
      <w:u w:val="none"/>
    </w:rPr>
  </w:style>
  <w:style w:type="character" w:customStyle="1" w:styleId="text1">
    <w:name w:val="text1"/>
    <w:rPr>
      <w:spacing w:val="10"/>
      <w:sz w:val="28"/>
      <w:szCs w:val="28"/>
    </w:rPr>
  </w:style>
  <w:style w:type="character" w:customStyle="1" w:styleId="nr1">
    <w:name w:val="nr1"/>
    <w:qFormat/>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10">
    <w:name w:val="正文1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qFormat/>
    <w:rPr>
      <w:rFonts w:ascii="仿宋_GB2312" w:eastAsia="仿宋_GB2312" w:hint="eastAsia"/>
      <w:color w:val="000000"/>
      <w:sz w:val="28"/>
      <w:szCs w:val="28"/>
    </w:rPr>
  </w:style>
  <w:style w:type="paragraph" w:customStyle="1" w:styleId="LO-Normal">
    <w:name w:val="LO-Normal"/>
    <w:pPr>
      <w:widowControl w:val="0"/>
      <w:suppressAutoHyphens/>
      <w:spacing w:line="360" w:lineRule="atLeast"/>
      <w:textAlignment w:val="baseline"/>
    </w:pPr>
    <w:rPr>
      <w:rFonts w:ascii="宋体" w:hAnsi="宋体"/>
      <w:sz w:val="34"/>
    </w:rPr>
  </w:style>
  <w:style w:type="character" w:customStyle="1" w:styleId="textjayku">
    <w:name w:val="text_jayku"/>
    <w:basedOn w:val="a0"/>
    <w:qFormat/>
  </w:style>
  <w:style w:type="character" w:customStyle="1" w:styleId="1Char">
    <w:name w:val="标题 1 Char"/>
    <w:link w:val="1"/>
    <w:qFormat/>
    <w:rPr>
      <w:rFonts w:ascii="Arial" w:eastAsia="仿宋_GB2312" w:hAnsi="Arial" w:cs="Arial"/>
      <w:b/>
      <w:sz w:val="28"/>
    </w:rPr>
  </w:style>
  <w:style w:type="character" w:customStyle="1" w:styleId="2Char">
    <w:name w:val="标题 2 Char"/>
    <w:link w:val="2"/>
    <w:qFormat/>
    <w:rPr>
      <w:rFonts w:ascii="Arial" w:eastAsia="仿宋_GB2312" w:hAnsi="Arial" w:cs="Arial"/>
      <w:b/>
      <w:bCs/>
      <w:sz w:val="28"/>
    </w:rPr>
  </w:style>
  <w:style w:type="character" w:customStyle="1" w:styleId="3Char">
    <w:name w:val="标题 3 Char"/>
    <w:link w:val="3"/>
    <w:qFormat/>
    <w:rPr>
      <w:rFonts w:ascii="仿宋_GB2312" w:eastAsia="仿宋_GB2312" w:hAnsi="Arial" w:cs="Arial"/>
      <w:sz w:val="28"/>
    </w:rPr>
  </w:style>
  <w:style w:type="character" w:customStyle="1" w:styleId="4Char">
    <w:name w:val="标题 4 Char"/>
    <w:link w:val="4"/>
    <w:qFormat/>
    <w:rPr>
      <w:rFonts w:ascii="仿宋_GB2312" w:eastAsia="仿宋_GB2312"/>
      <w:sz w:val="28"/>
    </w:rPr>
  </w:style>
  <w:style w:type="character" w:customStyle="1" w:styleId="Char7">
    <w:name w:val="文档结构图 Char"/>
    <w:semiHidden/>
    <w:rPr>
      <w:rFonts w:ascii="Times New Roman" w:eastAsia="宋体" w:hAnsi="Times New Roman" w:cs="Times New Roman"/>
      <w:kern w:val="0"/>
      <w:sz w:val="24"/>
      <w:szCs w:val="20"/>
      <w:shd w:val="clear" w:color="auto" w:fill="000080"/>
    </w:rPr>
  </w:style>
  <w:style w:type="character" w:customStyle="1" w:styleId="Char8">
    <w:name w:val="批注文字 Char"/>
    <w:uiPriority w:val="99"/>
    <w:semiHidden/>
    <w:rPr>
      <w:rFonts w:ascii="Times New Roman" w:eastAsia="宋体" w:hAnsi="Times New Roman" w:cs="Times New Roman"/>
      <w:kern w:val="0"/>
      <w:sz w:val="24"/>
      <w:szCs w:val="20"/>
    </w:rPr>
  </w:style>
  <w:style w:type="character" w:customStyle="1" w:styleId="Char">
    <w:name w:val="正文文本 Char"/>
    <w:link w:val="a7"/>
    <w:qFormat/>
    <w:rPr>
      <w:rFonts w:eastAsia="隶书"/>
      <w:sz w:val="52"/>
    </w:rPr>
  </w:style>
  <w:style w:type="character" w:customStyle="1" w:styleId="Char0">
    <w:name w:val="正文文本缩进 Char"/>
    <w:link w:val="a8"/>
    <w:rPr>
      <w:rFonts w:ascii="楷体_GB2312" w:eastAsia="楷体_GB2312"/>
      <w:kern w:val="2"/>
      <w:sz w:val="28"/>
    </w:rPr>
  </w:style>
  <w:style w:type="character" w:customStyle="1" w:styleId="Char2">
    <w:name w:val="纯文本 Char"/>
    <w:link w:val="a9"/>
    <w:qFormat/>
    <w:rPr>
      <w:rFonts w:ascii="宋体" w:hAnsi="Courier New"/>
      <w:kern w:val="2"/>
      <w:sz w:val="21"/>
    </w:rPr>
  </w:style>
  <w:style w:type="character" w:customStyle="1" w:styleId="Char3">
    <w:name w:val="日期 Char"/>
    <w:link w:val="aa"/>
    <w:qFormat/>
    <w:rPr>
      <w:rFonts w:ascii="楷体_GB2312" w:eastAsia="楷体_GB2312"/>
      <w:b/>
      <w:sz w:val="28"/>
    </w:rPr>
  </w:style>
  <w:style w:type="character" w:customStyle="1" w:styleId="2Char0">
    <w:name w:val="正文文本缩进 2 Char"/>
    <w:link w:val="20"/>
    <w:rPr>
      <w:rFonts w:ascii="楷体_GB2312" w:eastAsia="楷体_GB2312"/>
      <w:kern w:val="2"/>
      <w:sz w:val="28"/>
    </w:rPr>
  </w:style>
  <w:style w:type="character" w:customStyle="1" w:styleId="Char4">
    <w:name w:val="批注框文本 Char"/>
    <w:link w:val="ab"/>
    <w:semiHidden/>
    <w:qFormat/>
    <w:rPr>
      <w:sz w:val="18"/>
      <w:szCs w:val="18"/>
    </w:rPr>
  </w:style>
  <w:style w:type="character" w:customStyle="1" w:styleId="Char11">
    <w:name w:val="页脚 Char1"/>
    <w:uiPriority w:val="99"/>
    <w:rPr>
      <w:sz w:val="18"/>
      <w:szCs w:val="18"/>
    </w:rPr>
  </w:style>
  <w:style w:type="character" w:customStyle="1" w:styleId="Char12">
    <w:name w:val="页眉 Char1"/>
    <w:uiPriority w:val="99"/>
    <w:qFormat/>
    <w:rPr>
      <w:rFonts w:ascii="Times New Roman" w:hAnsi="Times New Roman"/>
      <w:sz w:val="18"/>
      <w:szCs w:val="18"/>
    </w:rPr>
  </w:style>
  <w:style w:type="character" w:customStyle="1" w:styleId="3Char0">
    <w:name w:val="正文文本缩进 3 Char"/>
    <w:link w:val="31"/>
    <w:rPr>
      <w:rFonts w:ascii="楷体_GB2312" w:eastAsia="楷体_GB2312"/>
      <w:kern w:val="2"/>
      <w:sz w:val="28"/>
    </w:rPr>
  </w:style>
  <w:style w:type="character" w:customStyle="1" w:styleId="2Char1">
    <w:name w:val="正文文本 2 Char"/>
    <w:link w:val="22"/>
    <w:rPr>
      <w:rFonts w:eastAsia="仿宋_GB2312"/>
      <w:sz w:val="28"/>
    </w:rPr>
  </w:style>
  <w:style w:type="character" w:customStyle="1" w:styleId="Char5">
    <w:name w:val="批注主题 Char"/>
    <w:link w:val="af"/>
    <w:semiHidden/>
    <w:rPr>
      <w:b/>
      <w:bCs/>
      <w:sz w:val="24"/>
    </w:rPr>
  </w:style>
  <w:style w:type="character" w:customStyle="1" w:styleId="Char6">
    <w:name w:val="正文首行缩进 Char"/>
    <w:link w:val="af0"/>
    <w:rPr>
      <w:kern w:val="2"/>
      <w:sz w:val="21"/>
    </w:rPr>
  </w:style>
  <w:style w:type="paragraph" w:customStyle="1" w:styleId="2-11">
    <w:name w:val="中等深浅网格 2 - 强调文字颜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rPr>
  </w:style>
  <w:style w:type="character" w:customStyle="1" w:styleId="apple-style-span">
    <w:name w:val="apple-style-span"/>
  </w:style>
  <w:style w:type="paragraph" w:customStyle="1" w:styleId="-31">
    <w:name w:val="浅色列表 - 强调文字颜色 31"/>
    <w:uiPriority w:val="99"/>
    <w:semiHidden/>
    <w:qFormat/>
    <w:rPr>
      <w:sz w:val="24"/>
    </w:rPr>
  </w:style>
  <w:style w:type="paragraph" w:customStyle="1" w:styleId="-310">
    <w:name w:val="浅色网格 - 强调文字颜色 31"/>
    <w:basedOn w:val="a"/>
    <w:uiPriority w:val="34"/>
    <w:qFormat/>
    <w:pPr>
      <w:ind w:firstLineChars="200" w:firstLine="420"/>
    </w:pPr>
  </w:style>
  <w:style w:type="character" w:customStyle="1" w:styleId="apple-converted-space">
    <w:name w:val="apple-converted-space"/>
    <w:qFormat/>
  </w:style>
  <w:style w:type="character" w:customStyle="1" w:styleId="Char9">
    <w:name w:val="页眉 Char"/>
    <w:uiPriority w:val="99"/>
    <w:qFormat/>
    <w:rPr>
      <w:rFonts w:ascii="Times New Roman" w:hAnsi="Times New Roman"/>
      <w:sz w:val="18"/>
      <w:szCs w:val="18"/>
    </w:rPr>
  </w:style>
  <w:style w:type="character" w:customStyle="1" w:styleId="Chara">
    <w:name w:val="页脚 Char"/>
    <w:uiPriority w:val="99"/>
    <w:qFormat/>
    <w:rPr>
      <w:sz w:val="18"/>
      <w:szCs w:val="18"/>
    </w:rPr>
  </w:style>
  <w:style w:type="paragraph" w:customStyle="1" w:styleId="-110">
    <w:name w:val="彩色列表 - 强调文字颜色 11"/>
    <w:basedOn w:val="a"/>
    <w:uiPriority w:val="1"/>
    <w:qFormat/>
    <w:pPr>
      <w:spacing w:before="20" w:after="20"/>
      <w:ind w:firstLineChars="200" w:firstLine="420"/>
    </w:pPr>
  </w:style>
  <w:style w:type="character" w:customStyle="1" w:styleId="font11">
    <w:name w:val="font11"/>
    <w:qFormat/>
    <w:rPr>
      <w:rFonts w:ascii="华文细黑" w:eastAsia="华文细黑" w:hAnsi="华文细黑" w:cs="华文细黑"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0.xml"/><Relationship Id="rId34" Type="http://schemas.openxmlformats.org/officeDocument/2006/relationships/chart" Target="charts/chart2.xml"/><Relationship Id="rId42" Type="http://schemas.openxmlformats.org/officeDocument/2006/relationships/chart" Target="charts/chart5.xml"/><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chart" Target="charts/chart4.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4.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6.emf"/><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chart" Target="charts/chart6.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ser>
        <c:dLbls>
          <c:showLegendKey val="0"/>
          <c:showVal val="0"/>
          <c:showCatName val="0"/>
          <c:showSerName val="0"/>
          <c:showPercent val="0"/>
          <c:showBubbleSize val="0"/>
        </c:dLbls>
        <c:gapWidth val="150"/>
        <c:axId val="517946816"/>
        <c:axId val="517947208"/>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-2.7852567078257001E-4</c:v>
                </c:pt>
                <c:pt idx="1">
                  <c:v>1.6576894502228899E-2</c:v>
                </c:pt>
                <c:pt idx="2">
                  <c:v>-3.1973690220632499E-4</c:v>
                </c:pt>
                <c:pt idx="3">
                  <c:v>-1.9647263090558599E-3</c:v>
                </c:pt>
                <c:pt idx="4">
                  <c:v>6.8671885729987303E-4</c:v>
                </c:pt>
              </c:numCache>
            </c:numRef>
          </c:val>
          <c:smooth val="0"/>
        </c:ser>
        <c:dLbls>
          <c:showLegendKey val="0"/>
          <c:showVal val="0"/>
          <c:showCatName val="0"/>
          <c:showSerName val="0"/>
          <c:showPercent val="0"/>
          <c:showBubbleSize val="0"/>
        </c:dLbls>
        <c:marker val="1"/>
        <c:smooth val="0"/>
        <c:axId val="517948384"/>
        <c:axId val="517951520"/>
      </c:lineChart>
      <c:catAx>
        <c:axId val="5179468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17947208"/>
        <c:crosses val="autoZero"/>
        <c:auto val="1"/>
        <c:lblAlgn val="ctr"/>
        <c:lblOffset val="100"/>
        <c:noMultiLvlLbl val="0"/>
      </c:catAx>
      <c:valAx>
        <c:axId val="51794720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17946816"/>
        <c:crosses val="autoZero"/>
        <c:crossBetween val="between"/>
        <c:majorUnit val="500"/>
      </c:valAx>
      <c:catAx>
        <c:axId val="517948384"/>
        <c:scaling>
          <c:orientation val="minMax"/>
        </c:scaling>
        <c:delete val="1"/>
        <c:axPos val="b"/>
        <c:numFmt formatCode="General" sourceLinked="1"/>
        <c:majorTickMark val="out"/>
        <c:minorTickMark val="none"/>
        <c:tickLblPos val="nextTo"/>
        <c:crossAx val="517951520"/>
        <c:crosses val="autoZero"/>
        <c:auto val="1"/>
        <c:lblAlgn val="ctr"/>
        <c:lblOffset val="100"/>
        <c:noMultiLvlLbl val="0"/>
      </c:catAx>
      <c:valAx>
        <c:axId val="51795152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17948384"/>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dccdff9f-54a6-4a1f-9704-e499bf70eb63}"/>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土地成交楼面均价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Sheet1!$B$2:$B$37</c:f>
              <c:numCache>
                <c:formatCode>General</c:formatCode>
                <c:ptCount val="36"/>
                <c:pt idx="2">
                  <c:v>4526</c:v>
                </c:pt>
                <c:pt idx="3">
                  <c:v>32966</c:v>
                </c:pt>
                <c:pt idx="5">
                  <c:v>29430</c:v>
                </c:pt>
                <c:pt idx="7">
                  <c:v>29845</c:v>
                </c:pt>
                <c:pt idx="10">
                  <c:v>27849</c:v>
                </c:pt>
                <c:pt idx="11">
                  <c:v>42610</c:v>
                </c:pt>
                <c:pt idx="14">
                  <c:v>33918</c:v>
                </c:pt>
                <c:pt idx="16">
                  <c:v>42354</c:v>
                </c:pt>
                <c:pt idx="19">
                  <c:v>24838</c:v>
                </c:pt>
                <c:pt idx="20">
                  <c:v>27617</c:v>
                </c:pt>
                <c:pt idx="21">
                  <c:v>40453</c:v>
                </c:pt>
                <c:pt idx="22">
                  <c:v>44432</c:v>
                </c:pt>
                <c:pt idx="23">
                  <c:v>37130</c:v>
                </c:pt>
                <c:pt idx="24">
                  <c:v>27028</c:v>
                </c:pt>
                <c:pt idx="25">
                  <c:v>29621</c:v>
                </c:pt>
                <c:pt idx="26">
                  <c:v>25810</c:v>
                </c:pt>
                <c:pt idx="27">
                  <c:v>34465</c:v>
                </c:pt>
                <c:pt idx="28">
                  <c:v>20134</c:v>
                </c:pt>
                <c:pt idx="29">
                  <c:v>21580</c:v>
                </c:pt>
                <c:pt idx="30">
                  <c:v>34404</c:v>
                </c:pt>
                <c:pt idx="31">
                  <c:v>28625</c:v>
                </c:pt>
                <c:pt idx="32">
                  <c:v>21719</c:v>
                </c:pt>
                <c:pt idx="33">
                  <c:v>18863</c:v>
                </c:pt>
                <c:pt idx="34">
                  <c:v>27999</c:v>
                </c:pt>
                <c:pt idx="35">
                  <c:v>37677</c:v>
                </c:pt>
              </c:numCache>
            </c:numRef>
          </c:val>
        </c:ser>
        <c:dLbls>
          <c:showLegendKey val="0"/>
          <c:showVal val="0"/>
          <c:showCatName val="0"/>
          <c:showSerName val="0"/>
          <c:showPercent val="0"/>
          <c:showBubbleSize val="0"/>
        </c:dLbls>
        <c:gapWidth val="300"/>
        <c:overlap val="100"/>
        <c:axId val="517949952"/>
        <c:axId val="517947600"/>
      </c:barChart>
      <c:lineChart>
        <c:grouping val="standard"/>
        <c:varyColors val="0"/>
        <c:ser>
          <c:idx val="1"/>
          <c:order val="1"/>
          <c:tx>
            <c:strRef>
              <c:f>Sheet1!$C$1</c:f>
              <c:strCache>
                <c:ptCount val="1"/>
                <c:pt idx="0">
                  <c:v>土地平均溢价率</c:v>
                </c:pt>
              </c:strCache>
            </c:strRef>
          </c:tx>
          <c:spPr>
            <a:ln w="28575" cap="rnd" cmpd="sng" algn="ctr">
              <a:solidFill>
                <a:srgbClr val="FFC107"/>
              </a:solidFill>
              <a:prstDash val="solid"/>
              <a:round/>
            </a:ln>
          </c:spPr>
          <c:marker>
            <c:symbol val="circle"/>
            <c:size val="5"/>
            <c:spPr>
              <a:solidFill>
                <a:srgbClr val="FFC107"/>
              </a:solidFill>
              <a:ln w="9525" cap="flat" cmpd="sng" algn="ctr">
                <a:solidFill>
                  <a:srgbClr val="FFC107"/>
                </a:solidFill>
                <a:prstDash val="solid"/>
                <a:round/>
              </a:ln>
            </c:spPr>
          </c:marker>
          <c:dPt>
            <c:idx val="0"/>
            <c:marker>
              <c:spPr>
                <a:noFill/>
                <a:ln w="9525" cap="flat" cmpd="sng" algn="ctr">
                  <a:noFill/>
                  <a:prstDash val="solid"/>
                  <a:round/>
                </a:ln>
              </c:spPr>
            </c:marker>
            <c:bubble3D val="0"/>
            <c:spPr>
              <a:ln w="28575" cap="rnd" cmpd="sng" algn="ctr">
                <a:noFill/>
                <a:prstDash val="solid"/>
                <a:round/>
              </a:ln>
            </c:spPr>
          </c:dPt>
          <c:dPt>
            <c:idx val="1"/>
            <c:marker>
              <c:spPr>
                <a:noFill/>
                <a:ln w="9525" cap="flat" cmpd="sng" algn="ctr">
                  <a:noFill/>
                  <a:prstDash val="solid"/>
                  <a:round/>
                </a:ln>
              </c:spPr>
            </c:marker>
            <c:bubble3D val="0"/>
            <c:spPr>
              <a:ln w="28575" cap="rnd" cmpd="sng" algn="ctr">
                <a:noFill/>
                <a:prstDash val="solid"/>
                <a:round/>
              </a:ln>
            </c:spPr>
          </c:dPt>
          <c:dPt>
            <c:idx val="2"/>
            <c:bubble3D val="0"/>
            <c:spPr>
              <a:ln w="28575" cap="rnd" cmpd="sng" algn="ctr">
                <a:noFill/>
                <a:prstDash val="solid"/>
                <a:round/>
              </a:ln>
            </c:spPr>
          </c:dPt>
          <c:dPt>
            <c:idx val="4"/>
            <c:marker>
              <c:spPr>
                <a:noFill/>
                <a:ln w="9525" cap="flat" cmpd="sng" algn="ctr">
                  <a:noFill/>
                  <a:prstDash val="solid"/>
                  <a:round/>
                </a:ln>
              </c:spPr>
            </c:marker>
            <c:bubble3D val="0"/>
            <c:spPr>
              <a:ln w="28575" cap="rnd" cmpd="sng" algn="ctr">
                <a:noFill/>
                <a:prstDash val="solid"/>
                <a:round/>
              </a:ln>
            </c:spPr>
          </c:dPt>
          <c:dPt>
            <c:idx val="5"/>
            <c:bubble3D val="0"/>
            <c:spPr>
              <a:ln w="28575" cap="rnd" cmpd="sng" algn="ctr">
                <a:noFill/>
                <a:prstDash val="solid"/>
                <a:round/>
              </a:ln>
            </c:spPr>
          </c:dPt>
          <c:dPt>
            <c:idx val="6"/>
            <c:marker>
              <c:spPr>
                <a:noFill/>
                <a:ln w="9525" cap="flat" cmpd="sng" algn="ctr">
                  <a:noFill/>
                  <a:prstDash val="solid"/>
                  <a:round/>
                </a:ln>
              </c:spPr>
            </c:marker>
            <c:bubble3D val="0"/>
            <c:spPr>
              <a:ln w="28575" cap="rnd" cmpd="sng" algn="ctr">
                <a:noFill/>
                <a:prstDash val="solid"/>
                <a:round/>
              </a:ln>
            </c:spPr>
          </c:dPt>
          <c:dPt>
            <c:idx val="7"/>
            <c:bubble3D val="0"/>
            <c:spPr>
              <a:ln w="28575" cap="rnd" cmpd="sng" algn="ctr">
                <a:noFill/>
                <a:prstDash val="solid"/>
                <a:round/>
              </a:ln>
            </c:spPr>
          </c:dPt>
          <c:dPt>
            <c:idx val="8"/>
            <c:marker>
              <c:spPr>
                <a:noFill/>
                <a:ln w="9525" cap="flat" cmpd="sng" algn="ctr">
                  <a:noFill/>
                  <a:prstDash val="solid"/>
                  <a:round/>
                </a:ln>
              </c:spPr>
            </c:marker>
            <c:bubble3D val="0"/>
            <c:spPr>
              <a:ln w="28575" cap="rnd" cmpd="sng" algn="ctr">
                <a:noFill/>
                <a:prstDash val="solid"/>
                <a:round/>
              </a:ln>
            </c:spPr>
          </c:dPt>
          <c:dPt>
            <c:idx val="9"/>
            <c:marker>
              <c:spPr>
                <a:noFill/>
                <a:ln w="9525" cap="flat" cmpd="sng" algn="ctr">
                  <a:noFill/>
                  <a:prstDash val="solid"/>
                  <a:round/>
                </a:ln>
              </c:spPr>
            </c:marker>
            <c:bubble3D val="0"/>
            <c:spPr>
              <a:ln w="28575" cap="rnd" cmpd="sng" algn="ctr">
                <a:noFill/>
                <a:prstDash val="solid"/>
                <a:round/>
              </a:ln>
            </c:spPr>
          </c:dPt>
          <c:dPt>
            <c:idx val="10"/>
            <c:bubble3D val="0"/>
            <c:spPr>
              <a:ln w="28575" cap="rnd" cmpd="sng" algn="ctr">
                <a:noFill/>
                <a:prstDash val="solid"/>
                <a:round/>
              </a:ln>
            </c:spPr>
          </c:dPt>
          <c:dPt>
            <c:idx val="12"/>
            <c:marker>
              <c:spPr>
                <a:noFill/>
                <a:ln w="9525" cap="flat" cmpd="sng" algn="ctr">
                  <a:noFill/>
                  <a:prstDash val="solid"/>
                  <a:round/>
                </a:ln>
              </c:spPr>
            </c:marker>
            <c:bubble3D val="0"/>
            <c:spPr>
              <a:ln w="28575" cap="rnd" cmpd="sng" algn="ctr">
                <a:noFill/>
                <a:prstDash val="solid"/>
                <a:round/>
              </a:ln>
            </c:spPr>
          </c:dPt>
          <c:dPt>
            <c:idx val="13"/>
            <c:marker>
              <c:spPr>
                <a:noFill/>
                <a:ln w="9525" cap="flat" cmpd="sng" algn="ctr">
                  <a:noFill/>
                  <a:prstDash val="solid"/>
                  <a:round/>
                </a:ln>
              </c:spPr>
            </c:marker>
            <c:bubble3D val="0"/>
            <c:spPr>
              <a:ln w="28575" cap="rnd" cmpd="sng" algn="ctr">
                <a:noFill/>
                <a:prstDash val="solid"/>
                <a:round/>
              </a:ln>
            </c:spPr>
          </c:dPt>
          <c:dPt>
            <c:idx val="14"/>
            <c:bubble3D val="0"/>
            <c:spPr>
              <a:ln w="28575" cap="rnd" cmpd="sng" algn="ctr">
                <a:noFill/>
                <a:prstDash val="solid"/>
                <a:round/>
              </a:ln>
            </c:spPr>
          </c:dPt>
          <c:dPt>
            <c:idx val="15"/>
            <c:marker>
              <c:spPr>
                <a:noFill/>
                <a:ln w="9525" cap="flat" cmpd="sng" algn="ctr">
                  <a:noFill/>
                  <a:prstDash val="solid"/>
                  <a:round/>
                </a:ln>
              </c:spPr>
            </c:marker>
            <c:bubble3D val="0"/>
            <c:spPr>
              <a:ln w="28575" cap="rnd" cmpd="sng" algn="ctr">
                <a:noFill/>
                <a:prstDash val="solid"/>
                <a:round/>
              </a:ln>
            </c:spPr>
          </c:dPt>
          <c:dPt>
            <c:idx val="16"/>
            <c:bubble3D val="0"/>
            <c:spPr>
              <a:ln w="28575" cap="rnd" cmpd="sng" algn="ctr">
                <a:noFill/>
                <a:prstDash val="solid"/>
                <a:round/>
              </a:ln>
            </c:spPr>
          </c:dPt>
          <c:dPt>
            <c:idx val="17"/>
            <c:marker>
              <c:spPr>
                <a:noFill/>
                <a:ln w="9525" cap="flat" cmpd="sng" algn="ctr">
                  <a:noFill/>
                  <a:prstDash val="solid"/>
                  <a:round/>
                </a:ln>
              </c:spPr>
            </c:marker>
            <c:bubble3D val="0"/>
            <c:spPr>
              <a:ln w="28575" cap="rnd" cmpd="sng" algn="ctr">
                <a:noFill/>
                <a:prstDash val="solid"/>
                <a:round/>
              </a:ln>
            </c:spPr>
          </c:dPt>
          <c:dPt>
            <c:idx val="18"/>
            <c:marker>
              <c:spPr>
                <a:noFill/>
                <a:ln w="9525" cap="flat" cmpd="sng" algn="ctr">
                  <a:noFill/>
                  <a:prstDash val="solid"/>
                  <a:round/>
                </a:ln>
              </c:spPr>
            </c:marker>
            <c:bubble3D val="0"/>
            <c:spPr>
              <a:ln w="28575" cap="rnd" cmpd="sng" algn="ctr">
                <a:noFill/>
                <a:prstDash val="solid"/>
                <a:round/>
              </a:ln>
            </c:spPr>
          </c:dPt>
          <c:dPt>
            <c:idx val="19"/>
            <c:bubble3D val="0"/>
            <c:spPr>
              <a:ln w="28575" cap="rnd" cmpd="sng" algn="ctr">
                <a:noFill/>
                <a:prstDash val="solid"/>
                <a:round/>
              </a:ln>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Sheet1!$C$2:$C$37</c:f>
              <c:numCache>
                <c:formatCode>General</c:formatCode>
                <c:ptCount val="36"/>
                <c:pt idx="0">
                  <c:v>0</c:v>
                </c:pt>
                <c:pt idx="1">
                  <c:v>0</c:v>
                </c:pt>
                <c:pt idx="2">
                  <c:v>0</c:v>
                </c:pt>
                <c:pt idx="3">
                  <c:v>4.13</c:v>
                </c:pt>
                <c:pt idx="4">
                  <c:v>0</c:v>
                </c:pt>
                <c:pt idx="5">
                  <c:v>1.01</c:v>
                </c:pt>
                <c:pt idx="6">
                  <c:v>0</c:v>
                </c:pt>
                <c:pt idx="7">
                  <c:v>4.46</c:v>
                </c:pt>
                <c:pt idx="8">
                  <c:v>0</c:v>
                </c:pt>
                <c:pt idx="9">
                  <c:v>0</c:v>
                </c:pt>
                <c:pt idx="10">
                  <c:v>0</c:v>
                </c:pt>
                <c:pt idx="11">
                  <c:v>9.91</c:v>
                </c:pt>
                <c:pt idx="12">
                  <c:v>0</c:v>
                </c:pt>
                <c:pt idx="13">
                  <c:v>0</c:v>
                </c:pt>
                <c:pt idx="14">
                  <c:v>6.06</c:v>
                </c:pt>
                <c:pt idx="15">
                  <c:v>0</c:v>
                </c:pt>
                <c:pt idx="16">
                  <c:v>10.02</c:v>
                </c:pt>
                <c:pt idx="17">
                  <c:v>0</c:v>
                </c:pt>
                <c:pt idx="18">
                  <c:v>0</c:v>
                </c:pt>
                <c:pt idx="19">
                  <c:v>7.81</c:v>
                </c:pt>
                <c:pt idx="20">
                  <c:v>4.43</c:v>
                </c:pt>
                <c:pt idx="21">
                  <c:v>4.95</c:v>
                </c:pt>
                <c:pt idx="22">
                  <c:v>15</c:v>
                </c:pt>
                <c:pt idx="23">
                  <c:v>9.11</c:v>
                </c:pt>
                <c:pt idx="24">
                  <c:v>9.11</c:v>
                </c:pt>
                <c:pt idx="25">
                  <c:v>12.72</c:v>
                </c:pt>
                <c:pt idx="26">
                  <c:v>4.0999999999999996</c:v>
                </c:pt>
                <c:pt idx="27">
                  <c:v>9.24</c:v>
                </c:pt>
                <c:pt idx="28">
                  <c:v>0</c:v>
                </c:pt>
                <c:pt idx="29">
                  <c:v>2.5099999999999998</c:v>
                </c:pt>
                <c:pt idx="30">
                  <c:v>8.9600000000000009</c:v>
                </c:pt>
                <c:pt idx="31">
                  <c:v>5.53</c:v>
                </c:pt>
                <c:pt idx="32">
                  <c:v>8.7200000000000006</c:v>
                </c:pt>
                <c:pt idx="33">
                  <c:v>0</c:v>
                </c:pt>
                <c:pt idx="34">
                  <c:v>0</c:v>
                </c:pt>
                <c:pt idx="35">
                  <c:v>0.44</c:v>
                </c:pt>
              </c:numCache>
            </c:numRef>
          </c:val>
          <c:smooth val="1"/>
        </c:ser>
        <c:dLbls>
          <c:showLegendKey val="0"/>
          <c:showVal val="0"/>
          <c:showCatName val="0"/>
          <c:showSerName val="0"/>
          <c:showPercent val="0"/>
          <c:showBubbleSize val="0"/>
        </c:dLbls>
        <c:marker val="1"/>
        <c:smooth val="0"/>
        <c:axId val="517944856"/>
        <c:axId val="517949168"/>
      </c:lineChart>
      <c:catAx>
        <c:axId val="517949952"/>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47600"/>
        <c:crosses val="autoZero"/>
        <c:auto val="0"/>
        <c:lblAlgn val="ctr"/>
        <c:lblOffset val="100"/>
        <c:noMultiLvlLbl val="0"/>
      </c:catAx>
      <c:valAx>
        <c:axId val="517947600"/>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49952"/>
        <c:crosses val="autoZero"/>
        <c:crossBetween val="between"/>
      </c:valAx>
      <c:catAx>
        <c:axId val="517944856"/>
        <c:scaling>
          <c:orientation val="minMax"/>
        </c:scaling>
        <c:delete val="1"/>
        <c:axPos val="b"/>
        <c:numFmt formatCode="General" sourceLinked="1"/>
        <c:majorTickMark val="out"/>
        <c:minorTickMark val="none"/>
        <c:tickLblPos val="nextTo"/>
        <c:crossAx val="517949168"/>
        <c:crosses val="autoZero"/>
        <c:auto val="0"/>
        <c:lblAlgn val="ctr"/>
        <c:lblOffset val="100"/>
        <c:noMultiLvlLbl val="0"/>
      </c:catAx>
      <c:valAx>
        <c:axId val="517949168"/>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44856"/>
        <c:crosses val="max"/>
        <c:crossBetween val="between"/>
      </c:valAx>
    </c:plotArea>
    <c:legend>
      <c:legendPos val="t"/>
      <c:overlay val="0"/>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50e757a-0ab5-4f31-959d-7cae6e3956bb}"/>
      </c:ext>
    </c:extLst>
  </c:chart>
  <c:spPr>
    <a:solidFill>
      <a:srgbClr val="FFFFFF"/>
    </a:solidFill>
  </c:spPr>
  <c:txPr>
    <a:bodyPr/>
    <a:lstStyle/>
    <a:p>
      <a:pPr>
        <a:defRPr lang="zh-CN" sz="900" b="0">
          <a:latin typeface="楷体" panose="02010609060101010101" charset="-122"/>
          <a:ea typeface="楷体" panose="02010609060101010101" charset="-122"/>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累计供应面积</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cat>
            <c:strRef>
              <c:f>Sheet1!$A$2:$A$8</c:f>
              <c:strCache>
                <c:ptCount val="7"/>
                <c:pt idx="0">
                  <c:v>2018:1-6</c:v>
                </c:pt>
                <c:pt idx="1">
                  <c:v>2019:1-6</c:v>
                </c:pt>
                <c:pt idx="2">
                  <c:v>2020:1-6</c:v>
                </c:pt>
                <c:pt idx="3">
                  <c:v>2021:1-6</c:v>
                </c:pt>
                <c:pt idx="4">
                  <c:v>2022:1-6</c:v>
                </c:pt>
                <c:pt idx="5">
                  <c:v>2023:1-6</c:v>
                </c:pt>
                <c:pt idx="6">
                  <c:v>2024:1-6</c:v>
                </c:pt>
              </c:strCache>
            </c:strRef>
          </c:cat>
          <c:val>
            <c:numRef>
              <c:f>Sheet1!$B$2:$B$8</c:f>
              <c:numCache>
                <c:formatCode>General</c:formatCode>
                <c:ptCount val="7"/>
                <c:pt idx="0">
                  <c:v>158.80000000000001</c:v>
                </c:pt>
                <c:pt idx="1">
                  <c:v>256.2</c:v>
                </c:pt>
                <c:pt idx="2">
                  <c:v>302.7</c:v>
                </c:pt>
                <c:pt idx="3">
                  <c:v>329</c:v>
                </c:pt>
                <c:pt idx="4">
                  <c:v>351.3</c:v>
                </c:pt>
                <c:pt idx="5">
                  <c:v>220.2</c:v>
                </c:pt>
                <c:pt idx="6">
                  <c:v>199.7</c:v>
                </c:pt>
              </c:numCache>
            </c:numRef>
          </c:val>
        </c:ser>
        <c:dLbls>
          <c:showLegendKey val="0"/>
          <c:showVal val="0"/>
          <c:showCatName val="0"/>
          <c:showSerName val="0"/>
          <c:showPercent val="0"/>
          <c:showBubbleSize val="0"/>
        </c:dLbls>
        <c:gapWidth val="300"/>
        <c:overlap val="100"/>
        <c:axId val="517953480"/>
        <c:axId val="517953088"/>
      </c:barChart>
      <c:lineChart>
        <c:grouping val="standard"/>
        <c:varyColors val="0"/>
        <c:ser>
          <c:idx val="1"/>
          <c:order val="1"/>
          <c:tx>
            <c:strRef>
              <c:f>Sheet1!$C$1</c:f>
              <c:strCache>
                <c:ptCount val="1"/>
                <c:pt idx="0">
                  <c:v>同比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Sheet1!$A$2:$A$8</c:f>
              <c:strCache>
                <c:ptCount val="7"/>
                <c:pt idx="0">
                  <c:v>2018:1-6</c:v>
                </c:pt>
                <c:pt idx="1">
                  <c:v>2019:1-6</c:v>
                </c:pt>
                <c:pt idx="2">
                  <c:v>2020:1-6</c:v>
                </c:pt>
                <c:pt idx="3">
                  <c:v>2021:1-6</c:v>
                </c:pt>
                <c:pt idx="4">
                  <c:v>2022:1-6</c:v>
                </c:pt>
                <c:pt idx="5">
                  <c:v>2023:1-6</c:v>
                </c:pt>
                <c:pt idx="6">
                  <c:v>2024:1-6</c:v>
                </c:pt>
              </c:strCache>
            </c:strRef>
          </c:cat>
          <c:val>
            <c:numRef>
              <c:f>Sheet1!$C$2:$C$8</c:f>
              <c:numCache>
                <c:formatCode>General</c:formatCode>
                <c:ptCount val="7"/>
                <c:pt idx="0">
                  <c:v>14</c:v>
                </c:pt>
                <c:pt idx="1">
                  <c:v>61.3</c:v>
                </c:pt>
                <c:pt idx="2">
                  <c:v>18.100000000000001</c:v>
                </c:pt>
                <c:pt idx="3">
                  <c:v>8.6999999999999993</c:v>
                </c:pt>
                <c:pt idx="4">
                  <c:v>6.8</c:v>
                </c:pt>
                <c:pt idx="5">
                  <c:v>-37.299999999999997</c:v>
                </c:pt>
                <c:pt idx="6">
                  <c:v>-9.3000000000000007</c:v>
                </c:pt>
              </c:numCache>
            </c:numRef>
          </c:val>
          <c:smooth val="1"/>
        </c:ser>
        <c:dLbls>
          <c:showLegendKey val="0"/>
          <c:showVal val="0"/>
          <c:showCatName val="0"/>
          <c:showSerName val="0"/>
          <c:showPercent val="0"/>
          <c:showBubbleSize val="0"/>
        </c:dLbls>
        <c:marker val="1"/>
        <c:smooth val="0"/>
        <c:axId val="517950344"/>
        <c:axId val="517951912"/>
      </c:lineChart>
      <c:catAx>
        <c:axId val="51795348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53088"/>
        <c:crosses val="autoZero"/>
        <c:auto val="0"/>
        <c:lblAlgn val="ctr"/>
        <c:lblOffset val="100"/>
        <c:noMultiLvlLbl val="0"/>
      </c:catAx>
      <c:valAx>
        <c:axId val="517953088"/>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53480"/>
        <c:crosses val="autoZero"/>
        <c:crossBetween val="between"/>
      </c:valAx>
      <c:catAx>
        <c:axId val="517950344"/>
        <c:scaling>
          <c:orientation val="minMax"/>
        </c:scaling>
        <c:delete val="1"/>
        <c:axPos val="b"/>
        <c:numFmt formatCode="General" sourceLinked="1"/>
        <c:majorTickMark val="out"/>
        <c:minorTickMark val="none"/>
        <c:tickLblPos val="nextTo"/>
        <c:crossAx val="517951912"/>
        <c:crosses val="autoZero"/>
        <c:auto val="0"/>
        <c:lblAlgn val="ctr"/>
        <c:lblOffset val="100"/>
        <c:noMultiLvlLbl val="0"/>
      </c:catAx>
      <c:valAx>
        <c:axId val="517951912"/>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50344"/>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b69a1cd-60bf-40c1-99d7-c47e7ac1cbd5}"/>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新建住宅均价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dPt>
            <c:idx val="36"/>
            <c:invertIfNegative val="0"/>
            <c:bubble3D val="0"/>
            <c:spPr>
              <a:solidFill>
                <a:srgbClr val="305BA6"/>
              </a:solidFill>
            </c:spPr>
          </c:dPt>
          <c:dPt>
            <c:idx val="37"/>
            <c:invertIfNegative val="0"/>
            <c:bubble3D val="0"/>
            <c:spPr>
              <a:solidFill>
                <a:srgbClr val="305BA6"/>
              </a:solidFill>
            </c:spPr>
          </c:dPt>
          <c:dPt>
            <c:idx val="38"/>
            <c:invertIfNegative val="0"/>
            <c:bubble3D val="0"/>
            <c:spPr>
              <a:solidFill>
                <a:srgbClr val="305BA6"/>
              </a:solidFill>
            </c:spPr>
          </c:dPt>
          <c:dPt>
            <c:idx val="39"/>
            <c:invertIfNegative val="0"/>
            <c:bubble3D val="0"/>
            <c:spPr>
              <a:solidFill>
                <a:srgbClr val="305BA6"/>
              </a:solidFill>
            </c:spPr>
          </c:dPt>
          <c:dPt>
            <c:idx val="40"/>
            <c:invertIfNegative val="0"/>
            <c:bubble3D val="0"/>
            <c:spPr>
              <a:solidFill>
                <a:srgbClr val="305BA6"/>
              </a:solidFill>
            </c:spPr>
          </c:dPt>
          <c:dPt>
            <c:idx val="41"/>
            <c:invertIfNegative val="0"/>
            <c:bubble3D val="0"/>
            <c:spPr>
              <a:solidFill>
                <a:srgbClr val="305BA6"/>
              </a:solidFill>
            </c:spPr>
          </c:dPt>
          <c:dPt>
            <c:idx val="42"/>
            <c:invertIfNegative val="0"/>
            <c:bubble3D val="0"/>
            <c:spPr>
              <a:solidFill>
                <a:srgbClr val="305BA6"/>
              </a:solidFill>
            </c:spPr>
          </c:dPt>
          <c:dPt>
            <c:idx val="43"/>
            <c:invertIfNegative val="0"/>
            <c:bubble3D val="0"/>
            <c:spPr>
              <a:solidFill>
                <a:srgbClr val="305BA6"/>
              </a:solidFill>
            </c:spPr>
          </c:dPt>
          <c:dPt>
            <c:idx val="44"/>
            <c:invertIfNegative val="0"/>
            <c:bubble3D val="0"/>
            <c:spPr>
              <a:solidFill>
                <a:srgbClr val="305BA6"/>
              </a:solidFill>
            </c:spPr>
          </c:dPt>
          <c:dPt>
            <c:idx val="45"/>
            <c:invertIfNegative val="0"/>
            <c:bubble3D val="0"/>
            <c:spPr>
              <a:solidFill>
                <a:srgbClr val="305BA6"/>
              </a:solidFill>
            </c:spPr>
          </c:dPt>
          <c:dPt>
            <c:idx val="46"/>
            <c:invertIfNegative val="0"/>
            <c:bubble3D val="0"/>
            <c:spPr>
              <a:solidFill>
                <a:srgbClr val="305BA6"/>
              </a:solidFill>
            </c:spPr>
          </c:dPt>
          <c:dPt>
            <c:idx val="47"/>
            <c:invertIfNegative val="0"/>
            <c:bubble3D val="0"/>
            <c:spPr>
              <a:solidFill>
                <a:srgbClr val="305BA6"/>
              </a:solidFill>
            </c:spPr>
          </c:dPt>
          <c:dPt>
            <c:idx val="48"/>
            <c:invertIfNegative val="0"/>
            <c:bubble3D val="0"/>
            <c:spPr>
              <a:solidFill>
                <a:srgbClr val="305BA6"/>
              </a:solidFill>
            </c:spPr>
          </c:dPt>
          <c:dPt>
            <c:idx val="49"/>
            <c:invertIfNegative val="0"/>
            <c:bubble3D val="0"/>
            <c:spPr>
              <a:solidFill>
                <a:srgbClr val="305BA6"/>
              </a:solidFill>
            </c:spPr>
          </c:dPt>
          <c:dPt>
            <c:idx val="50"/>
            <c:invertIfNegative val="0"/>
            <c:bubble3D val="0"/>
            <c:spPr>
              <a:solidFill>
                <a:srgbClr val="305BA6"/>
              </a:solidFill>
            </c:spPr>
          </c:dPt>
          <c:dPt>
            <c:idx val="51"/>
            <c:invertIfNegative val="0"/>
            <c:bubble3D val="0"/>
            <c:spPr>
              <a:solidFill>
                <a:srgbClr val="305BA6"/>
              </a:solidFill>
            </c:spPr>
          </c:dPt>
          <c:dPt>
            <c:idx val="52"/>
            <c:invertIfNegative val="0"/>
            <c:bubble3D val="0"/>
            <c:spPr>
              <a:solidFill>
                <a:srgbClr val="305BA6"/>
              </a:solidFill>
            </c:spPr>
          </c:dPt>
          <c:dPt>
            <c:idx val="53"/>
            <c:invertIfNegative val="0"/>
            <c:bubble3D val="0"/>
            <c:spPr>
              <a:solidFill>
                <a:srgbClr val="305BA6"/>
              </a:solidFill>
            </c:spPr>
          </c:dPt>
          <c:dPt>
            <c:idx val="54"/>
            <c:invertIfNegative val="0"/>
            <c:bubble3D val="0"/>
            <c:spPr>
              <a:solidFill>
                <a:srgbClr val="305BA6"/>
              </a:solidFill>
            </c:spPr>
          </c:dPt>
          <c:dPt>
            <c:idx val="55"/>
            <c:invertIfNegative val="0"/>
            <c:bubble3D val="0"/>
            <c:spPr>
              <a:solidFill>
                <a:srgbClr val="305BA6"/>
              </a:solidFill>
            </c:spPr>
          </c:dPt>
          <c:dPt>
            <c:idx val="56"/>
            <c:invertIfNegative val="0"/>
            <c:bubble3D val="0"/>
            <c:spPr>
              <a:solidFill>
                <a:srgbClr val="305BA6"/>
              </a:solidFill>
            </c:spPr>
          </c:dPt>
          <c:dPt>
            <c:idx val="57"/>
            <c:invertIfNegative val="0"/>
            <c:bubble3D val="0"/>
            <c:spPr>
              <a:solidFill>
                <a:srgbClr val="305BA6"/>
              </a:solidFill>
            </c:spPr>
          </c:dPt>
          <c:dPt>
            <c:idx val="58"/>
            <c:invertIfNegative val="0"/>
            <c:bubble3D val="0"/>
            <c:spPr>
              <a:solidFill>
                <a:srgbClr val="305BA6"/>
              </a:solidFill>
            </c:spPr>
          </c:dPt>
          <c:dPt>
            <c:idx val="59"/>
            <c:invertIfNegative val="0"/>
            <c:bubble3D val="0"/>
            <c:spPr>
              <a:solidFill>
                <a:srgbClr val="305BA6"/>
              </a:solidFill>
            </c:spPr>
          </c:dPt>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Sheet1!$B$2:$B$61</c:f>
              <c:numCache>
                <c:formatCode>General</c:formatCode>
                <c:ptCount val="60"/>
                <c:pt idx="0">
                  <c:v>42891</c:v>
                </c:pt>
                <c:pt idx="1">
                  <c:v>43067</c:v>
                </c:pt>
                <c:pt idx="2">
                  <c:v>43205</c:v>
                </c:pt>
                <c:pt idx="3">
                  <c:v>43201</c:v>
                </c:pt>
                <c:pt idx="4">
                  <c:v>43092</c:v>
                </c:pt>
                <c:pt idx="5">
                  <c:v>42858</c:v>
                </c:pt>
                <c:pt idx="6">
                  <c:v>42730</c:v>
                </c:pt>
                <c:pt idx="7">
                  <c:v>42585</c:v>
                </c:pt>
                <c:pt idx="8">
                  <c:v>42619</c:v>
                </c:pt>
                <c:pt idx="9">
                  <c:v>42564</c:v>
                </c:pt>
                <c:pt idx="10">
                  <c:v>42559</c:v>
                </c:pt>
                <c:pt idx="11">
                  <c:v>42640</c:v>
                </c:pt>
                <c:pt idx="12">
                  <c:v>42804</c:v>
                </c:pt>
                <c:pt idx="13">
                  <c:v>43014</c:v>
                </c:pt>
                <c:pt idx="14">
                  <c:v>42973</c:v>
                </c:pt>
                <c:pt idx="15">
                  <c:v>43307</c:v>
                </c:pt>
                <c:pt idx="16">
                  <c:v>43529</c:v>
                </c:pt>
                <c:pt idx="17">
                  <c:v>43555</c:v>
                </c:pt>
                <c:pt idx="18">
                  <c:v>43529</c:v>
                </c:pt>
                <c:pt idx="19">
                  <c:v>43589</c:v>
                </c:pt>
                <c:pt idx="20">
                  <c:v>43621</c:v>
                </c:pt>
                <c:pt idx="21">
                  <c:v>43676</c:v>
                </c:pt>
                <c:pt idx="22">
                  <c:v>43825</c:v>
                </c:pt>
                <c:pt idx="23">
                  <c:v>43939</c:v>
                </c:pt>
                <c:pt idx="24">
                  <c:v>44023</c:v>
                </c:pt>
                <c:pt idx="25">
                  <c:v>44085</c:v>
                </c:pt>
                <c:pt idx="26">
                  <c:v>44168</c:v>
                </c:pt>
                <c:pt idx="27">
                  <c:v>44327</c:v>
                </c:pt>
                <c:pt idx="28">
                  <c:v>44316</c:v>
                </c:pt>
                <c:pt idx="29">
                  <c:v>44302</c:v>
                </c:pt>
                <c:pt idx="30">
                  <c:v>44336</c:v>
                </c:pt>
                <c:pt idx="31">
                  <c:v>44347</c:v>
                </c:pt>
                <c:pt idx="32">
                  <c:v>44347</c:v>
                </c:pt>
                <c:pt idx="33">
                  <c:v>44405</c:v>
                </c:pt>
                <c:pt idx="34">
                  <c:v>44447</c:v>
                </c:pt>
                <c:pt idx="35">
                  <c:v>44473</c:v>
                </c:pt>
                <c:pt idx="36">
                  <c:v>44591</c:v>
                </c:pt>
                <c:pt idx="37">
                  <c:v>44611</c:v>
                </c:pt>
                <c:pt idx="38">
                  <c:v>44657</c:v>
                </c:pt>
                <c:pt idx="39">
                  <c:v>44685</c:v>
                </c:pt>
                <c:pt idx="40">
                  <c:v>44700</c:v>
                </c:pt>
                <c:pt idx="41">
                  <c:v>44681</c:v>
                </c:pt>
                <c:pt idx="42">
                  <c:v>44685</c:v>
                </c:pt>
                <c:pt idx="43">
                  <c:v>44692</c:v>
                </c:pt>
                <c:pt idx="44">
                  <c:v>44708</c:v>
                </c:pt>
                <c:pt idx="45">
                  <c:v>44719</c:v>
                </c:pt>
                <c:pt idx="46">
                  <c:v>44735</c:v>
                </c:pt>
                <c:pt idx="47">
                  <c:v>44748</c:v>
                </c:pt>
                <c:pt idx="48">
                  <c:v>44767</c:v>
                </c:pt>
                <c:pt idx="49">
                  <c:v>44780</c:v>
                </c:pt>
                <c:pt idx="50">
                  <c:v>44837</c:v>
                </c:pt>
                <c:pt idx="51">
                  <c:v>44886</c:v>
                </c:pt>
                <c:pt idx="52">
                  <c:v>44912</c:v>
                </c:pt>
                <c:pt idx="53">
                  <c:v>44990</c:v>
                </c:pt>
                <c:pt idx="54">
                  <c:v>45054</c:v>
                </c:pt>
                <c:pt idx="55">
                  <c:v>45131</c:v>
                </c:pt>
                <c:pt idx="56">
                  <c:v>45259</c:v>
                </c:pt>
                <c:pt idx="57">
                  <c:v>45489</c:v>
                </c:pt>
                <c:pt idx="58">
                  <c:v>45534</c:v>
                </c:pt>
                <c:pt idx="59">
                  <c:v>45482</c:v>
                </c:pt>
              </c:numCache>
            </c:numRef>
          </c:val>
        </c:ser>
        <c:dLbls>
          <c:showLegendKey val="0"/>
          <c:showVal val="0"/>
          <c:showCatName val="0"/>
          <c:showSerName val="0"/>
          <c:showPercent val="0"/>
          <c:showBubbleSize val="0"/>
        </c:dLbls>
        <c:gapWidth val="300"/>
        <c:overlap val="100"/>
        <c:axId val="517950736"/>
        <c:axId val="517953872"/>
      </c:barChart>
      <c:lineChart>
        <c:grouping val="standard"/>
        <c:varyColors val="0"/>
        <c:ser>
          <c:idx val="1"/>
          <c:order val="1"/>
          <c:tx>
            <c:strRef>
              <c:f>Sheet1!$C$1</c:f>
              <c:strCache>
                <c:ptCount val="1"/>
                <c:pt idx="0">
                  <c:v>环比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Sheet1!$C$2:$C$61</c:f>
              <c:numCache>
                <c:formatCode>General</c:formatCode>
                <c:ptCount val="60"/>
                <c:pt idx="0">
                  <c:v>0.12</c:v>
                </c:pt>
                <c:pt idx="1">
                  <c:v>0.41</c:v>
                </c:pt>
                <c:pt idx="2">
                  <c:v>0.32</c:v>
                </c:pt>
                <c:pt idx="3">
                  <c:v>-0.01</c:v>
                </c:pt>
                <c:pt idx="4">
                  <c:v>-0.25</c:v>
                </c:pt>
                <c:pt idx="5">
                  <c:v>-0.54</c:v>
                </c:pt>
                <c:pt idx="6">
                  <c:v>-0.3</c:v>
                </c:pt>
                <c:pt idx="7">
                  <c:v>-0.34</c:v>
                </c:pt>
                <c:pt idx="8">
                  <c:v>0.08</c:v>
                </c:pt>
                <c:pt idx="9">
                  <c:v>-0.13</c:v>
                </c:pt>
                <c:pt idx="10">
                  <c:v>-0.01</c:v>
                </c:pt>
                <c:pt idx="11">
                  <c:v>0.19</c:v>
                </c:pt>
                <c:pt idx="12">
                  <c:v>0.38</c:v>
                </c:pt>
                <c:pt idx="13">
                  <c:v>0.49</c:v>
                </c:pt>
                <c:pt idx="14">
                  <c:v>-0.1</c:v>
                </c:pt>
                <c:pt idx="15">
                  <c:v>0.78</c:v>
                </c:pt>
                <c:pt idx="16">
                  <c:v>0.51</c:v>
                </c:pt>
                <c:pt idx="17">
                  <c:v>0.06</c:v>
                </c:pt>
                <c:pt idx="18">
                  <c:v>-0.06</c:v>
                </c:pt>
                <c:pt idx="19">
                  <c:v>0.14000000000000001</c:v>
                </c:pt>
                <c:pt idx="20">
                  <c:v>7.0000000000000007E-2</c:v>
                </c:pt>
                <c:pt idx="21">
                  <c:v>0.13</c:v>
                </c:pt>
                <c:pt idx="22">
                  <c:v>0.34</c:v>
                </c:pt>
                <c:pt idx="23">
                  <c:v>0.26</c:v>
                </c:pt>
                <c:pt idx="24">
                  <c:v>0.19</c:v>
                </c:pt>
                <c:pt idx="25">
                  <c:v>0.14000000000000001</c:v>
                </c:pt>
                <c:pt idx="26">
                  <c:v>0.19</c:v>
                </c:pt>
                <c:pt idx="27">
                  <c:v>0.36</c:v>
                </c:pt>
                <c:pt idx="28">
                  <c:v>-0.02</c:v>
                </c:pt>
                <c:pt idx="29">
                  <c:v>-0.03</c:v>
                </c:pt>
                <c:pt idx="30">
                  <c:v>0.08</c:v>
                </c:pt>
                <c:pt idx="31">
                  <c:v>0.02</c:v>
                </c:pt>
                <c:pt idx="32">
                  <c:v>0</c:v>
                </c:pt>
                <c:pt idx="33">
                  <c:v>0.13</c:v>
                </c:pt>
                <c:pt idx="34">
                  <c:v>0.1</c:v>
                </c:pt>
                <c:pt idx="35">
                  <c:v>0.06</c:v>
                </c:pt>
                <c:pt idx="36">
                  <c:v>0.27</c:v>
                </c:pt>
                <c:pt idx="37">
                  <c:v>0.05</c:v>
                </c:pt>
                <c:pt idx="38">
                  <c:v>0.1</c:v>
                </c:pt>
                <c:pt idx="39">
                  <c:v>0.06</c:v>
                </c:pt>
                <c:pt idx="40">
                  <c:v>0.03</c:v>
                </c:pt>
                <c:pt idx="41">
                  <c:v>-0.04</c:v>
                </c:pt>
                <c:pt idx="42">
                  <c:v>0.01</c:v>
                </c:pt>
                <c:pt idx="43">
                  <c:v>0.02</c:v>
                </c:pt>
                <c:pt idx="44">
                  <c:v>0.04</c:v>
                </c:pt>
                <c:pt idx="45">
                  <c:v>0.03</c:v>
                </c:pt>
                <c:pt idx="46">
                  <c:v>0.04</c:v>
                </c:pt>
                <c:pt idx="47">
                  <c:v>0.03</c:v>
                </c:pt>
                <c:pt idx="48">
                  <c:v>0.04</c:v>
                </c:pt>
                <c:pt idx="49">
                  <c:v>0.03</c:v>
                </c:pt>
                <c:pt idx="50">
                  <c:v>0.13</c:v>
                </c:pt>
                <c:pt idx="51">
                  <c:v>0.11</c:v>
                </c:pt>
                <c:pt idx="52">
                  <c:v>0.06</c:v>
                </c:pt>
                <c:pt idx="53">
                  <c:v>0.17</c:v>
                </c:pt>
                <c:pt idx="54">
                  <c:v>0.14000000000000001</c:v>
                </c:pt>
                <c:pt idx="55">
                  <c:v>0.17</c:v>
                </c:pt>
                <c:pt idx="56">
                  <c:v>0.28000000000000003</c:v>
                </c:pt>
                <c:pt idx="57">
                  <c:v>0.51</c:v>
                </c:pt>
                <c:pt idx="58">
                  <c:v>0.1</c:v>
                </c:pt>
                <c:pt idx="59">
                  <c:v>-0.11</c:v>
                </c:pt>
              </c:numCache>
            </c:numRef>
          </c:val>
          <c:smooth val="1"/>
        </c:ser>
        <c:dLbls>
          <c:showLegendKey val="0"/>
          <c:showVal val="0"/>
          <c:showCatName val="0"/>
          <c:showSerName val="0"/>
          <c:showPercent val="0"/>
          <c:showBubbleSize val="0"/>
        </c:dLbls>
        <c:marker val="1"/>
        <c:smooth val="0"/>
        <c:axId val="517945640"/>
        <c:axId val="517954264"/>
      </c:lineChart>
      <c:catAx>
        <c:axId val="517950736"/>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53872"/>
        <c:crosses val="autoZero"/>
        <c:auto val="0"/>
        <c:lblAlgn val="ctr"/>
        <c:lblOffset val="100"/>
        <c:noMultiLvlLbl val="0"/>
      </c:catAx>
      <c:valAx>
        <c:axId val="517953872"/>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50736"/>
        <c:crosses val="autoZero"/>
        <c:crossBetween val="between"/>
      </c:valAx>
      <c:catAx>
        <c:axId val="517945640"/>
        <c:scaling>
          <c:orientation val="minMax"/>
        </c:scaling>
        <c:delete val="1"/>
        <c:axPos val="b"/>
        <c:numFmt formatCode="General" sourceLinked="1"/>
        <c:majorTickMark val="out"/>
        <c:minorTickMark val="none"/>
        <c:tickLblPos val="nextTo"/>
        <c:crossAx val="517954264"/>
        <c:crosses val="autoZero"/>
        <c:auto val="0"/>
        <c:lblAlgn val="ctr"/>
        <c:lblOffset val="100"/>
        <c:noMultiLvlLbl val="0"/>
      </c:catAx>
      <c:valAx>
        <c:axId val="517954264"/>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517945640"/>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6bfa730e-7af1-49f4-979b-a80a829b235e}"/>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中心城区</c:v>
                </c:pt>
              </c:strCache>
            </c:strRef>
          </c:tx>
          <c:spPr>
            <a:ln w="28575" cap="rnd" cmpd="sng" algn="ctr">
              <a:solidFill>
                <a:srgbClr val="006E78"/>
              </a:solidFill>
              <a:prstDash val="solid"/>
              <a:round/>
            </a:ln>
            <a:effectLst>
              <a:outerShdw blurRad="50800" dist="38100" dir="2700000" algn="tl" rotWithShape="0">
                <a:prstClr val="black">
                  <a:alpha val="40000"/>
                </a:prstClr>
              </a:outerShdw>
            </a:effectLst>
          </c:spPr>
          <c:marker>
            <c:symbol val="none"/>
          </c:marker>
          <c:dLbls>
            <c:dLbl>
              <c:idx val="5"/>
              <c:layout>
                <c:manualLayout>
                  <c:x val="-6.3130443320498303E-2"/>
                  <c:y val="2.0980488608156302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Sheet1!$B$2:$B$10</c:f>
              <c:numCache>
                <c:formatCode>General</c:formatCode>
                <c:ptCount val="9"/>
                <c:pt idx="0">
                  <c:v>73.61</c:v>
                </c:pt>
                <c:pt idx="1">
                  <c:v>65.63</c:v>
                </c:pt>
                <c:pt idx="2">
                  <c:v>68.02</c:v>
                </c:pt>
                <c:pt idx="3">
                  <c:v>54.54</c:v>
                </c:pt>
                <c:pt idx="4">
                  <c:v>77.739999999999995</c:v>
                </c:pt>
                <c:pt idx="5">
                  <c:v>67.11</c:v>
                </c:pt>
                <c:pt idx="6">
                  <c:v>59.12</c:v>
                </c:pt>
                <c:pt idx="7">
                  <c:v>31.88</c:v>
                </c:pt>
                <c:pt idx="8">
                  <c:v>39.520000000000003</c:v>
                </c:pt>
              </c:numCache>
            </c:numRef>
          </c:val>
          <c:smooth val="1"/>
        </c:ser>
        <c:ser>
          <c:idx val="1"/>
          <c:order val="1"/>
          <c:tx>
            <c:strRef>
              <c:f>Sheet1!$C$1</c:f>
              <c:strCache>
                <c:ptCount val="1"/>
                <c:pt idx="0">
                  <c:v>近郊区</c:v>
                </c:pt>
              </c:strCache>
            </c:strRef>
          </c:tx>
          <c:spPr>
            <a:ln w="28575" cap="rnd" cmpd="sng" algn="ctr">
              <a:solidFill>
                <a:srgbClr val="C00000"/>
              </a:solidFill>
              <a:prstDash val="solid"/>
              <a:round/>
            </a:ln>
            <a:effectLst>
              <a:outerShdw blurRad="50800" dist="38100" dir="2700000" algn="tl" rotWithShape="0">
                <a:prstClr val="black">
                  <a:alpha val="40000"/>
                </a:prstClr>
              </a:outerShdw>
            </a:effectLst>
          </c:spPr>
          <c:marker>
            <c:symbol val="none"/>
          </c:marker>
          <c:dLbls>
            <c:dLbl>
              <c:idx val="5"/>
              <c:layout>
                <c:manualLayout>
                  <c:x val="-3.5364154774897398E-2"/>
                  <c:y val="-5.2870831292554099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Sheet1!$C$2:$C$10</c:f>
              <c:numCache>
                <c:formatCode>General</c:formatCode>
                <c:ptCount val="9"/>
                <c:pt idx="0">
                  <c:v>102.61</c:v>
                </c:pt>
                <c:pt idx="1">
                  <c:v>123.75</c:v>
                </c:pt>
                <c:pt idx="2">
                  <c:v>124.13</c:v>
                </c:pt>
                <c:pt idx="3">
                  <c:v>82.34</c:v>
                </c:pt>
                <c:pt idx="4">
                  <c:v>104.13</c:v>
                </c:pt>
                <c:pt idx="5">
                  <c:v>73.95</c:v>
                </c:pt>
                <c:pt idx="6">
                  <c:v>87.34</c:v>
                </c:pt>
                <c:pt idx="7">
                  <c:v>51.08</c:v>
                </c:pt>
                <c:pt idx="8">
                  <c:v>66.2</c:v>
                </c:pt>
              </c:numCache>
            </c:numRef>
          </c:val>
          <c:smooth val="1"/>
        </c:ser>
        <c:ser>
          <c:idx val="2"/>
          <c:order val="2"/>
          <c:tx>
            <c:strRef>
              <c:f>Sheet1!$D$1</c:f>
              <c:strCache>
                <c:ptCount val="1"/>
                <c:pt idx="0">
                  <c:v>远郊区</c:v>
                </c:pt>
              </c:strCache>
            </c:strRef>
          </c:tx>
          <c:spPr>
            <a:ln w="28575" cap="rnd" cmpd="sng" algn="ctr">
              <a:solidFill>
                <a:schemeClr val="bg2">
                  <a:lumMod val="50000"/>
                </a:schemeClr>
              </a:solidFill>
              <a:prstDash val="solid"/>
              <a:round/>
            </a:ln>
            <a:effectLst>
              <a:outerShdw blurRad="50800" dist="38100" dir="2700000" algn="tl" rotWithShape="0">
                <a:prstClr val="black">
                  <a:alpha val="40000"/>
                </a:prstClr>
              </a:outerShdw>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Sheet1!$D$2:$D$10</c:f>
              <c:numCache>
                <c:formatCode>General</c:formatCode>
                <c:ptCount val="9"/>
                <c:pt idx="0">
                  <c:v>17.7</c:v>
                </c:pt>
                <c:pt idx="1">
                  <c:v>12.92</c:v>
                </c:pt>
                <c:pt idx="2">
                  <c:v>19.14</c:v>
                </c:pt>
                <c:pt idx="3">
                  <c:v>8.3699999999999992</c:v>
                </c:pt>
                <c:pt idx="4">
                  <c:v>9.7899999999999991</c:v>
                </c:pt>
                <c:pt idx="5">
                  <c:v>7.55</c:v>
                </c:pt>
                <c:pt idx="6">
                  <c:v>6.62</c:v>
                </c:pt>
                <c:pt idx="7">
                  <c:v>5.57</c:v>
                </c:pt>
                <c:pt idx="8">
                  <c:v>7.04</c:v>
                </c:pt>
              </c:numCache>
            </c:numRef>
          </c:val>
          <c:smooth val="1"/>
        </c:ser>
        <c:dLbls>
          <c:showLegendKey val="0"/>
          <c:showVal val="1"/>
          <c:showCatName val="0"/>
          <c:showSerName val="0"/>
          <c:showPercent val="0"/>
          <c:showBubbleSize val="0"/>
        </c:dLbls>
        <c:smooth val="0"/>
        <c:axId val="517946032"/>
        <c:axId val="517962496"/>
      </c:lineChart>
      <c:catAx>
        <c:axId val="5179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7962496"/>
        <c:crosses val="autoZero"/>
        <c:auto val="1"/>
        <c:lblAlgn val="ctr"/>
        <c:lblOffset val="100"/>
        <c:noMultiLvlLbl val="0"/>
      </c:catAx>
      <c:valAx>
        <c:axId val="51796249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794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88432c4d-11e5-402a-9cc1-f19ffc16cabb}"/>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29697398896801E-2"/>
          <c:y val="2.19286396259443E-2"/>
          <c:w val="0.93629097482089896"/>
          <c:h val="0.87715073744369898"/>
        </c:manualLayout>
      </c:layout>
      <c:barChart>
        <c:barDir val="col"/>
        <c:grouping val="clustered"/>
        <c:varyColors val="0"/>
        <c:ser>
          <c:idx val="0"/>
          <c:order val="0"/>
          <c:tx>
            <c:strRef>
              <c:f>Sheet1!$B$1</c:f>
              <c:strCache>
                <c:ptCount val="1"/>
                <c:pt idx="0">
                  <c:v>成交套数(套)</c:v>
                </c:pt>
              </c:strCache>
            </c:strRef>
          </c:tx>
          <c:spPr>
            <a:solidFill>
              <a:srgbClr val="C00000"/>
            </a:solidFill>
            <a:ln>
              <a:noFill/>
            </a:ln>
            <a:effectLst>
              <a:outerShdw blurRad="50800" dist="38100" dir="2700000" algn="tl" rotWithShape="0">
                <a:prstClr val="black">
                  <a:alpha val="40000"/>
                </a:prstClr>
              </a:outerShdw>
            </a:effectLst>
          </c:spPr>
          <c:invertIfNegative val="0"/>
          <c:cat>
            <c:strRef>
              <c:f>Sheet1!$A$2:$A$15</c:f>
              <c:strCache>
                <c:ptCount val="14"/>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strCache>
            </c:strRef>
          </c:cat>
          <c:val>
            <c:numRef>
              <c:f>Sheet1!$B$2:$B$15</c:f>
              <c:numCache>
                <c:formatCode>General</c:formatCode>
                <c:ptCount val="14"/>
                <c:pt idx="0">
                  <c:v>47694</c:v>
                </c:pt>
                <c:pt idx="1">
                  <c:v>54135</c:v>
                </c:pt>
                <c:pt idx="2">
                  <c:v>37655</c:v>
                </c:pt>
                <c:pt idx="3">
                  <c:v>36332</c:v>
                </c:pt>
                <c:pt idx="4">
                  <c:v>31753</c:v>
                </c:pt>
                <c:pt idx="5">
                  <c:v>32384</c:v>
                </c:pt>
                <c:pt idx="6">
                  <c:v>40221</c:v>
                </c:pt>
                <c:pt idx="7">
                  <c:v>30761</c:v>
                </c:pt>
                <c:pt idx="8">
                  <c:v>45654</c:v>
                </c:pt>
                <c:pt idx="9">
                  <c:v>38604</c:v>
                </c:pt>
                <c:pt idx="10">
                  <c:v>33930</c:v>
                </c:pt>
                <c:pt idx="11">
                  <c:v>35734</c:v>
                </c:pt>
                <c:pt idx="12">
                  <c:v>32785</c:v>
                </c:pt>
                <c:pt idx="13">
                  <c:v>41724</c:v>
                </c:pt>
              </c:numCache>
            </c:numRef>
          </c:val>
        </c:ser>
        <c:dLbls>
          <c:showLegendKey val="0"/>
          <c:showVal val="0"/>
          <c:showCatName val="0"/>
          <c:showSerName val="0"/>
          <c:showPercent val="0"/>
          <c:showBubbleSize val="0"/>
        </c:dLbls>
        <c:gapWidth val="219"/>
        <c:overlap val="-27"/>
        <c:axId val="517962888"/>
        <c:axId val="517964456"/>
      </c:barChart>
      <c:catAx>
        <c:axId val="51796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7964456"/>
        <c:crosses val="autoZero"/>
        <c:auto val="1"/>
        <c:lblAlgn val="ctr"/>
        <c:lblOffset val="100"/>
        <c:noMultiLvlLbl val="0"/>
      </c:catAx>
      <c:valAx>
        <c:axId val="51796445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7962888"/>
        <c:crosses val="autoZero"/>
        <c:crossBetween val="between"/>
      </c:valAx>
      <c:spPr>
        <a:noFill/>
        <a:ln>
          <a:noFill/>
        </a:ln>
        <a:effectLst/>
      </c:spPr>
    </c:plotArea>
    <c:legend>
      <c:legendPos val="b"/>
      <c:layout>
        <c:manualLayout>
          <c:xMode val="edge"/>
          <c:yMode val="edge"/>
          <c:x val="0.45434486593687701"/>
          <c:y val="0.98307345045872097"/>
          <c:w val="9.1310268126246E-2"/>
          <c:h val="1.123650125651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a7df2f5d-e242-4209-8d9d-de0eb070187c}"/>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1FE4AB-0759-4946-A2F1-1E26A354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9272</Words>
  <Characters>52857</Characters>
  <Application>Microsoft Office Word</Application>
  <DocSecurity>0</DocSecurity>
  <Lines>440</Lines>
  <Paragraphs>124</Paragraphs>
  <ScaleCrop>false</ScaleCrop>
  <Company>Microsoft</Company>
  <LinksUpToDate>false</LinksUpToDate>
  <CharactersWithSpaces>62005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cp:lastModifiedBy>
  <cp:revision>15</cp:revision>
  <cp:lastPrinted>2024-05-24T07:20:00Z</cp:lastPrinted>
  <dcterms:created xsi:type="dcterms:W3CDTF">2024-11-06T02:22:00Z</dcterms:created>
  <dcterms:modified xsi:type="dcterms:W3CDTF">2024-11-06T05:50:00Z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CD62ACF2C294414E9E11D2527362598B_13</vt:lpwstr>
  </property>
</Properties>
</file>