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90553">
      <w:pPr>
        <w:rPr>
          <w:rFonts w:ascii="Arial" w:hAnsi="Arial"/>
        </w:rPr>
      </w:pPr>
    </w:p>
    <w:p w14:paraId="237B1A56">
      <w:pPr>
        <w:rPr>
          <w:rFonts w:ascii="Arial" w:hAnsi="Arial"/>
        </w:rPr>
      </w:pPr>
    </w:p>
    <w:p w14:paraId="0AB35952">
      <w:pPr>
        <w:rPr>
          <w:rFonts w:ascii="Arial" w:hAnsi="Arial"/>
        </w:rPr>
      </w:pPr>
    </w:p>
    <w:p w14:paraId="64A1A897">
      <w:pPr>
        <w:rPr>
          <w:rFonts w:ascii="Arial" w:hAnsi="Arial"/>
        </w:rPr>
      </w:pPr>
    </w:p>
    <w:p w14:paraId="5B242DAD">
      <w:pPr>
        <w:rPr>
          <w:rFonts w:ascii="Arial" w:hAnsi="Arial"/>
        </w:rPr>
      </w:pPr>
    </w:p>
    <w:p w14:paraId="45EDEEF6">
      <w:pPr>
        <w:rPr>
          <w:rFonts w:ascii="Arial" w:hAnsi="Arial"/>
        </w:rPr>
      </w:pPr>
    </w:p>
    <w:p w14:paraId="0E47906D">
      <w:pPr>
        <w:rPr>
          <w:rFonts w:ascii="Arial" w:hAnsi="Arial"/>
        </w:rPr>
      </w:pPr>
    </w:p>
    <w:p w14:paraId="58539717">
      <w:pPr>
        <w:rPr>
          <w:rFonts w:ascii="Arial" w:hAnsi="Arial"/>
        </w:rPr>
      </w:pPr>
    </w:p>
    <w:p w14:paraId="2ADBD8E8">
      <w:pPr>
        <w:rPr>
          <w:rFonts w:ascii="Arial" w:hAnsi="Arial"/>
        </w:rPr>
      </w:pPr>
    </w:p>
    <w:p w14:paraId="0D4A6DD9">
      <w:pPr>
        <w:rPr>
          <w:rFonts w:ascii="Arial" w:hAnsi="Arial"/>
        </w:rPr>
      </w:pPr>
    </w:p>
    <w:p w14:paraId="766ED271">
      <w:pPr>
        <w:rPr>
          <w:rFonts w:ascii="Arial" w:hAnsi="Arial"/>
        </w:rPr>
      </w:pPr>
    </w:p>
    <w:p w14:paraId="761655E1">
      <w:pPr>
        <w:rPr>
          <w:rFonts w:ascii="Arial" w:hAnsi="Arial"/>
        </w:rPr>
      </w:pPr>
    </w:p>
    <w:p w14:paraId="73F27B8D">
      <w:pPr>
        <w:rPr>
          <w:rFonts w:ascii="Arial" w:hAnsi="Arial"/>
        </w:rPr>
      </w:pPr>
    </w:p>
    <w:p w14:paraId="5E991C07">
      <w:pPr>
        <w:rPr>
          <w:rFonts w:ascii="Arial" w:hAnsi="Arial"/>
        </w:rPr>
      </w:pPr>
    </w:p>
    <w:p w14:paraId="6AA8ABA5">
      <w:pPr>
        <w:rPr>
          <w:rFonts w:ascii="Arial" w:hAnsi="Arial"/>
        </w:rPr>
      </w:pPr>
    </w:p>
    <w:p w14:paraId="595166AC">
      <w:pPr>
        <w:rPr>
          <w:rFonts w:ascii="Arial" w:hAnsi="Arial"/>
        </w:rPr>
      </w:pPr>
    </w:p>
    <w:p w14:paraId="4A70BD72">
      <w:pPr>
        <w:rPr>
          <w:rFonts w:ascii="Arial" w:hAnsi="Arial"/>
        </w:rPr>
      </w:pPr>
    </w:p>
    <w:p w14:paraId="56FA7041">
      <w:pPr>
        <w:rPr>
          <w:rFonts w:ascii="Arial" w:hAnsi="Arial"/>
        </w:rPr>
      </w:pPr>
    </w:p>
    <w:p w14:paraId="71413086">
      <w:pPr>
        <w:rPr>
          <w:rFonts w:ascii="Arial" w:hAnsi="Arial"/>
        </w:rPr>
      </w:pPr>
    </w:p>
    <w:p w14:paraId="0305A842">
      <w:pPr>
        <w:rPr>
          <w:rFonts w:ascii="Arial" w:hAnsi="Arial"/>
        </w:rPr>
      </w:pPr>
    </w:p>
    <w:p w14:paraId="36B055A6">
      <w:pPr>
        <w:rPr>
          <w:rFonts w:ascii="Arial" w:hAnsi="Arial"/>
        </w:rPr>
      </w:pPr>
    </w:p>
    <w:p w14:paraId="63579EF9">
      <w:pPr>
        <w:rPr>
          <w:rFonts w:ascii="Arial" w:hAnsi="Arial"/>
        </w:rPr>
      </w:pPr>
    </w:p>
    <w:p w14:paraId="0B906C8F">
      <w:pPr>
        <w:pStyle w:val="29"/>
        <w:numPr>
          <w:ilvl w:val="0"/>
          <w:numId w:val="5"/>
        </w:numPr>
        <w:spacing w:line="320" w:lineRule="exact"/>
        <w:ind w:right="-93"/>
        <w:outlineLvl w:val="0"/>
        <w:rPr>
          <w:rFonts w:ascii="Arial" w:hAnsi="Arial" w:eastAsia="Adobe 黑体 Std R"/>
          <w:b/>
          <w:bCs/>
          <w:sz w:val="21"/>
          <w:szCs w:val="21"/>
        </w:rPr>
      </w:pPr>
      <w:bookmarkStart w:id="0" w:name="_Hlk128749592"/>
      <w:bookmarkStart w:id="1" w:name="_Toc379795040"/>
      <w:r>
        <w:rPr>
          <w:rFonts w:hint="eastAsia" w:ascii="Arial" w:hAnsi="Arial" w:eastAsia="Adobe 黑体 Std R"/>
          <w:b/>
          <w:bCs/>
          <w:sz w:val="21"/>
          <w:szCs w:val="21"/>
        </w:rPr>
        <w:t>估价项目名称：</w:t>
      </w:r>
    </w:p>
    <w:p w14:paraId="6C5750DF">
      <w:pPr>
        <w:pStyle w:val="29"/>
        <w:spacing w:line="320" w:lineRule="exact"/>
        <w:ind w:left="360"/>
        <w:rPr>
          <w:rFonts w:ascii="Arial" w:hAnsi="Arial" w:eastAsia="方正黑体简体"/>
          <w:sz w:val="21"/>
          <w:szCs w:val="21"/>
        </w:rPr>
      </w:pPr>
      <w:bookmarkStart w:id="2" w:name="_Hlk124323170"/>
      <w:bookmarkStart w:id="3" w:name="_Hlk129186676"/>
      <w:r>
        <w:rPr>
          <w:rFonts w:hint="eastAsia" w:ascii="Arial" w:hAnsi="Arial" w:eastAsia="方正黑体简体"/>
          <w:sz w:val="21"/>
          <w:szCs w:val="21"/>
        </w:rPr>
        <w:t>北京市海淀区西北旺镇土井村图景嘉园小区223套</w:t>
      </w:r>
      <w:bookmarkStart w:id="4" w:name="_Hlk212148636"/>
      <w:r>
        <w:rPr>
          <w:rFonts w:hint="eastAsia" w:ascii="Arial" w:hAnsi="Arial" w:eastAsia="方正黑体简体"/>
          <w:sz w:val="21"/>
          <w:szCs w:val="21"/>
        </w:rPr>
        <w:t>住宅用房</w:t>
      </w:r>
      <w:bookmarkEnd w:id="4"/>
      <w:r>
        <w:rPr>
          <w:rFonts w:hint="eastAsia" w:ascii="Arial" w:hAnsi="Arial" w:eastAsia="方正黑体简体"/>
          <w:sz w:val="21"/>
          <w:szCs w:val="21"/>
        </w:rPr>
        <w:t>房地产市场租金评估</w:t>
      </w:r>
    </w:p>
    <w:bookmarkEnd w:id="2"/>
    <w:p w14:paraId="7F0EE260">
      <w:pPr>
        <w:rPr>
          <w:rFonts w:ascii="Arial" w:hAnsi="Arial" w:eastAsia="方正黑体简体"/>
        </w:rPr>
      </w:pPr>
    </w:p>
    <w:p w14:paraId="30689254">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估价委托人：</w:t>
      </w:r>
    </w:p>
    <w:p w14:paraId="655CFFA2">
      <w:pPr>
        <w:pStyle w:val="29"/>
        <w:spacing w:line="320" w:lineRule="exact"/>
        <w:ind w:left="360"/>
        <w:rPr>
          <w:rFonts w:ascii="Arial" w:hAnsi="Arial" w:eastAsia="方正黑体简体"/>
          <w:sz w:val="21"/>
          <w:szCs w:val="21"/>
        </w:rPr>
      </w:pPr>
      <w:r>
        <w:rPr>
          <w:rFonts w:hint="eastAsia" w:ascii="Arial" w:hAnsi="Arial" w:eastAsia="方正黑体简体"/>
          <w:bCs/>
          <w:sz w:val="21"/>
          <w:szCs w:val="21"/>
        </w:rPr>
        <w:t>建信住房租赁服务(北京)有限责任公司</w:t>
      </w:r>
    </w:p>
    <w:p w14:paraId="34F9976D">
      <w:pPr>
        <w:spacing w:line="320" w:lineRule="exact"/>
        <w:rPr>
          <w:rFonts w:ascii="Arial" w:hAnsi="Arial" w:eastAsia="方正黑体简体"/>
          <w:b/>
          <w:sz w:val="21"/>
          <w:szCs w:val="21"/>
        </w:rPr>
      </w:pPr>
    </w:p>
    <w:p w14:paraId="748B31BF">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房地产估价机构：</w:t>
      </w:r>
    </w:p>
    <w:p w14:paraId="754DA453">
      <w:pPr>
        <w:pStyle w:val="29"/>
        <w:spacing w:line="320" w:lineRule="exact"/>
        <w:ind w:left="360"/>
        <w:rPr>
          <w:rFonts w:ascii="Arial" w:hAnsi="Arial" w:eastAsia="方正黑体简体"/>
          <w:sz w:val="21"/>
          <w:szCs w:val="21"/>
        </w:rPr>
      </w:pPr>
      <w:r>
        <w:rPr>
          <w:rFonts w:hint="eastAsia" w:ascii="Arial" w:hAnsi="Arial" w:eastAsia="方正黑体简体"/>
          <w:sz w:val="21"/>
          <w:szCs w:val="21"/>
        </w:rPr>
        <w:t>北京康正宏基房地产评估有限公司</w:t>
      </w:r>
    </w:p>
    <w:p w14:paraId="66219792">
      <w:pPr>
        <w:spacing w:line="320" w:lineRule="exact"/>
        <w:rPr>
          <w:rFonts w:ascii="Arial" w:hAnsi="Arial" w:eastAsia="方正黑体简体"/>
          <w:b/>
          <w:sz w:val="21"/>
          <w:szCs w:val="21"/>
        </w:rPr>
      </w:pPr>
    </w:p>
    <w:p w14:paraId="3421186F">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注册房地产估价师：</w:t>
      </w:r>
    </w:p>
    <w:p w14:paraId="4593FE93">
      <w:pPr>
        <w:pStyle w:val="29"/>
        <w:spacing w:line="320" w:lineRule="exact"/>
        <w:ind w:left="360"/>
        <w:rPr>
          <w:rFonts w:ascii="Arial" w:hAnsi="Arial" w:eastAsia="方正黑体简体"/>
          <w:sz w:val="21"/>
          <w:szCs w:val="21"/>
        </w:rPr>
      </w:pPr>
      <w:bookmarkStart w:id="5"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5"/>
    </w:p>
    <w:p w14:paraId="111D0225">
      <w:pPr>
        <w:spacing w:line="320" w:lineRule="exact"/>
        <w:rPr>
          <w:rFonts w:ascii="Arial" w:hAnsi="Arial" w:eastAsia="方正黑体简体"/>
          <w:b/>
          <w:sz w:val="21"/>
          <w:szCs w:val="21"/>
        </w:rPr>
      </w:pPr>
    </w:p>
    <w:p w14:paraId="37CB2C1B">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估价报告出具日期：</w:t>
      </w:r>
    </w:p>
    <w:p w14:paraId="0DA98791">
      <w:pPr>
        <w:pStyle w:val="29"/>
        <w:spacing w:line="320" w:lineRule="exact"/>
        <w:ind w:left="360"/>
        <w:rPr>
          <w:rFonts w:ascii="Arial" w:hAnsi="Arial" w:eastAsia="方正黑体简体"/>
          <w:sz w:val="21"/>
          <w:szCs w:val="21"/>
        </w:rPr>
      </w:pPr>
      <w:r>
        <w:rPr>
          <w:rFonts w:ascii="Arial" w:hAnsi="Arial" w:eastAsia="方正黑体简体"/>
          <w:sz w:val="21"/>
          <w:szCs w:val="21"/>
        </w:rPr>
        <w:t>2025年</w:t>
      </w:r>
      <w:r>
        <w:rPr>
          <w:rFonts w:hint="eastAsia" w:ascii="Arial" w:hAnsi="Arial" w:eastAsia="方正黑体简体"/>
          <w:sz w:val="21"/>
          <w:szCs w:val="21"/>
        </w:rPr>
        <w:t>12</w:t>
      </w:r>
      <w:r>
        <w:rPr>
          <w:rFonts w:ascii="Arial" w:hAnsi="Arial" w:eastAsia="方正黑体简体"/>
          <w:sz w:val="21"/>
          <w:szCs w:val="21"/>
        </w:rPr>
        <w:t>月</w:t>
      </w:r>
      <w:r>
        <w:rPr>
          <w:rFonts w:hint="eastAsia" w:ascii="Arial" w:hAnsi="Arial" w:eastAsia="方正黑体简体"/>
          <w:sz w:val="21"/>
          <w:szCs w:val="21"/>
        </w:rPr>
        <w:t>9</w:t>
      </w:r>
      <w:r>
        <w:rPr>
          <w:rFonts w:ascii="Arial" w:hAnsi="Arial" w:eastAsia="方正黑体简体"/>
          <w:sz w:val="21"/>
          <w:szCs w:val="21"/>
        </w:rPr>
        <w:t>日</w:t>
      </w:r>
    </w:p>
    <w:bookmarkEnd w:id="0"/>
    <w:bookmarkEnd w:id="3"/>
    <w:p w14:paraId="54DB8BA6">
      <w:pPr>
        <w:spacing w:line="320" w:lineRule="exact"/>
        <w:rPr>
          <w:rFonts w:ascii="Arial" w:hAnsi="Arial" w:eastAsia="方正黑体简体"/>
          <w:b/>
          <w:sz w:val="21"/>
          <w:szCs w:val="21"/>
        </w:rPr>
      </w:pPr>
    </w:p>
    <w:p w14:paraId="550357FE">
      <w:pPr>
        <w:pStyle w:val="29"/>
        <w:numPr>
          <w:ilvl w:val="0"/>
          <w:numId w:val="5"/>
        </w:numPr>
        <w:spacing w:line="320" w:lineRule="exact"/>
        <w:ind w:right="-93"/>
        <w:outlineLvl w:val="0"/>
        <w:rPr>
          <w:rFonts w:ascii="Arial" w:hAnsi="Arial" w:eastAsia="方正黑体简体"/>
          <w:b/>
          <w:bCs/>
          <w:sz w:val="21"/>
          <w:szCs w:val="21"/>
        </w:rPr>
      </w:pPr>
      <w:r>
        <w:rPr>
          <w:rFonts w:hint="eastAsia" w:ascii="Arial" w:hAnsi="Arial" w:eastAsia="方正黑体简体"/>
          <w:b/>
          <w:bCs/>
          <w:sz w:val="21"/>
          <w:szCs w:val="21"/>
        </w:rPr>
        <w:t>估价报告编号：</w:t>
      </w:r>
    </w:p>
    <w:p w14:paraId="0AFB9EC0">
      <w:pPr>
        <w:pStyle w:val="29"/>
        <w:spacing w:line="320" w:lineRule="exact"/>
        <w:ind w:left="360"/>
        <w:rPr>
          <w:rFonts w:ascii="Arial" w:hAnsi="Arial" w:eastAsia="方正黑体简体"/>
          <w:sz w:val="21"/>
          <w:szCs w:val="21"/>
        </w:rPr>
      </w:pPr>
      <w:r>
        <w:rPr>
          <w:rFonts w:hint="eastAsia" w:ascii="Arial" w:hAnsi="Arial" w:eastAsia="方正黑体简体"/>
          <w:sz w:val="21"/>
          <w:szCs w:val="21"/>
        </w:rPr>
        <w:t>康正评字</w:t>
      </w:r>
      <w:r>
        <w:rPr>
          <w:rFonts w:ascii="Arial" w:hAnsi="Arial" w:eastAsia="方正黑体简体"/>
          <w:sz w:val="21"/>
          <w:szCs w:val="21"/>
        </w:rPr>
        <w:t>2025-1-0</w:t>
      </w:r>
      <w:r>
        <w:rPr>
          <w:rFonts w:hint="eastAsia" w:ascii="Arial" w:hAnsi="Arial" w:eastAsia="方正黑体简体"/>
          <w:sz w:val="21"/>
          <w:szCs w:val="21"/>
        </w:rPr>
        <w:t>910</w:t>
      </w:r>
      <w:r>
        <w:rPr>
          <w:rFonts w:ascii="Arial" w:hAnsi="Arial" w:eastAsia="方正黑体简体"/>
          <w:sz w:val="21"/>
          <w:szCs w:val="21"/>
        </w:rPr>
        <w:t>-F0</w:t>
      </w:r>
      <w:r>
        <w:rPr>
          <w:rFonts w:hint="eastAsia" w:ascii="Arial" w:hAnsi="Arial" w:eastAsia="方正黑体简体"/>
          <w:sz w:val="21"/>
          <w:szCs w:val="21"/>
        </w:rPr>
        <w:t>1</w:t>
      </w:r>
      <w:r>
        <w:rPr>
          <w:rFonts w:ascii="Arial" w:hAnsi="Arial" w:eastAsia="方正黑体简体"/>
          <w:sz w:val="21"/>
          <w:szCs w:val="21"/>
        </w:rPr>
        <w:t>ZLGJ6</w:t>
      </w:r>
      <w:r>
        <w:rPr>
          <w:rFonts w:hint="eastAsia" w:ascii="Arial" w:hAnsi="Arial" w:eastAsia="方正黑体简体"/>
          <w:sz w:val="21"/>
          <w:szCs w:val="21"/>
        </w:rPr>
        <w:t>号</w:t>
      </w:r>
    </w:p>
    <w:p w14:paraId="1A5E8CF2">
      <w:pPr>
        <w:widowControl/>
        <w:adjustRightInd/>
        <w:spacing w:line="240" w:lineRule="auto"/>
        <w:rPr>
          <w:rFonts w:ascii="Arial" w:hAnsi="Arial" w:eastAsia="方正黑体简体"/>
          <w:sz w:val="21"/>
          <w:szCs w:val="21"/>
        </w:rPr>
        <w:sectPr>
          <w:footerReference r:id="rId7" w:type="default"/>
          <w:pgSz w:w="11907" w:h="16840"/>
          <w:pgMar w:top="1843" w:right="1134" w:bottom="1191" w:left="1134" w:header="851" w:footer="1134" w:gutter="340"/>
          <w:cols w:space="720" w:num="1"/>
          <w:titlePg/>
          <w:docGrid w:linePitch="326" w:charSpace="0"/>
        </w:sectPr>
      </w:pPr>
    </w:p>
    <w:p w14:paraId="2DA784A0">
      <w:pPr>
        <w:spacing w:line="480" w:lineRule="auto"/>
        <w:jc w:val="center"/>
        <w:rPr>
          <w:rFonts w:ascii="Arial" w:hAnsi="Arial" w:eastAsia="方正黑体简体"/>
          <w:kern w:val="2"/>
          <w:sz w:val="32"/>
          <w:szCs w:val="32"/>
        </w:rPr>
      </w:pPr>
      <w:r>
        <w:rPr>
          <w:rFonts w:hint="eastAsia" w:ascii="Arial" w:hAnsi="Arial" w:eastAsia="方正黑体简体"/>
          <w:kern w:val="2"/>
          <w:sz w:val="32"/>
          <w:szCs w:val="32"/>
        </w:rPr>
        <w:t>致估价委托人函</w:t>
      </w:r>
      <w:bookmarkEnd w:id="1"/>
    </w:p>
    <w:p w14:paraId="60E4D594">
      <w:pPr>
        <w:spacing w:line="480" w:lineRule="auto"/>
        <w:rPr>
          <w:rFonts w:ascii="Arial" w:hAnsi="Arial"/>
          <w:sz w:val="21"/>
        </w:rPr>
      </w:pPr>
      <w:bookmarkStart w:id="6" w:name="_Hlk212134943"/>
      <w:r>
        <w:rPr>
          <w:rFonts w:hint="eastAsia" w:ascii="Arial" w:hAnsi="Arial"/>
          <w:b/>
          <w:kern w:val="2"/>
          <w:sz w:val="21"/>
        </w:rPr>
        <w:t>建信住房租赁服务(北京)有限责任公司</w:t>
      </w:r>
      <w:bookmarkEnd w:id="6"/>
      <w:r>
        <w:rPr>
          <w:rFonts w:hint="eastAsia" w:ascii="Arial" w:hAnsi="Arial"/>
          <w:sz w:val="21"/>
        </w:rPr>
        <w:t>：</w:t>
      </w:r>
    </w:p>
    <w:p w14:paraId="4E4F5EB6">
      <w:pPr>
        <w:spacing w:line="480" w:lineRule="auto"/>
        <w:ind w:firstLine="420" w:firstLineChars="200"/>
        <w:rPr>
          <w:rFonts w:ascii="Arial" w:hAnsi="Arial"/>
          <w:sz w:val="21"/>
        </w:rPr>
      </w:pPr>
      <w:bookmarkStart w:id="7" w:name="_Hlk129016471"/>
      <w:r>
        <w:rPr>
          <w:rFonts w:hint="eastAsia" w:ascii="Arial" w:hAnsi="Arial"/>
          <w:kern w:val="2"/>
          <w:sz w:val="21"/>
        </w:rPr>
        <w:t>受贵公司委托，我司对北京市海淀区西北旺镇土井村图景嘉园小区223套住宅用房</w:t>
      </w:r>
      <w:r>
        <w:rPr>
          <w:rFonts w:hint="eastAsia" w:ascii="Arial" w:hAnsi="Arial"/>
          <w:sz w:val="21"/>
        </w:rPr>
        <w:t>房地产市场租金进行了评估</w:t>
      </w:r>
      <w:r>
        <w:rPr>
          <w:rFonts w:hint="eastAsia" w:ascii="Arial" w:hAnsi="Arial"/>
          <w:kern w:val="2"/>
          <w:sz w:val="21"/>
        </w:rPr>
        <w:t>。</w:t>
      </w:r>
    </w:p>
    <w:p w14:paraId="3FBD054B">
      <w:pPr>
        <w:spacing w:line="480" w:lineRule="auto"/>
        <w:ind w:firstLine="422" w:firstLineChars="200"/>
        <w:rPr>
          <w:rFonts w:ascii="Arial" w:hAnsi="Arial"/>
          <w:kern w:val="2"/>
          <w:sz w:val="21"/>
        </w:rPr>
      </w:pPr>
      <w:r>
        <w:rPr>
          <w:rFonts w:hint="eastAsia" w:ascii="Arial" w:hAnsi="Arial"/>
          <w:b/>
          <w:bCs/>
          <w:sz w:val="21"/>
        </w:rPr>
        <w:t>估价对象：</w:t>
      </w:r>
      <w:r>
        <w:rPr>
          <w:rFonts w:hint="eastAsia" w:ascii="Arial" w:hAnsi="Arial"/>
          <w:kern w:val="2"/>
          <w:sz w:val="21"/>
        </w:rPr>
        <w:t>根据估价委托人提供的</w:t>
      </w:r>
      <w:bookmarkStart w:id="8" w:name="_Hlk128749625"/>
      <w:r>
        <w:rPr>
          <w:rFonts w:hint="eastAsia" w:ascii="Arial" w:hAnsi="Arial"/>
          <w:kern w:val="2"/>
          <w:sz w:val="21"/>
        </w:rPr>
        <w:t>《估价委托书》、</w:t>
      </w:r>
      <w:bookmarkEnd w:id="8"/>
      <w:r>
        <w:rPr>
          <w:rFonts w:hint="eastAsia" w:ascii="Arial" w:hAnsi="Arial"/>
          <w:kern w:val="2"/>
          <w:sz w:val="21"/>
        </w:rPr>
        <w:t>《租赁合同》[合同编号：JXZF-TJJY-20210001]，估价对象为北京市海淀区西北旺镇土井村图景嘉园小区223套住宅用房，出租方为北京市海淀区西北旺镇土井村经济合作社，现状由</w:t>
      </w:r>
      <w:r>
        <w:rPr>
          <w:rFonts w:hint="eastAsia" w:ascii="Arial" w:hAnsi="Arial"/>
          <w:sz w:val="21"/>
          <w:szCs w:val="21"/>
        </w:rPr>
        <w:t>建信住房租赁服务(北京)有限责任公司承租经营</w:t>
      </w:r>
      <w:r>
        <w:rPr>
          <w:rFonts w:hint="eastAsia" w:ascii="Arial" w:hAnsi="Arial"/>
          <w:kern w:val="2"/>
          <w:sz w:val="21"/>
        </w:rPr>
        <w:t>，总建筑面积16190.64平方米，共计223套，用途为住宅，估价对象详细情况如下：</w:t>
      </w:r>
    </w:p>
    <w:p w14:paraId="2B71AF21">
      <w:pPr>
        <w:spacing w:line="240" w:lineRule="auto"/>
        <w:jc w:val="center"/>
        <w:rPr>
          <w:rFonts w:ascii="Arial" w:hAnsi="Arial"/>
          <w:kern w:val="2"/>
          <w:sz w:val="21"/>
        </w:rPr>
      </w:pPr>
      <w:r>
        <w:rPr>
          <w:rFonts w:hint="eastAsia" w:ascii="Arial" w:hAnsi="Arial"/>
          <w:kern w:val="2"/>
          <w:sz w:val="21"/>
        </w:rPr>
        <w:t>估价对象明细表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721"/>
        <w:gridCol w:w="1732"/>
        <w:gridCol w:w="3216"/>
      </w:tblGrid>
      <w:tr w14:paraId="7A1B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68" w:type="pct"/>
            <w:noWrap/>
            <w:vAlign w:val="center"/>
          </w:tcPr>
          <w:p w14:paraId="6B11DAFA">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户型名称</w:t>
            </w:r>
          </w:p>
        </w:tc>
        <w:tc>
          <w:tcPr>
            <w:tcW w:w="1430" w:type="pct"/>
            <w:vAlign w:val="center"/>
          </w:tcPr>
          <w:p w14:paraId="055DE68A">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各户型面积</w:t>
            </w:r>
            <w:r>
              <w:rPr>
                <w:rFonts w:hint="eastAsia" w:ascii="Arial" w:hAnsi="Arial" w:eastAsia="华文细黑" w:cs="Arial"/>
                <w:sz w:val="18"/>
                <w:szCs w:val="18"/>
              </w:rPr>
              <w:t>范围</w:t>
            </w:r>
            <w:r>
              <w:rPr>
                <w:rFonts w:ascii="Arial" w:hAnsi="Arial" w:eastAsia="华文细黑" w:cs="Arial"/>
                <w:sz w:val="18"/>
                <w:szCs w:val="18"/>
              </w:rPr>
              <w:t>（</w:t>
            </w:r>
            <w:r>
              <w:rPr>
                <w:rFonts w:hint="eastAsia" w:ascii="Arial" w:hAnsi="Arial" w:eastAsia="华文细黑" w:cs="Arial"/>
                <w:sz w:val="18"/>
                <w:szCs w:val="18"/>
              </w:rPr>
              <w:t>㎡</w:t>
            </w:r>
            <w:r>
              <w:rPr>
                <w:rFonts w:ascii="Arial" w:hAnsi="Arial" w:eastAsia="华文细黑" w:cs="Arial"/>
                <w:sz w:val="18"/>
                <w:szCs w:val="18"/>
              </w:rPr>
              <w:t>）</w:t>
            </w:r>
          </w:p>
        </w:tc>
        <w:tc>
          <w:tcPr>
            <w:tcW w:w="910" w:type="pct"/>
            <w:noWrap/>
            <w:vAlign w:val="center"/>
          </w:tcPr>
          <w:p w14:paraId="115F97E1">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套数（套）</w:t>
            </w:r>
          </w:p>
        </w:tc>
        <w:tc>
          <w:tcPr>
            <w:tcW w:w="1690" w:type="pct"/>
            <w:noWrap/>
            <w:vAlign w:val="center"/>
          </w:tcPr>
          <w:p w14:paraId="5996B880">
            <w:pPr>
              <w:widowControl/>
              <w:adjustRightInd/>
              <w:spacing w:line="240" w:lineRule="auto"/>
              <w:jc w:val="center"/>
              <w:textAlignment w:val="auto"/>
              <w:rPr>
                <w:rFonts w:ascii="Arial" w:hAnsi="Arial" w:eastAsia="华文细黑" w:cs="Arial"/>
                <w:sz w:val="18"/>
                <w:szCs w:val="18"/>
              </w:rPr>
            </w:pPr>
            <w:r>
              <w:rPr>
                <w:rFonts w:ascii="Arial" w:hAnsi="Arial" w:eastAsia="华文细黑" w:cs="Arial"/>
                <w:sz w:val="18"/>
                <w:szCs w:val="18"/>
              </w:rPr>
              <w:t>总建筑面积（</w:t>
            </w:r>
            <w:r>
              <w:rPr>
                <w:rFonts w:hint="eastAsia" w:ascii="Arial" w:hAnsi="Arial" w:eastAsia="华文细黑" w:cs="Arial"/>
                <w:sz w:val="18"/>
                <w:szCs w:val="18"/>
              </w:rPr>
              <w:t>㎡</w:t>
            </w:r>
            <w:r>
              <w:rPr>
                <w:rFonts w:ascii="Arial" w:hAnsi="Arial" w:eastAsia="华文细黑" w:cs="Arial"/>
                <w:sz w:val="18"/>
                <w:szCs w:val="18"/>
              </w:rPr>
              <w:t>）</w:t>
            </w:r>
          </w:p>
        </w:tc>
      </w:tr>
      <w:tr w14:paraId="6283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8" w:type="pct"/>
            <w:noWrap/>
            <w:vAlign w:val="center"/>
          </w:tcPr>
          <w:p w14:paraId="315197C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三居室</w:t>
            </w:r>
          </w:p>
        </w:tc>
        <w:tc>
          <w:tcPr>
            <w:tcW w:w="1430" w:type="pct"/>
            <w:vAlign w:val="center"/>
          </w:tcPr>
          <w:p w14:paraId="116BE4B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101.18-130.61</w:t>
            </w:r>
          </w:p>
        </w:tc>
        <w:tc>
          <w:tcPr>
            <w:tcW w:w="910" w:type="pct"/>
            <w:noWrap/>
            <w:vAlign w:val="center"/>
          </w:tcPr>
          <w:p w14:paraId="6946F31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35</w:t>
            </w:r>
          </w:p>
        </w:tc>
        <w:tc>
          <w:tcPr>
            <w:tcW w:w="1690" w:type="pct"/>
            <w:noWrap/>
            <w:vAlign w:val="center"/>
          </w:tcPr>
          <w:p w14:paraId="73AE703D">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3672.23</w:t>
            </w:r>
          </w:p>
        </w:tc>
      </w:tr>
      <w:tr w14:paraId="1285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165F4995">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两居室</w:t>
            </w:r>
          </w:p>
        </w:tc>
        <w:tc>
          <w:tcPr>
            <w:tcW w:w="1430" w:type="pct"/>
            <w:vAlign w:val="center"/>
          </w:tcPr>
          <w:p w14:paraId="751CE8F7">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76.39-84.46</w:t>
            </w:r>
          </w:p>
        </w:tc>
        <w:tc>
          <w:tcPr>
            <w:tcW w:w="910" w:type="pct"/>
            <w:noWrap/>
            <w:vAlign w:val="center"/>
          </w:tcPr>
          <w:p w14:paraId="783BE2DB">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101</w:t>
            </w:r>
          </w:p>
        </w:tc>
        <w:tc>
          <w:tcPr>
            <w:tcW w:w="1690" w:type="pct"/>
            <w:noWrap/>
            <w:vAlign w:val="center"/>
          </w:tcPr>
          <w:p w14:paraId="5FFEB38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8185.51</w:t>
            </w:r>
          </w:p>
        </w:tc>
      </w:tr>
      <w:tr w14:paraId="7885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7B8B900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一居室</w:t>
            </w:r>
          </w:p>
        </w:tc>
        <w:tc>
          <w:tcPr>
            <w:tcW w:w="1430" w:type="pct"/>
            <w:vAlign w:val="center"/>
          </w:tcPr>
          <w:p w14:paraId="71760680">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52.12-53.93</w:t>
            </w:r>
          </w:p>
        </w:tc>
        <w:tc>
          <w:tcPr>
            <w:tcW w:w="910" w:type="pct"/>
            <w:noWrap/>
            <w:vAlign w:val="center"/>
          </w:tcPr>
          <w:p w14:paraId="46602FD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42</w:t>
            </w:r>
          </w:p>
        </w:tc>
        <w:tc>
          <w:tcPr>
            <w:tcW w:w="1690" w:type="pct"/>
            <w:noWrap/>
            <w:vAlign w:val="center"/>
          </w:tcPr>
          <w:p w14:paraId="3CFC17A3">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2229.34</w:t>
            </w:r>
          </w:p>
        </w:tc>
      </w:tr>
      <w:tr w14:paraId="57AD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0EBF81E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开间</w:t>
            </w:r>
          </w:p>
        </w:tc>
        <w:tc>
          <w:tcPr>
            <w:tcW w:w="1430" w:type="pct"/>
            <w:vAlign w:val="center"/>
          </w:tcPr>
          <w:p w14:paraId="32E5FC61">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46.01-47.19</w:t>
            </w:r>
          </w:p>
        </w:tc>
        <w:tc>
          <w:tcPr>
            <w:tcW w:w="910" w:type="pct"/>
            <w:noWrap/>
            <w:vAlign w:val="center"/>
          </w:tcPr>
          <w:p w14:paraId="60037562">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45</w:t>
            </w:r>
          </w:p>
        </w:tc>
        <w:tc>
          <w:tcPr>
            <w:tcW w:w="1690" w:type="pct"/>
            <w:noWrap/>
            <w:vAlign w:val="center"/>
          </w:tcPr>
          <w:p w14:paraId="113F8B8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2103.56</w:t>
            </w:r>
          </w:p>
        </w:tc>
      </w:tr>
      <w:tr w14:paraId="7C27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68" w:type="pct"/>
            <w:noWrap/>
            <w:vAlign w:val="center"/>
          </w:tcPr>
          <w:p w14:paraId="45C71E19">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1430" w:type="pct"/>
            <w:vAlign w:val="center"/>
          </w:tcPr>
          <w:p w14:paraId="7554A9DA">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w:t>
            </w:r>
          </w:p>
        </w:tc>
        <w:tc>
          <w:tcPr>
            <w:tcW w:w="910" w:type="pct"/>
            <w:noWrap/>
            <w:vAlign w:val="center"/>
          </w:tcPr>
          <w:p w14:paraId="432566D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690" w:type="pct"/>
            <w:noWrap/>
            <w:vAlign w:val="center"/>
          </w:tcPr>
          <w:p w14:paraId="4BBD5B4C">
            <w:pPr>
              <w:widowControl/>
              <w:adjustRightInd/>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16190.64</w:t>
            </w:r>
          </w:p>
        </w:tc>
      </w:tr>
    </w:tbl>
    <w:p w14:paraId="033949E9">
      <w:pPr>
        <w:spacing w:before="240" w:beforeLines="100" w:line="480" w:lineRule="auto"/>
        <w:ind w:firstLine="422" w:firstLineChars="200"/>
        <w:rPr>
          <w:rFonts w:ascii="Arial" w:hAnsi="Arial"/>
          <w:sz w:val="21"/>
        </w:rPr>
      </w:pPr>
      <w:r>
        <w:rPr>
          <w:rFonts w:hint="eastAsia" w:ascii="Arial" w:hAnsi="Arial"/>
          <w:b/>
          <w:bCs/>
          <w:sz w:val="21"/>
        </w:rPr>
        <w:t>估价目的：</w:t>
      </w:r>
      <w:r>
        <w:rPr>
          <w:rFonts w:hint="eastAsia" w:ascii="Arial" w:hAnsi="Arial"/>
          <w:kern w:val="2"/>
          <w:sz w:val="21"/>
        </w:rPr>
        <w:t>为估价委托人了解估价对象房地产市场租金水平提供参考依据。</w:t>
      </w:r>
    </w:p>
    <w:p w14:paraId="758EC15F">
      <w:pPr>
        <w:spacing w:line="480" w:lineRule="auto"/>
        <w:ind w:firstLine="422" w:firstLineChars="200"/>
        <w:jc w:val="both"/>
        <w:rPr>
          <w:rFonts w:ascii="Arial" w:hAnsi="Arial"/>
          <w:sz w:val="21"/>
        </w:rPr>
      </w:pPr>
      <w:r>
        <w:rPr>
          <w:rFonts w:hint="eastAsia" w:ascii="Arial" w:hAnsi="Arial"/>
          <w:b/>
          <w:bCs/>
          <w:sz w:val="21"/>
        </w:rPr>
        <w:t>价值时点：</w:t>
      </w:r>
      <w:bookmarkStart w:id="9" w:name="_Hlk129679936"/>
      <w:r>
        <w:rPr>
          <w:rFonts w:hint="eastAsia" w:ascii="Arial" w:hAnsi="Arial" w:cs="Arial"/>
          <w:sz w:val="21"/>
        </w:rPr>
        <w:t>2025年12月4日（依据《估价委托书》）。</w:t>
      </w:r>
      <w:bookmarkEnd w:id="9"/>
    </w:p>
    <w:p w14:paraId="6614EA30">
      <w:pPr>
        <w:spacing w:line="480" w:lineRule="auto"/>
        <w:ind w:firstLine="422" w:firstLineChars="200"/>
        <w:jc w:val="both"/>
        <w:rPr>
          <w:rFonts w:eastAsia="楷体_GB2312"/>
          <w:sz w:val="28"/>
          <w:szCs w:val="28"/>
        </w:rPr>
      </w:pPr>
      <w:r>
        <w:rPr>
          <w:rFonts w:hint="eastAsia" w:ascii="Arial" w:hAnsi="Arial"/>
          <w:b/>
          <w:bCs/>
          <w:sz w:val="21"/>
        </w:rPr>
        <w:t>价值类型：</w:t>
      </w:r>
      <w:r>
        <w:rPr>
          <w:rFonts w:hint="eastAsia" w:ascii="Arial" w:hAnsi="Arial"/>
          <w:kern w:val="2"/>
          <w:sz w:val="21"/>
        </w:rPr>
        <w:t>根据房地产估价规范、国家现行有关标准规定和项目的具体要求，本次评估采用的是市场价值标准。</w:t>
      </w:r>
      <w:r>
        <w:rPr>
          <w:rFonts w:ascii="Arial" w:hAnsi="Arial"/>
          <w:kern w:val="2"/>
          <w:sz w:val="21"/>
        </w:rPr>
        <w:t>根据</w:t>
      </w:r>
      <w:r>
        <w:rPr>
          <w:rFonts w:hint="eastAsia" w:ascii="Arial" w:hAnsi="Arial"/>
          <w:sz w:val="21"/>
          <w:szCs w:val="28"/>
        </w:rPr>
        <w:t>《房地产估价基本术语标准》</w:t>
      </w:r>
      <w:r>
        <w:rPr>
          <w:rFonts w:hint="eastAsia" w:ascii="Arial" w:hAnsi="Arial"/>
          <w:kern w:val="2"/>
          <w:sz w:val="21"/>
        </w:rPr>
        <w:t>[GB/T50899-2013]，</w:t>
      </w:r>
      <w:r>
        <w:rPr>
          <w:rFonts w:ascii="Arial" w:hAnsi="Arial"/>
          <w:kern w:val="2"/>
          <w:sz w:val="21"/>
        </w:rPr>
        <w:t>市场价值是经适当营销后，由熟悉情况、谨慎行事且不受强迫的交易双方，以公平交易方式在</w:t>
      </w:r>
      <w:r>
        <w:rPr>
          <w:rFonts w:hint="eastAsia" w:ascii="Arial" w:hAnsi="Arial"/>
          <w:kern w:val="2"/>
          <w:sz w:val="21"/>
        </w:rPr>
        <w:t>各</w:t>
      </w:r>
      <w:r>
        <w:rPr>
          <w:rFonts w:ascii="Arial" w:hAnsi="Arial"/>
          <w:kern w:val="2"/>
          <w:sz w:val="21"/>
        </w:rPr>
        <w:t>价值时点自愿进行交易的金额</w:t>
      </w:r>
      <w:r>
        <w:rPr>
          <w:rFonts w:hint="eastAsia" w:ascii="Arial" w:hAnsi="Arial"/>
          <w:kern w:val="2"/>
          <w:sz w:val="21"/>
        </w:rPr>
        <w:t>。</w:t>
      </w:r>
    </w:p>
    <w:p w14:paraId="3F2A910E">
      <w:pPr>
        <w:spacing w:line="480" w:lineRule="auto"/>
        <w:ind w:firstLine="420" w:firstLineChars="200"/>
        <w:jc w:val="both"/>
        <w:rPr>
          <w:rFonts w:ascii="Arial" w:hAnsi="Arial" w:cs="Arial"/>
          <w:bCs/>
          <w:sz w:val="21"/>
        </w:rPr>
      </w:pPr>
      <w:bookmarkStart w:id="10" w:name="_Hlk212190279"/>
      <w:r>
        <w:rPr>
          <w:rFonts w:hint="eastAsia" w:ascii="Arial" w:hAnsi="Arial" w:cs="Arial"/>
          <w:bCs/>
          <w:sz w:val="21"/>
        </w:rPr>
        <w:t>本次估价的“房地产市场租金”是指在正常市场情况下，在价值时点</w:t>
      </w:r>
      <w:r>
        <w:rPr>
          <w:rFonts w:hint="eastAsia" w:ascii="Arial" w:hAnsi="Arial" w:cs="Arial"/>
          <w:sz w:val="21"/>
        </w:rPr>
        <w:t>2025年12月4日</w:t>
      </w:r>
      <w:r>
        <w:rPr>
          <w:rFonts w:hint="eastAsia" w:ascii="Arial" w:hAnsi="Arial" w:cs="Arial"/>
          <w:bCs/>
          <w:sz w:val="21"/>
        </w:rPr>
        <w:t>，估价对象用途为住宅的房地产租赁价格，</w:t>
      </w:r>
      <w:bookmarkStart w:id="11" w:name="_Hlk212190422"/>
      <w:r>
        <w:rPr>
          <w:rFonts w:hint="eastAsia" w:ascii="Arial" w:hAnsi="Arial" w:cs="Arial"/>
          <w:bCs/>
          <w:sz w:val="21"/>
        </w:rPr>
        <w:t>估价结果采用价税合计的形式，</w:t>
      </w:r>
      <w:bookmarkStart w:id="12" w:name="_Hlk212190378"/>
      <w:r>
        <w:rPr>
          <w:rFonts w:hint="eastAsia" w:ascii="Arial" w:hAnsi="Arial" w:cs="Arial"/>
          <w:bCs/>
          <w:sz w:val="21"/>
        </w:rPr>
        <w:t>包含增值税及附加、家具家电使用费、物业费，不包含能源费、房地产经纪公司服务费等费用</w:t>
      </w:r>
      <w:bookmarkEnd w:id="10"/>
      <w:bookmarkEnd w:id="11"/>
      <w:bookmarkEnd w:id="12"/>
      <w:r>
        <w:rPr>
          <w:rFonts w:hint="eastAsia" w:ascii="Arial" w:hAnsi="Arial" w:cs="Arial"/>
          <w:bCs/>
          <w:sz w:val="21"/>
        </w:rPr>
        <w:t>。</w:t>
      </w:r>
    </w:p>
    <w:p w14:paraId="0E29A2EF">
      <w:pPr>
        <w:spacing w:line="480" w:lineRule="auto"/>
        <w:ind w:firstLine="422" w:firstLineChars="200"/>
        <w:jc w:val="both"/>
        <w:rPr>
          <w:rFonts w:ascii="Arial" w:hAnsi="Arial"/>
          <w:b/>
          <w:bCs/>
          <w:sz w:val="21"/>
        </w:rPr>
      </w:pPr>
      <w:r>
        <w:rPr>
          <w:rFonts w:ascii="Arial" w:hAnsi="Arial" w:cs="Arial"/>
          <w:b/>
          <w:bCs/>
          <w:sz w:val="21"/>
        </w:rPr>
        <w:t>估价方法：</w:t>
      </w:r>
      <w:r>
        <w:rPr>
          <w:rFonts w:ascii="Arial" w:hAnsi="Arial" w:cs="Arial"/>
          <w:bCs/>
          <w:sz w:val="21"/>
          <w:szCs w:val="21"/>
        </w:rPr>
        <w:t>本次评估采用的估价方法</w:t>
      </w:r>
      <w:r>
        <w:rPr>
          <w:rFonts w:hint="eastAsia" w:ascii="Arial" w:hAnsi="Arial" w:cs="Arial"/>
          <w:bCs/>
          <w:sz w:val="21"/>
          <w:szCs w:val="21"/>
        </w:rPr>
        <w:t>为</w:t>
      </w:r>
      <w:r>
        <w:rPr>
          <w:rFonts w:hint="eastAsia" w:ascii="Arial" w:hAnsi="Arial" w:cs="宋体"/>
          <w:sz w:val="21"/>
          <w:szCs w:val="21"/>
        </w:rPr>
        <w:t>比较法</w:t>
      </w:r>
      <w:r>
        <w:rPr>
          <w:rFonts w:ascii="Arial" w:hAnsi="Arial" w:cs="Arial"/>
          <w:sz w:val="21"/>
          <w:szCs w:val="21"/>
        </w:rPr>
        <w:t>。</w:t>
      </w:r>
    </w:p>
    <w:p w14:paraId="1E716D52">
      <w:pPr>
        <w:spacing w:line="480" w:lineRule="auto"/>
        <w:ind w:firstLine="422" w:firstLineChars="200"/>
        <w:rPr>
          <w:rFonts w:ascii="Arial" w:hAnsi="Arial"/>
          <w:sz w:val="21"/>
        </w:rPr>
      </w:pPr>
      <w:r>
        <w:rPr>
          <w:rFonts w:hint="eastAsia" w:ascii="Arial" w:hAnsi="Arial"/>
          <w:b/>
          <w:bCs/>
          <w:sz w:val="21"/>
        </w:rPr>
        <w:t>估价结果：</w:t>
      </w:r>
      <w:bookmarkStart w:id="13" w:name="_Hlk129709950"/>
      <w:r>
        <w:rPr>
          <w:rFonts w:hint="eastAsia" w:ascii="Arial" w:hAnsi="Arial"/>
          <w:sz w:val="21"/>
        </w:rPr>
        <w:t>评估专业人员根据估价的目的，按照估价的程序，采用科学的估价方法，在认真分析现有资料的基础上，通过仔细测算和认真分析各种影响房地产价格的因素，确定估价对象在价值时点的房地产市场租金，详见估价结果一览表。</w:t>
      </w:r>
      <w:bookmarkEnd w:id="13"/>
      <w:bookmarkStart w:id="14" w:name="_Hlk129709935"/>
    </w:p>
    <w:p w14:paraId="5C29586C">
      <w:pPr>
        <w:spacing w:line="480" w:lineRule="auto"/>
        <w:ind w:firstLine="480" w:firstLineChars="200"/>
        <w:jc w:val="center"/>
        <w:rPr>
          <w:rFonts w:ascii="Arial" w:hAnsi="Arial" w:eastAsia="方正黑体简体"/>
          <w:szCs w:val="24"/>
        </w:rPr>
      </w:pPr>
      <w:r>
        <w:rPr>
          <w:rFonts w:hint="eastAsia" w:ascii="Arial" w:hAnsi="Arial" w:eastAsia="方正黑体简体"/>
          <w:szCs w:val="24"/>
        </w:rPr>
        <w:t>估价结果一览表</w:t>
      </w:r>
    </w:p>
    <w:tbl>
      <w:tblPr>
        <w:tblStyle w:val="32"/>
        <w:tblW w:w="4995" w:type="pct"/>
        <w:jc w:val="center"/>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Layout w:type="autofit"/>
        <w:tblCellMar>
          <w:top w:w="57" w:type="dxa"/>
          <w:left w:w="57" w:type="dxa"/>
          <w:bottom w:w="57" w:type="dxa"/>
          <w:right w:w="57" w:type="dxa"/>
        </w:tblCellMar>
      </w:tblPr>
      <w:tblGrid>
        <w:gridCol w:w="3589"/>
        <w:gridCol w:w="1581"/>
        <w:gridCol w:w="928"/>
        <w:gridCol w:w="3306"/>
      </w:tblGrid>
      <w:tr w14:paraId="72262254">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557" w:hRule="atLeast"/>
          <w:jc w:val="center"/>
        </w:trPr>
        <w:tc>
          <w:tcPr>
            <w:tcW w:w="1908" w:type="pct"/>
            <w:vAlign w:val="center"/>
          </w:tcPr>
          <w:p w14:paraId="68733162">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840" w:type="pct"/>
            <w:vAlign w:val="center"/>
          </w:tcPr>
          <w:p w14:paraId="718D2773">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建筑面积</w:t>
            </w:r>
            <w:r>
              <w:rPr>
                <w:rFonts w:hint="eastAsia" w:ascii="Arial" w:hAnsi="Arial" w:eastAsia="华文细黑" w:cs="Arial"/>
                <w:sz w:val="18"/>
                <w:szCs w:val="18"/>
              </w:rPr>
              <w:t>（平方米）</w:t>
            </w:r>
          </w:p>
        </w:tc>
        <w:tc>
          <w:tcPr>
            <w:tcW w:w="493" w:type="pct"/>
            <w:vAlign w:val="center"/>
          </w:tcPr>
          <w:p w14:paraId="17F59599">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套数（套）</w:t>
            </w:r>
          </w:p>
        </w:tc>
        <w:tc>
          <w:tcPr>
            <w:tcW w:w="1757" w:type="pct"/>
            <w:vAlign w:val="center"/>
          </w:tcPr>
          <w:p w14:paraId="5E40B9A9">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估价对象市场租金</w:t>
            </w:r>
            <w:r>
              <w:rPr>
                <w:rFonts w:hint="eastAsia" w:ascii="Arial" w:hAnsi="Arial" w:eastAsia="华文细黑" w:cs="Arial"/>
                <w:sz w:val="18"/>
                <w:szCs w:val="18"/>
              </w:rPr>
              <w:t>均价（元/㎡·月）</w:t>
            </w:r>
          </w:p>
        </w:tc>
      </w:tr>
      <w:tr w14:paraId="6CE96B9E">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1121" w:hRule="atLeast"/>
          <w:jc w:val="center"/>
        </w:trPr>
        <w:tc>
          <w:tcPr>
            <w:tcW w:w="1908" w:type="pct"/>
            <w:vAlign w:val="center"/>
          </w:tcPr>
          <w:p w14:paraId="1DF71F69">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北京市海淀区西北旺镇土井村图景嘉园小区223套住宅用房房地产市场租金水平</w:t>
            </w:r>
          </w:p>
        </w:tc>
        <w:tc>
          <w:tcPr>
            <w:tcW w:w="840" w:type="pct"/>
            <w:vAlign w:val="center"/>
          </w:tcPr>
          <w:p w14:paraId="36AADE0F">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16190.64</w:t>
            </w:r>
          </w:p>
        </w:tc>
        <w:tc>
          <w:tcPr>
            <w:tcW w:w="493" w:type="pct"/>
            <w:vAlign w:val="center"/>
          </w:tcPr>
          <w:p w14:paraId="54597323">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757" w:type="pct"/>
            <w:vAlign w:val="center"/>
          </w:tcPr>
          <w:p w14:paraId="5FDF1B98">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85</w:t>
            </w:r>
          </w:p>
        </w:tc>
      </w:tr>
    </w:tbl>
    <w:p w14:paraId="6FA89BC9">
      <w:pPr>
        <w:spacing w:line="360" w:lineRule="auto"/>
        <w:ind w:right="17"/>
        <w:rPr>
          <w:rFonts w:ascii="Arial" w:hAnsi="Arial" w:eastAsia="华文细黑" w:cs="Arial"/>
          <w:sz w:val="18"/>
          <w:szCs w:val="18"/>
        </w:rPr>
      </w:pPr>
      <w:r>
        <w:rPr>
          <w:rFonts w:hint="eastAsia" w:ascii="Arial" w:hAnsi="Arial" w:eastAsia="华文细黑"/>
          <w:sz w:val="18"/>
          <w:szCs w:val="18"/>
        </w:rPr>
        <w:t>单位：</w:t>
      </w:r>
      <w:r>
        <w:rPr>
          <w:rFonts w:ascii="Arial" w:hAnsi="Arial" w:eastAsia="华文细黑" w:cs="Arial"/>
          <w:sz w:val="18"/>
          <w:szCs w:val="18"/>
        </w:rPr>
        <w:t>元、元/平方米（币种：人民币）</w:t>
      </w:r>
    </w:p>
    <w:p w14:paraId="547A6F99">
      <w:pPr>
        <w:spacing w:line="360" w:lineRule="auto"/>
        <w:ind w:right="17"/>
        <w:rPr>
          <w:rFonts w:ascii="Arial" w:hAnsi="Arial" w:eastAsia="华文细黑" w:cs="Arial"/>
          <w:b/>
          <w:sz w:val="18"/>
          <w:szCs w:val="18"/>
        </w:rPr>
      </w:pPr>
      <w:r>
        <w:rPr>
          <w:rFonts w:hint="eastAsia" w:ascii="Arial" w:hAnsi="Arial" w:eastAsia="华文细黑" w:cs="Arial"/>
          <w:b/>
          <w:sz w:val="18"/>
          <w:szCs w:val="18"/>
        </w:rPr>
        <w:t>提示</w:t>
      </w:r>
      <w:r>
        <w:rPr>
          <w:rFonts w:ascii="Arial" w:hAnsi="Arial" w:eastAsia="华文细黑" w:cs="Arial"/>
          <w:b/>
          <w:sz w:val="18"/>
          <w:szCs w:val="18"/>
        </w:rPr>
        <w:t>：</w:t>
      </w:r>
      <w:bookmarkStart w:id="15" w:name="_Hlk130222586"/>
      <w:r>
        <w:rPr>
          <w:rFonts w:hint="eastAsia" w:ascii="Arial" w:hAnsi="Arial" w:eastAsia="华文细黑" w:cs="Arial"/>
          <w:b/>
          <w:sz w:val="18"/>
          <w:szCs w:val="18"/>
        </w:rPr>
        <w:t>1、估价结果按照法律法规规定，出租方和承租方各自承担相应的交易税费。</w:t>
      </w:r>
    </w:p>
    <w:p w14:paraId="6E321544">
      <w:pPr>
        <w:spacing w:line="360" w:lineRule="auto"/>
        <w:ind w:right="17" w:firstLine="541" w:firstLineChars="300"/>
        <w:rPr>
          <w:rFonts w:ascii="Arial" w:hAnsi="Arial" w:eastAsia="华文细黑" w:cs="Arial"/>
          <w:b/>
          <w:sz w:val="18"/>
          <w:szCs w:val="18"/>
        </w:rPr>
      </w:pPr>
      <w:r>
        <w:rPr>
          <w:rFonts w:hint="eastAsia" w:ascii="Arial" w:hAnsi="Arial" w:eastAsia="华文细黑" w:cs="Arial"/>
          <w:b/>
          <w:sz w:val="18"/>
          <w:szCs w:val="18"/>
        </w:rPr>
        <w:t>2、</w:t>
      </w:r>
      <w:bookmarkStart w:id="16" w:name="_Hlk212192241"/>
      <w:r>
        <w:rPr>
          <w:rFonts w:hint="eastAsia" w:ascii="Arial" w:hAnsi="Arial" w:eastAsia="华文细黑" w:cs="Arial"/>
          <w:b/>
          <w:sz w:val="18"/>
          <w:szCs w:val="18"/>
        </w:rPr>
        <w:t>估价结果采用价税合计的形式，上述估价</w:t>
      </w:r>
      <w:r>
        <w:rPr>
          <w:rFonts w:ascii="Arial" w:hAnsi="Arial" w:eastAsia="华文细黑" w:cs="Arial"/>
          <w:b/>
          <w:sz w:val="18"/>
          <w:szCs w:val="18"/>
        </w:rPr>
        <w:t>结果中</w:t>
      </w:r>
      <w:r>
        <w:rPr>
          <w:rFonts w:hint="eastAsia" w:ascii="Arial" w:hAnsi="Arial" w:eastAsia="华文细黑" w:cs="Arial"/>
          <w:b/>
          <w:sz w:val="18"/>
          <w:szCs w:val="18"/>
        </w:rPr>
        <w:t>包含增值税及附加、家具家电使用费、物业费，不包含能源费、房地产经纪公司服务费等费用</w:t>
      </w:r>
      <w:bookmarkEnd w:id="16"/>
      <w:r>
        <w:rPr>
          <w:rFonts w:hint="eastAsia" w:ascii="Arial" w:hAnsi="Arial" w:eastAsia="华文细黑" w:cs="Arial"/>
          <w:b/>
          <w:sz w:val="18"/>
          <w:szCs w:val="18"/>
        </w:rPr>
        <w:t>。</w:t>
      </w:r>
    </w:p>
    <w:bookmarkEnd w:id="15"/>
    <w:p w14:paraId="0B538DCC">
      <w:pPr>
        <w:spacing w:line="360" w:lineRule="auto"/>
        <w:ind w:right="17"/>
        <w:rPr>
          <w:rFonts w:ascii="Arial" w:hAnsi="Arial" w:eastAsia="华文细黑"/>
          <w:sz w:val="18"/>
          <w:szCs w:val="18"/>
        </w:rPr>
      </w:pPr>
    </w:p>
    <w:p w14:paraId="13430F00">
      <w:pPr>
        <w:spacing w:line="360" w:lineRule="auto"/>
        <w:ind w:right="17"/>
        <w:rPr>
          <w:rFonts w:ascii="Arial" w:hAnsi="Arial" w:eastAsia="华文细黑"/>
          <w:sz w:val="18"/>
          <w:szCs w:val="18"/>
        </w:rPr>
      </w:pPr>
    </w:p>
    <w:p w14:paraId="1E8997E5">
      <w:pPr>
        <w:spacing w:line="360" w:lineRule="auto"/>
        <w:ind w:right="17"/>
        <w:rPr>
          <w:rFonts w:ascii="Arial" w:hAnsi="Arial" w:eastAsia="华文细黑"/>
          <w:sz w:val="18"/>
          <w:szCs w:val="18"/>
        </w:rPr>
      </w:pPr>
    </w:p>
    <w:p w14:paraId="06A15430">
      <w:pPr>
        <w:spacing w:line="360" w:lineRule="auto"/>
        <w:ind w:right="17"/>
        <w:rPr>
          <w:rFonts w:ascii="Arial" w:hAnsi="Arial" w:eastAsia="华文细黑"/>
          <w:sz w:val="18"/>
          <w:szCs w:val="18"/>
        </w:rPr>
      </w:pPr>
    </w:p>
    <w:p w14:paraId="4A0CDD8C">
      <w:pPr>
        <w:spacing w:line="360" w:lineRule="auto"/>
        <w:ind w:right="17"/>
        <w:rPr>
          <w:rFonts w:ascii="Arial" w:hAnsi="Arial" w:eastAsia="华文细黑"/>
          <w:sz w:val="18"/>
          <w:szCs w:val="18"/>
        </w:rPr>
      </w:pPr>
    </w:p>
    <w:bookmarkEnd w:id="7"/>
    <w:bookmarkEnd w:id="14"/>
    <w:p w14:paraId="1A2EC7F4">
      <w:pPr>
        <w:spacing w:line="480" w:lineRule="auto"/>
        <w:ind w:firstLine="1050" w:firstLineChars="500"/>
        <w:rPr>
          <w:rFonts w:ascii="Arial" w:hAnsi="Arial"/>
          <w:sz w:val="21"/>
        </w:rPr>
      </w:pPr>
      <w:r>
        <w:rPr>
          <w:rFonts w:hint="eastAsia" w:ascii="Arial" w:hAnsi="Arial"/>
          <w:sz w:val="21"/>
        </w:rPr>
        <w:t>顺致</w:t>
      </w:r>
    </w:p>
    <w:p w14:paraId="5A7FFC2C">
      <w:pPr>
        <w:spacing w:line="480" w:lineRule="auto"/>
        <w:ind w:firstLine="4200" w:firstLineChars="2000"/>
        <w:rPr>
          <w:rFonts w:ascii="Arial" w:hAnsi="Arial"/>
          <w:sz w:val="21"/>
        </w:rPr>
      </w:pPr>
    </w:p>
    <w:p w14:paraId="07EE1030">
      <w:pPr>
        <w:spacing w:line="480" w:lineRule="auto"/>
        <w:rPr>
          <w:rFonts w:ascii="Arial" w:hAnsi="Arial"/>
          <w:sz w:val="21"/>
        </w:rPr>
      </w:pPr>
      <w:r>
        <w:rPr>
          <w:rFonts w:hint="eastAsia" w:ascii="Arial" w:hAnsi="Arial"/>
          <w:sz w:val="21"/>
        </w:rPr>
        <w:t>商祺</w:t>
      </w:r>
    </w:p>
    <w:p w14:paraId="2D82C721">
      <w:pPr>
        <w:spacing w:line="360" w:lineRule="auto"/>
        <w:jc w:val="right"/>
        <w:rPr>
          <w:rFonts w:ascii="Arial" w:hAnsi="Arial" w:eastAsia="楷体_GB2312"/>
          <w:sz w:val="28"/>
        </w:rPr>
      </w:pPr>
      <w:r>
        <w:rPr>
          <w:rFonts w:hint="eastAsia" w:ascii="Arial" w:hAnsi="Arial" w:eastAsia="楷体_GB2312"/>
          <w:sz w:val="28"/>
        </w:rPr>
        <w:t xml:space="preserve">                                              </w:t>
      </w:r>
    </w:p>
    <w:tbl>
      <w:tblPr>
        <w:tblStyle w:val="32"/>
        <w:tblW w:w="0" w:type="auto"/>
        <w:tblInd w:w="5920" w:type="dxa"/>
        <w:tblLayout w:type="autofit"/>
        <w:tblCellMar>
          <w:top w:w="0" w:type="dxa"/>
          <w:left w:w="108" w:type="dxa"/>
          <w:bottom w:w="0" w:type="dxa"/>
          <w:right w:w="108" w:type="dxa"/>
        </w:tblCellMar>
      </w:tblPr>
      <w:tblGrid>
        <w:gridCol w:w="3402"/>
      </w:tblGrid>
      <w:tr w14:paraId="7AB0FAB8">
        <w:tblPrEx>
          <w:tblCellMar>
            <w:top w:w="0" w:type="dxa"/>
            <w:left w:w="108" w:type="dxa"/>
            <w:bottom w:w="0" w:type="dxa"/>
            <w:right w:w="108" w:type="dxa"/>
          </w:tblCellMar>
        </w:tblPrEx>
        <w:tc>
          <w:tcPr>
            <w:tcW w:w="3402" w:type="dxa"/>
          </w:tcPr>
          <w:p w14:paraId="1B70A5D7">
            <w:pPr>
              <w:spacing w:line="480" w:lineRule="auto"/>
              <w:rPr>
                <w:rFonts w:ascii="Arial" w:hAnsi="Arial" w:cs="Arial"/>
                <w:sz w:val="21"/>
                <w:szCs w:val="21"/>
              </w:rPr>
            </w:pPr>
            <w:r>
              <w:rPr>
                <w:rFonts w:ascii="Arial" w:hAnsi="Arial" w:cs="Arial"/>
                <w:sz w:val="21"/>
                <w:szCs w:val="21"/>
              </w:rPr>
              <w:t>北京康正宏基房地产评估有限公司</w:t>
            </w:r>
          </w:p>
        </w:tc>
      </w:tr>
      <w:tr w14:paraId="6362DA3F">
        <w:trPr>
          <w:trHeight w:val="1431" w:hRule="atLeast"/>
        </w:trPr>
        <w:tc>
          <w:tcPr>
            <w:tcW w:w="3402" w:type="dxa"/>
          </w:tcPr>
          <w:p w14:paraId="5AE5CAEC">
            <w:pPr>
              <w:spacing w:line="480" w:lineRule="auto"/>
              <w:rPr>
                <w:rFonts w:ascii="Arial" w:hAnsi="Arial" w:cs="Arial"/>
                <w:sz w:val="21"/>
                <w:szCs w:val="21"/>
              </w:rPr>
            </w:pPr>
            <w:r>
              <w:rPr>
                <w:rFonts w:ascii="Arial" w:hAnsi="Arial" w:cs="Arial"/>
                <w:sz w:val="21"/>
                <w:szCs w:val="21"/>
              </w:rPr>
              <w:t>法定代表人：</w:t>
            </w:r>
          </w:p>
        </w:tc>
      </w:tr>
      <w:tr w14:paraId="7F6F632E">
        <w:tblPrEx>
          <w:tblCellMar>
            <w:top w:w="0" w:type="dxa"/>
            <w:left w:w="108" w:type="dxa"/>
            <w:bottom w:w="0" w:type="dxa"/>
            <w:right w:w="108" w:type="dxa"/>
          </w:tblCellMar>
        </w:tblPrEx>
        <w:tc>
          <w:tcPr>
            <w:tcW w:w="3402" w:type="dxa"/>
          </w:tcPr>
          <w:p w14:paraId="186B7F60">
            <w:pPr>
              <w:spacing w:line="480" w:lineRule="auto"/>
              <w:jc w:val="right"/>
              <w:rPr>
                <w:rFonts w:ascii="Arial" w:hAnsi="Arial" w:cs="Arial"/>
                <w:sz w:val="21"/>
                <w:szCs w:val="21"/>
              </w:rPr>
            </w:pPr>
            <w:r>
              <w:rPr>
                <w:rFonts w:ascii="Arial" w:hAnsi="Arial" w:cs="Arial"/>
                <w:sz w:val="21"/>
                <w:szCs w:val="21"/>
              </w:rPr>
              <w:t>二</w:t>
            </w:r>
            <w:r>
              <w:rPr>
                <w:rFonts w:hint="eastAsia" w:ascii="Arial" w:hAnsi="Arial" w:cs="Arial"/>
                <w:sz w:val="21"/>
                <w:szCs w:val="21"/>
              </w:rPr>
              <w:t>○二五</w:t>
            </w:r>
            <w:r>
              <w:rPr>
                <w:rFonts w:ascii="Arial" w:hAnsi="Arial" w:cs="Arial"/>
                <w:sz w:val="21"/>
                <w:szCs w:val="21"/>
              </w:rPr>
              <w:t>年</w:t>
            </w:r>
            <w:r>
              <w:rPr>
                <w:rFonts w:hint="eastAsia" w:ascii="Arial" w:hAnsi="Arial" w:cs="Arial"/>
                <w:sz w:val="21"/>
                <w:szCs w:val="21"/>
              </w:rPr>
              <w:t>十二月九日</w:t>
            </w:r>
          </w:p>
        </w:tc>
      </w:tr>
    </w:tbl>
    <w:p w14:paraId="3519F791">
      <w:pPr>
        <w:spacing w:line="360" w:lineRule="auto"/>
        <w:jc w:val="right"/>
        <w:rPr>
          <w:rFonts w:ascii="Arial" w:hAnsi="Arial"/>
        </w:rPr>
      </w:pPr>
      <w:r>
        <w:rPr>
          <w:rFonts w:hint="eastAsia" w:ascii="Arial" w:hAnsi="Arial" w:eastAsia="楷体_GB2312"/>
          <w:sz w:val="28"/>
        </w:rPr>
        <w:t xml:space="preserve"> </w:t>
      </w:r>
    </w:p>
    <w:p w14:paraId="0E504DD7">
      <w:pPr>
        <w:rPr>
          <w:rFonts w:ascii="Arial" w:hAnsi="Arial"/>
        </w:rPr>
        <w:sectPr>
          <w:headerReference r:id="rId8" w:type="default"/>
          <w:pgSz w:w="11907" w:h="16840"/>
          <w:pgMar w:top="1843" w:right="1134" w:bottom="1191" w:left="1134" w:header="1134" w:footer="964" w:gutter="340"/>
          <w:pgNumType w:start="1"/>
          <w:cols w:space="720" w:num="1"/>
          <w:docGrid w:linePitch="326" w:charSpace="0"/>
        </w:sectPr>
      </w:pPr>
    </w:p>
    <w:p w14:paraId="4DFE0C3A">
      <w:pPr>
        <w:spacing w:line="480" w:lineRule="auto"/>
        <w:jc w:val="center"/>
        <w:outlineLvl w:val="0"/>
        <w:rPr>
          <w:rFonts w:ascii="Arial" w:hAnsi="Arial" w:eastAsia="方正黑体简体"/>
          <w:sz w:val="32"/>
          <w:szCs w:val="32"/>
        </w:rPr>
      </w:pPr>
      <w:r>
        <w:rPr>
          <w:rFonts w:hint="eastAsia" w:ascii="Arial" w:hAnsi="Arial" w:eastAsia="方正黑体简体"/>
          <w:sz w:val="32"/>
          <w:szCs w:val="32"/>
        </w:rPr>
        <w:t>目   录</w:t>
      </w:r>
    </w:p>
    <w:p w14:paraId="5150BDD5">
      <w:pPr>
        <w:pStyle w:val="22"/>
        <w:rPr>
          <w:rFonts w:ascii="Arial" w:hAnsi="Arial" w:eastAsia="宋体" w:cs="Arial"/>
          <w:b w:val="0"/>
          <w:bCs w:val="0"/>
          <w:kern w:val="2"/>
          <w:sz w:val="21"/>
          <w:szCs w:val="21"/>
        </w:rPr>
      </w:pPr>
      <w:r>
        <w:rPr>
          <w:rFonts w:ascii="Arial" w:hAnsi="Arial" w:eastAsia="宋体" w:cs="Arial"/>
          <w:sz w:val="21"/>
          <w:szCs w:val="21"/>
        </w:rPr>
        <w:fldChar w:fldCharType="begin"/>
      </w:r>
      <w:r>
        <w:rPr>
          <w:rFonts w:ascii="Arial" w:hAnsi="Arial" w:eastAsia="宋体" w:cs="Arial"/>
          <w:sz w:val="21"/>
          <w:szCs w:val="21"/>
        </w:rPr>
        <w:instrText xml:space="preserve"> TOC \o "1-3" \h \z </w:instrText>
      </w:r>
      <w:r>
        <w:rPr>
          <w:rFonts w:ascii="Arial" w:hAnsi="Arial" w:eastAsia="宋体" w:cs="Arial"/>
          <w:sz w:val="21"/>
          <w:szCs w:val="21"/>
        </w:rPr>
        <w:fldChar w:fldCharType="separate"/>
      </w:r>
      <w:r>
        <w:fldChar w:fldCharType="begin"/>
      </w:r>
      <w:r>
        <w:instrText xml:space="preserve"> HYPERLINK \l "_Toc500322960" </w:instrText>
      </w:r>
      <w:r>
        <w:fldChar w:fldCharType="separate"/>
      </w:r>
      <w:r>
        <w:rPr>
          <w:rStyle w:val="38"/>
          <w:rFonts w:ascii="Arial" w:hAnsi="Arial" w:eastAsia="宋体" w:cs="Arial"/>
          <w:color w:val="auto"/>
          <w:sz w:val="21"/>
          <w:szCs w:val="21"/>
        </w:rPr>
        <w:t>估价师声明</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_Toc500322960 \h </w:instrText>
      </w:r>
      <w:r>
        <w:rPr>
          <w:rFonts w:ascii="Arial" w:hAnsi="Arial" w:eastAsia="宋体" w:cs="Arial"/>
          <w:sz w:val="21"/>
          <w:szCs w:val="21"/>
        </w:rPr>
        <w:fldChar w:fldCharType="separate"/>
      </w:r>
      <w:r>
        <w:rPr>
          <w:rFonts w:ascii="Arial" w:hAnsi="Arial" w:eastAsia="宋体" w:cs="Arial"/>
          <w:sz w:val="21"/>
          <w:szCs w:val="21"/>
        </w:rPr>
        <w:t>4</w:t>
      </w:r>
      <w:r>
        <w:rPr>
          <w:rFonts w:ascii="Arial" w:hAnsi="Arial" w:eastAsia="宋体" w:cs="Arial"/>
          <w:sz w:val="21"/>
          <w:szCs w:val="21"/>
        </w:rPr>
        <w:fldChar w:fldCharType="end"/>
      </w:r>
      <w:r>
        <w:rPr>
          <w:rFonts w:ascii="Arial" w:hAnsi="Arial" w:eastAsia="宋体" w:cs="Arial"/>
          <w:sz w:val="21"/>
          <w:szCs w:val="21"/>
        </w:rPr>
        <w:fldChar w:fldCharType="end"/>
      </w:r>
    </w:p>
    <w:p w14:paraId="4D72F3BE">
      <w:pPr>
        <w:pStyle w:val="22"/>
        <w:rPr>
          <w:rFonts w:ascii="Arial" w:hAnsi="Arial" w:eastAsia="宋体" w:cs="Arial"/>
          <w:b w:val="0"/>
          <w:bCs w:val="0"/>
          <w:kern w:val="2"/>
          <w:sz w:val="21"/>
          <w:szCs w:val="21"/>
        </w:rPr>
      </w:pPr>
      <w:r>
        <w:fldChar w:fldCharType="begin"/>
      </w:r>
      <w:r>
        <w:instrText xml:space="preserve"> HYPERLINK \l "_Toc500322961" </w:instrText>
      </w:r>
      <w:r>
        <w:fldChar w:fldCharType="separate"/>
      </w:r>
      <w:r>
        <w:rPr>
          <w:rStyle w:val="38"/>
          <w:rFonts w:ascii="Arial" w:hAnsi="Arial" w:eastAsia="宋体" w:cs="Arial"/>
          <w:color w:val="auto"/>
          <w:sz w:val="21"/>
          <w:szCs w:val="21"/>
        </w:rPr>
        <w:t>估价假设和限制条件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_Toc500322961 \h </w:instrText>
      </w:r>
      <w:r>
        <w:rPr>
          <w:rFonts w:ascii="Arial" w:hAnsi="Arial" w:eastAsia="宋体" w:cs="Arial"/>
          <w:sz w:val="21"/>
          <w:szCs w:val="21"/>
        </w:rPr>
        <w:fldChar w:fldCharType="separate"/>
      </w:r>
      <w:r>
        <w:rPr>
          <w:rFonts w:ascii="Arial" w:hAnsi="Arial" w:eastAsia="宋体" w:cs="Arial"/>
          <w:sz w:val="21"/>
          <w:szCs w:val="21"/>
        </w:rPr>
        <w:t>5</w:t>
      </w:r>
      <w:r>
        <w:rPr>
          <w:rFonts w:ascii="Arial" w:hAnsi="Arial" w:eastAsia="宋体" w:cs="Arial"/>
          <w:sz w:val="21"/>
          <w:szCs w:val="21"/>
        </w:rPr>
        <w:fldChar w:fldCharType="end"/>
      </w:r>
      <w:r>
        <w:rPr>
          <w:rFonts w:ascii="Arial" w:hAnsi="Arial" w:eastAsia="宋体" w:cs="Arial"/>
          <w:sz w:val="21"/>
          <w:szCs w:val="21"/>
        </w:rPr>
        <w:fldChar w:fldCharType="end"/>
      </w:r>
    </w:p>
    <w:p w14:paraId="7535C33F">
      <w:pPr>
        <w:pStyle w:val="22"/>
        <w:rPr>
          <w:rFonts w:ascii="Arial" w:hAnsi="Arial" w:eastAsia="宋体" w:cs="Arial"/>
          <w:b w:val="0"/>
          <w:bCs w:val="0"/>
          <w:kern w:val="2"/>
          <w:sz w:val="21"/>
          <w:szCs w:val="21"/>
        </w:rPr>
      </w:pPr>
      <w:r>
        <w:fldChar w:fldCharType="begin"/>
      </w:r>
      <w:r>
        <w:instrText xml:space="preserve"> HYPERLINK \l "_Toc500322962" </w:instrText>
      </w:r>
      <w:r>
        <w:fldChar w:fldCharType="separate"/>
      </w:r>
      <w:r>
        <w:rPr>
          <w:rStyle w:val="38"/>
          <w:rFonts w:ascii="Arial" w:hAnsi="Arial" w:eastAsia="宋体" w:cs="Arial"/>
          <w:color w:val="auto"/>
          <w:sz w:val="21"/>
          <w:szCs w:val="21"/>
        </w:rPr>
        <w:t>估价结果报告</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_Toc500322962 \h </w:instrText>
      </w:r>
      <w:r>
        <w:rPr>
          <w:rFonts w:ascii="Arial" w:hAnsi="Arial" w:eastAsia="宋体" w:cs="Arial"/>
          <w:sz w:val="21"/>
          <w:szCs w:val="21"/>
        </w:rPr>
        <w:fldChar w:fldCharType="separate"/>
      </w:r>
      <w:r>
        <w:rPr>
          <w:rFonts w:ascii="Arial" w:hAnsi="Arial" w:eastAsia="宋体" w:cs="Arial"/>
          <w:sz w:val="21"/>
          <w:szCs w:val="21"/>
        </w:rPr>
        <w:t>8</w:t>
      </w:r>
      <w:r>
        <w:rPr>
          <w:rFonts w:ascii="Arial" w:hAnsi="Arial" w:eastAsia="宋体" w:cs="Arial"/>
          <w:sz w:val="21"/>
          <w:szCs w:val="21"/>
        </w:rPr>
        <w:fldChar w:fldCharType="end"/>
      </w:r>
      <w:r>
        <w:rPr>
          <w:rFonts w:ascii="Arial" w:hAnsi="Arial" w:eastAsia="宋体" w:cs="Arial"/>
          <w:sz w:val="21"/>
          <w:szCs w:val="21"/>
        </w:rPr>
        <w:fldChar w:fldCharType="end"/>
      </w:r>
    </w:p>
    <w:p w14:paraId="75F0B380">
      <w:pPr>
        <w:pStyle w:val="26"/>
        <w:rPr>
          <w:rFonts w:ascii="Arial" w:hAnsi="Arial" w:cs="Arial"/>
          <w:kern w:val="2"/>
          <w:sz w:val="21"/>
          <w:szCs w:val="21"/>
        </w:rPr>
      </w:pPr>
      <w:r>
        <w:fldChar w:fldCharType="begin"/>
      </w:r>
      <w:r>
        <w:instrText xml:space="preserve"> HYPERLINK \l "_Toc500322963" </w:instrText>
      </w:r>
      <w:r>
        <w:fldChar w:fldCharType="separate"/>
      </w:r>
      <w:r>
        <w:rPr>
          <w:rStyle w:val="38"/>
          <w:rFonts w:ascii="Arial" w:hAnsi="Arial" w:cs="Arial"/>
          <w:color w:val="auto"/>
          <w:sz w:val="21"/>
          <w:szCs w:val="21"/>
        </w:rPr>
        <w:t>一、估价委托人</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_Toc500322963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14:paraId="69F7690F">
      <w:pPr>
        <w:pStyle w:val="26"/>
        <w:rPr>
          <w:rFonts w:ascii="Arial" w:hAnsi="Arial" w:cs="Arial"/>
          <w:kern w:val="2"/>
          <w:sz w:val="21"/>
          <w:szCs w:val="21"/>
        </w:rPr>
      </w:pPr>
      <w:r>
        <w:fldChar w:fldCharType="begin"/>
      </w:r>
      <w:r>
        <w:instrText xml:space="preserve"> HYPERLINK \l "_Toc500322964" </w:instrText>
      </w:r>
      <w:r>
        <w:fldChar w:fldCharType="separate"/>
      </w:r>
      <w:r>
        <w:rPr>
          <w:rStyle w:val="38"/>
          <w:rFonts w:ascii="Arial" w:hAnsi="Arial" w:cs="Arial"/>
          <w:color w:val="auto"/>
          <w:sz w:val="21"/>
          <w:szCs w:val="21"/>
        </w:rPr>
        <w:t>二、房地产估价机构</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_Toc500322964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14:paraId="47BA9454">
      <w:pPr>
        <w:pStyle w:val="26"/>
        <w:rPr>
          <w:rFonts w:ascii="Arial" w:hAnsi="Arial" w:cs="Arial"/>
          <w:kern w:val="2"/>
          <w:sz w:val="21"/>
          <w:szCs w:val="21"/>
        </w:rPr>
      </w:pPr>
      <w:r>
        <w:fldChar w:fldCharType="begin"/>
      </w:r>
      <w:r>
        <w:instrText xml:space="preserve"> HYPERLINK \l "_Toc500322965" </w:instrText>
      </w:r>
      <w:r>
        <w:fldChar w:fldCharType="separate"/>
      </w:r>
      <w:r>
        <w:rPr>
          <w:rStyle w:val="38"/>
          <w:rFonts w:ascii="Arial" w:hAnsi="Arial" w:cs="Arial"/>
          <w:color w:val="auto"/>
          <w:sz w:val="21"/>
          <w:szCs w:val="21"/>
        </w:rPr>
        <w:t>三、估价目的</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_Toc500322965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14:paraId="32D576DF">
      <w:pPr>
        <w:pStyle w:val="26"/>
        <w:rPr>
          <w:rFonts w:ascii="Arial" w:hAnsi="Arial" w:cs="Arial"/>
          <w:kern w:val="2"/>
          <w:sz w:val="21"/>
          <w:szCs w:val="21"/>
        </w:rPr>
      </w:pPr>
      <w:r>
        <w:fldChar w:fldCharType="begin"/>
      </w:r>
      <w:r>
        <w:instrText xml:space="preserve"> HYPERLINK \l "_Toc500322966" </w:instrText>
      </w:r>
      <w:r>
        <w:fldChar w:fldCharType="separate"/>
      </w:r>
      <w:r>
        <w:rPr>
          <w:rStyle w:val="38"/>
          <w:rFonts w:ascii="Arial" w:hAnsi="Arial" w:cs="Arial"/>
          <w:color w:val="auto"/>
          <w:sz w:val="21"/>
          <w:szCs w:val="21"/>
        </w:rPr>
        <w:t>四、估价</w:t>
      </w:r>
      <w:bookmarkStart w:id="17" w:name="_Hlt212136602"/>
      <w:bookmarkStart w:id="18" w:name="_Hlt212146359"/>
      <w:bookmarkStart w:id="19" w:name="_Hlt212136601"/>
      <w:r>
        <w:rPr>
          <w:rStyle w:val="38"/>
          <w:rFonts w:ascii="Arial" w:hAnsi="Arial" w:cs="Arial"/>
          <w:color w:val="auto"/>
          <w:sz w:val="21"/>
          <w:szCs w:val="21"/>
        </w:rPr>
        <w:t>对</w:t>
      </w:r>
      <w:bookmarkEnd w:id="17"/>
      <w:bookmarkEnd w:id="18"/>
      <w:bookmarkEnd w:id="19"/>
      <w:r>
        <w:rPr>
          <w:rStyle w:val="38"/>
          <w:rFonts w:ascii="Arial" w:hAnsi="Arial" w:cs="Arial"/>
          <w:color w:val="auto"/>
          <w:sz w:val="21"/>
          <w:szCs w:val="21"/>
        </w:rPr>
        <w:t>象</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_Toc500322966 \h </w:instrText>
      </w:r>
      <w:r>
        <w:rPr>
          <w:rFonts w:ascii="Arial" w:hAnsi="Arial" w:cs="Arial"/>
          <w:sz w:val="21"/>
          <w:szCs w:val="21"/>
        </w:rPr>
        <w:fldChar w:fldCharType="separate"/>
      </w:r>
      <w:r>
        <w:rPr>
          <w:rFonts w:ascii="Arial" w:hAnsi="Arial" w:cs="Arial"/>
          <w:sz w:val="21"/>
          <w:szCs w:val="21"/>
        </w:rPr>
        <w:t>8</w:t>
      </w:r>
      <w:r>
        <w:rPr>
          <w:rFonts w:ascii="Arial" w:hAnsi="Arial" w:cs="Arial"/>
          <w:sz w:val="21"/>
          <w:szCs w:val="21"/>
        </w:rPr>
        <w:fldChar w:fldCharType="end"/>
      </w:r>
      <w:r>
        <w:rPr>
          <w:rFonts w:ascii="Arial" w:hAnsi="Arial" w:cs="Arial"/>
          <w:sz w:val="21"/>
          <w:szCs w:val="21"/>
        </w:rPr>
        <w:fldChar w:fldCharType="end"/>
      </w:r>
    </w:p>
    <w:p w14:paraId="22DFEAFB">
      <w:pPr>
        <w:pStyle w:val="26"/>
        <w:rPr>
          <w:rFonts w:ascii="Arial" w:hAnsi="Arial" w:cs="Arial"/>
          <w:kern w:val="2"/>
          <w:sz w:val="21"/>
          <w:szCs w:val="21"/>
        </w:rPr>
      </w:pPr>
      <w:r>
        <w:fldChar w:fldCharType="begin"/>
      </w:r>
      <w:r>
        <w:instrText xml:space="preserve"> HYPERLINK \l "_Toc500322967" </w:instrText>
      </w:r>
      <w:r>
        <w:fldChar w:fldCharType="separate"/>
      </w:r>
      <w:r>
        <w:rPr>
          <w:rStyle w:val="38"/>
          <w:rFonts w:ascii="Arial" w:hAnsi="Arial" w:cs="Arial"/>
          <w:color w:val="auto"/>
          <w:sz w:val="21"/>
          <w:szCs w:val="21"/>
        </w:rPr>
        <w:t>五、影响房地产价格因素分析</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_Toc500322967 \h </w:instrText>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r>
        <w:rPr>
          <w:rFonts w:ascii="Arial" w:hAnsi="Arial" w:cs="Arial"/>
          <w:sz w:val="21"/>
          <w:szCs w:val="21"/>
        </w:rPr>
        <w:fldChar w:fldCharType="end"/>
      </w:r>
    </w:p>
    <w:p w14:paraId="31D23995">
      <w:pPr>
        <w:pStyle w:val="26"/>
        <w:rPr>
          <w:rFonts w:ascii="Arial" w:hAnsi="Arial" w:cs="Arial"/>
          <w:kern w:val="2"/>
          <w:sz w:val="21"/>
          <w:szCs w:val="21"/>
        </w:rPr>
      </w:pPr>
      <w:r>
        <w:fldChar w:fldCharType="begin"/>
      </w:r>
      <w:r>
        <w:instrText xml:space="preserve"> HYPERLINK \l "_Toc500322968" </w:instrText>
      </w:r>
      <w:r>
        <w:fldChar w:fldCharType="separate"/>
      </w:r>
      <w:r>
        <w:rPr>
          <w:rStyle w:val="38"/>
          <w:rFonts w:ascii="Arial" w:hAnsi="Arial" w:cs="Arial"/>
          <w:color w:val="auto"/>
          <w:sz w:val="21"/>
          <w:szCs w:val="21"/>
        </w:rPr>
        <w:t>六、价值时点</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_Toc500322968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14:paraId="5EC9C0D3">
      <w:pPr>
        <w:pStyle w:val="26"/>
        <w:rPr>
          <w:rFonts w:ascii="Arial" w:hAnsi="Arial" w:cs="Arial"/>
          <w:kern w:val="2"/>
          <w:sz w:val="21"/>
          <w:szCs w:val="21"/>
        </w:rPr>
      </w:pPr>
      <w:r>
        <w:fldChar w:fldCharType="begin"/>
      </w:r>
      <w:r>
        <w:instrText xml:space="preserve"> HYPERLINK \l "_Toc500322969" </w:instrText>
      </w:r>
      <w:r>
        <w:fldChar w:fldCharType="separate"/>
      </w:r>
      <w:r>
        <w:rPr>
          <w:rStyle w:val="38"/>
          <w:rFonts w:ascii="Arial" w:hAnsi="Arial" w:cs="Arial"/>
          <w:color w:val="auto"/>
          <w:sz w:val="21"/>
          <w:szCs w:val="21"/>
        </w:rPr>
        <w:t>七、价值类型</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_Toc500322969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14:paraId="3817CAAF">
      <w:pPr>
        <w:pStyle w:val="26"/>
        <w:rPr>
          <w:rFonts w:ascii="Arial" w:hAnsi="Arial" w:cs="Arial"/>
          <w:kern w:val="2"/>
          <w:sz w:val="21"/>
          <w:szCs w:val="21"/>
        </w:rPr>
      </w:pPr>
      <w:r>
        <w:fldChar w:fldCharType="begin"/>
      </w:r>
      <w:r>
        <w:instrText xml:space="preserve"> HYPERLINK \l "_Toc500322970" </w:instrText>
      </w:r>
      <w:r>
        <w:fldChar w:fldCharType="separate"/>
      </w:r>
      <w:r>
        <w:rPr>
          <w:rStyle w:val="38"/>
          <w:rFonts w:ascii="Arial" w:hAnsi="Arial" w:cs="Arial"/>
          <w:color w:val="auto"/>
          <w:sz w:val="21"/>
          <w:szCs w:val="21"/>
        </w:rPr>
        <w:t>八、估价原则</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_Toc500322970 \h </w:instrText>
      </w:r>
      <w:r>
        <w:rPr>
          <w:rFonts w:ascii="Arial" w:hAnsi="Arial" w:cs="Arial"/>
          <w:sz w:val="21"/>
          <w:szCs w:val="21"/>
        </w:rPr>
        <w:fldChar w:fldCharType="separate"/>
      </w:r>
      <w:r>
        <w:rPr>
          <w:rFonts w:ascii="Arial" w:hAnsi="Arial" w:cs="Arial"/>
          <w:sz w:val="21"/>
          <w:szCs w:val="21"/>
        </w:rPr>
        <w:t>25</w:t>
      </w:r>
      <w:r>
        <w:rPr>
          <w:rFonts w:ascii="Arial" w:hAnsi="Arial" w:cs="Arial"/>
          <w:sz w:val="21"/>
          <w:szCs w:val="21"/>
        </w:rPr>
        <w:fldChar w:fldCharType="end"/>
      </w:r>
      <w:r>
        <w:rPr>
          <w:rFonts w:ascii="Arial" w:hAnsi="Arial" w:cs="Arial"/>
          <w:sz w:val="21"/>
          <w:szCs w:val="21"/>
        </w:rPr>
        <w:fldChar w:fldCharType="end"/>
      </w:r>
    </w:p>
    <w:p w14:paraId="2E69E7CA">
      <w:pPr>
        <w:pStyle w:val="26"/>
        <w:rPr>
          <w:rFonts w:ascii="Arial" w:hAnsi="Arial" w:cs="Arial"/>
          <w:kern w:val="2"/>
          <w:sz w:val="21"/>
          <w:szCs w:val="21"/>
        </w:rPr>
      </w:pPr>
      <w:r>
        <w:fldChar w:fldCharType="begin"/>
      </w:r>
      <w:r>
        <w:instrText xml:space="preserve"> HYPERLINK \l "_Toc500322971" </w:instrText>
      </w:r>
      <w:r>
        <w:fldChar w:fldCharType="separate"/>
      </w:r>
      <w:r>
        <w:rPr>
          <w:rStyle w:val="38"/>
          <w:rFonts w:ascii="Arial" w:hAnsi="Arial" w:cs="Arial"/>
          <w:color w:val="auto"/>
          <w:sz w:val="21"/>
          <w:szCs w:val="21"/>
        </w:rPr>
        <w:t>九、估价依</w:t>
      </w:r>
      <w:bookmarkStart w:id="20" w:name="_Hlt129680897"/>
      <w:bookmarkStart w:id="21" w:name="_Hlt129680896"/>
      <w:r>
        <w:rPr>
          <w:rStyle w:val="38"/>
          <w:rFonts w:ascii="Arial" w:hAnsi="Arial" w:cs="Arial"/>
          <w:color w:val="auto"/>
          <w:sz w:val="21"/>
          <w:szCs w:val="21"/>
        </w:rPr>
        <w:t>据</w:t>
      </w:r>
      <w:bookmarkEnd w:id="20"/>
      <w:bookmarkEnd w:id="21"/>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_Toc500322971 \h </w:instrText>
      </w:r>
      <w:r>
        <w:rPr>
          <w:rFonts w:ascii="Arial" w:hAnsi="Arial" w:cs="Arial"/>
          <w:sz w:val="21"/>
          <w:szCs w:val="21"/>
        </w:rPr>
        <w:fldChar w:fldCharType="separate"/>
      </w:r>
      <w:r>
        <w:rPr>
          <w:rFonts w:ascii="Arial" w:hAnsi="Arial" w:cs="Arial"/>
          <w:sz w:val="21"/>
          <w:szCs w:val="21"/>
        </w:rPr>
        <w:t>27</w:t>
      </w:r>
      <w:r>
        <w:rPr>
          <w:rFonts w:ascii="Arial" w:hAnsi="Arial" w:cs="Arial"/>
          <w:sz w:val="21"/>
          <w:szCs w:val="21"/>
        </w:rPr>
        <w:fldChar w:fldCharType="end"/>
      </w:r>
      <w:r>
        <w:rPr>
          <w:rFonts w:ascii="Arial" w:hAnsi="Arial" w:cs="Arial"/>
          <w:sz w:val="21"/>
          <w:szCs w:val="21"/>
        </w:rPr>
        <w:fldChar w:fldCharType="end"/>
      </w:r>
    </w:p>
    <w:p w14:paraId="5643899D">
      <w:pPr>
        <w:pStyle w:val="26"/>
        <w:rPr>
          <w:rFonts w:ascii="Arial" w:hAnsi="Arial" w:cs="Arial"/>
          <w:kern w:val="2"/>
          <w:sz w:val="21"/>
          <w:szCs w:val="21"/>
        </w:rPr>
      </w:pPr>
      <w:r>
        <w:fldChar w:fldCharType="begin"/>
      </w:r>
      <w:r>
        <w:instrText xml:space="preserve"> HYPERLINK \l "_Toc500322972" </w:instrText>
      </w:r>
      <w:r>
        <w:fldChar w:fldCharType="separate"/>
      </w:r>
      <w:r>
        <w:rPr>
          <w:rStyle w:val="38"/>
          <w:rFonts w:ascii="Arial" w:hAnsi="Arial" w:cs="Arial"/>
          <w:color w:val="auto"/>
          <w:sz w:val="21"/>
          <w:szCs w:val="21"/>
        </w:rPr>
        <w:t>十、估价方法</w:t>
      </w:r>
      <w:r>
        <w:rPr>
          <w:rFonts w:ascii="Arial" w:hAnsi="Arial" w:cs="Arial"/>
          <w:sz w:val="21"/>
          <w:szCs w:val="21"/>
        </w:rPr>
        <w:tab/>
      </w:r>
      <w:bookmarkStart w:id="65" w:name="_GoBack"/>
      <w:bookmarkEnd w:id="65"/>
      <w:r>
        <w:rPr>
          <w:rFonts w:ascii="Arial" w:hAnsi="Arial" w:cs="Arial"/>
          <w:sz w:val="21"/>
          <w:szCs w:val="21"/>
        </w:rPr>
        <w:fldChar w:fldCharType="begin"/>
      </w:r>
      <w:r>
        <w:rPr>
          <w:rFonts w:ascii="Arial" w:hAnsi="Arial" w:cs="Arial"/>
          <w:sz w:val="21"/>
          <w:szCs w:val="21"/>
        </w:rPr>
        <w:instrText xml:space="preserve"> PAGEREF _Toc500322972 \h </w:instrText>
      </w:r>
      <w:r>
        <w:rPr>
          <w:rFonts w:ascii="Arial" w:hAnsi="Arial" w:cs="Arial"/>
          <w:sz w:val="21"/>
          <w:szCs w:val="21"/>
        </w:rPr>
        <w:fldChar w:fldCharType="separate"/>
      </w:r>
      <w:r>
        <w:rPr>
          <w:rFonts w:ascii="Arial" w:hAnsi="Arial" w:cs="Arial"/>
          <w:sz w:val="21"/>
          <w:szCs w:val="21"/>
        </w:rPr>
        <w:t>28</w:t>
      </w:r>
      <w:r>
        <w:rPr>
          <w:rFonts w:ascii="Arial" w:hAnsi="Arial" w:cs="Arial"/>
          <w:sz w:val="21"/>
          <w:szCs w:val="21"/>
        </w:rPr>
        <w:fldChar w:fldCharType="end"/>
      </w:r>
      <w:r>
        <w:rPr>
          <w:rFonts w:ascii="Arial" w:hAnsi="Arial" w:cs="Arial"/>
          <w:sz w:val="21"/>
          <w:szCs w:val="21"/>
        </w:rPr>
        <w:fldChar w:fldCharType="end"/>
      </w:r>
    </w:p>
    <w:p w14:paraId="0D69021D">
      <w:pPr>
        <w:pStyle w:val="26"/>
        <w:rPr>
          <w:rFonts w:ascii="Arial" w:hAnsi="Arial" w:cs="Arial"/>
          <w:kern w:val="2"/>
          <w:sz w:val="21"/>
          <w:szCs w:val="21"/>
        </w:rPr>
      </w:pPr>
      <w:r>
        <w:fldChar w:fldCharType="begin"/>
      </w:r>
      <w:r>
        <w:instrText xml:space="preserve"> HYPERLINK \l "_Toc500322973" </w:instrText>
      </w:r>
      <w:r>
        <w:fldChar w:fldCharType="separate"/>
      </w:r>
      <w:r>
        <w:rPr>
          <w:rStyle w:val="38"/>
          <w:rFonts w:ascii="Arial" w:hAnsi="Arial" w:cs="Arial"/>
          <w:color w:val="auto"/>
          <w:sz w:val="21"/>
          <w:szCs w:val="21"/>
        </w:rPr>
        <w:t>十一、估价结果</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_Toc500322973 \h </w:instrText>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r>
        <w:rPr>
          <w:rFonts w:ascii="Arial" w:hAnsi="Arial" w:cs="Arial"/>
          <w:sz w:val="21"/>
          <w:szCs w:val="21"/>
        </w:rPr>
        <w:fldChar w:fldCharType="end"/>
      </w:r>
    </w:p>
    <w:p w14:paraId="79D31548">
      <w:pPr>
        <w:pStyle w:val="26"/>
        <w:rPr>
          <w:rFonts w:ascii="Arial" w:hAnsi="Arial" w:cs="Arial"/>
          <w:kern w:val="2"/>
          <w:sz w:val="21"/>
          <w:szCs w:val="21"/>
        </w:rPr>
      </w:pPr>
      <w:r>
        <w:fldChar w:fldCharType="begin"/>
      </w:r>
      <w:r>
        <w:instrText xml:space="preserve"> HYPERLINK \l "_Toc500322974" </w:instrText>
      </w:r>
      <w:r>
        <w:fldChar w:fldCharType="separate"/>
      </w:r>
      <w:r>
        <w:rPr>
          <w:rStyle w:val="38"/>
          <w:rFonts w:ascii="Arial" w:hAnsi="Arial" w:cs="Arial"/>
          <w:color w:val="auto"/>
          <w:sz w:val="21"/>
          <w:szCs w:val="21"/>
        </w:rPr>
        <w:t>十二、参与本次估价工作的评估专业人员</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_Toc500322974 \h </w:instrText>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r>
        <w:rPr>
          <w:rFonts w:ascii="Arial" w:hAnsi="Arial" w:cs="Arial"/>
          <w:sz w:val="21"/>
          <w:szCs w:val="21"/>
        </w:rPr>
        <w:fldChar w:fldCharType="end"/>
      </w:r>
    </w:p>
    <w:p w14:paraId="3FC4B6F4">
      <w:pPr>
        <w:pStyle w:val="26"/>
        <w:rPr>
          <w:rFonts w:ascii="Arial" w:hAnsi="Arial" w:cs="Arial"/>
          <w:kern w:val="2"/>
          <w:sz w:val="21"/>
          <w:szCs w:val="21"/>
        </w:rPr>
      </w:pPr>
      <w:r>
        <w:fldChar w:fldCharType="begin"/>
      </w:r>
      <w:r>
        <w:instrText xml:space="preserve"> HYPERLINK \l "_Toc500322975" </w:instrText>
      </w:r>
      <w:r>
        <w:fldChar w:fldCharType="separate"/>
      </w:r>
      <w:r>
        <w:rPr>
          <w:rStyle w:val="38"/>
          <w:rFonts w:ascii="Arial" w:hAnsi="Arial" w:cs="Arial"/>
          <w:color w:val="auto"/>
          <w:sz w:val="21"/>
          <w:szCs w:val="21"/>
        </w:rPr>
        <w:t>十三、实地查勘期</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_Toc500322975 \h </w:instrText>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r>
        <w:rPr>
          <w:rFonts w:ascii="Arial" w:hAnsi="Arial" w:cs="Arial"/>
          <w:sz w:val="21"/>
          <w:szCs w:val="21"/>
        </w:rPr>
        <w:fldChar w:fldCharType="end"/>
      </w:r>
    </w:p>
    <w:p w14:paraId="7B6A3578">
      <w:pPr>
        <w:pStyle w:val="26"/>
        <w:rPr>
          <w:rFonts w:ascii="Arial" w:hAnsi="Arial" w:cs="Arial"/>
          <w:kern w:val="2"/>
          <w:sz w:val="21"/>
          <w:szCs w:val="21"/>
        </w:rPr>
      </w:pPr>
      <w:r>
        <w:fldChar w:fldCharType="begin"/>
      </w:r>
      <w:r>
        <w:instrText xml:space="preserve"> HYPERLINK \l "_Toc500322976" </w:instrText>
      </w:r>
      <w:r>
        <w:fldChar w:fldCharType="separate"/>
      </w:r>
      <w:r>
        <w:rPr>
          <w:rStyle w:val="38"/>
          <w:rFonts w:ascii="Arial" w:hAnsi="Arial" w:cs="Arial"/>
          <w:color w:val="auto"/>
          <w:sz w:val="21"/>
          <w:szCs w:val="21"/>
        </w:rPr>
        <w:t>十四、估价作业期</w:t>
      </w:r>
      <w:r>
        <w:rPr>
          <w:rFonts w:ascii="Arial" w:hAnsi="Arial" w:cs="Arial"/>
          <w:sz w:val="21"/>
          <w:szCs w:val="21"/>
        </w:rPr>
        <w:tab/>
      </w:r>
      <w:r>
        <w:rPr>
          <w:rFonts w:ascii="Arial" w:hAnsi="Arial" w:cs="Arial"/>
          <w:sz w:val="21"/>
          <w:szCs w:val="21"/>
        </w:rPr>
        <w:fldChar w:fldCharType="begin"/>
      </w:r>
      <w:r>
        <w:rPr>
          <w:rFonts w:ascii="Arial" w:hAnsi="Arial" w:cs="Arial"/>
          <w:sz w:val="21"/>
          <w:szCs w:val="21"/>
        </w:rPr>
        <w:instrText xml:space="preserve"> PAGEREF _Toc500322976 \h </w:instrText>
      </w:r>
      <w:r>
        <w:rPr>
          <w:rFonts w:ascii="Arial" w:hAnsi="Arial" w:cs="Arial"/>
          <w:sz w:val="21"/>
          <w:szCs w:val="21"/>
        </w:rPr>
        <w:fldChar w:fldCharType="separate"/>
      </w:r>
      <w:r>
        <w:rPr>
          <w:rFonts w:ascii="Arial" w:hAnsi="Arial" w:cs="Arial"/>
          <w:sz w:val="21"/>
          <w:szCs w:val="21"/>
        </w:rPr>
        <w:t>29</w:t>
      </w:r>
      <w:r>
        <w:rPr>
          <w:rFonts w:ascii="Arial" w:hAnsi="Arial" w:cs="Arial"/>
          <w:sz w:val="21"/>
          <w:szCs w:val="21"/>
        </w:rPr>
        <w:fldChar w:fldCharType="end"/>
      </w:r>
      <w:r>
        <w:rPr>
          <w:rFonts w:ascii="Arial" w:hAnsi="Arial" w:cs="Arial"/>
          <w:sz w:val="21"/>
          <w:szCs w:val="21"/>
        </w:rPr>
        <w:fldChar w:fldCharType="end"/>
      </w:r>
    </w:p>
    <w:p w14:paraId="391A3EDB">
      <w:pPr>
        <w:pStyle w:val="22"/>
        <w:rPr>
          <w:rFonts w:ascii="Arial" w:hAnsi="Arial" w:eastAsia="宋体" w:cs="Arial"/>
          <w:b w:val="0"/>
          <w:bCs w:val="0"/>
          <w:kern w:val="2"/>
          <w:sz w:val="21"/>
          <w:szCs w:val="21"/>
        </w:rPr>
      </w:pPr>
      <w:r>
        <w:fldChar w:fldCharType="begin"/>
      </w:r>
      <w:r>
        <w:instrText xml:space="preserve"> HYPERLINK \l "_Toc500322977" </w:instrText>
      </w:r>
      <w:r>
        <w:fldChar w:fldCharType="separate"/>
      </w:r>
      <w:r>
        <w:rPr>
          <w:rStyle w:val="38"/>
          <w:rFonts w:ascii="Arial" w:hAnsi="Arial" w:eastAsia="宋体" w:cs="Arial"/>
          <w:color w:val="auto"/>
          <w:sz w:val="21"/>
          <w:szCs w:val="21"/>
        </w:rPr>
        <w:t>附   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_Toc500322977 \h </w:instrText>
      </w:r>
      <w:r>
        <w:rPr>
          <w:rFonts w:ascii="Arial" w:hAnsi="Arial" w:eastAsia="宋体" w:cs="Arial"/>
          <w:sz w:val="21"/>
          <w:szCs w:val="21"/>
        </w:rPr>
        <w:fldChar w:fldCharType="separate"/>
      </w:r>
      <w:r>
        <w:rPr>
          <w:rFonts w:ascii="Arial" w:hAnsi="Arial" w:eastAsia="宋体" w:cs="Arial"/>
          <w:sz w:val="21"/>
          <w:szCs w:val="21"/>
        </w:rPr>
        <w:t>30</w:t>
      </w:r>
      <w:r>
        <w:rPr>
          <w:rFonts w:ascii="Arial" w:hAnsi="Arial" w:eastAsia="宋体" w:cs="Arial"/>
          <w:sz w:val="21"/>
          <w:szCs w:val="21"/>
        </w:rPr>
        <w:fldChar w:fldCharType="end"/>
      </w:r>
      <w:r>
        <w:rPr>
          <w:rFonts w:ascii="Arial" w:hAnsi="Arial" w:eastAsia="宋体" w:cs="Arial"/>
          <w:sz w:val="21"/>
          <w:szCs w:val="21"/>
        </w:rPr>
        <w:fldChar w:fldCharType="end"/>
      </w:r>
    </w:p>
    <w:p w14:paraId="7049B59F">
      <w:pPr>
        <w:numPr>
          <w:ilvl w:val="0"/>
          <w:numId w:val="6"/>
        </w:numPr>
        <w:spacing w:line="420" w:lineRule="exact"/>
        <w:jc w:val="both"/>
        <w:textAlignment w:val="auto"/>
        <w:rPr>
          <w:rFonts w:ascii="Arial" w:hAnsi="Arial"/>
          <w:sz w:val="21"/>
          <w:szCs w:val="24"/>
        </w:rPr>
      </w:pPr>
      <w:r>
        <w:rPr>
          <w:rFonts w:ascii="Arial" w:hAnsi="Arial" w:cs="Arial"/>
          <w:sz w:val="21"/>
          <w:szCs w:val="21"/>
        </w:rPr>
        <w:fldChar w:fldCharType="end"/>
      </w:r>
      <w:r>
        <w:rPr>
          <w:rFonts w:hint="eastAsia" w:ascii="Arial" w:hAnsi="Arial"/>
          <w:sz w:val="21"/>
          <w:szCs w:val="24"/>
        </w:rPr>
        <w:t>《估价委托书》复印件</w:t>
      </w:r>
    </w:p>
    <w:p w14:paraId="5362D491">
      <w:pPr>
        <w:numPr>
          <w:ilvl w:val="0"/>
          <w:numId w:val="6"/>
        </w:numPr>
        <w:spacing w:line="420" w:lineRule="exact"/>
        <w:jc w:val="both"/>
        <w:textAlignment w:val="auto"/>
        <w:rPr>
          <w:rFonts w:ascii="Arial" w:hAnsi="Arial"/>
          <w:sz w:val="21"/>
          <w:szCs w:val="24"/>
        </w:rPr>
      </w:pPr>
      <w:r>
        <w:rPr>
          <w:rFonts w:hint="eastAsia" w:ascii="Arial" w:hAnsi="Arial"/>
          <w:sz w:val="21"/>
          <w:szCs w:val="24"/>
        </w:rPr>
        <w:t>估价对象所在位置示意图</w:t>
      </w:r>
    </w:p>
    <w:p w14:paraId="3CA50087">
      <w:pPr>
        <w:numPr>
          <w:ilvl w:val="0"/>
          <w:numId w:val="6"/>
        </w:numPr>
        <w:spacing w:line="420" w:lineRule="exact"/>
        <w:jc w:val="both"/>
        <w:textAlignment w:val="auto"/>
        <w:rPr>
          <w:rFonts w:ascii="Arial" w:hAnsi="Arial"/>
          <w:sz w:val="21"/>
          <w:szCs w:val="24"/>
        </w:rPr>
      </w:pPr>
      <w:r>
        <w:rPr>
          <w:rFonts w:hint="eastAsia" w:ascii="Arial" w:hAnsi="Arial"/>
          <w:sz w:val="21"/>
          <w:szCs w:val="24"/>
        </w:rPr>
        <w:t>估价对象实地查勘相关照片</w:t>
      </w:r>
    </w:p>
    <w:p w14:paraId="2EFD9EF1">
      <w:pPr>
        <w:numPr>
          <w:ilvl w:val="0"/>
          <w:numId w:val="6"/>
        </w:numPr>
        <w:spacing w:line="420" w:lineRule="exact"/>
        <w:jc w:val="both"/>
        <w:textAlignment w:val="auto"/>
        <w:rPr>
          <w:rFonts w:ascii="Arial" w:hAnsi="Arial"/>
          <w:sz w:val="21"/>
          <w:szCs w:val="24"/>
        </w:rPr>
      </w:pPr>
      <w:r>
        <w:rPr>
          <w:rFonts w:hint="eastAsia" w:ascii="Arial" w:hAnsi="Arial"/>
          <w:sz w:val="21"/>
          <w:szCs w:val="24"/>
        </w:rPr>
        <w:t>《国有土地使用证》[京海国用(2014划)第 00237 号]复印件</w:t>
      </w:r>
    </w:p>
    <w:p w14:paraId="48E6C896">
      <w:pPr>
        <w:numPr>
          <w:ilvl w:val="0"/>
          <w:numId w:val="6"/>
        </w:numPr>
        <w:spacing w:line="420" w:lineRule="exact"/>
        <w:jc w:val="both"/>
        <w:textAlignment w:val="auto"/>
        <w:rPr>
          <w:rFonts w:ascii="Arial" w:hAnsi="Arial"/>
          <w:sz w:val="21"/>
          <w:szCs w:val="24"/>
        </w:rPr>
      </w:pPr>
      <w:r>
        <w:rPr>
          <w:rFonts w:hint="eastAsia" w:ascii="Arial" w:hAnsi="Arial"/>
          <w:sz w:val="21"/>
          <w:szCs w:val="24"/>
        </w:rPr>
        <w:t>《租赁合同》[合同编号：JXZF-TJJY-20210001]复印件</w:t>
      </w:r>
    </w:p>
    <w:p w14:paraId="09D299DD">
      <w:pPr>
        <w:numPr>
          <w:ilvl w:val="0"/>
          <w:numId w:val="6"/>
        </w:numPr>
        <w:spacing w:line="420" w:lineRule="exact"/>
        <w:jc w:val="both"/>
        <w:textAlignment w:val="auto"/>
        <w:rPr>
          <w:rFonts w:ascii="Arial" w:hAnsi="Arial"/>
          <w:sz w:val="21"/>
          <w:szCs w:val="24"/>
        </w:rPr>
      </w:pPr>
      <w:r>
        <w:rPr>
          <w:rFonts w:hint="eastAsia" w:ascii="Arial" w:hAnsi="Arial"/>
          <w:sz w:val="21"/>
          <w:szCs w:val="24"/>
        </w:rPr>
        <w:t>《名称变更通知》复印件</w:t>
      </w:r>
    </w:p>
    <w:p w14:paraId="1F83F6C9">
      <w:pPr>
        <w:numPr>
          <w:ilvl w:val="0"/>
          <w:numId w:val="6"/>
        </w:numPr>
        <w:spacing w:line="420" w:lineRule="exact"/>
        <w:jc w:val="both"/>
        <w:textAlignment w:val="auto"/>
        <w:rPr>
          <w:rFonts w:ascii="Arial" w:hAnsi="Arial"/>
          <w:sz w:val="21"/>
          <w:szCs w:val="24"/>
        </w:rPr>
      </w:pPr>
      <w:r>
        <w:rPr>
          <w:rFonts w:hint="eastAsia" w:ascii="Arial" w:hAnsi="Arial"/>
          <w:sz w:val="21"/>
          <w:szCs w:val="24"/>
        </w:rPr>
        <w:t>房地产估价机构《营业执照（副本）》复印件</w:t>
      </w:r>
    </w:p>
    <w:p w14:paraId="0703EE0A">
      <w:pPr>
        <w:numPr>
          <w:ilvl w:val="0"/>
          <w:numId w:val="6"/>
        </w:numPr>
        <w:spacing w:line="420" w:lineRule="exact"/>
        <w:jc w:val="both"/>
        <w:textAlignment w:val="auto"/>
        <w:rPr>
          <w:rFonts w:ascii="Arial" w:hAnsi="Arial"/>
          <w:sz w:val="21"/>
          <w:szCs w:val="24"/>
        </w:rPr>
      </w:pPr>
      <w:r>
        <w:rPr>
          <w:rFonts w:hint="eastAsia" w:ascii="Arial" w:hAnsi="Arial"/>
          <w:sz w:val="21"/>
          <w:szCs w:val="24"/>
        </w:rPr>
        <w:t>估价机构资质证书复印件</w:t>
      </w:r>
    </w:p>
    <w:p w14:paraId="6DBBED09">
      <w:pPr>
        <w:numPr>
          <w:ilvl w:val="0"/>
          <w:numId w:val="7"/>
        </w:numPr>
        <w:spacing w:line="420" w:lineRule="exact"/>
        <w:jc w:val="both"/>
        <w:textAlignment w:val="auto"/>
        <w:rPr>
          <w:rFonts w:ascii="Arial" w:hAnsi="Arial" w:cs="Arial"/>
          <w:sz w:val="21"/>
          <w:szCs w:val="24"/>
        </w:rPr>
        <w:sectPr>
          <w:pgSz w:w="11907" w:h="16840"/>
          <w:pgMar w:top="1843" w:right="1134" w:bottom="1191" w:left="1134" w:header="1134" w:footer="1134" w:gutter="340"/>
          <w:cols w:space="720" w:num="1"/>
          <w:docGrid w:linePitch="326" w:charSpace="0"/>
        </w:sectPr>
      </w:pPr>
      <w:r>
        <w:rPr>
          <w:rFonts w:hint="eastAsia" w:ascii="Arial" w:hAnsi="Arial"/>
          <w:sz w:val="21"/>
          <w:szCs w:val="24"/>
        </w:rPr>
        <w:t>评估专业人员执业证书复印件</w:t>
      </w:r>
    </w:p>
    <w:p w14:paraId="61B29F6E">
      <w:pPr>
        <w:pStyle w:val="2"/>
        <w:numPr>
          <w:ilvl w:val="0"/>
          <w:numId w:val="0"/>
        </w:numPr>
        <w:spacing w:line="480" w:lineRule="auto"/>
        <w:jc w:val="center"/>
        <w:rPr>
          <w:rFonts w:eastAsia="方正黑体简体"/>
          <w:b w:val="0"/>
          <w:kern w:val="2"/>
          <w:sz w:val="32"/>
          <w:szCs w:val="32"/>
        </w:rPr>
      </w:pPr>
      <w:bookmarkStart w:id="22" w:name="_Toc500322960"/>
      <w:bookmarkStart w:id="23" w:name="_Toc379795041"/>
      <w:r>
        <w:rPr>
          <w:rFonts w:hint="eastAsia" w:eastAsia="方正黑体简体"/>
          <w:b w:val="0"/>
          <w:kern w:val="2"/>
          <w:sz w:val="32"/>
          <w:szCs w:val="32"/>
        </w:rPr>
        <w:t>估价师声明</w:t>
      </w:r>
      <w:bookmarkEnd w:id="22"/>
      <w:bookmarkEnd w:id="23"/>
    </w:p>
    <w:p w14:paraId="6B40DE5D">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 xml:space="preserve">注册房地产估价师郑重声明： </w:t>
      </w:r>
    </w:p>
    <w:p w14:paraId="43737594">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（一</w:t>
      </w:r>
      <w:r>
        <w:rPr>
          <w:rFonts w:hint="eastAsia" w:ascii="Arial" w:hAnsi="Arial" w:cs="Arial"/>
          <w:kern w:val="2"/>
          <w:sz w:val="21"/>
          <w:szCs w:val="21"/>
        </w:rPr>
        <w:t>）</w:t>
      </w:r>
      <w:r>
        <w:rPr>
          <w:rFonts w:ascii="Arial" w:hAnsi="Arial" w:cs="Arial"/>
          <w:kern w:val="2"/>
          <w:sz w:val="21"/>
          <w:szCs w:val="21"/>
        </w:rPr>
        <w:t>注册房地产估价师在本估价报告中对事实的说明是真实的和准确的，没有虚假记载、误导性陈述和重大遗漏。</w:t>
      </w:r>
    </w:p>
    <w:p w14:paraId="3228C852">
      <w:pPr>
        <w:overflowPunct w:val="0"/>
        <w:spacing w:line="480" w:lineRule="auto"/>
        <w:jc w:val="both"/>
        <w:textAlignment w:val="auto"/>
        <w:outlineLvl w:val="0"/>
        <w:rPr>
          <w:rFonts w:ascii="Arial" w:hAnsi="Arial" w:cs="Arial"/>
          <w:kern w:val="2"/>
          <w:sz w:val="21"/>
          <w:szCs w:val="21"/>
        </w:rPr>
      </w:pPr>
      <w:r>
        <w:rPr>
          <w:rFonts w:hint="eastAsia" w:ascii="Arial" w:hAnsi="Arial" w:cs="Arial"/>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073BA73D">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518717B4">
      <w:pPr>
        <w:overflowPunct w:val="0"/>
        <w:spacing w:line="480" w:lineRule="auto"/>
        <w:jc w:val="both"/>
        <w:textAlignment w:val="auto"/>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（四）注册房地产估价师依照中华人民共和国国家标准《房地产估价规范》、《房地产估价基本术语标准》以及相关房地产估价专项标准进行估价工作，撰写本估价报告</w:t>
      </w:r>
      <w:r>
        <w:rPr>
          <w:rFonts w:hint="eastAsia" w:ascii="Arial" w:hAnsi="Arial"/>
          <w:kern w:val="2"/>
          <w:sz w:val="21"/>
          <w:szCs w:val="21"/>
        </w:rPr>
        <w:t>。</w:t>
      </w:r>
    </w:p>
    <w:p w14:paraId="4AABF3C2">
      <w:pPr>
        <w:overflowPunct w:val="0"/>
        <w:spacing w:line="480" w:lineRule="auto"/>
        <w:jc w:val="both"/>
        <w:textAlignment w:val="auto"/>
        <w:rPr>
          <w:rFonts w:ascii="Arial" w:hAnsi="Arial"/>
          <w:sz w:val="21"/>
          <w:szCs w:val="21"/>
        </w:rPr>
      </w:pPr>
      <w:bookmarkStart w:id="24" w:name="_Toc168225811"/>
    </w:p>
    <w:p w14:paraId="3B1F2D72">
      <w:pPr>
        <w:overflowPunct w:val="0"/>
        <w:spacing w:line="480" w:lineRule="auto"/>
        <w:jc w:val="both"/>
        <w:textAlignment w:val="auto"/>
        <w:outlineLvl w:val="0"/>
        <w:rPr>
          <w:rFonts w:ascii="Arial" w:hAnsi="Arial"/>
          <w:kern w:val="2"/>
          <w:sz w:val="21"/>
          <w:szCs w:val="21"/>
        </w:rPr>
        <w:sectPr>
          <w:headerReference r:id="rId10" w:type="first"/>
          <w:footerReference r:id="rId11" w:type="first"/>
          <w:headerReference r:id="rId9" w:type="default"/>
          <w:pgSz w:w="11907" w:h="16840"/>
          <w:pgMar w:top="1843" w:right="1134" w:bottom="1191" w:left="1134" w:header="1134" w:footer="1134" w:gutter="340"/>
          <w:cols w:space="720" w:num="1"/>
          <w:docGrid w:linePitch="326" w:charSpace="0"/>
        </w:sectPr>
      </w:pPr>
    </w:p>
    <w:p w14:paraId="125AD44D">
      <w:pPr>
        <w:pStyle w:val="2"/>
        <w:numPr>
          <w:ilvl w:val="0"/>
          <w:numId w:val="0"/>
        </w:numPr>
        <w:spacing w:line="480" w:lineRule="auto"/>
        <w:jc w:val="center"/>
        <w:rPr>
          <w:rFonts w:eastAsia="方正黑体简体"/>
          <w:b w:val="0"/>
          <w:kern w:val="2"/>
          <w:sz w:val="32"/>
          <w:szCs w:val="32"/>
        </w:rPr>
      </w:pPr>
      <w:bookmarkStart w:id="25" w:name="_Toc500322961"/>
      <w:bookmarkStart w:id="26" w:name="_Toc379795042"/>
      <w:r>
        <w:rPr>
          <w:rFonts w:hint="eastAsia" w:eastAsia="方正黑体简体"/>
          <w:b w:val="0"/>
          <w:kern w:val="2"/>
          <w:sz w:val="32"/>
          <w:szCs w:val="32"/>
        </w:rPr>
        <w:t>估价假设和限制条件</w:t>
      </w:r>
      <w:bookmarkEnd w:id="25"/>
      <w:bookmarkEnd w:id="26"/>
    </w:p>
    <w:bookmarkEnd w:id="24"/>
    <w:p w14:paraId="6FE82C9E">
      <w:pPr>
        <w:overflowPunct w:val="0"/>
        <w:spacing w:line="480" w:lineRule="auto"/>
        <w:jc w:val="both"/>
        <w:textAlignment w:val="auto"/>
        <w:outlineLvl w:val="0"/>
        <w:rPr>
          <w:rFonts w:ascii="Arial" w:hAnsi="Arial" w:cs="Arial"/>
          <w:b/>
          <w:kern w:val="2"/>
          <w:sz w:val="21"/>
        </w:rPr>
      </w:pPr>
      <w:r>
        <w:rPr>
          <w:rFonts w:ascii="Arial" w:hAnsi="Arial" w:cs="Arial"/>
          <w:b/>
          <w:kern w:val="2"/>
          <w:sz w:val="21"/>
        </w:rPr>
        <w:t>（一）本次估价的一般假设</w:t>
      </w:r>
    </w:p>
    <w:p w14:paraId="6AD01F5A">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1.在各价值时点的房地产市场均为公开、平等、自愿的交易市场。</w:t>
      </w:r>
    </w:p>
    <w:p w14:paraId="728EED67">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2.本估价报告的估价结果为正常条件下的公开市场租金水平，房地产交易需要双方在了解足够的市场信息，拥有足够的谈判时间，经过谨慎的考虑和对房地产市场进行合理预期，并具体考虑交易双方的偏好等条件下方能实现。对于房地产市场的波动等特殊交易因素可能导致房地产价格有较大幅度的变化，本估价报告未考虑这种变化对估价对象市场租金水平产生的影响。</w:t>
      </w:r>
    </w:p>
    <w:p w14:paraId="1B657F07">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3.本次评估设定估价对象的划拨国有建设用地使用权和建筑物所有权均为合法方式取得，估价对象可正常交付使用。</w:t>
      </w:r>
    </w:p>
    <w:p w14:paraId="7A7D2594">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4.评估专业人员已对估价委托人所提供的、本估价报告所依据的估价对象的权属以及其他相关资料进行了检查，</w:t>
      </w:r>
      <w:r>
        <w:rPr>
          <w:rFonts w:ascii="Arial" w:hAnsi="Arial"/>
          <w:kern w:val="2"/>
          <w:sz w:val="21"/>
        </w:rPr>
        <w:t>无理由怀疑其合法性、真实性、准确性和完整性</w:t>
      </w:r>
      <w:r>
        <w:rPr>
          <w:rFonts w:hint="eastAsia" w:ascii="Arial" w:hAnsi="Arial"/>
          <w:kern w:val="2"/>
          <w:sz w:val="21"/>
        </w:rPr>
        <w:t>。本次评估设定估价委托人提供的资料合法、属实，并且提供了与本次评估有关的所有资料，没有保留及隐瞒。</w:t>
      </w:r>
    </w:p>
    <w:p w14:paraId="574D36D1">
      <w:pPr>
        <w:overflowPunct w:val="0"/>
        <w:spacing w:line="480" w:lineRule="auto"/>
        <w:ind w:firstLine="420" w:firstLineChars="200"/>
        <w:jc w:val="both"/>
        <w:textAlignment w:val="auto"/>
        <w:rPr>
          <w:rFonts w:ascii="Arial" w:hAnsi="Arial" w:cs="Arial"/>
          <w:sz w:val="21"/>
        </w:rPr>
      </w:pPr>
      <w:r>
        <w:rPr>
          <w:rFonts w:hint="eastAsia" w:ascii="Arial" w:hAnsi="Arial"/>
          <w:kern w:val="2"/>
          <w:sz w:val="21"/>
        </w:rPr>
        <w:t>5.</w:t>
      </w:r>
      <w:r>
        <w:rPr>
          <w:rFonts w:ascii="Arial" w:hAnsi="Arial" w:cs="Arial"/>
          <w:sz w:val="21"/>
        </w:rPr>
        <w:t>估价对象建筑面积以</w:t>
      </w:r>
      <w:r>
        <w:rPr>
          <w:rFonts w:hint="eastAsia" w:ascii="Arial" w:hAnsi="Arial"/>
          <w:sz w:val="21"/>
          <w:szCs w:val="24"/>
        </w:rPr>
        <w:t>《估价委托书》、《租赁合同》[合同编号：JXZF-TJJY-20210001]</w:t>
      </w:r>
      <w:r>
        <w:rPr>
          <w:rFonts w:ascii="Arial" w:hAnsi="Arial" w:cs="Arial"/>
          <w:sz w:val="21"/>
        </w:rPr>
        <w:t>上载明的为</w:t>
      </w:r>
      <w:r>
        <w:rPr>
          <w:rFonts w:hint="eastAsia" w:ascii="Arial" w:hAnsi="Arial" w:cs="Arial"/>
          <w:sz w:val="21"/>
        </w:rPr>
        <w:t>准。</w:t>
      </w:r>
    </w:p>
    <w:p w14:paraId="5F013A60">
      <w:pPr>
        <w:overflowPunct w:val="0"/>
        <w:spacing w:line="480" w:lineRule="auto"/>
        <w:ind w:firstLine="420" w:firstLineChars="200"/>
        <w:jc w:val="both"/>
        <w:textAlignment w:val="auto"/>
        <w:rPr>
          <w:rFonts w:ascii="Arial" w:hAnsi="Arial" w:cs="Arial"/>
          <w:i/>
          <w:kern w:val="2"/>
          <w:sz w:val="21"/>
          <w:szCs w:val="21"/>
        </w:rPr>
      </w:pPr>
      <w:r>
        <w:rPr>
          <w:rFonts w:hint="eastAsia" w:ascii="Arial" w:hAnsi="Arial"/>
          <w:sz w:val="21"/>
        </w:rPr>
        <w:t>6.</w:t>
      </w:r>
      <w:r>
        <w:rPr>
          <w:rFonts w:hint="eastAsia" w:ascii="Arial" w:hAnsi="Arial"/>
          <w:kern w:val="2"/>
          <w:sz w:val="21"/>
        </w:rPr>
        <w:t>评估专业人员对估价对象及其周边环境进行了一般性查勘，并对</w:t>
      </w:r>
      <w:r>
        <w:rPr>
          <w:rFonts w:ascii="Arial" w:hAnsi="Arial"/>
          <w:kern w:val="2"/>
          <w:sz w:val="21"/>
        </w:rPr>
        <w:t>房屋安全</w:t>
      </w:r>
      <w:r>
        <w:rPr>
          <w:rFonts w:hint="eastAsia" w:ascii="Arial" w:hAnsi="Arial"/>
          <w:kern w:val="2"/>
          <w:sz w:val="21"/>
        </w:rPr>
        <w:t>以及</w:t>
      </w:r>
      <w:r>
        <w:rPr>
          <w:rFonts w:ascii="Arial" w:hAnsi="Arial"/>
          <w:kern w:val="2"/>
          <w:sz w:val="21"/>
        </w:rPr>
        <w:t>环境污染等</w:t>
      </w:r>
      <w:r>
        <w:rPr>
          <w:rFonts w:hint="eastAsia" w:ascii="Arial" w:hAnsi="Arial"/>
          <w:kern w:val="2"/>
          <w:sz w:val="21"/>
        </w:rPr>
        <w:t>影响估价对象价值的重大因素给予了关注</w:t>
      </w:r>
      <w:r>
        <w:rPr>
          <w:rFonts w:ascii="Arial" w:hAnsi="Arial"/>
          <w:kern w:val="2"/>
          <w:sz w:val="21"/>
        </w:rPr>
        <w:t>，</w:t>
      </w:r>
      <w:r>
        <w:rPr>
          <w:rFonts w:hint="eastAsia" w:ascii="Arial" w:hAnsi="Arial"/>
          <w:kern w:val="2"/>
          <w:sz w:val="21"/>
        </w:rPr>
        <w:t>在</w:t>
      </w:r>
      <w:r>
        <w:rPr>
          <w:rFonts w:ascii="Arial" w:hAnsi="Arial"/>
          <w:kern w:val="2"/>
          <w:sz w:val="21"/>
        </w:rPr>
        <w:t>无理由怀疑估价对象存在隐患</w:t>
      </w:r>
      <w:r>
        <w:rPr>
          <w:rFonts w:hint="eastAsia" w:ascii="Arial" w:hAnsi="Arial"/>
          <w:kern w:val="2"/>
          <w:sz w:val="21"/>
        </w:rPr>
        <w:t>且无相应的专业机构进行鉴定、检测的情况下，设定估价对象能够正常安全使用。</w:t>
      </w:r>
    </w:p>
    <w:p w14:paraId="3C967B6B">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7.任何有关估价对象的运作方式、程序符合国家、地方的有关法律、法规。</w:t>
      </w:r>
    </w:p>
    <w:p w14:paraId="4D70FC79">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rPr>
        <w:t>8</w:t>
      </w:r>
      <w:r>
        <w:rPr>
          <w:rFonts w:ascii="Arial" w:hAnsi="Arial" w:cs="Arial"/>
          <w:kern w:val="2"/>
          <w:sz w:val="21"/>
        </w:rPr>
        <w:t>.</w:t>
      </w:r>
      <w:r>
        <w:rPr>
          <w:rFonts w:hint="eastAsia" w:ascii="Arial" w:hAnsi="Arial" w:cs="Arial"/>
          <w:sz w:val="21"/>
          <w:szCs w:val="28"/>
        </w:rPr>
        <w:t>根</w:t>
      </w:r>
      <w:r>
        <w:rPr>
          <w:rFonts w:ascii="Arial" w:hAnsi="Arial" w:cs="Arial"/>
          <w:sz w:val="21"/>
          <w:szCs w:val="28"/>
        </w:rPr>
        <w:t>据估价目的、报告使用用途及必要性原则要求，本估价报告采纳简易计税方法记取增值税进行测算。</w:t>
      </w:r>
    </w:p>
    <w:p w14:paraId="716B2D28">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rPr>
        <w:t>9</w:t>
      </w:r>
      <w:r>
        <w:rPr>
          <w:rFonts w:ascii="Arial" w:hAnsi="Arial" w:cs="Arial"/>
          <w:kern w:val="2"/>
          <w:sz w:val="21"/>
        </w:rPr>
        <w:t>.本次估价结果未考虑国家宏观政策发生重大变化以及遇有自然力和其他不可抗力对估价结果的影响。</w:t>
      </w:r>
    </w:p>
    <w:p w14:paraId="60D6CF35">
      <w:pPr>
        <w:overflowPunct w:val="0"/>
        <w:spacing w:line="480" w:lineRule="auto"/>
        <w:ind w:firstLine="420" w:firstLineChars="200"/>
        <w:jc w:val="both"/>
        <w:textAlignment w:val="auto"/>
        <w:rPr>
          <w:rFonts w:ascii="Arial" w:hAnsi="Arial"/>
          <w:kern w:val="2"/>
          <w:sz w:val="21"/>
        </w:rPr>
      </w:pPr>
      <w:r>
        <w:rPr>
          <w:rFonts w:ascii="Arial" w:hAnsi="Arial" w:cs="Arial"/>
          <w:kern w:val="2"/>
          <w:sz w:val="21"/>
        </w:rPr>
        <w:t>1</w:t>
      </w:r>
      <w:r>
        <w:rPr>
          <w:rFonts w:hint="eastAsia" w:ascii="Arial" w:hAnsi="Arial" w:cs="Arial"/>
          <w:kern w:val="2"/>
          <w:sz w:val="21"/>
        </w:rPr>
        <w:t>0</w:t>
      </w:r>
      <w:r>
        <w:rPr>
          <w:rFonts w:ascii="Arial" w:hAnsi="Arial" w:cs="Arial"/>
          <w:kern w:val="2"/>
          <w:sz w:val="21"/>
        </w:rPr>
        <w:t>.估价结果未考虑估价对象已承担的债务、或有债务对其价值的影响。</w:t>
      </w:r>
    </w:p>
    <w:p w14:paraId="3F3485FB">
      <w:pPr>
        <w:overflowPunct w:val="0"/>
        <w:spacing w:line="480" w:lineRule="auto"/>
        <w:jc w:val="both"/>
        <w:textAlignment w:val="auto"/>
        <w:outlineLvl w:val="0"/>
        <w:rPr>
          <w:rFonts w:ascii="Arial" w:hAnsi="Arial" w:cs="Arial"/>
          <w:b/>
          <w:kern w:val="2"/>
          <w:sz w:val="21"/>
        </w:rPr>
      </w:pPr>
      <w:r>
        <w:rPr>
          <w:rFonts w:hint="eastAsia" w:ascii="Arial" w:hAnsi="Arial" w:cs="Arial"/>
          <w:b/>
          <w:kern w:val="2"/>
          <w:sz w:val="21"/>
        </w:rPr>
        <w:t>（二）特殊事项假设前提</w:t>
      </w:r>
    </w:p>
    <w:p w14:paraId="0ACD7BCA">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1.未定事项假设</w:t>
      </w:r>
    </w:p>
    <w:p w14:paraId="74022868">
      <w:pPr>
        <w:overflowPunct w:val="0"/>
        <w:spacing w:line="480" w:lineRule="auto"/>
        <w:ind w:firstLine="420" w:firstLineChars="200"/>
        <w:jc w:val="both"/>
        <w:rPr>
          <w:rFonts w:ascii="Arial" w:hAnsi="Arial" w:cs="Arial"/>
          <w:sz w:val="21"/>
        </w:rPr>
      </w:pPr>
      <w:r>
        <w:rPr>
          <w:rFonts w:hint="eastAsia" w:ascii="Arial" w:hAnsi="Arial"/>
          <w:kern w:val="2"/>
          <w:sz w:val="21"/>
        </w:rPr>
        <w:t>无。</w:t>
      </w:r>
    </w:p>
    <w:p w14:paraId="75F816C2">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2.背离事实假设</w:t>
      </w:r>
    </w:p>
    <w:p w14:paraId="60EE92C2">
      <w:pPr>
        <w:overflowPunct w:val="0"/>
        <w:spacing w:line="480" w:lineRule="auto"/>
        <w:ind w:firstLine="420" w:firstLineChars="200"/>
        <w:jc w:val="both"/>
        <w:rPr>
          <w:rFonts w:ascii="Arial" w:hAnsi="Arial"/>
          <w:kern w:val="2"/>
          <w:sz w:val="21"/>
        </w:rPr>
      </w:pPr>
      <w:r>
        <w:rPr>
          <w:rFonts w:hint="eastAsia" w:ascii="Arial" w:hAnsi="Arial" w:cs="Arial"/>
          <w:kern w:val="2"/>
          <w:sz w:val="21"/>
        </w:rPr>
        <w:t>根据评估专业人员实地查勘，估价对象目前部分已出租，本次评估是</w:t>
      </w:r>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房地产市场租金提供参考依据。经与估价委托人确认，本次评估不考虑已设定的租赁权对估价结果的影响。</w:t>
      </w:r>
    </w:p>
    <w:p w14:paraId="764455CD">
      <w:pPr>
        <w:overflowPunct w:val="0"/>
        <w:spacing w:line="480" w:lineRule="auto"/>
        <w:ind w:firstLine="420" w:firstLineChars="200"/>
        <w:jc w:val="both"/>
        <w:rPr>
          <w:rFonts w:ascii="Arial" w:hAnsi="Arial"/>
          <w:kern w:val="2"/>
          <w:sz w:val="21"/>
        </w:rPr>
      </w:pPr>
      <w:r>
        <w:rPr>
          <w:rFonts w:ascii="Arial" w:hAnsi="Arial"/>
          <w:kern w:val="2"/>
          <w:sz w:val="21"/>
        </w:rPr>
        <w:t>3.</w:t>
      </w:r>
      <w:r>
        <w:rPr>
          <w:rFonts w:hint="eastAsia" w:ascii="Arial" w:hAnsi="Arial"/>
          <w:kern w:val="2"/>
          <w:sz w:val="21"/>
        </w:rPr>
        <w:t>不相一致假设</w:t>
      </w:r>
    </w:p>
    <w:p w14:paraId="4F247342">
      <w:pPr>
        <w:overflowPunct w:val="0"/>
        <w:spacing w:line="480" w:lineRule="auto"/>
        <w:ind w:firstLine="420" w:firstLineChars="200"/>
        <w:jc w:val="both"/>
        <w:rPr>
          <w:rFonts w:ascii="Arial" w:hAnsi="Arial" w:cs="Arial"/>
          <w:sz w:val="21"/>
        </w:rPr>
      </w:pPr>
      <w:r>
        <w:rPr>
          <w:rFonts w:hint="eastAsia" w:ascii="Arial" w:hAnsi="Arial" w:cs="Arial"/>
          <w:kern w:val="2"/>
          <w:sz w:val="21"/>
        </w:rPr>
        <w:t>无</w:t>
      </w:r>
      <w:r>
        <w:rPr>
          <w:rFonts w:hint="eastAsia" w:ascii="Arial" w:hAnsi="Arial"/>
          <w:kern w:val="2"/>
          <w:sz w:val="21"/>
        </w:rPr>
        <w:t>。</w:t>
      </w:r>
    </w:p>
    <w:p w14:paraId="687BF8C6">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4.依据不足假设</w:t>
      </w:r>
    </w:p>
    <w:p w14:paraId="0C1CE70A">
      <w:pPr>
        <w:overflowPunct w:val="0"/>
        <w:spacing w:line="480" w:lineRule="auto"/>
        <w:ind w:firstLine="420" w:firstLineChars="200"/>
        <w:jc w:val="both"/>
        <w:textAlignment w:val="auto"/>
        <w:rPr>
          <w:rFonts w:ascii="Arial" w:hAnsi="Arial"/>
          <w:sz w:val="21"/>
          <w:szCs w:val="21"/>
        </w:rPr>
      </w:pPr>
      <w:r>
        <w:rPr>
          <w:rFonts w:hint="eastAsia" w:ascii="Arial" w:hAnsi="Arial" w:cs="Arial"/>
          <w:sz w:val="21"/>
        </w:rPr>
        <w:t>无</w:t>
      </w:r>
      <w:r>
        <w:rPr>
          <w:rFonts w:ascii="Arial" w:hAnsi="Arial" w:cs="Arial"/>
          <w:kern w:val="2"/>
          <w:sz w:val="21"/>
        </w:rPr>
        <w:t>。</w:t>
      </w:r>
    </w:p>
    <w:p w14:paraId="07B05139">
      <w:pPr>
        <w:overflowPunct w:val="0"/>
        <w:spacing w:line="480" w:lineRule="auto"/>
        <w:jc w:val="both"/>
        <w:textAlignment w:val="auto"/>
        <w:outlineLvl w:val="0"/>
        <w:rPr>
          <w:rFonts w:ascii="Arial" w:hAnsi="Arial" w:cs="Arial"/>
          <w:b/>
          <w:kern w:val="2"/>
          <w:sz w:val="21"/>
        </w:rPr>
      </w:pPr>
      <w:r>
        <w:rPr>
          <w:rFonts w:hint="eastAsia" w:ascii="Arial" w:hAnsi="Arial" w:cs="Arial"/>
          <w:b/>
          <w:kern w:val="2"/>
          <w:sz w:val="21"/>
        </w:rPr>
        <w:t>（三）估价报告使用限制</w:t>
      </w:r>
    </w:p>
    <w:p w14:paraId="142A14F5">
      <w:pPr>
        <w:overflowPunct w:val="0"/>
        <w:spacing w:line="480" w:lineRule="auto"/>
        <w:ind w:firstLine="420" w:firstLineChars="200"/>
        <w:jc w:val="both"/>
        <w:textAlignment w:val="auto"/>
        <w:rPr>
          <w:rFonts w:ascii="Arial" w:hAnsi="Arial" w:cs="Arial"/>
          <w:kern w:val="2"/>
          <w:sz w:val="21"/>
          <w:szCs w:val="28"/>
        </w:rPr>
      </w:pPr>
      <w:r>
        <w:rPr>
          <w:rFonts w:ascii="Arial" w:hAnsi="Arial" w:cs="Arial"/>
          <w:sz w:val="21"/>
          <w:szCs w:val="28"/>
        </w:rPr>
        <w:t>1.</w:t>
      </w:r>
      <w:r>
        <w:rPr>
          <w:rFonts w:hint="eastAsia" w:ascii="Arial" w:hAnsi="Arial" w:cs="Arial"/>
          <w:sz w:val="21"/>
          <w:szCs w:val="28"/>
        </w:rPr>
        <w:t>使用范围：本估价报告只能由估价报告载明的报告使用者使用，且只能用于本报告载明的唯一估价目的和用途。</w:t>
      </w:r>
    </w:p>
    <w:p w14:paraId="2F0C030E">
      <w:pPr>
        <w:overflowPunct w:val="0"/>
        <w:spacing w:line="480" w:lineRule="auto"/>
        <w:ind w:firstLine="420" w:firstLineChars="200"/>
        <w:jc w:val="both"/>
        <w:textAlignment w:val="auto"/>
        <w:rPr>
          <w:rFonts w:ascii="Arial" w:hAnsi="Arial" w:cs="Arial"/>
          <w:sz w:val="21"/>
          <w:szCs w:val="28"/>
        </w:rPr>
      </w:pPr>
      <w:r>
        <w:rPr>
          <w:rFonts w:hint="eastAsia" w:ascii="Arial" w:hAnsi="Arial" w:cs="Arial"/>
          <w:kern w:val="2"/>
          <w:sz w:val="21"/>
          <w:szCs w:val="28"/>
        </w:rPr>
        <w:t>2</w:t>
      </w:r>
      <w:r>
        <w:rPr>
          <w:rFonts w:ascii="Arial" w:hAnsi="Arial" w:cs="Arial"/>
          <w:kern w:val="2"/>
          <w:sz w:val="21"/>
          <w:szCs w:val="28"/>
        </w:rPr>
        <w:t>.</w:t>
      </w:r>
      <w:r>
        <w:rPr>
          <w:rFonts w:hint="eastAsia" w:ascii="Arial" w:hAnsi="Arial" w:cs="Arial"/>
          <w:sz w:val="21"/>
          <w:szCs w:val="28"/>
        </w:rPr>
        <w:t>估价委托人或者本</w:t>
      </w:r>
      <w:r>
        <w:rPr>
          <w:rFonts w:ascii="Arial" w:hAnsi="Arial" w:cs="Arial"/>
          <w:sz w:val="21"/>
        </w:rPr>
        <w:t>估价报告</w:t>
      </w:r>
      <w:r>
        <w:rPr>
          <w:rFonts w:hint="eastAsia" w:ascii="Arial" w:hAnsi="Arial" w:cs="Arial"/>
          <w:sz w:val="21"/>
          <w:szCs w:val="28"/>
        </w:rPr>
        <w:t>使用人应按照法律规定和</w:t>
      </w:r>
      <w:r>
        <w:rPr>
          <w:rFonts w:ascii="Arial" w:hAnsi="Arial" w:cs="Arial"/>
          <w:sz w:val="21"/>
        </w:rPr>
        <w:t>估价报告</w:t>
      </w:r>
      <w:r>
        <w:rPr>
          <w:rFonts w:hint="eastAsia" w:ascii="Arial" w:hAnsi="Arial" w:cs="Arial"/>
          <w:sz w:val="21"/>
          <w:szCs w:val="28"/>
        </w:rPr>
        <w:t>载明的使用范围使用本</w:t>
      </w:r>
      <w:r>
        <w:rPr>
          <w:rFonts w:ascii="Arial" w:hAnsi="Arial" w:cs="Arial"/>
          <w:sz w:val="21"/>
        </w:rPr>
        <w:t>估价报告</w:t>
      </w:r>
      <w:r>
        <w:rPr>
          <w:rFonts w:hint="eastAsia" w:ascii="Arial" w:hAnsi="Arial" w:cs="Arial"/>
          <w:sz w:val="21"/>
          <w:szCs w:val="28"/>
        </w:rPr>
        <w:t>。估价委托人或者</w:t>
      </w:r>
      <w:r>
        <w:rPr>
          <w:rFonts w:ascii="Arial" w:hAnsi="Arial" w:cs="Arial"/>
          <w:sz w:val="21"/>
        </w:rPr>
        <w:t>估价报告</w:t>
      </w:r>
      <w:r>
        <w:rPr>
          <w:rFonts w:hint="eastAsia" w:ascii="Arial" w:hAnsi="Arial" w:cs="Arial"/>
          <w:sz w:val="21"/>
          <w:szCs w:val="28"/>
        </w:rPr>
        <w:t>使用人违反前述规定使用本</w:t>
      </w:r>
      <w:r>
        <w:rPr>
          <w:rFonts w:ascii="Arial" w:hAnsi="Arial" w:cs="Arial"/>
          <w:sz w:val="21"/>
        </w:rPr>
        <w:t>估价报告</w:t>
      </w:r>
      <w:r>
        <w:rPr>
          <w:rFonts w:hint="eastAsia" w:ascii="Arial" w:hAnsi="Arial" w:cs="Arial"/>
          <w:sz w:val="21"/>
          <w:szCs w:val="28"/>
        </w:rPr>
        <w:t>的，估价机构和评估专业人员不承担责任。</w:t>
      </w:r>
    </w:p>
    <w:p w14:paraId="1054821C">
      <w:pPr>
        <w:overflowPunct w:val="0"/>
        <w:spacing w:line="480" w:lineRule="auto"/>
        <w:ind w:firstLine="420" w:firstLineChars="200"/>
        <w:jc w:val="both"/>
        <w:textAlignment w:val="auto"/>
        <w:rPr>
          <w:rFonts w:ascii="Arial" w:hAnsi="Arial" w:cs="Arial"/>
          <w:sz w:val="21"/>
          <w:szCs w:val="28"/>
        </w:rPr>
      </w:pPr>
      <w:r>
        <w:rPr>
          <w:rFonts w:hint="eastAsia" w:ascii="Arial" w:hAnsi="Arial" w:cs="Arial"/>
          <w:sz w:val="21"/>
          <w:szCs w:val="28"/>
        </w:rPr>
        <w:t>3.除估价委托人、估价委托合同中约定的其他估价报告使用人和法律、行政法规规定的估价报告使用人之外，其他任何机构和个人不能成为估价报告的使用人。</w:t>
      </w:r>
    </w:p>
    <w:p w14:paraId="288E2F64">
      <w:pPr>
        <w:overflowPunct w:val="0"/>
        <w:spacing w:line="480" w:lineRule="auto"/>
        <w:ind w:firstLine="420" w:firstLineChars="200"/>
        <w:jc w:val="both"/>
        <w:textAlignment w:val="auto"/>
        <w:rPr>
          <w:rFonts w:ascii="Arial" w:hAnsi="Arial" w:cs="Arial"/>
          <w:kern w:val="2"/>
          <w:sz w:val="21"/>
          <w:szCs w:val="28"/>
        </w:rPr>
      </w:pPr>
      <w:r>
        <w:rPr>
          <w:rFonts w:hint="eastAsia" w:ascii="Arial" w:hAnsi="Arial" w:cs="Arial"/>
          <w:sz w:val="21"/>
          <w:szCs w:val="28"/>
        </w:rPr>
        <w:t>4.估价报告使用人应当正确理解估价结论。估价结论不等同于估价对象可实现价格，估价结论不应当被认为是对估价对象可实现价格的保证。</w:t>
      </w:r>
    </w:p>
    <w:p w14:paraId="1B246C24">
      <w:pPr>
        <w:overflowPunct w:val="0"/>
        <w:spacing w:line="480" w:lineRule="auto"/>
        <w:ind w:firstLine="420" w:firstLineChars="200"/>
        <w:jc w:val="both"/>
        <w:textAlignment w:val="auto"/>
        <w:rPr>
          <w:rFonts w:ascii="Arial" w:hAnsi="Arial" w:cs="Arial"/>
          <w:kern w:val="2"/>
          <w:sz w:val="21"/>
        </w:rPr>
      </w:pPr>
      <w:r>
        <w:rPr>
          <w:rFonts w:hint="eastAsia" w:ascii="Arial" w:hAnsi="Arial" w:cs="Arial"/>
          <w:kern w:val="2"/>
          <w:sz w:val="21"/>
          <w:szCs w:val="28"/>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kern w:val="2"/>
          <w:sz w:val="21"/>
        </w:rPr>
        <w:t>为估价委托人了解估价对象在设定条件下的房地产市场租金提供参考依据</w:t>
      </w:r>
      <w:r>
        <w:rPr>
          <w:rFonts w:ascii="Arial" w:hAnsi="Arial" w:cs="Arial"/>
          <w:kern w:val="2"/>
          <w:sz w:val="21"/>
          <w:szCs w:val="21"/>
        </w:rPr>
        <w:t>，不做其他评估目的之用。如果估价对象的评估条件或目的发生变化，需重新进行评估。</w:t>
      </w:r>
    </w:p>
    <w:p w14:paraId="01B57F91">
      <w:pPr>
        <w:overflowPunct w:val="0"/>
        <w:spacing w:line="480" w:lineRule="auto"/>
        <w:ind w:firstLine="420" w:firstLineChars="200"/>
        <w:jc w:val="both"/>
        <w:textAlignment w:val="auto"/>
        <w:rPr>
          <w:rFonts w:ascii="Arial" w:hAnsi="Arial"/>
          <w:sz w:val="21"/>
        </w:rPr>
      </w:pPr>
      <w:r>
        <w:rPr>
          <w:rFonts w:hint="eastAsia" w:ascii="Arial" w:hAnsi="Arial"/>
          <w:kern w:val="2"/>
          <w:sz w:val="21"/>
        </w:rPr>
        <w:t>6.本估价报告估价结果为价值时点下估价对象土地在现状规划条件、建筑物在设定状态下的房地产正常市场租金水平，如估价对象规划用途、建筑面积或建筑物使用状况发生变化，估价结果需要做相应的调整直至重新评估</w:t>
      </w:r>
      <w:r>
        <w:rPr>
          <w:rFonts w:hint="eastAsia" w:ascii="Arial" w:hAnsi="Arial"/>
          <w:sz w:val="21"/>
        </w:rPr>
        <w:t>。</w:t>
      </w:r>
    </w:p>
    <w:p w14:paraId="10ADB010">
      <w:pPr>
        <w:overflowPunct w:val="0"/>
        <w:spacing w:line="480" w:lineRule="auto"/>
        <w:ind w:firstLine="420" w:firstLineChars="200"/>
        <w:jc w:val="both"/>
        <w:textAlignment w:val="auto"/>
        <w:rPr>
          <w:rFonts w:ascii="Arial" w:hAnsi="Arial"/>
          <w:kern w:val="2"/>
          <w:sz w:val="21"/>
        </w:rPr>
      </w:pPr>
      <w:r>
        <w:rPr>
          <w:rFonts w:hint="eastAsia" w:ascii="Arial" w:hAnsi="Arial"/>
          <w:kern w:val="2"/>
          <w:sz w:val="21"/>
        </w:rPr>
        <w:t>7.</w:t>
      </w:r>
      <w:r>
        <w:rPr>
          <w:rFonts w:hint="eastAsia" w:ascii="Arial" w:hAnsi="Arial" w:cs="Arial"/>
          <w:kern w:val="2"/>
          <w:sz w:val="21"/>
        </w:rPr>
        <w:t>估价委托人应对其提供的权属证明以及其他资料的真实性、完整性和合法性负责</w:t>
      </w:r>
      <w:r>
        <w:rPr>
          <w:rFonts w:ascii="Arial" w:hAnsi="Arial" w:cs="Arial"/>
          <w:kern w:val="2"/>
          <w:sz w:val="21"/>
        </w:rPr>
        <w:t>。如因资料失实或资料提供人有所隐匿而导致估价结果失真，估价机构不承担相应的责任。</w:t>
      </w:r>
      <w:r>
        <w:rPr>
          <w:rFonts w:ascii="Arial" w:hAnsi="Arial"/>
          <w:kern w:val="2"/>
          <w:sz w:val="21"/>
        </w:rPr>
        <w:t>提请</w:t>
      </w:r>
      <w:r>
        <w:rPr>
          <w:rFonts w:hint="eastAsia" w:ascii="Arial" w:hAnsi="Arial"/>
          <w:kern w:val="2"/>
          <w:sz w:val="21"/>
        </w:rPr>
        <w:t>报告使用者</w:t>
      </w:r>
      <w:r>
        <w:rPr>
          <w:rFonts w:ascii="Arial" w:hAnsi="Arial"/>
          <w:kern w:val="2"/>
          <w:sz w:val="21"/>
        </w:rPr>
        <w:t>注意</w:t>
      </w:r>
      <w:r>
        <w:rPr>
          <w:rFonts w:hint="eastAsia" w:ascii="Arial" w:hAnsi="Arial"/>
          <w:kern w:val="2"/>
          <w:sz w:val="21"/>
        </w:rPr>
        <w:t>，</w:t>
      </w:r>
      <w:r>
        <w:rPr>
          <w:rFonts w:ascii="Arial" w:hAnsi="Arial"/>
          <w:kern w:val="2"/>
          <w:sz w:val="21"/>
        </w:rPr>
        <w:t>并确定实际</w:t>
      </w:r>
      <w:r>
        <w:rPr>
          <w:rFonts w:hint="eastAsia" w:ascii="Arial" w:hAnsi="Arial"/>
          <w:kern w:val="2"/>
          <w:sz w:val="21"/>
        </w:rPr>
        <w:t>不动产</w:t>
      </w:r>
      <w:r>
        <w:rPr>
          <w:rFonts w:ascii="Arial" w:hAnsi="Arial"/>
          <w:kern w:val="2"/>
          <w:sz w:val="21"/>
        </w:rPr>
        <w:t>与本</w:t>
      </w:r>
      <w:r>
        <w:rPr>
          <w:rFonts w:hint="eastAsia" w:ascii="Arial" w:hAnsi="Arial"/>
          <w:kern w:val="2"/>
          <w:sz w:val="21"/>
        </w:rPr>
        <w:t>估价</w:t>
      </w:r>
      <w:r>
        <w:rPr>
          <w:rFonts w:ascii="Arial" w:hAnsi="Arial"/>
          <w:kern w:val="2"/>
          <w:sz w:val="21"/>
        </w:rPr>
        <w:t>报告估价对象是否一致，如有改变，需进行重新评估。</w:t>
      </w:r>
    </w:p>
    <w:p w14:paraId="00171E45">
      <w:pPr>
        <w:overflowPunct w:val="0"/>
        <w:spacing w:line="480" w:lineRule="auto"/>
        <w:ind w:firstLine="420" w:firstLineChars="200"/>
        <w:jc w:val="both"/>
        <w:textAlignment w:val="auto"/>
        <w:rPr>
          <w:rFonts w:ascii="Arial" w:hAnsi="Arial"/>
          <w:sz w:val="21"/>
        </w:rPr>
      </w:pPr>
      <w:r>
        <w:rPr>
          <w:rFonts w:hint="eastAsia" w:ascii="Arial" w:hAnsi="Arial"/>
          <w:sz w:val="21"/>
        </w:rPr>
        <w:t>8.本估价报告中数据全部采用电算化连续计算得出，由于在报告中计算的数据均按四舍五入保留两位小数或取整，故可能出现个别等式左右不完全相等的情况，但不影响计算结果及最终评估结论的准确性。</w:t>
      </w:r>
    </w:p>
    <w:p w14:paraId="2D686982">
      <w:pPr>
        <w:overflowPunct w:val="0"/>
        <w:spacing w:line="480" w:lineRule="auto"/>
        <w:ind w:firstLine="420" w:firstLineChars="200"/>
        <w:jc w:val="both"/>
        <w:textAlignment w:val="auto"/>
        <w:rPr>
          <w:rFonts w:ascii="Arial" w:hAnsi="Arial"/>
          <w:sz w:val="21"/>
        </w:rPr>
      </w:pPr>
      <w:r>
        <w:rPr>
          <w:rFonts w:hint="eastAsia" w:ascii="Arial" w:hAnsi="Arial"/>
          <w:sz w:val="21"/>
        </w:rPr>
        <w:t>9</w:t>
      </w:r>
      <w:r>
        <w:rPr>
          <w:rFonts w:ascii="Arial" w:hAnsi="Arial"/>
          <w:sz w:val="21"/>
        </w:rPr>
        <w:t>.</w:t>
      </w:r>
      <w:r>
        <w:rPr>
          <w:rFonts w:hint="eastAsia" w:ascii="Arial" w:hAnsi="Arial"/>
          <w:sz w:val="21"/>
        </w:rPr>
        <w:t>本估价报告在估价机构盖章和注册房地产估价师签字的条件下有效。</w:t>
      </w:r>
    </w:p>
    <w:p w14:paraId="6C057F92">
      <w:pPr>
        <w:overflowPunct w:val="0"/>
        <w:spacing w:line="480" w:lineRule="auto"/>
        <w:ind w:firstLine="420" w:firstLineChars="200"/>
        <w:jc w:val="both"/>
        <w:textAlignment w:val="auto"/>
        <w:rPr>
          <w:rFonts w:ascii="Arial" w:hAnsi="Arial" w:cs="Arial"/>
          <w:kern w:val="2"/>
          <w:sz w:val="21"/>
        </w:rPr>
      </w:pPr>
      <w:r>
        <w:rPr>
          <w:rFonts w:hint="eastAsia" w:ascii="Arial" w:hAnsi="Arial"/>
          <w:kern w:val="2"/>
          <w:sz w:val="21"/>
        </w:rPr>
        <w:t>10.</w:t>
      </w:r>
      <w:r>
        <w:rPr>
          <w:rFonts w:ascii="Arial" w:hAnsi="Arial" w:cs="Arial"/>
          <w:kern w:val="2"/>
          <w:sz w:val="21"/>
        </w:rPr>
        <w:t>本估价报告自出具日起壹年内有效</w:t>
      </w:r>
      <w:r>
        <w:rPr>
          <w:rFonts w:hint="eastAsia" w:ascii="Arial" w:hAnsi="Arial" w:eastAsia="楷体_GB2312" w:cs="Arial"/>
          <w:sz w:val="28"/>
          <w:szCs w:val="26"/>
        </w:rPr>
        <w:t>（</w:t>
      </w:r>
      <w:r>
        <w:rPr>
          <w:rFonts w:hint="eastAsia" w:ascii="Arial" w:hAnsi="Arial" w:cs="Arial"/>
          <w:kern w:val="2"/>
          <w:sz w:val="21"/>
        </w:rPr>
        <w:t>即2025年12月9日至20</w:t>
      </w:r>
      <w:r>
        <w:rPr>
          <w:rFonts w:ascii="Arial" w:hAnsi="Arial" w:cs="Arial"/>
          <w:kern w:val="2"/>
          <w:sz w:val="21"/>
        </w:rPr>
        <w:t>2</w:t>
      </w:r>
      <w:r>
        <w:rPr>
          <w:rFonts w:hint="eastAsia" w:ascii="Arial" w:hAnsi="Arial" w:cs="Arial"/>
          <w:kern w:val="2"/>
          <w:sz w:val="21"/>
        </w:rPr>
        <w:t>6年12月8日</w:t>
      </w:r>
      <w:r>
        <w:rPr>
          <w:rFonts w:hint="eastAsia" w:ascii="Arial" w:hAnsi="Arial" w:eastAsia="楷体_GB2312" w:cs="Arial"/>
          <w:sz w:val="28"/>
          <w:szCs w:val="26"/>
        </w:rPr>
        <w:t>）</w:t>
      </w:r>
      <w:r>
        <w:rPr>
          <w:rFonts w:hint="eastAsia" w:ascii="Arial" w:hAnsi="Arial" w:cs="Arial"/>
          <w:kern w:val="2"/>
          <w:sz w:val="21"/>
        </w:rPr>
        <w:t>。</w:t>
      </w:r>
    </w:p>
    <w:p w14:paraId="4FBF22D3">
      <w:pPr>
        <w:pStyle w:val="2"/>
        <w:numPr>
          <w:ilvl w:val="0"/>
          <w:numId w:val="0"/>
        </w:numPr>
        <w:spacing w:line="480" w:lineRule="auto"/>
        <w:jc w:val="center"/>
        <w:rPr>
          <w:rFonts w:eastAsia="方正黑体简体"/>
          <w:b w:val="0"/>
          <w:kern w:val="2"/>
          <w:sz w:val="32"/>
          <w:szCs w:val="32"/>
        </w:rPr>
        <w:sectPr>
          <w:headerReference r:id="rId12" w:type="default"/>
          <w:footerReference r:id="rId13" w:type="even"/>
          <w:pgSz w:w="11907" w:h="16840"/>
          <w:pgMar w:top="1843" w:right="1134" w:bottom="1191" w:left="1134" w:header="1134" w:footer="1134" w:gutter="340"/>
          <w:cols w:space="720" w:num="1"/>
          <w:docGrid w:linePitch="326" w:charSpace="0"/>
        </w:sectPr>
      </w:pPr>
      <w:bookmarkStart w:id="27" w:name="_Toc168225812"/>
      <w:bookmarkStart w:id="28" w:name="_Toc500322962"/>
    </w:p>
    <w:p w14:paraId="57C32DBD">
      <w:pPr>
        <w:pStyle w:val="2"/>
        <w:numPr>
          <w:ilvl w:val="0"/>
          <w:numId w:val="0"/>
        </w:numPr>
        <w:spacing w:line="480" w:lineRule="auto"/>
        <w:jc w:val="center"/>
        <w:rPr>
          <w:rFonts w:eastAsia="方正黑体简体"/>
          <w:b w:val="0"/>
          <w:kern w:val="2"/>
          <w:sz w:val="32"/>
          <w:szCs w:val="32"/>
        </w:rPr>
      </w:pPr>
      <w:r>
        <w:rPr>
          <w:rFonts w:hint="eastAsia" w:eastAsia="方正黑体简体"/>
          <w:b w:val="0"/>
          <w:kern w:val="2"/>
          <w:sz w:val="32"/>
          <w:szCs w:val="32"/>
        </w:rPr>
        <w:t>估价结果报告</w:t>
      </w:r>
      <w:bookmarkEnd w:id="27"/>
      <w:bookmarkEnd w:id="28"/>
    </w:p>
    <w:p w14:paraId="0D2C4E54">
      <w:pPr>
        <w:pStyle w:val="3"/>
        <w:numPr>
          <w:ilvl w:val="0"/>
          <w:numId w:val="0"/>
        </w:numPr>
        <w:overflowPunct w:val="0"/>
        <w:spacing w:line="480" w:lineRule="auto"/>
        <w:ind w:left="358" w:hanging="358" w:hangingChars="170"/>
        <w:jc w:val="both"/>
        <w:textAlignment w:val="auto"/>
        <w:rPr>
          <w:rFonts w:eastAsia="宋体"/>
          <w:b w:val="0"/>
          <w:kern w:val="2"/>
          <w:sz w:val="21"/>
          <w:szCs w:val="21"/>
        </w:rPr>
      </w:pPr>
      <w:bookmarkStart w:id="29" w:name="_Toc216083223"/>
      <w:bookmarkStart w:id="30" w:name="_Toc500322963"/>
      <w:r>
        <w:rPr>
          <w:rFonts w:hint="eastAsia" w:eastAsia="宋体"/>
          <w:kern w:val="2"/>
          <w:sz w:val="21"/>
          <w:szCs w:val="21"/>
        </w:rPr>
        <w:t>一</w:t>
      </w:r>
      <w:bookmarkEnd w:id="29"/>
      <w:r>
        <w:rPr>
          <w:rFonts w:hint="eastAsia" w:eastAsia="宋体"/>
          <w:kern w:val="2"/>
          <w:sz w:val="21"/>
          <w:szCs w:val="21"/>
        </w:rPr>
        <w:t>、估价委托人</w:t>
      </w:r>
      <w:bookmarkEnd w:id="30"/>
    </w:p>
    <w:p w14:paraId="3F50FDA6">
      <w:pPr>
        <w:overflowPunct w:val="0"/>
        <w:spacing w:line="480" w:lineRule="auto"/>
        <w:ind w:firstLine="420" w:firstLineChars="200"/>
        <w:jc w:val="both"/>
        <w:rPr>
          <w:rFonts w:ascii="Arial" w:hAnsi="Arial"/>
          <w:sz w:val="21"/>
          <w:szCs w:val="21"/>
        </w:rPr>
      </w:pPr>
      <w:r>
        <w:rPr>
          <w:rFonts w:hint="eastAsia" w:ascii="Arial" w:hAnsi="Arial"/>
          <w:sz w:val="21"/>
          <w:szCs w:val="21"/>
        </w:rPr>
        <w:t>单位名称：建信住房租赁服务(北京)有限责任公司</w:t>
      </w:r>
    </w:p>
    <w:p w14:paraId="3C25E1D3">
      <w:pPr>
        <w:overflowPunct w:val="0"/>
        <w:spacing w:line="480" w:lineRule="auto"/>
        <w:ind w:firstLine="420" w:firstLineChars="200"/>
        <w:jc w:val="both"/>
        <w:rPr>
          <w:rFonts w:hint="default" w:ascii="Arial" w:hAnsi="Arial"/>
          <w:i/>
          <w:sz w:val="21"/>
          <w:szCs w:val="21"/>
          <w:lang w:val="en-US"/>
        </w:rPr>
      </w:pPr>
      <w:r>
        <w:rPr>
          <w:rFonts w:hint="eastAsia" w:ascii="Arial" w:hAnsi="Arial"/>
          <w:sz w:val="21"/>
          <w:szCs w:val="21"/>
        </w:rPr>
        <w:t>联系人：</w:t>
      </w:r>
      <w:r>
        <w:rPr>
          <w:rStyle w:val="39"/>
        </w:rPr>
        <w:commentReference w:id="0"/>
      </w:r>
      <w:r>
        <w:rPr>
          <w:rFonts w:hint="eastAsia" w:ascii="Arial" w:hAnsi="Arial"/>
          <w:sz w:val="21"/>
          <w:szCs w:val="21"/>
          <w:lang w:val="en-US" w:eastAsia="zh-CN"/>
        </w:rPr>
        <w:t>李冉冉</w:t>
      </w:r>
    </w:p>
    <w:p w14:paraId="5F82DE7C">
      <w:pPr>
        <w:overflowPunct w:val="0"/>
        <w:spacing w:line="480" w:lineRule="auto"/>
        <w:ind w:firstLine="420" w:firstLineChars="200"/>
        <w:jc w:val="both"/>
        <w:rPr>
          <w:rFonts w:hint="default" w:ascii="Arial" w:hAnsi="Arial" w:eastAsia="宋体" w:cs="宋体"/>
          <w:sz w:val="21"/>
          <w:szCs w:val="21"/>
          <w:lang w:val="en-US" w:eastAsia="zh-CN"/>
        </w:rPr>
      </w:pPr>
      <w:r>
        <w:rPr>
          <w:rFonts w:hint="eastAsia" w:ascii="Arial" w:hAnsi="Arial"/>
          <w:sz w:val="21"/>
          <w:szCs w:val="21"/>
        </w:rPr>
        <w:t>联系电话：</w:t>
      </w:r>
      <w:r>
        <w:rPr>
          <w:rFonts w:ascii="Arial" w:hAnsi="Arial"/>
          <w:sz w:val="21"/>
          <w:szCs w:val="21"/>
        </w:rPr>
        <w:t>1</w:t>
      </w:r>
      <w:r>
        <w:rPr>
          <w:rFonts w:hint="eastAsia" w:ascii="Arial" w:hAnsi="Arial"/>
          <w:sz w:val="21"/>
          <w:szCs w:val="21"/>
          <w:lang w:val="en-US" w:eastAsia="zh-CN"/>
        </w:rPr>
        <w:t>8811735712</w:t>
      </w:r>
    </w:p>
    <w:p w14:paraId="4FCA15B5">
      <w:pPr>
        <w:overflowPunct w:val="0"/>
        <w:spacing w:line="480" w:lineRule="auto"/>
        <w:ind w:firstLine="420" w:firstLineChars="200"/>
        <w:jc w:val="both"/>
        <w:textAlignment w:val="auto"/>
        <w:rPr>
          <w:rFonts w:ascii="Arial" w:hAnsi="Arial"/>
          <w:sz w:val="21"/>
          <w:szCs w:val="21"/>
        </w:rPr>
      </w:pPr>
    </w:p>
    <w:p w14:paraId="13775681">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1" w:name="_Toc168225814"/>
      <w:bookmarkStart w:id="32" w:name="_Toc500322964"/>
      <w:r>
        <w:rPr>
          <w:rFonts w:hint="eastAsia" w:eastAsia="宋体"/>
          <w:kern w:val="2"/>
          <w:sz w:val="21"/>
          <w:szCs w:val="21"/>
        </w:rPr>
        <w:t>二、房地产估价机构</w:t>
      </w:r>
      <w:bookmarkEnd w:id="31"/>
      <w:bookmarkEnd w:id="32"/>
    </w:p>
    <w:p w14:paraId="7B005E6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受托机构：北京康正宏基房地产评估有限公司</w:t>
      </w:r>
    </w:p>
    <w:p w14:paraId="736179B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备案等级</w:t>
      </w:r>
      <w:r>
        <w:rPr>
          <w:rFonts w:ascii="Arial" w:hAnsi="Arial" w:cs="Arial"/>
          <w:sz w:val="21"/>
          <w:szCs w:val="21"/>
        </w:rPr>
        <w:t>：</w:t>
      </w:r>
      <w:r>
        <w:rPr>
          <w:rFonts w:hint="eastAsia" w:ascii="Arial" w:hAnsi="Arial" w:cs="Arial"/>
          <w:sz w:val="21"/>
          <w:szCs w:val="21"/>
        </w:rPr>
        <w:t>一</w:t>
      </w:r>
      <w:r>
        <w:rPr>
          <w:rFonts w:ascii="Arial" w:hAnsi="Arial" w:cs="Arial"/>
          <w:sz w:val="21"/>
          <w:szCs w:val="21"/>
        </w:rPr>
        <w:t>级</w:t>
      </w:r>
    </w:p>
    <w:p w14:paraId="660A57C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备案</w:t>
      </w:r>
      <w:r>
        <w:rPr>
          <w:rFonts w:ascii="Arial" w:hAnsi="Arial" w:cs="Arial"/>
          <w:sz w:val="21"/>
          <w:szCs w:val="21"/>
        </w:rPr>
        <w:t>证书</w:t>
      </w:r>
      <w:r>
        <w:rPr>
          <w:rFonts w:hint="eastAsia" w:ascii="Arial" w:hAnsi="Arial" w:cs="Arial"/>
          <w:sz w:val="21"/>
          <w:szCs w:val="21"/>
        </w:rPr>
        <w:t>编</w:t>
      </w:r>
      <w:r>
        <w:rPr>
          <w:rFonts w:ascii="Arial" w:hAnsi="Arial" w:cs="Arial"/>
          <w:sz w:val="21"/>
          <w:szCs w:val="21"/>
        </w:rPr>
        <w:t>号：建房估</w:t>
      </w:r>
      <w:r>
        <w:rPr>
          <w:rFonts w:hint="eastAsia" w:ascii="Arial" w:hAnsi="Arial" w:cs="Arial"/>
          <w:sz w:val="21"/>
          <w:szCs w:val="21"/>
        </w:rPr>
        <w:t>备</w:t>
      </w:r>
      <w:r>
        <w:rPr>
          <w:rFonts w:ascii="Arial" w:hAnsi="Arial" w:cs="Arial"/>
          <w:sz w:val="21"/>
          <w:szCs w:val="21"/>
        </w:rPr>
        <w:t>字[2013</w:t>
      </w:r>
      <w:r>
        <w:rPr>
          <w:rFonts w:hint="eastAsia" w:ascii="Arial" w:hAnsi="Arial"/>
          <w:sz w:val="21"/>
          <w:szCs w:val="21"/>
        </w:rPr>
        <w:t>第</w:t>
      </w:r>
      <w:r>
        <w:rPr>
          <w:rFonts w:ascii="Arial" w:hAnsi="Arial" w:cs="Arial"/>
          <w:sz w:val="21"/>
          <w:szCs w:val="21"/>
        </w:rPr>
        <w:t>]081号</w:t>
      </w:r>
    </w:p>
    <w:p w14:paraId="202B070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有效期限：</w:t>
      </w:r>
      <w:r>
        <w:rPr>
          <w:rFonts w:hint="eastAsia" w:ascii="Arial" w:hAnsi="Arial" w:cs="Arial"/>
          <w:sz w:val="21"/>
          <w:szCs w:val="21"/>
        </w:rPr>
        <w:t>2025</w:t>
      </w:r>
      <w:r>
        <w:rPr>
          <w:rFonts w:ascii="Arial" w:hAnsi="Arial" w:cs="Arial"/>
          <w:sz w:val="21"/>
          <w:szCs w:val="21"/>
        </w:rPr>
        <w:t>年</w:t>
      </w:r>
      <w:r>
        <w:rPr>
          <w:rFonts w:hint="eastAsia" w:ascii="Arial" w:hAnsi="Arial" w:cs="Arial"/>
          <w:sz w:val="21"/>
          <w:szCs w:val="21"/>
        </w:rPr>
        <w:t>7</w:t>
      </w:r>
      <w:r>
        <w:rPr>
          <w:rFonts w:ascii="Arial" w:hAnsi="Arial" w:cs="Arial"/>
          <w:sz w:val="21"/>
          <w:szCs w:val="21"/>
        </w:rPr>
        <w:t>月</w:t>
      </w:r>
      <w:r>
        <w:rPr>
          <w:rFonts w:hint="eastAsia" w:ascii="Arial" w:hAnsi="Arial" w:cs="Arial"/>
          <w:sz w:val="21"/>
          <w:szCs w:val="21"/>
        </w:rPr>
        <w:t>1</w:t>
      </w:r>
      <w:r>
        <w:rPr>
          <w:rFonts w:ascii="Arial" w:hAnsi="Arial" w:cs="Arial"/>
          <w:sz w:val="21"/>
          <w:szCs w:val="21"/>
        </w:rPr>
        <w:t>日至20</w:t>
      </w:r>
      <w:r>
        <w:rPr>
          <w:rFonts w:hint="eastAsia" w:ascii="Arial" w:hAnsi="Arial" w:cs="Arial"/>
          <w:sz w:val="21"/>
          <w:szCs w:val="21"/>
        </w:rPr>
        <w:t>28</w:t>
      </w:r>
      <w:r>
        <w:rPr>
          <w:rFonts w:ascii="Arial" w:hAnsi="Arial" w:cs="Arial"/>
          <w:sz w:val="21"/>
          <w:szCs w:val="21"/>
        </w:rPr>
        <w:t>年</w:t>
      </w:r>
      <w:r>
        <w:rPr>
          <w:rFonts w:hint="eastAsia" w:ascii="Arial" w:hAnsi="Arial" w:cs="Arial"/>
          <w:sz w:val="21"/>
          <w:szCs w:val="21"/>
        </w:rPr>
        <w:t>6</w:t>
      </w:r>
      <w:r>
        <w:rPr>
          <w:rFonts w:ascii="Arial" w:hAnsi="Arial" w:cs="Arial"/>
          <w:sz w:val="21"/>
          <w:szCs w:val="21"/>
        </w:rPr>
        <w:t>月</w:t>
      </w:r>
      <w:r>
        <w:rPr>
          <w:rFonts w:hint="eastAsia" w:ascii="Arial" w:hAnsi="Arial" w:cs="Arial"/>
          <w:sz w:val="21"/>
          <w:szCs w:val="21"/>
        </w:rPr>
        <w:t>30</w:t>
      </w:r>
      <w:r>
        <w:rPr>
          <w:rFonts w:ascii="Arial" w:hAnsi="Arial" w:cs="Arial"/>
          <w:sz w:val="21"/>
          <w:szCs w:val="21"/>
        </w:rPr>
        <w:t>日</w:t>
      </w:r>
    </w:p>
    <w:p w14:paraId="51935F1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通讯</w:t>
      </w:r>
      <w:r>
        <w:rPr>
          <w:rFonts w:ascii="Arial" w:hAnsi="Arial" w:cs="Arial"/>
          <w:sz w:val="21"/>
          <w:szCs w:val="21"/>
        </w:rPr>
        <w:t>地址：北京市</w:t>
      </w:r>
      <w:r>
        <w:rPr>
          <w:rFonts w:hint="eastAsia" w:ascii="Arial" w:hAnsi="Arial" w:cs="Arial"/>
          <w:sz w:val="21"/>
          <w:szCs w:val="21"/>
        </w:rPr>
        <w:t>朝阳区裕民路12号中国国际科技会展中心B座1003</w:t>
      </w:r>
    </w:p>
    <w:p w14:paraId="338B0C8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法定代表人：齐宏</w:t>
      </w:r>
    </w:p>
    <w:p w14:paraId="7C766805">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联 系 人：李诗霖</w:t>
      </w:r>
    </w:p>
    <w:p w14:paraId="44BB7B15">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联系电话：010-82253558</w:t>
      </w:r>
    </w:p>
    <w:p w14:paraId="55D91731">
      <w:pPr>
        <w:overflowPunct w:val="0"/>
        <w:spacing w:line="480" w:lineRule="auto"/>
        <w:ind w:firstLine="420" w:firstLineChars="200"/>
        <w:jc w:val="both"/>
        <w:textAlignment w:val="auto"/>
        <w:rPr>
          <w:rFonts w:ascii="Arial" w:hAnsi="Arial"/>
          <w:sz w:val="21"/>
          <w:szCs w:val="21"/>
        </w:rPr>
      </w:pPr>
    </w:p>
    <w:p w14:paraId="199E4F4B">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3" w:name="_Toc500322965"/>
      <w:bookmarkStart w:id="34" w:name="_Toc168225815"/>
      <w:r>
        <w:rPr>
          <w:rFonts w:hint="eastAsia" w:eastAsia="宋体"/>
          <w:kern w:val="2"/>
          <w:sz w:val="21"/>
          <w:szCs w:val="21"/>
        </w:rPr>
        <w:t>三、估价目的</w:t>
      </w:r>
      <w:bookmarkEnd w:id="33"/>
      <w:bookmarkEnd w:id="34"/>
    </w:p>
    <w:p w14:paraId="7372F3B2">
      <w:pPr>
        <w:spacing w:line="360" w:lineRule="auto"/>
        <w:ind w:firstLine="420" w:firstLineChars="200"/>
        <w:rPr>
          <w:rFonts w:ascii="Arial" w:hAnsi="Arial"/>
          <w:sz w:val="21"/>
          <w:szCs w:val="21"/>
        </w:rPr>
      </w:pPr>
      <w:bookmarkStart w:id="35" w:name="_Hlk212149559"/>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w:t>
      </w:r>
      <w:bookmarkEnd w:id="35"/>
      <w:r>
        <w:rPr>
          <w:rFonts w:hint="eastAsia" w:ascii="Arial" w:hAnsi="Arial"/>
          <w:sz w:val="21"/>
          <w:szCs w:val="21"/>
        </w:rPr>
        <w:t>。</w:t>
      </w:r>
    </w:p>
    <w:p w14:paraId="0290E86D">
      <w:pPr>
        <w:overflowPunct w:val="0"/>
        <w:spacing w:line="480" w:lineRule="auto"/>
        <w:ind w:firstLine="420" w:firstLineChars="200"/>
        <w:jc w:val="both"/>
        <w:textAlignment w:val="auto"/>
        <w:rPr>
          <w:rFonts w:ascii="Arial" w:hAnsi="Arial"/>
          <w:sz w:val="21"/>
          <w:szCs w:val="21"/>
        </w:rPr>
      </w:pPr>
    </w:p>
    <w:p w14:paraId="35BB15DF">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6" w:name="_Toc500322966"/>
      <w:bookmarkStart w:id="37" w:name="_Toc168225816"/>
      <w:r>
        <w:rPr>
          <w:rFonts w:hint="eastAsia" w:eastAsia="宋体"/>
          <w:kern w:val="2"/>
          <w:sz w:val="21"/>
          <w:szCs w:val="21"/>
        </w:rPr>
        <w:t>四、估价对象</w:t>
      </w:r>
      <w:bookmarkEnd w:id="36"/>
      <w:bookmarkEnd w:id="37"/>
    </w:p>
    <w:p w14:paraId="66977AE5">
      <w:pPr>
        <w:overflowPunct w:val="0"/>
        <w:spacing w:line="480" w:lineRule="auto"/>
        <w:jc w:val="both"/>
        <w:textAlignment w:val="auto"/>
        <w:rPr>
          <w:rFonts w:ascii="Arial" w:hAnsi="Arial"/>
          <w:b/>
          <w:kern w:val="2"/>
          <w:sz w:val="21"/>
          <w:szCs w:val="21"/>
        </w:rPr>
      </w:pPr>
      <w:r>
        <w:rPr>
          <w:rFonts w:hint="eastAsia" w:ascii="Arial" w:hAnsi="Arial"/>
          <w:b/>
          <w:kern w:val="2"/>
          <w:sz w:val="21"/>
          <w:szCs w:val="21"/>
        </w:rPr>
        <w:t>（一）估价对象范围</w:t>
      </w:r>
    </w:p>
    <w:p w14:paraId="35DF96F1">
      <w:pPr>
        <w:overflowPunct w:val="0"/>
        <w:spacing w:line="480" w:lineRule="auto"/>
        <w:ind w:firstLine="420" w:firstLineChars="200"/>
        <w:jc w:val="both"/>
        <w:textAlignment w:val="auto"/>
        <w:rPr>
          <w:rFonts w:ascii="Arial" w:hAnsi="Arial"/>
          <w:kern w:val="2"/>
          <w:sz w:val="21"/>
          <w:szCs w:val="21"/>
        </w:rPr>
      </w:pPr>
      <w:r>
        <w:rPr>
          <w:rFonts w:hint="eastAsia" w:ascii="Arial" w:hAnsi="Arial"/>
          <w:kern w:val="2"/>
          <w:sz w:val="21"/>
          <w:szCs w:val="21"/>
        </w:rPr>
        <w:t>本次评估估价对象为</w:t>
      </w:r>
      <w:r>
        <w:rPr>
          <w:rFonts w:hint="eastAsia" w:ascii="Arial" w:hAnsi="Arial"/>
          <w:kern w:val="2"/>
          <w:sz w:val="21"/>
        </w:rPr>
        <w:t>北京市海淀区西北旺镇土井村图景嘉园小区223套住宅用房</w:t>
      </w:r>
      <w:r>
        <w:rPr>
          <w:rFonts w:hint="eastAsia" w:ascii="Arial" w:hAnsi="Arial"/>
          <w:sz w:val="21"/>
          <w:szCs w:val="21"/>
        </w:rPr>
        <w:t>房地产</w:t>
      </w:r>
      <w:r>
        <w:rPr>
          <w:rFonts w:hint="eastAsia" w:ascii="Arial" w:hAnsi="Arial"/>
          <w:kern w:val="2"/>
          <w:sz w:val="21"/>
          <w:szCs w:val="21"/>
        </w:rPr>
        <w:t>，</w:t>
      </w:r>
      <w:r>
        <w:rPr>
          <w:rFonts w:hint="eastAsia" w:ascii="Arial" w:hAnsi="Arial"/>
          <w:kern w:val="2"/>
          <w:sz w:val="21"/>
        </w:rPr>
        <w:t>估价对象范围不包含债权债务、特许经营权等其他财产或权益</w:t>
      </w:r>
      <w:r>
        <w:rPr>
          <w:rFonts w:hint="eastAsia" w:ascii="Arial" w:hAnsi="Arial"/>
          <w:kern w:val="2"/>
          <w:sz w:val="21"/>
          <w:szCs w:val="21"/>
        </w:rPr>
        <w:t>。</w:t>
      </w:r>
    </w:p>
    <w:p w14:paraId="7FF4E386">
      <w:pPr>
        <w:overflowPunct w:val="0"/>
        <w:spacing w:line="480" w:lineRule="auto"/>
        <w:jc w:val="both"/>
        <w:textAlignment w:val="auto"/>
        <w:rPr>
          <w:rFonts w:ascii="Arial" w:hAnsi="Arial"/>
          <w:b/>
          <w:kern w:val="2"/>
          <w:sz w:val="21"/>
          <w:szCs w:val="21"/>
        </w:rPr>
      </w:pPr>
      <w:r>
        <w:rPr>
          <w:rFonts w:hint="eastAsia" w:ascii="Arial" w:hAnsi="Arial"/>
          <w:b/>
          <w:kern w:val="2"/>
          <w:sz w:val="21"/>
          <w:szCs w:val="21"/>
        </w:rPr>
        <w:t>（二）估价对象基本状况</w:t>
      </w:r>
    </w:p>
    <w:p w14:paraId="5CD4435A">
      <w:pPr>
        <w:overflowPunct w:val="0"/>
        <w:spacing w:line="480" w:lineRule="auto"/>
        <w:ind w:firstLine="420" w:firstLineChars="200"/>
        <w:jc w:val="both"/>
        <w:textAlignment w:val="auto"/>
        <w:rPr>
          <w:rFonts w:ascii="Arial" w:hAnsi="Arial"/>
          <w:kern w:val="2"/>
          <w:sz w:val="21"/>
          <w:szCs w:val="21"/>
        </w:rPr>
      </w:pPr>
      <w:r>
        <w:rPr>
          <w:rFonts w:ascii="Arial" w:hAnsi="Arial" w:cs="Arial"/>
          <w:kern w:val="2"/>
          <w:sz w:val="21"/>
          <w:szCs w:val="21"/>
        </w:rPr>
        <w:t>估价对象位</w:t>
      </w:r>
      <w:r>
        <w:rPr>
          <w:rFonts w:hint="eastAsia" w:ascii="Arial" w:hAnsi="Arial" w:cs="Arial"/>
          <w:kern w:val="2"/>
          <w:sz w:val="21"/>
          <w:szCs w:val="21"/>
        </w:rPr>
        <w:t>于</w:t>
      </w:r>
      <w:r>
        <w:rPr>
          <w:rFonts w:hint="eastAsia" w:ascii="Arial" w:hAnsi="Arial"/>
          <w:kern w:val="2"/>
          <w:sz w:val="21"/>
        </w:rPr>
        <w:t>北京市海淀区西北旺镇土井村图景嘉园小区</w:t>
      </w:r>
      <w:r>
        <w:rPr>
          <w:rFonts w:hint="eastAsia" w:ascii="Arial" w:hAnsi="Arial" w:cs="Arial"/>
          <w:kern w:val="2"/>
          <w:sz w:val="21"/>
          <w:szCs w:val="21"/>
        </w:rPr>
        <w:t>，</w:t>
      </w:r>
      <w:r>
        <w:rPr>
          <w:rFonts w:hint="eastAsia" w:ascii="Arial" w:hAnsi="Arial"/>
          <w:kern w:val="2"/>
          <w:sz w:val="21"/>
        </w:rPr>
        <w:t>出租方为北京市海淀区西北旺镇土井村经济合作社。</w:t>
      </w:r>
      <w:r>
        <w:rPr>
          <w:rFonts w:ascii="Arial" w:hAnsi="Arial" w:cs="Arial"/>
          <w:kern w:val="2"/>
          <w:sz w:val="21"/>
          <w:szCs w:val="21"/>
        </w:rPr>
        <w:t>本次估价对象的范围是</w:t>
      </w:r>
      <w:r>
        <w:rPr>
          <w:rFonts w:hint="eastAsia" w:ascii="Arial" w:hAnsi="Arial"/>
          <w:kern w:val="2"/>
          <w:sz w:val="21"/>
        </w:rPr>
        <w:t>北京市海淀区西北旺镇土井村图景嘉园小区223套住宅用房</w:t>
      </w:r>
      <w:r>
        <w:rPr>
          <w:rFonts w:ascii="Arial" w:hAnsi="Arial" w:cs="Arial"/>
          <w:kern w:val="2"/>
          <w:sz w:val="21"/>
          <w:szCs w:val="21"/>
        </w:rPr>
        <w:t>，建筑面积</w:t>
      </w:r>
      <w:r>
        <w:rPr>
          <w:rFonts w:hint="eastAsia" w:ascii="Arial" w:hAnsi="Arial" w:cs="Arial"/>
          <w:kern w:val="2"/>
          <w:sz w:val="21"/>
          <w:szCs w:val="21"/>
        </w:rPr>
        <w:t>16190.64</w:t>
      </w:r>
      <w:r>
        <w:rPr>
          <w:rFonts w:ascii="Arial" w:hAnsi="Arial" w:cs="Arial"/>
          <w:kern w:val="2"/>
          <w:sz w:val="21"/>
          <w:szCs w:val="21"/>
        </w:rPr>
        <w:t>平方米，</w:t>
      </w:r>
      <w:r>
        <w:rPr>
          <w:rFonts w:hint="eastAsia" w:ascii="Arial" w:hAnsi="Arial" w:cs="Arial"/>
          <w:kern w:val="2"/>
          <w:sz w:val="21"/>
          <w:szCs w:val="21"/>
        </w:rPr>
        <w:t>设定</w:t>
      </w:r>
      <w:r>
        <w:rPr>
          <w:rFonts w:ascii="Arial" w:hAnsi="Arial" w:cs="Arial"/>
          <w:kern w:val="2"/>
          <w:sz w:val="21"/>
          <w:szCs w:val="21"/>
        </w:rPr>
        <w:t>用途为</w:t>
      </w:r>
      <w:r>
        <w:rPr>
          <w:rFonts w:hint="eastAsia" w:ascii="Arial" w:hAnsi="Arial" w:cs="Arial"/>
          <w:kern w:val="2"/>
          <w:sz w:val="21"/>
          <w:szCs w:val="21"/>
        </w:rPr>
        <w:t>住宅</w:t>
      </w:r>
      <w:r>
        <w:rPr>
          <w:rFonts w:ascii="Arial" w:hAnsi="Arial" w:cs="Arial"/>
          <w:kern w:val="2"/>
          <w:sz w:val="21"/>
          <w:szCs w:val="21"/>
        </w:rPr>
        <w:t>。</w:t>
      </w:r>
    </w:p>
    <w:p w14:paraId="0F4AA15E">
      <w:pPr>
        <w:overflowPunct w:val="0"/>
        <w:spacing w:line="480" w:lineRule="auto"/>
        <w:jc w:val="both"/>
        <w:textAlignment w:val="auto"/>
        <w:rPr>
          <w:rFonts w:ascii="Arial" w:hAnsi="Arial"/>
          <w:b/>
          <w:kern w:val="2"/>
          <w:sz w:val="21"/>
          <w:szCs w:val="21"/>
        </w:rPr>
      </w:pPr>
      <w:r>
        <w:rPr>
          <w:rFonts w:hint="eastAsia" w:ascii="Arial" w:hAnsi="Arial"/>
          <w:b/>
          <w:kern w:val="2"/>
          <w:sz w:val="21"/>
          <w:szCs w:val="21"/>
        </w:rPr>
        <w:t>（三</w:t>
      </w:r>
      <w:commentRangeStart w:id="1"/>
      <w:r>
        <w:rPr>
          <w:rFonts w:hint="eastAsia" w:ascii="Arial" w:hAnsi="Arial"/>
          <w:b/>
          <w:kern w:val="2"/>
          <w:sz w:val="21"/>
          <w:szCs w:val="21"/>
        </w:rPr>
        <w:t>）房地产基本状况</w:t>
      </w:r>
      <w:commentRangeEnd w:id="1"/>
      <w:r>
        <w:rPr>
          <w:rStyle w:val="39"/>
        </w:rPr>
        <w:commentReference w:id="1"/>
      </w:r>
    </w:p>
    <w:p w14:paraId="224620C5">
      <w:pPr>
        <w:spacing w:line="480" w:lineRule="auto"/>
        <w:ind w:firstLine="420" w:firstLineChars="200"/>
        <w:rPr>
          <w:rFonts w:hint="eastAsia" w:ascii="Arial" w:hAnsi="Arial"/>
          <w:kern w:val="2"/>
          <w:sz w:val="21"/>
        </w:rPr>
      </w:pPr>
      <w:r>
        <w:rPr>
          <w:rFonts w:hint="eastAsia" w:ascii="Arial" w:hAnsi="Arial"/>
          <w:kern w:val="2"/>
          <w:sz w:val="21"/>
        </w:rPr>
        <w:t>根据估价委托人提供的《国有土地使用证》[京海国用(2014划)第 00237 号]复印件，估价对象所属项目宗地士地使用权人为北京土井嘉园房地产开发有限公司，地类(用途)为城镇住宅用地，使用权类型为划拨，使用权面积为 46959.62 平方米。</w:t>
      </w:r>
    </w:p>
    <w:p w14:paraId="0D0F48CC">
      <w:pPr>
        <w:spacing w:line="480" w:lineRule="auto"/>
        <w:ind w:firstLine="420" w:firstLineChars="200"/>
        <w:rPr>
          <w:rFonts w:ascii="Arial" w:hAnsi="Arial"/>
          <w:kern w:val="2"/>
          <w:sz w:val="21"/>
        </w:rPr>
      </w:pPr>
      <w:r>
        <w:rPr>
          <w:rFonts w:hint="eastAsia" w:ascii="Arial" w:hAnsi="Arial"/>
          <w:kern w:val="2"/>
          <w:sz w:val="21"/>
        </w:rPr>
        <w:t>根据估价委托人提供的《估价委托书》、《租赁合同》[合同编号：JXZF-TJJY-20210001]及注册房地产估价师调查，估价对象为北京市海淀区西北旺镇土井村图景嘉园小区223套住宅用房房地产，出租方为北京市海淀区西北旺镇土井村经济合作社，现状由</w:t>
      </w:r>
      <w:r>
        <w:rPr>
          <w:rFonts w:hint="eastAsia" w:ascii="Arial" w:hAnsi="Arial"/>
          <w:sz w:val="21"/>
          <w:szCs w:val="21"/>
        </w:rPr>
        <w:t>建信住房租赁服务(北京)有限责任公司承租经营</w:t>
      </w:r>
      <w:r>
        <w:rPr>
          <w:rFonts w:hint="eastAsia" w:ascii="Arial" w:hAnsi="Arial"/>
          <w:kern w:val="2"/>
          <w:sz w:val="21"/>
        </w:rPr>
        <w:t>，设定</w:t>
      </w:r>
      <w:r>
        <w:rPr>
          <w:rFonts w:hint="eastAsia" w:ascii="Arial" w:hAnsi="Arial"/>
          <w:bCs/>
          <w:sz w:val="21"/>
        </w:rPr>
        <w:t>用途为住宅</w:t>
      </w:r>
      <w:r>
        <w:rPr>
          <w:rFonts w:hint="eastAsia" w:ascii="Arial" w:hAnsi="Arial"/>
          <w:kern w:val="2"/>
          <w:sz w:val="21"/>
        </w:rPr>
        <w:t>，设定评估状态为包含家具家电。估价对象分布于北京市海淀区西北旺镇土井村图景嘉园小区1、2、3、5、6、7、8、9、10、12号楼，朝向为设定南北，估价对象各户型情况如下：</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663"/>
        <w:gridCol w:w="1116"/>
        <w:gridCol w:w="1966"/>
        <w:gridCol w:w="3643"/>
      </w:tblGrid>
      <w:tr w14:paraId="4751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19EBF677">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户型名称</w:t>
            </w:r>
          </w:p>
        </w:tc>
        <w:tc>
          <w:tcPr>
            <w:tcW w:w="880" w:type="pct"/>
            <w:vAlign w:val="center"/>
          </w:tcPr>
          <w:p w14:paraId="08706A98">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各户型面积范围（㎡）</w:t>
            </w:r>
          </w:p>
        </w:tc>
        <w:tc>
          <w:tcPr>
            <w:tcW w:w="561" w:type="pct"/>
            <w:noWrap/>
            <w:vAlign w:val="center"/>
          </w:tcPr>
          <w:p w14:paraId="397CF9DB">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套数（套）</w:t>
            </w:r>
          </w:p>
        </w:tc>
        <w:tc>
          <w:tcPr>
            <w:tcW w:w="1039" w:type="pct"/>
            <w:noWrap/>
            <w:vAlign w:val="center"/>
          </w:tcPr>
          <w:p w14:paraId="18DD0F53">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总建筑面积（㎡）</w:t>
            </w:r>
          </w:p>
        </w:tc>
        <w:tc>
          <w:tcPr>
            <w:tcW w:w="1920" w:type="pct"/>
            <w:vAlign w:val="center"/>
          </w:tcPr>
          <w:p w14:paraId="3D43EDB5">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家具家电配备情况</w:t>
            </w:r>
          </w:p>
        </w:tc>
      </w:tr>
      <w:tr w14:paraId="2127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96" w:type="pct"/>
            <w:noWrap/>
            <w:vAlign w:val="center"/>
          </w:tcPr>
          <w:p w14:paraId="37A50613">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三居室</w:t>
            </w:r>
          </w:p>
        </w:tc>
        <w:tc>
          <w:tcPr>
            <w:tcW w:w="880" w:type="pct"/>
            <w:vAlign w:val="center"/>
          </w:tcPr>
          <w:p w14:paraId="3015EE3A">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101.18-130.61</w:t>
            </w:r>
          </w:p>
        </w:tc>
        <w:tc>
          <w:tcPr>
            <w:tcW w:w="561" w:type="pct"/>
            <w:noWrap/>
            <w:vAlign w:val="center"/>
          </w:tcPr>
          <w:p w14:paraId="39CDD569">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35</w:t>
            </w:r>
          </w:p>
        </w:tc>
        <w:tc>
          <w:tcPr>
            <w:tcW w:w="1039" w:type="pct"/>
            <w:noWrap/>
            <w:vAlign w:val="center"/>
          </w:tcPr>
          <w:p w14:paraId="2FED5707">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3672.23</w:t>
            </w:r>
          </w:p>
        </w:tc>
        <w:tc>
          <w:tcPr>
            <w:tcW w:w="1920" w:type="pct"/>
            <w:vMerge w:val="restart"/>
            <w:vAlign w:val="center"/>
          </w:tcPr>
          <w:p w14:paraId="77CFCA1B">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床、床垫、衣柜、餐桌、书桌、椅子、电视柜、电视、穿衣镜、橱柜、空调、冰箱、洗衣机、抽油烟机、热水器、洗手池、座便器</w:t>
            </w:r>
          </w:p>
        </w:tc>
      </w:tr>
      <w:tr w14:paraId="3723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35F1540E">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两居室</w:t>
            </w:r>
          </w:p>
        </w:tc>
        <w:tc>
          <w:tcPr>
            <w:tcW w:w="880" w:type="pct"/>
            <w:vAlign w:val="center"/>
          </w:tcPr>
          <w:p w14:paraId="28424566">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76.39-84.46</w:t>
            </w:r>
          </w:p>
        </w:tc>
        <w:tc>
          <w:tcPr>
            <w:tcW w:w="561" w:type="pct"/>
            <w:noWrap/>
            <w:vAlign w:val="center"/>
          </w:tcPr>
          <w:p w14:paraId="2B217E0E">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101</w:t>
            </w:r>
          </w:p>
        </w:tc>
        <w:tc>
          <w:tcPr>
            <w:tcW w:w="1039" w:type="pct"/>
            <w:noWrap/>
            <w:vAlign w:val="center"/>
          </w:tcPr>
          <w:p w14:paraId="30CF2F9D">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8185.51</w:t>
            </w:r>
          </w:p>
        </w:tc>
        <w:tc>
          <w:tcPr>
            <w:tcW w:w="1920" w:type="pct"/>
            <w:vMerge w:val="continue"/>
            <w:vAlign w:val="center"/>
          </w:tcPr>
          <w:p w14:paraId="65FD213B">
            <w:pPr>
              <w:widowControl/>
              <w:overflowPunct w:val="0"/>
              <w:spacing w:line="240" w:lineRule="auto"/>
              <w:jc w:val="center"/>
              <w:textAlignment w:val="auto"/>
              <w:rPr>
                <w:rFonts w:ascii="Arial" w:hAnsi="Arial" w:eastAsia="华文细黑" w:cs="宋体"/>
                <w:color w:val="000000"/>
                <w:sz w:val="18"/>
                <w:szCs w:val="21"/>
              </w:rPr>
            </w:pPr>
          </w:p>
        </w:tc>
      </w:tr>
      <w:tr w14:paraId="3E73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66BCDA08">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一居室</w:t>
            </w:r>
          </w:p>
        </w:tc>
        <w:tc>
          <w:tcPr>
            <w:tcW w:w="880" w:type="pct"/>
            <w:vAlign w:val="center"/>
          </w:tcPr>
          <w:p w14:paraId="5E1CC776">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52.12-53.93</w:t>
            </w:r>
          </w:p>
        </w:tc>
        <w:tc>
          <w:tcPr>
            <w:tcW w:w="561" w:type="pct"/>
            <w:noWrap/>
            <w:vAlign w:val="center"/>
          </w:tcPr>
          <w:p w14:paraId="3C13624D">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42</w:t>
            </w:r>
          </w:p>
        </w:tc>
        <w:tc>
          <w:tcPr>
            <w:tcW w:w="1039" w:type="pct"/>
            <w:noWrap/>
            <w:vAlign w:val="center"/>
          </w:tcPr>
          <w:p w14:paraId="37BFFF28">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2229.34</w:t>
            </w:r>
          </w:p>
        </w:tc>
        <w:tc>
          <w:tcPr>
            <w:tcW w:w="1920" w:type="pct"/>
            <w:vMerge w:val="continue"/>
            <w:vAlign w:val="center"/>
          </w:tcPr>
          <w:p w14:paraId="6CF6A3DA">
            <w:pPr>
              <w:widowControl/>
              <w:overflowPunct w:val="0"/>
              <w:spacing w:line="240" w:lineRule="auto"/>
              <w:jc w:val="center"/>
              <w:textAlignment w:val="auto"/>
              <w:rPr>
                <w:rFonts w:ascii="Arial" w:hAnsi="Arial" w:eastAsia="华文细黑" w:cs="宋体"/>
                <w:color w:val="000000"/>
                <w:sz w:val="18"/>
                <w:szCs w:val="21"/>
              </w:rPr>
            </w:pPr>
          </w:p>
        </w:tc>
      </w:tr>
      <w:tr w14:paraId="0191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7D83B95B">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开间</w:t>
            </w:r>
          </w:p>
        </w:tc>
        <w:tc>
          <w:tcPr>
            <w:tcW w:w="880" w:type="pct"/>
            <w:vAlign w:val="center"/>
          </w:tcPr>
          <w:p w14:paraId="5B605FF1">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46.01-47.19</w:t>
            </w:r>
          </w:p>
        </w:tc>
        <w:tc>
          <w:tcPr>
            <w:tcW w:w="561" w:type="pct"/>
            <w:noWrap/>
            <w:vAlign w:val="center"/>
          </w:tcPr>
          <w:p w14:paraId="5F8A39B5">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45</w:t>
            </w:r>
          </w:p>
        </w:tc>
        <w:tc>
          <w:tcPr>
            <w:tcW w:w="1039" w:type="pct"/>
            <w:noWrap/>
            <w:vAlign w:val="center"/>
          </w:tcPr>
          <w:p w14:paraId="7B0C0F01">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2103.56</w:t>
            </w:r>
          </w:p>
        </w:tc>
        <w:tc>
          <w:tcPr>
            <w:tcW w:w="1920" w:type="pct"/>
            <w:vMerge w:val="continue"/>
            <w:vAlign w:val="center"/>
          </w:tcPr>
          <w:p w14:paraId="2272A8FD">
            <w:pPr>
              <w:widowControl/>
              <w:overflowPunct w:val="0"/>
              <w:spacing w:line="240" w:lineRule="auto"/>
              <w:jc w:val="center"/>
              <w:textAlignment w:val="auto"/>
              <w:rPr>
                <w:rFonts w:ascii="Arial" w:hAnsi="Arial" w:eastAsia="华文细黑" w:cs="宋体"/>
                <w:color w:val="000000"/>
                <w:sz w:val="18"/>
                <w:szCs w:val="21"/>
              </w:rPr>
            </w:pPr>
          </w:p>
        </w:tc>
      </w:tr>
      <w:tr w14:paraId="13FF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96" w:type="pct"/>
            <w:noWrap/>
            <w:vAlign w:val="center"/>
          </w:tcPr>
          <w:p w14:paraId="2721BB68">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w:t>
            </w:r>
          </w:p>
        </w:tc>
        <w:tc>
          <w:tcPr>
            <w:tcW w:w="880" w:type="pct"/>
            <w:vAlign w:val="center"/>
          </w:tcPr>
          <w:p w14:paraId="67A8560A">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w:t>
            </w:r>
          </w:p>
        </w:tc>
        <w:tc>
          <w:tcPr>
            <w:tcW w:w="561" w:type="pct"/>
            <w:noWrap/>
            <w:vAlign w:val="center"/>
          </w:tcPr>
          <w:p w14:paraId="50E55793">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223</w:t>
            </w:r>
          </w:p>
        </w:tc>
        <w:tc>
          <w:tcPr>
            <w:tcW w:w="1039" w:type="pct"/>
            <w:noWrap/>
            <w:vAlign w:val="center"/>
          </w:tcPr>
          <w:p w14:paraId="7DEE314F">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16190.64</w:t>
            </w:r>
          </w:p>
        </w:tc>
        <w:tc>
          <w:tcPr>
            <w:tcW w:w="1920" w:type="pct"/>
            <w:vAlign w:val="center"/>
          </w:tcPr>
          <w:p w14:paraId="20E5F655">
            <w:pPr>
              <w:widowControl/>
              <w:overflowPunct w:val="0"/>
              <w:spacing w:line="240" w:lineRule="auto"/>
              <w:jc w:val="center"/>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w:t>
            </w:r>
          </w:p>
        </w:tc>
      </w:tr>
    </w:tbl>
    <w:p w14:paraId="4A6B8F00">
      <w:pPr>
        <w:overflowPunct w:val="0"/>
        <w:spacing w:line="480" w:lineRule="auto"/>
        <w:ind w:firstLine="360" w:firstLineChars="200"/>
        <w:jc w:val="both"/>
        <w:textAlignment w:val="auto"/>
        <w:rPr>
          <w:rFonts w:ascii="Arial" w:hAnsi="Arial"/>
          <w:bCs/>
          <w:sz w:val="18"/>
          <w:szCs w:val="18"/>
        </w:rPr>
      </w:pPr>
    </w:p>
    <w:p w14:paraId="589A6CF0">
      <w:pPr>
        <w:overflowPunct w:val="0"/>
        <w:spacing w:line="480" w:lineRule="auto"/>
        <w:jc w:val="both"/>
        <w:textAlignment w:val="auto"/>
        <w:rPr>
          <w:rFonts w:ascii="Arial" w:hAnsi="Arial"/>
          <w:b/>
          <w:bCs/>
          <w:sz w:val="21"/>
          <w:szCs w:val="21"/>
        </w:rPr>
      </w:pPr>
      <w:r>
        <w:rPr>
          <w:rFonts w:hint="eastAsia" w:ascii="Arial" w:hAnsi="Arial"/>
          <w:b/>
          <w:bCs/>
          <w:sz w:val="21"/>
          <w:szCs w:val="21"/>
        </w:rPr>
        <w:t>（四）他项权利状况</w:t>
      </w:r>
    </w:p>
    <w:p w14:paraId="04789406">
      <w:pPr>
        <w:overflowPunct w:val="0"/>
        <w:spacing w:line="480" w:lineRule="auto"/>
        <w:ind w:firstLine="420" w:firstLineChars="200"/>
        <w:jc w:val="both"/>
        <w:textAlignment w:val="auto"/>
        <w:rPr>
          <w:rFonts w:ascii="Arial" w:hAnsi="Arial"/>
          <w:sz w:val="21"/>
          <w:szCs w:val="21"/>
        </w:rPr>
      </w:pPr>
      <w:r>
        <w:rPr>
          <w:rFonts w:hint="eastAsia" w:ascii="Arial" w:hAnsi="Arial" w:cs="Arial"/>
          <w:kern w:val="2"/>
          <w:sz w:val="21"/>
        </w:rPr>
        <w:t>根据评估专业人员实地查勘，估价对象目前部分已出租，本次评估是</w:t>
      </w:r>
      <w:r>
        <w:rPr>
          <w:rFonts w:hint="eastAsia" w:ascii="Arial" w:hAnsi="Arial"/>
          <w:kern w:val="2"/>
          <w:sz w:val="21"/>
        </w:rPr>
        <w:t>为估价委托人了解估价对象</w:t>
      </w:r>
      <w:r>
        <w:rPr>
          <w:rFonts w:hint="eastAsia" w:ascii="Arial" w:hAnsi="Arial"/>
          <w:bCs/>
          <w:sz w:val="21"/>
        </w:rPr>
        <w:t>在设定条件下的</w:t>
      </w:r>
      <w:r>
        <w:rPr>
          <w:rFonts w:hint="eastAsia" w:ascii="Arial" w:hAnsi="Arial"/>
          <w:kern w:val="2"/>
          <w:sz w:val="21"/>
        </w:rPr>
        <w:t>房地产市场租金提供参考依据。经与估价委托人确认，本次评估不考虑已设定的租赁权对估价结果的影响。</w:t>
      </w:r>
      <w:r>
        <w:rPr>
          <w:rFonts w:hint="eastAsia" w:ascii="Arial" w:hAnsi="Arial"/>
          <w:sz w:val="21"/>
          <w:szCs w:val="21"/>
        </w:rPr>
        <w:t>根据《估价委托书》，截至本报告出具之日，未见估价对象抵押权、地役权等其他他项权利。</w:t>
      </w:r>
    </w:p>
    <w:p w14:paraId="6A63AB9D">
      <w:pPr>
        <w:rPr>
          <w:rFonts w:hint="eastAsia" w:ascii="Arial" w:hAnsi="Arial"/>
          <w:b/>
          <w:bCs/>
          <w:sz w:val="21"/>
          <w:szCs w:val="21"/>
        </w:rPr>
      </w:pPr>
      <w:r>
        <w:rPr>
          <w:rFonts w:hint="eastAsia" w:ascii="Arial" w:hAnsi="Arial"/>
          <w:b/>
          <w:bCs/>
          <w:sz w:val="21"/>
          <w:szCs w:val="21"/>
        </w:rPr>
        <w:br w:type="page"/>
      </w:r>
    </w:p>
    <w:p w14:paraId="1991E5B0">
      <w:pPr>
        <w:overflowPunct w:val="0"/>
        <w:spacing w:line="480" w:lineRule="auto"/>
        <w:jc w:val="both"/>
        <w:textAlignment w:val="auto"/>
        <w:rPr>
          <w:rFonts w:ascii="Arial" w:hAnsi="Arial"/>
          <w:b/>
          <w:bCs/>
          <w:sz w:val="21"/>
          <w:szCs w:val="21"/>
        </w:rPr>
      </w:pPr>
      <w:r>
        <w:rPr>
          <w:rFonts w:hint="eastAsia" w:ascii="Arial" w:hAnsi="Arial"/>
          <w:b/>
          <w:bCs/>
          <w:sz w:val="21"/>
          <w:szCs w:val="21"/>
        </w:rPr>
        <w:t>（五）实物状况</w:t>
      </w:r>
    </w:p>
    <w:p w14:paraId="65F4688F">
      <w:pPr>
        <w:widowControl/>
        <w:overflowPunct w:val="0"/>
        <w:spacing w:line="240" w:lineRule="auto"/>
        <w:ind w:firstLine="420" w:firstLineChars="200"/>
        <w:jc w:val="both"/>
        <w:textAlignment w:val="auto"/>
        <w:rPr>
          <w:rFonts w:ascii="Arial" w:hAnsi="Arial"/>
          <w:sz w:val="21"/>
          <w:szCs w:val="21"/>
        </w:rPr>
      </w:pPr>
      <w:r>
        <w:rPr>
          <w:rFonts w:hint="eastAsia" w:ascii="Arial" w:hAnsi="Arial"/>
          <w:sz w:val="21"/>
          <w:szCs w:val="21"/>
        </w:rPr>
        <w:t>1.公共部分：</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2127"/>
        <w:gridCol w:w="2522"/>
        <w:gridCol w:w="2325"/>
        <w:gridCol w:w="2325"/>
      </w:tblGrid>
      <w:tr w14:paraId="72B4869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4B8EB266">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结构形式</w:t>
            </w:r>
          </w:p>
        </w:tc>
        <w:tc>
          <w:tcPr>
            <w:tcW w:w="2522" w:type="dxa"/>
            <w:vAlign w:val="center"/>
          </w:tcPr>
          <w:p w14:paraId="357C85FC">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钢混</w:t>
            </w:r>
          </w:p>
        </w:tc>
        <w:tc>
          <w:tcPr>
            <w:tcW w:w="2325" w:type="dxa"/>
            <w:vAlign w:val="center"/>
          </w:tcPr>
          <w:p w14:paraId="4412A25A">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建筑类型</w:t>
            </w:r>
          </w:p>
        </w:tc>
        <w:tc>
          <w:tcPr>
            <w:tcW w:w="2325" w:type="dxa"/>
            <w:vAlign w:val="center"/>
          </w:tcPr>
          <w:p w14:paraId="62A3AB23">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高层板楼</w:t>
            </w:r>
          </w:p>
        </w:tc>
      </w:tr>
      <w:tr w14:paraId="6F80AEF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6F6197EA">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外立面装饰</w:t>
            </w:r>
          </w:p>
        </w:tc>
        <w:tc>
          <w:tcPr>
            <w:tcW w:w="7172" w:type="dxa"/>
            <w:gridSpan w:val="3"/>
            <w:vAlign w:val="center"/>
          </w:tcPr>
          <w:p w14:paraId="28C20B1A">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w:t>
            </w:r>
          </w:p>
        </w:tc>
      </w:tr>
      <w:tr w14:paraId="77CCAB9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165DA0A8">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大堂设计装修</w:t>
            </w:r>
          </w:p>
        </w:tc>
        <w:tc>
          <w:tcPr>
            <w:tcW w:w="7172" w:type="dxa"/>
            <w:gridSpan w:val="3"/>
            <w:vAlign w:val="center"/>
          </w:tcPr>
          <w:p w14:paraId="0F30602D">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涂料顶棚，涂料墙面，地砖地面</w:t>
            </w:r>
          </w:p>
        </w:tc>
      </w:tr>
      <w:tr w14:paraId="640D79B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E682EDA">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电梯间装修</w:t>
            </w:r>
          </w:p>
        </w:tc>
        <w:tc>
          <w:tcPr>
            <w:tcW w:w="7172" w:type="dxa"/>
            <w:gridSpan w:val="3"/>
            <w:vAlign w:val="center"/>
          </w:tcPr>
          <w:p w14:paraId="0DDD468C">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涂料顶棚，涂料墙面，地砖地面</w:t>
            </w:r>
          </w:p>
        </w:tc>
      </w:tr>
      <w:tr w14:paraId="711E271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9299" w:type="dxa"/>
            <w:gridSpan w:val="4"/>
            <w:noWrap/>
            <w:vAlign w:val="center"/>
          </w:tcPr>
          <w:p w14:paraId="2E498DA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基础设施情况</w:t>
            </w:r>
          </w:p>
        </w:tc>
      </w:tr>
      <w:tr w14:paraId="70396C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5391A073">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道路</w:t>
            </w:r>
          </w:p>
        </w:tc>
        <w:tc>
          <w:tcPr>
            <w:tcW w:w="2522" w:type="dxa"/>
            <w:vAlign w:val="center"/>
          </w:tcPr>
          <w:p w14:paraId="68166DB3">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城市次干道-图景嘉园路</w:t>
            </w:r>
          </w:p>
        </w:tc>
        <w:tc>
          <w:tcPr>
            <w:tcW w:w="2325" w:type="dxa"/>
            <w:vAlign w:val="center"/>
          </w:tcPr>
          <w:p w14:paraId="5C1BD59E">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供水</w:t>
            </w:r>
          </w:p>
        </w:tc>
        <w:tc>
          <w:tcPr>
            <w:tcW w:w="2325" w:type="dxa"/>
            <w:vAlign w:val="center"/>
          </w:tcPr>
          <w:p w14:paraId="0CCA708A">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市政管网供水</w:t>
            </w:r>
          </w:p>
        </w:tc>
      </w:tr>
      <w:tr w14:paraId="0278A7B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562A857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排水</w:t>
            </w:r>
          </w:p>
        </w:tc>
        <w:tc>
          <w:tcPr>
            <w:tcW w:w="2522" w:type="dxa"/>
            <w:vAlign w:val="center"/>
          </w:tcPr>
          <w:p w14:paraId="5614DA0D">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市政管网排水</w:t>
            </w:r>
          </w:p>
        </w:tc>
        <w:tc>
          <w:tcPr>
            <w:tcW w:w="2325" w:type="dxa"/>
            <w:vAlign w:val="center"/>
          </w:tcPr>
          <w:p w14:paraId="007CBAD3">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供电</w:t>
            </w:r>
          </w:p>
        </w:tc>
        <w:tc>
          <w:tcPr>
            <w:tcW w:w="2325" w:type="dxa"/>
            <w:vAlign w:val="center"/>
          </w:tcPr>
          <w:p w14:paraId="32DE5F24">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市政供电</w:t>
            </w:r>
          </w:p>
        </w:tc>
      </w:tr>
      <w:tr w14:paraId="584B42E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B6948E0">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供暖</w:t>
            </w:r>
          </w:p>
        </w:tc>
        <w:tc>
          <w:tcPr>
            <w:tcW w:w="2522" w:type="dxa"/>
            <w:vAlign w:val="center"/>
          </w:tcPr>
          <w:p w14:paraId="06E24BC1">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市政供暖</w:t>
            </w:r>
          </w:p>
        </w:tc>
        <w:tc>
          <w:tcPr>
            <w:tcW w:w="2325" w:type="dxa"/>
            <w:vAlign w:val="center"/>
          </w:tcPr>
          <w:p w14:paraId="19AF01EF">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通讯</w:t>
            </w:r>
          </w:p>
        </w:tc>
        <w:tc>
          <w:tcPr>
            <w:tcW w:w="2325" w:type="dxa"/>
            <w:vAlign w:val="center"/>
          </w:tcPr>
          <w:p w14:paraId="49DFA494">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w:t>
            </w:r>
          </w:p>
        </w:tc>
      </w:tr>
      <w:tr w14:paraId="60E5712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CDAF4CF">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通讯</w:t>
            </w:r>
          </w:p>
        </w:tc>
        <w:tc>
          <w:tcPr>
            <w:tcW w:w="2522" w:type="dxa"/>
            <w:vAlign w:val="center"/>
          </w:tcPr>
          <w:p w14:paraId="3E718E32">
            <w:pPr>
              <w:widowControl/>
              <w:overflowPunct w:val="0"/>
              <w:spacing w:line="240" w:lineRule="auto"/>
              <w:rPr>
                <w:rFonts w:ascii="Arial" w:hAnsi="Arial" w:eastAsia="华文细黑" w:cs="宋体"/>
                <w:sz w:val="18"/>
                <w:szCs w:val="21"/>
              </w:rPr>
            </w:pPr>
            <w:r>
              <w:rPr>
                <w:rFonts w:hint="eastAsia" w:ascii="Arial" w:hAnsi="Arial" w:eastAsia="华文细黑" w:cs="宋体"/>
                <w:sz w:val="18"/>
                <w:szCs w:val="21"/>
              </w:rPr>
              <w:t>电话线、有线电视、宽带入户</w:t>
            </w:r>
          </w:p>
        </w:tc>
        <w:tc>
          <w:tcPr>
            <w:tcW w:w="2325" w:type="dxa"/>
            <w:vAlign w:val="center"/>
          </w:tcPr>
          <w:p w14:paraId="31C3C1A2">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通风空调系统</w:t>
            </w:r>
          </w:p>
        </w:tc>
        <w:tc>
          <w:tcPr>
            <w:tcW w:w="2325" w:type="dxa"/>
            <w:vAlign w:val="center"/>
          </w:tcPr>
          <w:p w14:paraId="3354A2E4">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壁挂式空调</w:t>
            </w:r>
          </w:p>
        </w:tc>
      </w:tr>
      <w:tr w14:paraId="34A4677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05A4A65">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消防系统</w:t>
            </w:r>
          </w:p>
        </w:tc>
        <w:tc>
          <w:tcPr>
            <w:tcW w:w="7172" w:type="dxa"/>
            <w:gridSpan w:val="3"/>
            <w:vAlign w:val="center"/>
          </w:tcPr>
          <w:p w14:paraId="5E57B962">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消防栓</w:t>
            </w:r>
          </w:p>
        </w:tc>
      </w:tr>
      <w:tr w14:paraId="25D248B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6BE61BB1">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安全系统</w:t>
            </w:r>
          </w:p>
        </w:tc>
        <w:tc>
          <w:tcPr>
            <w:tcW w:w="7172" w:type="dxa"/>
            <w:gridSpan w:val="3"/>
            <w:vAlign w:val="center"/>
          </w:tcPr>
          <w:p w14:paraId="7D608E59">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楼宇对讲门禁</w:t>
            </w:r>
          </w:p>
        </w:tc>
      </w:tr>
      <w:tr w14:paraId="597C9BE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66FDE686">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停车</w:t>
            </w:r>
          </w:p>
        </w:tc>
        <w:tc>
          <w:tcPr>
            <w:tcW w:w="7172" w:type="dxa"/>
            <w:gridSpan w:val="3"/>
            <w:vAlign w:val="center"/>
          </w:tcPr>
          <w:p w14:paraId="177455AF">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地上有少量停车位、地下车库</w:t>
            </w:r>
          </w:p>
        </w:tc>
      </w:tr>
      <w:tr w14:paraId="515A177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127" w:type="dxa"/>
            <w:noWrap/>
            <w:vAlign w:val="center"/>
          </w:tcPr>
          <w:p w14:paraId="387106AB">
            <w:pPr>
              <w:widowControl/>
              <w:overflowPunct w:val="0"/>
              <w:spacing w:line="240" w:lineRule="auto"/>
              <w:textAlignment w:val="auto"/>
              <w:rPr>
                <w:rFonts w:ascii="Arial" w:hAnsi="Arial" w:eastAsia="华文细黑" w:cs="宋体"/>
                <w:color w:val="000000"/>
                <w:sz w:val="18"/>
                <w:szCs w:val="21"/>
              </w:rPr>
            </w:pPr>
            <w:r>
              <w:rPr>
                <w:rFonts w:hint="eastAsia" w:ascii="Arial" w:hAnsi="Arial" w:eastAsia="华文细黑" w:cs="宋体"/>
                <w:color w:val="000000"/>
                <w:sz w:val="18"/>
                <w:szCs w:val="21"/>
              </w:rPr>
              <w:t>物业管理</w:t>
            </w:r>
          </w:p>
        </w:tc>
        <w:tc>
          <w:tcPr>
            <w:tcW w:w="7172" w:type="dxa"/>
            <w:gridSpan w:val="3"/>
            <w:vAlign w:val="center"/>
          </w:tcPr>
          <w:p w14:paraId="4A8524B6">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物业公司管理</w:t>
            </w:r>
          </w:p>
        </w:tc>
      </w:tr>
    </w:tbl>
    <w:p w14:paraId="6243D2C9">
      <w:pPr>
        <w:widowControl/>
        <w:overflowPunct w:val="0"/>
        <w:spacing w:line="240" w:lineRule="auto"/>
        <w:ind w:firstLine="420" w:firstLineChars="200"/>
        <w:jc w:val="both"/>
        <w:textAlignment w:val="auto"/>
        <w:rPr>
          <w:rFonts w:ascii="Arial" w:hAnsi="Arial"/>
          <w:sz w:val="21"/>
          <w:szCs w:val="21"/>
        </w:rPr>
      </w:pPr>
    </w:p>
    <w:p w14:paraId="256E4753">
      <w:pPr>
        <w:widowControl/>
        <w:overflowPunct w:val="0"/>
        <w:spacing w:line="240" w:lineRule="auto"/>
        <w:ind w:firstLine="420" w:firstLineChars="200"/>
        <w:jc w:val="both"/>
        <w:textAlignment w:val="auto"/>
        <w:rPr>
          <w:rFonts w:ascii="Arial" w:hAnsi="Arial"/>
          <w:sz w:val="21"/>
          <w:szCs w:val="21"/>
        </w:rPr>
      </w:pPr>
      <w:r>
        <w:rPr>
          <w:rFonts w:hint="eastAsia" w:ascii="Arial" w:hAnsi="Arial"/>
          <w:sz w:val="21"/>
          <w:szCs w:val="21"/>
        </w:rPr>
        <w:t xml:space="preserve">2.户内部分： </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28" w:type="dxa"/>
          <w:bottom w:w="85" w:type="dxa"/>
          <w:right w:w="28" w:type="dxa"/>
        </w:tblCellMar>
      </w:tblPr>
      <w:tblGrid>
        <w:gridCol w:w="1337"/>
        <w:gridCol w:w="1781"/>
        <w:gridCol w:w="1781"/>
        <w:gridCol w:w="1632"/>
        <w:gridCol w:w="2820"/>
      </w:tblGrid>
      <w:tr w14:paraId="3905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21" w:hRule="atLeast"/>
          <w:jc w:val="center"/>
        </w:trPr>
        <w:tc>
          <w:tcPr>
            <w:tcW w:w="715" w:type="pct"/>
            <w:vAlign w:val="center"/>
          </w:tcPr>
          <w:p w14:paraId="1F034B4E">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单元类型</w:t>
            </w:r>
          </w:p>
        </w:tc>
        <w:tc>
          <w:tcPr>
            <w:tcW w:w="1904" w:type="pct"/>
            <w:gridSpan w:val="2"/>
            <w:tcMar>
              <w:bottom w:w="0" w:type="dxa"/>
            </w:tcMar>
            <w:vAlign w:val="center"/>
          </w:tcPr>
          <w:p w14:paraId="4FCE3400">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平层</w:t>
            </w:r>
          </w:p>
        </w:tc>
        <w:tc>
          <w:tcPr>
            <w:tcW w:w="872" w:type="pct"/>
            <w:vAlign w:val="center"/>
          </w:tcPr>
          <w:p w14:paraId="603F6C10">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朝向</w:t>
            </w:r>
          </w:p>
        </w:tc>
        <w:tc>
          <w:tcPr>
            <w:tcW w:w="1507" w:type="pct"/>
            <w:vAlign w:val="center"/>
          </w:tcPr>
          <w:p w14:paraId="5CC922F4">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南北</w:t>
            </w:r>
          </w:p>
        </w:tc>
      </w:tr>
      <w:tr w14:paraId="7443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05" w:hRule="atLeast"/>
          <w:jc w:val="center"/>
        </w:trPr>
        <w:tc>
          <w:tcPr>
            <w:tcW w:w="715" w:type="pct"/>
            <w:vAlign w:val="center"/>
          </w:tcPr>
          <w:p w14:paraId="6E989FD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外门窗</w:t>
            </w:r>
          </w:p>
        </w:tc>
        <w:tc>
          <w:tcPr>
            <w:tcW w:w="1904" w:type="pct"/>
            <w:gridSpan w:val="2"/>
            <w:tcMar>
              <w:bottom w:w="0" w:type="dxa"/>
            </w:tcMar>
            <w:vAlign w:val="center"/>
          </w:tcPr>
          <w:p w14:paraId="21A60D84">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防盗门、塑钢窗</w:t>
            </w:r>
          </w:p>
        </w:tc>
        <w:tc>
          <w:tcPr>
            <w:tcW w:w="872" w:type="pct"/>
            <w:vAlign w:val="center"/>
          </w:tcPr>
          <w:p w14:paraId="322AA5D5">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内门</w:t>
            </w:r>
          </w:p>
        </w:tc>
        <w:tc>
          <w:tcPr>
            <w:tcW w:w="1507" w:type="pct"/>
            <w:vAlign w:val="center"/>
          </w:tcPr>
          <w:p w14:paraId="7FEB77C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木门、木玻门</w:t>
            </w:r>
          </w:p>
        </w:tc>
      </w:tr>
      <w:tr w14:paraId="1414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7F11208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建设内容</w:t>
            </w:r>
          </w:p>
        </w:tc>
        <w:tc>
          <w:tcPr>
            <w:tcW w:w="952" w:type="pct"/>
            <w:tcMar>
              <w:bottom w:w="0" w:type="dxa"/>
            </w:tcMar>
            <w:vAlign w:val="center"/>
          </w:tcPr>
          <w:p w14:paraId="3BAB8FE8">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顶棚</w:t>
            </w:r>
          </w:p>
        </w:tc>
        <w:tc>
          <w:tcPr>
            <w:tcW w:w="952" w:type="pct"/>
            <w:vAlign w:val="center"/>
          </w:tcPr>
          <w:p w14:paraId="34DC9BA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墙面</w:t>
            </w:r>
          </w:p>
        </w:tc>
        <w:tc>
          <w:tcPr>
            <w:tcW w:w="872" w:type="pct"/>
            <w:vAlign w:val="center"/>
          </w:tcPr>
          <w:p w14:paraId="12D0761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地面</w:t>
            </w:r>
          </w:p>
        </w:tc>
        <w:tc>
          <w:tcPr>
            <w:tcW w:w="1507" w:type="pct"/>
            <w:vAlign w:val="center"/>
          </w:tcPr>
          <w:p w14:paraId="450E1351">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建筑装饰配件及附属设备</w:t>
            </w:r>
          </w:p>
        </w:tc>
      </w:tr>
      <w:tr w14:paraId="1D95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5058C49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室内</w:t>
            </w:r>
          </w:p>
        </w:tc>
        <w:tc>
          <w:tcPr>
            <w:tcW w:w="952" w:type="pct"/>
            <w:tcMar>
              <w:bottom w:w="0" w:type="dxa"/>
            </w:tcMar>
            <w:vAlign w:val="center"/>
          </w:tcPr>
          <w:p w14:paraId="16CB555D">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涂料</w:t>
            </w:r>
          </w:p>
        </w:tc>
        <w:tc>
          <w:tcPr>
            <w:tcW w:w="952" w:type="pct"/>
            <w:vAlign w:val="center"/>
          </w:tcPr>
          <w:p w14:paraId="6F1DA34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涂料</w:t>
            </w:r>
          </w:p>
        </w:tc>
        <w:tc>
          <w:tcPr>
            <w:tcW w:w="872" w:type="pct"/>
            <w:vAlign w:val="center"/>
          </w:tcPr>
          <w:p w14:paraId="54EBE21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木地板</w:t>
            </w:r>
          </w:p>
        </w:tc>
        <w:tc>
          <w:tcPr>
            <w:tcW w:w="1507" w:type="pct"/>
            <w:vAlign w:val="center"/>
          </w:tcPr>
          <w:p w14:paraId="4F88DA68">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w:t>
            </w:r>
          </w:p>
        </w:tc>
      </w:tr>
      <w:tr w14:paraId="3875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17AABF11">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厨房</w:t>
            </w:r>
          </w:p>
        </w:tc>
        <w:tc>
          <w:tcPr>
            <w:tcW w:w="952" w:type="pct"/>
            <w:tcMar>
              <w:bottom w:w="0" w:type="dxa"/>
            </w:tcMar>
            <w:vAlign w:val="center"/>
          </w:tcPr>
          <w:p w14:paraId="1098389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铝扣板</w:t>
            </w:r>
          </w:p>
        </w:tc>
        <w:tc>
          <w:tcPr>
            <w:tcW w:w="952" w:type="pct"/>
            <w:vAlign w:val="center"/>
          </w:tcPr>
          <w:p w14:paraId="1C404963">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墙砖</w:t>
            </w:r>
          </w:p>
        </w:tc>
        <w:tc>
          <w:tcPr>
            <w:tcW w:w="872" w:type="pct"/>
            <w:vAlign w:val="center"/>
          </w:tcPr>
          <w:p w14:paraId="29C8DFE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地砖</w:t>
            </w:r>
          </w:p>
        </w:tc>
        <w:tc>
          <w:tcPr>
            <w:tcW w:w="1507" w:type="pct"/>
            <w:vAlign w:val="center"/>
          </w:tcPr>
          <w:p w14:paraId="5B9E9AD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整体橱柜、不锈钢洗菜池</w:t>
            </w:r>
          </w:p>
        </w:tc>
      </w:tr>
      <w:tr w14:paraId="07BC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215BD27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卫生间</w:t>
            </w:r>
          </w:p>
        </w:tc>
        <w:tc>
          <w:tcPr>
            <w:tcW w:w="952" w:type="pct"/>
            <w:tcMar>
              <w:bottom w:w="0" w:type="dxa"/>
            </w:tcMar>
            <w:vAlign w:val="center"/>
          </w:tcPr>
          <w:p w14:paraId="5F65AB6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铝扣板</w:t>
            </w:r>
          </w:p>
        </w:tc>
        <w:tc>
          <w:tcPr>
            <w:tcW w:w="952" w:type="pct"/>
            <w:vAlign w:val="center"/>
          </w:tcPr>
          <w:p w14:paraId="276316D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墙砖</w:t>
            </w:r>
          </w:p>
        </w:tc>
        <w:tc>
          <w:tcPr>
            <w:tcW w:w="872" w:type="pct"/>
            <w:vAlign w:val="center"/>
          </w:tcPr>
          <w:p w14:paraId="24F0A83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地砖</w:t>
            </w:r>
          </w:p>
        </w:tc>
        <w:tc>
          <w:tcPr>
            <w:tcW w:w="1507" w:type="pct"/>
            <w:vAlign w:val="center"/>
          </w:tcPr>
          <w:p w14:paraId="43B9DEB8">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座便器、陶瓷洗手池</w:t>
            </w:r>
          </w:p>
        </w:tc>
      </w:tr>
      <w:tr w14:paraId="1340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28" w:type="dxa"/>
            <w:bottom w:w="85" w:type="dxa"/>
            <w:right w:w="28" w:type="dxa"/>
          </w:tblCellMar>
        </w:tblPrEx>
        <w:trPr>
          <w:cantSplit/>
          <w:trHeight w:val="210" w:hRule="atLeast"/>
          <w:jc w:val="center"/>
        </w:trPr>
        <w:tc>
          <w:tcPr>
            <w:tcW w:w="715" w:type="pct"/>
            <w:vAlign w:val="center"/>
          </w:tcPr>
          <w:p w14:paraId="5AA1BE5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阳台</w:t>
            </w:r>
          </w:p>
        </w:tc>
        <w:tc>
          <w:tcPr>
            <w:tcW w:w="952" w:type="pct"/>
            <w:tcMar>
              <w:bottom w:w="0" w:type="dxa"/>
            </w:tcMar>
            <w:vAlign w:val="center"/>
          </w:tcPr>
          <w:p w14:paraId="7C5A60C3">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涂料</w:t>
            </w:r>
          </w:p>
        </w:tc>
        <w:tc>
          <w:tcPr>
            <w:tcW w:w="952" w:type="pct"/>
            <w:vAlign w:val="center"/>
          </w:tcPr>
          <w:p w14:paraId="303183AE">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涂料</w:t>
            </w:r>
          </w:p>
        </w:tc>
        <w:tc>
          <w:tcPr>
            <w:tcW w:w="872" w:type="pct"/>
            <w:vAlign w:val="center"/>
          </w:tcPr>
          <w:p w14:paraId="606ED5A8">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木地板</w:t>
            </w:r>
          </w:p>
        </w:tc>
        <w:tc>
          <w:tcPr>
            <w:tcW w:w="1507" w:type="pct"/>
            <w:vAlign w:val="center"/>
          </w:tcPr>
          <w:p w14:paraId="05F9D47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w:t>
            </w:r>
          </w:p>
        </w:tc>
      </w:tr>
    </w:tbl>
    <w:p w14:paraId="025F940C">
      <w:pPr>
        <w:widowControl/>
        <w:overflowPunct w:val="0"/>
        <w:spacing w:line="240" w:lineRule="auto"/>
        <w:ind w:firstLine="420" w:firstLineChars="200"/>
        <w:jc w:val="both"/>
        <w:textAlignment w:val="auto"/>
        <w:rPr>
          <w:rFonts w:ascii="Arial" w:hAnsi="Arial"/>
          <w:sz w:val="21"/>
          <w:szCs w:val="21"/>
        </w:rPr>
      </w:pPr>
    </w:p>
    <w:p w14:paraId="7553BD6A">
      <w:pPr>
        <w:widowControl/>
        <w:overflowPunct w:val="0"/>
        <w:spacing w:line="240" w:lineRule="auto"/>
        <w:ind w:firstLine="420" w:firstLineChars="200"/>
        <w:jc w:val="both"/>
        <w:textAlignment w:val="auto"/>
        <w:rPr>
          <w:rFonts w:ascii="Arial" w:hAnsi="Arial"/>
          <w:sz w:val="21"/>
          <w:szCs w:val="21"/>
        </w:rPr>
      </w:pPr>
      <w:r>
        <w:rPr>
          <w:rFonts w:hint="eastAsia" w:ascii="Arial" w:hAnsi="Arial"/>
          <w:sz w:val="21"/>
          <w:szCs w:val="21"/>
        </w:rPr>
        <w:t>3.估价对象装修及设备的维护保养状况：</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426"/>
        <w:gridCol w:w="1898"/>
        <w:gridCol w:w="6975"/>
      </w:tblGrid>
      <w:tr w14:paraId="6251B37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gridSpan w:val="2"/>
          </w:tcPr>
          <w:p w14:paraId="4D32782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建设内容</w:t>
            </w:r>
          </w:p>
        </w:tc>
        <w:tc>
          <w:tcPr>
            <w:tcW w:w="6975" w:type="dxa"/>
          </w:tcPr>
          <w:p w14:paraId="00BC6401">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折旧程度</w:t>
            </w:r>
          </w:p>
        </w:tc>
      </w:tr>
      <w:tr w14:paraId="25A45EC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restart"/>
            <w:vAlign w:val="center"/>
          </w:tcPr>
          <w:p w14:paraId="5405870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装饰部分</w:t>
            </w:r>
          </w:p>
        </w:tc>
        <w:tc>
          <w:tcPr>
            <w:tcW w:w="1898" w:type="dxa"/>
          </w:tcPr>
          <w:p w14:paraId="26E62794">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外墙面</w:t>
            </w:r>
          </w:p>
        </w:tc>
        <w:tc>
          <w:tcPr>
            <w:tcW w:w="6975" w:type="dxa"/>
          </w:tcPr>
          <w:p w14:paraId="76BAF303">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7147E9E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6CCC8796">
            <w:pPr>
              <w:overflowPunct w:val="0"/>
              <w:spacing w:line="240" w:lineRule="auto"/>
              <w:textAlignment w:val="auto"/>
              <w:rPr>
                <w:rFonts w:ascii="Arial" w:hAnsi="Arial" w:eastAsia="华文细黑"/>
                <w:sz w:val="18"/>
                <w:szCs w:val="21"/>
              </w:rPr>
            </w:pPr>
          </w:p>
        </w:tc>
        <w:tc>
          <w:tcPr>
            <w:tcW w:w="1898" w:type="dxa"/>
          </w:tcPr>
          <w:p w14:paraId="4B55D12A">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内墙面</w:t>
            </w:r>
          </w:p>
        </w:tc>
        <w:tc>
          <w:tcPr>
            <w:tcW w:w="6975" w:type="dxa"/>
          </w:tcPr>
          <w:p w14:paraId="5BF0F387">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11E2F5C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610FAD7B">
            <w:pPr>
              <w:overflowPunct w:val="0"/>
              <w:spacing w:line="240" w:lineRule="auto"/>
              <w:textAlignment w:val="auto"/>
              <w:rPr>
                <w:rFonts w:ascii="Arial" w:hAnsi="Arial" w:eastAsia="华文细黑"/>
                <w:sz w:val="18"/>
                <w:szCs w:val="21"/>
              </w:rPr>
            </w:pPr>
          </w:p>
        </w:tc>
        <w:tc>
          <w:tcPr>
            <w:tcW w:w="1898" w:type="dxa"/>
          </w:tcPr>
          <w:p w14:paraId="325E8B96">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门窗</w:t>
            </w:r>
          </w:p>
        </w:tc>
        <w:tc>
          <w:tcPr>
            <w:tcW w:w="6975" w:type="dxa"/>
          </w:tcPr>
          <w:p w14:paraId="6676CD2F">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0BE8BEE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1C07ABB7">
            <w:pPr>
              <w:overflowPunct w:val="0"/>
              <w:spacing w:line="240" w:lineRule="auto"/>
              <w:textAlignment w:val="auto"/>
              <w:rPr>
                <w:rFonts w:ascii="Arial" w:hAnsi="Arial" w:eastAsia="华文细黑"/>
                <w:sz w:val="18"/>
                <w:szCs w:val="21"/>
              </w:rPr>
            </w:pPr>
          </w:p>
        </w:tc>
        <w:tc>
          <w:tcPr>
            <w:tcW w:w="1898" w:type="dxa"/>
          </w:tcPr>
          <w:p w14:paraId="298F15BD">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顶棚</w:t>
            </w:r>
          </w:p>
        </w:tc>
        <w:tc>
          <w:tcPr>
            <w:tcW w:w="6975" w:type="dxa"/>
          </w:tcPr>
          <w:p w14:paraId="0D3A11E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基本完整</w:t>
            </w:r>
          </w:p>
        </w:tc>
      </w:tr>
      <w:tr w14:paraId="3305933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5CC9D04F">
            <w:pPr>
              <w:overflowPunct w:val="0"/>
              <w:spacing w:line="240" w:lineRule="auto"/>
              <w:textAlignment w:val="auto"/>
              <w:rPr>
                <w:rFonts w:ascii="Arial" w:hAnsi="Arial" w:eastAsia="华文细黑"/>
                <w:sz w:val="18"/>
                <w:szCs w:val="21"/>
              </w:rPr>
            </w:pPr>
          </w:p>
        </w:tc>
        <w:tc>
          <w:tcPr>
            <w:tcW w:w="1898" w:type="dxa"/>
          </w:tcPr>
          <w:p w14:paraId="3C0B998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楼地面</w:t>
            </w:r>
          </w:p>
        </w:tc>
        <w:tc>
          <w:tcPr>
            <w:tcW w:w="6975" w:type="dxa"/>
          </w:tcPr>
          <w:p w14:paraId="1D489ED5">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基本完好</w:t>
            </w:r>
          </w:p>
        </w:tc>
      </w:tr>
      <w:tr w14:paraId="152EDE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restart"/>
            <w:vAlign w:val="center"/>
          </w:tcPr>
          <w:p w14:paraId="6D0AC93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设备部分</w:t>
            </w:r>
          </w:p>
        </w:tc>
        <w:tc>
          <w:tcPr>
            <w:tcW w:w="1898" w:type="dxa"/>
          </w:tcPr>
          <w:p w14:paraId="11CF829B">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水卫</w:t>
            </w:r>
          </w:p>
        </w:tc>
        <w:tc>
          <w:tcPr>
            <w:tcW w:w="6975" w:type="dxa"/>
          </w:tcPr>
          <w:p w14:paraId="25339AA9">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上、下水基本畅通</w:t>
            </w:r>
          </w:p>
        </w:tc>
      </w:tr>
      <w:tr w14:paraId="17FA756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2BE63308">
            <w:pPr>
              <w:overflowPunct w:val="0"/>
              <w:spacing w:line="240" w:lineRule="auto"/>
              <w:textAlignment w:val="auto"/>
              <w:rPr>
                <w:rFonts w:ascii="Arial" w:hAnsi="Arial" w:eastAsia="华文细黑"/>
                <w:sz w:val="18"/>
                <w:szCs w:val="21"/>
              </w:rPr>
            </w:pPr>
          </w:p>
        </w:tc>
        <w:tc>
          <w:tcPr>
            <w:tcW w:w="1898" w:type="dxa"/>
          </w:tcPr>
          <w:p w14:paraId="66EAA1DD">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电照</w:t>
            </w:r>
          </w:p>
        </w:tc>
        <w:tc>
          <w:tcPr>
            <w:tcW w:w="6975" w:type="dxa"/>
          </w:tcPr>
          <w:p w14:paraId="1326E31C">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线路和各种照明装置基本完好</w:t>
            </w:r>
          </w:p>
        </w:tc>
      </w:tr>
      <w:tr w14:paraId="7305928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426" w:type="dxa"/>
            <w:vMerge w:val="continue"/>
            <w:vAlign w:val="center"/>
          </w:tcPr>
          <w:p w14:paraId="02CDFFD4">
            <w:pPr>
              <w:overflowPunct w:val="0"/>
              <w:spacing w:line="240" w:lineRule="auto"/>
              <w:textAlignment w:val="auto"/>
              <w:rPr>
                <w:rFonts w:ascii="Arial" w:hAnsi="Arial" w:eastAsia="华文细黑"/>
                <w:sz w:val="18"/>
                <w:szCs w:val="21"/>
              </w:rPr>
            </w:pPr>
          </w:p>
        </w:tc>
        <w:tc>
          <w:tcPr>
            <w:tcW w:w="1898" w:type="dxa"/>
          </w:tcPr>
          <w:p w14:paraId="4AF6C2B2">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特种设备</w:t>
            </w:r>
          </w:p>
        </w:tc>
        <w:tc>
          <w:tcPr>
            <w:tcW w:w="6975" w:type="dxa"/>
          </w:tcPr>
          <w:p w14:paraId="79F73A43">
            <w:pPr>
              <w:overflowPunct w:val="0"/>
              <w:spacing w:line="240" w:lineRule="auto"/>
              <w:textAlignment w:val="auto"/>
              <w:rPr>
                <w:rFonts w:ascii="Arial" w:hAnsi="Arial" w:eastAsia="华文细黑"/>
                <w:sz w:val="18"/>
                <w:szCs w:val="21"/>
              </w:rPr>
            </w:pPr>
            <w:r>
              <w:rPr>
                <w:rFonts w:hint="eastAsia" w:ascii="Arial" w:hAnsi="Arial" w:eastAsia="华文细黑"/>
                <w:sz w:val="18"/>
                <w:szCs w:val="21"/>
              </w:rPr>
              <w:t>——</w:t>
            </w:r>
          </w:p>
        </w:tc>
      </w:tr>
    </w:tbl>
    <w:p w14:paraId="0990C0DB">
      <w:pPr>
        <w:overflowPunct w:val="0"/>
        <w:spacing w:line="480" w:lineRule="auto"/>
        <w:ind w:firstLine="360" w:firstLineChars="200"/>
        <w:jc w:val="both"/>
        <w:textAlignment w:val="auto"/>
        <w:rPr>
          <w:rFonts w:ascii="Arial" w:hAnsi="Arial"/>
          <w:sz w:val="18"/>
          <w:szCs w:val="18"/>
        </w:rPr>
      </w:pPr>
    </w:p>
    <w:p w14:paraId="2D280BA1">
      <w:pPr>
        <w:overflowPunct w:val="0"/>
        <w:spacing w:line="480" w:lineRule="auto"/>
        <w:jc w:val="both"/>
        <w:textAlignment w:val="auto"/>
        <w:rPr>
          <w:rFonts w:ascii="Arial" w:hAnsi="Arial"/>
          <w:b/>
          <w:bCs/>
          <w:sz w:val="21"/>
          <w:szCs w:val="21"/>
        </w:rPr>
      </w:pPr>
      <w:r>
        <w:rPr>
          <w:rFonts w:hint="eastAsia" w:ascii="Arial" w:hAnsi="Arial"/>
          <w:b/>
          <w:bCs/>
          <w:sz w:val="21"/>
          <w:szCs w:val="21"/>
        </w:rPr>
        <w:t>（六）区位状况（实地查勘之日）</w:t>
      </w:r>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85" w:type="dxa"/>
          <w:bottom w:w="85" w:type="dxa"/>
          <w:right w:w="85" w:type="dxa"/>
        </w:tblCellMar>
      </w:tblPr>
      <w:tblGrid>
        <w:gridCol w:w="2324"/>
        <w:gridCol w:w="6975"/>
      </w:tblGrid>
      <w:tr w14:paraId="7853589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restart"/>
            <w:vAlign w:val="center"/>
          </w:tcPr>
          <w:p w14:paraId="547E5E3D">
            <w:pPr>
              <w:overflowPunct w:val="0"/>
              <w:spacing w:line="240" w:lineRule="auto"/>
              <w:textAlignment w:val="auto"/>
              <w:rPr>
                <w:rFonts w:ascii="Arial" w:hAnsi="Arial" w:eastAsia="华文细黑"/>
                <w:sz w:val="18"/>
                <w:szCs w:val="21"/>
              </w:rPr>
            </w:pPr>
            <w:r>
              <w:rPr>
                <w:rFonts w:hint="eastAsia" w:ascii="Arial" w:hAnsi="Arial" w:eastAsia="华文细黑" w:cs="宋体"/>
                <w:sz w:val="18"/>
                <w:szCs w:val="21"/>
              </w:rPr>
              <w:t>估价对象所属项目四至</w:t>
            </w:r>
          </w:p>
        </w:tc>
        <w:tc>
          <w:tcPr>
            <w:tcW w:w="6975" w:type="dxa"/>
            <w:vAlign w:val="center"/>
          </w:tcPr>
          <w:p w14:paraId="016B095C">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东至：图景嘉园路</w:t>
            </w:r>
          </w:p>
        </w:tc>
      </w:tr>
      <w:tr w14:paraId="7CA3AD55">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7167B6F4">
            <w:pPr>
              <w:overflowPunct w:val="0"/>
              <w:spacing w:line="240" w:lineRule="auto"/>
              <w:textAlignment w:val="auto"/>
              <w:rPr>
                <w:rFonts w:ascii="Arial" w:hAnsi="Arial" w:eastAsia="华文细黑"/>
                <w:sz w:val="18"/>
                <w:szCs w:val="21"/>
              </w:rPr>
            </w:pPr>
          </w:p>
        </w:tc>
        <w:tc>
          <w:tcPr>
            <w:tcW w:w="6975" w:type="dxa"/>
            <w:vAlign w:val="center"/>
          </w:tcPr>
          <w:p w14:paraId="434CB54F">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南至：康家岭新城1号路</w:t>
            </w:r>
          </w:p>
        </w:tc>
      </w:tr>
      <w:tr w14:paraId="20C69FC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2DD9B545">
            <w:pPr>
              <w:overflowPunct w:val="0"/>
              <w:spacing w:line="240" w:lineRule="auto"/>
              <w:textAlignment w:val="auto"/>
              <w:rPr>
                <w:rFonts w:ascii="Arial" w:hAnsi="Arial" w:eastAsia="华文细黑"/>
                <w:sz w:val="18"/>
                <w:szCs w:val="21"/>
              </w:rPr>
            </w:pPr>
          </w:p>
        </w:tc>
        <w:tc>
          <w:tcPr>
            <w:tcW w:w="6975" w:type="dxa"/>
            <w:vAlign w:val="center"/>
          </w:tcPr>
          <w:p w14:paraId="3CD569CB">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西至：康家岭新城1号路</w:t>
            </w:r>
          </w:p>
        </w:tc>
      </w:tr>
      <w:tr w14:paraId="5E22BCD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Merge w:val="continue"/>
            <w:vAlign w:val="center"/>
          </w:tcPr>
          <w:p w14:paraId="44041640">
            <w:pPr>
              <w:overflowPunct w:val="0"/>
              <w:spacing w:line="240" w:lineRule="auto"/>
              <w:textAlignment w:val="auto"/>
              <w:rPr>
                <w:rFonts w:ascii="Arial" w:hAnsi="Arial" w:eastAsia="华文细黑"/>
                <w:sz w:val="18"/>
                <w:szCs w:val="21"/>
              </w:rPr>
            </w:pPr>
          </w:p>
        </w:tc>
        <w:tc>
          <w:tcPr>
            <w:tcW w:w="6975" w:type="dxa"/>
            <w:vAlign w:val="center"/>
          </w:tcPr>
          <w:p w14:paraId="35908E1D">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北至：土井二街</w:t>
            </w:r>
          </w:p>
        </w:tc>
      </w:tr>
      <w:tr w14:paraId="468C18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093CDD4B">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居住社区成熟度</w:t>
            </w:r>
          </w:p>
        </w:tc>
        <w:tc>
          <w:tcPr>
            <w:tcW w:w="6975" w:type="dxa"/>
            <w:vAlign w:val="center"/>
          </w:tcPr>
          <w:p w14:paraId="6D5E5B8C">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估价对象周边有唐家岭新城、T08小区、万和家园、盛景创业园小区等居住社区，居住小区规模适中，入住率较好，综合评价居住区成熟度较好。</w:t>
            </w:r>
          </w:p>
        </w:tc>
      </w:tr>
      <w:tr w14:paraId="141FC69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0D981205">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交通便捷度</w:t>
            </w:r>
          </w:p>
        </w:tc>
        <w:tc>
          <w:tcPr>
            <w:tcW w:w="6975" w:type="dxa"/>
            <w:vAlign w:val="center"/>
          </w:tcPr>
          <w:p w14:paraId="42FB3064">
            <w:pPr>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临近城市次干道——图景嘉园路，距离地铁16号线永丰南站约2000米，周边500米内有专446路、447路、495路等公交线路途径并设立站点，综合评估估价对象交通便捷度一般。</w:t>
            </w:r>
          </w:p>
        </w:tc>
      </w:tr>
      <w:tr w14:paraId="58ED77C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7BA9DA64">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道路状况</w:t>
            </w:r>
          </w:p>
        </w:tc>
        <w:tc>
          <w:tcPr>
            <w:tcW w:w="6975" w:type="dxa"/>
            <w:vAlign w:val="center"/>
          </w:tcPr>
          <w:p w14:paraId="29A1B195">
            <w:pPr>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所属项目临近图景嘉园路，为城市次干道</w:t>
            </w:r>
          </w:p>
        </w:tc>
      </w:tr>
      <w:tr w14:paraId="337E6BB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6BAD3786">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公共服务设施</w:t>
            </w:r>
          </w:p>
        </w:tc>
        <w:tc>
          <w:tcPr>
            <w:tcW w:w="6975" w:type="dxa"/>
            <w:vAlign w:val="center"/>
          </w:tcPr>
          <w:p w14:paraId="271A0867">
            <w:pPr>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估价对象所在区域周边2公里范围内有U悦生活广场、西北旺万象汇等商业场所；有北京市建华实验学校（东校区）、人大附中航天城学校、红英小学、北京市海淀区中关村第二小学（科学城北区分校）、唐家岭新城幼儿园等教育机构；有北京大学第三医院（海淀北部院区）、马连洼社区卫生服务中心等医疗机构；有北京农商银行、中国农业银行等金融网点，公共配套设施状况较好。</w:t>
            </w:r>
          </w:p>
        </w:tc>
      </w:tr>
      <w:tr w14:paraId="44188B3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85" w:type="dxa"/>
            <w:bottom w:w="85" w:type="dxa"/>
            <w:right w:w="85" w:type="dxa"/>
          </w:tblCellMar>
        </w:tblPrEx>
        <w:trPr>
          <w:jc w:val="center"/>
        </w:trPr>
        <w:tc>
          <w:tcPr>
            <w:tcW w:w="2324" w:type="dxa"/>
            <w:vAlign w:val="center"/>
          </w:tcPr>
          <w:p w14:paraId="6D414C23">
            <w:pPr>
              <w:widowControl/>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自然及人文环境</w:t>
            </w:r>
          </w:p>
        </w:tc>
        <w:tc>
          <w:tcPr>
            <w:tcW w:w="6975" w:type="dxa"/>
            <w:vAlign w:val="center"/>
          </w:tcPr>
          <w:p w14:paraId="080A53D4">
            <w:pPr>
              <w:overflowPunct w:val="0"/>
              <w:spacing w:line="240" w:lineRule="auto"/>
              <w:textAlignment w:val="auto"/>
              <w:rPr>
                <w:rFonts w:ascii="Arial" w:hAnsi="Arial" w:eastAsia="华文细黑" w:cs="宋体"/>
                <w:sz w:val="18"/>
                <w:szCs w:val="21"/>
              </w:rPr>
            </w:pPr>
            <w:r>
              <w:rPr>
                <w:rFonts w:hint="eastAsia" w:ascii="Arial" w:hAnsi="Arial" w:eastAsia="华文细黑" w:cs="宋体"/>
                <w:sz w:val="18"/>
                <w:szCs w:val="21"/>
              </w:rPr>
              <w:t>估价对象周边2公里内有中关村公园等自然景观，有中国空间技术研究院等人文场所，综合评价自然与人文环境较好。周边5km内无污染源。</w:t>
            </w:r>
          </w:p>
        </w:tc>
      </w:tr>
    </w:tbl>
    <w:p w14:paraId="767669F7">
      <w:pPr>
        <w:overflowPunct w:val="0"/>
        <w:spacing w:line="480" w:lineRule="auto"/>
        <w:ind w:firstLine="420" w:firstLineChars="200"/>
        <w:jc w:val="both"/>
        <w:textAlignment w:val="auto"/>
        <w:rPr>
          <w:rFonts w:ascii="Arial" w:hAnsi="Arial"/>
          <w:sz w:val="21"/>
          <w:szCs w:val="21"/>
        </w:rPr>
      </w:pPr>
    </w:p>
    <w:p w14:paraId="2A9A3347">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38" w:name="_Toc500322967"/>
      <w:r>
        <w:rPr>
          <w:rFonts w:hint="eastAsia" w:eastAsia="宋体"/>
          <w:kern w:val="2"/>
          <w:sz w:val="21"/>
          <w:szCs w:val="21"/>
        </w:rPr>
        <w:br w:type="page"/>
      </w:r>
      <w:r>
        <w:rPr>
          <w:rFonts w:hint="eastAsia" w:eastAsia="宋体"/>
          <w:kern w:val="2"/>
          <w:sz w:val="21"/>
          <w:szCs w:val="21"/>
        </w:rPr>
        <w:t>五、影响房地产价格因素分析</w:t>
      </w:r>
      <w:bookmarkEnd w:id="38"/>
    </w:p>
    <w:p w14:paraId="65B0CCE6">
      <w:pPr>
        <w:overflowPunct w:val="0"/>
        <w:spacing w:line="480" w:lineRule="auto"/>
        <w:ind w:right="205"/>
        <w:jc w:val="both"/>
        <w:textAlignment w:val="auto"/>
        <w:rPr>
          <w:rFonts w:ascii="Arial" w:hAnsi="Arial"/>
          <w:b/>
          <w:bCs/>
          <w:sz w:val="21"/>
          <w:szCs w:val="21"/>
        </w:rPr>
      </w:pPr>
      <w:r>
        <w:rPr>
          <w:rFonts w:hint="eastAsia" w:ascii="Arial" w:hAnsi="Arial"/>
          <w:b/>
          <w:bCs/>
          <w:sz w:val="21"/>
          <w:szCs w:val="21"/>
        </w:rPr>
        <w:t>（一）类似房地产市场状况</w:t>
      </w:r>
    </w:p>
    <w:p w14:paraId="2574D6E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046D4403">
      <w:pPr>
        <w:widowControl/>
        <w:adjustRightInd/>
        <w:spacing w:line="480" w:lineRule="auto"/>
        <w:ind w:firstLine="525" w:firstLineChars="250"/>
        <w:jc w:val="both"/>
        <w:textAlignment w:val="auto"/>
        <w:rPr>
          <w:rFonts w:ascii="Arial" w:hAnsi="Arial"/>
          <w:color w:val="000000"/>
          <w:sz w:val="21"/>
          <w:szCs w:val="21"/>
        </w:rPr>
      </w:pPr>
      <w:bookmarkStart w:id="39" w:name="OLE_LINK34"/>
      <w:bookmarkStart w:id="40"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60E28774">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5123C02A">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0A483EB4">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0" distR="0">
            <wp:extent cx="5252085" cy="1610995"/>
            <wp:effectExtent l="0" t="0" r="0" b="0"/>
            <wp:docPr id="4" name="图片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39"/>
    <w:bookmarkEnd w:id="40"/>
    <w:p w14:paraId="4BA002E8">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前三季度，北京市实现地区生产总值38415.9亿元，按不变价格计算，同比增长5.6%。分产业看，第一产业实现增加值77.9亿元，下降1.1%；第二产业实现增加值5055.9亿元，增长4.0%；第三产业实现增加值33282.0亿元，增长5.8%。</w:t>
      </w:r>
    </w:p>
    <w:p w14:paraId="5556292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固定资产投资（不含农户）同比增长9.0%。其中，反映企业扩大生产能力的设备购置投资增长83.1%，占全市固定资产投资的比重进一步提升至29.3%。分领域看，基础设施投资增长2.3%，制造业投资增长5.4%，房地产开发投资下降13.7%。分产业看，第一产业投资增长23.8%，第二产业投资增长10.4%，第三产业投资增长8.8%。在信息传输、软件和信息技术服务业带动下，高技术产业投资保持活跃，增长51.7%。</w:t>
      </w:r>
    </w:p>
    <w:p w14:paraId="1704292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屋施工面积10150.0万平方米，同比下降7.8%，其中住宅施工面积5050.5万平方米，下降8.5%。全市新建商品房销售面积739.6万平方米，同比下降3.5%，其中住宅销售面积491.7万平方米，下降8.2%，住宅中的纯商品住宅销售面积增长20.1%。</w:t>
      </w:r>
    </w:p>
    <w:p w14:paraId="2F1C493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前三季度，北京市房地产开发投资同比下降13.7%，房屋新开工面积912万平方米，同比下降7.4%。其中，住宅新开工面积576.6万平方米，下降6%；办公楼26.7万平方米，增长39%；商业营业用房45.7万平方米，增长0.3%。</w:t>
      </w:r>
    </w:p>
    <w:p w14:paraId="194AE810">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北京市房屋竣工面积787.8万平方米，同比增长6.1%。其中，住宅竣工面积403.3万平方米，下降1.5%；办公楼23.2万平方米，下降33%；商业营业用房78.7万平方米，增长1.2倍。</w:t>
      </w:r>
    </w:p>
    <w:p w14:paraId="7726424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5A46405">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04715690">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1F8F3174">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北京商品住宅用地共推出</w:t>
      </w:r>
      <w:r>
        <w:rPr>
          <w:rFonts w:hint="eastAsia" w:ascii="Arial" w:hAnsi="Arial"/>
          <w:color w:val="000000"/>
          <w:sz w:val="21"/>
          <w:szCs w:val="21"/>
        </w:rPr>
        <w:t>8</w:t>
      </w:r>
      <w:r>
        <w:rPr>
          <w:rFonts w:ascii="Arial" w:hAnsi="Arial"/>
          <w:color w:val="000000"/>
          <w:sz w:val="21"/>
          <w:szCs w:val="21"/>
        </w:rPr>
        <w:t>宗，累计供应规划建面</w:t>
      </w:r>
      <w:r>
        <w:rPr>
          <w:rFonts w:hint="eastAsia" w:ascii="Arial" w:hAnsi="Arial"/>
          <w:color w:val="000000"/>
          <w:sz w:val="21"/>
          <w:szCs w:val="21"/>
        </w:rPr>
        <w:t>44.96</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下降57.1</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w:t>
      </w:r>
      <w:r>
        <w:rPr>
          <w:rFonts w:hint="eastAsia" w:ascii="Arial" w:hAnsi="Arial"/>
          <w:color w:val="000000"/>
          <w:sz w:val="21"/>
          <w:szCs w:val="21"/>
        </w:rPr>
        <w:t>三季度</w:t>
      </w:r>
      <w:r>
        <w:rPr>
          <w:rFonts w:ascii="Arial" w:hAnsi="Arial"/>
          <w:color w:val="000000"/>
          <w:sz w:val="21"/>
          <w:szCs w:val="21"/>
        </w:rPr>
        <w:t>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7</w:t>
      </w:r>
      <w:r>
        <w:rPr>
          <w:rFonts w:ascii="Arial" w:hAnsi="Arial"/>
          <w:color w:val="000000"/>
          <w:sz w:val="21"/>
          <w:szCs w:val="21"/>
        </w:rPr>
        <w:t>宗，成交规划建面</w:t>
      </w:r>
      <w:r>
        <w:rPr>
          <w:rFonts w:hint="eastAsia" w:ascii="Arial" w:hAnsi="Arial"/>
          <w:color w:val="000000"/>
          <w:sz w:val="21"/>
          <w:szCs w:val="21"/>
        </w:rPr>
        <w:t>32.01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70.8</w:t>
      </w:r>
      <w:r>
        <w:rPr>
          <w:rFonts w:ascii="Arial" w:hAnsi="Arial"/>
          <w:color w:val="000000"/>
          <w:sz w:val="21"/>
          <w:szCs w:val="21"/>
        </w:rPr>
        <w:t>%；</w:t>
      </w:r>
      <w:r>
        <w:rPr>
          <w:rFonts w:hint="eastAsia" w:ascii="Arial" w:hAnsi="Arial"/>
          <w:color w:val="000000"/>
          <w:sz w:val="21"/>
          <w:szCs w:val="21"/>
        </w:rPr>
        <w:t>土地成交价款合计115.77亿元，同比下降58.7%。与上半年相比，三季度土地市场明显转冷，住宅用地供求规模显著下降，除太阳宫地块外，均底价成交。</w:t>
      </w:r>
    </w:p>
    <w:p w14:paraId="05063B4A">
      <w:pPr>
        <w:overflowPunct w:val="0"/>
        <w:spacing w:line="360" w:lineRule="auto"/>
        <w:jc w:val="center"/>
        <w:rPr>
          <w:rFonts w:ascii="Arial" w:hAnsi="Arial" w:eastAsia="仿宋_GB2312"/>
          <w:b/>
          <w:bCs/>
          <w:color w:val="000000"/>
          <w:szCs w:val="24"/>
        </w:rPr>
      </w:pPr>
      <w:r>
        <w:drawing>
          <wp:inline distT="0" distB="0" distL="0" distR="0">
            <wp:extent cx="4091305" cy="2197100"/>
            <wp:effectExtent l="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91305" cy="2197100"/>
                    </a:xfrm>
                    <a:prstGeom prst="rect">
                      <a:avLst/>
                    </a:prstGeom>
                    <a:noFill/>
                    <a:ln>
                      <a:noFill/>
                    </a:ln>
                    <a:effectLst/>
                  </pic:spPr>
                </pic:pic>
              </a:graphicData>
            </a:graphic>
          </wp:inline>
        </w:drawing>
      </w:r>
    </w:p>
    <w:p w14:paraId="62A2F77E">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0E83E96C">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，北京市商品住宅用地中心城区朝阳、丰台累计成交</w:t>
      </w:r>
      <w:r>
        <w:rPr>
          <w:rFonts w:hint="eastAsia" w:ascii="Arial" w:hAnsi="Arial"/>
          <w:color w:val="000000"/>
          <w:sz w:val="21"/>
          <w:szCs w:val="21"/>
        </w:rPr>
        <w:t>3</w:t>
      </w:r>
      <w:r>
        <w:rPr>
          <w:rFonts w:ascii="Arial" w:hAnsi="Arial"/>
          <w:color w:val="000000"/>
          <w:sz w:val="21"/>
          <w:szCs w:val="21"/>
        </w:rPr>
        <w:t>宗宅地，累计成交规划建面</w:t>
      </w:r>
      <w:r>
        <w:rPr>
          <w:rFonts w:hint="eastAsia" w:ascii="Arial" w:hAnsi="Arial"/>
          <w:color w:val="000000"/>
          <w:sz w:val="21"/>
          <w:szCs w:val="21"/>
        </w:rPr>
        <w:t>11.61</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36</w:t>
      </w:r>
      <w:r>
        <w:rPr>
          <w:rFonts w:ascii="Arial" w:hAnsi="Arial"/>
          <w:color w:val="000000"/>
          <w:sz w:val="21"/>
          <w:szCs w:val="21"/>
        </w:rPr>
        <w:t>%，较上年同期增长</w:t>
      </w:r>
      <w:r>
        <w:rPr>
          <w:rFonts w:hint="eastAsia" w:ascii="Arial" w:hAnsi="Arial"/>
          <w:color w:val="000000"/>
          <w:sz w:val="21"/>
          <w:szCs w:val="21"/>
        </w:rPr>
        <w:t>21</w:t>
      </w:r>
      <w:r>
        <w:rPr>
          <w:rFonts w:ascii="Arial" w:hAnsi="Arial"/>
          <w:color w:val="000000"/>
          <w:sz w:val="21"/>
          <w:szCs w:val="21"/>
        </w:rPr>
        <w:t>个百分点。近郊区主要集中在</w:t>
      </w:r>
      <w:r>
        <w:rPr>
          <w:rFonts w:hint="eastAsia" w:ascii="Arial" w:hAnsi="Arial"/>
          <w:color w:val="000000"/>
          <w:sz w:val="21"/>
          <w:szCs w:val="21"/>
        </w:rPr>
        <w:t>昌平、门头沟和</w:t>
      </w:r>
      <w:r>
        <w:rPr>
          <w:rFonts w:ascii="Arial" w:hAnsi="Arial"/>
          <w:color w:val="000000"/>
          <w:sz w:val="21"/>
          <w:szCs w:val="21"/>
        </w:rPr>
        <w:t>顺义，累计成交</w:t>
      </w:r>
      <w:r>
        <w:rPr>
          <w:rFonts w:hint="eastAsia" w:ascii="Arial" w:hAnsi="Arial"/>
          <w:color w:val="000000"/>
          <w:sz w:val="21"/>
          <w:szCs w:val="21"/>
        </w:rPr>
        <w:t>16.78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，占比为</w:t>
      </w:r>
      <w:r>
        <w:rPr>
          <w:rFonts w:hint="eastAsia" w:ascii="Arial" w:hAnsi="Arial"/>
          <w:color w:val="000000"/>
          <w:sz w:val="21"/>
          <w:szCs w:val="21"/>
        </w:rPr>
        <w:t>52</w:t>
      </w:r>
      <w:r>
        <w:rPr>
          <w:rFonts w:ascii="Arial" w:hAnsi="Arial"/>
          <w:color w:val="000000"/>
          <w:sz w:val="21"/>
          <w:szCs w:val="21"/>
        </w:rPr>
        <w:t>%，较去年同期下降</w:t>
      </w:r>
      <w:r>
        <w:rPr>
          <w:rFonts w:hint="eastAsia" w:ascii="Arial" w:hAnsi="Arial"/>
          <w:color w:val="000000"/>
          <w:sz w:val="21"/>
          <w:szCs w:val="21"/>
        </w:rPr>
        <w:t>33</w:t>
      </w:r>
      <w:r>
        <w:rPr>
          <w:rFonts w:ascii="Arial" w:hAnsi="Arial"/>
          <w:color w:val="000000"/>
          <w:sz w:val="21"/>
          <w:szCs w:val="21"/>
        </w:rPr>
        <w:t>个百分点；</w:t>
      </w:r>
      <w:r>
        <w:rPr>
          <w:rFonts w:hint="eastAsia" w:ascii="Arial" w:hAnsi="Arial"/>
          <w:color w:val="000000"/>
          <w:sz w:val="21"/>
          <w:szCs w:val="21"/>
        </w:rPr>
        <w:t>延庆</w:t>
      </w:r>
      <w:r>
        <w:rPr>
          <w:rFonts w:ascii="Arial" w:hAnsi="Arial"/>
          <w:color w:val="000000"/>
          <w:sz w:val="21"/>
          <w:szCs w:val="21"/>
        </w:rPr>
        <w:t>区成交</w:t>
      </w:r>
      <w:r>
        <w:rPr>
          <w:rFonts w:hint="eastAsia" w:ascii="Arial" w:hAnsi="Arial"/>
          <w:color w:val="000000"/>
          <w:sz w:val="21"/>
          <w:szCs w:val="21"/>
        </w:rPr>
        <w:t>1宗宅地，占比11%。</w:t>
      </w:r>
    </w:p>
    <w:p w14:paraId="24C5C63F">
      <w:pPr>
        <w:overflowPunct w:val="0"/>
        <w:spacing w:line="360" w:lineRule="auto"/>
        <w:jc w:val="center"/>
        <w:textAlignment w:val="auto"/>
        <w:rPr>
          <w:rFonts w:ascii="Arial" w:hAnsi="Arial" w:eastAsia="仿宋_GB2312"/>
          <w:bCs/>
          <w:color w:val="000000"/>
          <w:sz w:val="28"/>
          <w:szCs w:val="28"/>
        </w:rPr>
      </w:pPr>
      <w:r>
        <w:drawing>
          <wp:inline distT="0" distB="0" distL="0" distR="0">
            <wp:extent cx="4815205" cy="2404745"/>
            <wp:effectExtent l="0" t="0" r="0" b="0"/>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15205" cy="2404745"/>
                    </a:xfrm>
                    <a:prstGeom prst="rect">
                      <a:avLst/>
                    </a:prstGeom>
                    <a:noFill/>
                    <a:ln>
                      <a:noFill/>
                    </a:ln>
                    <a:effectLst/>
                  </pic:spPr>
                </pic:pic>
              </a:graphicData>
            </a:graphic>
          </wp:inline>
        </w:drawing>
      </w:r>
    </w:p>
    <w:p w14:paraId="1189BBFF">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color w:val="000000"/>
          <w:sz w:val="21"/>
          <w:szCs w:val="21"/>
        </w:rPr>
        <w:t>从不同区域来看，中心城区成交规模同比下降31%，其中东城、海淀无成交；近郊区成交规模同比下降82%，其中大兴、房山、通州均无住宅用地成交，顺义同比下降80%，门头沟和昌平同比分别下降52%和42%</w:t>
      </w:r>
      <w:r>
        <w:rPr>
          <w:rFonts w:hint="eastAsia" w:ascii="Arial" w:hAnsi="Arial"/>
          <w:sz w:val="21"/>
          <w:szCs w:val="28"/>
        </w:rPr>
        <w:t>。</w:t>
      </w:r>
    </w:p>
    <w:p w14:paraId="7E49DC7A">
      <w:pPr>
        <w:widowControl/>
        <w:overflowPunct w:val="0"/>
        <w:adjustRightInd/>
        <w:spacing w:line="480" w:lineRule="auto"/>
        <w:jc w:val="center"/>
        <w:textAlignment w:val="auto"/>
      </w:pPr>
      <w:r>
        <w:drawing>
          <wp:inline distT="0" distB="0" distL="0" distR="0">
            <wp:extent cx="3764280" cy="3248025"/>
            <wp:effectExtent l="0" t="0" r="0" b="0"/>
            <wp:docPr id="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764280" cy="3248025"/>
                    </a:xfrm>
                    <a:prstGeom prst="rect">
                      <a:avLst/>
                    </a:prstGeom>
                    <a:noFill/>
                    <a:ln>
                      <a:noFill/>
                    </a:ln>
                    <a:effectLst/>
                  </pic:spPr>
                </pic:pic>
              </a:graphicData>
            </a:graphic>
          </wp:inline>
        </w:drawing>
      </w:r>
    </w:p>
    <w:p w14:paraId="6F12AC38">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537401DF">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，在</w:t>
      </w:r>
      <w:r>
        <w:rPr>
          <w:rFonts w:hint="eastAsia" w:ascii="Arial" w:hAnsi="Arial"/>
          <w:color w:val="000000"/>
          <w:sz w:val="21"/>
          <w:szCs w:val="21"/>
        </w:rPr>
        <w:t>朝阳太阳宫、呼家楼以及丰台岳各庄</w:t>
      </w:r>
      <w:r>
        <w:rPr>
          <w:rFonts w:ascii="Arial" w:hAnsi="Arial"/>
          <w:color w:val="000000"/>
          <w:sz w:val="21"/>
          <w:szCs w:val="21"/>
        </w:rPr>
        <w:t>地块带动下，北京宅地整体成交楼面均价</w:t>
      </w:r>
      <w:r>
        <w:rPr>
          <w:rFonts w:hint="eastAsia" w:ascii="Arial" w:hAnsi="Arial"/>
          <w:color w:val="000000"/>
          <w:sz w:val="21"/>
          <w:szCs w:val="21"/>
        </w:rPr>
        <w:t>36161</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41.4</w:t>
      </w:r>
      <w:r>
        <w:rPr>
          <w:rFonts w:ascii="Arial" w:hAnsi="Arial"/>
          <w:color w:val="000000"/>
          <w:sz w:val="21"/>
          <w:szCs w:val="21"/>
        </w:rPr>
        <w:t>%。溢价率方面，受</w:t>
      </w:r>
      <w:r>
        <w:rPr>
          <w:rFonts w:hint="eastAsia" w:ascii="Arial" w:hAnsi="Arial"/>
          <w:color w:val="000000"/>
          <w:sz w:val="21"/>
          <w:szCs w:val="21"/>
        </w:rPr>
        <w:t>朝阳太阳宫</w:t>
      </w:r>
      <w:r>
        <w:rPr>
          <w:rFonts w:ascii="Arial" w:hAnsi="Arial"/>
          <w:color w:val="000000"/>
          <w:sz w:val="21"/>
          <w:szCs w:val="21"/>
        </w:rPr>
        <w:t>高溢价地块的带动下，</w:t>
      </w:r>
      <w:r>
        <w:rPr>
          <w:rFonts w:hint="eastAsia" w:ascii="Arial" w:hAnsi="Arial"/>
          <w:color w:val="000000"/>
          <w:sz w:val="21"/>
          <w:szCs w:val="21"/>
        </w:rPr>
        <w:t>三季度</w:t>
      </w:r>
      <w:r>
        <w:rPr>
          <w:rFonts w:ascii="Arial" w:hAnsi="Arial"/>
          <w:color w:val="000000"/>
          <w:sz w:val="21"/>
          <w:szCs w:val="21"/>
        </w:rPr>
        <w:t>北京宅地成交溢价率</w:t>
      </w:r>
      <w:r>
        <w:rPr>
          <w:rFonts w:hint="eastAsia" w:ascii="Arial" w:hAnsi="Arial"/>
          <w:color w:val="000000"/>
          <w:sz w:val="21"/>
          <w:szCs w:val="21"/>
        </w:rPr>
        <w:t>11.7</w:t>
      </w:r>
      <w:r>
        <w:rPr>
          <w:rFonts w:ascii="Arial" w:hAnsi="Arial"/>
          <w:color w:val="000000"/>
          <w:sz w:val="21"/>
          <w:szCs w:val="21"/>
        </w:rPr>
        <w:t>%，同比提升</w:t>
      </w:r>
      <w:r>
        <w:rPr>
          <w:rFonts w:hint="eastAsia" w:ascii="Arial" w:hAnsi="Arial"/>
          <w:color w:val="000000"/>
          <w:sz w:val="21"/>
          <w:szCs w:val="21"/>
        </w:rPr>
        <w:t>10.4</w:t>
      </w:r>
      <w:r>
        <w:rPr>
          <w:rFonts w:ascii="Arial" w:hAnsi="Arial"/>
          <w:color w:val="000000"/>
          <w:sz w:val="21"/>
          <w:szCs w:val="21"/>
        </w:rPr>
        <w:t>个百分点。整体来看</w:t>
      </w:r>
      <w:r>
        <w:rPr>
          <w:rFonts w:hint="eastAsia" w:ascii="Arial" w:hAnsi="Arial"/>
          <w:color w:val="000000"/>
          <w:sz w:val="21"/>
          <w:szCs w:val="21"/>
        </w:rPr>
        <w:t>，三季度北京宅地市场热度较低，仅太阳宫地块热度较高，经过超330轮现场举牌竞价成交，溢价率39.18%</w:t>
      </w:r>
      <w:r>
        <w:rPr>
          <w:rFonts w:ascii="Arial" w:hAnsi="Arial"/>
          <w:color w:val="000000"/>
          <w:sz w:val="21"/>
          <w:szCs w:val="21"/>
        </w:rPr>
        <w:t>，</w:t>
      </w:r>
      <w:r>
        <w:rPr>
          <w:rFonts w:hint="eastAsia" w:ascii="Arial" w:hAnsi="Arial"/>
          <w:color w:val="000000"/>
          <w:sz w:val="21"/>
          <w:szCs w:val="21"/>
        </w:rPr>
        <w:t>而其余6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p>
    <w:p w14:paraId="40F44751">
      <w:pPr>
        <w:spacing w:line="480" w:lineRule="auto"/>
        <w:jc w:val="center"/>
        <w:rPr>
          <w:rFonts w:ascii="Arial" w:hAnsi="Arial" w:cs="Arial"/>
          <w:sz w:val="21"/>
          <w:szCs w:val="21"/>
        </w:rPr>
      </w:pPr>
      <w:r>
        <w:drawing>
          <wp:inline distT="0" distB="0" distL="0" distR="0">
            <wp:extent cx="3402330" cy="1911985"/>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02330" cy="1911985"/>
                    </a:xfrm>
                    <a:prstGeom prst="rect">
                      <a:avLst/>
                    </a:prstGeom>
                    <a:noFill/>
                    <a:ln>
                      <a:noFill/>
                    </a:ln>
                    <a:effectLst/>
                  </pic:spPr>
                </pic:pic>
              </a:graphicData>
            </a:graphic>
          </wp:inline>
        </w:drawing>
      </w:r>
    </w:p>
    <w:p w14:paraId="69078AF8">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3.商品房住宅市场</w:t>
      </w:r>
    </w:p>
    <w:p w14:paraId="1E5D620E">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（1）商品住宅供给状况</w:t>
      </w:r>
    </w:p>
    <w:p w14:paraId="5AD12988">
      <w:pPr>
        <w:spacing w:line="360" w:lineRule="auto"/>
        <w:ind w:firstLine="420" w:firstLineChars="200"/>
        <w:jc w:val="both"/>
        <w:outlineLvl w:val="0"/>
        <w:rPr>
          <w:rFonts w:ascii="Arial" w:hAnsi="Arial"/>
          <w:sz w:val="21"/>
          <w:szCs w:val="28"/>
        </w:rPr>
      </w:pPr>
      <w:r>
        <w:rPr>
          <w:rFonts w:ascii="Arial" w:hAnsi="Arial"/>
          <w:color w:val="000000"/>
          <w:sz w:val="21"/>
          <w:szCs w:val="21"/>
        </w:rPr>
        <w:t>2025年</w:t>
      </w:r>
      <w:r>
        <w:rPr>
          <w:rFonts w:hint="eastAsia" w:ascii="Arial" w:hAnsi="Arial"/>
          <w:color w:val="000000"/>
          <w:sz w:val="21"/>
          <w:szCs w:val="21"/>
        </w:rPr>
        <w:t>三季度，</w:t>
      </w:r>
      <w:r>
        <w:rPr>
          <w:rFonts w:ascii="Arial" w:hAnsi="Arial"/>
          <w:color w:val="000000"/>
          <w:sz w:val="21"/>
          <w:szCs w:val="21"/>
        </w:rPr>
        <w:t>北京商品住宅（不含保障</w:t>
      </w:r>
      <w:r>
        <w:rPr>
          <w:rFonts w:hint="eastAsia" w:ascii="Arial" w:hAnsi="Arial"/>
          <w:color w:val="000000"/>
          <w:sz w:val="21"/>
          <w:szCs w:val="21"/>
        </w:rPr>
        <w:t>性住</w:t>
      </w:r>
      <w:r>
        <w:rPr>
          <w:rFonts w:ascii="Arial" w:hAnsi="Arial"/>
          <w:color w:val="000000"/>
          <w:sz w:val="21"/>
          <w:szCs w:val="21"/>
        </w:rPr>
        <w:t>房）累计供应</w:t>
      </w:r>
      <w:r>
        <w:rPr>
          <w:rFonts w:hint="eastAsia" w:ascii="Arial" w:hAnsi="Arial"/>
          <w:color w:val="000000"/>
          <w:sz w:val="21"/>
          <w:szCs w:val="21"/>
        </w:rPr>
        <w:t>100</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w:t>
      </w:r>
      <w:r>
        <w:rPr>
          <w:rFonts w:hint="eastAsia" w:ascii="Arial" w:hAnsi="Arial"/>
          <w:color w:val="000000"/>
          <w:sz w:val="21"/>
          <w:szCs w:val="21"/>
        </w:rPr>
        <w:t>月均供应量居近几年同期低位</w:t>
      </w:r>
      <w:r>
        <w:rPr>
          <w:rFonts w:ascii="Arial" w:hAnsi="Arial"/>
          <w:color w:val="000000"/>
          <w:sz w:val="21"/>
          <w:szCs w:val="21"/>
        </w:rPr>
        <w:t>。</w:t>
      </w:r>
      <w:r>
        <w:rPr>
          <w:rFonts w:hint="eastAsia" w:ascii="Arial" w:hAnsi="Arial"/>
          <w:color w:val="000000"/>
          <w:sz w:val="21"/>
          <w:szCs w:val="21"/>
        </w:rPr>
        <w:t>整体来看，伴随着存量库存的去化，房企入市积极性有所增强，但整体供应量较去年同期仍略有不足。具体来看，7月，受季节性因素的影响，房企入市积极性明显下滑，新增供应规模月18.93万平方米，环比减少51%；8月新增供应规模约18.52万平方米，环比减少2%；9月，随着“金九银十”行业传统旺季的来临，房企供应节奏有所加快，在中建·运河玖院、首钢璟悦长安、中海瑞文里、建发金茂观宸等项目积极入市带动下，新房供应量环比涨幅达239%，累计来看，三季度北京商品住宅市场累计供应规模约为100.28万平方米，同比减少约38%，环比减少9%</w:t>
      </w:r>
      <w:r>
        <w:rPr>
          <w:rFonts w:ascii="Arial" w:hAnsi="Arial"/>
          <w:sz w:val="21"/>
          <w:szCs w:val="28"/>
        </w:rPr>
        <w:t>。</w:t>
      </w:r>
    </w:p>
    <w:p w14:paraId="6D0E0C44">
      <w:pPr>
        <w:overflowPunct w:val="0"/>
        <w:spacing w:line="480" w:lineRule="auto"/>
        <w:jc w:val="center"/>
        <w:textAlignment w:val="auto"/>
        <w:rPr>
          <w:rFonts w:ascii="Arial" w:hAnsi="Arial"/>
          <w:sz w:val="21"/>
          <w:szCs w:val="28"/>
        </w:rPr>
      </w:pPr>
      <w:r>
        <w:drawing>
          <wp:inline distT="0" distB="0" distL="0" distR="0">
            <wp:extent cx="3473450" cy="203073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73450" cy="2030730"/>
                    </a:xfrm>
                    <a:prstGeom prst="rect">
                      <a:avLst/>
                    </a:prstGeom>
                    <a:noFill/>
                    <a:ln>
                      <a:noFill/>
                    </a:ln>
                    <a:effectLst/>
                  </pic:spPr>
                </pic:pic>
              </a:graphicData>
            </a:graphic>
          </wp:inline>
        </w:drawing>
      </w:r>
    </w:p>
    <w:p w14:paraId="07B70B0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2025年三季度北京商品住宅（不含保障房）库存规模同比增加，但仍居近年同期低位。截至</w:t>
      </w:r>
      <w:r>
        <w:rPr>
          <w:rFonts w:hint="eastAsia" w:ascii="Arial" w:hAnsi="Arial"/>
          <w:color w:val="000000"/>
          <w:sz w:val="21"/>
          <w:szCs w:val="21"/>
        </w:rPr>
        <w:t>9</w:t>
      </w:r>
      <w:r>
        <w:rPr>
          <w:rFonts w:ascii="Arial" w:hAnsi="Arial"/>
          <w:color w:val="000000"/>
          <w:sz w:val="21"/>
          <w:szCs w:val="21"/>
        </w:rPr>
        <w:t>月底，北京商品住宅（不含保障房）库存量约为988.72万平方米，较去年同期增加2%；月度来看，近期北京商品住宅市场库存规模整体呈现出小幅回升的趋势，本月市场供求规模基本均衡，库存规模维持平稳。去年930新政后，市场平均</w:t>
      </w:r>
      <w:r>
        <w:rPr>
          <w:rFonts w:hint="eastAsia" w:ascii="Arial" w:hAnsi="Arial"/>
          <w:color w:val="000000"/>
          <w:sz w:val="21"/>
          <w:szCs w:val="21"/>
        </w:rPr>
        <w:t>去化速度明显加快，叠加库存规模的逐步回落，出清周期呈现出明显的下滑趋势；进入2025年，伴随着需求的逐步释放，市场去化速度放缓，出清周期再次波动回升，截</w:t>
      </w:r>
      <w:r>
        <w:rPr>
          <w:rFonts w:ascii="Arial" w:hAnsi="Arial"/>
          <w:color w:val="000000"/>
          <w:sz w:val="21"/>
          <w:szCs w:val="21"/>
        </w:rPr>
        <w:t>止到9月去化周期回升至23.0个月。</w:t>
      </w:r>
    </w:p>
    <w:p w14:paraId="4CE8C91F">
      <w:pPr>
        <w:overflowPunct w:val="0"/>
        <w:spacing w:line="480" w:lineRule="auto"/>
        <w:jc w:val="center"/>
        <w:textAlignment w:val="auto"/>
        <w:rPr>
          <w:rFonts w:ascii="Arial" w:hAnsi="Arial"/>
          <w:sz w:val="21"/>
        </w:rPr>
      </w:pPr>
      <w:r>
        <w:drawing>
          <wp:inline distT="0" distB="0" distL="0" distR="0">
            <wp:extent cx="5902325" cy="184086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02325" cy="1840865"/>
                    </a:xfrm>
                    <a:prstGeom prst="rect">
                      <a:avLst/>
                    </a:prstGeom>
                    <a:noFill/>
                    <a:ln>
                      <a:noFill/>
                    </a:ln>
                  </pic:spPr>
                </pic:pic>
              </a:graphicData>
            </a:graphic>
          </wp:inline>
        </w:drawing>
      </w:r>
    </w:p>
    <w:p w14:paraId="084F4815">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（2）商品</w:t>
      </w:r>
      <w:r>
        <w:rPr>
          <w:rFonts w:hint="eastAsia" w:ascii="Arial" w:hAnsi="Arial"/>
          <w:bCs/>
          <w:sz w:val="21"/>
          <w:szCs w:val="28"/>
        </w:rPr>
        <w:t>住宅成交情况</w:t>
      </w:r>
    </w:p>
    <w:p w14:paraId="3603D5F7">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784DB661">
      <w:pPr>
        <w:spacing w:line="360" w:lineRule="auto"/>
        <w:ind w:firstLine="420" w:firstLineChars="200"/>
        <w:jc w:val="both"/>
        <w:outlineLvl w:val="0"/>
        <w:rPr>
          <w:rFonts w:ascii="Arial" w:hAnsi="Arial"/>
          <w:sz w:val="21"/>
          <w:szCs w:val="28"/>
        </w:rPr>
      </w:pPr>
      <w:r>
        <w:rPr>
          <w:rFonts w:ascii="Arial" w:hAnsi="Arial"/>
          <w:color w:val="000000"/>
          <w:sz w:val="21"/>
          <w:szCs w:val="21"/>
        </w:rPr>
        <w:t>2025年三季度北京市场活跃度下滑，成交规模同环比均有所减少。2025年1-9月北京新房市场累计成交规模为338.49万</w:t>
      </w:r>
      <w:r>
        <w:rPr>
          <w:rFonts w:hint="eastAsia" w:ascii="Arial" w:hAnsi="Arial"/>
          <w:color w:val="000000"/>
          <w:sz w:val="21"/>
          <w:szCs w:val="21"/>
        </w:rPr>
        <w:t>平方米</w:t>
      </w:r>
      <w:r>
        <w:rPr>
          <w:rFonts w:ascii="Arial" w:hAnsi="Arial"/>
          <w:color w:val="000000"/>
          <w:sz w:val="21"/>
          <w:szCs w:val="21"/>
        </w:rPr>
        <w:t>，同比增加12%。其中，三季度来看，北京新房市场活跃度同环比均有所回落，市场活跃度有所下滑，商品住宅累计成交规模约为105.73万</w:t>
      </w:r>
      <w:r>
        <w:rPr>
          <w:rFonts w:hint="eastAsia" w:ascii="Arial" w:hAnsi="Arial"/>
          <w:color w:val="000000"/>
          <w:sz w:val="21"/>
          <w:szCs w:val="21"/>
        </w:rPr>
        <w:t>平方米</w:t>
      </w:r>
      <w:r>
        <w:rPr>
          <w:rFonts w:ascii="Arial" w:hAnsi="Arial"/>
          <w:color w:val="000000"/>
          <w:sz w:val="21"/>
          <w:szCs w:val="21"/>
        </w:rPr>
        <w:t>，同比减少0.1%，环比减少17%。分月度来看，7月，受季节性因素的影响，成交规模环比明显下滑。8月8日，北京五环外解除限购同时优化公积金贷款政策，为楼市铺上了防滑垫，当月新房成交量环比略有增长，但鉴于政策力 度较为温和，且2024年多轮政策优化后需求已有释放，本次新政的边际效果较为有限。9月，随着“金九银十”行业旺季的到来，房企入市意愿增强，供应量环比大增，带动成交规模环比上行</w:t>
      </w:r>
      <w:r>
        <w:rPr>
          <w:rFonts w:hint="eastAsia" w:ascii="Arial" w:hAnsi="Arial"/>
          <w:sz w:val="21"/>
          <w:szCs w:val="28"/>
        </w:rPr>
        <w:t>。</w:t>
      </w:r>
    </w:p>
    <w:p w14:paraId="39C1E554">
      <w:pPr>
        <w:overflowPunct w:val="0"/>
        <w:spacing w:line="480" w:lineRule="auto"/>
        <w:jc w:val="both"/>
        <w:textAlignment w:val="auto"/>
        <w:rPr>
          <w:rFonts w:ascii="Arial" w:hAnsi="Arial"/>
          <w:sz w:val="21"/>
        </w:rPr>
      </w:pPr>
      <w:r>
        <w:drawing>
          <wp:inline distT="0" distB="0" distL="0" distR="0">
            <wp:extent cx="5902325" cy="16687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02325" cy="1668780"/>
                    </a:xfrm>
                    <a:prstGeom prst="rect">
                      <a:avLst/>
                    </a:prstGeom>
                    <a:noFill/>
                    <a:ln>
                      <a:noFill/>
                    </a:ln>
                  </pic:spPr>
                </pic:pic>
              </a:graphicData>
            </a:graphic>
          </wp:inline>
        </w:drawing>
      </w:r>
    </w:p>
    <w:p w14:paraId="377EF893">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72B2D3BE">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00415295">
      <w:pPr>
        <w:spacing w:line="360" w:lineRule="auto"/>
        <w:ind w:firstLine="420" w:firstLineChars="20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2025年三季度，中建·运河玖院、华润臻云、建发·海晏、中海萬吉玖序、融创壹号院等项目热销，带动新房成交均价结构性上涨，商品住宅价格指数为46511元/平方米，同比上涨2.4%，同比涨幅居历史同期高位；累计来看，三季度商品住房价格累计上涨0.14%，较去年同期有所改善</w:t>
      </w:r>
      <w:r>
        <w:rPr>
          <w:rFonts w:ascii="Arial" w:hAnsi="Arial"/>
          <w:sz w:val="21"/>
          <w:szCs w:val="28"/>
        </w:rPr>
        <w:t>。</w:t>
      </w:r>
    </w:p>
    <w:p w14:paraId="27900379">
      <w:pPr>
        <w:tabs>
          <w:tab w:val="left" w:pos="426"/>
        </w:tabs>
        <w:overflowPunct w:val="0"/>
        <w:spacing w:line="480" w:lineRule="auto"/>
        <w:jc w:val="center"/>
        <w:textAlignment w:val="auto"/>
        <w:rPr>
          <w:rFonts w:ascii="Arial" w:hAnsi="Arial"/>
          <w:sz w:val="21"/>
          <w:szCs w:val="28"/>
        </w:rPr>
      </w:pPr>
      <w:r>
        <w:drawing>
          <wp:inline distT="0" distB="0" distL="0" distR="0">
            <wp:extent cx="5902325" cy="1834515"/>
            <wp:effectExtent l="0" t="0" r="0" b="0"/>
            <wp:docPr id="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02325" cy="1834515"/>
                    </a:xfrm>
                    <a:prstGeom prst="rect">
                      <a:avLst/>
                    </a:prstGeom>
                    <a:noFill/>
                    <a:ln>
                      <a:noFill/>
                    </a:ln>
                  </pic:spPr>
                </pic:pic>
              </a:graphicData>
            </a:graphic>
          </wp:inline>
        </w:drawing>
      </w:r>
    </w:p>
    <w:p w14:paraId="2110B1EA">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457FA77C">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2025年三季度，90-200</w:t>
      </w:r>
      <w:r>
        <w:rPr>
          <w:rFonts w:hint="eastAsia" w:ascii="Arial" w:hAnsi="Arial"/>
          <w:sz w:val="21"/>
          <w:szCs w:val="28"/>
        </w:rPr>
        <w:t>平方米</w:t>
      </w:r>
      <w:r>
        <w:rPr>
          <w:rFonts w:ascii="Arial" w:hAnsi="Arial"/>
          <w:sz w:val="21"/>
          <w:szCs w:val="28"/>
        </w:rPr>
        <w:t>面积段的刚改和改善型产品成交占比提升明显，成交套数占比达 71.1%，占比提升5.6个百分点，中低面积段产品成交占比下滑明显，占比为21.6%，同比减少6.6个百分点。成交总价段在500-1200万</w:t>
      </w:r>
      <w:bookmarkStart w:id="41" w:name="OLE_LINK10"/>
      <w:r>
        <w:rPr>
          <w:rFonts w:hint="eastAsia" w:ascii="Arial" w:hAnsi="Arial"/>
          <w:sz w:val="21"/>
          <w:szCs w:val="28"/>
        </w:rPr>
        <w:t>元</w:t>
      </w:r>
      <w:bookmarkEnd w:id="41"/>
      <w:r>
        <w:rPr>
          <w:rFonts w:ascii="Arial" w:hAnsi="Arial"/>
          <w:sz w:val="21"/>
          <w:szCs w:val="28"/>
        </w:rPr>
        <w:t>之间的中高价位段产品成交占比提升较多，较去年同期增加4.3个百分点，其中500-800万</w:t>
      </w:r>
      <w:r>
        <w:rPr>
          <w:rFonts w:hint="eastAsia" w:ascii="Arial" w:hAnsi="Arial"/>
          <w:sz w:val="21"/>
          <w:szCs w:val="28"/>
        </w:rPr>
        <w:t>元</w:t>
      </w:r>
      <w:r>
        <w:rPr>
          <w:rFonts w:ascii="Arial" w:hAnsi="Arial"/>
          <w:sz w:val="21"/>
          <w:szCs w:val="28"/>
        </w:rPr>
        <w:t>之间产品市场占比最高，较去年同期增加5.0个百分点；中低总价段产品成交占比下滑幅度较大，占比较去年同 期减少7.6个百分点，其中300-500万</w:t>
      </w:r>
      <w:r>
        <w:rPr>
          <w:rFonts w:hint="eastAsia" w:ascii="Arial" w:hAnsi="Arial"/>
          <w:sz w:val="21"/>
          <w:szCs w:val="28"/>
        </w:rPr>
        <w:t>元</w:t>
      </w:r>
      <w:r>
        <w:rPr>
          <w:rFonts w:ascii="Arial" w:hAnsi="Arial"/>
          <w:sz w:val="21"/>
          <w:szCs w:val="28"/>
        </w:rPr>
        <w:t>之间产品成交占比下滑明显，较去年同期减少4.2个百分点；300万</w:t>
      </w:r>
      <w:r>
        <w:rPr>
          <w:rFonts w:hint="eastAsia" w:ascii="Arial" w:hAnsi="Arial"/>
          <w:sz w:val="21"/>
          <w:szCs w:val="28"/>
        </w:rPr>
        <w:t>元</w:t>
      </w:r>
      <w:r>
        <w:rPr>
          <w:rFonts w:ascii="Arial" w:hAnsi="Arial"/>
          <w:sz w:val="21"/>
          <w:szCs w:val="28"/>
        </w:rPr>
        <w:t>以下产品成交占比下滑3.4个百分点。</w:t>
      </w:r>
    </w:p>
    <w:p w14:paraId="5340FEA8">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度，华润臻云、建发·海晏、中海萬吉玖序、融创壹号院、金茂满曜、颐海澐颂等高端改善项目热销，均位居全市项目销售金额榜TOP10前列，带动中高面积段和高总价产品成交占比出现明显的提升。主要原因一方面是热销项目主力户型位于120-180</w:t>
      </w:r>
      <w:r>
        <w:rPr>
          <w:rFonts w:hint="eastAsia" w:ascii="Arial" w:hAnsi="Arial"/>
          <w:sz w:val="21"/>
          <w:szCs w:val="28"/>
        </w:rPr>
        <w:t>平方米</w:t>
      </w:r>
      <w:r>
        <w:rPr>
          <w:rFonts w:ascii="Arial" w:hAnsi="Arial"/>
          <w:sz w:val="21"/>
          <w:szCs w:val="28"/>
        </w:rPr>
        <w:t>之间；另一方面，入市项目区位优势较为明显，周边产业等配套资源丰富，市场需求支撑度较高，项目成交均价多数均超10万元/</w:t>
      </w:r>
      <w:r>
        <w:rPr>
          <w:rFonts w:hint="eastAsia" w:ascii="Arial" w:hAnsi="Arial"/>
          <w:sz w:val="21"/>
          <w:szCs w:val="28"/>
        </w:rPr>
        <w:t>平方米</w:t>
      </w:r>
      <w:r>
        <w:rPr>
          <w:rFonts w:ascii="Arial" w:hAnsi="Arial"/>
          <w:sz w:val="21"/>
          <w:szCs w:val="28"/>
        </w:rPr>
        <w:t>。</w:t>
      </w:r>
    </w:p>
    <w:p w14:paraId="061E73D3">
      <w:pPr>
        <w:overflowPunct w:val="0"/>
        <w:spacing w:line="480" w:lineRule="auto"/>
        <w:jc w:val="center"/>
        <w:textAlignment w:val="auto"/>
      </w:pPr>
      <w:r>
        <w:drawing>
          <wp:inline distT="0" distB="0" distL="0" distR="0">
            <wp:extent cx="5902325" cy="1704340"/>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02325" cy="1704340"/>
                    </a:xfrm>
                    <a:prstGeom prst="rect">
                      <a:avLst/>
                    </a:prstGeom>
                    <a:noFill/>
                    <a:ln>
                      <a:noFill/>
                    </a:ln>
                  </pic:spPr>
                </pic:pic>
              </a:graphicData>
            </a:graphic>
          </wp:inline>
        </w:drawing>
      </w:r>
    </w:p>
    <w:p w14:paraId="3C4C9A13">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0D568DF7">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从区域成交规模来看，近郊六区仍为市场成交主力区域，成交规模占比超五成。2025年三季度近郊六区成交56.17万</w:t>
      </w:r>
      <w:r>
        <w:rPr>
          <w:rFonts w:hint="eastAsia" w:ascii="Arial" w:hAnsi="Arial"/>
          <w:sz w:val="21"/>
          <w:szCs w:val="28"/>
        </w:rPr>
        <w:t>平方米</w:t>
      </w:r>
      <w:r>
        <w:rPr>
          <w:rFonts w:ascii="Arial" w:hAnsi="Arial"/>
          <w:sz w:val="21"/>
          <w:szCs w:val="28"/>
        </w:rPr>
        <w:t>，占比达53.1%；其中，通州、大兴累计成交占全市的比重均超10%。中心城区累计成交42.36万</w:t>
      </w:r>
      <w:r>
        <w:rPr>
          <w:rFonts w:hint="eastAsia" w:ascii="Arial" w:hAnsi="Arial"/>
          <w:sz w:val="21"/>
          <w:szCs w:val="28"/>
        </w:rPr>
        <w:t>平方米</w:t>
      </w:r>
      <w:r>
        <w:rPr>
          <w:rFonts w:ascii="Arial" w:hAnsi="Arial"/>
          <w:sz w:val="21"/>
          <w:szCs w:val="28"/>
        </w:rPr>
        <w:t>，成交占比为40.1%，朝阳、丰台成交规模居前列，成交规模占全市的比重均超10%。</w:t>
      </w:r>
    </w:p>
    <w:p w14:paraId="63F917C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26%，海淀同比增幅超八成，石景山成交同比增加42%，丰台和朝阳成交同比增幅在20%左右，东城区和西城区成交规模同比明显下滑，但基数较小；近郊区域成交同比减少15%，房山和顺义同比领跌，跌幅分别为59%和38%， 昌平和大兴成交同比跌幅分别为17%和21%，通州和门头沟成交同比增加；远郊区域成交规模同比增加27%，密云和怀柔增幅明显，平谷和延庆成交同比下跌。</w:t>
      </w:r>
    </w:p>
    <w:p w14:paraId="6253E16A">
      <w:pPr>
        <w:tabs>
          <w:tab w:val="left" w:pos="0"/>
        </w:tabs>
        <w:overflowPunct w:val="0"/>
        <w:spacing w:line="480" w:lineRule="auto"/>
        <w:jc w:val="center"/>
        <w:textAlignment w:val="auto"/>
      </w:pPr>
      <w:r>
        <w:drawing>
          <wp:inline distT="0" distB="0" distL="0" distR="0">
            <wp:extent cx="5908040" cy="1941830"/>
            <wp:effectExtent l="0" t="0" r="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08040" cy="1941830"/>
                    </a:xfrm>
                    <a:prstGeom prst="rect">
                      <a:avLst/>
                    </a:prstGeom>
                    <a:noFill/>
                    <a:ln>
                      <a:noFill/>
                    </a:ln>
                  </pic:spPr>
                </pic:pic>
              </a:graphicData>
            </a:graphic>
          </wp:inline>
        </w:drawing>
      </w:r>
    </w:p>
    <w:p w14:paraId="5CBA334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从成交价格来看，</w:t>
      </w:r>
      <w:r>
        <w:rPr>
          <w:rFonts w:hint="eastAsia" w:ascii="Arial" w:hAnsi="Arial"/>
          <w:sz w:val="21"/>
          <w:szCs w:val="28"/>
        </w:rPr>
        <w:t>2025年三季度中心城区商品住宅（不含保障房）成交均价最高，整体均价超10万/平方米，其中东、西城成交均价均超12万元/平方米，远郊区整体成交均价最低，整体均价不足3万/平方米，其中密云区成交均价最低，上半年成交均价仅18794元/平方米</w:t>
      </w:r>
      <w:r>
        <w:rPr>
          <w:rFonts w:ascii="Arial" w:hAnsi="Arial"/>
          <w:sz w:val="21"/>
          <w:szCs w:val="28"/>
        </w:rPr>
        <w:t>。</w:t>
      </w:r>
    </w:p>
    <w:p w14:paraId="372769D6">
      <w:pPr>
        <w:overflowPunct w:val="0"/>
        <w:spacing w:line="480" w:lineRule="auto"/>
        <w:ind w:firstLine="420" w:firstLineChars="200"/>
        <w:jc w:val="both"/>
        <w:textAlignment w:val="auto"/>
        <w:rPr>
          <w:rFonts w:ascii="Arial" w:hAnsi="Arial"/>
          <w:sz w:val="21"/>
          <w:szCs w:val="28"/>
        </w:rPr>
      </w:pPr>
      <w:r>
        <w:rPr>
          <w:rFonts w:ascii="Arial" w:hAnsi="Arial"/>
          <w:sz w:val="21"/>
          <w:szCs w:val="28"/>
        </w:rPr>
        <w:t>从价格变化来看，2025年三季度中心城区结构性上涨，近郊区、远郊区房价均有所下跌。其中，中心城区商品住宅成交均价同比上涨7%，海淀区和东城区领涨，同比涨幅分别为26%和20%；近郊区域成交均价同比下跌6%，门头沟和大兴房价下跌明显，同比跌幅均超10%；远郊区域成交均价同比下跌11%，密云和平谷跌幅超20%。</w:t>
      </w:r>
    </w:p>
    <w:p w14:paraId="4476667A">
      <w:pPr>
        <w:widowControl/>
        <w:spacing w:line="360" w:lineRule="auto"/>
        <w:jc w:val="center"/>
        <w:rPr>
          <w:rFonts w:ascii="Arial" w:hAnsi="Arial" w:eastAsia="仿宋_GB2312" w:cs="Arial"/>
          <w:bCs/>
          <w:color w:val="000000"/>
          <w:sz w:val="28"/>
          <w:szCs w:val="28"/>
        </w:rPr>
      </w:pPr>
      <w:r>
        <w:drawing>
          <wp:inline distT="0" distB="0" distL="0" distR="0">
            <wp:extent cx="5902325" cy="1983105"/>
            <wp:effectExtent l="0" t="0" r="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02325" cy="1983105"/>
                    </a:xfrm>
                    <a:prstGeom prst="rect">
                      <a:avLst/>
                    </a:prstGeom>
                    <a:noFill/>
                    <a:ln>
                      <a:noFill/>
                    </a:ln>
                  </pic:spPr>
                </pic:pic>
              </a:graphicData>
            </a:graphic>
          </wp:inline>
        </w:drawing>
      </w:r>
    </w:p>
    <w:p w14:paraId="68EABF66">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3F7104C8">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6C4E3952">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2025年三季度，北京</w:t>
      </w:r>
      <w:bookmarkStart w:id="42" w:name="OLE_LINK11"/>
      <w:r>
        <w:rPr>
          <w:rFonts w:hint="eastAsia" w:ascii="Arial" w:hAnsi="Arial"/>
          <w:sz w:val="21"/>
          <w:szCs w:val="28"/>
        </w:rPr>
        <w:t>存量</w:t>
      </w:r>
      <w:bookmarkEnd w:id="42"/>
      <w:r>
        <w:rPr>
          <w:rFonts w:hint="eastAsia" w:ascii="Arial" w:hAnsi="Arial"/>
          <w:sz w:val="21"/>
          <w:szCs w:val="28"/>
        </w:rPr>
        <w:t>房市场活跃度有所下滑，累计成交5.16万套，环比下降6.7%，同比下降2.9%。从月度趋势来看，北京存量房市场热度先降后升，7/8月北京存量商品住宅成交规模降至1.3万套上下；8月下旬，受楼市新政效果刺激，成交量逐步上涨，9月累计成交15843套，创近半年月度新高。</w:t>
      </w:r>
    </w:p>
    <w:p w14:paraId="6F160EDD">
      <w:pPr>
        <w:tabs>
          <w:tab w:val="left" w:pos="426"/>
        </w:tabs>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2025年</w:t>
      </w:r>
      <w:r>
        <w:rPr>
          <w:rFonts w:ascii="Arial" w:hAnsi="Arial"/>
          <w:sz w:val="21"/>
          <w:szCs w:val="28"/>
        </w:rPr>
        <w:t>三季年，北京</w:t>
      </w:r>
      <w:r>
        <w:rPr>
          <w:rFonts w:hint="eastAsia" w:ascii="Arial" w:hAnsi="Arial"/>
          <w:sz w:val="21"/>
          <w:szCs w:val="28"/>
        </w:rPr>
        <w:t>存量</w:t>
      </w:r>
      <w:r>
        <w:rPr>
          <w:rFonts w:ascii="Arial" w:hAnsi="Arial"/>
          <w:sz w:val="21"/>
          <w:szCs w:val="28"/>
        </w:rPr>
        <w:t>房市场延续“以价换量”主旋律。从统计局数据来看，二季度以来，受</w:t>
      </w:r>
      <w:r>
        <w:rPr>
          <w:rFonts w:hint="eastAsia" w:ascii="Arial" w:hAnsi="Arial"/>
          <w:sz w:val="21"/>
          <w:szCs w:val="28"/>
        </w:rPr>
        <w:t>存量</w:t>
      </w:r>
      <w:r>
        <w:rPr>
          <w:rFonts w:ascii="Arial" w:hAnsi="Arial"/>
          <w:sz w:val="21"/>
          <w:szCs w:val="28"/>
        </w:rPr>
        <w:t>房挂牌增加，学区需求下滑等因素影响，北京</w:t>
      </w:r>
      <w:r>
        <w:rPr>
          <w:rFonts w:hint="eastAsia" w:ascii="Arial" w:hAnsi="Arial"/>
          <w:sz w:val="21"/>
          <w:szCs w:val="28"/>
        </w:rPr>
        <w:t>存量</w:t>
      </w:r>
      <w:r>
        <w:rPr>
          <w:rFonts w:ascii="Arial" w:hAnsi="Arial"/>
          <w:sz w:val="21"/>
          <w:szCs w:val="28"/>
        </w:rPr>
        <w:t>房价格指数环比持续下跌，三季度房价跌幅呈扩大趋势，7月跌幅1.1%，8月跌幅再次扩大至1.2%，9月跌幅缩小至0.9%。</w:t>
      </w:r>
    </w:p>
    <w:p w14:paraId="47F4B067">
      <w:pPr>
        <w:tabs>
          <w:tab w:val="left" w:pos="0"/>
        </w:tabs>
        <w:overflowPunct w:val="0"/>
        <w:spacing w:line="480" w:lineRule="auto"/>
        <w:jc w:val="center"/>
        <w:textAlignment w:val="auto"/>
        <w:rPr>
          <w:rFonts w:ascii="Arial" w:hAnsi="Arial"/>
          <w:sz w:val="21"/>
        </w:rPr>
      </w:pPr>
      <w:r>
        <w:drawing>
          <wp:inline distT="0" distB="0" distL="0" distR="0">
            <wp:extent cx="5902325" cy="1632585"/>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02325" cy="1632585"/>
                    </a:xfrm>
                    <a:prstGeom prst="rect">
                      <a:avLst/>
                    </a:prstGeom>
                    <a:noFill/>
                    <a:ln>
                      <a:noFill/>
                    </a:ln>
                  </pic:spPr>
                </pic:pic>
              </a:graphicData>
            </a:graphic>
          </wp:inline>
        </w:drawing>
      </w:r>
    </w:p>
    <w:p w14:paraId="63A576D7">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2BA914A1">
      <w:pPr>
        <w:overflowPunct w:val="0"/>
        <w:spacing w:line="480" w:lineRule="auto"/>
        <w:ind w:firstLine="420"/>
        <w:jc w:val="both"/>
        <w:textAlignment w:val="auto"/>
        <w:rPr>
          <w:rFonts w:ascii="Arial" w:hAnsi="Arial"/>
          <w:color w:val="000000"/>
          <w:sz w:val="21"/>
        </w:rPr>
      </w:pPr>
      <w:bookmarkStart w:id="43" w:name="OLE_LINK9"/>
      <w:bookmarkStart w:id="44" w:name="OLE_LINK8"/>
      <w:r>
        <w:rPr>
          <w:rFonts w:ascii="Arial" w:hAnsi="Arial"/>
          <w:color w:val="000000"/>
          <w:sz w:val="21"/>
        </w:rPr>
        <w:t>分区域来看，</w:t>
      </w:r>
      <w:r>
        <w:rPr>
          <w:rFonts w:hint="eastAsia" w:ascii="Arial" w:hAnsi="Arial"/>
          <w:color w:val="000000"/>
          <w:sz w:val="21"/>
        </w:rPr>
        <w:t>2025年三季度朝阳存量房成交规模较大，成交规模达87.22万平方米，居各区第一位；海淀、丰台、昌平成交面积均超过30万平方米，成交规模居第二梯队；另外，远郊各区以及近郊的门头沟存量房市场活跃度相对较低，成交规模均不足10万平方米。</w:t>
      </w:r>
    </w:p>
    <w:p w14:paraId="7A37B3C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同比变化来看，三季度，除门头沟、平谷、大兴、通州外，其他区域存量房成交规模均同比下跌，中心城区整体成交规模同比下跌8%，其中石景山区各同比下跌14%。成交价格方面，上半年西城区成交价格最高，达93558元/平方米；其次为东城区，为78189元/平方米</w:t>
      </w:r>
      <w:r>
        <w:rPr>
          <w:rFonts w:ascii="Arial" w:hAnsi="Arial"/>
          <w:color w:val="000000"/>
          <w:sz w:val="21"/>
        </w:rPr>
        <w:t>。</w:t>
      </w:r>
    </w:p>
    <w:p w14:paraId="47AC575D">
      <w:pPr>
        <w:widowControl/>
        <w:spacing w:line="360" w:lineRule="auto"/>
        <w:jc w:val="center"/>
        <w:rPr>
          <w:rFonts w:ascii="Arial" w:hAnsi="Arial" w:eastAsia="仿宋_GB2312" w:cs="Arial"/>
          <w:bCs/>
          <w:color w:val="000000"/>
          <w:sz w:val="28"/>
          <w:szCs w:val="28"/>
        </w:rPr>
      </w:pPr>
      <w:r>
        <w:drawing>
          <wp:inline distT="0" distB="0" distL="0" distR="0">
            <wp:extent cx="5908040" cy="2084070"/>
            <wp:effectExtent l="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08040" cy="2084070"/>
                    </a:xfrm>
                    <a:prstGeom prst="rect">
                      <a:avLst/>
                    </a:prstGeom>
                    <a:noFill/>
                    <a:ln>
                      <a:noFill/>
                    </a:ln>
                  </pic:spPr>
                </pic:pic>
              </a:graphicData>
            </a:graphic>
          </wp:inline>
        </w:drawing>
      </w:r>
    </w:p>
    <w:p w14:paraId="0B1E5B10">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hint="eastAsia" w:ascii="Arial" w:hAnsi="Arial"/>
          <w:color w:val="000000"/>
          <w:sz w:val="21"/>
        </w:rPr>
        <w:t>存量</w:t>
      </w:r>
      <w:r>
        <w:rPr>
          <w:rFonts w:ascii="Arial" w:hAnsi="Arial"/>
          <w:color w:val="000000"/>
          <w:sz w:val="21"/>
        </w:rPr>
        <w:t>房对新房市场的分流效应逐步增强。2021年以来，北京市</w:t>
      </w:r>
      <w:r>
        <w:rPr>
          <w:rFonts w:hint="eastAsia" w:ascii="Arial" w:hAnsi="Arial"/>
          <w:color w:val="000000"/>
          <w:sz w:val="21"/>
        </w:rPr>
        <w:t>存量</w:t>
      </w:r>
      <w:r>
        <w:rPr>
          <w:rFonts w:ascii="Arial" w:hAnsi="Arial"/>
          <w:color w:val="000000"/>
          <w:sz w:val="21"/>
        </w:rPr>
        <w:t>房成交占比波动增加。2025年三季度，北京新房市场虽有海淀、朝阳、通州 等项目的局部高热现象，但整体市场持续承压，累计成交套数不足1万套，为近年季度低位；</w:t>
      </w:r>
      <w:r>
        <w:rPr>
          <w:rFonts w:hint="eastAsia" w:ascii="Arial" w:hAnsi="Arial"/>
          <w:color w:val="000000"/>
          <w:sz w:val="21"/>
        </w:rPr>
        <w:t>存量</w:t>
      </w:r>
      <w:r>
        <w:rPr>
          <w:rFonts w:ascii="Arial" w:hAnsi="Arial"/>
          <w:color w:val="000000"/>
          <w:sz w:val="21"/>
        </w:rPr>
        <w:t>房市场热度虽有所下降，但成交套数依然保持较高水平。2025 年三季度北京</w:t>
      </w:r>
      <w:r>
        <w:rPr>
          <w:rFonts w:hint="eastAsia" w:ascii="Arial" w:hAnsi="Arial"/>
          <w:color w:val="000000"/>
          <w:sz w:val="21"/>
        </w:rPr>
        <w:t>存量</w:t>
      </w:r>
      <w:r>
        <w:rPr>
          <w:rFonts w:ascii="Arial" w:hAnsi="Arial"/>
          <w:color w:val="000000"/>
          <w:sz w:val="21"/>
        </w:rPr>
        <w:t>商品住宅累计成交套数占比升至81%，较上年同期提高4个百分点。</w:t>
      </w:r>
    </w:p>
    <w:p w14:paraId="13F8668F">
      <w:pPr>
        <w:overflowPunct w:val="0"/>
        <w:spacing w:line="480" w:lineRule="auto"/>
        <w:jc w:val="both"/>
        <w:textAlignment w:val="auto"/>
        <w:rPr>
          <w:rFonts w:ascii="Arial" w:hAnsi="Arial"/>
          <w:color w:val="000000"/>
          <w:sz w:val="21"/>
        </w:rPr>
      </w:pPr>
      <w:r>
        <w:drawing>
          <wp:inline distT="0" distB="0" distL="0" distR="0">
            <wp:extent cx="5908040" cy="1722120"/>
            <wp:effectExtent l="0" t="0" r="0" b="0"/>
            <wp:docPr id="1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08040" cy="1722120"/>
                    </a:xfrm>
                    <a:prstGeom prst="rect">
                      <a:avLst/>
                    </a:prstGeom>
                    <a:noFill/>
                    <a:ln>
                      <a:noFill/>
                    </a:ln>
                  </pic:spPr>
                </pic:pic>
              </a:graphicData>
            </a:graphic>
          </wp:inline>
        </w:drawing>
      </w:r>
    </w:p>
    <w:p w14:paraId="21218E9F">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78367AF2">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694786C2">
      <w:pPr>
        <w:overflowPunct w:val="0"/>
        <w:spacing w:line="480" w:lineRule="auto"/>
        <w:ind w:firstLine="420"/>
        <w:jc w:val="both"/>
        <w:textAlignment w:val="auto"/>
        <w:rPr>
          <w:rFonts w:ascii="Arial" w:hAnsi="Arial"/>
          <w:color w:val="000000"/>
          <w:sz w:val="21"/>
        </w:rPr>
      </w:pPr>
      <w:r>
        <w:rPr>
          <w:rFonts w:ascii="Arial" w:hAnsi="Arial"/>
          <w:color w:val="000000"/>
          <w:sz w:val="21"/>
        </w:rPr>
        <w:t>2024年9月26日，中共中央政治局召开会议，分析研究当前经济形势，部署下一步经济工作。会议对房地产政策进行了重点部署，首次提出要“促进房地产市场止跌回稳”，强调稳定房地产市场对宏观经济的重要性。具体措施包括：</w:t>
      </w:r>
      <w:r>
        <w:rPr>
          <w:rFonts w:hint="eastAsia" w:ascii="Arial" w:hAnsi="Arial"/>
          <w:color w:val="000000"/>
          <w:sz w:val="21"/>
        </w:rPr>
        <w:t>一、</w:t>
      </w:r>
      <w:r>
        <w:rPr>
          <w:rFonts w:ascii="Arial" w:hAnsi="Arial"/>
          <w:color w:val="000000"/>
          <w:sz w:val="21"/>
        </w:rPr>
        <w:t>商品房建设：严控增量、优化存量、提高质量，意味着未来土地和住房供应将结合城市实际需求，不能盲目扩大。</w:t>
      </w:r>
      <w:r>
        <w:rPr>
          <w:rFonts w:hint="eastAsia" w:ascii="Arial" w:hAnsi="Arial"/>
          <w:color w:val="000000"/>
          <w:sz w:val="21"/>
        </w:rPr>
        <w:t>二、</w:t>
      </w:r>
      <w:r>
        <w:rPr>
          <w:rFonts w:ascii="Arial" w:hAnsi="Arial"/>
          <w:color w:val="000000"/>
          <w:sz w:val="21"/>
        </w:rPr>
        <w:t>住房限购政策：调整住房限购政策，降低存量房贷利率，以提振市场信心。</w:t>
      </w:r>
      <w:r>
        <w:rPr>
          <w:rFonts w:hint="eastAsia" w:ascii="Arial" w:hAnsi="Arial"/>
          <w:color w:val="000000"/>
          <w:sz w:val="21"/>
        </w:rPr>
        <w:t>三、</w:t>
      </w:r>
      <w:r>
        <w:rPr>
          <w:rFonts w:ascii="Arial" w:hAnsi="Arial"/>
          <w:color w:val="000000"/>
          <w:sz w:val="21"/>
        </w:rPr>
        <w:t>项目贷款：加大“白名单”项目贷款投放力度，支持盘活存量闲置土地。</w:t>
      </w:r>
      <w:r>
        <w:rPr>
          <w:rFonts w:hint="eastAsia" w:ascii="Arial" w:hAnsi="Arial"/>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hint="eastAsia" w:ascii="Arial" w:hAnsi="Arial"/>
          <w:color w:val="000000"/>
          <w:sz w:val="21"/>
        </w:rPr>
        <w:t>。</w:t>
      </w:r>
    </w:p>
    <w:p w14:paraId="5060B26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w:t>
      </w:r>
      <w:r>
        <w:rPr>
          <w:rFonts w:ascii="Arial" w:hAnsi="Arial"/>
          <w:color w:val="000000"/>
          <w:sz w:val="21"/>
        </w:rPr>
        <w:t>年12月11日至12日，202</w:t>
      </w:r>
      <w:r>
        <w:rPr>
          <w:rFonts w:hint="eastAsia" w:ascii="Arial" w:hAnsi="Arial"/>
          <w:color w:val="000000"/>
          <w:sz w:val="21"/>
        </w:rPr>
        <w:t>4</w:t>
      </w:r>
      <w:r>
        <w:rPr>
          <w:rFonts w:ascii="Arial" w:hAnsi="Arial"/>
          <w:color w:val="000000"/>
          <w:sz w:val="21"/>
        </w:rPr>
        <w:t>年中央经济工作会议举行</w:t>
      </w:r>
      <w:r>
        <w:rPr>
          <w:rFonts w:hint="eastAsia" w:ascii="Arial" w:hAnsi="Arial"/>
          <w:color w:val="000000"/>
          <w:sz w:val="21"/>
        </w:rPr>
        <w:t>。会议总结2024年经济工作，分析当前经济形势，部署2025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 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7241BA5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w:t>
      </w:r>
      <w:r>
        <w:rPr>
          <w:rFonts w:ascii="Arial" w:hAnsi="Arial"/>
          <w:color w:val="000000"/>
          <w:sz w:val="21"/>
        </w:rPr>
        <w:t>12月24日至25日，全国住房城乡建设工作会议在北京召开</w:t>
      </w:r>
      <w:r>
        <w:rPr>
          <w:rFonts w:hint="eastAsia" w:ascii="Arial" w:hAnsi="Arial"/>
          <w:color w:val="000000"/>
          <w:sz w:val="21"/>
        </w:rPr>
        <w:t>。</w:t>
      </w:r>
      <w:r>
        <w:rPr>
          <w:rFonts w:ascii="Arial" w:hAnsi="Arial"/>
          <w:color w:val="000000"/>
          <w:sz w:val="21"/>
        </w:rPr>
        <w:t>会议系统总结2024年工作，部署进一步全面深化住房城乡建设领域改革，明确2025年重点任务，奋力推进住房城乡建设事业高质量发展。会议强调，2</w:t>
      </w:r>
      <w:r>
        <w:rPr>
          <w:rFonts w:hint="eastAsia" w:ascii="Arial" w:hAnsi="Arial"/>
          <w:color w:val="000000"/>
          <w:sz w:val="21"/>
        </w:rPr>
        <w:t>025</w:t>
      </w:r>
      <w:r>
        <w:rPr>
          <w:rFonts w:ascii="Arial" w:hAnsi="Arial"/>
          <w:color w:val="000000"/>
          <w:sz w:val="21"/>
        </w:rPr>
        <w:t>年的工作要重点抓好</w:t>
      </w:r>
      <w:r>
        <w:rPr>
          <w:rFonts w:hint="eastAsia" w:ascii="Arial" w:hAnsi="Arial"/>
          <w:color w:val="000000"/>
          <w:sz w:val="21"/>
        </w:rPr>
        <w:t>5</w:t>
      </w:r>
      <w:r>
        <w:rPr>
          <w:rFonts w:ascii="Arial" w:hAnsi="Arial"/>
          <w:color w:val="000000"/>
          <w:sz w:val="21"/>
        </w:rPr>
        <w:t>大板块</w:t>
      </w:r>
      <w:r>
        <w:rPr>
          <w:rFonts w:hint="eastAsia" w:ascii="Arial" w:hAnsi="Arial"/>
          <w:color w:val="000000"/>
          <w:sz w:val="21"/>
        </w:rPr>
        <w:t>22</w:t>
      </w:r>
      <w:r>
        <w:rPr>
          <w:rFonts w:ascii="Arial" w:hAnsi="Arial"/>
          <w:color w:val="000000"/>
          <w:sz w:val="21"/>
        </w:rPr>
        <w:t>个方面工作。一、</w:t>
      </w:r>
      <w:r>
        <w:rPr>
          <w:rFonts w:hint="eastAsia" w:ascii="Arial" w:hAnsi="Arial"/>
          <w:color w:val="000000"/>
          <w:sz w:val="21"/>
        </w:rPr>
        <w:t>从</w:t>
      </w:r>
      <w:r>
        <w:rPr>
          <w:rFonts w:ascii="Arial" w:hAnsi="Arial"/>
          <w:color w:val="000000"/>
          <w:sz w:val="21"/>
        </w:rPr>
        <w:t>着力释放需求</w:t>
      </w:r>
      <w:r>
        <w:rPr>
          <w:rFonts w:hint="eastAsia" w:ascii="Arial" w:hAnsi="Arial"/>
          <w:color w:val="000000"/>
          <w:sz w:val="21"/>
        </w:rPr>
        <w:t>和着力</w:t>
      </w:r>
      <w:r>
        <w:rPr>
          <w:rFonts w:ascii="Arial" w:hAnsi="Arial"/>
          <w:color w:val="000000"/>
          <w:sz w:val="21"/>
        </w:rPr>
        <w:t>改善供给</w:t>
      </w:r>
      <w:r>
        <w:rPr>
          <w:rFonts w:hint="eastAsia" w:ascii="Arial" w:hAnsi="Arial"/>
          <w:color w:val="000000"/>
          <w:sz w:val="21"/>
        </w:rPr>
        <w:t>两方面，</w:t>
      </w:r>
      <w:r>
        <w:rPr>
          <w:rFonts w:ascii="Arial" w:hAnsi="Arial"/>
          <w:color w:val="000000"/>
          <w:sz w:val="21"/>
        </w:rPr>
        <w:t>持续用力推动房地产市场止跌回稳</w:t>
      </w:r>
      <w:r>
        <w:rPr>
          <w:rFonts w:hint="eastAsia" w:ascii="Arial" w:hAnsi="Arial"/>
          <w:color w:val="000000"/>
          <w:sz w:val="21"/>
        </w:rPr>
        <w:t>。二、从</w:t>
      </w:r>
      <w:r>
        <w:rPr>
          <w:rFonts w:ascii="Arial" w:hAnsi="Arial"/>
          <w:color w:val="000000"/>
          <w:sz w:val="21"/>
        </w:rPr>
        <w:t>着力优化和完善住房供应体系</w:t>
      </w:r>
      <w:r>
        <w:rPr>
          <w:rFonts w:hint="eastAsia" w:ascii="Arial" w:hAnsi="Arial"/>
          <w:color w:val="000000"/>
          <w:sz w:val="21"/>
        </w:rPr>
        <w:t>、</w:t>
      </w:r>
      <w:r>
        <w:rPr>
          <w:rFonts w:ascii="Arial" w:hAnsi="Arial"/>
          <w:color w:val="000000"/>
          <w:sz w:val="21"/>
        </w:rPr>
        <w:t>推动建立要素联动新机制</w:t>
      </w:r>
      <w:r>
        <w:rPr>
          <w:rFonts w:hint="eastAsia" w:ascii="Arial" w:hAnsi="Arial"/>
          <w:color w:val="000000"/>
          <w:sz w:val="21"/>
        </w:rPr>
        <w:t>、</w:t>
      </w:r>
      <w:r>
        <w:rPr>
          <w:rFonts w:ascii="Arial" w:hAnsi="Arial"/>
          <w:color w:val="000000"/>
          <w:sz w:val="21"/>
        </w:rPr>
        <w:t>大力推进商品住房销售制度改革</w:t>
      </w:r>
      <w:r>
        <w:rPr>
          <w:rFonts w:hint="eastAsia" w:ascii="Arial" w:hAnsi="Arial"/>
          <w:color w:val="000000"/>
          <w:sz w:val="21"/>
        </w:rPr>
        <w:t>、</w:t>
      </w:r>
      <w:r>
        <w:rPr>
          <w:rFonts w:ascii="Arial" w:hAnsi="Arial"/>
          <w:color w:val="000000"/>
          <w:sz w:val="21"/>
        </w:rPr>
        <w:t>加快建立房屋全生命周期安全管理制度</w:t>
      </w:r>
      <w:r>
        <w:rPr>
          <w:rFonts w:hint="eastAsia" w:ascii="Arial" w:hAnsi="Arial"/>
          <w:color w:val="000000"/>
          <w:sz w:val="21"/>
        </w:rPr>
        <w:t>和</w:t>
      </w:r>
      <w:r>
        <w:rPr>
          <w:rFonts w:ascii="Arial" w:hAnsi="Arial"/>
          <w:color w:val="000000"/>
          <w:sz w:val="21"/>
        </w:rPr>
        <w:t>完善房地产全过程监管</w:t>
      </w:r>
      <w:r>
        <w:rPr>
          <w:rFonts w:hint="eastAsia" w:ascii="Arial" w:hAnsi="Arial"/>
          <w:color w:val="000000"/>
          <w:sz w:val="21"/>
        </w:rPr>
        <w:t>五个方面，</w:t>
      </w:r>
      <w:r>
        <w:rPr>
          <w:rFonts w:ascii="Arial" w:hAnsi="Arial"/>
          <w:color w:val="000000"/>
          <w:sz w:val="21"/>
        </w:rPr>
        <w:t>推动构建房地产发展新模式</w:t>
      </w:r>
      <w:r>
        <w:rPr>
          <w:rFonts w:hint="eastAsia" w:ascii="Arial" w:hAnsi="Arial"/>
          <w:color w:val="000000"/>
          <w:sz w:val="21"/>
        </w:rPr>
        <w:t>。三、从</w:t>
      </w:r>
      <w:r>
        <w:rPr>
          <w:rFonts w:ascii="Arial" w:hAnsi="Arial"/>
          <w:color w:val="000000"/>
          <w:sz w:val="21"/>
        </w:rPr>
        <w:t>建立城市体检和城市更新一体化推进机制</w:t>
      </w:r>
      <w:r>
        <w:rPr>
          <w:rFonts w:hint="eastAsia" w:ascii="Arial" w:hAnsi="Arial"/>
          <w:color w:val="000000"/>
          <w:sz w:val="21"/>
        </w:rPr>
        <w:t>、</w:t>
      </w:r>
      <w:r>
        <w:rPr>
          <w:rFonts w:ascii="Arial" w:hAnsi="Arial"/>
          <w:color w:val="000000"/>
          <w:sz w:val="21"/>
        </w:rPr>
        <w:t>建立可持续的城市更新模式和政策法规</w:t>
      </w:r>
      <w:r>
        <w:rPr>
          <w:rFonts w:hint="eastAsia" w:ascii="Arial" w:hAnsi="Arial"/>
          <w:color w:val="000000"/>
          <w:sz w:val="21"/>
        </w:rPr>
        <w:t>、</w:t>
      </w:r>
      <w:r>
        <w:rPr>
          <w:rFonts w:ascii="Arial" w:hAnsi="Arial"/>
          <w:color w:val="000000"/>
          <w:sz w:val="21"/>
        </w:rPr>
        <w:t>谋划实施一批城市更新改造项目</w:t>
      </w:r>
      <w:r>
        <w:rPr>
          <w:rFonts w:hint="eastAsia" w:ascii="Arial" w:hAnsi="Arial"/>
          <w:color w:val="000000"/>
          <w:sz w:val="21"/>
        </w:rPr>
        <w:t>、</w:t>
      </w:r>
      <w:r>
        <w:rPr>
          <w:rFonts w:ascii="Arial" w:hAnsi="Arial"/>
          <w:color w:val="000000"/>
          <w:sz w:val="21"/>
        </w:rPr>
        <w:t>构建城市管理新模式</w:t>
      </w:r>
      <w:r>
        <w:rPr>
          <w:rFonts w:hint="eastAsia" w:ascii="Arial" w:hAnsi="Arial"/>
          <w:color w:val="000000"/>
          <w:sz w:val="21"/>
        </w:rPr>
        <w:t>和</w:t>
      </w:r>
      <w:r>
        <w:rPr>
          <w:rFonts w:ascii="Arial" w:hAnsi="Arial"/>
          <w:color w:val="000000"/>
          <w:sz w:val="21"/>
        </w:rPr>
        <w:t>以“新城建”为引擎打造高水平“数字住建”</w:t>
      </w:r>
      <w:r>
        <w:rPr>
          <w:rFonts w:hint="eastAsia" w:ascii="Arial" w:hAnsi="Arial"/>
          <w:color w:val="000000"/>
          <w:sz w:val="21"/>
        </w:rPr>
        <w:t>五个方面，</w:t>
      </w:r>
      <w:r>
        <w:rPr>
          <w:rFonts w:ascii="Arial" w:hAnsi="Arial"/>
          <w:color w:val="000000"/>
          <w:sz w:val="21"/>
        </w:rPr>
        <w:t>大力实施城市更新</w:t>
      </w:r>
      <w:r>
        <w:rPr>
          <w:rFonts w:hint="eastAsia" w:ascii="Arial" w:hAnsi="Arial"/>
          <w:color w:val="000000"/>
          <w:sz w:val="21"/>
        </w:rPr>
        <w:t>。四、从</w:t>
      </w:r>
      <w:r>
        <w:rPr>
          <w:rFonts w:ascii="Arial" w:hAnsi="Arial"/>
          <w:color w:val="000000"/>
          <w:sz w:val="21"/>
        </w:rPr>
        <w:t>全面深化建筑业改革</w:t>
      </w:r>
      <w:r>
        <w:rPr>
          <w:rFonts w:hint="eastAsia" w:ascii="Arial" w:hAnsi="Arial"/>
          <w:color w:val="000000"/>
          <w:sz w:val="21"/>
        </w:rPr>
        <w:t>、</w:t>
      </w:r>
      <w:r>
        <w:rPr>
          <w:rFonts w:ascii="Arial" w:hAnsi="Arial"/>
          <w:color w:val="000000"/>
          <w:sz w:val="21"/>
        </w:rPr>
        <w:t>以更高质量的制度供给激发活力</w:t>
      </w:r>
      <w:r>
        <w:rPr>
          <w:rFonts w:hint="eastAsia" w:ascii="Arial" w:hAnsi="Arial"/>
          <w:color w:val="000000"/>
          <w:sz w:val="21"/>
        </w:rPr>
        <w:t>、</w:t>
      </w:r>
      <w:r>
        <w:rPr>
          <w:rFonts w:ascii="Arial" w:hAnsi="Arial"/>
          <w:color w:val="000000"/>
          <w:sz w:val="21"/>
        </w:rPr>
        <w:t>整体提升工程建设标准</w:t>
      </w:r>
      <w:r>
        <w:rPr>
          <w:rFonts w:hint="eastAsia" w:ascii="Arial" w:hAnsi="Arial"/>
          <w:color w:val="000000"/>
          <w:sz w:val="21"/>
        </w:rPr>
        <w:t>、</w:t>
      </w:r>
      <w:r>
        <w:rPr>
          <w:rFonts w:ascii="Arial" w:hAnsi="Arial"/>
          <w:color w:val="000000"/>
          <w:sz w:val="21"/>
        </w:rPr>
        <w:t>支持打造形成现代化建筑产业链</w:t>
      </w:r>
      <w:r>
        <w:rPr>
          <w:rFonts w:hint="eastAsia" w:ascii="Arial" w:hAnsi="Arial"/>
          <w:color w:val="000000"/>
          <w:sz w:val="21"/>
        </w:rPr>
        <w:t>和</w:t>
      </w:r>
      <w:r>
        <w:rPr>
          <w:rFonts w:ascii="Arial" w:hAnsi="Arial"/>
          <w:color w:val="000000"/>
          <w:sz w:val="21"/>
        </w:rPr>
        <w:t>把绿色建筑培育发展成新的经济增长点</w:t>
      </w:r>
      <w:r>
        <w:rPr>
          <w:rFonts w:hint="eastAsia" w:ascii="Arial" w:hAnsi="Arial"/>
          <w:color w:val="000000"/>
          <w:sz w:val="21"/>
        </w:rPr>
        <w:t>五个方面，</w:t>
      </w:r>
      <w:r>
        <w:rPr>
          <w:rFonts w:ascii="Arial" w:hAnsi="Arial"/>
          <w:color w:val="000000"/>
          <w:sz w:val="21"/>
        </w:rPr>
        <w:t>打造“中国建造”升级版</w:t>
      </w:r>
      <w:r>
        <w:rPr>
          <w:rFonts w:hint="eastAsia" w:ascii="Arial" w:hAnsi="Arial"/>
          <w:color w:val="000000"/>
          <w:sz w:val="21"/>
        </w:rPr>
        <w:t>。五、从</w:t>
      </w:r>
      <w:r>
        <w:rPr>
          <w:rFonts w:ascii="Arial" w:hAnsi="Arial"/>
          <w:color w:val="000000"/>
          <w:sz w:val="21"/>
        </w:rPr>
        <w:t>提高住宅建设标准</w:t>
      </w:r>
      <w:r>
        <w:rPr>
          <w:rFonts w:hint="eastAsia" w:ascii="Arial" w:hAnsi="Arial"/>
          <w:color w:val="000000"/>
          <w:sz w:val="21"/>
        </w:rPr>
        <w:t>、</w:t>
      </w:r>
      <w:r>
        <w:rPr>
          <w:rFonts w:ascii="Arial" w:hAnsi="Arial"/>
          <w:color w:val="000000"/>
          <w:sz w:val="21"/>
        </w:rPr>
        <w:t>构建支持住房品质提升的制度体系</w:t>
      </w:r>
      <w:r>
        <w:rPr>
          <w:rFonts w:hint="eastAsia" w:ascii="Arial" w:hAnsi="Arial"/>
          <w:color w:val="000000"/>
          <w:sz w:val="21"/>
        </w:rPr>
        <w:t>、</w:t>
      </w:r>
      <w:r>
        <w:rPr>
          <w:rFonts w:ascii="Arial" w:hAnsi="Arial"/>
          <w:color w:val="000000"/>
          <w:sz w:val="21"/>
        </w:rPr>
        <w:t>支持房企打造好房子样板</w:t>
      </w:r>
      <w:r>
        <w:rPr>
          <w:rFonts w:hint="eastAsia" w:ascii="Arial" w:hAnsi="Arial"/>
          <w:color w:val="000000"/>
          <w:sz w:val="21"/>
        </w:rPr>
        <w:t>、</w:t>
      </w:r>
      <w:r>
        <w:rPr>
          <w:rFonts w:ascii="Arial" w:hAnsi="Arial"/>
          <w:color w:val="000000"/>
          <w:sz w:val="21"/>
        </w:rPr>
        <w:t>推进老旧住宅更新改造</w:t>
      </w:r>
      <w:r>
        <w:rPr>
          <w:rFonts w:hint="eastAsia" w:ascii="Arial" w:hAnsi="Arial"/>
          <w:color w:val="000000"/>
          <w:sz w:val="21"/>
        </w:rPr>
        <w:t>和</w:t>
      </w:r>
      <w:r>
        <w:rPr>
          <w:rFonts w:ascii="Arial" w:hAnsi="Arial"/>
          <w:color w:val="000000"/>
          <w:sz w:val="21"/>
        </w:rPr>
        <w:t>大力实施物业服务质量提升行动</w:t>
      </w:r>
      <w:r>
        <w:rPr>
          <w:rFonts w:hint="eastAsia" w:ascii="Arial" w:hAnsi="Arial"/>
          <w:color w:val="000000"/>
          <w:sz w:val="21"/>
        </w:rPr>
        <w:t>五个方面，</w:t>
      </w:r>
      <w:r>
        <w:rPr>
          <w:rFonts w:ascii="Arial" w:hAnsi="Arial"/>
          <w:color w:val="000000"/>
          <w:sz w:val="21"/>
        </w:rPr>
        <w:t>建设安全、舒适、绿色、智慧的好房子</w:t>
      </w:r>
      <w:r>
        <w:rPr>
          <w:rFonts w:hint="eastAsia" w:ascii="Arial" w:hAnsi="Arial"/>
          <w:color w:val="000000"/>
          <w:sz w:val="21"/>
        </w:rPr>
        <w:t>。</w:t>
      </w:r>
    </w:p>
    <w:p w14:paraId="6C96B57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192310F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58D4238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336DD35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FFEBE3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0712F69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45" w:name="OLE_LINK7"/>
      <w:r>
        <w:rPr>
          <w:rFonts w:ascii="Arial" w:hAnsi="Arial"/>
          <w:color w:val="000000"/>
          <w:sz w:val="21"/>
        </w:rPr>
        <w:t>中央城市工作会议</w:t>
      </w:r>
      <w:bookmarkEnd w:id="45"/>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4C261D9">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111E1580">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5C0DCCCE">
      <w:pPr>
        <w:overflowPunct w:val="0"/>
        <w:spacing w:line="480" w:lineRule="auto"/>
        <w:ind w:firstLine="420"/>
        <w:jc w:val="both"/>
        <w:textAlignment w:val="auto"/>
        <w:rPr>
          <w:rFonts w:ascii="Arial" w:hAnsi="Arial"/>
          <w:color w:val="000000"/>
          <w:sz w:val="21"/>
        </w:rPr>
      </w:pPr>
      <w:r>
        <w:rPr>
          <w:rFonts w:ascii="Arial" w:hAnsi="Arial"/>
          <w:color w:val="000000"/>
          <w:sz w:val="21"/>
        </w:rPr>
        <w:t>2024年9月30日，北京市多部门联合发布《关于进一步优化调整本市房地产相关政策的通知》，自10月1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止跌回稳”的工作导向，将对四季度楼市政策的消化和市场提振产生积极影响，并预示着更多鼓励性政策的出台</w:t>
      </w:r>
      <w:r>
        <w:rPr>
          <w:rFonts w:hint="eastAsia" w:ascii="Arial" w:hAnsi="Arial"/>
          <w:color w:val="000000"/>
          <w:sz w:val="21"/>
        </w:rPr>
        <w:t>。</w:t>
      </w:r>
    </w:p>
    <w:p w14:paraId="7DCFCD4A">
      <w:pPr>
        <w:overflowPunct w:val="0"/>
        <w:spacing w:line="480" w:lineRule="auto"/>
        <w:ind w:firstLine="420"/>
        <w:jc w:val="both"/>
        <w:textAlignment w:val="auto"/>
        <w:rPr>
          <w:rFonts w:ascii="Arial" w:hAnsi="Arial"/>
          <w:color w:val="000000"/>
          <w:sz w:val="21"/>
        </w:rPr>
      </w:pPr>
      <w:r>
        <w:rPr>
          <w:rFonts w:ascii="Arial" w:hAnsi="Arial"/>
          <w:color w:val="000000"/>
          <w:sz w:val="21"/>
        </w:rPr>
        <w:t>2024年11月18日，北京市住房和城乡建设委员会、北京市财政局、国家税务总局北京市税务局联合发布《关于取消普通住房标准有关事项的通知》，取消了普通住房和非普通住房的划分标准。根据新政策，个人出售持有2年及以上的住房将免征增值税，而持有不足2年的住房则需按5%的税率缴纳增值税。在契税方面，北京市与全国统一，对个人购买家庭唯一住房，面积140平方米及以下的按1%税率征收契税，超过140平方米的按1.5%征收；对于家庭第二套住房，面积140平方米及以下的按1%征收，超过140平方米的按2%征收</w:t>
      </w:r>
      <w:r>
        <w:rPr>
          <w:rFonts w:hint="eastAsia" w:ascii="Arial" w:hAnsi="Arial"/>
          <w:color w:val="000000"/>
          <w:sz w:val="21"/>
        </w:rPr>
        <w:t>。</w:t>
      </w:r>
    </w:p>
    <w:p w14:paraId="5A64F57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2024年11月29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充分激发多元主体的更新意愿，推动城市更新项目落地实施。</w:t>
      </w:r>
    </w:p>
    <w:p w14:paraId="500037C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779DB52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9572E1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51A82D8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bookmarkEnd w:id="43"/>
    <w:bookmarkEnd w:id="44"/>
    <w:p w14:paraId="4CEF5F7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C2B02E7">
      <w:pPr>
        <w:overflowPunct w:val="0"/>
        <w:spacing w:line="480" w:lineRule="auto"/>
        <w:ind w:firstLine="420"/>
        <w:jc w:val="both"/>
        <w:textAlignment w:val="auto"/>
        <w:rPr>
          <w:rFonts w:ascii="Arial" w:hAnsi="Arial"/>
          <w:color w:val="000000"/>
          <w:sz w:val="21"/>
        </w:rPr>
      </w:pPr>
      <w:r>
        <w:rPr>
          <w:rFonts w:ascii="Arial" w:hAnsi="Arial"/>
          <w:color w:val="000000"/>
          <w:sz w:val="21"/>
        </w:rPr>
        <w:t>预计未来北京住宅市场将呈现</w:t>
      </w:r>
      <w:r>
        <w:rPr>
          <w:rFonts w:hint="eastAsia" w:ascii="Arial" w:hAnsi="Arial"/>
          <w:color w:val="000000"/>
          <w:sz w:val="21"/>
        </w:rPr>
        <w:t>“</w:t>
      </w:r>
      <w:r>
        <w:rPr>
          <w:rFonts w:ascii="Arial" w:hAnsi="Arial"/>
          <w:color w:val="000000"/>
          <w:sz w:val="21"/>
        </w:rPr>
        <w:t>政策持续优化、市场温和修复、结构分化加剧</w:t>
      </w:r>
      <w:r>
        <w:rPr>
          <w:rFonts w:hint="eastAsia" w:ascii="Arial" w:hAnsi="Arial"/>
          <w:color w:val="000000"/>
          <w:sz w:val="21"/>
        </w:rPr>
        <w:t>”</w:t>
      </w:r>
      <w:r>
        <w:rPr>
          <w:rFonts w:ascii="Arial" w:hAnsi="Arial"/>
          <w:color w:val="000000"/>
          <w:sz w:val="21"/>
        </w:rPr>
        <w:t>的总体趋势。政策层面，北京已实施五环外取消限购、优化公积金贷款等举措，未来限购政策仍有进一步放松空间，公积金支持力度有望继续加大（如推进“带押过户”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hint="eastAsia" w:ascii="Arial" w:hAnsi="Arial"/>
          <w:color w:val="000000"/>
          <w:sz w:val="21"/>
        </w:rPr>
        <w:t>“</w:t>
      </w:r>
      <w:r>
        <w:rPr>
          <w:rFonts w:ascii="Arial" w:hAnsi="Arial"/>
          <w:color w:val="000000"/>
          <w:sz w:val="21"/>
        </w:rPr>
        <w:t>好房子</w:t>
      </w:r>
      <w:r>
        <w:rPr>
          <w:rFonts w:hint="eastAsia" w:ascii="Arial" w:hAnsi="Arial"/>
          <w:color w:val="000000"/>
          <w:sz w:val="21"/>
        </w:rPr>
        <w:t>”</w:t>
      </w:r>
      <w:r>
        <w:rPr>
          <w:rFonts w:ascii="Arial" w:hAnsi="Arial"/>
          <w:color w:val="000000"/>
          <w:sz w:val="21"/>
        </w:rPr>
        <w:t>倾斜，中高面积段、中高总价产品占比提升，推动产品结构持续优化。整体来看，北京住宅市场正逐步进入</w:t>
      </w:r>
      <w:r>
        <w:rPr>
          <w:rFonts w:hint="eastAsia" w:ascii="Arial" w:hAnsi="Arial"/>
          <w:color w:val="000000"/>
          <w:sz w:val="21"/>
        </w:rPr>
        <w:t>“</w:t>
      </w:r>
      <w:r>
        <w:rPr>
          <w:rFonts w:ascii="Arial" w:hAnsi="Arial"/>
          <w:color w:val="000000"/>
          <w:sz w:val="21"/>
        </w:rPr>
        <w:t>量稳价稳、质升区异</w:t>
      </w:r>
      <w:r>
        <w:rPr>
          <w:rFonts w:hint="eastAsia" w:ascii="Arial" w:hAnsi="Arial"/>
          <w:color w:val="000000"/>
          <w:sz w:val="21"/>
        </w:rPr>
        <w:t>”</w:t>
      </w:r>
      <w:r>
        <w:rPr>
          <w:rFonts w:ascii="Arial" w:hAnsi="Arial"/>
          <w:color w:val="000000"/>
          <w:sz w:val="21"/>
        </w:rPr>
        <w:t>的新阶段</w:t>
      </w:r>
      <w:r>
        <w:rPr>
          <w:rFonts w:hint="eastAsia" w:ascii="Arial" w:hAnsi="Arial"/>
          <w:color w:val="000000"/>
          <w:sz w:val="21"/>
        </w:rPr>
        <w:t>。</w:t>
      </w:r>
    </w:p>
    <w:p w14:paraId="7837B8D4">
      <w:pPr>
        <w:overflowPunct w:val="0"/>
        <w:spacing w:line="480" w:lineRule="auto"/>
        <w:jc w:val="both"/>
        <w:textAlignment w:val="auto"/>
        <w:rPr>
          <w:rFonts w:ascii="Arial" w:hAnsi="Arial"/>
          <w:b/>
          <w:bCs/>
          <w:sz w:val="21"/>
          <w:szCs w:val="21"/>
        </w:rPr>
      </w:pPr>
      <w:r>
        <w:rPr>
          <w:rFonts w:hint="eastAsia" w:ascii="Arial" w:hAnsi="Arial"/>
          <w:b/>
          <w:bCs/>
          <w:sz w:val="21"/>
          <w:szCs w:val="21"/>
        </w:rPr>
        <w:t>（二）估价对象所在区域相应用途房地产市场状况</w:t>
      </w:r>
    </w:p>
    <w:p w14:paraId="7FC4195C">
      <w:pPr>
        <w:overflowPunct w:val="0"/>
        <w:spacing w:line="480" w:lineRule="auto"/>
        <w:ind w:firstLine="420"/>
        <w:jc w:val="both"/>
        <w:rPr>
          <w:rFonts w:ascii="Arial" w:hAnsi="Arial"/>
          <w:sz w:val="21"/>
        </w:rPr>
      </w:pPr>
      <w:r>
        <w:rPr>
          <w:rFonts w:hint="eastAsia" w:ascii="Arial" w:hAnsi="Arial"/>
          <w:sz w:val="21"/>
        </w:rPr>
        <w:t>土井村位于北京市海淀区西北旺镇南部，与皇后店村、小牛坊村毗邻。辖区内有盛景创业园等产业载体，依托邓庄南路、土井二街等主干道形成发达交通网络。2024年至2025年间，土井村股份经济合作社多次在西北旺镇城市管理考评中位列前茅，展现出基层治理成效。截至2025年3月，行政事务由土井村村民委员会管理。</w:t>
      </w:r>
    </w:p>
    <w:p w14:paraId="67C665E4">
      <w:pPr>
        <w:overflowPunct w:val="0"/>
        <w:spacing w:line="480" w:lineRule="auto"/>
        <w:ind w:firstLine="420"/>
        <w:jc w:val="both"/>
        <w:rPr>
          <w:rFonts w:ascii="Arial" w:hAnsi="Arial" w:cs="Arial"/>
          <w:bCs/>
          <w:sz w:val="21"/>
          <w:szCs w:val="21"/>
        </w:rPr>
      </w:pPr>
      <w:r>
        <w:rPr>
          <w:rFonts w:hint="eastAsia" w:ascii="Arial" w:hAnsi="Arial"/>
          <w:sz w:val="21"/>
        </w:rPr>
        <w:t>估价对象所属项目紧邻城市次干道——图景嘉园路，周边停车便捷程度较好，综合评价交通便捷度一般。估价对象周边有盛景创业园小区、万和嘉园、唐家岭新城等居住社区，居住小区规模适中，入住率较好，综合评价居住区成熟度较好</w:t>
      </w:r>
      <w:r>
        <w:rPr>
          <w:rFonts w:hint="eastAsia" w:ascii="Arial" w:hAnsi="Arial" w:cs="Arial"/>
          <w:bCs/>
          <w:sz w:val="21"/>
          <w:szCs w:val="21"/>
        </w:rPr>
        <w:t>。2025年该区域与估价对象类似的住宅用房租金约为70-90元</w:t>
      </w:r>
      <w:r>
        <w:rPr>
          <w:rFonts w:ascii="Arial" w:hAnsi="Arial" w:cs="Arial"/>
          <w:bCs/>
          <w:sz w:val="21"/>
          <w:szCs w:val="21"/>
        </w:rPr>
        <w:t>/</w:t>
      </w:r>
      <w:r>
        <w:rPr>
          <w:rFonts w:hint="eastAsia" w:ascii="Arial" w:hAnsi="Arial" w:cs="Arial"/>
          <w:bCs/>
          <w:sz w:val="21"/>
          <w:szCs w:val="21"/>
        </w:rPr>
        <w:t>平方米·月。</w:t>
      </w:r>
      <w:r>
        <w:rPr>
          <w:rFonts w:ascii="Arial" w:hAnsi="Arial" w:cs="Arial"/>
          <w:bCs/>
          <w:sz w:val="21"/>
          <w:szCs w:val="21"/>
        </w:rPr>
        <w:t xml:space="preserve"> </w:t>
      </w:r>
    </w:p>
    <w:p w14:paraId="54C6DB29">
      <w:pPr>
        <w:overflowPunct w:val="0"/>
        <w:spacing w:line="480" w:lineRule="auto"/>
        <w:ind w:firstLine="420" w:firstLineChars="200"/>
        <w:jc w:val="both"/>
        <w:textAlignment w:val="auto"/>
        <w:rPr>
          <w:rFonts w:ascii="Arial" w:hAnsi="Arial"/>
          <w:sz w:val="21"/>
          <w:szCs w:val="21"/>
        </w:rPr>
      </w:pPr>
    </w:p>
    <w:p w14:paraId="21712F7B">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46" w:name="_Toc500322968"/>
      <w:r>
        <w:rPr>
          <w:rFonts w:hint="eastAsia" w:eastAsia="宋体"/>
          <w:kern w:val="2"/>
          <w:sz w:val="21"/>
          <w:szCs w:val="21"/>
        </w:rPr>
        <w:t>六、价值时点</w:t>
      </w:r>
      <w:bookmarkEnd w:id="46"/>
    </w:p>
    <w:p w14:paraId="43F631A0">
      <w:pPr>
        <w:overflowPunct w:val="0"/>
        <w:spacing w:line="480" w:lineRule="auto"/>
        <w:ind w:firstLine="420" w:firstLineChars="200"/>
        <w:jc w:val="both"/>
        <w:textAlignment w:val="auto"/>
        <w:rPr>
          <w:rFonts w:ascii="Arial" w:hAnsi="Arial" w:cs="Arial"/>
          <w:bCs/>
          <w:sz w:val="21"/>
          <w:szCs w:val="21"/>
        </w:rPr>
      </w:pPr>
      <w:r>
        <w:rPr>
          <w:rFonts w:hint="eastAsia" w:ascii="Arial" w:hAnsi="Arial" w:cs="Arial"/>
          <w:sz w:val="21"/>
        </w:rPr>
        <w:t>2025年12月4日（依据《估价委托书》）</w:t>
      </w:r>
      <w:r>
        <w:rPr>
          <w:rFonts w:hint="eastAsia" w:ascii="Arial" w:hAnsi="Arial" w:cs="Arial"/>
          <w:bCs/>
          <w:sz w:val="21"/>
          <w:szCs w:val="21"/>
        </w:rPr>
        <w:t>。</w:t>
      </w:r>
    </w:p>
    <w:p w14:paraId="02CD697A">
      <w:pPr>
        <w:overflowPunct w:val="0"/>
        <w:spacing w:line="480" w:lineRule="auto"/>
        <w:ind w:firstLine="420" w:firstLineChars="200"/>
        <w:jc w:val="both"/>
        <w:textAlignment w:val="auto"/>
        <w:rPr>
          <w:rFonts w:ascii="Arial" w:hAnsi="Arial" w:cs="Arial"/>
          <w:bCs/>
          <w:sz w:val="21"/>
          <w:szCs w:val="21"/>
        </w:rPr>
      </w:pPr>
    </w:p>
    <w:p w14:paraId="11FBD4A5">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47" w:name="_Toc500322969"/>
      <w:r>
        <w:rPr>
          <w:rFonts w:hint="eastAsia" w:eastAsia="宋体"/>
          <w:kern w:val="2"/>
          <w:sz w:val="21"/>
          <w:szCs w:val="21"/>
        </w:rPr>
        <w:t>七、价值类型</w:t>
      </w:r>
      <w:bookmarkEnd w:id="47"/>
    </w:p>
    <w:p w14:paraId="3210D13D">
      <w:pPr>
        <w:spacing w:line="480" w:lineRule="auto"/>
        <w:ind w:firstLine="420" w:firstLineChars="200"/>
        <w:jc w:val="both"/>
        <w:rPr>
          <w:rFonts w:eastAsia="楷体_GB2312"/>
          <w:sz w:val="28"/>
          <w:szCs w:val="28"/>
        </w:rPr>
      </w:pPr>
      <w:bookmarkStart w:id="48" w:name="_Toc168225819"/>
      <w:bookmarkStart w:id="49" w:name="_Toc500322970"/>
      <w:r>
        <w:rPr>
          <w:rFonts w:hint="eastAsia" w:ascii="Arial" w:hAnsi="Arial"/>
          <w:kern w:val="2"/>
          <w:sz w:val="21"/>
        </w:rPr>
        <w:t>根据房地产估价规范、国家现行有关标准规定和项目的具体要求，本次评估采用的是市场价值标准。</w:t>
      </w:r>
      <w:r>
        <w:rPr>
          <w:rFonts w:ascii="Arial" w:hAnsi="Arial"/>
          <w:kern w:val="2"/>
          <w:sz w:val="21"/>
        </w:rPr>
        <w:t>根据</w:t>
      </w:r>
      <w:r>
        <w:rPr>
          <w:rFonts w:hint="eastAsia" w:ascii="Arial" w:hAnsi="Arial"/>
          <w:sz w:val="21"/>
          <w:szCs w:val="28"/>
        </w:rPr>
        <w:t>《房地产估价基本术语标准》</w:t>
      </w:r>
      <w:r>
        <w:rPr>
          <w:rFonts w:hint="eastAsia" w:ascii="Arial" w:hAnsi="Arial"/>
          <w:kern w:val="2"/>
          <w:sz w:val="21"/>
        </w:rPr>
        <w:t>[GB/T50899-2013]，</w:t>
      </w:r>
      <w:r>
        <w:rPr>
          <w:rFonts w:ascii="Arial" w:hAnsi="Arial"/>
          <w:kern w:val="2"/>
          <w:sz w:val="21"/>
        </w:rPr>
        <w:t>市场价值是经适当营销后，由熟悉情况、谨慎行事且不受强迫的交易双方，以公平交易方式在</w:t>
      </w:r>
      <w:r>
        <w:rPr>
          <w:rFonts w:hint="eastAsia" w:ascii="Arial" w:hAnsi="Arial"/>
          <w:kern w:val="2"/>
          <w:sz w:val="21"/>
        </w:rPr>
        <w:t>各</w:t>
      </w:r>
      <w:r>
        <w:rPr>
          <w:rFonts w:ascii="Arial" w:hAnsi="Arial"/>
          <w:kern w:val="2"/>
          <w:sz w:val="21"/>
        </w:rPr>
        <w:t>价值时点自愿进行交易的金额</w:t>
      </w:r>
      <w:r>
        <w:rPr>
          <w:rFonts w:hint="eastAsia" w:ascii="Arial" w:hAnsi="Arial"/>
          <w:kern w:val="2"/>
          <w:sz w:val="21"/>
        </w:rPr>
        <w:t>。</w:t>
      </w:r>
    </w:p>
    <w:p w14:paraId="3A7385DC">
      <w:pPr>
        <w:spacing w:line="480" w:lineRule="auto"/>
        <w:ind w:firstLine="420" w:firstLineChars="200"/>
        <w:jc w:val="both"/>
        <w:rPr>
          <w:rFonts w:ascii="Arial" w:hAnsi="Arial"/>
          <w:kern w:val="2"/>
          <w:sz w:val="21"/>
        </w:rPr>
      </w:pPr>
      <w:r>
        <w:rPr>
          <w:rFonts w:hint="eastAsia" w:ascii="Arial" w:hAnsi="Arial" w:cs="Arial"/>
          <w:bCs/>
          <w:sz w:val="21"/>
        </w:rPr>
        <w:t>本次估价的“房地产市场租金”是指在正常市场情况下，在价值时点</w:t>
      </w:r>
      <w:r>
        <w:rPr>
          <w:rFonts w:hint="eastAsia" w:ascii="Arial" w:hAnsi="Arial" w:cs="Arial"/>
          <w:sz w:val="21"/>
        </w:rPr>
        <w:t>2025年12月4日</w:t>
      </w:r>
      <w:r>
        <w:rPr>
          <w:rFonts w:hint="eastAsia" w:ascii="Arial" w:hAnsi="Arial" w:cs="Arial"/>
          <w:bCs/>
          <w:sz w:val="21"/>
        </w:rPr>
        <w:t>，估价对象用途为住宅的房地产租赁价格，估价结果采用价税合计的形式，包含增值税及附加、家具家电使用费、物业费，不包含能源费、房地产经纪公司服务费等费用</w:t>
      </w:r>
      <w:r>
        <w:rPr>
          <w:rFonts w:hint="eastAsia" w:ascii="Arial" w:hAnsi="Arial"/>
          <w:kern w:val="2"/>
          <w:sz w:val="21"/>
        </w:rPr>
        <w:t>。</w:t>
      </w:r>
    </w:p>
    <w:p w14:paraId="33076509">
      <w:pPr>
        <w:pStyle w:val="3"/>
        <w:numPr>
          <w:ilvl w:val="0"/>
          <w:numId w:val="0"/>
        </w:numPr>
        <w:overflowPunct w:val="0"/>
        <w:spacing w:line="480" w:lineRule="auto"/>
        <w:ind w:left="358" w:hanging="358" w:hangingChars="170"/>
        <w:jc w:val="both"/>
        <w:textAlignment w:val="auto"/>
        <w:rPr>
          <w:rFonts w:eastAsia="宋体"/>
          <w:kern w:val="2"/>
          <w:sz w:val="21"/>
          <w:szCs w:val="21"/>
        </w:rPr>
      </w:pPr>
      <w:r>
        <w:rPr>
          <w:rFonts w:hint="eastAsia" w:eastAsia="宋体"/>
          <w:kern w:val="2"/>
          <w:sz w:val="21"/>
          <w:szCs w:val="21"/>
        </w:rPr>
        <w:t>八、估价原则</w:t>
      </w:r>
      <w:bookmarkEnd w:id="48"/>
      <w:bookmarkEnd w:id="49"/>
    </w:p>
    <w:p w14:paraId="2012E756">
      <w:pPr>
        <w:wordWrap w:val="0"/>
        <w:overflowPunct w:val="0"/>
        <w:spacing w:line="480" w:lineRule="auto"/>
        <w:jc w:val="both"/>
        <w:textAlignment w:val="auto"/>
        <w:rPr>
          <w:rFonts w:ascii="Arial" w:hAnsi="Arial"/>
          <w:i/>
          <w:sz w:val="21"/>
          <w:szCs w:val="21"/>
        </w:rPr>
      </w:pPr>
      <w:r>
        <w:rPr>
          <w:rFonts w:ascii="Arial" w:hAnsi="Arial" w:cs="Arial"/>
          <w:sz w:val="21"/>
          <w:szCs w:val="21"/>
        </w:rPr>
        <w:t>我们在本次估价时遵循了以下原则：</w:t>
      </w:r>
    </w:p>
    <w:p w14:paraId="303ED8FD">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1AA4DD5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0D93C69">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67BF917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52F061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（三）最高最佳利用原则</w:t>
      </w:r>
    </w:p>
    <w:p w14:paraId="755F776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估价对象</w:t>
      </w:r>
      <w:r>
        <w:rPr>
          <w:rFonts w:hint="eastAsia" w:ascii="Arial" w:hAnsi="Arial" w:cs="Arial"/>
          <w:sz w:val="21"/>
          <w:szCs w:val="21"/>
        </w:rPr>
        <w:t>现状为住宅用房，保持现状使用</w:t>
      </w:r>
      <w:r>
        <w:rPr>
          <w:rFonts w:ascii="Arial" w:hAnsi="Arial" w:cs="Arial"/>
          <w:sz w:val="21"/>
          <w:szCs w:val="21"/>
        </w:rPr>
        <w:t>符合最高最佳利用原则。</w:t>
      </w:r>
    </w:p>
    <w:p w14:paraId="574225E5">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5AEDE8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7023FF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6A2041F">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240351E4">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125EE35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4A14E71">
      <w:pPr>
        <w:overflowPunct w:val="0"/>
        <w:spacing w:line="480" w:lineRule="auto"/>
        <w:ind w:firstLine="420" w:firstLineChars="200"/>
        <w:jc w:val="both"/>
        <w:textAlignment w:val="auto"/>
        <w:rPr>
          <w:rFonts w:ascii="Arial" w:hAnsi="Arial"/>
          <w:sz w:val="21"/>
          <w:szCs w:val="21"/>
        </w:rPr>
      </w:pPr>
    </w:p>
    <w:p w14:paraId="0021007C">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50" w:name="_Toc168225820"/>
      <w:bookmarkStart w:id="51" w:name="_Toc500322971"/>
      <w:r>
        <w:rPr>
          <w:rFonts w:hint="eastAsia" w:eastAsia="宋体"/>
          <w:kern w:val="2"/>
          <w:sz w:val="21"/>
          <w:szCs w:val="21"/>
        </w:rPr>
        <w:t>九、估价</w:t>
      </w:r>
      <w:bookmarkEnd w:id="50"/>
      <w:r>
        <w:rPr>
          <w:rFonts w:hint="eastAsia" w:eastAsia="宋体"/>
          <w:kern w:val="2"/>
          <w:sz w:val="21"/>
          <w:szCs w:val="21"/>
        </w:rPr>
        <w:t>依据</w:t>
      </w:r>
      <w:bookmarkEnd w:id="51"/>
    </w:p>
    <w:p w14:paraId="50030E69">
      <w:pPr>
        <w:overflowPunct w:val="0"/>
        <w:spacing w:line="480" w:lineRule="auto"/>
        <w:jc w:val="both"/>
        <w:textAlignment w:val="auto"/>
        <w:rPr>
          <w:rFonts w:ascii="Arial" w:hAnsi="Arial"/>
          <w:b/>
          <w:sz w:val="21"/>
          <w:szCs w:val="21"/>
        </w:rPr>
      </w:pPr>
      <w:r>
        <w:rPr>
          <w:rFonts w:hint="eastAsia" w:ascii="Arial" w:hAnsi="Arial"/>
          <w:b/>
          <w:sz w:val="21"/>
          <w:szCs w:val="21"/>
        </w:rPr>
        <w:t>（一）有关的法律、法规及技术标准文件</w:t>
      </w:r>
    </w:p>
    <w:p w14:paraId="391F4FED">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《中华人民共和国民法典》（</w:t>
      </w:r>
      <w:r>
        <w:rPr>
          <w:rFonts w:ascii="Arial" w:hAnsi="Arial" w:cs="Arial"/>
          <w:sz w:val="21"/>
          <w:szCs w:val="21"/>
        </w:rPr>
        <w:t>2020</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28</w:t>
      </w:r>
      <w:r>
        <w:rPr>
          <w:rFonts w:hint="eastAsia" w:ascii="Arial" w:hAnsi="Arial" w:cs="Arial"/>
          <w:sz w:val="21"/>
          <w:szCs w:val="21"/>
        </w:rPr>
        <w:t>日第十三届全国人大三次会议表决通过，自</w:t>
      </w:r>
      <w:r>
        <w:rPr>
          <w:rFonts w:ascii="Arial" w:hAnsi="Arial" w:cs="Arial"/>
          <w:sz w:val="21"/>
          <w:szCs w:val="21"/>
        </w:rPr>
        <w:t>2021</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22B83C7C">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w:t>
      </w:r>
      <w:r>
        <w:rPr>
          <w:rFonts w:ascii="Arial" w:hAnsi="Arial" w:cs="Arial"/>
          <w:sz w:val="21"/>
          <w:szCs w:val="21"/>
        </w:rPr>
        <w:t>2019</w:t>
      </w:r>
      <w:r>
        <w:rPr>
          <w:rFonts w:hint="eastAsia" w:ascii="Arial" w:hAnsi="Arial" w:cs="Arial"/>
          <w:sz w:val="21"/>
          <w:szCs w:val="21"/>
        </w:rPr>
        <w:t>年</w:t>
      </w:r>
      <w:r>
        <w:rPr>
          <w:rFonts w:ascii="Arial" w:hAnsi="Arial" w:cs="Arial"/>
          <w:sz w:val="21"/>
          <w:szCs w:val="21"/>
        </w:rPr>
        <w:t>8</w:t>
      </w:r>
      <w:r>
        <w:rPr>
          <w:rFonts w:hint="eastAsia" w:ascii="Arial" w:hAnsi="Arial" w:cs="Arial"/>
          <w:sz w:val="21"/>
          <w:szCs w:val="21"/>
        </w:rPr>
        <w:t>月</w:t>
      </w:r>
      <w:r>
        <w:rPr>
          <w:rFonts w:ascii="Arial" w:hAnsi="Arial" w:cs="Arial"/>
          <w:sz w:val="21"/>
          <w:szCs w:val="21"/>
        </w:rPr>
        <w:t>26</w:t>
      </w:r>
      <w:r>
        <w:rPr>
          <w:rFonts w:hint="eastAsia" w:ascii="Arial" w:hAnsi="Arial" w:cs="Arial"/>
          <w:sz w:val="21"/>
          <w:szCs w:val="21"/>
        </w:rPr>
        <w:t>日第十三届全国人民代表大会常务委员会第十二次会议第三次修正通过，自</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45084F5A">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《中华人民共和国城市房地产管理法》（</w:t>
      </w:r>
      <w:r>
        <w:rPr>
          <w:rFonts w:ascii="Arial" w:hAnsi="Arial" w:cs="Arial"/>
          <w:sz w:val="21"/>
          <w:szCs w:val="21"/>
        </w:rPr>
        <w:t>2019</w:t>
      </w:r>
      <w:r>
        <w:rPr>
          <w:rFonts w:hint="eastAsia" w:ascii="Arial" w:hAnsi="Arial" w:cs="Arial"/>
          <w:sz w:val="21"/>
          <w:szCs w:val="21"/>
        </w:rPr>
        <w:t>年</w:t>
      </w:r>
      <w:r>
        <w:rPr>
          <w:rFonts w:ascii="Arial" w:hAnsi="Arial" w:cs="Arial"/>
          <w:sz w:val="21"/>
          <w:szCs w:val="21"/>
        </w:rPr>
        <w:t>8</w:t>
      </w:r>
      <w:r>
        <w:rPr>
          <w:rFonts w:hint="eastAsia" w:ascii="Arial" w:hAnsi="Arial" w:cs="Arial"/>
          <w:sz w:val="21"/>
          <w:szCs w:val="21"/>
        </w:rPr>
        <w:t>月</w:t>
      </w:r>
      <w:r>
        <w:rPr>
          <w:rFonts w:ascii="Arial" w:hAnsi="Arial" w:cs="Arial"/>
          <w:sz w:val="21"/>
          <w:szCs w:val="21"/>
        </w:rPr>
        <w:t>26</w:t>
      </w:r>
      <w:r>
        <w:rPr>
          <w:rFonts w:hint="eastAsia" w:ascii="Arial" w:hAnsi="Arial" w:cs="Arial"/>
          <w:sz w:val="21"/>
          <w:szCs w:val="21"/>
        </w:rPr>
        <w:t>日第十三届全国人大常委会第十二次会议通过第三次修正，自</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6DD68185">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《中华人民共和国城乡规划法》（根据</w:t>
      </w:r>
      <w:r>
        <w:rPr>
          <w:rFonts w:ascii="Arial" w:hAnsi="Arial" w:cs="Arial"/>
          <w:sz w:val="21"/>
          <w:szCs w:val="21"/>
        </w:rPr>
        <w:t xml:space="preserve"> 2015 </w:t>
      </w:r>
      <w:r>
        <w:rPr>
          <w:rFonts w:hint="eastAsia" w:ascii="Arial" w:hAnsi="Arial" w:cs="Arial"/>
          <w:sz w:val="21"/>
          <w:szCs w:val="21"/>
        </w:rPr>
        <w:t>年</w:t>
      </w:r>
      <w:r>
        <w:rPr>
          <w:rFonts w:ascii="Arial" w:hAnsi="Arial" w:cs="Arial"/>
          <w:sz w:val="21"/>
          <w:szCs w:val="21"/>
        </w:rPr>
        <w:t xml:space="preserve"> 4 </w:t>
      </w:r>
      <w:r>
        <w:rPr>
          <w:rFonts w:hint="eastAsia" w:ascii="Arial" w:hAnsi="Arial" w:cs="Arial"/>
          <w:sz w:val="21"/>
          <w:szCs w:val="21"/>
        </w:rPr>
        <w:t>月</w:t>
      </w:r>
      <w:r>
        <w:rPr>
          <w:rFonts w:ascii="Arial" w:hAnsi="Arial" w:cs="Arial"/>
          <w:sz w:val="21"/>
          <w:szCs w:val="21"/>
        </w:rPr>
        <w:t xml:space="preserve"> 24 </w:t>
      </w:r>
      <w:r>
        <w:rPr>
          <w:rFonts w:hint="eastAsia" w:ascii="Arial" w:hAnsi="Arial" w:cs="Arial"/>
          <w:sz w:val="21"/>
          <w:szCs w:val="21"/>
        </w:rPr>
        <w:t>日第十二届全国人民代表大会常务委员会第十四次会议通过第一次修正，中华人民共和国主席令第</w:t>
      </w:r>
      <w:r>
        <w:rPr>
          <w:rFonts w:ascii="Arial" w:hAnsi="Arial" w:cs="Arial"/>
          <w:sz w:val="21"/>
          <w:szCs w:val="21"/>
        </w:rPr>
        <w:t>23</w:t>
      </w:r>
      <w:r>
        <w:rPr>
          <w:rFonts w:hint="eastAsia" w:ascii="Arial" w:hAnsi="Arial" w:cs="Arial"/>
          <w:sz w:val="21"/>
          <w:szCs w:val="21"/>
        </w:rPr>
        <w:t>号公布，自公布之日起施行）</w:t>
      </w:r>
    </w:p>
    <w:p w14:paraId="437325C8">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《中华人民共和国资产评估法》（</w:t>
      </w:r>
      <w:r>
        <w:rPr>
          <w:rFonts w:ascii="Arial" w:hAnsi="Arial" w:cs="Arial"/>
          <w:sz w:val="21"/>
          <w:szCs w:val="21"/>
        </w:rPr>
        <w:t>2016</w:t>
      </w:r>
      <w:r>
        <w:rPr>
          <w:rFonts w:hint="eastAsia" w:ascii="Arial" w:hAnsi="Arial" w:cs="Arial"/>
          <w:sz w:val="21"/>
          <w:szCs w:val="21"/>
        </w:rPr>
        <w:t>年</w:t>
      </w:r>
      <w:r>
        <w:rPr>
          <w:rFonts w:ascii="Arial" w:hAnsi="Arial" w:cs="Arial"/>
          <w:sz w:val="21"/>
          <w:szCs w:val="21"/>
        </w:rPr>
        <w:t>7</w:t>
      </w:r>
      <w:r>
        <w:rPr>
          <w:rFonts w:hint="eastAsia" w:ascii="Arial" w:hAnsi="Arial" w:cs="Arial"/>
          <w:sz w:val="21"/>
          <w:szCs w:val="21"/>
        </w:rPr>
        <w:t>月</w:t>
      </w:r>
      <w:r>
        <w:rPr>
          <w:rFonts w:ascii="Arial" w:hAnsi="Arial" w:cs="Arial"/>
          <w:sz w:val="21"/>
          <w:szCs w:val="21"/>
        </w:rPr>
        <w:t>2</w:t>
      </w:r>
      <w:r>
        <w:rPr>
          <w:rFonts w:hint="eastAsia" w:ascii="Arial" w:hAnsi="Arial" w:cs="Arial"/>
          <w:sz w:val="21"/>
          <w:szCs w:val="21"/>
        </w:rPr>
        <w:t>日第十二届全国人民代表大会常务委员会第二十一次会议通过，</w:t>
      </w:r>
      <w:r>
        <w:rPr>
          <w:rFonts w:ascii="Arial" w:hAnsi="Arial" w:cs="Arial"/>
          <w:sz w:val="21"/>
          <w:szCs w:val="21"/>
        </w:rPr>
        <w:t>2016</w:t>
      </w:r>
      <w:r>
        <w:rPr>
          <w:rFonts w:hint="eastAsia" w:ascii="Arial" w:hAnsi="Arial" w:cs="Arial"/>
          <w:sz w:val="21"/>
          <w:szCs w:val="21"/>
        </w:rPr>
        <w:t>年</w:t>
      </w:r>
      <w:r>
        <w:rPr>
          <w:rFonts w:ascii="Arial" w:hAnsi="Arial" w:cs="Arial"/>
          <w:sz w:val="21"/>
          <w:szCs w:val="21"/>
        </w:rPr>
        <w:t>3</w:t>
      </w:r>
      <w:r>
        <w:rPr>
          <w:rFonts w:hint="eastAsia" w:ascii="Arial" w:hAnsi="Arial" w:cs="Arial"/>
          <w:sz w:val="21"/>
          <w:szCs w:val="21"/>
        </w:rPr>
        <w:t>月</w:t>
      </w:r>
      <w:r>
        <w:rPr>
          <w:rFonts w:ascii="Arial" w:hAnsi="Arial" w:cs="Arial"/>
          <w:sz w:val="21"/>
          <w:szCs w:val="21"/>
        </w:rPr>
        <w:t>16</w:t>
      </w:r>
      <w:r>
        <w:rPr>
          <w:rFonts w:hint="eastAsia" w:ascii="Arial" w:hAnsi="Arial" w:cs="Arial"/>
          <w:sz w:val="21"/>
          <w:szCs w:val="21"/>
        </w:rPr>
        <w:t>日中华人民共和国主席令第</w:t>
      </w:r>
      <w:r>
        <w:rPr>
          <w:rFonts w:ascii="Arial" w:hAnsi="Arial" w:cs="Arial"/>
          <w:sz w:val="21"/>
          <w:szCs w:val="21"/>
        </w:rPr>
        <w:t>46</w:t>
      </w:r>
      <w:r>
        <w:rPr>
          <w:rFonts w:hint="eastAsia" w:ascii="Arial" w:hAnsi="Arial" w:cs="Arial"/>
          <w:sz w:val="21"/>
          <w:szCs w:val="21"/>
        </w:rPr>
        <w:t>号公布，自</w:t>
      </w:r>
      <w:r>
        <w:rPr>
          <w:rFonts w:ascii="Arial" w:hAnsi="Arial" w:cs="Arial"/>
          <w:sz w:val="21"/>
          <w:szCs w:val="21"/>
        </w:rPr>
        <w:t>2016</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1</w:t>
      </w:r>
      <w:r>
        <w:rPr>
          <w:rFonts w:hint="eastAsia" w:ascii="Arial" w:hAnsi="Arial" w:cs="Arial"/>
          <w:sz w:val="21"/>
          <w:szCs w:val="21"/>
        </w:rPr>
        <w:t>日起施行）</w:t>
      </w:r>
    </w:p>
    <w:p w14:paraId="61E44DEE">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《中华人民共和国城镇国有土地使用权出让和转让暂行条例》（</w:t>
      </w:r>
      <w:r>
        <w:rPr>
          <w:rFonts w:ascii="Arial" w:hAnsi="Arial" w:cs="Arial"/>
          <w:sz w:val="21"/>
          <w:szCs w:val="21"/>
        </w:rPr>
        <w:t>1990</w:t>
      </w:r>
      <w:r>
        <w:rPr>
          <w:rFonts w:hint="eastAsia" w:ascii="Arial" w:hAnsi="Arial" w:cs="Arial"/>
          <w:sz w:val="21"/>
          <w:szCs w:val="21"/>
        </w:rPr>
        <w:t>年</w:t>
      </w:r>
      <w:r>
        <w:rPr>
          <w:rFonts w:ascii="Arial" w:hAnsi="Arial" w:cs="Arial"/>
          <w:sz w:val="21"/>
          <w:szCs w:val="21"/>
        </w:rPr>
        <w:t>5</w:t>
      </w:r>
      <w:r>
        <w:rPr>
          <w:rFonts w:hint="eastAsia" w:ascii="Arial" w:hAnsi="Arial" w:cs="Arial"/>
          <w:sz w:val="21"/>
          <w:szCs w:val="21"/>
        </w:rPr>
        <w:t>月</w:t>
      </w:r>
      <w:r>
        <w:rPr>
          <w:rFonts w:ascii="Arial" w:hAnsi="Arial" w:cs="Arial"/>
          <w:sz w:val="21"/>
          <w:szCs w:val="21"/>
        </w:rPr>
        <w:t>19</w:t>
      </w:r>
      <w:r>
        <w:rPr>
          <w:rFonts w:hint="eastAsia" w:ascii="Arial" w:hAnsi="Arial" w:cs="Arial"/>
          <w:sz w:val="21"/>
          <w:szCs w:val="21"/>
        </w:rPr>
        <w:t>日中华人民共和国国务院令第</w:t>
      </w:r>
      <w:r>
        <w:rPr>
          <w:rFonts w:ascii="Arial" w:hAnsi="Arial" w:cs="Arial"/>
          <w:sz w:val="21"/>
          <w:szCs w:val="21"/>
        </w:rPr>
        <w:t>55</w:t>
      </w:r>
      <w:r>
        <w:rPr>
          <w:rFonts w:hint="eastAsia" w:ascii="Arial" w:hAnsi="Arial" w:cs="Arial"/>
          <w:sz w:val="21"/>
          <w:szCs w:val="21"/>
        </w:rPr>
        <w:t>号发布 根据2020年11月29日《国务院关于修改和废止部分行政法规的决定》修订）</w:t>
      </w:r>
    </w:p>
    <w:p w14:paraId="6EF9EDC7">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《中华人民共和国土地管理法实施条例》（</w:t>
      </w:r>
      <w:r>
        <w:rPr>
          <w:rFonts w:ascii="Arial" w:hAnsi="Arial" w:cs="Arial"/>
          <w:sz w:val="21"/>
          <w:szCs w:val="21"/>
        </w:rPr>
        <w:t>2021年4月21日，国务院第132次会议第三次修订通过，2021年7月2日中华人民共和国国务院令第743号公布，自2021年9月1日起施行）</w:t>
      </w:r>
    </w:p>
    <w:p w14:paraId="6A402770">
      <w:pPr>
        <w:numPr>
          <w:ilvl w:val="0"/>
          <w:numId w:val="8"/>
        </w:numPr>
        <w:overflowPunct w:val="0"/>
        <w:spacing w:before="20" w:after="20"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商品房屋租赁管理办法</w:t>
      </w:r>
      <w:r>
        <w:rPr>
          <w:rFonts w:hint="eastAsia" w:ascii="Arial" w:hAnsi="Arial" w:cs="Arial"/>
          <w:sz w:val="21"/>
          <w:szCs w:val="21"/>
        </w:rPr>
        <w:t>》</w:t>
      </w:r>
      <w:r>
        <w:rPr>
          <w:rFonts w:ascii="Arial" w:hAnsi="Arial" w:cs="Arial"/>
          <w:sz w:val="21"/>
          <w:szCs w:val="21"/>
        </w:rPr>
        <w:t>（住房和城乡建设部令[2010]第 6 号）</w:t>
      </w:r>
    </w:p>
    <w:p w14:paraId="444CC9E8">
      <w:pPr>
        <w:numPr>
          <w:ilvl w:val="0"/>
          <w:numId w:val="8"/>
        </w:numPr>
        <w:overflowPunct w:val="0"/>
        <w:spacing w:before="20" w:after="20"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北京市房屋租赁管理若干规定</w:t>
      </w:r>
      <w:r>
        <w:rPr>
          <w:rFonts w:hint="eastAsia" w:ascii="Arial" w:hAnsi="Arial" w:cs="Arial"/>
          <w:sz w:val="21"/>
          <w:szCs w:val="21"/>
        </w:rPr>
        <w:t>》</w:t>
      </w:r>
      <w:r>
        <w:rPr>
          <w:rFonts w:ascii="Arial" w:hAnsi="Arial" w:cs="Arial"/>
          <w:sz w:val="21"/>
          <w:szCs w:val="21"/>
        </w:rPr>
        <w:t>（ 2007 年 11 月 3 日北京市人民政府第 194 号令发布 根据 2011 年 5 月 5 日北京市人民政府第231 号令修改）</w:t>
      </w:r>
    </w:p>
    <w:p w14:paraId="3AE051A9">
      <w:pPr>
        <w:numPr>
          <w:ilvl w:val="0"/>
          <w:numId w:val="8"/>
        </w:numPr>
        <w:overflowPunct w:val="0"/>
        <w:spacing w:before="20" w:after="20"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北京市人民政府关于进一步落实&lt;中华人民共和国房产税暂行条例&gt;有关规定的通知</w:t>
      </w:r>
      <w:r>
        <w:rPr>
          <w:rFonts w:hint="eastAsia" w:ascii="Arial" w:hAnsi="Arial" w:cs="Arial"/>
          <w:sz w:val="21"/>
          <w:szCs w:val="21"/>
        </w:rPr>
        <w:t>》</w:t>
      </w:r>
      <w:r>
        <w:rPr>
          <w:rFonts w:ascii="Arial" w:hAnsi="Arial" w:cs="Arial"/>
          <w:sz w:val="21"/>
          <w:szCs w:val="21"/>
        </w:rPr>
        <w:t>（京政发（ 2016） 24号文， 2016年6月28日公布， 2016年7月1日实施）</w:t>
      </w:r>
    </w:p>
    <w:p w14:paraId="1AFDE28C">
      <w:pPr>
        <w:numPr>
          <w:ilvl w:val="0"/>
          <w:numId w:val="8"/>
        </w:numPr>
        <w:overflowPunct w:val="0"/>
        <w:spacing w:line="480" w:lineRule="auto"/>
        <w:ind w:left="0" w:firstLine="420" w:firstLineChars="200"/>
        <w:jc w:val="both"/>
        <w:textAlignment w:val="auto"/>
        <w:rPr>
          <w:rFonts w:ascii="Arial" w:hAnsi="Arial" w:cs="Arial"/>
          <w:sz w:val="21"/>
          <w:szCs w:val="21"/>
        </w:rPr>
      </w:pPr>
      <w:r>
        <w:rPr>
          <w:rFonts w:hint="eastAsia" w:ascii="Arial" w:hAnsi="Arial" w:cs="Arial"/>
          <w:sz w:val="21"/>
          <w:szCs w:val="21"/>
        </w:rPr>
        <w:t>《住房租赁条例》（2025年7月16日中华人民共和国国务院令第812号公布，自2025年9月15日起施行）</w:t>
      </w:r>
    </w:p>
    <w:p w14:paraId="1A005E22">
      <w:pPr>
        <w:numPr>
          <w:ilvl w:val="0"/>
          <w:numId w:val="8"/>
        </w:numP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《房地产估价规范》[GB/T 50291-2015]</w:t>
      </w:r>
    </w:p>
    <w:p w14:paraId="303B34A1">
      <w:pPr>
        <w:numPr>
          <w:ilvl w:val="0"/>
          <w:numId w:val="8"/>
        </w:numPr>
        <w:overflowPunct w:val="0"/>
        <w:spacing w:line="480" w:lineRule="auto"/>
        <w:ind w:left="0" w:firstLine="420" w:firstLineChars="200"/>
        <w:jc w:val="both"/>
        <w:textAlignment w:val="auto"/>
        <w:rPr>
          <w:rFonts w:ascii="Arial" w:hAnsi="Arial" w:cs="Arial"/>
          <w:sz w:val="21"/>
          <w:szCs w:val="21"/>
        </w:rPr>
      </w:pP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》[GB/T 50899-2013]</w:t>
      </w:r>
    </w:p>
    <w:p w14:paraId="4EB2CCB8">
      <w:pPr>
        <w:overflowPunct w:val="0"/>
        <w:spacing w:line="480" w:lineRule="auto"/>
        <w:jc w:val="both"/>
        <w:textAlignment w:val="auto"/>
        <w:rPr>
          <w:rFonts w:ascii="Arial" w:hAnsi="Arial"/>
          <w:b/>
          <w:sz w:val="21"/>
          <w:szCs w:val="21"/>
        </w:rPr>
      </w:pPr>
      <w:r>
        <w:rPr>
          <w:rFonts w:hint="eastAsia" w:ascii="Arial" w:hAnsi="Arial"/>
          <w:b/>
          <w:sz w:val="21"/>
          <w:szCs w:val="21"/>
        </w:rPr>
        <w:t>（二）估价委托人提供的资料</w:t>
      </w:r>
    </w:p>
    <w:p w14:paraId="36E5F38B">
      <w:pPr>
        <w:numPr>
          <w:ilvl w:val="0"/>
          <w:numId w:val="9"/>
        </w:numPr>
        <w:overflowPunct w:val="0"/>
        <w:spacing w:line="480" w:lineRule="auto"/>
        <w:ind w:left="0" w:firstLine="420"/>
        <w:jc w:val="both"/>
        <w:textAlignment w:val="auto"/>
        <w:rPr>
          <w:rFonts w:ascii="Arial" w:hAnsi="Arial" w:cs="Arial"/>
          <w:sz w:val="21"/>
          <w:szCs w:val="21"/>
        </w:rPr>
      </w:pPr>
      <w:bookmarkStart w:id="52" w:name="_Hlk128743126"/>
      <w:bookmarkStart w:id="53" w:name="_Hlk128748708"/>
      <w:r>
        <w:rPr>
          <w:rFonts w:hint="eastAsia" w:ascii="Arial" w:hAnsi="Arial"/>
          <w:sz w:val="21"/>
          <w:szCs w:val="24"/>
        </w:rPr>
        <w:t>《估价委托书》</w:t>
      </w:r>
      <w:bookmarkEnd w:id="52"/>
    </w:p>
    <w:p w14:paraId="4B269B8F">
      <w:pPr>
        <w:numPr>
          <w:ilvl w:val="0"/>
          <w:numId w:val="9"/>
        </w:numPr>
        <w:overflowPunct w:val="0"/>
        <w:spacing w:line="480" w:lineRule="auto"/>
        <w:ind w:left="0" w:firstLine="420"/>
        <w:jc w:val="both"/>
        <w:textAlignment w:val="auto"/>
        <w:rPr>
          <w:rFonts w:ascii="Arial" w:hAnsi="Arial" w:cs="Arial"/>
          <w:sz w:val="21"/>
          <w:szCs w:val="21"/>
        </w:rPr>
      </w:pPr>
      <w:r>
        <w:rPr>
          <w:rFonts w:hint="eastAsia" w:ascii="Arial" w:hAnsi="Arial"/>
          <w:sz w:val="21"/>
          <w:szCs w:val="24"/>
        </w:rPr>
        <w:t>《国有土地使用证》[京海国用(2014划)第 00237 号]复印件</w:t>
      </w:r>
    </w:p>
    <w:p w14:paraId="58A98F37">
      <w:pPr>
        <w:numPr>
          <w:ilvl w:val="0"/>
          <w:numId w:val="9"/>
        </w:numPr>
        <w:spacing w:line="480" w:lineRule="auto"/>
        <w:jc w:val="both"/>
        <w:textAlignment w:val="auto"/>
        <w:rPr>
          <w:rFonts w:ascii="Arial" w:hAnsi="Arial"/>
          <w:sz w:val="21"/>
          <w:szCs w:val="24"/>
        </w:rPr>
      </w:pPr>
      <w:r>
        <w:rPr>
          <w:rFonts w:hint="eastAsia" w:ascii="Arial" w:hAnsi="Arial"/>
          <w:sz w:val="21"/>
          <w:szCs w:val="24"/>
        </w:rPr>
        <w:t>《租赁合同》[合同编号：JXZF-TJJY-20210001]复印件</w:t>
      </w:r>
    </w:p>
    <w:p w14:paraId="23CE33A0">
      <w:pPr>
        <w:numPr>
          <w:ilvl w:val="0"/>
          <w:numId w:val="9"/>
        </w:numPr>
        <w:overflowPunct w:val="0"/>
        <w:spacing w:line="480" w:lineRule="auto"/>
        <w:ind w:left="0" w:firstLine="420"/>
        <w:jc w:val="both"/>
        <w:textAlignment w:val="auto"/>
        <w:rPr>
          <w:rFonts w:ascii="Arial" w:hAnsi="Arial" w:cs="Arial"/>
          <w:sz w:val="21"/>
          <w:szCs w:val="21"/>
        </w:rPr>
      </w:pPr>
      <w:r>
        <w:rPr>
          <w:rFonts w:hint="eastAsia" w:ascii="Arial" w:hAnsi="Arial"/>
          <w:kern w:val="2"/>
          <w:sz w:val="21"/>
        </w:rPr>
        <w:t>《名称变更通知》</w:t>
      </w:r>
      <w:bookmarkEnd w:id="53"/>
      <w:r>
        <w:rPr>
          <w:rFonts w:hint="eastAsia" w:ascii="Arial" w:hAnsi="Arial" w:cs="Arial"/>
          <w:sz w:val="21"/>
          <w:szCs w:val="21"/>
        </w:rPr>
        <w:t>复印件</w:t>
      </w:r>
    </w:p>
    <w:p w14:paraId="665D43F3">
      <w:pPr>
        <w:overflowPunct w:val="0"/>
        <w:spacing w:line="480" w:lineRule="auto"/>
        <w:jc w:val="both"/>
        <w:textAlignment w:val="auto"/>
        <w:rPr>
          <w:rFonts w:ascii="Arial" w:hAnsi="Arial"/>
          <w:b/>
          <w:sz w:val="21"/>
          <w:szCs w:val="21"/>
        </w:rPr>
      </w:pPr>
      <w:r>
        <w:rPr>
          <w:rFonts w:hint="eastAsia" w:ascii="Arial" w:hAnsi="Arial"/>
          <w:b/>
          <w:sz w:val="21"/>
          <w:szCs w:val="21"/>
        </w:rPr>
        <w:t>（三）评估专业人员实地查勘的有关资料</w:t>
      </w:r>
    </w:p>
    <w:p w14:paraId="2621EC87">
      <w:pPr>
        <w:overflowPunct w:val="0"/>
        <w:spacing w:line="480" w:lineRule="auto"/>
        <w:jc w:val="both"/>
        <w:textAlignment w:val="auto"/>
        <w:rPr>
          <w:rFonts w:ascii="Arial" w:hAnsi="Arial"/>
          <w:b/>
          <w:sz w:val="21"/>
          <w:szCs w:val="21"/>
        </w:rPr>
      </w:pPr>
      <w:r>
        <w:rPr>
          <w:rFonts w:hint="eastAsia" w:ascii="Arial" w:hAnsi="Arial"/>
          <w:b/>
          <w:sz w:val="21"/>
          <w:szCs w:val="21"/>
        </w:rPr>
        <w:t>（四）房地产估价机构资质证书及</w:t>
      </w:r>
      <w:r>
        <w:rPr>
          <w:rFonts w:ascii="Arial" w:hAnsi="Arial"/>
          <w:b/>
          <w:sz w:val="21"/>
          <w:szCs w:val="21"/>
        </w:rPr>
        <w:t>承诺书</w:t>
      </w:r>
    </w:p>
    <w:p w14:paraId="27CE1ECD">
      <w:pPr>
        <w:overflowPunct w:val="0"/>
        <w:spacing w:line="480" w:lineRule="auto"/>
        <w:ind w:firstLine="420" w:firstLineChars="200"/>
        <w:jc w:val="both"/>
        <w:textAlignment w:val="auto"/>
        <w:rPr>
          <w:rFonts w:ascii="Arial" w:hAnsi="Arial"/>
          <w:sz w:val="21"/>
          <w:szCs w:val="21"/>
        </w:rPr>
      </w:pPr>
      <w:bookmarkStart w:id="54" w:name="_Toc168225821"/>
    </w:p>
    <w:p w14:paraId="6C5DA621">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55" w:name="_Toc500322972"/>
      <w:r>
        <w:rPr>
          <w:rFonts w:hint="eastAsia" w:eastAsia="宋体"/>
          <w:kern w:val="2"/>
          <w:sz w:val="21"/>
          <w:szCs w:val="21"/>
        </w:rPr>
        <w:t>十、估价方法</w:t>
      </w:r>
      <w:bookmarkEnd w:id="54"/>
      <w:bookmarkEnd w:id="55"/>
    </w:p>
    <w:p w14:paraId="2FF37219">
      <w:pPr>
        <w:pStyle w:val="43"/>
        <w:overflowPunct w:val="0"/>
        <w:autoSpaceDE w:val="0"/>
        <w:autoSpaceDN w:val="0"/>
        <w:spacing w:line="480" w:lineRule="auto"/>
        <w:ind w:right="140" w:firstLine="420" w:firstLineChars="200"/>
        <w:jc w:val="both"/>
        <w:textAlignment w:val="auto"/>
        <w:rPr>
          <w:rFonts w:ascii="Arial" w:hAnsi="Arial"/>
          <w:sz w:val="21"/>
          <w:szCs w:val="21"/>
        </w:rPr>
      </w:pPr>
      <w:r>
        <w:rPr>
          <w:rFonts w:ascii="Arial" w:hAnsi="Arial" w:cs="Arial"/>
          <w:sz w:val="21"/>
          <w:szCs w:val="21"/>
        </w:rPr>
        <w:t>由于本次评估是</w:t>
      </w:r>
      <w:r>
        <w:rPr>
          <w:rFonts w:hint="eastAsia" w:ascii="Arial" w:hAnsi="Arial"/>
          <w:kern w:val="2"/>
          <w:sz w:val="21"/>
        </w:rPr>
        <w:t>为估价委托人了解估价对象的房地产市场租金水平提供参考依据</w:t>
      </w:r>
      <w:r>
        <w:rPr>
          <w:rFonts w:ascii="Arial" w:hAnsi="Arial" w:cs="Arial"/>
          <w:sz w:val="21"/>
          <w:szCs w:val="21"/>
        </w:rPr>
        <w:t>，</w:t>
      </w:r>
      <w:r>
        <w:rPr>
          <w:rFonts w:hint="eastAsia" w:ascii="Arial" w:hAnsi="Arial" w:cs="Arial"/>
          <w:sz w:val="21"/>
          <w:szCs w:val="21"/>
        </w:rPr>
        <w:t>因此我们在认真分析研究估价对象的相关资料，并通过对邻近地区同类物业调查的基础上，根据《房地产估价规范》(GB/T 50291-2015)的估价程序，选用比较法</w:t>
      </w:r>
      <w:r>
        <w:rPr>
          <w:rFonts w:hint="eastAsia" w:ascii="Arial" w:hAnsi="Arial"/>
          <w:sz w:val="21"/>
          <w:szCs w:val="21"/>
        </w:rPr>
        <w:t>进行估价。估价方法简述如下：</w:t>
      </w:r>
    </w:p>
    <w:p w14:paraId="050D3810">
      <w:pPr>
        <w:pStyle w:val="43"/>
        <w:overflowPunct w:val="0"/>
        <w:autoSpaceDE w:val="0"/>
        <w:autoSpaceDN w:val="0"/>
        <w:spacing w:line="480" w:lineRule="auto"/>
        <w:ind w:right="6" w:firstLine="420" w:firstLineChars="200"/>
        <w:jc w:val="both"/>
        <w:textAlignment w:val="auto"/>
        <w:rPr>
          <w:rFonts w:ascii="Arial" w:hAnsi="Arial"/>
          <w:sz w:val="21"/>
          <w:szCs w:val="21"/>
        </w:rPr>
      </w:pPr>
      <w:r>
        <w:rPr>
          <w:rFonts w:hint="eastAsia" w:ascii="Arial" w:hAnsi="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0524570E">
      <w:pPr>
        <w:overflowPunct w:val="0"/>
        <w:spacing w:line="480" w:lineRule="auto"/>
        <w:ind w:firstLine="420" w:firstLineChars="200"/>
        <w:jc w:val="both"/>
        <w:textAlignment w:val="auto"/>
        <w:rPr>
          <w:rFonts w:ascii="Arial" w:hAnsi="Arial"/>
          <w:sz w:val="21"/>
          <w:szCs w:val="21"/>
        </w:rPr>
      </w:pPr>
    </w:p>
    <w:p w14:paraId="6E25B3E8">
      <w:pPr>
        <w:rPr>
          <w:kern w:val="2"/>
          <w:sz w:val="21"/>
          <w:szCs w:val="21"/>
        </w:rPr>
      </w:pPr>
      <w:bookmarkStart w:id="56" w:name="_Toc500322973"/>
      <w:r>
        <w:rPr>
          <w:rFonts w:hint="eastAsia"/>
          <w:kern w:val="2"/>
          <w:sz w:val="21"/>
          <w:szCs w:val="21"/>
        </w:rPr>
        <w:br w:type="page"/>
      </w:r>
    </w:p>
    <w:p w14:paraId="43DFF79C">
      <w:pPr>
        <w:pStyle w:val="3"/>
        <w:numPr>
          <w:ilvl w:val="0"/>
          <w:numId w:val="0"/>
        </w:numPr>
        <w:overflowPunct w:val="0"/>
        <w:spacing w:line="480" w:lineRule="auto"/>
        <w:ind w:left="358" w:hanging="358" w:hangingChars="170"/>
        <w:jc w:val="both"/>
        <w:textAlignment w:val="auto"/>
        <w:rPr>
          <w:rFonts w:eastAsia="宋体"/>
          <w:kern w:val="2"/>
          <w:sz w:val="21"/>
          <w:szCs w:val="21"/>
        </w:rPr>
      </w:pPr>
      <w:r>
        <w:rPr>
          <w:rFonts w:hint="eastAsia" w:eastAsia="宋体"/>
          <w:kern w:val="2"/>
          <w:sz w:val="21"/>
          <w:szCs w:val="21"/>
        </w:rPr>
        <w:t>十一、</w:t>
      </w:r>
      <w:bookmarkStart w:id="57" w:name="_Toc168225822"/>
      <w:r>
        <w:rPr>
          <w:rFonts w:hint="eastAsia" w:eastAsia="宋体"/>
          <w:kern w:val="2"/>
          <w:sz w:val="21"/>
          <w:szCs w:val="21"/>
        </w:rPr>
        <w:t>估价结果</w:t>
      </w:r>
      <w:bookmarkEnd w:id="56"/>
      <w:bookmarkEnd w:id="57"/>
    </w:p>
    <w:p w14:paraId="54036807">
      <w:pPr>
        <w:overflowPunct w:val="0"/>
        <w:spacing w:line="480" w:lineRule="auto"/>
        <w:ind w:firstLine="420" w:firstLineChars="200"/>
        <w:jc w:val="both"/>
        <w:textAlignment w:val="auto"/>
        <w:rPr>
          <w:rFonts w:ascii="Arial" w:hAnsi="Arial"/>
          <w:sz w:val="21"/>
          <w:szCs w:val="21"/>
        </w:rPr>
      </w:pPr>
      <w:bookmarkStart w:id="58" w:name="_Toc168225824"/>
      <w:r>
        <w:rPr>
          <w:rFonts w:hint="eastAsia" w:ascii="Arial" w:hAnsi="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hint="eastAsia" w:ascii="Arial" w:hAnsi="Arial"/>
          <w:sz w:val="21"/>
        </w:rPr>
        <w:t>市场租金，</w:t>
      </w:r>
      <w:r>
        <w:rPr>
          <w:rFonts w:hint="eastAsia" w:ascii="Arial" w:hAnsi="Arial"/>
          <w:sz w:val="21"/>
          <w:szCs w:val="21"/>
        </w:rPr>
        <w:t>详见估价结果一览表。</w:t>
      </w:r>
    </w:p>
    <w:p w14:paraId="7B599A6A">
      <w:pPr>
        <w:spacing w:line="360" w:lineRule="auto"/>
        <w:jc w:val="center"/>
        <w:rPr>
          <w:rFonts w:ascii="Arial" w:hAnsi="Arial" w:eastAsia="方正黑体简体"/>
          <w:szCs w:val="24"/>
        </w:rPr>
      </w:pPr>
      <w:r>
        <w:rPr>
          <w:rFonts w:hint="eastAsia" w:ascii="Arial" w:hAnsi="Arial" w:eastAsia="方正黑体简体"/>
          <w:szCs w:val="24"/>
        </w:rPr>
        <w:t>估价结果一览表</w:t>
      </w:r>
    </w:p>
    <w:tbl>
      <w:tblPr>
        <w:tblStyle w:val="32"/>
        <w:tblW w:w="4995" w:type="pct"/>
        <w:jc w:val="center"/>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Layout w:type="autofit"/>
        <w:tblCellMar>
          <w:top w:w="57" w:type="dxa"/>
          <w:left w:w="57" w:type="dxa"/>
          <w:bottom w:w="57" w:type="dxa"/>
          <w:right w:w="57" w:type="dxa"/>
        </w:tblCellMar>
      </w:tblPr>
      <w:tblGrid>
        <w:gridCol w:w="3589"/>
        <w:gridCol w:w="1581"/>
        <w:gridCol w:w="928"/>
        <w:gridCol w:w="3306"/>
      </w:tblGrid>
      <w:tr w14:paraId="418DDBFB">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557" w:hRule="atLeast"/>
          <w:jc w:val="center"/>
        </w:trPr>
        <w:tc>
          <w:tcPr>
            <w:tcW w:w="1908" w:type="pct"/>
            <w:vAlign w:val="center"/>
          </w:tcPr>
          <w:p w14:paraId="61E043EC">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估价对象</w:t>
            </w:r>
          </w:p>
        </w:tc>
        <w:tc>
          <w:tcPr>
            <w:tcW w:w="840" w:type="pct"/>
            <w:vAlign w:val="center"/>
          </w:tcPr>
          <w:p w14:paraId="63115588">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建筑面积</w:t>
            </w:r>
            <w:r>
              <w:rPr>
                <w:rFonts w:hint="eastAsia" w:ascii="Arial" w:hAnsi="Arial" w:eastAsia="华文细黑" w:cs="Arial"/>
                <w:sz w:val="18"/>
                <w:szCs w:val="18"/>
              </w:rPr>
              <w:t>（平方米）</w:t>
            </w:r>
          </w:p>
        </w:tc>
        <w:tc>
          <w:tcPr>
            <w:tcW w:w="493" w:type="pct"/>
            <w:vAlign w:val="center"/>
          </w:tcPr>
          <w:p w14:paraId="771541E2">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套数（套）</w:t>
            </w:r>
          </w:p>
        </w:tc>
        <w:tc>
          <w:tcPr>
            <w:tcW w:w="1757" w:type="pct"/>
            <w:vAlign w:val="center"/>
          </w:tcPr>
          <w:p w14:paraId="60E4426A">
            <w:pPr>
              <w:widowControl/>
              <w:adjustRightInd/>
              <w:snapToGrid w:val="0"/>
              <w:spacing w:line="240" w:lineRule="auto"/>
              <w:jc w:val="center"/>
              <w:textAlignment w:val="auto"/>
              <w:rPr>
                <w:rFonts w:ascii="Arial" w:hAnsi="Arial" w:eastAsia="华文细黑" w:cs="Arial"/>
                <w:sz w:val="18"/>
                <w:szCs w:val="18"/>
              </w:rPr>
            </w:pPr>
            <w:r>
              <w:rPr>
                <w:rFonts w:ascii="Arial" w:hAnsi="Arial" w:eastAsia="华文细黑" w:cs="Arial"/>
                <w:sz w:val="18"/>
                <w:szCs w:val="18"/>
              </w:rPr>
              <w:t>估价对象市场租金</w:t>
            </w:r>
            <w:r>
              <w:rPr>
                <w:rFonts w:hint="eastAsia" w:ascii="Arial" w:hAnsi="Arial" w:eastAsia="华文细黑" w:cs="Arial"/>
                <w:sz w:val="18"/>
                <w:szCs w:val="18"/>
              </w:rPr>
              <w:t>均价（元/㎡·月）</w:t>
            </w:r>
          </w:p>
        </w:tc>
      </w:tr>
      <w:tr w14:paraId="185E1269">
        <w:tblPrEx>
          <w:tblBorders>
            <w:top w:val="thinThickThinSmallGap" w:color="auto" w:sz="12" w:space="0"/>
            <w:left w:val="dotted" w:color="auto" w:sz="2" w:space="0"/>
            <w:bottom w:val="thinThickThinSmallGap" w:color="auto" w:sz="12" w:space="0"/>
            <w:right w:val="dotted" w:color="auto" w:sz="2" w:space="0"/>
            <w:insideH w:val="dotted" w:color="auto" w:sz="2" w:space="0"/>
            <w:insideV w:val="dotted" w:color="auto" w:sz="2" w:space="0"/>
          </w:tblBorders>
          <w:tblCellMar>
            <w:top w:w="57" w:type="dxa"/>
            <w:left w:w="57" w:type="dxa"/>
            <w:bottom w:w="57" w:type="dxa"/>
            <w:right w:w="57" w:type="dxa"/>
          </w:tblCellMar>
        </w:tblPrEx>
        <w:trPr>
          <w:cantSplit/>
          <w:trHeight w:val="1121" w:hRule="atLeast"/>
          <w:jc w:val="center"/>
        </w:trPr>
        <w:tc>
          <w:tcPr>
            <w:tcW w:w="1908" w:type="pct"/>
            <w:vAlign w:val="center"/>
          </w:tcPr>
          <w:p w14:paraId="1D072168">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北京市海淀区西北旺镇土井村图景嘉园小区223套住宅用房房地产市场租金水平</w:t>
            </w:r>
          </w:p>
        </w:tc>
        <w:tc>
          <w:tcPr>
            <w:tcW w:w="840" w:type="pct"/>
            <w:vAlign w:val="center"/>
          </w:tcPr>
          <w:p w14:paraId="72343439">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16190.64</w:t>
            </w:r>
          </w:p>
        </w:tc>
        <w:tc>
          <w:tcPr>
            <w:tcW w:w="493" w:type="pct"/>
            <w:vAlign w:val="center"/>
          </w:tcPr>
          <w:p w14:paraId="11CDF06E">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223</w:t>
            </w:r>
          </w:p>
        </w:tc>
        <w:tc>
          <w:tcPr>
            <w:tcW w:w="1757" w:type="pct"/>
            <w:vAlign w:val="center"/>
          </w:tcPr>
          <w:p w14:paraId="4220CB2C">
            <w:pPr>
              <w:widowControl/>
              <w:adjustRightInd/>
              <w:snapToGrid w:val="0"/>
              <w:spacing w:line="240" w:lineRule="auto"/>
              <w:jc w:val="center"/>
              <w:textAlignment w:val="auto"/>
              <w:rPr>
                <w:rFonts w:ascii="Arial" w:hAnsi="Arial" w:eastAsia="华文细黑" w:cs="Arial"/>
                <w:sz w:val="18"/>
                <w:szCs w:val="18"/>
              </w:rPr>
            </w:pPr>
            <w:r>
              <w:rPr>
                <w:rFonts w:hint="eastAsia" w:ascii="Arial" w:hAnsi="Arial" w:eastAsia="华文细黑" w:cs="Arial"/>
                <w:sz w:val="18"/>
                <w:szCs w:val="18"/>
              </w:rPr>
              <w:t>85</w:t>
            </w:r>
          </w:p>
        </w:tc>
      </w:tr>
    </w:tbl>
    <w:p w14:paraId="6E2E4C46">
      <w:pPr>
        <w:spacing w:line="360" w:lineRule="auto"/>
        <w:ind w:right="17"/>
        <w:rPr>
          <w:rFonts w:ascii="Arial" w:hAnsi="Arial" w:eastAsia="华文细黑" w:cs="Arial"/>
          <w:sz w:val="18"/>
          <w:szCs w:val="18"/>
        </w:rPr>
      </w:pPr>
      <w:r>
        <w:rPr>
          <w:rFonts w:hint="eastAsia" w:ascii="Arial" w:hAnsi="Arial" w:eastAsia="华文细黑"/>
          <w:sz w:val="18"/>
          <w:szCs w:val="18"/>
        </w:rPr>
        <w:t>单位：</w:t>
      </w:r>
      <w:r>
        <w:rPr>
          <w:rFonts w:ascii="Arial" w:hAnsi="Arial" w:eastAsia="华文细黑" w:cs="Arial"/>
          <w:sz w:val="18"/>
          <w:szCs w:val="18"/>
        </w:rPr>
        <w:t>元、元/平方米（币种：人民币）</w:t>
      </w:r>
    </w:p>
    <w:p w14:paraId="69EBB102">
      <w:pPr>
        <w:spacing w:line="360" w:lineRule="auto"/>
        <w:ind w:right="17"/>
        <w:rPr>
          <w:rFonts w:ascii="Arial" w:hAnsi="Arial" w:eastAsia="华文细黑" w:cs="Arial"/>
          <w:b/>
          <w:sz w:val="18"/>
          <w:szCs w:val="18"/>
        </w:rPr>
      </w:pPr>
      <w:r>
        <w:rPr>
          <w:rFonts w:hint="eastAsia" w:ascii="Arial" w:hAnsi="Arial" w:eastAsia="华文细黑" w:cs="Arial"/>
          <w:b/>
          <w:sz w:val="18"/>
          <w:szCs w:val="18"/>
        </w:rPr>
        <w:t>提示</w:t>
      </w:r>
      <w:r>
        <w:rPr>
          <w:rFonts w:ascii="Arial" w:hAnsi="Arial" w:eastAsia="华文细黑" w:cs="Arial"/>
          <w:b/>
          <w:sz w:val="18"/>
          <w:szCs w:val="18"/>
        </w:rPr>
        <w:t>：</w:t>
      </w:r>
      <w:r>
        <w:rPr>
          <w:rFonts w:hint="eastAsia" w:ascii="Arial" w:hAnsi="Arial" w:eastAsia="华文细黑" w:cs="Arial"/>
          <w:b/>
          <w:sz w:val="18"/>
          <w:szCs w:val="18"/>
        </w:rPr>
        <w:t>1、估价结果按照法律法规规定，出租方和承租方各自承担相应的交易税费。</w:t>
      </w:r>
    </w:p>
    <w:p w14:paraId="63AE4B19">
      <w:pPr>
        <w:spacing w:line="360" w:lineRule="auto"/>
        <w:ind w:right="17" w:firstLine="541" w:firstLineChars="300"/>
        <w:rPr>
          <w:rFonts w:ascii="Arial" w:hAnsi="Arial" w:eastAsia="华文细黑" w:cs="Arial"/>
          <w:b/>
          <w:sz w:val="18"/>
          <w:szCs w:val="18"/>
        </w:rPr>
      </w:pPr>
      <w:r>
        <w:rPr>
          <w:rFonts w:hint="eastAsia" w:ascii="Arial" w:hAnsi="Arial" w:eastAsia="华文细黑" w:cs="Arial"/>
          <w:b/>
          <w:sz w:val="18"/>
          <w:szCs w:val="18"/>
        </w:rPr>
        <w:t>2、估价结果采用价税合计的形式，上述估价结果中包含增值税及附加、家具家电使用费、物业费，不包含能源费、房地产经纪公司服务费等费用。</w:t>
      </w:r>
    </w:p>
    <w:p w14:paraId="7A0C2337">
      <w:pPr>
        <w:spacing w:line="360" w:lineRule="auto"/>
        <w:ind w:right="17"/>
        <w:rPr>
          <w:rFonts w:ascii="Arial" w:hAnsi="Arial"/>
          <w:sz w:val="21"/>
          <w:szCs w:val="21"/>
        </w:rPr>
      </w:pPr>
    </w:p>
    <w:p w14:paraId="4D791871">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59" w:name="_Toc500322974"/>
      <w:r>
        <w:rPr>
          <w:rFonts w:hint="eastAsia" w:eastAsia="宋体"/>
          <w:kern w:val="2"/>
          <w:sz w:val="21"/>
          <w:szCs w:val="21"/>
        </w:rPr>
        <w:t>十</w:t>
      </w:r>
      <w:bookmarkEnd w:id="58"/>
      <w:r>
        <w:rPr>
          <w:rFonts w:hint="eastAsia" w:eastAsia="宋体"/>
          <w:kern w:val="2"/>
          <w:sz w:val="21"/>
          <w:szCs w:val="21"/>
        </w:rPr>
        <w:t>二、参与本次估价工作的评估专业人员</w:t>
      </w:r>
      <w:bookmarkEnd w:id="59"/>
    </w:p>
    <w:tbl>
      <w:tblPr>
        <w:tblStyle w:val="32"/>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autofit"/>
        <w:tblCellMar>
          <w:top w:w="0" w:type="dxa"/>
          <w:left w:w="108" w:type="dxa"/>
          <w:bottom w:w="0" w:type="dxa"/>
          <w:right w:w="108" w:type="dxa"/>
        </w:tblCellMar>
      </w:tblPr>
      <w:tblGrid>
        <w:gridCol w:w="1746"/>
        <w:gridCol w:w="2197"/>
        <w:gridCol w:w="2774"/>
        <w:gridCol w:w="2582"/>
      </w:tblGrid>
      <w:tr w14:paraId="10096DB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454" w:hRule="exact"/>
          <w:jc w:val="center"/>
        </w:trPr>
        <w:tc>
          <w:tcPr>
            <w:tcW w:w="9299" w:type="dxa"/>
            <w:gridSpan w:val="4"/>
            <w:tcBorders>
              <w:bottom w:val="single" w:color="404040" w:sz="2" w:space="0"/>
            </w:tcBorders>
            <w:vAlign w:val="center"/>
          </w:tcPr>
          <w:p w14:paraId="04E0CA89">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5B16239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454" w:hRule="exact"/>
          <w:jc w:val="center"/>
        </w:trPr>
        <w:tc>
          <w:tcPr>
            <w:tcW w:w="1746" w:type="dxa"/>
            <w:vAlign w:val="center"/>
          </w:tcPr>
          <w:p w14:paraId="6C03F1F3">
            <w:pPr>
              <w:tabs>
                <w:tab w:val="left" w:pos="5160"/>
              </w:tabs>
              <w:overflowPunct w:val="0"/>
              <w:spacing w:line="240" w:lineRule="auto"/>
              <w:rPr>
                <w:rFonts w:ascii="Arial" w:hAnsi="Arial" w:cs="Arial"/>
                <w:sz w:val="21"/>
                <w:szCs w:val="21"/>
              </w:rPr>
            </w:pPr>
            <w:r>
              <w:rPr>
                <w:rFonts w:ascii="Arial" w:hAnsi="Arial" w:cs="Arial"/>
                <w:sz w:val="21"/>
                <w:szCs w:val="21"/>
              </w:rPr>
              <w:t>姓名</w:t>
            </w:r>
          </w:p>
        </w:tc>
        <w:tc>
          <w:tcPr>
            <w:tcW w:w="2197" w:type="dxa"/>
            <w:vAlign w:val="center"/>
          </w:tcPr>
          <w:p w14:paraId="4A831692">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4BF2FB16">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6EA800BD">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57289E3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1134" w:hRule="exact"/>
          <w:jc w:val="center"/>
        </w:trPr>
        <w:tc>
          <w:tcPr>
            <w:tcW w:w="1746" w:type="dxa"/>
            <w:vAlign w:val="center"/>
          </w:tcPr>
          <w:p w14:paraId="045325DA">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42916539">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212046EF">
            <w:pPr>
              <w:tabs>
                <w:tab w:val="left" w:pos="5160"/>
              </w:tabs>
              <w:overflowPunct w:val="0"/>
              <w:spacing w:line="240" w:lineRule="auto"/>
              <w:rPr>
                <w:rFonts w:ascii="Arial" w:hAnsi="Arial" w:cs="Arial"/>
                <w:sz w:val="21"/>
                <w:szCs w:val="21"/>
              </w:rPr>
            </w:pPr>
          </w:p>
        </w:tc>
        <w:tc>
          <w:tcPr>
            <w:tcW w:w="2582" w:type="dxa"/>
            <w:vAlign w:val="center"/>
          </w:tcPr>
          <w:p w14:paraId="15F5016D">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21E197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108" w:type="dxa"/>
            <w:bottom w:w="0" w:type="dxa"/>
            <w:right w:w="108" w:type="dxa"/>
          </w:tblCellMar>
        </w:tblPrEx>
        <w:trPr>
          <w:trHeight w:val="1134" w:hRule="exact"/>
          <w:jc w:val="center"/>
        </w:trPr>
        <w:tc>
          <w:tcPr>
            <w:tcW w:w="1746" w:type="dxa"/>
            <w:vAlign w:val="center"/>
          </w:tcPr>
          <w:p w14:paraId="3899B635">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359D02B1">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1119980019</w:t>
            </w:r>
          </w:p>
        </w:tc>
        <w:tc>
          <w:tcPr>
            <w:tcW w:w="2774" w:type="dxa"/>
            <w:vAlign w:val="center"/>
          </w:tcPr>
          <w:p w14:paraId="076DECAA">
            <w:pPr>
              <w:tabs>
                <w:tab w:val="left" w:pos="5160"/>
              </w:tabs>
              <w:overflowPunct w:val="0"/>
              <w:spacing w:line="240" w:lineRule="auto"/>
              <w:rPr>
                <w:rFonts w:ascii="Arial" w:hAnsi="Arial" w:cs="Arial"/>
                <w:sz w:val="21"/>
                <w:szCs w:val="21"/>
              </w:rPr>
            </w:pPr>
          </w:p>
        </w:tc>
        <w:tc>
          <w:tcPr>
            <w:tcW w:w="2582" w:type="dxa"/>
            <w:vAlign w:val="center"/>
          </w:tcPr>
          <w:p w14:paraId="58120206">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48A41587">
      <w:pPr>
        <w:overflowPunct w:val="0"/>
        <w:spacing w:line="480" w:lineRule="auto"/>
        <w:jc w:val="both"/>
        <w:textAlignment w:val="auto"/>
        <w:rPr>
          <w:rFonts w:ascii="Arial" w:hAnsi="Arial"/>
          <w:kern w:val="2"/>
          <w:sz w:val="21"/>
          <w:szCs w:val="21"/>
        </w:rPr>
      </w:pPr>
    </w:p>
    <w:p w14:paraId="674E4FE5">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60" w:name="_Toc500322975"/>
      <w:r>
        <w:rPr>
          <w:rFonts w:hint="eastAsia" w:eastAsia="宋体"/>
          <w:kern w:val="2"/>
          <w:sz w:val="21"/>
          <w:szCs w:val="21"/>
        </w:rPr>
        <w:t>十三、实地</w:t>
      </w:r>
      <w:r>
        <w:rPr>
          <w:rFonts w:eastAsia="宋体"/>
          <w:kern w:val="2"/>
          <w:sz w:val="21"/>
          <w:szCs w:val="21"/>
        </w:rPr>
        <w:t>查勘</w:t>
      </w:r>
      <w:r>
        <w:rPr>
          <w:rFonts w:hint="eastAsia" w:eastAsia="宋体"/>
          <w:kern w:val="2"/>
          <w:sz w:val="21"/>
          <w:szCs w:val="21"/>
        </w:rPr>
        <w:t>期</w:t>
      </w:r>
      <w:bookmarkEnd w:id="60"/>
    </w:p>
    <w:p w14:paraId="653AEC4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2025年12月4日</w:t>
      </w:r>
    </w:p>
    <w:p w14:paraId="61338854">
      <w:pPr>
        <w:overflowPunct w:val="0"/>
        <w:spacing w:line="480" w:lineRule="auto"/>
        <w:ind w:firstLine="420" w:firstLineChars="200"/>
        <w:jc w:val="both"/>
        <w:textAlignment w:val="auto"/>
        <w:rPr>
          <w:rFonts w:ascii="Arial" w:hAnsi="Arial"/>
          <w:kern w:val="2"/>
          <w:sz w:val="21"/>
          <w:szCs w:val="21"/>
        </w:rPr>
      </w:pPr>
    </w:p>
    <w:p w14:paraId="670407D3">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61" w:name="_Toc500322976"/>
      <w:bookmarkStart w:id="62" w:name="_Toc168225825"/>
      <w:r>
        <w:rPr>
          <w:rFonts w:hint="eastAsia" w:eastAsia="宋体"/>
          <w:kern w:val="2"/>
          <w:sz w:val="21"/>
          <w:szCs w:val="21"/>
        </w:rPr>
        <w:t>十四、估价作业期</w:t>
      </w:r>
      <w:bookmarkEnd w:id="61"/>
      <w:bookmarkEnd w:id="62"/>
      <w:r>
        <w:rPr>
          <w:rFonts w:hint="eastAsia" w:eastAsia="宋体"/>
          <w:kern w:val="2"/>
          <w:sz w:val="21"/>
          <w:szCs w:val="21"/>
        </w:rPr>
        <w:t xml:space="preserve">  </w:t>
      </w:r>
    </w:p>
    <w:p w14:paraId="7BA7F0BF">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2025年12月4日至2025年12月9日</w:t>
      </w:r>
    </w:p>
    <w:p w14:paraId="73EC3BA2">
      <w:pPr>
        <w:overflowPunct w:val="0"/>
        <w:spacing w:line="480" w:lineRule="auto"/>
        <w:ind w:firstLine="422" w:firstLineChars="200"/>
        <w:jc w:val="both"/>
        <w:textAlignment w:val="auto"/>
        <w:outlineLvl w:val="0"/>
        <w:rPr>
          <w:rFonts w:ascii="Arial" w:hAnsi="Arial"/>
          <w:b/>
          <w:kern w:val="2"/>
          <w:sz w:val="21"/>
          <w:szCs w:val="21"/>
        </w:rPr>
        <w:sectPr>
          <w:pgSz w:w="11907" w:h="16840"/>
          <w:pgMar w:top="1843" w:right="1134" w:bottom="1191" w:left="1134" w:header="1134" w:footer="1134" w:gutter="340"/>
          <w:cols w:space="720" w:num="1"/>
          <w:docGrid w:linePitch="326" w:charSpace="0"/>
        </w:sectPr>
      </w:pPr>
    </w:p>
    <w:p w14:paraId="4DF905AB">
      <w:pPr>
        <w:pStyle w:val="2"/>
        <w:numPr>
          <w:ilvl w:val="0"/>
          <w:numId w:val="0"/>
        </w:numPr>
        <w:spacing w:line="480" w:lineRule="auto"/>
        <w:jc w:val="center"/>
        <w:rPr>
          <w:rFonts w:eastAsia="方正黑体简体"/>
          <w:b w:val="0"/>
          <w:kern w:val="2"/>
          <w:sz w:val="32"/>
          <w:szCs w:val="32"/>
        </w:rPr>
      </w:pPr>
      <w:bookmarkStart w:id="63" w:name="_Toc500322977"/>
      <w:r>
        <w:rPr>
          <w:rFonts w:hint="eastAsia" w:eastAsia="方正黑体简体"/>
          <w:b w:val="0"/>
          <w:kern w:val="2"/>
          <w:sz w:val="32"/>
          <w:szCs w:val="32"/>
        </w:rPr>
        <w:t>附   件</w:t>
      </w:r>
      <w:bookmarkEnd w:id="63"/>
    </w:p>
    <w:p w14:paraId="71836B2D">
      <w:pPr>
        <w:numPr>
          <w:ilvl w:val="0"/>
          <w:numId w:val="10"/>
        </w:numPr>
        <w:spacing w:line="420" w:lineRule="exact"/>
        <w:jc w:val="both"/>
        <w:textAlignment w:val="auto"/>
        <w:rPr>
          <w:rFonts w:ascii="Arial" w:hAnsi="Arial"/>
          <w:sz w:val="21"/>
          <w:szCs w:val="24"/>
        </w:rPr>
      </w:pPr>
      <w:bookmarkStart w:id="64" w:name="_Hlk128749574"/>
      <w:r>
        <w:rPr>
          <w:rFonts w:hint="eastAsia" w:ascii="Arial" w:hAnsi="Arial"/>
          <w:sz w:val="21"/>
          <w:szCs w:val="24"/>
        </w:rPr>
        <w:t>《估价委托书》复印件</w:t>
      </w:r>
    </w:p>
    <w:p w14:paraId="7B5C38B7">
      <w:pPr>
        <w:numPr>
          <w:ilvl w:val="0"/>
          <w:numId w:val="10"/>
        </w:numPr>
        <w:spacing w:line="420" w:lineRule="exact"/>
        <w:jc w:val="both"/>
        <w:textAlignment w:val="auto"/>
        <w:rPr>
          <w:rFonts w:ascii="Arial" w:hAnsi="Arial"/>
          <w:sz w:val="21"/>
          <w:szCs w:val="24"/>
        </w:rPr>
      </w:pPr>
      <w:r>
        <w:rPr>
          <w:rFonts w:hint="eastAsia" w:ascii="Arial" w:hAnsi="Arial"/>
          <w:sz w:val="21"/>
          <w:szCs w:val="24"/>
        </w:rPr>
        <w:t>估价对象所在位置示意图</w:t>
      </w:r>
    </w:p>
    <w:p w14:paraId="763A97B4">
      <w:pPr>
        <w:numPr>
          <w:ilvl w:val="0"/>
          <w:numId w:val="10"/>
        </w:numPr>
        <w:spacing w:line="420" w:lineRule="exact"/>
        <w:jc w:val="both"/>
        <w:textAlignment w:val="auto"/>
        <w:rPr>
          <w:rFonts w:ascii="Arial" w:hAnsi="Arial"/>
          <w:sz w:val="21"/>
          <w:szCs w:val="24"/>
        </w:rPr>
      </w:pPr>
      <w:r>
        <w:rPr>
          <w:rFonts w:hint="eastAsia" w:ascii="Arial" w:hAnsi="Arial"/>
          <w:sz w:val="21"/>
          <w:szCs w:val="24"/>
        </w:rPr>
        <w:t>估价对象实地查勘相关照片</w:t>
      </w:r>
    </w:p>
    <w:p w14:paraId="35375B05">
      <w:pPr>
        <w:numPr>
          <w:ilvl w:val="0"/>
          <w:numId w:val="10"/>
        </w:numPr>
        <w:spacing w:line="420" w:lineRule="exact"/>
        <w:jc w:val="both"/>
        <w:textAlignment w:val="auto"/>
        <w:rPr>
          <w:rFonts w:ascii="Arial" w:hAnsi="Arial"/>
          <w:sz w:val="21"/>
          <w:szCs w:val="24"/>
        </w:rPr>
      </w:pPr>
      <w:r>
        <w:rPr>
          <w:rFonts w:hint="eastAsia" w:ascii="Arial" w:hAnsi="Arial"/>
          <w:sz w:val="21"/>
          <w:szCs w:val="24"/>
        </w:rPr>
        <w:t>《国有土地使用证》[京海国用(2014划)第 00237 号]复印件</w:t>
      </w:r>
    </w:p>
    <w:p w14:paraId="63AEF0A3">
      <w:pPr>
        <w:numPr>
          <w:ilvl w:val="0"/>
          <w:numId w:val="10"/>
        </w:numPr>
        <w:spacing w:line="420" w:lineRule="exact"/>
        <w:jc w:val="both"/>
        <w:textAlignment w:val="auto"/>
        <w:rPr>
          <w:rFonts w:ascii="Arial" w:hAnsi="Arial"/>
          <w:sz w:val="21"/>
          <w:szCs w:val="24"/>
        </w:rPr>
      </w:pPr>
      <w:r>
        <w:rPr>
          <w:rFonts w:hint="eastAsia" w:ascii="Arial" w:hAnsi="Arial"/>
          <w:sz w:val="21"/>
          <w:szCs w:val="24"/>
        </w:rPr>
        <w:t>《租赁合同》[合同编号：JXZF-TJJY-20210001]复印件</w:t>
      </w:r>
    </w:p>
    <w:p w14:paraId="7807D625">
      <w:pPr>
        <w:numPr>
          <w:ilvl w:val="0"/>
          <w:numId w:val="10"/>
        </w:numPr>
        <w:spacing w:line="420" w:lineRule="exact"/>
        <w:jc w:val="both"/>
        <w:textAlignment w:val="auto"/>
        <w:rPr>
          <w:rFonts w:ascii="Arial" w:hAnsi="Arial"/>
          <w:sz w:val="21"/>
          <w:szCs w:val="24"/>
        </w:rPr>
      </w:pPr>
      <w:r>
        <w:rPr>
          <w:rFonts w:hint="eastAsia" w:ascii="Arial" w:hAnsi="Arial"/>
          <w:sz w:val="21"/>
          <w:szCs w:val="24"/>
        </w:rPr>
        <w:t>《名称变更通知》复印件</w:t>
      </w:r>
    </w:p>
    <w:p w14:paraId="2BBE5E57">
      <w:pPr>
        <w:numPr>
          <w:ilvl w:val="0"/>
          <w:numId w:val="10"/>
        </w:numPr>
        <w:spacing w:line="420" w:lineRule="exact"/>
        <w:jc w:val="both"/>
        <w:textAlignment w:val="auto"/>
        <w:rPr>
          <w:rFonts w:ascii="Arial" w:hAnsi="Arial"/>
          <w:sz w:val="21"/>
          <w:szCs w:val="24"/>
        </w:rPr>
      </w:pPr>
      <w:r>
        <w:rPr>
          <w:rFonts w:hint="eastAsia" w:ascii="Arial" w:hAnsi="Arial"/>
          <w:sz w:val="21"/>
          <w:szCs w:val="24"/>
        </w:rPr>
        <w:t>房地产估价机构《营业执照（副本）》复印件</w:t>
      </w:r>
    </w:p>
    <w:p w14:paraId="20E76047">
      <w:pPr>
        <w:numPr>
          <w:ilvl w:val="0"/>
          <w:numId w:val="10"/>
        </w:numPr>
        <w:spacing w:line="420" w:lineRule="exact"/>
        <w:jc w:val="both"/>
        <w:textAlignment w:val="auto"/>
        <w:rPr>
          <w:rFonts w:ascii="Arial" w:hAnsi="Arial"/>
          <w:sz w:val="21"/>
          <w:szCs w:val="24"/>
        </w:rPr>
      </w:pPr>
      <w:r>
        <w:rPr>
          <w:rFonts w:hint="eastAsia" w:ascii="Arial" w:hAnsi="Arial"/>
          <w:sz w:val="21"/>
          <w:szCs w:val="24"/>
        </w:rPr>
        <w:t>估价机构资质证书复印件</w:t>
      </w:r>
    </w:p>
    <w:p w14:paraId="75B0AB5E">
      <w:pPr>
        <w:numPr>
          <w:ilvl w:val="0"/>
          <w:numId w:val="10"/>
        </w:numPr>
        <w:spacing w:line="420" w:lineRule="exact"/>
        <w:jc w:val="both"/>
        <w:textAlignment w:val="auto"/>
        <w:rPr>
          <w:rFonts w:ascii="Arial" w:hAnsi="Arial"/>
          <w:sz w:val="21"/>
          <w:szCs w:val="24"/>
        </w:rPr>
      </w:pPr>
      <w:r>
        <w:rPr>
          <w:rFonts w:hint="eastAsia" w:ascii="Arial" w:hAnsi="Arial"/>
          <w:sz w:val="21"/>
          <w:szCs w:val="24"/>
        </w:rPr>
        <w:t>评估专业人员执业证书复印件</w:t>
      </w:r>
      <w:bookmarkEnd w:id="64"/>
    </w:p>
    <w:sectPr>
      <w:headerReference r:id="rId14" w:type="default"/>
      <w:pgSz w:w="11907" w:h="16840"/>
      <w:pgMar w:top="1843" w:right="1134" w:bottom="1191" w:left="1134" w:header="1134" w:footer="1134"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in10B" w:date="2025-12-09T16:59:00Z" w:initials="w">
    <w:p w14:paraId="50D91704">
      <w:pPr>
        <w:pStyle w:val="10"/>
        <w:rPr>
          <w:rFonts w:hint="eastAsia"/>
        </w:rPr>
      </w:pPr>
      <w:r>
        <w:t>是他？需要写老总？</w:t>
      </w:r>
    </w:p>
    <w:p w14:paraId="250E8E90">
      <w:pPr>
        <w:pStyle w:val="10"/>
        <w:rPr>
          <w:rFonts w:hint="eastAsia"/>
        </w:rPr>
      </w:pPr>
      <w:r>
        <w:rPr>
          <w:rFonts w:hint="eastAsia"/>
        </w:rPr>
        <w:t>有没有对接人</w:t>
      </w:r>
    </w:p>
    <w:p w14:paraId="5EA92C32">
      <w:pPr>
        <w:pStyle w:val="10"/>
      </w:pPr>
    </w:p>
  </w:comment>
  <w:comment w:id="1" w:author="win10B" w:date="2025-12-09T17:02:00Z" w:initials="w">
    <w:p w14:paraId="1B36F511">
      <w:pPr>
        <w:pStyle w:val="10"/>
      </w:pPr>
      <w:r>
        <w:t>土地情况没有说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EA92C32" w15:done="0"/>
  <w15:commentEx w15:paraId="1B36F5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Adobe 黑体 Std R">
    <w:altName w:val="微软雅黑"/>
    <w:panose1 w:val="00000000000000000000"/>
    <w:charset w:val="7A"/>
    <w:family w:val="swiss"/>
    <w:pitch w:val="default"/>
    <w:sig w:usb0="00000000" w:usb1="00000000" w:usb2="00000016" w:usb3="00000000" w:csb0="00060007" w:csb1="00000000"/>
  </w:font>
  <w:font w:name="方正黑体简体">
    <w:altName w:val="微软雅黑"/>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B1D79">
    <w:pPr>
      <w:pStyle w:val="20"/>
      <w:pBdr>
        <w:top w:val="single" w:color="auto" w:sz="4" w:space="0"/>
      </w:pBdr>
      <w:tabs>
        <w:tab w:val="right" w:pos="8647"/>
        <w:tab w:val="clear" w:pos="8306"/>
      </w:tabs>
      <w:ind w:right="17"/>
    </w:pPr>
    <w:r>
      <w:rPr>
        <w:rFonts w:hint="eastAsia"/>
      </w:rPr>
      <w:t>评估编号：</w:t>
    </w:r>
    <w:r>
      <w:rPr>
        <w:rFonts w:ascii="Arial" w:hAnsi="Arial"/>
      </w:rPr>
      <w:t>2025-1-0</w:t>
    </w:r>
    <w:r>
      <w:rPr>
        <w:rFonts w:hint="eastAsia" w:ascii="Arial" w:hAnsi="Arial"/>
      </w:rPr>
      <w:t>910</w:t>
    </w:r>
    <w:r>
      <w:rPr>
        <w:rFonts w:ascii="Arial" w:hAnsi="Arial"/>
      </w:rPr>
      <w:t>-F0</w:t>
    </w:r>
    <w:r>
      <w:rPr>
        <w:rFonts w:hint="eastAsia" w:ascii="Arial" w:hAnsi="Arial"/>
      </w:rPr>
      <w:t>1</w:t>
    </w:r>
    <w:r>
      <w:rPr>
        <w:rFonts w:ascii="Arial" w:hAnsi="Arial"/>
      </w:rPr>
      <w:t>ZLGJ6</w:t>
    </w:r>
    <w:r>
      <w:t xml:space="preserve">                                                                   </w:t>
    </w:r>
    <w:r>
      <w:fldChar w:fldCharType="begin"/>
    </w:r>
    <w:r>
      <w:instrText xml:space="preserve">PAGE   \* MERGEFORMAT</w:instrText>
    </w:r>
    <w:r>
      <w:fldChar w:fldCharType="separate"/>
    </w:r>
    <w:r>
      <w:t>30</w:t>
    </w:r>
    <w:r>
      <w:rPr>
        <w:rFonts w:ascii="Cambria" w:hAnsi="Cambr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15C1E">
    <w:pPr>
      <w:pStyle w:val="20"/>
      <w:jc w:val="center"/>
    </w:pPr>
    <w:r>
      <w:fldChar w:fldCharType="begin"/>
    </w:r>
    <w:r>
      <w:instrText xml:space="preserve">PAGE   \* MERGEFORMAT</w:instrText>
    </w:r>
    <w:r>
      <w:fldChar w:fldCharType="separate"/>
    </w:r>
    <w:r>
      <w:rPr>
        <w:rFonts w:ascii="Arial" w:hAnsi="Arial"/>
        <w:lang w:val="zh-CN"/>
      </w:rPr>
      <w:t>12</w:t>
    </w:r>
    <w:r>
      <w:fldChar w:fldCharType="end"/>
    </w:r>
  </w:p>
  <w:p w14:paraId="4E2119B2">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38687">
    <w:pPr>
      <w:pStyle w:val="20"/>
      <w:framePr w:wrap="around" w:vAnchor="text" w:hAnchor="margin" w:xAlign="center" w:y="1"/>
      <w:rPr>
        <w:rStyle w:val="36"/>
      </w:rPr>
    </w:pPr>
    <w:r>
      <w:rPr>
        <w:rStyle w:val="36"/>
      </w:rPr>
      <w:fldChar w:fldCharType="begin"/>
    </w:r>
    <w:r>
      <w:rPr>
        <w:rStyle w:val="36"/>
      </w:rPr>
      <w:instrText xml:space="preserve">PAGE  </w:instrText>
    </w:r>
    <w:r>
      <w:rPr>
        <w:rStyle w:val="36"/>
      </w:rPr>
      <w:fldChar w:fldCharType="end"/>
    </w:r>
  </w:p>
  <w:p w14:paraId="2716C10D">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A2394">
    <w:pPr>
      <w:pStyle w:val="21"/>
      <w:pBdr>
        <w:bottom w:val="none" w:color="auto" w:sz="0" w:space="0"/>
      </w:pBdr>
      <w:jc w:val="both"/>
      <w:rPr>
        <w:rFonts w:ascii="楷体_GB2312" w:eastAsia="楷体_GB2312"/>
        <w:color w:val="FF0000"/>
        <w:spacing w:val="-20"/>
        <w:sz w:val="21"/>
      </w:rPr>
    </w:pPr>
    <w:r>
      <w:drawing>
        <wp:inline distT="0" distB="0" distL="0" distR="0">
          <wp:extent cx="5902325" cy="285115"/>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9ED1E">
    <w:pPr>
      <w:pStyle w:val="21"/>
      <w:pBdr>
        <w:bottom w:val="none" w:color="auto" w:sz="0" w:space="0"/>
      </w:pBdr>
      <w:jc w:val="both"/>
      <w:rPr>
        <w:rFonts w:ascii="楷体_GB2312" w:eastAsia="楷体_GB2312"/>
        <w:color w:val="FF0000"/>
        <w:spacing w:val="-20"/>
        <w:sz w:val="21"/>
      </w:rPr>
    </w:pPr>
    <w:r>
      <w:drawing>
        <wp:inline distT="0" distB="0" distL="0" distR="0">
          <wp:extent cx="5902325" cy="285115"/>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8F194">
    <w:pPr>
      <w:pStyle w:val="21"/>
    </w:pPr>
    <w:r>
      <w:drawing>
        <wp:inline distT="0" distB="0" distL="0" distR="0">
          <wp:extent cx="5504180" cy="285115"/>
          <wp:effectExtent l="0" t="0" r="0" b="0"/>
          <wp:docPr id="20"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18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8E87C">
    <w:pPr>
      <w:pStyle w:val="21"/>
      <w:pBdr>
        <w:bottom w:val="none" w:color="auto" w:sz="0" w:space="0"/>
      </w:pBdr>
      <w:jc w:val="both"/>
      <w:rPr>
        <w:rFonts w:ascii="楷体_GB2312" w:eastAsia="楷体_GB2312"/>
        <w:color w:val="FF0000"/>
        <w:spacing w:val="-20"/>
        <w:sz w:val="21"/>
      </w:rPr>
    </w:pPr>
    <w:r>
      <w:drawing>
        <wp:inline distT="0" distB="0" distL="0" distR="0">
          <wp:extent cx="5902325" cy="285115"/>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5EC5">
    <w:pPr>
      <w:pStyle w:val="21"/>
      <w:pBdr>
        <w:bottom w:val="none" w:color="auto" w:sz="0" w:space="0"/>
      </w:pBdr>
    </w:pPr>
    <w:r>
      <w:drawing>
        <wp:inline distT="0" distB="0" distL="0" distR="0">
          <wp:extent cx="5902325" cy="285115"/>
          <wp:effectExtent l="0" t="0" r="0" b="0"/>
          <wp:docPr id="19"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96F27"/>
    <w:multiLevelType w:val="multilevel"/>
    <w:tmpl w:val="0A396F2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4AB0795"/>
    <w:multiLevelType w:val="multilevel"/>
    <w:tmpl w:val="14AB079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10A438F"/>
    <w:multiLevelType w:val="multilevel"/>
    <w:tmpl w:val="210A438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733B7460"/>
    <w:multiLevelType w:val="multilevel"/>
    <w:tmpl w:val="733B74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10B">
    <w15:presenceInfo w15:providerId="None" w15:userId="win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336F"/>
    <w:rsid w:val="00004D42"/>
    <w:rsid w:val="0001031A"/>
    <w:rsid w:val="0001237C"/>
    <w:rsid w:val="000129CD"/>
    <w:rsid w:val="0001354F"/>
    <w:rsid w:val="00014F2D"/>
    <w:rsid w:val="0002263E"/>
    <w:rsid w:val="00022827"/>
    <w:rsid w:val="00023657"/>
    <w:rsid w:val="00025398"/>
    <w:rsid w:val="00027BA2"/>
    <w:rsid w:val="00027D53"/>
    <w:rsid w:val="00027EB9"/>
    <w:rsid w:val="00030B79"/>
    <w:rsid w:val="00031225"/>
    <w:rsid w:val="0003345F"/>
    <w:rsid w:val="00035392"/>
    <w:rsid w:val="00036629"/>
    <w:rsid w:val="00037642"/>
    <w:rsid w:val="0003783C"/>
    <w:rsid w:val="00041390"/>
    <w:rsid w:val="00041C33"/>
    <w:rsid w:val="0004288D"/>
    <w:rsid w:val="00042DD8"/>
    <w:rsid w:val="0004482A"/>
    <w:rsid w:val="0004627B"/>
    <w:rsid w:val="00046421"/>
    <w:rsid w:val="00050104"/>
    <w:rsid w:val="00052348"/>
    <w:rsid w:val="00052CDB"/>
    <w:rsid w:val="00053031"/>
    <w:rsid w:val="000552B7"/>
    <w:rsid w:val="00057D66"/>
    <w:rsid w:val="00062BA3"/>
    <w:rsid w:val="000639A8"/>
    <w:rsid w:val="000647E7"/>
    <w:rsid w:val="00065379"/>
    <w:rsid w:val="000677C9"/>
    <w:rsid w:val="000728BE"/>
    <w:rsid w:val="00074975"/>
    <w:rsid w:val="00074C60"/>
    <w:rsid w:val="00074F45"/>
    <w:rsid w:val="00076979"/>
    <w:rsid w:val="00082C75"/>
    <w:rsid w:val="00084265"/>
    <w:rsid w:val="00085690"/>
    <w:rsid w:val="000861C3"/>
    <w:rsid w:val="00090ADF"/>
    <w:rsid w:val="00090DD5"/>
    <w:rsid w:val="00090F8F"/>
    <w:rsid w:val="00092F3C"/>
    <w:rsid w:val="00092F51"/>
    <w:rsid w:val="0009464C"/>
    <w:rsid w:val="000951A8"/>
    <w:rsid w:val="000A1B10"/>
    <w:rsid w:val="000A1CE2"/>
    <w:rsid w:val="000A3E29"/>
    <w:rsid w:val="000B0322"/>
    <w:rsid w:val="000B060E"/>
    <w:rsid w:val="000B34FE"/>
    <w:rsid w:val="000B737B"/>
    <w:rsid w:val="000B7C3D"/>
    <w:rsid w:val="000B7E14"/>
    <w:rsid w:val="000C5413"/>
    <w:rsid w:val="000C5BB3"/>
    <w:rsid w:val="000D1D5A"/>
    <w:rsid w:val="000D2845"/>
    <w:rsid w:val="000D2A60"/>
    <w:rsid w:val="000D362A"/>
    <w:rsid w:val="000D51B9"/>
    <w:rsid w:val="000D56DC"/>
    <w:rsid w:val="000D76F1"/>
    <w:rsid w:val="000E0128"/>
    <w:rsid w:val="000E01F1"/>
    <w:rsid w:val="000E1641"/>
    <w:rsid w:val="000E3902"/>
    <w:rsid w:val="000E4175"/>
    <w:rsid w:val="000E4497"/>
    <w:rsid w:val="000E4856"/>
    <w:rsid w:val="000E4D45"/>
    <w:rsid w:val="000E5067"/>
    <w:rsid w:val="000E5749"/>
    <w:rsid w:val="000F0AD8"/>
    <w:rsid w:val="000F556A"/>
    <w:rsid w:val="000F746A"/>
    <w:rsid w:val="00103AC3"/>
    <w:rsid w:val="001045E5"/>
    <w:rsid w:val="001055A0"/>
    <w:rsid w:val="00105F55"/>
    <w:rsid w:val="00106495"/>
    <w:rsid w:val="00110932"/>
    <w:rsid w:val="00112C6B"/>
    <w:rsid w:val="00116213"/>
    <w:rsid w:val="0011651C"/>
    <w:rsid w:val="00117997"/>
    <w:rsid w:val="001201A8"/>
    <w:rsid w:val="00121EB7"/>
    <w:rsid w:val="00121F4B"/>
    <w:rsid w:val="00123103"/>
    <w:rsid w:val="0012365E"/>
    <w:rsid w:val="0012550C"/>
    <w:rsid w:val="001267C9"/>
    <w:rsid w:val="00126809"/>
    <w:rsid w:val="00130392"/>
    <w:rsid w:val="0013092A"/>
    <w:rsid w:val="001309C4"/>
    <w:rsid w:val="00130D76"/>
    <w:rsid w:val="00134710"/>
    <w:rsid w:val="001365FB"/>
    <w:rsid w:val="00136D1A"/>
    <w:rsid w:val="00137B2B"/>
    <w:rsid w:val="001433AC"/>
    <w:rsid w:val="00145ADE"/>
    <w:rsid w:val="00150A2F"/>
    <w:rsid w:val="0015101C"/>
    <w:rsid w:val="00153D34"/>
    <w:rsid w:val="0015637F"/>
    <w:rsid w:val="00162718"/>
    <w:rsid w:val="0016376A"/>
    <w:rsid w:val="00167BBC"/>
    <w:rsid w:val="00170B7A"/>
    <w:rsid w:val="00171F28"/>
    <w:rsid w:val="0017359A"/>
    <w:rsid w:val="00174FED"/>
    <w:rsid w:val="0017520E"/>
    <w:rsid w:val="001752EA"/>
    <w:rsid w:val="0017647B"/>
    <w:rsid w:val="0018127C"/>
    <w:rsid w:val="00181B68"/>
    <w:rsid w:val="0018215B"/>
    <w:rsid w:val="00182645"/>
    <w:rsid w:val="0018410F"/>
    <w:rsid w:val="00185D76"/>
    <w:rsid w:val="00186584"/>
    <w:rsid w:val="00190377"/>
    <w:rsid w:val="00191C1B"/>
    <w:rsid w:val="0019484B"/>
    <w:rsid w:val="00194A1F"/>
    <w:rsid w:val="00196A74"/>
    <w:rsid w:val="00197502"/>
    <w:rsid w:val="001A0593"/>
    <w:rsid w:val="001A13ED"/>
    <w:rsid w:val="001A31DD"/>
    <w:rsid w:val="001A7B50"/>
    <w:rsid w:val="001A7FA2"/>
    <w:rsid w:val="001B1B96"/>
    <w:rsid w:val="001B427F"/>
    <w:rsid w:val="001B5443"/>
    <w:rsid w:val="001B730A"/>
    <w:rsid w:val="001C178D"/>
    <w:rsid w:val="001C2A98"/>
    <w:rsid w:val="001C2C79"/>
    <w:rsid w:val="001C2DF8"/>
    <w:rsid w:val="001C44F5"/>
    <w:rsid w:val="001C562A"/>
    <w:rsid w:val="001C7458"/>
    <w:rsid w:val="001D1B18"/>
    <w:rsid w:val="001D4524"/>
    <w:rsid w:val="001D4FBC"/>
    <w:rsid w:val="001D650B"/>
    <w:rsid w:val="001D6B6B"/>
    <w:rsid w:val="001D7D7A"/>
    <w:rsid w:val="001E0925"/>
    <w:rsid w:val="001E53E3"/>
    <w:rsid w:val="001F0888"/>
    <w:rsid w:val="001F6090"/>
    <w:rsid w:val="001F730F"/>
    <w:rsid w:val="002002BD"/>
    <w:rsid w:val="002005B1"/>
    <w:rsid w:val="00200E28"/>
    <w:rsid w:val="00201A37"/>
    <w:rsid w:val="002021EB"/>
    <w:rsid w:val="00202895"/>
    <w:rsid w:val="00206854"/>
    <w:rsid w:val="0021285B"/>
    <w:rsid w:val="00212AAF"/>
    <w:rsid w:val="00212AEE"/>
    <w:rsid w:val="0021374A"/>
    <w:rsid w:val="00221C8C"/>
    <w:rsid w:val="00223AA5"/>
    <w:rsid w:val="0022545A"/>
    <w:rsid w:val="00232AF2"/>
    <w:rsid w:val="0023337C"/>
    <w:rsid w:val="00235EFE"/>
    <w:rsid w:val="002361E9"/>
    <w:rsid w:val="00237F00"/>
    <w:rsid w:val="002422F5"/>
    <w:rsid w:val="00243D67"/>
    <w:rsid w:val="0024429E"/>
    <w:rsid w:val="00244311"/>
    <w:rsid w:val="00244D93"/>
    <w:rsid w:val="00244F91"/>
    <w:rsid w:val="002455C6"/>
    <w:rsid w:val="00245AC4"/>
    <w:rsid w:val="00247052"/>
    <w:rsid w:val="00250828"/>
    <w:rsid w:val="00250E07"/>
    <w:rsid w:val="00252130"/>
    <w:rsid w:val="002527CB"/>
    <w:rsid w:val="00252E12"/>
    <w:rsid w:val="0025385C"/>
    <w:rsid w:val="002539C2"/>
    <w:rsid w:val="002547BD"/>
    <w:rsid w:val="0025609C"/>
    <w:rsid w:val="00256148"/>
    <w:rsid w:val="00261E81"/>
    <w:rsid w:val="00264B8C"/>
    <w:rsid w:val="00266F94"/>
    <w:rsid w:val="00267E50"/>
    <w:rsid w:val="00270C1D"/>
    <w:rsid w:val="00271C6B"/>
    <w:rsid w:val="0027408F"/>
    <w:rsid w:val="00277CA3"/>
    <w:rsid w:val="00282EC8"/>
    <w:rsid w:val="002856FC"/>
    <w:rsid w:val="00295595"/>
    <w:rsid w:val="00296579"/>
    <w:rsid w:val="002975A8"/>
    <w:rsid w:val="002A136E"/>
    <w:rsid w:val="002A24B2"/>
    <w:rsid w:val="002A4036"/>
    <w:rsid w:val="002A4C30"/>
    <w:rsid w:val="002A53A9"/>
    <w:rsid w:val="002A7C0A"/>
    <w:rsid w:val="002B2E93"/>
    <w:rsid w:val="002B3532"/>
    <w:rsid w:val="002B35F7"/>
    <w:rsid w:val="002B384D"/>
    <w:rsid w:val="002B61BB"/>
    <w:rsid w:val="002C00CB"/>
    <w:rsid w:val="002C167B"/>
    <w:rsid w:val="002C3EAB"/>
    <w:rsid w:val="002C4410"/>
    <w:rsid w:val="002C46F3"/>
    <w:rsid w:val="002C47E6"/>
    <w:rsid w:val="002C49C6"/>
    <w:rsid w:val="002C6A9B"/>
    <w:rsid w:val="002C789A"/>
    <w:rsid w:val="002D19AE"/>
    <w:rsid w:val="002D38A9"/>
    <w:rsid w:val="002D3A09"/>
    <w:rsid w:val="002D3BA9"/>
    <w:rsid w:val="002D400F"/>
    <w:rsid w:val="002E1286"/>
    <w:rsid w:val="002E261C"/>
    <w:rsid w:val="002E2D27"/>
    <w:rsid w:val="002E45E5"/>
    <w:rsid w:val="002E58B3"/>
    <w:rsid w:val="002E65BB"/>
    <w:rsid w:val="002E6BD0"/>
    <w:rsid w:val="002E7F97"/>
    <w:rsid w:val="002F41E0"/>
    <w:rsid w:val="002F6A0D"/>
    <w:rsid w:val="003067F2"/>
    <w:rsid w:val="00306AEA"/>
    <w:rsid w:val="0030795F"/>
    <w:rsid w:val="00312D2B"/>
    <w:rsid w:val="00315E58"/>
    <w:rsid w:val="00316467"/>
    <w:rsid w:val="00320786"/>
    <w:rsid w:val="00323163"/>
    <w:rsid w:val="00323C56"/>
    <w:rsid w:val="0032573F"/>
    <w:rsid w:val="00326F40"/>
    <w:rsid w:val="00330243"/>
    <w:rsid w:val="003311BE"/>
    <w:rsid w:val="00332156"/>
    <w:rsid w:val="00333401"/>
    <w:rsid w:val="00333BD4"/>
    <w:rsid w:val="003405BD"/>
    <w:rsid w:val="00345A25"/>
    <w:rsid w:val="00346A47"/>
    <w:rsid w:val="0035067C"/>
    <w:rsid w:val="00351B58"/>
    <w:rsid w:val="00351CBA"/>
    <w:rsid w:val="00352066"/>
    <w:rsid w:val="00352F46"/>
    <w:rsid w:val="00353B3D"/>
    <w:rsid w:val="00355D98"/>
    <w:rsid w:val="00357EEC"/>
    <w:rsid w:val="00361E2F"/>
    <w:rsid w:val="00361F1D"/>
    <w:rsid w:val="003636C1"/>
    <w:rsid w:val="0036385B"/>
    <w:rsid w:val="00364041"/>
    <w:rsid w:val="00364ED6"/>
    <w:rsid w:val="00375183"/>
    <w:rsid w:val="00376119"/>
    <w:rsid w:val="00377F0B"/>
    <w:rsid w:val="00380058"/>
    <w:rsid w:val="00382598"/>
    <w:rsid w:val="003843D8"/>
    <w:rsid w:val="00385340"/>
    <w:rsid w:val="0039096F"/>
    <w:rsid w:val="00390D6F"/>
    <w:rsid w:val="00391276"/>
    <w:rsid w:val="003922BA"/>
    <w:rsid w:val="0039346A"/>
    <w:rsid w:val="00393A15"/>
    <w:rsid w:val="003958DE"/>
    <w:rsid w:val="0039670C"/>
    <w:rsid w:val="00396F5B"/>
    <w:rsid w:val="003A15DC"/>
    <w:rsid w:val="003A2CAB"/>
    <w:rsid w:val="003A38A4"/>
    <w:rsid w:val="003A3BC1"/>
    <w:rsid w:val="003A48A3"/>
    <w:rsid w:val="003A4D8E"/>
    <w:rsid w:val="003A6366"/>
    <w:rsid w:val="003A7040"/>
    <w:rsid w:val="003B0E4C"/>
    <w:rsid w:val="003B1BD5"/>
    <w:rsid w:val="003B4EEF"/>
    <w:rsid w:val="003B57ED"/>
    <w:rsid w:val="003C235C"/>
    <w:rsid w:val="003C42C3"/>
    <w:rsid w:val="003D1359"/>
    <w:rsid w:val="003D1BD6"/>
    <w:rsid w:val="003D27EF"/>
    <w:rsid w:val="003D28D3"/>
    <w:rsid w:val="003D2C2F"/>
    <w:rsid w:val="003D33D6"/>
    <w:rsid w:val="003D4A89"/>
    <w:rsid w:val="003D53D3"/>
    <w:rsid w:val="003E1066"/>
    <w:rsid w:val="003E5B5E"/>
    <w:rsid w:val="003E611B"/>
    <w:rsid w:val="003E64BD"/>
    <w:rsid w:val="003F01F2"/>
    <w:rsid w:val="003F17E9"/>
    <w:rsid w:val="003F7F99"/>
    <w:rsid w:val="004004FE"/>
    <w:rsid w:val="00403BC4"/>
    <w:rsid w:val="00404396"/>
    <w:rsid w:val="00406AB5"/>
    <w:rsid w:val="004109A6"/>
    <w:rsid w:val="0041133E"/>
    <w:rsid w:val="00414C71"/>
    <w:rsid w:val="004150E4"/>
    <w:rsid w:val="00415F32"/>
    <w:rsid w:val="0041611B"/>
    <w:rsid w:val="00420AA6"/>
    <w:rsid w:val="004213EA"/>
    <w:rsid w:val="00423270"/>
    <w:rsid w:val="00431786"/>
    <w:rsid w:val="00432405"/>
    <w:rsid w:val="00433765"/>
    <w:rsid w:val="00436D80"/>
    <w:rsid w:val="00437104"/>
    <w:rsid w:val="00437E58"/>
    <w:rsid w:val="00440A23"/>
    <w:rsid w:val="00444961"/>
    <w:rsid w:val="00444DEC"/>
    <w:rsid w:val="00447F02"/>
    <w:rsid w:val="00450DCF"/>
    <w:rsid w:val="00452F36"/>
    <w:rsid w:val="00466C77"/>
    <w:rsid w:val="00466EAA"/>
    <w:rsid w:val="00472B83"/>
    <w:rsid w:val="0047506C"/>
    <w:rsid w:val="00476958"/>
    <w:rsid w:val="004810F5"/>
    <w:rsid w:val="00481308"/>
    <w:rsid w:val="00483265"/>
    <w:rsid w:val="004855EC"/>
    <w:rsid w:val="00486F66"/>
    <w:rsid w:val="00491DF0"/>
    <w:rsid w:val="00496EDE"/>
    <w:rsid w:val="004A1653"/>
    <w:rsid w:val="004A3457"/>
    <w:rsid w:val="004A42DB"/>
    <w:rsid w:val="004A541C"/>
    <w:rsid w:val="004A548D"/>
    <w:rsid w:val="004B035E"/>
    <w:rsid w:val="004B0FC7"/>
    <w:rsid w:val="004B152E"/>
    <w:rsid w:val="004B2641"/>
    <w:rsid w:val="004B312F"/>
    <w:rsid w:val="004B60D1"/>
    <w:rsid w:val="004C294D"/>
    <w:rsid w:val="004C3943"/>
    <w:rsid w:val="004C4FC0"/>
    <w:rsid w:val="004C5844"/>
    <w:rsid w:val="004C5F64"/>
    <w:rsid w:val="004C7D88"/>
    <w:rsid w:val="004D0A99"/>
    <w:rsid w:val="004D0EC7"/>
    <w:rsid w:val="004D0EE4"/>
    <w:rsid w:val="004D4D55"/>
    <w:rsid w:val="004D54CB"/>
    <w:rsid w:val="004D62BB"/>
    <w:rsid w:val="004E16A1"/>
    <w:rsid w:val="004E21FE"/>
    <w:rsid w:val="004E3F45"/>
    <w:rsid w:val="004E73CF"/>
    <w:rsid w:val="004F0C1D"/>
    <w:rsid w:val="004F0CB1"/>
    <w:rsid w:val="004F14D2"/>
    <w:rsid w:val="004F3DA1"/>
    <w:rsid w:val="004F5293"/>
    <w:rsid w:val="004F68F9"/>
    <w:rsid w:val="004F7676"/>
    <w:rsid w:val="004F7AAC"/>
    <w:rsid w:val="005033AC"/>
    <w:rsid w:val="00505F77"/>
    <w:rsid w:val="005072D7"/>
    <w:rsid w:val="005167F1"/>
    <w:rsid w:val="005168D3"/>
    <w:rsid w:val="00516B79"/>
    <w:rsid w:val="00521F05"/>
    <w:rsid w:val="00523241"/>
    <w:rsid w:val="00523F10"/>
    <w:rsid w:val="00524C18"/>
    <w:rsid w:val="005251C8"/>
    <w:rsid w:val="00526456"/>
    <w:rsid w:val="00526554"/>
    <w:rsid w:val="00530D9D"/>
    <w:rsid w:val="0053268A"/>
    <w:rsid w:val="00532D51"/>
    <w:rsid w:val="005334EA"/>
    <w:rsid w:val="00533DAE"/>
    <w:rsid w:val="00535553"/>
    <w:rsid w:val="005367E2"/>
    <w:rsid w:val="0054495D"/>
    <w:rsid w:val="00544C45"/>
    <w:rsid w:val="0054546A"/>
    <w:rsid w:val="00545BF4"/>
    <w:rsid w:val="00547D4D"/>
    <w:rsid w:val="00552741"/>
    <w:rsid w:val="005540F2"/>
    <w:rsid w:val="00560BCE"/>
    <w:rsid w:val="005610B7"/>
    <w:rsid w:val="0056169A"/>
    <w:rsid w:val="00561DDC"/>
    <w:rsid w:val="00573359"/>
    <w:rsid w:val="00575B58"/>
    <w:rsid w:val="005774F5"/>
    <w:rsid w:val="00577B2B"/>
    <w:rsid w:val="005827A4"/>
    <w:rsid w:val="00585457"/>
    <w:rsid w:val="00591470"/>
    <w:rsid w:val="005925BC"/>
    <w:rsid w:val="00593409"/>
    <w:rsid w:val="005934D2"/>
    <w:rsid w:val="005964B4"/>
    <w:rsid w:val="00597BD4"/>
    <w:rsid w:val="005A2C8D"/>
    <w:rsid w:val="005A33D9"/>
    <w:rsid w:val="005B0290"/>
    <w:rsid w:val="005B30DC"/>
    <w:rsid w:val="005B5015"/>
    <w:rsid w:val="005B6F2A"/>
    <w:rsid w:val="005B741B"/>
    <w:rsid w:val="005C169C"/>
    <w:rsid w:val="005C2098"/>
    <w:rsid w:val="005C45E0"/>
    <w:rsid w:val="005D262F"/>
    <w:rsid w:val="005D4241"/>
    <w:rsid w:val="005D4276"/>
    <w:rsid w:val="005D4B6E"/>
    <w:rsid w:val="005D5C55"/>
    <w:rsid w:val="005D7924"/>
    <w:rsid w:val="005E41DB"/>
    <w:rsid w:val="005E6E39"/>
    <w:rsid w:val="005E708A"/>
    <w:rsid w:val="005E7A2D"/>
    <w:rsid w:val="005F00BB"/>
    <w:rsid w:val="005F29B8"/>
    <w:rsid w:val="005F3A08"/>
    <w:rsid w:val="005F4469"/>
    <w:rsid w:val="00602105"/>
    <w:rsid w:val="006023C6"/>
    <w:rsid w:val="006033C4"/>
    <w:rsid w:val="0060386C"/>
    <w:rsid w:val="00605600"/>
    <w:rsid w:val="00605EB6"/>
    <w:rsid w:val="0060649E"/>
    <w:rsid w:val="00606A14"/>
    <w:rsid w:val="00607FFD"/>
    <w:rsid w:val="0061090D"/>
    <w:rsid w:val="00611F0A"/>
    <w:rsid w:val="00613E7B"/>
    <w:rsid w:val="006206EC"/>
    <w:rsid w:val="00621CB2"/>
    <w:rsid w:val="0062248F"/>
    <w:rsid w:val="0062310F"/>
    <w:rsid w:val="006231D4"/>
    <w:rsid w:val="00623662"/>
    <w:rsid w:val="006247ED"/>
    <w:rsid w:val="00627C4D"/>
    <w:rsid w:val="006305A1"/>
    <w:rsid w:val="0063086A"/>
    <w:rsid w:val="006340BC"/>
    <w:rsid w:val="00640F31"/>
    <w:rsid w:val="006448ED"/>
    <w:rsid w:val="006452DE"/>
    <w:rsid w:val="006470B4"/>
    <w:rsid w:val="006507C8"/>
    <w:rsid w:val="00653EBF"/>
    <w:rsid w:val="00654144"/>
    <w:rsid w:val="00654BA2"/>
    <w:rsid w:val="00655331"/>
    <w:rsid w:val="00656A9C"/>
    <w:rsid w:val="0066156E"/>
    <w:rsid w:val="00661701"/>
    <w:rsid w:val="006620EF"/>
    <w:rsid w:val="00664273"/>
    <w:rsid w:val="00667B7E"/>
    <w:rsid w:val="00670B9F"/>
    <w:rsid w:val="006715BF"/>
    <w:rsid w:val="006717DA"/>
    <w:rsid w:val="00674EC0"/>
    <w:rsid w:val="00676850"/>
    <w:rsid w:val="00680B97"/>
    <w:rsid w:val="006827BC"/>
    <w:rsid w:val="00683DFE"/>
    <w:rsid w:val="006863BC"/>
    <w:rsid w:val="00686AFE"/>
    <w:rsid w:val="00687629"/>
    <w:rsid w:val="006878BC"/>
    <w:rsid w:val="00690A0A"/>
    <w:rsid w:val="00691BD3"/>
    <w:rsid w:val="006950DF"/>
    <w:rsid w:val="00695ED8"/>
    <w:rsid w:val="006969CE"/>
    <w:rsid w:val="006A0A03"/>
    <w:rsid w:val="006A2CA1"/>
    <w:rsid w:val="006A457B"/>
    <w:rsid w:val="006B4A2F"/>
    <w:rsid w:val="006C188F"/>
    <w:rsid w:val="006C3CB2"/>
    <w:rsid w:val="006C547E"/>
    <w:rsid w:val="006C6921"/>
    <w:rsid w:val="006D0D42"/>
    <w:rsid w:val="006D256C"/>
    <w:rsid w:val="006D280A"/>
    <w:rsid w:val="006D2C3C"/>
    <w:rsid w:val="006D51AE"/>
    <w:rsid w:val="006D56D6"/>
    <w:rsid w:val="006D71F3"/>
    <w:rsid w:val="006D7D28"/>
    <w:rsid w:val="006E1AE4"/>
    <w:rsid w:val="006E7B93"/>
    <w:rsid w:val="006F04B9"/>
    <w:rsid w:val="006F2864"/>
    <w:rsid w:val="006F73D4"/>
    <w:rsid w:val="0070221C"/>
    <w:rsid w:val="00704230"/>
    <w:rsid w:val="007069B7"/>
    <w:rsid w:val="00707500"/>
    <w:rsid w:val="00711456"/>
    <w:rsid w:val="00711779"/>
    <w:rsid w:val="00713746"/>
    <w:rsid w:val="0071465E"/>
    <w:rsid w:val="0071645F"/>
    <w:rsid w:val="00721447"/>
    <w:rsid w:val="0072195E"/>
    <w:rsid w:val="00724FFE"/>
    <w:rsid w:val="007260BF"/>
    <w:rsid w:val="00727C26"/>
    <w:rsid w:val="0073156D"/>
    <w:rsid w:val="00733957"/>
    <w:rsid w:val="00733A9F"/>
    <w:rsid w:val="007353FF"/>
    <w:rsid w:val="0073750D"/>
    <w:rsid w:val="00737EFD"/>
    <w:rsid w:val="00740F8B"/>
    <w:rsid w:val="00741FEB"/>
    <w:rsid w:val="00742E7D"/>
    <w:rsid w:val="00750298"/>
    <w:rsid w:val="0075192C"/>
    <w:rsid w:val="00752592"/>
    <w:rsid w:val="00754393"/>
    <w:rsid w:val="00754E0D"/>
    <w:rsid w:val="007558A0"/>
    <w:rsid w:val="00755D3F"/>
    <w:rsid w:val="00760D7A"/>
    <w:rsid w:val="00762219"/>
    <w:rsid w:val="0076240F"/>
    <w:rsid w:val="00762810"/>
    <w:rsid w:val="00763696"/>
    <w:rsid w:val="00765951"/>
    <w:rsid w:val="007676CC"/>
    <w:rsid w:val="0077090E"/>
    <w:rsid w:val="00771556"/>
    <w:rsid w:val="00774CA1"/>
    <w:rsid w:val="007775FF"/>
    <w:rsid w:val="007778D5"/>
    <w:rsid w:val="0078149A"/>
    <w:rsid w:val="00783508"/>
    <w:rsid w:val="00783520"/>
    <w:rsid w:val="00783AA9"/>
    <w:rsid w:val="007849D8"/>
    <w:rsid w:val="0078750D"/>
    <w:rsid w:val="007917D9"/>
    <w:rsid w:val="00792A75"/>
    <w:rsid w:val="00792E8C"/>
    <w:rsid w:val="007933C8"/>
    <w:rsid w:val="00794C50"/>
    <w:rsid w:val="00795623"/>
    <w:rsid w:val="007A15BA"/>
    <w:rsid w:val="007A4132"/>
    <w:rsid w:val="007A4F05"/>
    <w:rsid w:val="007A539D"/>
    <w:rsid w:val="007A6766"/>
    <w:rsid w:val="007B00E2"/>
    <w:rsid w:val="007B130A"/>
    <w:rsid w:val="007B2169"/>
    <w:rsid w:val="007B25CA"/>
    <w:rsid w:val="007B35AC"/>
    <w:rsid w:val="007B62DE"/>
    <w:rsid w:val="007B64C9"/>
    <w:rsid w:val="007B6901"/>
    <w:rsid w:val="007B6C55"/>
    <w:rsid w:val="007B7A6F"/>
    <w:rsid w:val="007C0831"/>
    <w:rsid w:val="007C1647"/>
    <w:rsid w:val="007C6DAE"/>
    <w:rsid w:val="007C72BC"/>
    <w:rsid w:val="007C7D1F"/>
    <w:rsid w:val="007D0FED"/>
    <w:rsid w:val="007D15AE"/>
    <w:rsid w:val="007D24E6"/>
    <w:rsid w:val="007D28F2"/>
    <w:rsid w:val="007D2F36"/>
    <w:rsid w:val="007D46D9"/>
    <w:rsid w:val="007D4826"/>
    <w:rsid w:val="007E0C41"/>
    <w:rsid w:val="007E2B40"/>
    <w:rsid w:val="007E490C"/>
    <w:rsid w:val="007E590D"/>
    <w:rsid w:val="007E6941"/>
    <w:rsid w:val="007F1537"/>
    <w:rsid w:val="007F3107"/>
    <w:rsid w:val="007F34C5"/>
    <w:rsid w:val="007F4EC2"/>
    <w:rsid w:val="007F6DE3"/>
    <w:rsid w:val="007F6F0E"/>
    <w:rsid w:val="007F77CA"/>
    <w:rsid w:val="007F7F5B"/>
    <w:rsid w:val="008016EA"/>
    <w:rsid w:val="00801D1E"/>
    <w:rsid w:val="00802B56"/>
    <w:rsid w:val="00802CBB"/>
    <w:rsid w:val="00803847"/>
    <w:rsid w:val="00803D8E"/>
    <w:rsid w:val="00803E4D"/>
    <w:rsid w:val="00805D2A"/>
    <w:rsid w:val="00805F3F"/>
    <w:rsid w:val="00813866"/>
    <w:rsid w:val="008148D1"/>
    <w:rsid w:val="00815372"/>
    <w:rsid w:val="0081686B"/>
    <w:rsid w:val="008202FC"/>
    <w:rsid w:val="00823E5E"/>
    <w:rsid w:val="00826664"/>
    <w:rsid w:val="00826BDE"/>
    <w:rsid w:val="00830E5D"/>
    <w:rsid w:val="00831441"/>
    <w:rsid w:val="00831E03"/>
    <w:rsid w:val="00833B6E"/>
    <w:rsid w:val="00834451"/>
    <w:rsid w:val="0083615B"/>
    <w:rsid w:val="00840E29"/>
    <w:rsid w:val="008424C4"/>
    <w:rsid w:val="008428BA"/>
    <w:rsid w:val="0084556C"/>
    <w:rsid w:val="008459C0"/>
    <w:rsid w:val="008459C8"/>
    <w:rsid w:val="008464F8"/>
    <w:rsid w:val="00850B9E"/>
    <w:rsid w:val="008520CA"/>
    <w:rsid w:val="00855C34"/>
    <w:rsid w:val="00856390"/>
    <w:rsid w:val="00860C9A"/>
    <w:rsid w:val="00864E6C"/>
    <w:rsid w:val="00867524"/>
    <w:rsid w:val="00867534"/>
    <w:rsid w:val="008708AC"/>
    <w:rsid w:val="00871697"/>
    <w:rsid w:val="00873ED8"/>
    <w:rsid w:val="008741A3"/>
    <w:rsid w:val="00877485"/>
    <w:rsid w:val="00884BDD"/>
    <w:rsid w:val="0089390A"/>
    <w:rsid w:val="00894BE1"/>
    <w:rsid w:val="00895C80"/>
    <w:rsid w:val="008A4342"/>
    <w:rsid w:val="008A4A5F"/>
    <w:rsid w:val="008A65BE"/>
    <w:rsid w:val="008A6EC3"/>
    <w:rsid w:val="008B01A8"/>
    <w:rsid w:val="008B2FD7"/>
    <w:rsid w:val="008B72D0"/>
    <w:rsid w:val="008C02C5"/>
    <w:rsid w:val="008C0E9D"/>
    <w:rsid w:val="008C25A1"/>
    <w:rsid w:val="008C2FD0"/>
    <w:rsid w:val="008C5096"/>
    <w:rsid w:val="008C5FCA"/>
    <w:rsid w:val="008C6DA7"/>
    <w:rsid w:val="008D1FC8"/>
    <w:rsid w:val="008D408F"/>
    <w:rsid w:val="008D7601"/>
    <w:rsid w:val="008E1B0B"/>
    <w:rsid w:val="008E326C"/>
    <w:rsid w:val="008E5AC6"/>
    <w:rsid w:val="008E6D93"/>
    <w:rsid w:val="008F0F11"/>
    <w:rsid w:val="008F0FB1"/>
    <w:rsid w:val="008F160E"/>
    <w:rsid w:val="008F1BD6"/>
    <w:rsid w:val="008F5C53"/>
    <w:rsid w:val="00905D6A"/>
    <w:rsid w:val="00911103"/>
    <w:rsid w:val="0091178E"/>
    <w:rsid w:val="00913645"/>
    <w:rsid w:val="0091686A"/>
    <w:rsid w:val="00917024"/>
    <w:rsid w:val="009171C2"/>
    <w:rsid w:val="009173A0"/>
    <w:rsid w:val="00920CF1"/>
    <w:rsid w:val="009219ED"/>
    <w:rsid w:val="00921FB4"/>
    <w:rsid w:val="0092352B"/>
    <w:rsid w:val="0093248F"/>
    <w:rsid w:val="009359E2"/>
    <w:rsid w:val="0094006B"/>
    <w:rsid w:val="009410E0"/>
    <w:rsid w:val="00942BAA"/>
    <w:rsid w:val="009437C5"/>
    <w:rsid w:val="00947511"/>
    <w:rsid w:val="00947ACA"/>
    <w:rsid w:val="00950BB5"/>
    <w:rsid w:val="00952C49"/>
    <w:rsid w:val="00955F94"/>
    <w:rsid w:val="00956025"/>
    <w:rsid w:val="00956659"/>
    <w:rsid w:val="009566A0"/>
    <w:rsid w:val="009574DB"/>
    <w:rsid w:val="00960D77"/>
    <w:rsid w:val="009615C3"/>
    <w:rsid w:val="00962326"/>
    <w:rsid w:val="0096490C"/>
    <w:rsid w:val="00966EEF"/>
    <w:rsid w:val="00967AE9"/>
    <w:rsid w:val="00971743"/>
    <w:rsid w:val="00972581"/>
    <w:rsid w:val="009734E0"/>
    <w:rsid w:val="009757E5"/>
    <w:rsid w:val="00977F0B"/>
    <w:rsid w:val="0098080F"/>
    <w:rsid w:val="00980DA4"/>
    <w:rsid w:val="00981C08"/>
    <w:rsid w:val="00981C3C"/>
    <w:rsid w:val="00984015"/>
    <w:rsid w:val="00987258"/>
    <w:rsid w:val="0099159E"/>
    <w:rsid w:val="00992FE3"/>
    <w:rsid w:val="009975F9"/>
    <w:rsid w:val="009A032A"/>
    <w:rsid w:val="009A1001"/>
    <w:rsid w:val="009A2A1F"/>
    <w:rsid w:val="009A535E"/>
    <w:rsid w:val="009A64BC"/>
    <w:rsid w:val="009B04CC"/>
    <w:rsid w:val="009B08DB"/>
    <w:rsid w:val="009B5FD8"/>
    <w:rsid w:val="009B6FE9"/>
    <w:rsid w:val="009C5027"/>
    <w:rsid w:val="009C5287"/>
    <w:rsid w:val="009C530D"/>
    <w:rsid w:val="009C6A20"/>
    <w:rsid w:val="009D1F59"/>
    <w:rsid w:val="009D30C4"/>
    <w:rsid w:val="009E151F"/>
    <w:rsid w:val="009E1A87"/>
    <w:rsid w:val="009E3C3F"/>
    <w:rsid w:val="009E424F"/>
    <w:rsid w:val="009E464E"/>
    <w:rsid w:val="009E5D19"/>
    <w:rsid w:val="009E669B"/>
    <w:rsid w:val="009E6A66"/>
    <w:rsid w:val="009E7AF8"/>
    <w:rsid w:val="009F76AD"/>
    <w:rsid w:val="00A0033C"/>
    <w:rsid w:val="00A03CCB"/>
    <w:rsid w:val="00A03E05"/>
    <w:rsid w:val="00A03F45"/>
    <w:rsid w:val="00A06A7D"/>
    <w:rsid w:val="00A07B78"/>
    <w:rsid w:val="00A1102B"/>
    <w:rsid w:val="00A1572B"/>
    <w:rsid w:val="00A2091B"/>
    <w:rsid w:val="00A21AE6"/>
    <w:rsid w:val="00A21DE3"/>
    <w:rsid w:val="00A244F8"/>
    <w:rsid w:val="00A269F8"/>
    <w:rsid w:val="00A30818"/>
    <w:rsid w:val="00A30CD9"/>
    <w:rsid w:val="00A32C16"/>
    <w:rsid w:val="00A35E49"/>
    <w:rsid w:val="00A36326"/>
    <w:rsid w:val="00A3748E"/>
    <w:rsid w:val="00A40067"/>
    <w:rsid w:val="00A415C5"/>
    <w:rsid w:val="00A4306E"/>
    <w:rsid w:val="00A4388D"/>
    <w:rsid w:val="00A44C9A"/>
    <w:rsid w:val="00A44EE2"/>
    <w:rsid w:val="00A46649"/>
    <w:rsid w:val="00A507D9"/>
    <w:rsid w:val="00A517AD"/>
    <w:rsid w:val="00A54BF6"/>
    <w:rsid w:val="00A569EA"/>
    <w:rsid w:val="00A56CC7"/>
    <w:rsid w:val="00A60821"/>
    <w:rsid w:val="00A62E24"/>
    <w:rsid w:val="00A70686"/>
    <w:rsid w:val="00A7380D"/>
    <w:rsid w:val="00A75D5D"/>
    <w:rsid w:val="00A76FFB"/>
    <w:rsid w:val="00A83869"/>
    <w:rsid w:val="00A83E7E"/>
    <w:rsid w:val="00A85404"/>
    <w:rsid w:val="00A90CE1"/>
    <w:rsid w:val="00A91B3F"/>
    <w:rsid w:val="00A931C3"/>
    <w:rsid w:val="00A935CF"/>
    <w:rsid w:val="00A93733"/>
    <w:rsid w:val="00A937DC"/>
    <w:rsid w:val="00AA1156"/>
    <w:rsid w:val="00AA14EA"/>
    <w:rsid w:val="00AA1715"/>
    <w:rsid w:val="00AA1930"/>
    <w:rsid w:val="00AA29C5"/>
    <w:rsid w:val="00AA3276"/>
    <w:rsid w:val="00AA50DA"/>
    <w:rsid w:val="00AB320F"/>
    <w:rsid w:val="00AB6047"/>
    <w:rsid w:val="00AC09D8"/>
    <w:rsid w:val="00AC1176"/>
    <w:rsid w:val="00AC4564"/>
    <w:rsid w:val="00AC4C71"/>
    <w:rsid w:val="00AC4DED"/>
    <w:rsid w:val="00AC53DE"/>
    <w:rsid w:val="00AC7372"/>
    <w:rsid w:val="00AC7FC5"/>
    <w:rsid w:val="00AD1B9B"/>
    <w:rsid w:val="00AD2243"/>
    <w:rsid w:val="00AD31D5"/>
    <w:rsid w:val="00AD418C"/>
    <w:rsid w:val="00AD5494"/>
    <w:rsid w:val="00AE0BD2"/>
    <w:rsid w:val="00AE2B5C"/>
    <w:rsid w:val="00AE47DA"/>
    <w:rsid w:val="00AE7DC8"/>
    <w:rsid w:val="00AF027B"/>
    <w:rsid w:val="00AF0DFD"/>
    <w:rsid w:val="00AF203C"/>
    <w:rsid w:val="00AF3FA6"/>
    <w:rsid w:val="00AF4A4D"/>
    <w:rsid w:val="00AF4C5B"/>
    <w:rsid w:val="00AF577B"/>
    <w:rsid w:val="00AF5899"/>
    <w:rsid w:val="00AF6582"/>
    <w:rsid w:val="00AF681D"/>
    <w:rsid w:val="00AF7058"/>
    <w:rsid w:val="00AF79A7"/>
    <w:rsid w:val="00B002BF"/>
    <w:rsid w:val="00B0054C"/>
    <w:rsid w:val="00B01236"/>
    <w:rsid w:val="00B03E75"/>
    <w:rsid w:val="00B04D69"/>
    <w:rsid w:val="00B07EB9"/>
    <w:rsid w:val="00B07F9E"/>
    <w:rsid w:val="00B10026"/>
    <w:rsid w:val="00B13564"/>
    <w:rsid w:val="00B139E3"/>
    <w:rsid w:val="00B13D8E"/>
    <w:rsid w:val="00B15AE4"/>
    <w:rsid w:val="00B15D7C"/>
    <w:rsid w:val="00B16C20"/>
    <w:rsid w:val="00B16DFE"/>
    <w:rsid w:val="00B17705"/>
    <w:rsid w:val="00B20F1A"/>
    <w:rsid w:val="00B22545"/>
    <w:rsid w:val="00B30C6E"/>
    <w:rsid w:val="00B322CC"/>
    <w:rsid w:val="00B36810"/>
    <w:rsid w:val="00B41D16"/>
    <w:rsid w:val="00B422D7"/>
    <w:rsid w:val="00B430F1"/>
    <w:rsid w:val="00B447D8"/>
    <w:rsid w:val="00B454E4"/>
    <w:rsid w:val="00B45F7A"/>
    <w:rsid w:val="00B50FF2"/>
    <w:rsid w:val="00B519E6"/>
    <w:rsid w:val="00B52A74"/>
    <w:rsid w:val="00B53D64"/>
    <w:rsid w:val="00B56814"/>
    <w:rsid w:val="00B57521"/>
    <w:rsid w:val="00B6090E"/>
    <w:rsid w:val="00B63BF4"/>
    <w:rsid w:val="00B648DA"/>
    <w:rsid w:val="00B65014"/>
    <w:rsid w:val="00B67B44"/>
    <w:rsid w:val="00B714C0"/>
    <w:rsid w:val="00B7218B"/>
    <w:rsid w:val="00B735D5"/>
    <w:rsid w:val="00B74A6C"/>
    <w:rsid w:val="00B8025A"/>
    <w:rsid w:val="00B805B7"/>
    <w:rsid w:val="00B80AE9"/>
    <w:rsid w:val="00B820CF"/>
    <w:rsid w:val="00B82926"/>
    <w:rsid w:val="00B836A7"/>
    <w:rsid w:val="00B84651"/>
    <w:rsid w:val="00B84A14"/>
    <w:rsid w:val="00B85B86"/>
    <w:rsid w:val="00B8624D"/>
    <w:rsid w:val="00B86B5B"/>
    <w:rsid w:val="00B93AD9"/>
    <w:rsid w:val="00B95457"/>
    <w:rsid w:val="00B95BA1"/>
    <w:rsid w:val="00B96733"/>
    <w:rsid w:val="00B97928"/>
    <w:rsid w:val="00B979C8"/>
    <w:rsid w:val="00BA01EA"/>
    <w:rsid w:val="00BA15B5"/>
    <w:rsid w:val="00BA2FCA"/>
    <w:rsid w:val="00BA3739"/>
    <w:rsid w:val="00BA565A"/>
    <w:rsid w:val="00BA695A"/>
    <w:rsid w:val="00BA7681"/>
    <w:rsid w:val="00BB54EF"/>
    <w:rsid w:val="00BB74A2"/>
    <w:rsid w:val="00BC1E36"/>
    <w:rsid w:val="00BC2D66"/>
    <w:rsid w:val="00BC5705"/>
    <w:rsid w:val="00BC63E9"/>
    <w:rsid w:val="00BC7B93"/>
    <w:rsid w:val="00BD0ED6"/>
    <w:rsid w:val="00BD41A5"/>
    <w:rsid w:val="00BD4DB9"/>
    <w:rsid w:val="00BD501C"/>
    <w:rsid w:val="00BD666F"/>
    <w:rsid w:val="00BE1EC7"/>
    <w:rsid w:val="00BE4971"/>
    <w:rsid w:val="00BE73F9"/>
    <w:rsid w:val="00BF08EB"/>
    <w:rsid w:val="00BF167A"/>
    <w:rsid w:val="00BF1ECF"/>
    <w:rsid w:val="00BF217B"/>
    <w:rsid w:val="00BF46F5"/>
    <w:rsid w:val="00BF4F89"/>
    <w:rsid w:val="00C00DFB"/>
    <w:rsid w:val="00C00FAB"/>
    <w:rsid w:val="00C02744"/>
    <w:rsid w:val="00C0378B"/>
    <w:rsid w:val="00C04E4B"/>
    <w:rsid w:val="00C055CF"/>
    <w:rsid w:val="00C0757E"/>
    <w:rsid w:val="00C159F8"/>
    <w:rsid w:val="00C15D16"/>
    <w:rsid w:val="00C20527"/>
    <w:rsid w:val="00C24073"/>
    <w:rsid w:val="00C31A7F"/>
    <w:rsid w:val="00C345A6"/>
    <w:rsid w:val="00C348A7"/>
    <w:rsid w:val="00C368A0"/>
    <w:rsid w:val="00C406A7"/>
    <w:rsid w:val="00C40CDD"/>
    <w:rsid w:val="00C40FA9"/>
    <w:rsid w:val="00C41630"/>
    <w:rsid w:val="00C42081"/>
    <w:rsid w:val="00C43B42"/>
    <w:rsid w:val="00C45108"/>
    <w:rsid w:val="00C46703"/>
    <w:rsid w:val="00C474A0"/>
    <w:rsid w:val="00C50BF5"/>
    <w:rsid w:val="00C550F5"/>
    <w:rsid w:val="00C57913"/>
    <w:rsid w:val="00C604F8"/>
    <w:rsid w:val="00C64B39"/>
    <w:rsid w:val="00C650C6"/>
    <w:rsid w:val="00C675F3"/>
    <w:rsid w:val="00C705A0"/>
    <w:rsid w:val="00C708D4"/>
    <w:rsid w:val="00C71060"/>
    <w:rsid w:val="00C720FC"/>
    <w:rsid w:val="00C72F4B"/>
    <w:rsid w:val="00C73456"/>
    <w:rsid w:val="00C750DB"/>
    <w:rsid w:val="00C80823"/>
    <w:rsid w:val="00C84BA8"/>
    <w:rsid w:val="00C84F79"/>
    <w:rsid w:val="00C8580E"/>
    <w:rsid w:val="00C86F6F"/>
    <w:rsid w:val="00C92F5F"/>
    <w:rsid w:val="00C9665B"/>
    <w:rsid w:val="00CA2952"/>
    <w:rsid w:val="00CA2E0C"/>
    <w:rsid w:val="00CA52EC"/>
    <w:rsid w:val="00CB0A1C"/>
    <w:rsid w:val="00CB1EB4"/>
    <w:rsid w:val="00CB25CB"/>
    <w:rsid w:val="00CC27DC"/>
    <w:rsid w:val="00CC30FE"/>
    <w:rsid w:val="00CC356D"/>
    <w:rsid w:val="00CC4ABE"/>
    <w:rsid w:val="00CC5AC7"/>
    <w:rsid w:val="00CC7449"/>
    <w:rsid w:val="00CD1323"/>
    <w:rsid w:val="00CD1407"/>
    <w:rsid w:val="00CD412F"/>
    <w:rsid w:val="00CD5604"/>
    <w:rsid w:val="00CE0A5D"/>
    <w:rsid w:val="00CE401A"/>
    <w:rsid w:val="00CE60D0"/>
    <w:rsid w:val="00CE629B"/>
    <w:rsid w:val="00CE6327"/>
    <w:rsid w:val="00CE719B"/>
    <w:rsid w:val="00CF29AE"/>
    <w:rsid w:val="00CF31A7"/>
    <w:rsid w:val="00CF3D0E"/>
    <w:rsid w:val="00CF437B"/>
    <w:rsid w:val="00CF51C3"/>
    <w:rsid w:val="00D05BD3"/>
    <w:rsid w:val="00D1465F"/>
    <w:rsid w:val="00D14BE1"/>
    <w:rsid w:val="00D20AA6"/>
    <w:rsid w:val="00D354AE"/>
    <w:rsid w:val="00D3604C"/>
    <w:rsid w:val="00D43DB4"/>
    <w:rsid w:val="00D461B9"/>
    <w:rsid w:val="00D46563"/>
    <w:rsid w:val="00D46C20"/>
    <w:rsid w:val="00D50577"/>
    <w:rsid w:val="00D52C10"/>
    <w:rsid w:val="00D542EB"/>
    <w:rsid w:val="00D55714"/>
    <w:rsid w:val="00D562FF"/>
    <w:rsid w:val="00D56B23"/>
    <w:rsid w:val="00D57950"/>
    <w:rsid w:val="00D57C46"/>
    <w:rsid w:val="00D60040"/>
    <w:rsid w:val="00D600F5"/>
    <w:rsid w:val="00D61272"/>
    <w:rsid w:val="00D64014"/>
    <w:rsid w:val="00D65054"/>
    <w:rsid w:val="00D65D6A"/>
    <w:rsid w:val="00D725DB"/>
    <w:rsid w:val="00D74494"/>
    <w:rsid w:val="00D87DDB"/>
    <w:rsid w:val="00D90D21"/>
    <w:rsid w:val="00D916A1"/>
    <w:rsid w:val="00D93E44"/>
    <w:rsid w:val="00D9438C"/>
    <w:rsid w:val="00D97943"/>
    <w:rsid w:val="00DA4921"/>
    <w:rsid w:val="00DA4C4F"/>
    <w:rsid w:val="00DA5FD6"/>
    <w:rsid w:val="00DA7E21"/>
    <w:rsid w:val="00DB016D"/>
    <w:rsid w:val="00DB1913"/>
    <w:rsid w:val="00DB2122"/>
    <w:rsid w:val="00DB2F2D"/>
    <w:rsid w:val="00DB4864"/>
    <w:rsid w:val="00DB5462"/>
    <w:rsid w:val="00DB6CF6"/>
    <w:rsid w:val="00DC0CA4"/>
    <w:rsid w:val="00DC2354"/>
    <w:rsid w:val="00DC43AC"/>
    <w:rsid w:val="00DC560F"/>
    <w:rsid w:val="00DD0BEA"/>
    <w:rsid w:val="00DD282B"/>
    <w:rsid w:val="00DD2B64"/>
    <w:rsid w:val="00DD2C90"/>
    <w:rsid w:val="00DD2DE6"/>
    <w:rsid w:val="00DD36CF"/>
    <w:rsid w:val="00DD3E33"/>
    <w:rsid w:val="00DE11DC"/>
    <w:rsid w:val="00DE614D"/>
    <w:rsid w:val="00DF0168"/>
    <w:rsid w:val="00DF05D8"/>
    <w:rsid w:val="00DF324D"/>
    <w:rsid w:val="00DF35A9"/>
    <w:rsid w:val="00DF3E33"/>
    <w:rsid w:val="00DF5244"/>
    <w:rsid w:val="00E0273F"/>
    <w:rsid w:val="00E04DDE"/>
    <w:rsid w:val="00E06AEA"/>
    <w:rsid w:val="00E10134"/>
    <w:rsid w:val="00E10FBF"/>
    <w:rsid w:val="00E13EEC"/>
    <w:rsid w:val="00E14E05"/>
    <w:rsid w:val="00E20B3C"/>
    <w:rsid w:val="00E216C5"/>
    <w:rsid w:val="00E222D9"/>
    <w:rsid w:val="00E23AE8"/>
    <w:rsid w:val="00E243D7"/>
    <w:rsid w:val="00E24711"/>
    <w:rsid w:val="00E273EF"/>
    <w:rsid w:val="00E27671"/>
    <w:rsid w:val="00E30567"/>
    <w:rsid w:val="00E31865"/>
    <w:rsid w:val="00E31B64"/>
    <w:rsid w:val="00E34634"/>
    <w:rsid w:val="00E35E30"/>
    <w:rsid w:val="00E37629"/>
    <w:rsid w:val="00E405C7"/>
    <w:rsid w:val="00E40DA2"/>
    <w:rsid w:val="00E418A5"/>
    <w:rsid w:val="00E50E1F"/>
    <w:rsid w:val="00E54034"/>
    <w:rsid w:val="00E555B7"/>
    <w:rsid w:val="00E56103"/>
    <w:rsid w:val="00E60910"/>
    <w:rsid w:val="00E60B40"/>
    <w:rsid w:val="00E63194"/>
    <w:rsid w:val="00E64696"/>
    <w:rsid w:val="00E64D23"/>
    <w:rsid w:val="00E65928"/>
    <w:rsid w:val="00E65DB2"/>
    <w:rsid w:val="00E67EA2"/>
    <w:rsid w:val="00E70B02"/>
    <w:rsid w:val="00E717A2"/>
    <w:rsid w:val="00E71B45"/>
    <w:rsid w:val="00E7572B"/>
    <w:rsid w:val="00E75778"/>
    <w:rsid w:val="00E75B4C"/>
    <w:rsid w:val="00E76844"/>
    <w:rsid w:val="00E801F0"/>
    <w:rsid w:val="00E80F99"/>
    <w:rsid w:val="00E858D6"/>
    <w:rsid w:val="00E8633C"/>
    <w:rsid w:val="00E8721E"/>
    <w:rsid w:val="00E93ADB"/>
    <w:rsid w:val="00E95AF6"/>
    <w:rsid w:val="00EA1693"/>
    <w:rsid w:val="00EA3469"/>
    <w:rsid w:val="00EA421E"/>
    <w:rsid w:val="00EA53E6"/>
    <w:rsid w:val="00EB0E19"/>
    <w:rsid w:val="00EB1105"/>
    <w:rsid w:val="00EB44C3"/>
    <w:rsid w:val="00EB624F"/>
    <w:rsid w:val="00EB78C9"/>
    <w:rsid w:val="00EC09A8"/>
    <w:rsid w:val="00EC39A5"/>
    <w:rsid w:val="00EC4BFD"/>
    <w:rsid w:val="00EC5844"/>
    <w:rsid w:val="00EC6283"/>
    <w:rsid w:val="00EC70B7"/>
    <w:rsid w:val="00EC7C33"/>
    <w:rsid w:val="00ED2978"/>
    <w:rsid w:val="00ED619A"/>
    <w:rsid w:val="00ED657F"/>
    <w:rsid w:val="00ED749D"/>
    <w:rsid w:val="00EE05EE"/>
    <w:rsid w:val="00EE470C"/>
    <w:rsid w:val="00EF30D4"/>
    <w:rsid w:val="00EF3B9C"/>
    <w:rsid w:val="00EF4826"/>
    <w:rsid w:val="00F0030A"/>
    <w:rsid w:val="00F01563"/>
    <w:rsid w:val="00F024F6"/>
    <w:rsid w:val="00F05A92"/>
    <w:rsid w:val="00F11EF5"/>
    <w:rsid w:val="00F130A9"/>
    <w:rsid w:val="00F14772"/>
    <w:rsid w:val="00F156A8"/>
    <w:rsid w:val="00F206BB"/>
    <w:rsid w:val="00F20A59"/>
    <w:rsid w:val="00F20B59"/>
    <w:rsid w:val="00F22141"/>
    <w:rsid w:val="00F22B81"/>
    <w:rsid w:val="00F23A1F"/>
    <w:rsid w:val="00F243D3"/>
    <w:rsid w:val="00F24B82"/>
    <w:rsid w:val="00F26E41"/>
    <w:rsid w:val="00F271B5"/>
    <w:rsid w:val="00F27BE6"/>
    <w:rsid w:val="00F30834"/>
    <w:rsid w:val="00F34098"/>
    <w:rsid w:val="00F3622B"/>
    <w:rsid w:val="00F41F64"/>
    <w:rsid w:val="00F43247"/>
    <w:rsid w:val="00F455D1"/>
    <w:rsid w:val="00F46671"/>
    <w:rsid w:val="00F47637"/>
    <w:rsid w:val="00F556F6"/>
    <w:rsid w:val="00F557E0"/>
    <w:rsid w:val="00F61B76"/>
    <w:rsid w:val="00F65874"/>
    <w:rsid w:val="00F66151"/>
    <w:rsid w:val="00F674D7"/>
    <w:rsid w:val="00F71F7A"/>
    <w:rsid w:val="00F73D46"/>
    <w:rsid w:val="00F74FB5"/>
    <w:rsid w:val="00F756BC"/>
    <w:rsid w:val="00F776C8"/>
    <w:rsid w:val="00F80796"/>
    <w:rsid w:val="00F810EC"/>
    <w:rsid w:val="00F84A08"/>
    <w:rsid w:val="00F85D27"/>
    <w:rsid w:val="00F86A25"/>
    <w:rsid w:val="00F86DCD"/>
    <w:rsid w:val="00F918C1"/>
    <w:rsid w:val="00F92CCE"/>
    <w:rsid w:val="00F94FCC"/>
    <w:rsid w:val="00FA2FF8"/>
    <w:rsid w:val="00FA6FAD"/>
    <w:rsid w:val="00FB0668"/>
    <w:rsid w:val="00FB0C72"/>
    <w:rsid w:val="00FB0F73"/>
    <w:rsid w:val="00FB22A8"/>
    <w:rsid w:val="00FB2787"/>
    <w:rsid w:val="00FB389A"/>
    <w:rsid w:val="00FB5C67"/>
    <w:rsid w:val="00FC1D97"/>
    <w:rsid w:val="00FC297E"/>
    <w:rsid w:val="00FC2E46"/>
    <w:rsid w:val="00FC4345"/>
    <w:rsid w:val="00FD2047"/>
    <w:rsid w:val="00FD3C00"/>
    <w:rsid w:val="00FD4B28"/>
    <w:rsid w:val="00FD5726"/>
    <w:rsid w:val="00FD6804"/>
    <w:rsid w:val="00FD72A9"/>
    <w:rsid w:val="00FD7818"/>
    <w:rsid w:val="00FE0B94"/>
    <w:rsid w:val="00FE1935"/>
    <w:rsid w:val="00FE20F4"/>
    <w:rsid w:val="00FE4618"/>
    <w:rsid w:val="00FE51FE"/>
    <w:rsid w:val="00FE542D"/>
    <w:rsid w:val="00FE6669"/>
    <w:rsid w:val="00FE669E"/>
    <w:rsid w:val="00FE68B2"/>
    <w:rsid w:val="00FE7E03"/>
    <w:rsid w:val="00FF173D"/>
    <w:rsid w:val="00FF1746"/>
    <w:rsid w:val="00FF242D"/>
    <w:rsid w:val="00FF32E2"/>
    <w:rsid w:val="00FF3527"/>
    <w:rsid w:val="00FF3DD4"/>
    <w:rsid w:val="052676B9"/>
    <w:rsid w:val="06FD1204"/>
    <w:rsid w:val="07B471FE"/>
    <w:rsid w:val="0AAA2B3A"/>
    <w:rsid w:val="0F276507"/>
    <w:rsid w:val="11553800"/>
    <w:rsid w:val="122B4561"/>
    <w:rsid w:val="1672275E"/>
    <w:rsid w:val="1A710F7F"/>
    <w:rsid w:val="1CD11D45"/>
    <w:rsid w:val="1D011660"/>
    <w:rsid w:val="1F6A2B6C"/>
    <w:rsid w:val="20857532"/>
    <w:rsid w:val="22280ABD"/>
    <w:rsid w:val="268B0E99"/>
    <w:rsid w:val="26BF6919"/>
    <w:rsid w:val="28425D08"/>
    <w:rsid w:val="294E6EB1"/>
    <w:rsid w:val="2E3C1683"/>
    <w:rsid w:val="2ED31DB0"/>
    <w:rsid w:val="30F46739"/>
    <w:rsid w:val="328E2276"/>
    <w:rsid w:val="34F1314B"/>
    <w:rsid w:val="352549E8"/>
    <w:rsid w:val="35D303E0"/>
    <w:rsid w:val="365A6C3E"/>
    <w:rsid w:val="371A4A20"/>
    <w:rsid w:val="3ADE3FB6"/>
    <w:rsid w:val="418227BA"/>
    <w:rsid w:val="42577ABB"/>
    <w:rsid w:val="42CB3072"/>
    <w:rsid w:val="42D45873"/>
    <w:rsid w:val="43B517B0"/>
    <w:rsid w:val="43D67F21"/>
    <w:rsid w:val="48334CC8"/>
    <w:rsid w:val="49183881"/>
    <w:rsid w:val="4A125090"/>
    <w:rsid w:val="525C2221"/>
    <w:rsid w:val="56E878F7"/>
    <w:rsid w:val="59CA6DFB"/>
    <w:rsid w:val="5DB9023F"/>
    <w:rsid w:val="678C42CF"/>
    <w:rsid w:val="6A5F202E"/>
    <w:rsid w:val="7237760A"/>
    <w:rsid w:val="73661E78"/>
    <w:rsid w:val="73E21E46"/>
    <w:rsid w:val="76A96C4B"/>
    <w:rsid w:val="78C94BA9"/>
    <w:rsid w:val="79A14081"/>
    <w:rsid w:val="7AF424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qFormat="1" w:unhideWhenUsed="0" w:uiPriority="0" w:name="Body Text First Indent"/>
    <w:lsdException w:uiPriority="99" w:name="Body Text First Indent 2"/>
    <w:lsdException w:uiPriority="99" w:name="Note Heading"/>
    <w:lsdException w:qFormat="1" w:unhideWhenUsed="0" w:uiPriority="0" w:name="Body Text 2"/>
    <w:lsdException w:uiPriority="99" w:name="Body Text 3"/>
    <w:lsdException w:qFormat="1" w:unhideWhenUsed="0" w:uiPriority="0" w:name="Body Text Indent 2"/>
    <w:lsdException w:qFormat="1" w:unhideWhenUsed="0" w:uiPriority="0" w:name="Body Text Indent 3"/>
    <w:lsdException w:uiPriority="99"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qFormat/>
    <w:uiPriority w:val="0"/>
    <w:pPr>
      <w:keepNext/>
      <w:numPr>
        <w:ilvl w:val="0"/>
        <w:numId w:val="1"/>
      </w:numPr>
      <w:spacing w:line="300" w:lineRule="auto"/>
      <w:jc w:val="both"/>
      <w:outlineLvl w:val="0"/>
    </w:pPr>
    <w:rPr>
      <w:rFonts w:ascii="Arial" w:hAnsi="Arial" w:eastAsia="仿宋_GB2312" w:cs="Arial"/>
      <w:b/>
      <w:sz w:val="28"/>
    </w:rPr>
  </w:style>
  <w:style w:type="paragraph" w:styleId="3">
    <w:name w:val="heading 2"/>
    <w:basedOn w:val="1"/>
    <w:next w:val="1"/>
    <w:qFormat/>
    <w:uiPriority w:val="0"/>
    <w:pPr>
      <w:keepNext/>
      <w:numPr>
        <w:ilvl w:val="0"/>
        <w:numId w:val="2"/>
      </w:numPr>
      <w:spacing w:line="300" w:lineRule="auto"/>
      <w:outlineLvl w:val="1"/>
    </w:pPr>
    <w:rPr>
      <w:rFonts w:ascii="Arial" w:hAnsi="Arial" w:eastAsia="仿宋_GB2312" w:cs="Arial"/>
      <w:b/>
      <w:bCs/>
      <w:sz w:val="28"/>
    </w:rPr>
  </w:style>
  <w:style w:type="paragraph" w:styleId="4">
    <w:name w:val="heading 3"/>
    <w:basedOn w:val="1"/>
    <w:next w:val="1"/>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Document Map"/>
    <w:basedOn w:val="1"/>
    <w:link w:val="40"/>
    <w:semiHidden/>
    <w:qFormat/>
    <w:uiPriority w:val="0"/>
    <w:pPr>
      <w:shd w:val="clear" w:color="auto" w:fill="000080"/>
    </w:pPr>
  </w:style>
  <w:style w:type="paragraph" w:styleId="10">
    <w:name w:val="annotation text"/>
    <w:basedOn w:val="1"/>
    <w:semiHidden/>
    <w:qFormat/>
    <w:uiPriority w:val="0"/>
  </w:style>
  <w:style w:type="paragraph" w:styleId="11">
    <w:name w:val="Body Text"/>
    <w:basedOn w:val="1"/>
    <w:semiHidden/>
    <w:qFormat/>
    <w:uiPriority w:val="0"/>
    <w:rPr>
      <w:rFonts w:eastAsia="隶书"/>
      <w:sz w:val="52"/>
    </w:rPr>
  </w:style>
  <w:style w:type="paragraph" w:styleId="12">
    <w:name w:val="Body Text Indent"/>
    <w:basedOn w:val="1"/>
    <w:semiHidden/>
    <w:qFormat/>
    <w:uiPriority w:val="0"/>
    <w:pPr>
      <w:spacing w:before="120" w:line="360" w:lineRule="auto"/>
      <w:ind w:left="1145"/>
    </w:pPr>
    <w:rPr>
      <w:rFonts w:ascii="楷体_GB2312" w:eastAsia="楷体_GB2312"/>
      <w:kern w:val="2"/>
      <w:sz w:val="28"/>
    </w:rPr>
  </w:style>
  <w:style w:type="paragraph" w:styleId="13">
    <w:name w:val="toc 5"/>
    <w:basedOn w:val="1"/>
    <w:next w:val="1"/>
    <w:semiHidden/>
    <w:qFormat/>
    <w:uiPriority w:val="0"/>
    <w:pPr>
      <w:ind w:left="1680" w:leftChars="800"/>
    </w:pPr>
  </w:style>
  <w:style w:type="paragraph" w:styleId="14">
    <w:name w:val="toc 3"/>
    <w:basedOn w:val="1"/>
    <w:next w:val="1"/>
    <w:semiHidden/>
    <w:qFormat/>
    <w:uiPriority w:val="0"/>
    <w:pPr>
      <w:ind w:left="840" w:leftChars="400"/>
    </w:pPr>
  </w:style>
  <w:style w:type="paragraph" w:styleId="15">
    <w:name w:val="Plain Text"/>
    <w:basedOn w:val="1"/>
    <w:semiHidden/>
    <w:qFormat/>
    <w:uiPriority w:val="0"/>
    <w:pPr>
      <w:adjustRightInd/>
      <w:spacing w:line="240" w:lineRule="auto"/>
      <w:jc w:val="both"/>
      <w:textAlignment w:val="auto"/>
    </w:pPr>
    <w:rPr>
      <w:rFonts w:ascii="宋体" w:hAnsi="Courier New"/>
      <w:kern w:val="2"/>
      <w:sz w:val="21"/>
    </w:rPr>
  </w:style>
  <w:style w:type="paragraph" w:styleId="16">
    <w:name w:val="toc 8"/>
    <w:basedOn w:val="1"/>
    <w:next w:val="1"/>
    <w:semiHidden/>
    <w:qFormat/>
    <w:uiPriority w:val="0"/>
    <w:pPr>
      <w:ind w:left="2940" w:leftChars="1400"/>
    </w:pPr>
  </w:style>
  <w:style w:type="paragraph" w:styleId="17">
    <w:name w:val="Date"/>
    <w:basedOn w:val="1"/>
    <w:next w:val="1"/>
    <w:semiHidden/>
    <w:qFormat/>
    <w:uiPriority w:val="0"/>
    <w:pPr>
      <w:jc w:val="both"/>
    </w:pPr>
    <w:rPr>
      <w:rFonts w:ascii="楷体_GB2312" w:eastAsia="楷体_GB2312"/>
      <w:b/>
      <w:sz w:val="28"/>
    </w:rPr>
  </w:style>
  <w:style w:type="paragraph" w:styleId="18">
    <w:name w:val="Body Text Indent 2"/>
    <w:basedOn w:val="1"/>
    <w:semiHidden/>
    <w:qFormat/>
    <w:uiPriority w:val="0"/>
    <w:pPr>
      <w:spacing w:before="120" w:line="360" w:lineRule="auto"/>
      <w:ind w:left="600" w:firstLine="480"/>
    </w:pPr>
    <w:rPr>
      <w:rFonts w:ascii="楷体_GB2312" w:eastAsia="楷体_GB2312"/>
      <w:kern w:val="2"/>
      <w:sz w:val="28"/>
    </w:rPr>
  </w:style>
  <w:style w:type="paragraph" w:styleId="19">
    <w:name w:val="Balloon Text"/>
    <w:basedOn w:val="1"/>
    <w:semiHidden/>
    <w:qFormat/>
    <w:uiPriority w:val="0"/>
    <w:rPr>
      <w:sz w:val="18"/>
      <w:szCs w:val="18"/>
    </w:rPr>
  </w:style>
  <w:style w:type="paragraph" w:styleId="20">
    <w:name w:val="footer"/>
    <w:basedOn w:val="1"/>
    <w:link w:val="41"/>
    <w:qFormat/>
    <w:uiPriority w:val="99"/>
    <w:pPr>
      <w:tabs>
        <w:tab w:val="center" w:pos="4153"/>
        <w:tab w:val="right" w:pos="8306"/>
      </w:tabs>
      <w:spacing w:line="240" w:lineRule="atLeast"/>
    </w:pPr>
    <w:rPr>
      <w:sz w:val="18"/>
    </w:rPr>
  </w:style>
  <w:style w:type="paragraph" w:styleId="21">
    <w:name w:val="header"/>
    <w:basedOn w:val="1"/>
    <w:link w:val="42"/>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2">
    <w:name w:val="toc 1"/>
    <w:basedOn w:val="1"/>
    <w:next w:val="1"/>
    <w:qFormat/>
    <w:uiPriority w:val="39"/>
    <w:pPr>
      <w:tabs>
        <w:tab w:val="right" w:leader="dot" w:pos="9072"/>
      </w:tabs>
      <w:spacing w:line="500" w:lineRule="exact"/>
    </w:pPr>
    <w:rPr>
      <w:rFonts w:ascii="楷体_GB2312" w:eastAsia="楷体_GB2312"/>
      <w:b/>
      <w:bCs/>
      <w:sz w:val="30"/>
      <w:szCs w:val="30"/>
    </w:rPr>
  </w:style>
  <w:style w:type="paragraph" w:styleId="23">
    <w:name w:val="toc 4"/>
    <w:basedOn w:val="1"/>
    <w:next w:val="1"/>
    <w:semiHidden/>
    <w:qFormat/>
    <w:uiPriority w:val="0"/>
    <w:pPr>
      <w:ind w:left="1260" w:leftChars="600"/>
    </w:pPr>
  </w:style>
  <w:style w:type="paragraph" w:styleId="24">
    <w:name w:val="toc 6"/>
    <w:basedOn w:val="1"/>
    <w:next w:val="1"/>
    <w:semiHidden/>
    <w:uiPriority w:val="0"/>
    <w:pPr>
      <w:ind w:left="2100" w:leftChars="1000"/>
    </w:pPr>
  </w:style>
  <w:style w:type="paragraph" w:styleId="25">
    <w:name w:val="Body Text Indent 3"/>
    <w:basedOn w:val="1"/>
    <w:semiHidden/>
    <w:qFormat/>
    <w:uiPriority w:val="0"/>
    <w:pPr>
      <w:spacing w:line="360" w:lineRule="auto"/>
      <w:ind w:left="600" w:firstLine="555"/>
      <w:outlineLvl w:val="0"/>
    </w:pPr>
    <w:rPr>
      <w:rFonts w:ascii="楷体_GB2312" w:eastAsia="楷体_GB2312"/>
      <w:kern w:val="2"/>
      <w:sz w:val="28"/>
    </w:rPr>
  </w:style>
  <w:style w:type="paragraph" w:styleId="26">
    <w:name w:val="toc 2"/>
    <w:basedOn w:val="1"/>
    <w:next w:val="1"/>
    <w:qFormat/>
    <w:uiPriority w:val="39"/>
    <w:pPr>
      <w:tabs>
        <w:tab w:val="right" w:leader="dot" w:pos="9072"/>
      </w:tabs>
      <w:spacing w:line="360" w:lineRule="auto"/>
      <w:ind w:left="480" w:leftChars="200"/>
    </w:pPr>
  </w:style>
  <w:style w:type="paragraph" w:styleId="27">
    <w:name w:val="toc 9"/>
    <w:basedOn w:val="1"/>
    <w:next w:val="1"/>
    <w:semiHidden/>
    <w:qFormat/>
    <w:uiPriority w:val="0"/>
    <w:pPr>
      <w:ind w:left="3360" w:leftChars="1600"/>
    </w:pPr>
  </w:style>
  <w:style w:type="paragraph" w:styleId="28">
    <w:name w:val="Body Text 2"/>
    <w:basedOn w:val="1"/>
    <w:semiHidden/>
    <w:qFormat/>
    <w:uiPriority w:val="0"/>
    <w:pPr>
      <w:spacing w:line="360" w:lineRule="auto"/>
      <w:ind w:right="2"/>
    </w:pPr>
    <w:rPr>
      <w:rFonts w:eastAsia="仿宋_GB2312"/>
      <w:sz w:val="28"/>
    </w:rPr>
  </w:style>
  <w:style w:type="paragraph" w:styleId="29">
    <w:name w:val="Normal (Web)"/>
    <w:basedOn w:val="1"/>
    <w:semiHidden/>
    <w:qFormat/>
    <w:uiPriority w:val="99"/>
    <w:pPr>
      <w:widowControl/>
      <w:adjustRightInd/>
      <w:spacing w:line="360" w:lineRule="auto"/>
      <w:textAlignment w:val="auto"/>
    </w:pPr>
    <w:rPr>
      <w:rFonts w:ascii="宋体" w:hAnsi="宋体"/>
      <w:sz w:val="18"/>
      <w:szCs w:val="18"/>
    </w:rPr>
  </w:style>
  <w:style w:type="paragraph" w:styleId="30">
    <w:name w:val="annotation subject"/>
    <w:basedOn w:val="10"/>
    <w:next w:val="10"/>
    <w:semiHidden/>
    <w:qFormat/>
    <w:uiPriority w:val="0"/>
    <w:rPr>
      <w:b/>
      <w:bCs/>
    </w:rPr>
  </w:style>
  <w:style w:type="paragraph" w:styleId="31">
    <w:name w:val="Body Text First Indent"/>
    <w:basedOn w:val="11"/>
    <w:semiHidden/>
    <w:qFormat/>
    <w:uiPriority w:val="0"/>
    <w:pPr>
      <w:adjustRightInd/>
      <w:spacing w:after="120" w:line="240" w:lineRule="auto"/>
      <w:ind w:firstLine="420"/>
      <w:jc w:val="both"/>
      <w:textAlignment w:val="auto"/>
    </w:pPr>
    <w:rPr>
      <w:rFonts w:eastAsia="宋体"/>
      <w:kern w:val="2"/>
      <w:sz w:val="21"/>
    </w:r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Strong"/>
    <w:qFormat/>
    <w:uiPriority w:val="22"/>
    <w:rPr>
      <w:b/>
      <w:bCs/>
    </w:rPr>
  </w:style>
  <w:style w:type="character" w:styleId="36">
    <w:name w:val="page number"/>
    <w:qFormat/>
    <w:uiPriority w:val="0"/>
  </w:style>
  <w:style w:type="character" w:styleId="37">
    <w:name w:val="FollowedHyperlink"/>
    <w:semiHidden/>
    <w:qFormat/>
    <w:uiPriority w:val="0"/>
    <w:rPr>
      <w:color w:val="800080"/>
      <w:u w:val="single"/>
    </w:rPr>
  </w:style>
  <w:style w:type="character" w:styleId="38">
    <w:name w:val="Hyperlink"/>
    <w:qFormat/>
    <w:uiPriority w:val="99"/>
    <w:rPr>
      <w:color w:val="0000FF"/>
      <w:u w:val="single"/>
    </w:rPr>
  </w:style>
  <w:style w:type="character" w:styleId="39">
    <w:name w:val="annotation reference"/>
    <w:semiHidden/>
    <w:qFormat/>
    <w:uiPriority w:val="0"/>
    <w:rPr>
      <w:sz w:val="21"/>
      <w:szCs w:val="21"/>
    </w:rPr>
  </w:style>
  <w:style w:type="character" w:customStyle="1" w:styleId="40">
    <w:name w:val="文档结构图 Char"/>
    <w:link w:val="9"/>
    <w:semiHidden/>
    <w:qFormat/>
    <w:uiPriority w:val="0"/>
    <w:rPr>
      <w:sz w:val="24"/>
      <w:shd w:val="clear" w:color="auto" w:fill="000080"/>
    </w:rPr>
  </w:style>
  <w:style w:type="character" w:customStyle="1" w:styleId="41">
    <w:name w:val="页脚 Char"/>
    <w:link w:val="20"/>
    <w:qFormat/>
    <w:uiPriority w:val="99"/>
    <w:rPr>
      <w:sz w:val="18"/>
    </w:rPr>
  </w:style>
  <w:style w:type="character" w:customStyle="1" w:styleId="42">
    <w:name w:val="页眉 Char"/>
    <w:link w:val="21"/>
    <w:qFormat/>
    <w:uiPriority w:val="99"/>
    <w:rPr>
      <w:sz w:val="18"/>
    </w:rPr>
  </w:style>
  <w:style w:type="paragraph" w:customStyle="1" w:styleId="43">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44">
    <w:name w:val="text1"/>
    <w:qFormat/>
    <w:uiPriority w:val="0"/>
    <w:rPr>
      <w:spacing w:val="10"/>
      <w:sz w:val="28"/>
      <w:szCs w:val="28"/>
    </w:rPr>
  </w:style>
  <w:style w:type="character" w:customStyle="1" w:styleId="45">
    <w:name w:val="unnamed11"/>
    <w:qFormat/>
    <w:uiPriority w:val="0"/>
    <w:rPr>
      <w:rFonts w:hint="eastAsia" w:ascii="宋体" w:hAnsi="宋体" w:eastAsia="宋体"/>
      <w:color w:val="000000"/>
      <w:sz w:val="18"/>
      <w:szCs w:val="18"/>
      <w:u w:val="none"/>
    </w:rPr>
  </w:style>
  <w:style w:type="paragraph" w:customStyle="1" w:styleId="46">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47">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48">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49">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0">
    <w:name w:val="Char Char1 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51">
    <w:name w:val="t12h291"/>
    <w:qFormat/>
    <w:uiPriority w:val="0"/>
    <w:rPr>
      <w:color w:val="000000"/>
      <w:sz w:val="24"/>
      <w:szCs w:val="24"/>
    </w:rPr>
  </w:style>
  <w:style w:type="character" w:customStyle="1" w:styleId="52">
    <w:name w:val="nr1"/>
    <w:qFormat/>
    <w:uiPriority w:val="0"/>
    <w:rPr>
      <w:rFonts w:hint="eastAsia" w:ascii="楷体_GB2312" w:eastAsia="楷体_GB2312"/>
      <w:color w:val="000000"/>
      <w:sz w:val="24"/>
      <w:szCs w:val="24"/>
    </w:rPr>
  </w:style>
  <w:style w:type="character" w:customStyle="1" w:styleId="53">
    <w:name w:val="标题 5 Char"/>
    <w:qFormat/>
    <w:uiPriority w:val="0"/>
    <w:rPr>
      <w:rFonts w:ascii="楷体_GB2312" w:eastAsia="楷体_GB2312"/>
      <w:color w:val="000000"/>
      <w:sz w:val="28"/>
    </w:rPr>
  </w:style>
  <w:style w:type="paragraph" w:customStyle="1" w:styleId="54">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styleId="55">
    <w:name w:val="List Paragraph"/>
    <w:basedOn w:val="1"/>
    <w:qFormat/>
    <w:uiPriority w:val="34"/>
    <w:pPr>
      <w:ind w:firstLine="420" w:firstLineChars="200"/>
    </w:pPr>
  </w:style>
  <w:style w:type="paragraph" w:styleId="56">
    <w:name w:val="No Spacing"/>
    <w:link w:val="57"/>
    <w:qFormat/>
    <w:uiPriority w:val="1"/>
    <w:rPr>
      <w:rFonts w:ascii="Calibri" w:hAnsi="Calibri" w:eastAsia="宋体" w:cs="Times New Roman"/>
      <w:sz w:val="22"/>
      <w:szCs w:val="22"/>
      <w:lang w:val="en-US" w:eastAsia="zh-CN" w:bidi="ar-SA"/>
    </w:rPr>
  </w:style>
  <w:style w:type="character" w:customStyle="1" w:styleId="57">
    <w:name w:val="无间隔 Char"/>
    <w:link w:val="56"/>
    <w:qFormat/>
    <w:uiPriority w:val="1"/>
    <w:rPr>
      <w:rFonts w:ascii="Calibri" w:hAnsi="Calibri"/>
      <w:sz w:val="22"/>
      <w:szCs w:val="22"/>
    </w:rPr>
  </w:style>
  <w:style w:type="character" w:customStyle="1" w:styleId="58">
    <w:name w:val="fwzhdz"/>
    <w:qFormat/>
    <w:uiPriority w:val="0"/>
  </w:style>
  <w:style w:type="character" w:customStyle="1" w:styleId="59">
    <w:name w:val="fwzhnf"/>
    <w:qFormat/>
    <w:uiPriority w:val="0"/>
  </w:style>
  <w:style w:type="character" w:customStyle="1" w:styleId="60">
    <w:name w:val="fwzhxh"/>
    <w:qFormat/>
    <w:uiPriority w:val="0"/>
  </w:style>
  <w:style w:type="character" w:customStyle="1" w:styleId="61">
    <w:name w:val="页脚 字符1"/>
    <w:semiHidden/>
    <w:qFormat/>
    <w:locked/>
    <w:uiPriority w:val="99"/>
    <w:rPr>
      <w:rFonts w:ascii="Calibri" w:hAnsi="Calibri"/>
      <w:sz w:val="18"/>
      <w:szCs w:val="18"/>
    </w:rPr>
  </w:style>
  <w:style w:type="paragraph" w:customStyle="1" w:styleId="62">
    <w:name w:val="修订1"/>
    <w:semiHidden/>
    <w:qFormat/>
    <w:uiPriority w:val="99"/>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5.png"/><Relationship Id="rId3" Type="http://schemas.openxmlformats.org/officeDocument/2006/relationships/comments" Target="comment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3.xml"/><Relationship Id="rId12" Type="http://schemas.openxmlformats.org/officeDocument/2006/relationships/header" Target="header4.xml"/><Relationship Id="rId11" Type="http://schemas.openxmlformats.org/officeDocument/2006/relationships/footer" Target="footer2.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29234944"/>
        <c:axId val="22924083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29242368"/>
        <c:axId val="229243904"/>
      </c:lineChart>
      <c:catAx>
        <c:axId val="22923494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9240832"/>
        <c:crosses val="autoZero"/>
        <c:auto val="1"/>
        <c:lblAlgn val="ctr"/>
        <c:lblOffset val="100"/>
        <c:noMultiLvlLbl val="0"/>
      </c:catAx>
      <c:valAx>
        <c:axId val="22924083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9234944"/>
        <c:crosses val="autoZero"/>
        <c:crossBetween val="between"/>
        <c:majorUnit val="500"/>
      </c:valAx>
      <c:catAx>
        <c:axId val="22924236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9243904"/>
        <c:crosses val="autoZero"/>
        <c:auto val="1"/>
        <c:lblAlgn val="ctr"/>
        <c:lblOffset val="100"/>
        <c:noMultiLvlLbl val="0"/>
      </c:catAx>
      <c:valAx>
        <c:axId val="22924390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2924236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1f101bc2-cffe-4c45-8183-d8fb01ff51fa}"/>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Company>Sky123.Org</Company>
  <Pages>31</Pages>
  <Words>10473</Words>
  <Characters>11548</Characters>
  <Lines>139</Lines>
  <Paragraphs>39</Paragraphs>
  <TotalTime>2</TotalTime>
  <ScaleCrop>false</ScaleCrop>
  <LinksUpToDate>false</LinksUpToDate>
  <CharactersWithSpaces>11635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2025-12-09T08:32:00Z</dcterms:created>
  <dc:creator>djg</dc:creator>
  <cp:lastModifiedBy>诗霖</cp:lastModifiedBy>
  <cp:lastPrinted>2023-03-20T10:46:00Z</cp:lastPrinted>
  <dcterms:modified xsi:type="dcterms:W3CDTF">2025-12-09T09:43:22Z</dcterms:modified>
  <dc:title>电 话：82253558  传真：82253565</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eyJoZGlkIjoiOTcwMTMwZTgwZjBhOWY5ZDIzMzA3YjZmYWI3ZGQ5NjUiLCJ1c2VySWQiOiIyMDkxMDc5NzUifQ==</vt:lpwstr>
  </property>
  <property fmtid="{D5CDD505-2E9C-101B-9397-08002B2CF9AE}" pid="3" name="KSOProductBuildVer">
    <vt:lpwstr>2052-12.1.0.24034</vt:lpwstr>
  </property>
  <property fmtid="{D5CDD505-2E9C-101B-9397-08002B2CF9AE}" pid="4" name="ICV">
    <vt:lpwstr>0E9D4A97F25D4A34B93CEA584BC68C3E_13</vt:lpwstr>
  </property>
</Properties>
</file>