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074975">
      <w:pPr>
        <w:rPr>
          <w:rFonts w:ascii="Arial" w:hAnsi="Arial"/>
        </w:rPr>
      </w:pPr>
    </w:p>
    <w:p w:rsidR="00074975" w:rsidRDefault="00F71F7A">
      <w:pPr>
        <w:pStyle w:val="ad"/>
        <w:numPr>
          <w:ilvl w:val="0"/>
          <w:numId w:val="5"/>
        </w:numPr>
        <w:spacing w:line="320" w:lineRule="exact"/>
        <w:ind w:right="-93"/>
        <w:outlineLvl w:val="0"/>
        <w:rPr>
          <w:rFonts w:ascii="Arial" w:eastAsia="Adobe 黑体 Std R" w:hAnsi="Arial"/>
          <w:b/>
          <w:bCs/>
          <w:sz w:val="21"/>
          <w:szCs w:val="21"/>
        </w:rPr>
      </w:pPr>
      <w:bookmarkStart w:id="0" w:name="_Hlk128749592"/>
      <w:bookmarkStart w:id="1" w:name="_Toc379795040"/>
      <w:r>
        <w:rPr>
          <w:rFonts w:ascii="Arial" w:eastAsia="Adobe 黑体 Std R" w:hAnsi="Arial" w:hint="eastAsia"/>
          <w:b/>
          <w:bCs/>
          <w:sz w:val="21"/>
          <w:szCs w:val="21"/>
        </w:rPr>
        <w:t>估价项目名称：</w:t>
      </w:r>
    </w:p>
    <w:p w:rsidR="00074975" w:rsidRDefault="00F71F7A">
      <w:pPr>
        <w:pStyle w:val="ad"/>
        <w:spacing w:line="320" w:lineRule="exact"/>
        <w:ind w:left="360"/>
        <w:rPr>
          <w:rFonts w:ascii="Arial" w:eastAsia="方正黑体简体" w:hAnsi="Arial"/>
          <w:sz w:val="21"/>
          <w:szCs w:val="21"/>
        </w:rPr>
      </w:pPr>
      <w:bookmarkStart w:id="2" w:name="_Hlk124323170"/>
      <w:bookmarkStart w:id="3" w:name="_Hlk129186676"/>
      <w:r>
        <w:rPr>
          <w:rFonts w:ascii="Arial" w:eastAsia="方正黑体简体" w:hAnsi="Arial" w:hint="eastAsia"/>
          <w:sz w:val="21"/>
          <w:szCs w:val="21"/>
        </w:rPr>
        <w:t>北京市海淀区西北旺镇土井村</w:t>
      </w:r>
      <w:proofErr w:type="gramStart"/>
      <w:r>
        <w:rPr>
          <w:rFonts w:ascii="Arial" w:eastAsia="方正黑体简体" w:hAnsi="Arial" w:hint="eastAsia"/>
          <w:sz w:val="21"/>
          <w:szCs w:val="21"/>
        </w:rPr>
        <w:t>图景嘉园小区</w:t>
      </w:r>
      <w:proofErr w:type="gramEnd"/>
      <w:r>
        <w:rPr>
          <w:rFonts w:ascii="Arial" w:eastAsia="方正黑体简体" w:hAnsi="Arial" w:hint="eastAsia"/>
          <w:sz w:val="21"/>
          <w:szCs w:val="21"/>
        </w:rPr>
        <w:t>223</w:t>
      </w:r>
      <w:r>
        <w:rPr>
          <w:rFonts w:ascii="Arial" w:eastAsia="方正黑体简体" w:hAnsi="Arial" w:hint="eastAsia"/>
          <w:sz w:val="21"/>
          <w:szCs w:val="21"/>
        </w:rPr>
        <w:t>套</w:t>
      </w:r>
      <w:bookmarkStart w:id="4" w:name="_Hlk212148636"/>
      <w:r>
        <w:rPr>
          <w:rFonts w:ascii="Arial" w:eastAsia="方正黑体简体" w:hAnsi="Arial" w:hint="eastAsia"/>
          <w:sz w:val="21"/>
          <w:szCs w:val="21"/>
        </w:rPr>
        <w:t>住宅用房</w:t>
      </w:r>
      <w:bookmarkEnd w:id="4"/>
      <w:r>
        <w:rPr>
          <w:rFonts w:ascii="Arial" w:eastAsia="方正黑体简体" w:hAnsi="Arial" w:hint="eastAsia"/>
          <w:sz w:val="21"/>
          <w:szCs w:val="21"/>
        </w:rPr>
        <w:t>房地产市场租金评估</w:t>
      </w:r>
    </w:p>
    <w:bookmarkEnd w:id="2"/>
    <w:p w:rsidR="00074975" w:rsidRDefault="00074975">
      <w:pPr>
        <w:rPr>
          <w:rFonts w:ascii="Arial" w:eastAsia="方正黑体简体" w:hAnsi="Arial"/>
        </w:rPr>
      </w:pPr>
    </w:p>
    <w:p w:rsidR="00074975" w:rsidRDefault="00F71F7A">
      <w:pPr>
        <w:pStyle w:val="ad"/>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估价委托人：</w:t>
      </w:r>
    </w:p>
    <w:p w:rsidR="00074975" w:rsidRDefault="00F71F7A">
      <w:pPr>
        <w:pStyle w:val="ad"/>
        <w:spacing w:line="320" w:lineRule="exact"/>
        <w:ind w:left="360"/>
        <w:rPr>
          <w:rFonts w:ascii="Arial" w:eastAsia="方正黑体简体" w:hAnsi="Arial"/>
          <w:sz w:val="21"/>
          <w:szCs w:val="21"/>
        </w:rPr>
      </w:pPr>
      <w:r>
        <w:rPr>
          <w:rFonts w:ascii="Arial" w:eastAsia="方正黑体简体" w:hAnsi="Arial" w:hint="eastAsia"/>
          <w:bCs/>
          <w:sz w:val="21"/>
          <w:szCs w:val="21"/>
        </w:rPr>
        <w:t>建</w:t>
      </w:r>
      <w:proofErr w:type="gramStart"/>
      <w:r>
        <w:rPr>
          <w:rFonts w:ascii="Arial" w:eastAsia="方正黑体简体" w:hAnsi="Arial" w:hint="eastAsia"/>
          <w:bCs/>
          <w:sz w:val="21"/>
          <w:szCs w:val="21"/>
        </w:rPr>
        <w:t>信住房</w:t>
      </w:r>
      <w:proofErr w:type="gramEnd"/>
      <w:r>
        <w:rPr>
          <w:rFonts w:ascii="Arial" w:eastAsia="方正黑体简体" w:hAnsi="Arial" w:hint="eastAsia"/>
          <w:bCs/>
          <w:sz w:val="21"/>
          <w:szCs w:val="21"/>
        </w:rPr>
        <w:t>租赁服务</w:t>
      </w:r>
      <w:r>
        <w:rPr>
          <w:rFonts w:ascii="Arial" w:eastAsia="方正黑体简体" w:hAnsi="Arial" w:hint="eastAsia"/>
          <w:bCs/>
          <w:sz w:val="21"/>
          <w:szCs w:val="21"/>
        </w:rPr>
        <w:t>(</w:t>
      </w:r>
      <w:r>
        <w:rPr>
          <w:rFonts w:ascii="Arial" w:eastAsia="方正黑体简体" w:hAnsi="Arial" w:hint="eastAsia"/>
          <w:bCs/>
          <w:sz w:val="21"/>
          <w:szCs w:val="21"/>
        </w:rPr>
        <w:t>北京</w:t>
      </w:r>
      <w:r>
        <w:rPr>
          <w:rFonts w:ascii="Arial" w:eastAsia="方正黑体简体" w:hAnsi="Arial" w:hint="eastAsia"/>
          <w:bCs/>
          <w:sz w:val="21"/>
          <w:szCs w:val="21"/>
        </w:rPr>
        <w:t>)</w:t>
      </w:r>
      <w:r>
        <w:rPr>
          <w:rFonts w:ascii="Arial" w:eastAsia="方正黑体简体" w:hAnsi="Arial" w:hint="eastAsia"/>
          <w:bCs/>
          <w:sz w:val="21"/>
          <w:szCs w:val="21"/>
        </w:rPr>
        <w:t>有限责任公司</w:t>
      </w:r>
    </w:p>
    <w:p w:rsidR="00074975" w:rsidRDefault="00074975">
      <w:pPr>
        <w:spacing w:line="320" w:lineRule="exact"/>
        <w:rPr>
          <w:rFonts w:ascii="Arial" w:eastAsia="方正黑体简体" w:hAnsi="Arial"/>
          <w:b/>
          <w:sz w:val="21"/>
          <w:szCs w:val="21"/>
        </w:rPr>
      </w:pPr>
    </w:p>
    <w:p w:rsidR="00074975" w:rsidRDefault="00F71F7A">
      <w:pPr>
        <w:pStyle w:val="ad"/>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rsidR="00074975" w:rsidRDefault="00F71F7A">
      <w:pPr>
        <w:pStyle w:val="ad"/>
        <w:spacing w:line="320" w:lineRule="exact"/>
        <w:ind w:left="360"/>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rsidR="00074975" w:rsidRDefault="00074975">
      <w:pPr>
        <w:spacing w:line="320" w:lineRule="exact"/>
        <w:rPr>
          <w:rFonts w:ascii="Arial" w:eastAsia="方正黑体简体" w:hAnsi="Arial"/>
          <w:b/>
          <w:sz w:val="21"/>
          <w:szCs w:val="21"/>
        </w:rPr>
      </w:pPr>
    </w:p>
    <w:p w:rsidR="00074975" w:rsidRDefault="00F71F7A">
      <w:pPr>
        <w:pStyle w:val="ad"/>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rsidR="00074975" w:rsidRDefault="00F71F7A">
      <w:pPr>
        <w:pStyle w:val="ad"/>
        <w:spacing w:line="320" w:lineRule="exact"/>
        <w:ind w:left="360"/>
        <w:rPr>
          <w:rFonts w:ascii="Arial" w:eastAsia="方正黑体简体" w:hAnsi="Arial"/>
          <w:sz w:val="21"/>
          <w:szCs w:val="21"/>
        </w:rPr>
      </w:pPr>
      <w:bookmarkStart w:id="5" w:name="_Hlk124349677"/>
      <w:r>
        <w:rPr>
          <w:rFonts w:ascii="Arial" w:eastAsia="方正黑体简体" w:hAnsi="Arial" w:hint="eastAsia"/>
          <w:sz w:val="21"/>
          <w:szCs w:val="21"/>
        </w:rPr>
        <w:t>常</w:t>
      </w:r>
      <w:r>
        <w:rPr>
          <w:rFonts w:ascii="Arial" w:eastAsia="方正黑体简体" w:hAnsi="Arial" w:hint="eastAsia"/>
          <w:sz w:val="21"/>
          <w:szCs w:val="21"/>
        </w:rPr>
        <w:t xml:space="preserve">  </w:t>
      </w:r>
      <w:r>
        <w:rPr>
          <w:rFonts w:ascii="Arial" w:eastAsia="方正黑体简体" w:hAnsi="Arial" w:hint="eastAsia"/>
          <w:sz w:val="21"/>
          <w:szCs w:val="21"/>
        </w:rPr>
        <w:t>畅（注册号：</w:t>
      </w:r>
      <w:r>
        <w:rPr>
          <w:rFonts w:ascii="Arial" w:eastAsia="方正黑体简体" w:hAnsi="Arial" w:hint="eastAsia"/>
          <w:sz w:val="21"/>
          <w:szCs w:val="21"/>
        </w:rPr>
        <w:t>1120250061</w:t>
      </w:r>
      <w:r>
        <w:rPr>
          <w:rFonts w:ascii="Arial" w:eastAsia="方正黑体简体" w:hAnsi="Arial" w:hint="eastAsia"/>
          <w:sz w:val="21"/>
          <w:szCs w:val="21"/>
        </w:rPr>
        <w:t>）</w:t>
      </w:r>
      <w:r>
        <w:rPr>
          <w:rFonts w:ascii="Arial" w:eastAsia="方正黑体简体" w:hAnsi="Arial"/>
          <w:sz w:val="21"/>
          <w:szCs w:val="21"/>
        </w:rPr>
        <w:t xml:space="preserve">  </w:t>
      </w:r>
      <w:r>
        <w:rPr>
          <w:rFonts w:ascii="Arial" w:eastAsia="方正黑体简体" w:hAnsi="Arial" w:hint="eastAsia"/>
          <w:sz w:val="21"/>
          <w:szCs w:val="21"/>
        </w:rPr>
        <w:t>许皓源</w:t>
      </w:r>
      <w:r>
        <w:rPr>
          <w:rFonts w:ascii="Arial" w:eastAsia="方正黑体简体" w:hAnsi="Arial" w:cs="Arial" w:hint="eastAsia"/>
          <w:sz w:val="21"/>
          <w:szCs w:val="21"/>
        </w:rPr>
        <w:t>（注册号：</w:t>
      </w:r>
      <w:r>
        <w:rPr>
          <w:rFonts w:ascii="Arial" w:eastAsia="方正黑体简体" w:hAnsi="Arial" w:hint="eastAsia"/>
          <w:sz w:val="21"/>
          <w:szCs w:val="21"/>
        </w:rPr>
        <w:t>1119980019</w:t>
      </w:r>
      <w:r>
        <w:rPr>
          <w:rFonts w:ascii="Arial" w:eastAsia="方正黑体简体" w:hAnsi="Arial" w:cs="Arial" w:hint="eastAsia"/>
          <w:sz w:val="21"/>
          <w:szCs w:val="21"/>
        </w:rPr>
        <w:t>）</w:t>
      </w:r>
      <w:bookmarkEnd w:id="5"/>
    </w:p>
    <w:p w:rsidR="00074975" w:rsidRDefault="00074975">
      <w:pPr>
        <w:spacing w:line="320" w:lineRule="exact"/>
        <w:rPr>
          <w:rFonts w:ascii="Arial" w:eastAsia="方正黑体简体" w:hAnsi="Arial"/>
          <w:b/>
          <w:sz w:val="21"/>
          <w:szCs w:val="21"/>
        </w:rPr>
      </w:pPr>
    </w:p>
    <w:p w:rsidR="00074975" w:rsidRDefault="00F71F7A">
      <w:pPr>
        <w:pStyle w:val="ad"/>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rsidR="00074975" w:rsidRDefault="00F71F7A">
      <w:pPr>
        <w:pStyle w:val="ad"/>
        <w:spacing w:line="320" w:lineRule="exact"/>
        <w:ind w:left="360"/>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hint="eastAsia"/>
          <w:sz w:val="21"/>
          <w:szCs w:val="21"/>
        </w:rPr>
        <w:t>12</w:t>
      </w:r>
      <w:r>
        <w:rPr>
          <w:rFonts w:ascii="Arial" w:eastAsia="方正黑体简体" w:hAnsi="Arial"/>
          <w:sz w:val="21"/>
          <w:szCs w:val="21"/>
        </w:rPr>
        <w:t>月</w:t>
      </w:r>
      <w:r>
        <w:rPr>
          <w:rFonts w:ascii="Arial" w:eastAsia="方正黑体简体" w:hAnsi="Arial" w:hint="eastAsia"/>
          <w:sz w:val="21"/>
          <w:szCs w:val="21"/>
        </w:rPr>
        <w:t>9</w:t>
      </w:r>
      <w:r>
        <w:rPr>
          <w:rFonts w:ascii="Arial" w:eastAsia="方正黑体简体" w:hAnsi="Arial"/>
          <w:sz w:val="21"/>
          <w:szCs w:val="21"/>
        </w:rPr>
        <w:t>日</w:t>
      </w:r>
    </w:p>
    <w:bookmarkEnd w:id="0"/>
    <w:bookmarkEnd w:id="3"/>
    <w:p w:rsidR="00074975" w:rsidRDefault="00074975">
      <w:pPr>
        <w:spacing w:line="320" w:lineRule="exact"/>
        <w:rPr>
          <w:rFonts w:ascii="Arial" w:eastAsia="方正黑体简体" w:hAnsi="Arial"/>
          <w:b/>
          <w:sz w:val="21"/>
          <w:szCs w:val="21"/>
        </w:rPr>
      </w:pPr>
    </w:p>
    <w:p w:rsidR="00074975" w:rsidRDefault="00F71F7A">
      <w:pPr>
        <w:pStyle w:val="ad"/>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估价报告编号：</w:t>
      </w:r>
    </w:p>
    <w:p w:rsidR="00074975" w:rsidRDefault="00F71F7A">
      <w:pPr>
        <w:pStyle w:val="ad"/>
        <w:spacing w:line="320" w:lineRule="exact"/>
        <w:ind w:left="360"/>
        <w:rPr>
          <w:rFonts w:ascii="Arial" w:eastAsia="方正黑体简体" w:hAnsi="Arial"/>
          <w:sz w:val="21"/>
          <w:szCs w:val="21"/>
        </w:rPr>
      </w:pPr>
      <w:proofErr w:type="gramStart"/>
      <w:r>
        <w:rPr>
          <w:rFonts w:ascii="Arial" w:eastAsia="方正黑体简体" w:hAnsi="Arial" w:hint="eastAsia"/>
          <w:sz w:val="21"/>
          <w:szCs w:val="21"/>
        </w:rPr>
        <w:t>康正评</w:t>
      </w:r>
      <w:proofErr w:type="gramEnd"/>
      <w:r>
        <w:rPr>
          <w:rFonts w:ascii="Arial" w:eastAsia="方正黑体简体" w:hAnsi="Arial" w:hint="eastAsia"/>
          <w:sz w:val="21"/>
          <w:szCs w:val="21"/>
        </w:rPr>
        <w:t>字</w:t>
      </w:r>
      <w:r>
        <w:rPr>
          <w:rFonts w:ascii="Arial" w:eastAsia="方正黑体简体" w:hAnsi="Arial"/>
          <w:sz w:val="21"/>
          <w:szCs w:val="21"/>
        </w:rPr>
        <w:t>2025-1-0</w:t>
      </w:r>
      <w:r>
        <w:rPr>
          <w:rFonts w:ascii="Arial" w:eastAsia="方正黑体简体" w:hAnsi="Arial" w:hint="eastAsia"/>
          <w:sz w:val="21"/>
          <w:szCs w:val="21"/>
        </w:rPr>
        <w:t>910</w:t>
      </w:r>
      <w:r>
        <w:rPr>
          <w:rFonts w:ascii="Arial" w:eastAsia="方正黑体简体" w:hAnsi="Arial"/>
          <w:sz w:val="21"/>
          <w:szCs w:val="21"/>
        </w:rPr>
        <w:t>-F0</w:t>
      </w:r>
      <w:r>
        <w:rPr>
          <w:rFonts w:ascii="Arial" w:eastAsia="方正黑体简体" w:hAnsi="Arial" w:hint="eastAsia"/>
          <w:sz w:val="21"/>
          <w:szCs w:val="21"/>
        </w:rPr>
        <w:t>1</w:t>
      </w:r>
      <w:r>
        <w:rPr>
          <w:rFonts w:ascii="Arial" w:eastAsia="方正黑体简体" w:hAnsi="Arial"/>
          <w:sz w:val="21"/>
          <w:szCs w:val="21"/>
        </w:rPr>
        <w:t>ZLGJ6</w:t>
      </w:r>
      <w:r>
        <w:rPr>
          <w:rFonts w:ascii="Arial" w:eastAsia="方正黑体简体" w:hAnsi="Arial" w:hint="eastAsia"/>
          <w:sz w:val="21"/>
          <w:szCs w:val="21"/>
        </w:rPr>
        <w:t>号</w:t>
      </w:r>
    </w:p>
    <w:p w:rsidR="00074975" w:rsidRDefault="00074975">
      <w:pPr>
        <w:widowControl/>
        <w:adjustRightInd/>
        <w:spacing w:line="240" w:lineRule="auto"/>
        <w:rPr>
          <w:rFonts w:ascii="Arial" w:eastAsia="方正黑体简体" w:hAnsi="Arial"/>
          <w:sz w:val="21"/>
          <w:szCs w:val="21"/>
        </w:rPr>
        <w:sectPr w:rsidR="00074975">
          <w:footerReference w:type="default" r:id="rId8"/>
          <w:pgSz w:w="11907" w:h="16840"/>
          <w:pgMar w:top="1843" w:right="1134" w:bottom="1191" w:left="1134" w:header="851" w:footer="1134" w:gutter="340"/>
          <w:cols w:space="720"/>
          <w:titlePg/>
          <w:docGrid w:linePitch="326"/>
        </w:sectPr>
      </w:pPr>
    </w:p>
    <w:p w:rsidR="00074975" w:rsidRDefault="00F71F7A">
      <w:pPr>
        <w:spacing w:line="480" w:lineRule="auto"/>
        <w:jc w:val="center"/>
        <w:rPr>
          <w:rFonts w:ascii="Arial" w:eastAsia="方正黑体简体" w:hAnsi="Arial"/>
          <w:kern w:val="2"/>
          <w:sz w:val="32"/>
          <w:szCs w:val="32"/>
        </w:rPr>
      </w:pPr>
      <w:r>
        <w:rPr>
          <w:rFonts w:ascii="Arial" w:eastAsia="方正黑体简体" w:hAnsi="Arial" w:hint="eastAsia"/>
          <w:kern w:val="2"/>
          <w:sz w:val="32"/>
          <w:szCs w:val="32"/>
        </w:rPr>
        <w:lastRenderedPageBreak/>
        <w:t>致估价委托人函</w:t>
      </w:r>
      <w:bookmarkEnd w:id="1"/>
    </w:p>
    <w:p w:rsidR="00074975" w:rsidRDefault="00F71F7A">
      <w:pPr>
        <w:spacing w:line="480" w:lineRule="auto"/>
        <w:rPr>
          <w:rFonts w:ascii="Arial" w:hAnsi="Arial"/>
          <w:sz w:val="21"/>
        </w:rPr>
      </w:pPr>
      <w:bookmarkStart w:id="6" w:name="_Hlk212134943"/>
      <w:r>
        <w:rPr>
          <w:rFonts w:ascii="Arial" w:hAnsi="Arial" w:hint="eastAsia"/>
          <w:b/>
          <w:kern w:val="2"/>
          <w:sz w:val="21"/>
        </w:rPr>
        <w:t>建</w:t>
      </w:r>
      <w:proofErr w:type="gramStart"/>
      <w:r>
        <w:rPr>
          <w:rFonts w:ascii="Arial" w:hAnsi="Arial" w:hint="eastAsia"/>
          <w:b/>
          <w:kern w:val="2"/>
          <w:sz w:val="21"/>
        </w:rPr>
        <w:t>信住房</w:t>
      </w:r>
      <w:proofErr w:type="gramEnd"/>
      <w:r>
        <w:rPr>
          <w:rFonts w:ascii="Arial" w:hAnsi="Arial" w:hint="eastAsia"/>
          <w:b/>
          <w:kern w:val="2"/>
          <w:sz w:val="21"/>
        </w:rPr>
        <w:t>租赁服务</w:t>
      </w:r>
      <w:r>
        <w:rPr>
          <w:rFonts w:ascii="Arial" w:hAnsi="Arial" w:hint="eastAsia"/>
          <w:b/>
          <w:kern w:val="2"/>
          <w:sz w:val="21"/>
        </w:rPr>
        <w:t>(</w:t>
      </w:r>
      <w:r>
        <w:rPr>
          <w:rFonts w:ascii="Arial" w:hAnsi="Arial" w:hint="eastAsia"/>
          <w:b/>
          <w:kern w:val="2"/>
          <w:sz w:val="21"/>
        </w:rPr>
        <w:t>北京</w:t>
      </w:r>
      <w:r>
        <w:rPr>
          <w:rFonts w:ascii="Arial" w:hAnsi="Arial" w:hint="eastAsia"/>
          <w:b/>
          <w:kern w:val="2"/>
          <w:sz w:val="21"/>
        </w:rPr>
        <w:t>)</w:t>
      </w:r>
      <w:r>
        <w:rPr>
          <w:rFonts w:ascii="Arial" w:hAnsi="Arial" w:hint="eastAsia"/>
          <w:b/>
          <w:kern w:val="2"/>
          <w:sz w:val="21"/>
        </w:rPr>
        <w:t>有限责任公司</w:t>
      </w:r>
      <w:bookmarkEnd w:id="6"/>
      <w:r>
        <w:rPr>
          <w:rFonts w:ascii="Arial" w:hAnsi="Arial" w:hint="eastAsia"/>
          <w:sz w:val="21"/>
        </w:rPr>
        <w:t>：</w:t>
      </w:r>
    </w:p>
    <w:p w:rsidR="00074975" w:rsidRDefault="00F71F7A">
      <w:pPr>
        <w:spacing w:line="480" w:lineRule="auto"/>
        <w:ind w:firstLineChars="200" w:firstLine="420"/>
        <w:rPr>
          <w:rFonts w:ascii="Arial" w:hAnsi="Arial"/>
          <w:sz w:val="21"/>
        </w:rPr>
      </w:pPr>
      <w:bookmarkStart w:id="7" w:name="_Hlk129016471"/>
      <w:r>
        <w:rPr>
          <w:rFonts w:ascii="Arial" w:hAnsi="Arial" w:hint="eastAsia"/>
          <w:kern w:val="2"/>
          <w:sz w:val="21"/>
        </w:rPr>
        <w:t>受贵公司委托，我司对北京市海淀区西北旺镇土井村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223</w:t>
      </w:r>
      <w:r>
        <w:rPr>
          <w:rFonts w:ascii="Arial" w:hAnsi="Arial" w:hint="eastAsia"/>
          <w:kern w:val="2"/>
          <w:sz w:val="21"/>
        </w:rPr>
        <w:t>套住宅用房</w:t>
      </w:r>
      <w:r>
        <w:rPr>
          <w:rFonts w:ascii="Arial" w:hAnsi="Arial" w:hint="eastAsia"/>
          <w:sz w:val="21"/>
        </w:rPr>
        <w:t>房地产市场租金进行了评估</w:t>
      </w:r>
      <w:r>
        <w:rPr>
          <w:rFonts w:ascii="Arial" w:hAnsi="Arial" w:hint="eastAsia"/>
          <w:kern w:val="2"/>
          <w:sz w:val="21"/>
        </w:rPr>
        <w:t>。</w:t>
      </w:r>
    </w:p>
    <w:p w:rsidR="00074975" w:rsidRDefault="00F71F7A">
      <w:pPr>
        <w:spacing w:line="480" w:lineRule="auto"/>
        <w:ind w:firstLineChars="200" w:firstLine="422"/>
        <w:rPr>
          <w:rFonts w:ascii="Arial" w:hAnsi="Arial"/>
          <w:kern w:val="2"/>
          <w:sz w:val="21"/>
        </w:rPr>
      </w:pPr>
      <w:r>
        <w:rPr>
          <w:rFonts w:ascii="Arial" w:hAnsi="Arial" w:hint="eastAsia"/>
          <w:b/>
          <w:bCs/>
          <w:sz w:val="21"/>
        </w:rPr>
        <w:t>估价对象：</w:t>
      </w:r>
      <w:r>
        <w:rPr>
          <w:rFonts w:ascii="Arial" w:hAnsi="Arial" w:hint="eastAsia"/>
          <w:kern w:val="2"/>
          <w:sz w:val="21"/>
        </w:rPr>
        <w:t>根据估价委托人提供的</w:t>
      </w:r>
      <w:bookmarkStart w:id="8" w:name="_Hlk128749625"/>
      <w:r>
        <w:rPr>
          <w:rFonts w:ascii="Arial" w:hAnsi="Arial" w:hint="eastAsia"/>
          <w:kern w:val="2"/>
          <w:sz w:val="21"/>
        </w:rPr>
        <w:t>《估价委托书》、</w:t>
      </w:r>
      <w:bookmarkEnd w:id="8"/>
      <w:r>
        <w:rPr>
          <w:rFonts w:ascii="Arial" w:hAnsi="Arial" w:hint="eastAsia"/>
          <w:kern w:val="2"/>
          <w:sz w:val="21"/>
        </w:rPr>
        <w:t>《租赁合同》</w:t>
      </w:r>
      <w:r>
        <w:rPr>
          <w:rFonts w:ascii="Arial" w:hAnsi="Arial" w:hint="eastAsia"/>
          <w:kern w:val="2"/>
          <w:sz w:val="21"/>
        </w:rPr>
        <w:t>[</w:t>
      </w:r>
      <w:r>
        <w:rPr>
          <w:rFonts w:ascii="Arial" w:hAnsi="Arial" w:hint="eastAsia"/>
          <w:kern w:val="2"/>
          <w:sz w:val="21"/>
        </w:rPr>
        <w:t>合同编号：</w:t>
      </w:r>
      <w:r>
        <w:rPr>
          <w:rFonts w:ascii="Arial" w:hAnsi="Arial" w:hint="eastAsia"/>
          <w:kern w:val="2"/>
          <w:sz w:val="21"/>
        </w:rPr>
        <w:t>JXZF-TJJY-20210001]</w:t>
      </w:r>
      <w:r>
        <w:rPr>
          <w:rFonts w:ascii="Arial" w:hAnsi="Arial" w:hint="eastAsia"/>
          <w:kern w:val="2"/>
          <w:sz w:val="21"/>
        </w:rPr>
        <w:t>，估价对象为北京市海淀区西北旺镇土井村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223</w:t>
      </w:r>
      <w:r>
        <w:rPr>
          <w:rFonts w:ascii="Arial" w:hAnsi="Arial" w:hint="eastAsia"/>
          <w:kern w:val="2"/>
          <w:sz w:val="21"/>
        </w:rPr>
        <w:t>套住宅用房，出租方为北京市海淀区西北旺镇土井村经济合作社，现状由</w:t>
      </w:r>
      <w:r>
        <w:rPr>
          <w:rFonts w:ascii="Arial" w:hAnsi="Arial" w:hint="eastAsia"/>
          <w:sz w:val="21"/>
          <w:szCs w:val="21"/>
        </w:rPr>
        <w:t>建</w:t>
      </w:r>
      <w:proofErr w:type="gramStart"/>
      <w:r>
        <w:rPr>
          <w:rFonts w:ascii="Arial" w:hAnsi="Arial" w:hint="eastAsia"/>
          <w:sz w:val="21"/>
          <w:szCs w:val="21"/>
        </w:rPr>
        <w:t>信住房</w:t>
      </w:r>
      <w:proofErr w:type="gramEnd"/>
      <w:r>
        <w:rPr>
          <w:rFonts w:ascii="Arial" w:hAnsi="Arial" w:hint="eastAsia"/>
          <w:sz w:val="21"/>
          <w:szCs w:val="21"/>
        </w:rPr>
        <w:t>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有限责任公司承租经营</w:t>
      </w:r>
      <w:r>
        <w:rPr>
          <w:rFonts w:ascii="Arial" w:hAnsi="Arial" w:hint="eastAsia"/>
          <w:kern w:val="2"/>
          <w:sz w:val="21"/>
        </w:rPr>
        <w:t>，总建筑面积</w:t>
      </w:r>
      <w:r>
        <w:rPr>
          <w:rFonts w:ascii="Arial" w:hAnsi="Arial" w:hint="eastAsia"/>
          <w:kern w:val="2"/>
          <w:sz w:val="21"/>
        </w:rPr>
        <w:t>16190.64</w:t>
      </w:r>
      <w:r>
        <w:rPr>
          <w:rFonts w:ascii="Arial" w:hAnsi="Arial" w:hint="eastAsia"/>
          <w:kern w:val="2"/>
          <w:sz w:val="21"/>
        </w:rPr>
        <w:t>平方米，共计</w:t>
      </w:r>
      <w:r>
        <w:rPr>
          <w:rFonts w:ascii="Arial" w:hAnsi="Arial" w:hint="eastAsia"/>
          <w:kern w:val="2"/>
          <w:sz w:val="21"/>
        </w:rPr>
        <w:t>223</w:t>
      </w:r>
      <w:r>
        <w:rPr>
          <w:rFonts w:ascii="Arial" w:hAnsi="Arial" w:hint="eastAsia"/>
          <w:kern w:val="2"/>
          <w:sz w:val="21"/>
        </w:rPr>
        <w:t>套，用途为住宅，估价对象详细情况如下：</w:t>
      </w:r>
    </w:p>
    <w:p w:rsidR="00074975" w:rsidRDefault="00F71F7A">
      <w:pPr>
        <w:spacing w:line="240" w:lineRule="auto"/>
        <w:jc w:val="center"/>
        <w:rPr>
          <w:rFonts w:ascii="Arial" w:hAnsi="Arial"/>
          <w:kern w:val="2"/>
          <w:sz w:val="21"/>
        </w:rPr>
      </w:pPr>
      <w:r>
        <w:rPr>
          <w:rFonts w:ascii="Arial" w:hAnsi="Arial" w:hint="eastAsia"/>
          <w:kern w:val="2"/>
          <w:sz w:val="21"/>
        </w:rPr>
        <w:t>估价对象明细表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722"/>
        <w:gridCol w:w="1731"/>
        <w:gridCol w:w="3217"/>
      </w:tblGrid>
      <w:tr w:rsidR="00074975">
        <w:trPr>
          <w:trHeight w:val="319"/>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户型名称</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各户型面积</w:t>
            </w:r>
            <w:r>
              <w:rPr>
                <w:rFonts w:ascii="Arial" w:eastAsia="华文细黑" w:hAnsi="Arial" w:cs="Arial" w:hint="eastAsia"/>
                <w:sz w:val="18"/>
                <w:szCs w:val="18"/>
              </w:rPr>
              <w:t>范围</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套数（套）</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总建筑面积（</w:t>
            </w:r>
            <w:r>
              <w:rPr>
                <w:rFonts w:ascii="Arial" w:eastAsia="华文细黑" w:hAnsi="Arial" w:cs="Arial" w:hint="eastAsia"/>
                <w:sz w:val="18"/>
                <w:szCs w:val="18"/>
              </w:rPr>
              <w:t>㎡</w:t>
            </w:r>
            <w:r>
              <w:rPr>
                <w:rFonts w:ascii="Arial" w:eastAsia="华文细黑" w:hAnsi="Arial" w:cs="Arial"/>
                <w:sz w:val="18"/>
                <w:szCs w:val="18"/>
              </w:rPr>
              <w:t>）</w:t>
            </w:r>
          </w:p>
        </w:tc>
      </w:tr>
      <w:tr w:rsidR="00074975">
        <w:trPr>
          <w:trHeight w:val="90"/>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101.18-130.61</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35</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3672.23</w:t>
            </w:r>
          </w:p>
        </w:tc>
      </w:tr>
      <w:tr w:rsidR="00074975">
        <w:trPr>
          <w:trHeight w:val="284"/>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两居室</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76.39-84.46</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8185.51</w:t>
            </w:r>
          </w:p>
        </w:tc>
      </w:tr>
      <w:tr w:rsidR="00074975">
        <w:trPr>
          <w:trHeight w:val="284"/>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52.12-53.93</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42</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2229.34</w:t>
            </w:r>
          </w:p>
        </w:tc>
      </w:tr>
      <w:tr w:rsidR="00074975">
        <w:trPr>
          <w:trHeight w:val="284"/>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46.01-47.19</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45</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2103.56</w:t>
            </w:r>
          </w:p>
        </w:tc>
      </w:tr>
      <w:tr w:rsidR="00074975">
        <w:trPr>
          <w:trHeight w:val="284"/>
          <w:jc w:val="center"/>
        </w:trPr>
        <w:tc>
          <w:tcPr>
            <w:tcW w:w="968"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30" w:type="pct"/>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91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690" w:type="pct"/>
            <w:noWrap/>
            <w:vAlign w:val="center"/>
          </w:tcPr>
          <w:p w:rsidR="00074975" w:rsidRDefault="00F71F7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16190.64</w:t>
            </w:r>
          </w:p>
        </w:tc>
      </w:tr>
    </w:tbl>
    <w:p w:rsidR="00074975" w:rsidRDefault="00F71F7A">
      <w:pPr>
        <w:spacing w:beforeLines="100" w:before="240" w:line="480" w:lineRule="auto"/>
        <w:ind w:firstLineChars="200" w:firstLine="422"/>
        <w:rPr>
          <w:rFonts w:ascii="Arial" w:hAnsi="Arial"/>
          <w:sz w:val="21"/>
        </w:rPr>
      </w:pPr>
      <w:r>
        <w:rPr>
          <w:rFonts w:ascii="Arial" w:hAnsi="Arial" w:hint="eastAsia"/>
          <w:b/>
          <w:bCs/>
          <w:sz w:val="21"/>
        </w:rPr>
        <w:t>估价目的：</w:t>
      </w:r>
      <w:r>
        <w:rPr>
          <w:rFonts w:ascii="Arial" w:hAnsi="Arial" w:hint="eastAsia"/>
          <w:kern w:val="2"/>
          <w:sz w:val="21"/>
        </w:rPr>
        <w:t>为估价委托人了解估价对象房地产市场租金水平提供参考依据。</w:t>
      </w:r>
    </w:p>
    <w:p w:rsidR="00074975" w:rsidRDefault="00F71F7A">
      <w:pPr>
        <w:spacing w:line="480" w:lineRule="auto"/>
        <w:ind w:firstLineChars="200" w:firstLine="422"/>
        <w:jc w:val="both"/>
        <w:rPr>
          <w:rFonts w:ascii="Arial" w:hAnsi="Arial"/>
          <w:sz w:val="21"/>
        </w:rPr>
      </w:pPr>
      <w:r>
        <w:rPr>
          <w:rFonts w:ascii="Arial" w:hAnsi="Arial" w:hint="eastAsia"/>
          <w:b/>
          <w:bCs/>
          <w:sz w:val="21"/>
        </w:rPr>
        <w:t>价值时点：</w:t>
      </w:r>
      <w:bookmarkStart w:id="9" w:name="_Hlk129679936"/>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日（依据《估价委托书》）。</w:t>
      </w:r>
      <w:bookmarkEnd w:id="9"/>
    </w:p>
    <w:p w:rsidR="00074975" w:rsidRDefault="00F71F7A">
      <w:pPr>
        <w:spacing w:line="480" w:lineRule="auto"/>
        <w:ind w:firstLineChars="200" w:firstLine="422"/>
        <w:jc w:val="both"/>
        <w:rPr>
          <w:rFonts w:eastAsia="楷体_GB2312"/>
          <w:sz w:val="28"/>
          <w:szCs w:val="28"/>
        </w:rPr>
      </w:pPr>
      <w:r>
        <w:rPr>
          <w:rFonts w:ascii="Arial" w:hAnsi="Arial" w:hint="eastAsia"/>
          <w:b/>
          <w:bCs/>
          <w:sz w:val="21"/>
        </w:rPr>
        <w:t>价值类型：</w:t>
      </w:r>
      <w:r>
        <w:rPr>
          <w:rFonts w:ascii="Arial" w:hAnsi="Arial" w:hint="eastAsia"/>
          <w:kern w:val="2"/>
          <w:sz w:val="21"/>
        </w:rPr>
        <w:t>根据房地产估价规范、国家现行有关标准规定和项目的具体要求，本次评估采用的是市场价值标准。</w:t>
      </w:r>
      <w:r>
        <w:rPr>
          <w:rFonts w:ascii="Arial" w:hAnsi="Arial"/>
          <w:kern w:val="2"/>
          <w:sz w:val="21"/>
        </w:rPr>
        <w:t>根据</w:t>
      </w:r>
      <w:r>
        <w:rPr>
          <w:rFonts w:ascii="Arial" w:hAnsi="Arial" w:hint="eastAsia"/>
          <w:sz w:val="21"/>
          <w:szCs w:val="28"/>
        </w:rPr>
        <w:t>《房地产估价基本术语标准》</w:t>
      </w:r>
      <w:r>
        <w:rPr>
          <w:rFonts w:ascii="Arial" w:hAnsi="Arial" w:hint="eastAsia"/>
          <w:kern w:val="2"/>
          <w:sz w:val="21"/>
        </w:rPr>
        <w:t>[GB/T50899-2013]</w:t>
      </w:r>
      <w:r>
        <w:rPr>
          <w:rFonts w:ascii="Arial" w:hAnsi="Arial" w:hint="eastAsia"/>
          <w:kern w:val="2"/>
          <w:sz w:val="21"/>
        </w:rPr>
        <w:t>，</w:t>
      </w:r>
      <w:r>
        <w:rPr>
          <w:rFonts w:ascii="Arial" w:hAnsi="Arial"/>
          <w:kern w:val="2"/>
          <w:sz w:val="21"/>
        </w:rPr>
        <w:t>市场价值是经适当营销后，由熟悉情况、谨慎行事且不受强迫的交易双方，以公平交易方式在</w:t>
      </w:r>
      <w:r>
        <w:rPr>
          <w:rFonts w:ascii="Arial" w:hAnsi="Arial" w:hint="eastAsia"/>
          <w:kern w:val="2"/>
          <w:sz w:val="21"/>
        </w:rPr>
        <w:t>各</w:t>
      </w:r>
      <w:r>
        <w:rPr>
          <w:rFonts w:ascii="Arial" w:hAnsi="Arial"/>
          <w:kern w:val="2"/>
          <w:sz w:val="21"/>
        </w:rPr>
        <w:t>价值时点自愿进行交易的金额</w:t>
      </w:r>
      <w:r>
        <w:rPr>
          <w:rFonts w:ascii="Arial" w:hAnsi="Arial" w:hint="eastAsia"/>
          <w:kern w:val="2"/>
          <w:sz w:val="21"/>
        </w:rPr>
        <w:t>。</w:t>
      </w:r>
    </w:p>
    <w:p w:rsidR="00074975" w:rsidRDefault="00F71F7A">
      <w:pPr>
        <w:spacing w:line="480" w:lineRule="auto"/>
        <w:ind w:firstLineChars="200" w:firstLine="420"/>
        <w:jc w:val="both"/>
        <w:rPr>
          <w:rFonts w:ascii="Arial" w:hAnsi="Arial" w:cs="Arial"/>
          <w:bCs/>
          <w:sz w:val="21"/>
        </w:rPr>
      </w:pPr>
      <w:bookmarkStart w:id="10" w:name="_Hlk212190279"/>
      <w:r>
        <w:rPr>
          <w:rFonts w:ascii="Arial" w:hAnsi="Arial" w:cs="Arial" w:hint="eastAsia"/>
          <w:bCs/>
          <w:sz w:val="21"/>
        </w:rPr>
        <w:t>本次估价的“房地产市场租金”是指在正常市场情况下，在价值时点</w:t>
      </w:r>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w:t>
      </w:r>
      <w:r>
        <w:rPr>
          <w:rFonts w:ascii="Arial" w:hAnsi="Arial" w:cs="Arial" w:hint="eastAsia"/>
          <w:bCs/>
          <w:sz w:val="21"/>
        </w:rPr>
        <w:t>，估价对象用途为住宅的房地产租赁价格，</w:t>
      </w:r>
      <w:bookmarkStart w:id="11" w:name="_Hlk212190422"/>
      <w:r>
        <w:rPr>
          <w:rFonts w:ascii="Arial" w:hAnsi="Arial" w:cs="Arial" w:hint="eastAsia"/>
          <w:bCs/>
          <w:sz w:val="21"/>
        </w:rPr>
        <w:t>估价结果采用价税合计的形式，</w:t>
      </w:r>
      <w:bookmarkStart w:id="12" w:name="_Hlk212190378"/>
      <w:r>
        <w:rPr>
          <w:rFonts w:ascii="Arial" w:hAnsi="Arial" w:cs="Arial" w:hint="eastAsia"/>
          <w:bCs/>
          <w:sz w:val="21"/>
        </w:rPr>
        <w:t>包含增值税及附加、家具家电使用费、物业费，不包含能源费、房地产经纪公司服务费等费用</w:t>
      </w:r>
      <w:bookmarkEnd w:id="10"/>
      <w:bookmarkEnd w:id="11"/>
      <w:bookmarkEnd w:id="12"/>
      <w:r>
        <w:rPr>
          <w:rFonts w:ascii="Arial" w:hAnsi="Arial" w:cs="Arial" w:hint="eastAsia"/>
          <w:bCs/>
          <w:sz w:val="21"/>
        </w:rPr>
        <w:t>。</w:t>
      </w:r>
    </w:p>
    <w:p w:rsidR="00074975" w:rsidRDefault="00F71F7A">
      <w:pPr>
        <w:spacing w:line="480" w:lineRule="auto"/>
        <w:ind w:firstLineChars="200" w:firstLine="422"/>
        <w:jc w:val="both"/>
        <w:rPr>
          <w:rFonts w:ascii="Arial" w:hAnsi="Arial"/>
          <w:b/>
          <w:bCs/>
          <w:sz w:val="21"/>
        </w:rPr>
      </w:pPr>
      <w:r>
        <w:rPr>
          <w:rFonts w:ascii="Arial" w:hAnsi="Arial" w:cs="Arial"/>
          <w:b/>
          <w:bCs/>
          <w:sz w:val="21"/>
        </w:rPr>
        <w:t>估价方法：</w:t>
      </w:r>
      <w:r>
        <w:rPr>
          <w:rFonts w:ascii="Arial" w:hAnsi="Arial" w:cs="Arial"/>
          <w:bCs/>
          <w:sz w:val="21"/>
          <w:szCs w:val="21"/>
        </w:rPr>
        <w:t>本次评估采用的估价方法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rsidR="00074975" w:rsidRDefault="00F71F7A">
      <w:pPr>
        <w:spacing w:line="480" w:lineRule="auto"/>
        <w:ind w:firstLineChars="200" w:firstLine="422"/>
        <w:rPr>
          <w:rFonts w:ascii="Arial" w:hAnsi="Arial"/>
          <w:sz w:val="21"/>
        </w:rPr>
      </w:pPr>
      <w:r>
        <w:rPr>
          <w:rFonts w:ascii="Arial" w:hAnsi="Arial" w:hint="eastAsia"/>
          <w:b/>
          <w:bCs/>
          <w:sz w:val="21"/>
        </w:rPr>
        <w:t>估价结果：</w:t>
      </w:r>
      <w:bookmarkStart w:id="13" w:name="_Hlk129709950"/>
      <w:r>
        <w:rPr>
          <w:rFonts w:ascii="Arial" w:hAnsi="Arial" w:hint="eastAsia"/>
          <w:sz w:val="21"/>
        </w:rPr>
        <w:t>评估专业人员根据估价的目的，按照估价的程序，采用科学的估价方法，在认真分析现有资料的基础上，通过仔细测算和认真分析各种影响房地产价格的因素，确定估价对象在价值时点的房地产市场租金，详见估价结果一览表。</w:t>
      </w:r>
      <w:bookmarkStart w:id="14" w:name="_Hlk129709935"/>
      <w:bookmarkEnd w:id="13"/>
    </w:p>
    <w:p w:rsidR="00074975" w:rsidRDefault="00F71F7A">
      <w:pPr>
        <w:spacing w:line="480" w:lineRule="auto"/>
        <w:ind w:firstLineChars="200" w:firstLine="480"/>
        <w:jc w:val="center"/>
        <w:rPr>
          <w:rFonts w:ascii="Arial" w:eastAsia="方正黑体简体" w:hAnsi="Arial"/>
          <w:szCs w:val="24"/>
        </w:rPr>
      </w:pPr>
      <w:r>
        <w:rPr>
          <w:rFonts w:ascii="Arial" w:eastAsia="方正黑体简体" w:hAnsi="Arial" w:hint="eastAsia"/>
          <w:szCs w:val="24"/>
        </w:rPr>
        <w:lastRenderedPageBreak/>
        <w:t>估价结果一览表</w:t>
      </w:r>
    </w:p>
    <w:tbl>
      <w:tblPr>
        <w:tblW w:w="4995"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CellMar>
          <w:top w:w="57" w:type="dxa"/>
          <w:left w:w="57" w:type="dxa"/>
          <w:bottom w:w="57" w:type="dxa"/>
          <w:right w:w="57" w:type="dxa"/>
        </w:tblCellMar>
        <w:tblLook w:val="04A0" w:firstRow="1" w:lastRow="0" w:firstColumn="1" w:lastColumn="0" w:noHBand="0" w:noVBand="1"/>
      </w:tblPr>
      <w:tblGrid>
        <w:gridCol w:w="3591"/>
        <w:gridCol w:w="1580"/>
        <w:gridCol w:w="927"/>
        <w:gridCol w:w="3306"/>
      </w:tblGrid>
      <w:tr w:rsidR="00074975">
        <w:trPr>
          <w:cantSplit/>
          <w:trHeight w:val="557"/>
          <w:jc w:val="center"/>
        </w:trPr>
        <w:tc>
          <w:tcPr>
            <w:tcW w:w="1908"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840"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r>
              <w:rPr>
                <w:rFonts w:ascii="Arial" w:eastAsia="华文细黑" w:hAnsi="Arial" w:cs="Arial" w:hint="eastAsia"/>
                <w:sz w:val="18"/>
                <w:szCs w:val="18"/>
              </w:rPr>
              <w:t>（平方米）</w:t>
            </w:r>
          </w:p>
        </w:tc>
        <w:tc>
          <w:tcPr>
            <w:tcW w:w="493"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套数（套）</w:t>
            </w:r>
          </w:p>
        </w:tc>
        <w:tc>
          <w:tcPr>
            <w:tcW w:w="1757"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74975">
        <w:trPr>
          <w:cantSplit/>
          <w:trHeight w:val="1121"/>
          <w:jc w:val="center"/>
        </w:trPr>
        <w:tc>
          <w:tcPr>
            <w:tcW w:w="1908"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北京市海淀区西北旺镇土井村</w:t>
            </w:r>
            <w:proofErr w:type="gramStart"/>
            <w:r>
              <w:rPr>
                <w:rFonts w:ascii="Arial" w:eastAsia="华文细黑" w:hAnsi="Arial" w:cs="Arial" w:hint="eastAsia"/>
                <w:sz w:val="18"/>
                <w:szCs w:val="18"/>
              </w:rPr>
              <w:t>图景嘉园小区</w:t>
            </w:r>
            <w:proofErr w:type="gramEnd"/>
            <w:r>
              <w:rPr>
                <w:rFonts w:ascii="Arial" w:eastAsia="华文细黑" w:hAnsi="Arial" w:cs="Arial" w:hint="eastAsia"/>
                <w:sz w:val="18"/>
                <w:szCs w:val="18"/>
              </w:rPr>
              <w:t>223</w:t>
            </w:r>
            <w:r>
              <w:rPr>
                <w:rFonts w:ascii="Arial" w:eastAsia="华文细黑" w:hAnsi="Arial" w:cs="Arial" w:hint="eastAsia"/>
                <w:sz w:val="18"/>
                <w:szCs w:val="18"/>
              </w:rPr>
              <w:t>套住宅用房房地产市场租金水平</w:t>
            </w:r>
          </w:p>
        </w:tc>
        <w:tc>
          <w:tcPr>
            <w:tcW w:w="840"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16190.64</w:t>
            </w:r>
          </w:p>
        </w:tc>
        <w:tc>
          <w:tcPr>
            <w:tcW w:w="493"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757"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85</w:t>
            </w:r>
          </w:p>
        </w:tc>
      </w:tr>
    </w:tbl>
    <w:p w:rsidR="00074975" w:rsidRDefault="00F71F7A">
      <w:pPr>
        <w:spacing w:line="360" w:lineRule="auto"/>
        <w:ind w:right="17"/>
        <w:rPr>
          <w:rFonts w:ascii="Arial" w:eastAsia="华文细黑" w:hAnsi="Arial" w:cs="Arial"/>
          <w:sz w:val="18"/>
          <w:szCs w:val="18"/>
        </w:rPr>
      </w:pPr>
      <w:r>
        <w:rPr>
          <w:rFonts w:ascii="Arial" w:eastAsia="华文细黑" w:hAnsi="Arial" w:hint="eastAsia"/>
          <w:sz w:val="18"/>
          <w:szCs w:val="18"/>
        </w:rPr>
        <w:t>单位：</w:t>
      </w:r>
      <w:r>
        <w:rPr>
          <w:rFonts w:ascii="Arial" w:eastAsia="华文细黑" w:hAnsi="Arial" w:cs="Arial"/>
          <w:sz w:val="18"/>
          <w:szCs w:val="18"/>
        </w:rPr>
        <w:t>元、元</w:t>
      </w:r>
      <w:r>
        <w:rPr>
          <w:rFonts w:ascii="Arial" w:eastAsia="华文细黑" w:hAnsi="Arial" w:cs="Arial"/>
          <w:sz w:val="18"/>
          <w:szCs w:val="18"/>
        </w:rPr>
        <w:t>/</w:t>
      </w:r>
      <w:r>
        <w:rPr>
          <w:rFonts w:ascii="Arial" w:eastAsia="华文细黑" w:hAnsi="Arial" w:cs="Arial"/>
          <w:sz w:val="18"/>
          <w:szCs w:val="18"/>
        </w:rPr>
        <w:t>平方米（币种：人民币）</w:t>
      </w:r>
    </w:p>
    <w:p w:rsidR="00074975" w:rsidRDefault="00F71F7A">
      <w:pPr>
        <w:spacing w:line="360" w:lineRule="auto"/>
        <w:ind w:right="17"/>
        <w:rPr>
          <w:rFonts w:ascii="Arial" w:eastAsia="华文细黑" w:hAnsi="Arial" w:cs="Arial"/>
          <w:b/>
          <w:sz w:val="18"/>
          <w:szCs w:val="18"/>
        </w:rPr>
      </w:pPr>
      <w:r>
        <w:rPr>
          <w:rFonts w:ascii="Arial" w:eastAsia="华文细黑" w:hAnsi="Arial" w:cs="Arial" w:hint="eastAsia"/>
          <w:b/>
          <w:sz w:val="18"/>
          <w:szCs w:val="18"/>
        </w:rPr>
        <w:t>提示</w:t>
      </w:r>
      <w:r>
        <w:rPr>
          <w:rFonts w:ascii="Arial" w:eastAsia="华文细黑" w:hAnsi="Arial" w:cs="Arial"/>
          <w:b/>
          <w:sz w:val="18"/>
          <w:szCs w:val="18"/>
        </w:rPr>
        <w:t>：</w:t>
      </w:r>
      <w:bookmarkStart w:id="15" w:name="_Hlk130222586"/>
      <w:r>
        <w:rPr>
          <w:rFonts w:ascii="Arial" w:eastAsia="华文细黑" w:hAnsi="Arial" w:cs="Arial" w:hint="eastAsia"/>
          <w:b/>
          <w:sz w:val="18"/>
          <w:szCs w:val="18"/>
        </w:rPr>
        <w:t>1</w:t>
      </w:r>
      <w:r>
        <w:rPr>
          <w:rFonts w:ascii="Arial" w:eastAsia="华文细黑" w:hAnsi="Arial" w:cs="Arial" w:hint="eastAsia"/>
          <w:b/>
          <w:sz w:val="18"/>
          <w:szCs w:val="18"/>
        </w:rPr>
        <w:t>、估价结果按照法律法规规定，出租方和承租方各自承担相应的交易税费。</w:t>
      </w:r>
    </w:p>
    <w:p w:rsidR="00074975" w:rsidRDefault="00F71F7A">
      <w:pPr>
        <w:spacing w:line="360" w:lineRule="auto"/>
        <w:ind w:right="17" w:firstLineChars="300" w:firstLine="541"/>
        <w:rPr>
          <w:rFonts w:ascii="Arial" w:eastAsia="华文细黑" w:hAnsi="Arial" w:cs="Arial"/>
          <w:b/>
          <w:sz w:val="18"/>
          <w:szCs w:val="18"/>
        </w:rPr>
      </w:pPr>
      <w:r>
        <w:rPr>
          <w:rFonts w:ascii="Arial" w:eastAsia="华文细黑" w:hAnsi="Arial" w:cs="Arial" w:hint="eastAsia"/>
          <w:b/>
          <w:sz w:val="18"/>
          <w:szCs w:val="18"/>
        </w:rPr>
        <w:t>2</w:t>
      </w:r>
      <w:r>
        <w:rPr>
          <w:rFonts w:ascii="Arial" w:eastAsia="华文细黑" w:hAnsi="Arial" w:cs="Arial" w:hint="eastAsia"/>
          <w:b/>
          <w:sz w:val="18"/>
          <w:szCs w:val="18"/>
        </w:rPr>
        <w:t>、</w:t>
      </w:r>
      <w:bookmarkStart w:id="16" w:name="_Hlk212192241"/>
      <w:r>
        <w:rPr>
          <w:rFonts w:ascii="Arial" w:eastAsia="华文细黑" w:hAnsi="Arial" w:cs="Arial" w:hint="eastAsia"/>
          <w:b/>
          <w:sz w:val="18"/>
          <w:szCs w:val="18"/>
        </w:rPr>
        <w:t>估价结果采用价税合计的形式，上述估价</w:t>
      </w:r>
      <w:r>
        <w:rPr>
          <w:rFonts w:ascii="Arial" w:eastAsia="华文细黑" w:hAnsi="Arial" w:cs="Arial"/>
          <w:b/>
          <w:sz w:val="18"/>
          <w:szCs w:val="18"/>
        </w:rPr>
        <w:t>结果中</w:t>
      </w:r>
      <w:r>
        <w:rPr>
          <w:rFonts w:ascii="Arial" w:eastAsia="华文细黑" w:hAnsi="Arial" w:cs="Arial" w:hint="eastAsia"/>
          <w:b/>
          <w:sz w:val="18"/>
          <w:szCs w:val="18"/>
        </w:rPr>
        <w:t>包含增值税及附加、家具家电使用费、物业费，不包含能源费、房地产经纪公司服务费等费用</w:t>
      </w:r>
      <w:bookmarkEnd w:id="16"/>
      <w:r>
        <w:rPr>
          <w:rFonts w:ascii="Arial" w:eastAsia="华文细黑" w:hAnsi="Arial" w:cs="Arial" w:hint="eastAsia"/>
          <w:b/>
          <w:sz w:val="18"/>
          <w:szCs w:val="18"/>
        </w:rPr>
        <w:t>。</w:t>
      </w:r>
    </w:p>
    <w:bookmarkEnd w:id="15"/>
    <w:p w:rsidR="00074975" w:rsidRDefault="00074975">
      <w:pPr>
        <w:spacing w:line="360" w:lineRule="auto"/>
        <w:ind w:right="17"/>
        <w:rPr>
          <w:rFonts w:ascii="Arial" w:eastAsia="华文细黑" w:hAnsi="Arial"/>
          <w:sz w:val="18"/>
          <w:szCs w:val="18"/>
        </w:rPr>
      </w:pPr>
    </w:p>
    <w:p w:rsidR="00074975" w:rsidRDefault="00074975">
      <w:pPr>
        <w:spacing w:line="360" w:lineRule="auto"/>
        <w:ind w:right="17"/>
        <w:rPr>
          <w:rFonts w:ascii="Arial" w:eastAsia="华文细黑" w:hAnsi="Arial"/>
          <w:sz w:val="18"/>
          <w:szCs w:val="18"/>
        </w:rPr>
      </w:pPr>
    </w:p>
    <w:p w:rsidR="00074975" w:rsidRDefault="00074975">
      <w:pPr>
        <w:spacing w:line="360" w:lineRule="auto"/>
        <w:ind w:right="17"/>
        <w:rPr>
          <w:rFonts w:ascii="Arial" w:eastAsia="华文细黑" w:hAnsi="Arial"/>
          <w:sz w:val="18"/>
          <w:szCs w:val="18"/>
        </w:rPr>
      </w:pPr>
    </w:p>
    <w:p w:rsidR="00074975" w:rsidRDefault="00074975">
      <w:pPr>
        <w:spacing w:line="360" w:lineRule="auto"/>
        <w:ind w:right="17"/>
        <w:rPr>
          <w:rFonts w:ascii="Arial" w:eastAsia="华文细黑" w:hAnsi="Arial"/>
          <w:sz w:val="18"/>
          <w:szCs w:val="18"/>
        </w:rPr>
      </w:pPr>
    </w:p>
    <w:p w:rsidR="00074975" w:rsidRDefault="00074975">
      <w:pPr>
        <w:spacing w:line="360" w:lineRule="auto"/>
        <w:ind w:right="17"/>
        <w:rPr>
          <w:rFonts w:ascii="Arial" w:eastAsia="华文细黑" w:hAnsi="Arial"/>
          <w:sz w:val="18"/>
          <w:szCs w:val="18"/>
        </w:rPr>
      </w:pPr>
    </w:p>
    <w:bookmarkEnd w:id="7"/>
    <w:bookmarkEnd w:id="14"/>
    <w:p w:rsidR="00074975" w:rsidRDefault="00F71F7A">
      <w:pPr>
        <w:spacing w:line="480" w:lineRule="auto"/>
        <w:ind w:firstLineChars="500" w:firstLine="1050"/>
        <w:rPr>
          <w:rFonts w:ascii="Arial" w:hAnsi="Arial"/>
          <w:sz w:val="21"/>
        </w:rPr>
      </w:pPr>
      <w:r>
        <w:rPr>
          <w:rFonts w:ascii="Arial" w:hAnsi="Arial" w:hint="eastAsia"/>
          <w:sz w:val="21"/>
        </w:rPr>
        <w:t>顺致</w:t>
      </w:r>
    </w:p>
    <w:p w:rsidR="00074975" w:rsidRDefault="00074975">
      <w:pPr>
        <w:spacing w:line="480" w:lineRule="auto"/>
        <w:ind w:firstLineChars="2000" w:firstLine="4200"/>
        <w:rPr>
          <w:rFonts w:ascii="Arial" w:hAnsi="Arial"/>
          <w:sz w:val="21"/>
        </w:rPr>
      </w:pPr>
    </w:p>
    <w:p w:rsidR="00074975" w:rsidRDefault="00F71F7A">
      <w:pPr>
        <w:spacing w:line="480" w:lineRule="auto"/>
        <w:rPr>
          <w:rFonts w:ascii="Arial" w:hAnsi="Arial"/>
          <w:sz w:val="21"/>
        </w:rPr>
      </w:pPr>
      <w:r>
        <w:rPr>
          <w:rFonts w:ascii="Arial" w:hAnsi="Arial" w:hint="eastAsia"/>
          <w:sz w:val="21"/>
        </w:rPr>
        <w:t>商祺</w:t>
      </w:r>
    </w:p>
    <w:p w:rsidR="00074975" w:rsidRDefault="00F71F7A">
      <w:pPr>
        <w:spacing w:line="360" w:lineRule="auto"/>
        <w:jc w:val="right"/>
        <w:rPr>
          <w:rFonts w:ascii="Arial" w:eastAsia="楷体_GB2312" w:hAnsi="Arial"/>
          <w:sz w:val="28"/>
        </w:rPr>
      </w:pPr>
      <w:r>
        <w:rPr>
          <w:rFonts w:ascii="Arial" w:eastAsia="楷体_GB2312" w:hAnsi="Arial" w:hint="eastAsia"/>
          <w:sz w:val="28"/>
        </w:rPr>
        <w:t xml:space="preserve">                                              </w:t>
      </w:r>
    </w:p>
    <w:tbl>
      <w:tblPr>
        <w:tblW w:w="0" w:type="auto"/>
        <w:tblInd w:w="5920" w:type="dxa"/>
        <w:tblLook w:val="04A0" w:firstRow="1" w:lastRow="0" w:firstColumn="1" w:lastColumn="0" w:noHBand="0" w:noVBand="1"/>
      </w:tblPr>
      <w:tblGrid>
        <w:gridCol w:w="3402"/>
      </w:tblGrid>
      <w:tr w:rsidR="00074975">
        <w:tc>
          <w:tcPr>
            <w:tcW w:w="3402" w:type="dxa"/>
          </w:tcPr>
          <w:p w:rsidR="00074975" w:rsidRDefault="00F71F7A">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074975">
        <w:trPr>
          <w:trHeight w:val="1431"/>
        </w:trPr>
        <w:tc>
          <w:tcPr>
            <w:tcW w:w="3402" w:type="dxa"/>
          </w:tcPr>
          <w:p w:rsidR="00074975" w:rsidRDefault="00F71F7A">
            <w:pPr>
              <w:spacing w:line="480" w:lineRule="auto"/>
              <w:rPr>
                <w:rFonts w:ascii="Arial" w:hAnsi="Arial" w:cs="Arial"/>
                <w:sz w:val="21"/>
                <w:szCs w:val="21"/>
              </w:rPr>
            </w:pPr>
            <w:r>
              <w:rPr>
                <w:rFonts w:ascii="Arial" w:hAnsi="Arial" w:cs="Arial"/>
                <w:sz w:val="21"/>
                <w:szCs w:val="21"/>
              </w:rPr>
              <w:t>法定代表人：</w:t>
            </w:r>
          </w:p>
        </w:tc>
      </w:tr>
      <w:tr w:rsidR="00074975">
        <w:tc>
          <w:tcPr>
            <w:tcW w:w="3402" w:type="dxa"/>
          </w:tcPr>
          <w:p w:rsidR="00074975" w:rsidRDefault="00F71F7A">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○二五</w:t>
            </w:r>
            <w:r>
              <w:rPr>
                <w:rFonts w:ascii="Arial" w:hAnsi="Arial" w:cs="Arial"/>
                <w:sz w:val="21"/>
                <w:szCs w:val="21"/>
              </w:rPr>
              <w:t>年</w:t>
            </w:r>
            <w:r>
              <w:rPr>
                <w:rFonts w:ascii="Arial" w:hAnsi="Arial" w:cs="Arial" w:hint="eastAsia"/>
                <w:sz w:val="21"/>
                <w:szCs w:val="21"/>
              </w:rPr>
              <w:t>十二月九日</w:t>
            </w:r>
          </w:p>
        </w:tc>
      </w:tr>
    </w:tbl>
    <w:p w:rsidR="00074975" w:rsidRDefault="00F71F7A">
      <w:pPr>
        <w:spacing w:line="360" w:lineRule="auto"/>
        <w:jc w:val="right"/>
        <w:rPr>
          <w:rFonts w:ascii="Arial" w:hAnsi="Arial"/>
        </w:rPr>
      </w:pPr>
      <w:r>
        <w:rPr>
          <w:rFonts w:ascii="Arial" w:eastAsia="楷体_GB2312" w:hAnsi="Arial" w:hint="eastAsia"/>
          <w:sz w:val="28"/>
        </w:rPr>
        <w:t xml:space="preserve"> </w:t>
      </w:r>
    </w:p>
    <w:p w:rsidR="00074975" w:rsidRDefault="00074975">
      <w:pPr>
        <w:rPr>
          <w:rFonts w:ascii="Arial" w:hAnsi="Arial"/>
        </w:rPr>
        <w:sectPr w:rsidR="00074975">
          <w:headerReference w:type="default" r:id="rId9"/>
          <w:pgSz w:w="11907" w:h="16840"/>
          <w:pgMar w:top="1843" w:right="1134" w:bottom="1191" w:left="1134" w:header="1134" w:footer="964" w:gutter="340"/>
          <w:pgNumType w:start="1"/>
          <w:cols w:space="720"/>
          <w:docGrid w:linePitch="326"/>
        </w:sectPr>
      </w:pPr>
    </w:p>
    <w:p w:rsidR="00074975" w:rsidRDefault="00F71F7A">
      <w:pPr>
        <w:spacing w:line="480" w:lineRule="auto"/>
        <w:jc w:val="center"/>
        <w:outlineLvl w:val="0"/>
        <w:rPr>
          <w:rFonts w:ascii="Arial" w:eastAsia="方正黑体简体" w:hAnsi="Arial"/>
          <w:sz w:val="32"/>
          <w:szCs w:val="32"/>
        </w:rPr>
      </w:pPr>
      <w:r>
        <w:rPr>
          <w:rFonts w:ascii="Arial" w:eastAsia="方正黑体简体" w:hAnsi="Arial" w:hint="eastAsia"/>
          <w:sz w:val="32"/>
          <w:szCs w:val="32"/>
        </w:rPr>
        <w:lastRenderedPageBreak/>
        <w:t>目</w:t>
      </w:r>
      <w:r>
        <w:rPr>
          <w:rFonts w:ascii="Arial" w:eastAsia="方正黑体简体" w:hAnsi="Arial" w:hint="eastAsia"/>
          <w:sz w:val="32"/>
          <w:szCs w:val="32"/>
        </w:rPr>
        <w:t xml:space="preserve">   </w:t>
      </w:r>
      <w:r>
        <w:rPr>
          <w:rFonts w:ascii="Arial" w:eastAsia="方正黑体简体" w:hAnsi="Arial" w:hint="eastAsia"/>
          <w:sz w:val="32"/>
          <w:szCs w:val="32"/>
        </w:rPr>
        <w:t>录</w:t>
      </w:r>
    </w:p>
    <w:p w:rsidR="00074975" w:rsidRDefault="00F71F7A">
      <w:pPr>
        <w:pStyle w:val="10"/>
        <w:rPr>
          <w:rFonts w:ascii="Arial" w:eastAsia="宋体" w:hAnsi="Arial" w:cs="Arial"/>
          <w:b w:val="0"/>
          <w:bCs w:val="0"/>
          <w:kern w:val="2"/>
          <w:sz w:val="21"/>
          <w:szCs w:val="21"/>
        </w:rPr>
      </w:pPr>
      <w:r>
        <w:rPr>
          <w:rFonts w:ascii="Arial" w:eastAsia="宋体" w:hAnsi="Arial" w:cs="Arial"/>
          <w:sz w:val="21"/>
          <w:szCs w:val="21"/>
        </w:rPr>
        <w:fldChar w:fldCharType="begin"/>
      </w:r>
      <w:r>
        <w:rPr>
          <w:rFonts w:ascii="Arial" w:eastAsia="宋体" w:hAnsi="Arial" w:cs="Arial"/>
          <w:sz w:val="21"/>
          <w:szCs w:val="21"/>
        </w:rPr>
        <w:instrText xml:space="preserve"> TOC \o "1-3" \h \z </w:instrText>
      </w:r>
      <w:r>
        <w:rPr>
          <w:rFonts w:ascii="Arial" w:eastAsia="宋体" w:hAnsi="Arial" w:cs="Arial"/>
          <w:sz w:val="21"/>
          <w:szCs w:val="21"/>
        </w:rPr>
        <w:fldChar w:fldCharType="separate"/>
      </w:r>
      <w:hyperlink w:anchor="_Toc500322960" w:history="1">
        <w:r>
          <w:rPr>
            <w:rStyle w:val="af4"/>
            <w:rFonts w:ascii="Arial" w:eastAsia="宋体" w:hAnsi="Arial" w:cs="Arial"/>
            <w:color w:val="auto"/>
            <w:sz w:val="21"/>
            <w:szCs w:val="21"/>
          </w:rPr>
          <w:t>估价师声明</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_Toc500322960 \h </w:instrText>
        </w:r>
        <w:r>
          <w:rPr>
            <w:rFonts w:ascii="Arial" w:eastAsia="宋体" w:hAnsi="Arial" w:cs="Arial"/>
            <w:sz w:val="21"/>
            <w:szCs w:val="21"/>
          </w:rPr>
        </w:r>
        <w:r>
          <w:rPr>
            <w:rFonts w:ascii="Arial" w:eastAsia="宋体" w:hAnsi="Arial" w:cs="Arial"/>
            <w:sz w:val="21"/>
            <w:szCs w:val="21"/>
          </w:rPr>
          <w:fldChar w:fldCharType="separate"/>
        </w:r>
        <w:r>
          <w:rPr>
            <w:rFonts w:ascii="Arial" w:eastAsia="宋体" w:hAnsi="Arial" w:cs="Arial"/>
            <w:sz w:val="21"/>
            <w:szCs w:val="21"/>
          </w:rPr>
          <w:t>4</w:t>
        </w:r>
        <w:r>
          <w:rPr>
            <w:rFonts w:ascii="Arial" w:eastAsia="宋体" w:hAnsi="Arial" w:cs="Arial"/>
            <w:sz w:val="21"/>
            <w:szCs w:val="21"/>
          </w:rPr>
          <w:fldChar w:fldCharType="end"/>
        </w:r>
      </w:hyperlink>
    </w:p>
    <w:p w:rsidR="00074975" w:rsidRDefault="00F71F7A">
      <w:pPr>
        <w:pStyle w:val="10"/>
        <w:rPr>
          <w:rFonts w:ascii="Arial" w:eastAsia="宋体" w:hAnsi="Arial" w:cs="Arial"/>
          <w:b w:val="0"/>
          <w:bCs w:val="0"/>
          <w:kern w:val="2"/>
          <w:sz w:val="21"/>
          <w:szCs w:val="21"/>
        </w:rPr>
      </w:pPr>
      <w:hyperlink w:anchor="_Toc500322961" w:history="1">
        <w:r>
          <w:rPr>
            <w:rStyle w:val="af4"/>
            <w:rFonts w:ascii="Arial" w:eastAsia="宋体" w:hAnsi="Arial" w:cs="Arial"/>
            <w:color w:val="auto"/>
            <w:sz w:val="21"/>
            <w:szCs w:val="21"/>
          </w:rPr>
          <w:t>估价假设和限制条件</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_Toc500322961 \h </w:instrText>
        </w:r>
        <w:r>
          <w:rPr>
            <w:rFonts w:ascii="Arial" w:eastAsia="宋体" w:hAnsi="Arial" w:cs="Arial"/>
            <w:sz w:val="21"/>
            <w:szCs w:val="21"/>
          </w:rPr>
        </w:r>
        <w:r>
          <w:rPr>
            <w:rFonts w:ascii="Arial" w:eastAsia="宋体" w:hAnsi="Arial" w:cs="Arial"/>
            <w:sz w:val="21"/>
            <w:szCs w:val="21"/>
          </w:rPr>
          <w:fldChar w:fldCharType="separate"/>
        </w:r>
        <w:r>
          <w:rPr>
            <w:rFonts w:ascii="Arial" w:eastAsia="宋体" w:hAnsi="Arial" w:cs="Arial"/>
            <w:sz w:val="21"/>
            <w:szCs w:val="21"/>
          </w:rPr>
          <w:t>5</w:t>
        </w:r>
        <w:r>
          <w:rPr>
            <w:rFonts w:ascii="Arial" w:eastAsia="宋体" w:hAnsi="Arial" w:cs="Arial"/>
            <w:sz w:val="21"/>
            <w:szCs w:val="21"/>
          </w:rPr>
          <w:fldChar w:fldCharType="end"/>
        </w:r>
      </w:hyperlink>
    </w:p>
    <w:p w:rsidR="00074975" w:rsidRDefault="00F71F7A">
      <w:pPr>
        <w:pStyle w:val="10"/>
        <w:rPr>
          <w:rFonts w:ascii="Arial" w:eastAsia="宋体" w:hAnsi="Arial" w:cs="Arial"/>
          <w:b w:val="0"/>
          <w:bCs w:val="0"/>
          <w:kern w:val="2"/>
          <w:sz w:val="21"/>
          <w:szCs w:val="21"/>
        </w:rPr>
      </w:pPr>
      <w:hyperlink w:anchor="_Toc500322962" w:history="1">
        <w:r>
          <w:rPr>
            <w:rStyle w:val="af4"/>
            <w:rFonts w:ascii="Arial" w:eastAsia="宋体" w:hAnsi="Arial" w:cs="Arial"/>
            <w:color w:val="auto"/>
            <w:sz w:val="21"/>
            <w:szCs w:val="21"/>
          </w:rPr>
          <w:t>估价结果报告</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_Toc500322962 \h </w:instrText>
        </w:r>
        <w:r>
          <w:rPr>
            <w:rFonts w:ascii="Arial" w:eastAsia="宋体" w:hAnsi="Arial" w:cs="Arial"/>
            <w:sz w:val="21"/>
            <w:szCs w:val="21"/>
          </w:rPr>
        </w:r>
        <w:r>
          <w:rPr>
            <w:rFonts w:ascii="Arial" w:eastAsia="宋体" w:hAnsi="Arial" w:cs="Arial"/>
            <w:sz w:val="21"/>
            <w:szCs w:val="21"/>
          </w:rPr>
          <w:fldChar w:fldCharType="separate"/>
        </w:r>
        <w:r>
          <w:rPr>
            <w:rFonts w:ascii="Arial" w:eastAsia="宋体" w:hAnsi="Arial" w:cs="Arial"/>
            <w:sz w:val="21"/>
            <w:szCs w:val="21"/>
          </w:rPr>
          <w:t>8</w:t>
        </w:r>
        <w:r>
          <w:rPr>
            <w:rFonts w:ascii="Arial" w:eastAsia="宋体" w:hAnsi="Arial" w:cs="Arial"/>
            <w:sz w:val="21"/>
            <w:szCs w:val="21"/>
          </w:rPr>
          <w:fldChar w:fldCharType="end"/>
        </w:r>
      </w:hyperlink>
    </w:p>
    <w:p w:rsidR="00074975" w:rsidRDefault="00F71F7A">
      <w:pPr>
        <w:pStyle w:val="21"/>
        <w:rPr>
          <w:rFonts w:ascii="Arial" w:hAnsi="Arial" w:cs="Arial"/>
          <w:kern w:val="2"/>
          <w:sz w:val="21"/>
          <w:szCs w:val="21"/>
        </w:rPr>
      </w:pPr>
      <w:hyperlink w:anchor="_Toc500322963" w:history="1">
        <w:r>
          <w:rPr>
            <w:rStyle w:val="af4"/>
            <w:rFonts w:ascii="Arial" w:hAnsi="Arial" w:cs="Arial"/>
            <w:color w:val="auto"/>
            <w:sz w:val="21"/>
            <w:szCs w:val="21"/>
          </w:rPr>
          <w:t>一、估价委托人</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4" w:history="1">
        <w:r>
          <w:rPr>
            <w:rStyle w:val="af4"/>
            <w:rFonts w:ascii="Arial" w:hAnsi="Arial" w:cs="Arial"/>
            <w:color w:val="auto"/>
            <w:sz w:val="21"/>
            <w:szCs w:val="21"/>
          </w:rPr>
          <w:t>二、房地产估价机构</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5" w:history="1">
        <w:r>
          <w:rPr>
            <w:rStyle w:val="af4"/>
            <w:rFonts w:ascii="Arial" w:hAnsi="Arial" w:cs="Arial"/>
            <w:color w:val="auto"/>
            <w:sz w:val="21"/>
            <w:szCs w:val="21"/>
          </w:rPr>
          <w:t>三、估价目的</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6" w:history="1">
        <w:r>
          <w:rPr>
            <w:rStyle w:val="af4"/>
            <w:rFonts w:ascii="Arial" w:hAnsi="Arial" w:cs="Arial"/>
            <w:color w:val="auto"/>
            <w:sz w:val="21"/>
            <w:szCs w:val="21"/>
          </w:rPr>
          <w:t>四、估价</w:t>
        </w:r>
        <w:bookmarkStart w:id="17" w:name="_Hlt212136602"/>
        <w:bookmarkStart w:id="18" w:name="_Hlt212146359"/>
        <w:bookmarkStart w:id="19" w:name="_Hlt212136601"/>
        <w:r>
          <w:rPr>
            <w:rStyle w:val="af4"/>
            <w:rFonts w:ascii="Arial" w:hAnsi="Arial" w:cs="Arial"/>
            <w:color w:val="auto"/>
            <w:sz w:val="21"/>
            <w:szCs w:val="21"/>
          </w:rPr>
          <w:t>对</w:t>
        </w:r>
        <w:bookmarkEnd w:id="17"/>
        <w:bookmarkEnd w:id="18"/>
        <w:bookmarkEnd w:id="19"/>
        <w:r>
          <w:rPr>
            <w:rStyle w:val="af4"/>
            <w:rFonts w:ascii="Arial" w:hAnsi="Arial" w:cs="Arial"/>
            <w:color w:val="auto"/>
            <w:sz w:val="21"/>
            <w:szCs w:val="21"/>
          </w:rPr>
          <w:t>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7" w:history="1">
        <w:r>
          <w:rPr>
            <w:rStyle w:val="af4"/>
            <w:rFonts w:ascii="Arial" w:hAnsi="Arial" w:cs="Arial"/>
            <w:color w:val="auto"/>
            <w:sz w:val="21"/>
            <w:szCs w:val="21"/>
          </w:rPr>
          <w:t>五、影响房地产价格因素分析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8" w:history="1">
        <w:r>
          <w:rPr>
            <w:rStyle w:val="af4"/>
            <w:rFonts w:ascii="Arial" w:hAnsi="Arial" w:cs="Arial"/>
            <w:color w:val="auto"/>
            <w:sz w:val="21"/>
            <w:szCs w:val="21"/>
          </w:rPr>
          <w:t>六、价值时点</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69" w:history="1">
        <w:r>
          <w:rPr>
            <w:rStyle w:val="af4"/>
            <w:rFonts w:ascii="Arial" w:hAnsi="Arial" w:cs="Arial"/>
            <w:color w:val="auto"/>
            <w:sz w:val="21"/>
            <w:szCs w:val="21"/>
          </w:rPr>
          <w:t>七、价值类型</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0" w:history="1">
        <w:r>
          <w:rPr>
            <w:rStyle w:val="af4"/>
            <w:rFonts w:ascii="Arial" w:hAnsi="Arial" w:cs="Arial"/>
            <w:color w:val="auto"/>
            <w:sz w:val="21"/>
            <w:szCs w:val="21"/>
          </w:rPr>
          <w:t>八、估价原则</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1" w:history="1">
        <w:r>
          <w:rPr>
            <w:rStyle w:val="af4"/>
            <w:rFonts w:ascii="Arial" w:hAnsi="Arial" w:cs="Arial"/>
            <w:color w:val="auto"/>
            <w:sz w:val="21"/>
            <w:szCs w:val="21"/>
          </w:rPr>
          <w:t>九、估价依</w:t>
        </w:r>
        <w:bookmarkStart w:id="20" w:name="_Hlt129680897"/>
        <w:bookmarkStart w:id="21" w:name="_Hlt129680896"/>
        <w:r>
          <w:rPr>
            <w:rStyle w:val="af4"/>
            <w:rFonts w:ascii="Arial" w:hAnsi="Arial" w:cs="Arial"/>
            <w:color w:val="auto"/>
            <w:sz w:val="21"/>
            <w:szCs w:val="21"/>
          </w:rPr>
          <w:t>据</w:t>
        </w:r>
        <w:bookmarkEnd w:id="20"/>
        <w:bookmarkEnd w:id="21"/>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_Toc500322971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2" w:history="1">
        <w:r>
          <w:rPr>
            <w:rStyle w:val="af4"/>
            <w:rFonts w:ascii="Arial" w:hAnsi="Arial" w:cs="Arial"/>
            <w:color w:val="auto"/>
            <w:sz w:val="21"/>
            <w:szCs w:val="21"/>
          </w:rPr>
          <w:t>十、估价方法</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3" w:history="1">
        <w:r>
          <w:rPr>
            <w:rStyle w:val="af4"/>
            <w:rFonts w:ascii="Arial" w:hAnsi="Arial" w:cs="Arial"/>
            <w:color w:val="auto"/>
            <w:sz w:val="21"/>
            <w:szCs w:val="21"/>
          </w:rPr>
          <w:t>十一、估价结果</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4" w:history="1">
        <w:r>
          <w:rPr>
            <w:rStyle w:val="af4"/>
            <w:rFonts w:ascii="Arial" w:hAnsi="Arial" w:cs="Arial"/>
            <w:color w:val="auto"/>
            <w:sz w:val="21"/>
            <w:szCs w:val="21"/>
          </w:rPr>
          <w:t>十二、参与本次估价工作的评估专业人员</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5" w:history="1">
        <w:r>
          <w:rPr>
            <w:rStyle w:val="af4"/>
            <w:rFonts w:ascii="Arial" w:hAnsi="Arial" w:cs="Arial"/>
            <w:color w:val="auto"/>
            <w:sz w:val="21"/>
            <w:szCs w:val="21"/>
          </w:rPr>
          <w:t>十三、实地查勘期</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hyperlink>
    </w:p>
    <w:p w:rsidR="00074975" w:rsidRDefault="00F71F7A">
      <w:pPr>
        <w:pStyle w:val="21"/>
        <w:rPr>
          <w:rFonts w:ascii="Arial" w:hAnsi="Arial" w:cs="Arial"/>
          <w:kern w:val="2"/>
          <w:sz w:val="21"/>
          <w:szCs w:val="21"/>
        </w:rPr>
      </w:pPr>
      <w:hyperlink w:anchor="_Toc500322976" w:history="1">
        <w:r>
          <w:rPr>
            <w:rStyle w:val="af4"/>
            <w:rFonts w:ascii="Arial" w:hAnsi="Arial" w:cs="Arial"/>
            <w:color w:val="auto"/>
            <w:sz w:val="21"/>
            <w:szCs w:val="21"/>
          </w:rPr>
          <w:t>十四、估价作业期</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hyperlink>
    </w:p>
    <w:p w:rsidR="00074975" w:rsidRDefault="00F71F7A">
      <w:pPr>
        <w:pStyle w:val="10"/>
        <w:rPr>
          <w:rFonts w:ascii="Arial" w:eastAsia="宋体" w:hAnsi="Arial" w:cs="Arial"/>
          <w:b w:val="0"/>
          <w:bCs w:val="0"/>
          <w:kern w:val="2"/>
          <w:sz w:val="21"/>
          <w:szCs w:val="21"/>
        </w:rPr>
      </w:pPr>
      <w:hyperlink w:anchor="_Toc500322977" w:history="1">
        <w:r>
          <w:rPr>
            <w:rStyle w:val="af4"/>
            <w:rFonts w:ascii="Arial" w:eastAsia="宋体" w:hAnsi="Arial" w:cs="Arial"/>
            <w:color w:val="auto"/>
            <w:sz w:val="21"/>
            <w:szCs w:val="21"/>
          </w:rPr>
          <w:t>附</w:t>
        </w:r>
        <w:r>
          <w:rPr>
            <w:rStyle w:val="af4"/>
            <w:rFonts w:ascii="Arial" w:eastAsia="宋体" w:hAnsi="Arial" w:cs="Arial"/>
            <w:color w:val="auto"/>
            <w:sz w:val="21"/>
            <w:szCs w:val="21"/>
          </w:rPr>
          <w:t xml:space="preserve">   </w:t>
        </w:r>
        <w:r>
          <w:rPr>
            <w:rStyle w:val="af4"/>
            <w:rFonts w:ascii="Arial" w:eastAsia="宋体" w:hAnsi="Arial" w:cs="Arial"/>
            <w:color w:val="auto"/>
            <w:sz w:val="21"/>
            <w:szCs w:val="21"/>
          </w:rPr>
          <w:t>件</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_Toc500322977 \h </w:instrText>
        </w:r>
        <w:r>
          <w:rPr>
            <w:rFonts w:ascii="Arial" w:eastAsia="宋体" w:hAnsi="Arial" w:cs="Arial"/>
            <w:sz w:val="21"/>
            <w:szCs w:val="21"/>
          </w:rPr>
        </w:r>
        <w:r>
          <w:rPr>
            <w:rFonts w:ascii="Arial" w:eastAsia="宋体" w:hAnsi="Arial" w:cs="Arial"/>
            <w:sz w:val="21"/>
            <w:szCs w:val="21"/>
          </w:rPr>
          <w:fldChar w:fldCharType="separate"/>
        </w:r>
        <w:r>
          <w:rPr>
            <w:rFonts w:ascii="Arial" w:eastAsia="宋体" w:hAnsi="Arial" w:cs="Arial"/>
            <w:sz w:val="21"/>
            <w:szCs w:val="21"/>
          </w:rPr>
          <w:t>30</w:t>
        </w:r>
        <w:r>
          <w:rPr>
            <w:rFonts w:ascii="Arial" w:eastAsia="宋体" w:hAnsi="Arial" w:cs="Arial"/>
            <w:sz w:val="21"/>
            <w:szCs w:val="21"/>
          </w:rPr>
          <w:fldChar w:fldCharType="end"/>
        </w:r>
      </w:hyperlink>
    </w:p>
    <w:p w:rsidR="00074975" w:rsidRDefault="00F71F7A">
      <w:pPr>
        <w:numPr>
          <w:ilvl w:val="0"/>
          <w:numId w:val="6"/>
        </w:numPr>
        <w:spacing w:line="420" w:lineRule="exact"/>
        <w:jc w:val="both"/>
        <w:textAlignment w:val="auto"/>
        <w:rPr>
          <w:rFonts w:ascii="Arial" w:hAnsi="Arial"/>
          <w:sz w:val="21"/>
          <w:szCs w:val="24"/>
        </w:rPr>
      </w:pPr>
      <w:r>
        <w:rPr>
          <w:rFonts w:ascii="Arial" w:hAnsi="Arial" w:cs="Arial"/>
          <w:sz w:val="21"/>
          <w:szCs w:val="21"/>
        </w:rPr>
        <w:fldChar w:fldCharType="end"/>
      </w:r>
      <w:r>
        <w:rPr>
          <w:rFonts w:ascii="Arial" w:hAnsi="Arial" w:hint="eastAsia"/>
          <w:sz w:val="21"/>
          <w:szCs w:val="24"/>
        </w:rPr>
        <w:t>《估价委托书》复印件</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估价对象所在位置示意图</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估价对象实地查勘相关照片</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《名称变更通知》复印件</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房地产估价机构《营业执照（副本）》复印件</w:t>
      </w:r>
    </w:p>
    <w:p w:rsidR="00074975" w:rsidRDefault="00F71F7A">
      <w:pPr>
        <w:numPr>
          <w:ilvl w:val="0"/>
          <w:numId w:val="6"/>
        </w:numPr>
        <w:spacing w:line="420" w:lineRule="exact"/>
        <w:jc w:val="both"/>
        <w:textAlignment w:val="auto"/>
        <w:rPr>
          <w:rFonts w:ascii="Arial" w:hAnsi="Arial"/>
          <w:sz w:val="21"/>
          <w:szCs w:val="24"/>
        </w:rPr>
      </w:pPr>
      <w:r>
        <w:rPr>
          <w:rFonts w:ascii="Arial" w:hAnsi="Arial" w:hint="eastAsia"/>
          <w:sz w:val="21"/>
          <w:szCs w:val="24"/>
        </w:rPr>
        <w:t>估价机构资质证书复印件</w:t>
      </w:r>
    </w:p>
    <w:p w:rsidR="00074975" w:rsidRDefault="00F71F7A">
      <w:pPr>
        <w:numPr>
          <w:ilvl w:val="0"/>
          <w:numId w:val="7"/>
        </w:numPr>
        <w:spacing w:line="420" w:lineRule="exact"/>
        <w:jc w:val="both"/>
        <w:textAlignment w:val="auto"/>
        <w:rPr>
          <w:rFonts w:ascii="Arial" w:hAnsi="Arial" w:cs="Arial"/>
          <w:sz w:val="21"/>
          <w:szCs w:val="24"/>
        </w:rPr>
        <w:sectPr w:rsidR="00074975">
          <w:pgSz w:w="11907" w:h="16840"/>
          <w:pgMar w:top="1843" w:right="1134" w:bottom="1191" w:left="1134" w:header="1134" w:footer="1134" w:gutter="340"/>
          <w:cols w:space="720"/>
          <w:docGrid w:linePitch="326"/>
        </w:sectPr>
      </w:pPr>
      <w:r>
        <w:rPr>
          <w:rFonts w:ascii="Arial" w:hAnsi="Arial" w:hint="eastAsia"/>
          <w:sz w:val="21"/>
          <w:szCs w:val="24"/>
        </w:rPr>
        <w:t>评估专业人员执业证书复印件</w:t>
      </w:r>
    </w:p>
    <w:p w:rsidR="00074975" w:rsidRDefault="00F71F7A">
      <w:pPr>
        <w:pStyle w:val="1"/>
        <w:numPr>
          <w:ilvl w:val="0"/>
          <w:numId w:val="0"/>
        </w:numPr>
        <w:spacing w:line="480" w:lineRule="auto"/>
        <w:jc w:val="center"/>
        <w:rPr>
          <w:rFonts w:eastAsia="方正黑体简体"/>
          <w:b w:val="0"/>
          <w:kern w:val="2"/>
          <w:sz w:val="32"/>
          <w:szCs w:val="32"/>
        </w:rPr>
      </w:pPr>
      <w:bookmarkStart w:id="22" w:name="_Toc500322960"/>
      <w:bookmarkStart w:id="23" w:name="_Toc379795041"/>
      <w:r>
        <w:rPr>
          <w:rFonts w:eastAsia="方正黑体简体" w:hint="eastAsia"/>
          <w:b w:val="0"/>
          <w:kern w:val="2"/>
          <w:sz w:val="32"/>
          <w:szCs w:val="32"/>
        </w:rPr>
        <w:lastRenderedPageBreak/>
        <w:t>估价师声明</w:t>
      </w:r>
      <w:bookmarkEnd w:id="22"/>
      <w:bookmarkEnd w:id="23"/>
    </w:p>
    <w:p w:rsidR="00074975" w:rsidRDefault="00F71F7A">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注册房地产估价师郑重声明：</w:t>
      </w:r>
      <w:r>
        <w:rPr>
          <w:rFonts w:ascii="Arial" w:hAnsi="Arial" w:cs="Arial"/>
          <w:kern w:val="2"/>
          <w:sz w:val="21"/>
          <w:szCs w:val="21"/>
        </w:rPr>
        <w:t xml:space="preserve"> </w:t>
      </w:r>
    </w:p>
    <w:p w:rsidR="00074975" w:rsidRDefault="00F71F7A">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（一</w:t>
      </w:r>
      <w:r>
        <w:rPr>
          <w:rFonts w:ascii="Arial" w:hAnsi="Arial" w:cs="Arial" w:hint="eastAsia"/>
          <w:kern w:val="2"/>
          <w:sz w:val="21"/>
          <w:szCs w:val="21"/>
        </w:rPr>
        <w:t>）</w:t>
      </w:r>
      <w:r>
        <w:rPr>
          <w:rFonts w:ascii="Arial" w:hAnsi="Arial" w:cs="Arial"/>
          <w:kern w:val="2"/>
          <w:sz w:val="21"/>
          <w:szCs w:val="21"/>
        </w:rPr>
        <w:t>注册房地产估价师在本估价报告中对事实的说明是真实的和准确的，没有虚假记载、误导性陈述和重大遗漏。</w:t>
      </w:r>
    </w:p>
    <w:p w:rsidR="00074975" w:rsidRDefault="00F71F7A">
      <w:pPr>
        <w:overflowPunct w:val="0"/>
        <w:spacing w:line="480" w:lineRule="auto"/>
        <w:jc w:val="both"/>
        <w:textAlignment w:val="auto"/>
        <w:outlineLvl w:val="0"/>
        <w:rPr>
          <w:rFonts w:ascii="Arial" w:hAnsi="Arial" w:cs="Arial"/>
          <w:kern w:val="2"/>
          <w:sz w:val="21"/>
          <w:szCs w:val="21"/>
        </w:rPr>
      </w:pPr>
      <w:r>
        <w:rPr>
          <w:rFonts w:ascii="Arial" w:hAnsi="Arial" w:cs="Arial" w:hint="eastAsia"/>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rsidR="00074975" w:rsidRDefault="00F71F7A">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rsidR="00074975" w:rsidRDefault="00F71F7A">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（四）注册房地产估价师依照中华人民共和国国家标准《房地产估价规范》、《房地产估价基本术语标准》以及相关房地产估价专项标准进行估价工作，撰写本估价报告</w:t>
      </w:r>
      <w:r>
        <w:rPr>
          <w:rFonts w:ascii="Arial" w:hAnsi="Arial" w:hint="eastAsia"/>
          <w:kern w:val="2"/>
          <w:sz w:val="21"/>
          <w:szCs w:val="21"/>
        </w:rPr>
        <w:t>。</w:t>
      </w:r>
    </w:p>
    <w:p w:rsidR="00074975" w:rsidRDefault="00074975">
      <w:pPr>
        <w:overflowPunct w:val="0"/>
        <w:spacing w:line="480" w:lineRule="auto"/>
        <w:jc w:val="both"/>
        <w:textAlignment w:val="auto"/>
        <w:rPr>
          <w:rFonts w:ascii="Arial" w:hAnsi="Arial"/>
          <w:sz w:val="21"/>
          <w:szCs w:val="21"/>
        </w:rPr>
      </w:pPr>
      <w:bookmarkStart w:id="24" w:name="_Toc168225811"/>
    </w:p>
    <w:p w:rsidR="00074975" w:rsidRDefault="00074975">
      <w:pPr>
        <w:overflowPunct w:val="0"/>
        <w:spacing w:line="480" w:lineRule="auto"/>
        <w:jc w:val="both"/>
        <w:textAlignment w:val="auto"/>
        <w:outlineLvl w:val="0"/>
        <w:rPr>
          <w:rFonts w:ascii="Arial" w:hAnsi="Arial"/>
          <w:kern w:val="2"/>
          <w:sz w:val="21"/>
          <w:szCs w:val="21"/>
        </w:rPr>
        <w:sectPr w:rsidR="00074975">
          <w:headerReference w:type="default" r:id="rId10"/>
          <w:headerReference w:type="first" r:id="rId11"/>
          <w:footerReference w:type="first" r:id="rId12"/>
          <w:pgSz w:w="11907" w:h="16840"/>
          <w:pgMar w:top="1843" w:right="1134" w:bottom="1191" w:left="1134" w:header="1134" w:footer="1134" w:gutter="340"/>
          <w:cols w:space="720"/>
          <w:docGrid w:linePitch="326"/>
        </w:sectPr>
      </w:pPr>
    </w:p>
    <w:p w:rsidR="00074975" w:rsidRDefault="00F71F7A">
      <w:pPr>
        <w:pStyle w:val="1"/>
        <w:numPr>
          <w:ilvl w:val="0"/>
          <w:numId w:val="0"/>
        </w:numPr>
        <w:spacing w:line="480" w:lineRule="auto"/>
        <w:jc w:val="center"/>
        <w:rPr>
          <w:rFonts w:eastAsia="方正黑体简体"/>
          <w:b w:val="0"/>
          <w:kern w:val="2"/>
          <w:sz w:val="32"/>
          <w:szCs w:val="32"/>
        </w:rPr>
      </w:pPr>
      <w:bookmarkStart w:id="25" w:name="_Toc500322961"/>
      <w:bookmarkStart w:id="26" w:name="_Toc379795042"/>
      <w:r>
        <w:rPr>
          <w:rFonts w:eastAsia="方正黑体简体" w:hint="eastAsia"/>
          <w:b w:val="0"/>
          <w:kern w:val="2"/>
          <w:sz w:val="32"/>
          <w:szCs w:val="32"/>
        </w:rPr>
        <w:lastRenderedPageBreak/>
        <w:t>估价假设和限制条件</w:t>
      </w:r>
      <w:bookmarkEnd w:id="25"/>
      <w:bookmarkEnd w:id="26"/>
    </w:p>
    <w:bookmarkEnd w:id="24"/>
    <w:p w:rsidR="00074975" w:rsidRDefault="00F71F7A">
      <w:pPr>
        <w:overflowPunct w:val="0"/>
        <w:spacing w:line="480" w:lineRule="auto"/>
        <w:jc w:val="both"/>
        <w:textAlignment w:val="auto"/>
        <w:outlineLvl w:val="0"/>
        <w:rPr>
          <w:rFonts w:ascii="Arial" w:hAnsi="Arial" w:cs="Arial"/>
          <w:b/>
          <w:kern w:val="2"/>
          <w:sz w:val="21"/>
        </w:rPr>
      </w:pPr>
      <w:r>
        <w:rPr>
          <w:rFonts w:ascii="Arial" w:hAnsi="Arial" w:cs="Arial"/>
          <w:b/>
          <w:kern w:val="2"/>
          <w:sz w:val="21"/>
        </w:rPr>
        <w:t>（一）本次估价的一般假设</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1.</w:t>
      </w:r>
      <w:r>
        <w:rPr>
          <w:rFonts w:ascii="Arial" w:hAnsi="Arial" w:hint="eastAsia"/>
          <w:kern w:val="2"/>
          <w:sz w:val="21"/>
        </w:rPr>
        <w:t>在各价值时点的房地产市场均为公开、平等、自愿的交易市场。</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2.</w:t>
      </w:r>
      <w:r>
        <w:rPr>
          <w:rFonts w:ascii="Arial" w:hAnsi="Arial" w:hint="eastAsia"/>
          <w:kern w:val="2"/>
          <w:sz w:val="21"/>
        </w:rPr>
        <w:t>本估价报告的估价结果为正常条件下的公开市场租金水平，房地产交易需要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对象市场租金水平产生的影响。</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本次评估设定估价对象的划拨国有建设用地使用权和建筑物所有权均为合法方式取得，估价对象可正常交付使用。</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评估专业人员已对估价委托人所提供的、本估价报告所依据的估价对象的权属以及其他相关资料进行了检查，</w:t>
      </w:r>
      <w:r>
        <w:rPr>
          <w:rFonts w:ascii="Arial" w:hAnsi="Arial"/>
          <w:kern w:val="2"/>
          <w:sz w:val="21"/>
        </w:rPr>
        <w:t>无理由怀疑其合法性、真实性、准确性和完整性</w:t>
      </w:r>
      <w:r>
        <w:rPr>
          <w:rFonts w:ascii="Arial" w:hAnsi="Arial" w:hint="eastAsia"/>
          <w:kern w:val="2"/>
          <w:sz w:val="21"/>
        </w:rPr>
        <w:t>。本次评估设定估价委托人提供的资料合法、属实，并且提供了与本次评估有关的所有资料，没有保留及隐瞒。</w:t>
      </w:r>
    </w:p>
    <w:p w:rsidR="00074975" w:rsidRDefault="00F71F7A">
      <w:pPr>
        <w:overflowPunct w:val="0"/>
        <w:spacing w:line="480" w:lineRule="auto"/>
        <w:ind w:firstLineChars="200" w:firstLine="420"/>
        <w:jc w:val="both"/>
        <w:textAlignment w:val="auto"/>
        <w:rPr>
          <w:rFonts w:ascii="Arial" w:hAnsi="Arial" w:cs="Arial"/>
          <w:sz w:val="21"/>
        </w:rPr>
      </w:pPr>
      <w:r>
        <w:rPr>
          <w:rFonts w:ascii="Arial" w:hAnsi="Arial" w:hint="eastAsia"/>
          <w:kern w:val="2"/>
          <w:sz w:val="21"/>
        </w:rPr>
        <w:t>5.</w:t>
      </w:r>
      <w:r>
        <w:rPr>
          <w:rFonts w:ascii="Arial" w:hAnsi="Arial" w:cs="Arial"/>
          <w:sz w:val="21"/>
        </w:rPr>
        <w:t>估价对象建筑面积以</w:t>
      </w:r>
      <w:r>
        <w:rPr>
          <w:rFonts w:ascii="Arial" w:hAnsi="Arial" w:hint="eastAsia"/>
          <w:sz w:val="21"/>
          <w:szCs w:val="24"/>
        </w:rPr>
        <w:t>《估价委托书》、《租赁合同》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cs="Arial"/>
          <w:sz w:val="21"/>
        </w:rPr>
        <w:t>上载明的为</w:t>
      </w:r>
      <w:r>
        <w:rPr>
          <w:rFonts w:ascii="Arial" w:hAnsi="Arial" w:cs="Arial" w:hint="eastAsia"/>
          <w:sz w:val="21"/>
        </w:rPr>
        <w:t>准。</w:t>
      </w:r>
    </w:p>
    <w:p w:rsidR="00074975" w:rsidRDefault="00F71F7A">
      <w:pPr>
        <w:overflowPunct w:val="0"/>
        <w:spacing w:line="480" w:lineRule="auto"/>
        <w:ind w:firstLineChars="200" w:firstLine="420"/>
        <w:jc w:val="both"/>
        <w:textAlignment w:val="auto"/>
        <w:rPr>
          <w:rFonts w:ascii="Arial" w:hAnsi="Arial" w:cs="Arial"/>
          <w:i/>
          <w:kern w:val="2"/>
          <w:sz w:val="21"/>
          <w:szCs w:val="21"/>
        </w:rPr>
      </w:pPr>
      <w:r>
        <w:rPr>
          <w:rFonts w:ascii="Arial" w:hAnsi="Arial" w:hint="eastAsia"/>
          <w:sz w:val="21"/>
        </w:rPr>
        <w:t>6.</w:t>
      </w:r>
      <w:r>
        <w:rPr>
          <w:rFonts w:ascii="Arial" w:hAnsi="Arial" w:hint="eastAsia"/>
          <w:kern w:val="2"/>
          <w:sz w:val="21"/>
        </w:rPr>
        <w:t>评估专业人员对估价对象及其周边环境进行了一般性查勘，并对</w:t>
      </w:r>
      <w:r>
        <w:rPr>
          <w:rFonts w:ascii="Arial" w:hAnsi="Arial"/>
          <w:kern w:val="2"/>
          <w:sz w:val="21"/>
        </w:rPr>
        <w:t>房屋安全</w:t>
      </w:r>
      <w:r>
        <w:rPr>
          <w:rFonts w:ascii="Arial" w:hAnsi="Arial" w:hint="eastAsia"/>
          <w:kern w:val="2"/>
          <w:sz w:val="21"/>
        </w:rPr>
        <w:t>以及</w:t>
      </w:r>
      <w:r>
        <w:rPr>
          <w:rFonts w:ascii="Arial" w:hAnsi="Arial"/>
          <w:kern w:val="2"/>
          <w:sz w:val="21"/>
        </w:rPr>
        <w:t>环境污染等</w:t>
      </w:r>
      <w:r>
        <w:rPr>
          <w:rFonts w:ascii="Arial" w:hAnsi="Arial" w:hint="eastAsia"/>
          <w:kern w:val="2"/>
          <w:sz w:val="21"/>
        </w:rPr>
        <w:t>影响估价对象价值的重大因素给予了关注</w:t>
      </w:r>
      <w:r>
        <w:rPr>
          <w:rFonts w:ascii="Arial" w:hAnsi="Arial"/>
          <w:kern w:val="2"/>
          <w:sz w:val="21"/>
        </w:rPr>
        <w:t>，</w:t>
      </w:r>
      <w:r>
        <w:rPr>
          <w:rFonts w:ascii="Arial" w:hAnsi="Arial" w:hint="eastAsia"/>
          <w:kern w:val="2"/>
          <w:sz w:val="21"/>
        </w:rPr>
        <w:t>在</w:t>
      </w:r>
      <w:r>
        <w:rPr>
          <w:rFonts w:ascii="Arial" w:hAnsi="Arial"/>
          <w:kern w:val="2"/>
          <w:sz w:val="21"/>
        </w:rPr>
        <w:t>无理由怀疑估价对象存在隐患</w:t>
      </w:r>
      <w:r>
        <w:rPr>
          <w:rFonts w:ascii="Arial" w:hAnsi="Arial" w:hint="eastAsia"/>
          <w:kern w:val="2"/>
          <w:sz w:val="21"/>
        </w:rPr>
        <w:t>且无相应的专业机构进行鉴定、检测的情况下，设定估价对象能够正常安全使用。</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7.</w:t>
      </w:r>
      <w:r>
        <w:rPr>
          <w:rFonts w:ascii="Arial" w:hAnsi="Arial" w:hint="eastAsia"/>
          <w:kern w:val="2"/>
          <w:sz w:val="21"/>
        </w:rPr>
        <w:t>任何有关估价对象的运作方式、程序符合国家、地方的有关法律、法规。</w:t>
      </w:r>
    </w:p>
    <w:p w:rsidR="00074975" w:rsidRDefault="00F71F7A">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rPr>
        <w:t>8</w:t>
      </w:r>
      <w:r>
        <w:rPr>
          <w:rFonts w:ascii="Arial" w:hAnsi="Arial" w:cs="Arial"/>
          <w:kern w:val="2"/>
          <w:sz w:val="21"/>
        </w:rPr>
        <w:t>.</w:t>
      </w:r>
      <w:r>
        <w:rPr>
          <w:rFonts w:ascii="Arial" w:hAnsi="Arial" w:cs="Arial" w:hint="eastAsia"/>
          <w:sz w:val="21"/>
          <w:szCs w:val="28"/>
        </w:rPr>
        <w:t>根</w:t>
      </w:r>
      <w:r>
        <w:rPr>
          <w:rFonts w:ascii="Arial" w:hAnsi="Arial" w:cs="Arial"/>
          <w:sz w:val="21"/>
          <w:szCs w:val="28"/>
        </w:rPr>
        <w:t>据估价目的、报告使用用途及必要性原则要求，本估价报告采纳简易计税方法记取增值税进行测算。</w:t>
      </w:r>
    </w:p>
    <w:p w:rsidR="00074975" w:rsidRDefault="00F71F7A">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rPr>
        <w:t>9</w:t>
      </w:r>
      <w:r>
        <w:rPr>
          <w:rFonts w:ascii="Arial" w:hAnsi="Arial" w:cs="Arial"/>
          <w:kern w:val="2"/>
          <w:sz w:val="21"/>
        </w:rPr>
        <w:t>.</w:t>
      </w:r>
      <w:r>
        <w:rPr>
          <w:rFonts w:ascii="Arial" w:hAnsi="Arial" w:cs="Arial"/>
          <w:kern w:val="2"/>
          <w:sz w:val="21"/>
        </w:rPr>
        <w:t>本次估价结果未考虑国家宏观政策发生重大变化以及遇有自然力和其他不可抗力对估价结果的影响。</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cs="Arial"/>
          <w:kern w:val="2"/>
          <w:sz w:val="21"/>
        </w:rPr>
        <w:t>1</w:t>
      </w:r>
      <w:r>
        <w:rPr>
          <w:rFonts w:ascii="Arial" w:hAnsi="Arial" w:cs="Arial" w:hint="eastAsia"/>
          <w:kern w:val="2"/>
          <w:sz w:val="21"/>
        </w:rPr>
        <w:t>0</w:t>
      </w:r>
      <w:r>
        <w:rPr>
          <w:rFonts w:ascii="Arial" w:hAnsi="Arial" w:cs="Arial"/>
          <w:kern w:val="2"/>
          <w:sz w:val="21"/>
        </w:rPr>
        <w:t>.</w:t>
      </w:r>
      <w:r>
        <w:rPr>
          <w:rFonts w:ascii="Arial" w:hAnsi="Arial" w:cs="Arial"/>
          <w:kern w:val="2"/>
          <w:sz w:val="21"/>
        </w:rPr>
        <w:t>估价结果未考虑估价对象已承担的债务、或有债务对其价值的影响。</w:t>
      </w:r>
    </w:p>
    <w:p w:rsidR="00074975" w:rsidRDefault="00F71F7A">
      <w:pPr>
        <w:overflowPunct w:val="0"/>
        <w:spacing w:line="480" w:lineRule="auto"/>
        <w:jc w:val="both"/>
        <w:textAlignment w:val="auto"/>
        <w:outlineLvl w:val="0"/>
        <w:rPr>
          <w:rFonts w:ascii="Arial" w:hAnsi="Arial" w:cs="Arial"/>
          <w:b/>
          <w:kern w:val="2"/>
          <w:sz w:val="21"/>
        </w:rPr>
      </w:pPr>
      <w:r>
        <w:rPr>
          <w:rFonts w:ascii="Arial" w:hAnsi="Arial" w:cs="Arial" w:hint="eastAsia"/>
          <w:b/>
          <w:kern w:val="2"/>
          <w:sz w:val="21"/>
        </w:rPr>
        <w:t>（二）特殊事项假设前提</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lastRenderedPageBreak/>
        <w:t>1.</w:t>
      </w:r>
      <w:r>
        <w:rPr>
          <w:rFonts w:ascii="Arial" w:hAnsi="Arial" w:hint="eastAsia"/>
          <w:kern w:val="2"/>
          <w:sz w:val="21"/>
        </w:rPr>
        <w:t>未定事项假设</w:t>
      </w:r>
    </w:p>
    <w:p w:rsidR="00074975" w:rsidRDefault="00F71F7A">
      <w:pPr>
        <w:overflowPunct w:val="0"/>
        <w:spacing w:line="480" w:lineRule="auto"/>
        <w:ind w:firstLineChars="200" w:firstLine="420"/>
        <w:jc w:val="both"/>
        <w:rPr>
          <w:rFonts w:ascii="Arial" w:hAnsi="Arial" w:cs="Arial"/>
          <w:sz w:val="21"/>
        </w:rPr>
      </w:pPr>
      <w:r>
        <w:rPr>
          <w:rFonts w:ascii="Arial" w:hAnsi="Arial" w:hint="eastAsia"/>
          <w:kern w:val="2"/>
          <w:sz w:val="21"/>
        </w:rPr>
        <w:t>无。</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2.</w:t>
      </w:r>
      <w:r>
        <w:rPr>
          <w:rFonts w:ascii="Arial" w:hAnsi="Arial" w:hint="eastAsia"/>
          <w:kern w:val="2"/>
          <w:sz w:val="21"/>
        </w:rPr>
        <w:t>背离事实假设</w:t>
      </w:r>
    </w:p>
    <w:p w:rsidR="00074975" w:rsidRDefault="00F71F7A">
      <w:pPr>
        <w:overflowPunct w:val="0"/>
        <w:spacing w:line="480" w:lineRule="auto"/>
        <w:ind w:firstLineChars="200" w:firstLine="420"/>
        <w:jc w:val="both"/>
        <w:rPr>
          <w:rFonts w:ascii="Arial" w:hAnsi="Arial"/>
          <w:kern w:val="2"/>
          <w:sz w:val="21"/>
        </w:rPr>
      </w:pPr>
      <w:r>
        <w:rPr>
          <w:rFonts w:ascii="Arial" w:hAnsi="Arial" w:cs="Arial" w:hint="eastAsia"/>
          <w:kern w:val="2"/>
          <w:sz w:val="21"/>
        </w:rPr>
        <w:t>根据评估专业人员实地查勘，估价对象目前部分已出租，本次评估是</w:t>
      </w:r>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房地产市场租金提供参考依据。经与估价委托人确认，本次评估不考虑已设定的租赁权对估价结果的影响。</w:t>
      </w:r>
    </w:p>
    <w:p w:rsidR="00074975" w:rsidRDefault="00F71F7A">
      <w:pPr>
        <w:overflowPunct w:val="0"/>
        <w:spacing w:line="480" w:lineRule="auto"/>
        <w:ind w:firstLineChars="200" w:firstLine="420"/>
        <w:jc w:val="both"/>
        <w:rPr>
          <w:rFonts w:ascii="Arial" w:hAnsi="Arial"/>
          <w:kern w:val="2"/>
          <w:sz w:val="21"/>
        </w:rPr>
      </w:pPr>
      <w:r>
        <w:rPr>
          <w:rFonts w:ascii="Arial" w:hAnsi="Arial"/>
          <w:kern w:val="2"/>
          <w:sz w:val="21"/>
        </w:rPr>
        <w:t>3.</w:t>
      </w:r>
      <w:r>
        <w:rPr>
          <w:rFonts w:ascii="Arial" w:hAnsi="Arial" w:hint="eastAsia"/>
          <w:kern w:val="2"/>
          <w:sz w:val="21"/>
        </w:rPr>
        <w:t>不相一致假设</w:t>
      </w:r>
    </w:p>
    <w:p w:rsidR="00074975" w:rsidRDefault="00F71F7A">
      <w:pPr>
        <w:overflowPunct w:val="0"/>
        <w:spacing w:line="480" w:lineRule="auto"/>
        <w:ind w:firstLineChars="200" w:firstLine="420"/>
        <w:jc w:val="both"/>
        <w:rPr>
          <w:rFonts w:ascii="Arial" w:hAnsi="Arial" w:cs="Arial"/>
          <w:sz w:val="21"/>
        </w:rPr>
      </w:pPr>
      <w:r>
        <w:rPr>
          <w:rFonts w:ascii="Arial" w:hAnsi="Arial" w:cs="Arial" w:hint="eastAsia"/>
          <w:kern w:val="2"/>
          <w:sz w:val="21"/>
        </w:rPr>
        <w:t>无</w:t>
      </w:r>
      <w:r>
        <w:rPr>
          <w:rFonts w:ascii="Arial" w:hAnsi="Arial" w:hint="eastAsia"/>
          <w:kern w:val="2"/>
          <w:sz w:val="21"/>
        </w:rPr>
        <w:t>。</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cs="Arial" w:hint="eastAsia"/>
          <w:sz w:val="21"/>
        </w:rPr>
        <w:t>无</w:t>
      </w:r>
      <w:r>
        <w:rPr>
          <w:rFonts w:ascii="Arial" w:hAnsi="Arial" w:cs="Arial"/>
          <w:kern w:val="2"/>
          <w:sz w:val="21"/>
        </w:rPr>
        <w:t>。</w:t>
      </w:r>
    </w:p>
    <w:p w:rsidR="00074975" w:rsidRDefault="00F71F7A">
      <w:pPr>
        <w:overflowPunct w:val="0"/>
        <w:spacing w:line="480" w:lineRule="auto"/>
        <w:jc w:val="both"/>
        <w:textAlignment w:val="auto"/>
        <w:outlineLvl w:val="0"/>
        <w:rPr>
          <w:rFonts w:ascii="Arial" w:hAnsi="Arial" w:cs="Arial"/>
          <w:b/>
          <w:kern w:val="2"/>
          <w:sz w:val="21"/>
        </w:rPr>
      </w:pPr>
      <w:r>
        <w:rPr>
          <w:rFonts w:ascii="Arial" w:hAnsi="Arial" w:cs="Arial" w:hint="eastAsia"/>
          <w:b/>
          <w:kern w:val="2"/>
          <w:sz w:val="21"/>
        </w:rPr>
        <w:t>（三）估价报告使用限制</w:t>
      </w:r>
    </w:p>
    <w:p w:rsidR="00074975" w:rsidRDefault="00F71F7A">
      <w:pPr>
        <w:overflowPunct w:val="0"/>
        <w:spacing w:line="480" w:lineRule="auto"/>
        <w:ind w:firstLineChars="200" w:firstLine="420"/>
        <w:jc w:val="both"/>
        <w:textAlignment w:val="auto"/>
        <w:rPr>
          <w:rFonts w:ascii="Arial" w:hAnsi="Arial" w:cs="Arial"/>
          <w:kern w:val="2"/>
          <w:sz w:val="21"/>
          <w:szCs w:val="28"/>
        </w:rPr>
      </w:pPr>
      <w:r>
        <w:rPr>
          <w:rFonts w:ascii="Arial" w:hAnsi="Arial" w:cs="Arial"/>
          <w:sz w:val="21"/>
          <w:szCs w:val="28"/>
        </w:rPr>
        <w:t>1.</w:t>
      </w:r>
      <w:r>
        <w:rPr>
          <w:rFonts w:ascii="Arial" w:hAnsi="Arial" w:cs="Arial" w:hint="eastAsia"/>
          <w:sz w:val="21"/>
          <w:szCs w:val="28"/>
        </w:rPr>
        <w:t>使用范围：本估价报告只能由估价报告载明的报告使用者使用，且只能用于本报告载明的唯一估价目的和用途。</w:t>
      </w:r>
    </w:p>
    <w:p w:rsidR="00074975" w:rsidRDefault="00F71F7A">
      <w:pPr>
        <w:overflowPunct w:val="0"/>
        <w:spacing w:line="480" w:lineRule="auto"/>
        <w:ind w:firstLineChars="200" w:firstLine="420"/>
        <w:jc w:val="both"/>
        <w:textAlignment w:val="auto"/>
        <w:rPr>
          <w:rFonts w:ascii="Arial" w:hAnsi="Arial" w:cs="Arial"/>
          <w:sz w:val="21"/>
          <w:szCs w:val="28"/>
        </w:rPr>
      </w:pPr>
      <w:r>
        <w:rPr>
          <w:rFonts w:ascii="Arial" w:hAnsi="Arial" w:cs="Arial" w:hint="eastAsia"/>
          <w:kern w:val="2"/>
          <w:sz w:val="21"/>
          <w:szCs w:val="28"/>
        </w:rPr>
        <w:t>2</w:t>
      </w:r>
      <w:r>
        <w:rPr>
          <w:rFonts w:ascii="Arial" w:hAnsi="Arial" w:cs="Arial"/>
          <w:kern w:val="2"/>
          <w:sz w:val="21"/>
          <w:szCs w:val="28"/>
        </w:rPr>
        <w:t>.</w:t>
      </w:r>
      <w:r>
        <w:rPr>
          <w:rFonts w:ascii="Arial" w:hAnsi="Arial" w:cs="Arial" w:hint="eastAsia"/>
          <w:sz w:val="21"/>
          <w:szCs w:val="28"/>
        </w:rPr>
        <w:t>估价委托人或者本</w:t>
      </w:r>
      <w:r>
        <w:rPr>
          <w:rFonts w:ascii="Arial" w:hAnsi="Arial" w:cs="Arial"/>
          <w:sz w:val="21"/>
        </w:rPr>
        <w:t>估价报告</w:t>
      </w:r>
      <w:r>
        <w:rPr>
          <w:rFonts w:ascii="Arial" w:hAnsi="Arial" w:cs="Arial" w:hint="eastAsia"/>
          <w:sz w:val="21"/>
          <w:szCs w:val="28"/>
        </w:rPr>
        <w:t>使用人应按照法律规定和</w:t>
      </w:r>
      <w:r>
        <w:rPr>
          <w:rFonts w:ascii="Arial" w:hAnsi="Arial" w:cs="Arial"/>
          <w:sz w:val="21"/>
        </w:rPr>
        <w:t>估价报告</w:t>
      </w:r>
      <w:r>
        <w:rPr>
          <w:rFonts w:ascii="Arial" w:hAnsi="Arial" w:cs="Arial" w:hint="eastAsia"/>
          <w:sz w:val="21"/>
          <w:szCs w:val="28"/>
        </w:rPr>
        <w:t>载明的使用范围使用本</w:t>
      </w:r>
      <w:r>
        <w:rPr>
          <w:rFonts w:ascii="Arial" w:hAnsi="Arial" w:cs="Arial"/>
          <w:sz w:val="21"/>
        </w:rPr>
        <w:t>估价报告</w:t>
      </w:r>
      <w:r>
        <w:rPr>
          <w:rFonts w:ascii="Arial" w:hAnsi="Arial" w:cs="Arial" w:hint="eastAsia"/>
          <w:sz w:val="21"/>
          <w:szCs w:val="28"/>
        </w:rPr>
        <w:t>。估价委托人或者</w:t>
      </w:r>
      <w:r>
        <w:rPr>
          <w:rFonts w:ascii="Arial" w:hAnsi="Arial" w:cs="Arial"/>
          <w:sz w:val="21"/>
        </w:rPr>
        <w:t>估价报告</w:t>
      </w:r>
      <w:r>
        <w:rPr>
          <w:rFonts w:ascii="Arial" w:hAnsi="Arial" w:cs="Arial" w:hint="eastAsia"/>
          <w:sz w:val="21"/>
          <w:szCs w:val="28"/>
        </w:rPr>
        <w:t>使用人违反前述规定使用本</w:t>
      </w:r>
      <w:r>
        <w:rPr>
          <w:rFonts w:ascii="Arial" w:hAnsi="Arial" w:cs="Arial"/>
          <w:sz w:val="21"/>
        </w:rPr>
        <w:t>估价报告</w:t>
      </w:r>
      <w:r>
        <w:rPr>
          <w:rFonts w:ascii="Arial" w:hAnsi="Arial" w:cs="Arial" w:hint="eastAsia"/>
          <w:sz w:val="21"/>
          <w:szCs w:val="28"/>
        </w:rPr>
        <w:t>的，估价机构和评估专业人员不承担责任。</w:t>
      </w:r>
    </w:p>
    <w:p w:rsidR="00074975" w:rsidRDefault="00F71F7A">
      <w:pPr>
        <w:overflowPunct w:val="0"/>
        <w:spacing w:line="480" w:lineRule="auto"/>
        <w:ind w:firstLineChars="200" w:firstLine="420"/>
        <w:jc w:val="both"/>
        <w:textAlignment w:val="auto"/>
        <w:rPr>
          <w:rFonts w:ascii="Arial" w:hAnsi="Arial" w:cs="Arial"/>
          <w:sz w:val="21"/>
          <w:szCs w:val="28"/>
        </w:rPr>
      </w:pPr>
      <w:r>
        <w:rPr>
          <w:rFonts w:ascii="Arial" w:hAnsi="Arial" w:cs="Arial" w:hint="eastAsia"/>
          <w:sz w:val="21"/>
          <w:szCs w:val="28"/>
        </w:rPr>
        <w:t>3.</w:t>
      </w:r>
      <w:r>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rsidR="00074975" w:rsidRDefault="00F71F7A">
      <w:pPr>
        <w:overflowPunct w:val="0"/>
        <w:spacing w:line="480" w:lineRule="auto"/>
        <w:ind w:firstLineChars="200" w:firstLine="420"/>
        <w:jc w:val="both"/>
        <w:textAlignment w:val="auto"/>
        <w:rPr>
          <w:rFonts w:ascii="Arial" w:hAnsi="Arial" w:cs="Arial"/>
          <w:kern w:val="2"/>
          <w:sz w:val="21"/>
          <w:szCs w:val="28"/>
        </w:rPr>
      </w:pPr>
      <w:r>
        <w:rPr>
          <w:rFonts w:ascii="Arial" w:hAnsi="Arial" w:cs="Arial" w:hint="eastAsia"/>
          <w:sz w:val="21"/>
          <w:szCs w:val="28"/>
        </w:rPr>
        <w:t>4.</w:t>
      </w:r>
      <w:r>
        <w:rPr>
          <w:rFonts w:ascii="Arial" w:hAnsi="Arial" w:cs="Arial" w:hint="eastAsia"/>
          <w:sz w:val="21"/>
          <w:szCs w:val="28"/>
        </w:rPr>
        <w:t>估价报告使用人应当正确理解估价结论。估价结论不等同于估价对象可实现价格，估价结论不应当被认为是对估价对象可实现价格的保证。</w:t>
      </w:r>
    </w:p>
    <w:p w:rsidR="00074975" w:rsidRDefault="00F71F7A">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szCs w:val="28"/>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hint="eastAsia"/>
          <w:kern w:val="2"/>
          <w:sz w:val="21"/>
        </w:rPr>
        <w:t>为估价委托人了解估价对象在设定条件下的房地产市场租金提供参考依据</w:t>
      </w:r>
      <w:r>
        <w:rPr>
          <w:rFonts w:ascii="Arial" w:hAnsi="Arial" w:cs="Arial"/>
          <w:kern w:val="2"/>
          <w:sz w:val="21"/>
          <w:szCs w:val="21"/>
        </w:rPr>
        <w:t>，不做其他评估目的之用。如果估价对象的评估条件或目的发生变化，需重新进行评估。</w:t>
      </w:r>
    </w:p>
    <w:p w:rsidR="00074975" w:rsidRDefault="00F71F7A">
      <w:pPr>
        <w:overflowPunct w:val="0"/>
        <w:spacing w:line="480" w:lineRule="auto"/>
        <w:ind w:firstLineChars="200" w:firstLine="420"/>
        <w:jc w:val="both"/>
        <w:textAlignment w:val="auto"/>
        <w:rPr>
          <w:rFonts w:ascii="Arial" w:hAnsi="Arial"/>
          <w:sz w:val="21"/>
        </w:rPr>
      </w:pPr>
      <w:r>
        <w:rPr>
          <w:rFonts w:ascii="Arial" w:hAnsi="Arial" w:hint="eastAsia"/>
          <w:kern w:val="2"/>
          <w:sz w:val="21"/>
        </w:rPr>
        <w:t>6.</w:t>
      </w:r>
      <w:r>
        <w:rPr>
          <w:rFonts w:ascii="Arial" w:hAnsi="Arial" w:hint="eastAsia"/>
          <w:kern w:val="2"/>
          <w:sz w:val="21"/>
        </w:rPr>
        <w:t>本估价报告估价结果为价值时点下估价对象土地在现状规划条件、建筑物在设定状态下的房地产正常市场租金水平，如估价对象规划用途、建筑面积或建筑物使用状况发生变化，估价结果需要做相应的调整直至重新评估</w:t>
      </w:r>
      <w:r>
        <w:rPr>
          <w:rFonts w:ascii="Arial" w:hAnsi="Arial" w:hint="eastAsia"/>
          <w:sz w:val="21"/>
        </w:rPr>
        <w:t>。</w:t>
      </w:r>
    </w:p>
    <w:p w:rsidR="00074975" w:rsidRDefault="00F71F7A">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lastRenderedPageBreak/>
        <w:t>7.</w:t>
      </w:r>
      <w:r>
        <w:rPr>
          <w:rFonts w:ascii="Arial" w:hAnsi="Arial" w:cs="Arial" w:hint="eastAsia"/>
          <w:kern w:val="2"/>
          <w:sz w:val="21"/>
        </w:rPr>
        <w:t>估价委托人应对其提供的权属证明以及其他资料的真实性、完整性和合法性负责</w:t>
      </w:r>
      <w:r>
        <w:rPr>
          <w:rFonts w:ascii="Arial" w:hAnsi="Arial" w:cs="Arial"/>
          <w:kern w:val="2"/>
          <w:sz w:val="21"/>
        </w:rPr>
        <w:t>。如因资料失实或资料提供人有所隐匿而导致估价结果失真，估价机构不承担相应的责任。</w:t>
      </w:r>
      <w:r>
        <w:rPr>
          <w:rFonts w:ascii="Arial" w:hAnsi="Arial"/>
          <w:kern w:val="2"/>
          <w:sz w:val="21"/>
        </w:rPr>
        <w:t>提请</w:t>
      </w:r>
      <w:r>
        <w:rPr>
          <w:rFonts w:ascii="Arial" w:hAnsi="Arial" w:hint="eastAsia"/>
          <w:kern w:val="2"/>
          <w:sz w:val="21"/>
        </w:rPr>
        <w:t>报告使用者</w:t>
      </w:r>
      <w:r>
        <w:rPr>
          <w:rFonts w:ascii="Arial" w:hAnsi="Arial"/>
          <w:kern w:val="2"/>
          <w:sz w:val="21"/>
        </w:rPr>
        <w:t>注意</w:t>
      </w:r>
      <w:r>
        <w:rPr>
          <w:rFonts w:ascii="Arial" w:hAnsi="Arial" w:hint="eastAsia"/>
          <w:kern w:val="2"/>
          <w:sz w:val="21"/>
        </w:rPr>
        <w:t>，</w:t>
      </w:r>
      <w:r>
        <w:rPr>
          <w:rFonts w:ascii="Arial" w:hAnsi="Arial"/>
          <w:kern w:val="2"/>
          <w:sz w:val="21"/>
        </w:rPr>
        <w:t>并确定实际</w:t>
      </w:r>
      <w:r>
        <w:rPr>
          <w:rFonts w:ascii="Arial" w:hAnsi="Arial" w:hint="eastAsia"/>
          <w:kern w:val="2"/>
          <w:sz w:val="21"/>
        </w:rPr>
        <w:t>不动产</w:t>
      </w:r>
      <w:r>
        <w:rPr>
          <w:rFonts w:ascii="Arial" w:hAnsi="Arial"/>
          <w:kern w:val="2"/>
          <w:sz w:val="21"/>
        </w:rPr>
        <w:t>与本</w:t>
      </w:r>
      <w:r>
        <w:rPr>
          <w:rFonts w:ascii="Arial" w:hAnsi="Arial" w:hint="eastAsia"/>
          <w:kern w:val="2"/>
          <w:sz w:val="21"/>
        </w:rPr>
        <w:t>估价</w:t>
      </w:r>
      <w:r>
        <w:rPr>
          <w:rFonts w:ascii="Arial" w:hAnsi="Arial"/>
          <w:kern w:val="2"/>
          <w:sz w:val="21"/>
        </w:rPr>
        <w:t>报告估价对象是否一致，如有改变，需进行重新评估。</w:t>
      </w:r>
    </w:p>
    <w:p w:rsidR="00074975" w:rsidRDefault="00F71F7A">
      <w:pPr>
        <w:overflowPunct w:val="0"/>
        <w:spacing w:line="480" w:lineRule="auto"/>
        <w:ind w:firstLineChars="200" w:firstLine="420"/>
        <w:jc w:val="both"/>
        <w:textAlignment w:val="auto"/>
        <w:rPr>
          <w:rFonts w:ascii="Arial" w:hAnsi="Arial"/>
          <w:sz w:val="21"/>
        </w:rPr>
      </w:pPr>
      <w:r>
        <w:rPr>
          <w:rFonts w:ascii="Arial" w:hAnsi="Arial" w:hint="eastAsia"/>
          <w:sz w:val="21"/>
        </w:rPr>
        <w:t>8.</w:t>
      </w:r>
      <w:r>
        <w:rPr>
          <w:rFonts w:ascii="Arial" w:hAnsi="Arial" w:hint="eastAsia"/>
          <w:sz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74975" w:rsidRDefault="00F71F7A">
      <w:pPr>
        <w:overflowPunct w:val="0"/>
        <w:spacing w:line="480" w:lineRule="auto"/>
        <w:ind w:firstLineChars="200" w:firstLine="420"/>
        <w:jc w:val="both"/>
        <w:textAlignment w:val="auto"/>
        <w:rPr>
          <w:rFonts w:ascii="Arial" w:hAnsi="Arial"/>
          <w:sz w:val="21"/>
        </w:rPr>
      </w:pPr>
      <w:r>
        <w:rPr>
          <w:rFonts w:ascii="Arial" w:hAnsi="Arial" w:hint="eastAsia"/>
          <w:sz w:val="21"/>
        </w:rPr>
        <w:t>9</w:t>
      </w:r>
      <w:r>
        <w:rPr>
          <w:rFonts w:ascii="Arial" w:hAnsi="Arial"/>
          <w:sz w:val="21"/>
        </w:rPr>
        <w:t>.</w:t>
      </w:r>
      <w:r>
        <w:rPr>
          <w:rFonts w:ascii="Arial" w:hAnsi="Arial" w:hint="eastAsia"/>
          <w:sz w:val="21"/>
        </w:rPr>
        <w:t>本估价报告在估价机构盖章和注册房地产估价师签字的条件下有效。</w:t>
      </w:r>
    </w:p>
    <w:p w:rsidR="00074975" w:rsidRDefault="00F71F7A">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10.</w:t>
      </w:r>
      <w:r>
        <w:rPr>
          <w:rFonts w:ascii="Arial" w:hAnsi="Arial" w:cs="Arial"/>
          <w:kern w:val="2"/>
          <w:sz w:val="21"/>
        </w:rPr>
        <w:t>本估价</w:t>
      </w:r>
      <w:proofErr w:type="gramStart"/>
      <w:r>
        <w:rPr>
          <w:rFonts w:ascii="Arial" w:hAnsi="Arial" w:cs="Arial"/>
          <w:kern w:val="2"/>
          <w:sz w:val="21"/>
        </w:rPr>
        <w:t>报告自</w:t>
      </w:r>
      <w:proofErr w:type="gramEnd"/>
      <w:r>
        <w:rPr>
          <w:rFonts w:ascii="Arial" w:hAnsi="Arial" w:cs="Arial"/>
          <w:kern w:val="2"/>
          <w:sz w:val="21"/>
        </w:rPr>
        <w:t>出具日起壹年内有效</w:t>
      </w:r>
      <w:r>
        <w:rPr>
          <w:rFonts w:ascii="Arial" w:eastAsia="楷体_GB2312" w:hAnsi="Arial" w:cs="Arial" w:hint="eastAsia"/>
          <w:sz w:val="28"/>
          <w:szCs w:val="26"/>
        </w:rPr>
        <w:t>（</w:t>
      </w:r>
      <w:r>
        <w:rPr>
          <w:rFonts w:ascii="Arial" w:hAnsi="Arial" w:cs="Arial" w:hint="eastAsia"/>
          <w:kern w:val="2"/>
          <w:sz w:val="21"/>
        </w:rPr>
        <w:t>即</w:t>
      </w:r>
      <w:r>
        <w:rPr>
          <w:rFonts w:ascii="Arial" w:hAnsi="Arial" w:cs="Arial" w:hint="eastAsia"/>
          <w:kern w:val="2"/>
          <w:sz w:val="21"/>
        </w:rPr>
        <w:t>2025</w:t>
      </w:r>
      <w:r>
        <w:rPr>
          <w:rFonts w:ascii="Arial" w:hAnsi="Arial" w:cs="Arial" w:hint="eastAsia"/>
          <w:kern w:val="2"/>
          <w:sz w:val="21"/>
        </w:rPr>
        <w:t>年</w:t>
      </w:r>
      <w:r>
        <w:rPr>
          <w:rFonts w:ascii="Arial" w:hAnsi="Arial" w:cs="Arial" w:hint="eastAsia"/>
          <w:kern w:val="2"/>
          <w:sz w:val="21"/>
        </w:rPr>
        <w:t>12</w:t>
      </w:r>
      <w:r>
        <w:rPr>
          <w:rFonts w:ascii="Arial" w:hAnsi="Arial" w:cs="Arial" w:hint="eastAsia"/>
          <w:kern w:val="2"/>
          <w:sz w:val="21"/>
        </w:rPr>
        <w:t>月</w:t>
      </w:r>
      <w:r>
        <w:rPr>
          <w:rFonts w:ascii="Arial" w:hAnsi="Arial" w:cs="Arial" w:hint="eastAsia"/>
          <w:kern w:val="2"/>
          <w:sz w:val="21"/>
        </w:rPr>
        <w:t>9</w:t>
      </w:r>
      <w:r>
        <w:rPr>
          <w:rFonts w:ascii="Arial" w:hAnsi="Arial" w:cs="Arial" w:hint="eastAsia"/>
          <w:kern w:val="2"/>
          <w:sz w:val="21"/>
        </w:rPr>
        <w:t>日至</w:t>
      </w:r>
      <w:r>
        <w:rPr>
          <w:rFonts w:ascii="Arial" w:hAnsi="Arial" w:cs="Arial" w:hint="eastAsia"/>
          <w:kern w:val="2"/>
          <w:sz w:val="21"/>
        </w:rPr>
        <w:t>20</w:t>
      </w:r>
      <w:r>
        <w:rPr>
          <w:rFonts w:ascii="Arial" w:hAnsi="Arial" w:cs="Arial"/>
          <w:kern w:val="2"/>
          <w:sz w:val="21"/>
        </w:rPr>
        <w:t>2</w:t>
      </w:r>
      <w:r>
        <w:rPr>
          <w:rFonts w:ascii="Arial" w:hAnsi="Arial" w:cs="Arial" w:hint="eastAsia"/>
          <w:kern w:val="2"/>
          <w:sz w:val="21"/>
        </w:rPr>
        <w:t>6</w:t>
      </w:r>
      <w:r>
        <w:rPr>
          <w:rFonts w:ascii="Arial" w:hAnsi="Arial" w:cs="Arial" w:hint="eastAsia"/>
          <w:kern w:val="2"/>
          <w:sz w:val="21"/>
        </w:rPr>
        <w:t>年</w:t>
      </w:r>
      <w:r>
        <w:rPr>
          <w:rFonts w:ascii="Arial" w:hAnsi="Arial" w:cs="Arial" w:hint="eastAsia"/>
          <w:kern w:val="2"/>
          <w:sz w:val="21"/>
        </w:rPr>
        <w:t>12</w:t>
      </w:r>
      <w:r>
        <w:rPr>
          <w:rFonts w:ascii="Arial" w:hAnsi="Arial" w:cs="Arial" w:hint="eastAsia"/>
          <w:kern w:val="2"/>
          <w:sz w:val="21"/>
        </w:rPr>
        <w:t>月</w:t>
      </w:r>
      <w:r>
        <w:rPr>
          <w:rFonts w:ascii="Arial" w:hAnsi="Arial" w:cs="Arial" w:hint="eastAsia"/>
          <w:kern w:val="2"/>
          <w:sz w:val="21"/>
        </w:rPr>
        <w:t>8</w:t>
      </w:r>
      <w:r>
        <w:rPr>
          <w:rFonts w:ascii="Arial" w:hAnsi="Arial" w:cs="Arial" w:hint="eastAsia"/>
          <w:kern w:val="2"/>
          <w:sz w:val="21"/>
        </w:rPr>
        <w:t>日</w:t>
      </w:r>
      <w:r>
        <w:rPr>
          <w:rFonts w:ascii="Arial" w:eastAsia="楷体_GB2312" w:hAnsi="Arial" w:cs="Arial" w:hint="eastAsia"/>
          <w:sz w:val="28"/>
          <w:szCs w:val="26"/>
        </w:rPr>
        <w:t>）</w:t>
      </w:r>
      <w:r>
        <w:rPr>
          <w:rFonts w:ascii="Arial" w:hAnsi="Arial" w:cs="Arial" w:hint="eastAsia"/>
          <w:kern w:val="2"/>
          <w:sz w:val="21"/>
        </w:rPr>
        <w:t>。</w:t>
      </w:r>
    </w:p>
    <w:p w:rsidR="00074975" w:rsidRDefault="00074975">
      <w:pPr>
        <w:pStyle w:val="1"/>
        <w:numPr>
          <w:ilvl w:val="0"/>
          <w:numId w:val="0"/>
        </w:numPr>
        <w:spacing w:line="480" w:lineRule="auto"/>
        <w:jc w:val="center"/>
        <w:rPr>
          <w:rFonts w:eastAsia="方正黑体简体"/>
          <w:b w:val="0"/>
          <w:kern w:val="2"/>
          <w:sz w:val="32"/>
          <w:szCs w:val="32"/>
        </w:rPr>
        <w:sectPr w:rsidR="00074975">
          <w:headerReference w:type="default" r:id="rId13"/>
          <w:footerReference w:type="even" r:id="rId14"/>
          <w:pgSz w:w="11907" w:h="16840"/>
          <w:pgMar w:top="1843" w:right="1134" w:bottom="1191" w:left="1134" w:header="1134" w:footer="1134" w:gutter="340"/>
          <w:cols w:space="720"/>
          <w:docGrid w:linePitch="326"/>
        </w:sectPr>
      </w:pPr>
      <w:bookmarkStart w:id="27" w:name="_Toc500322962"/>
      <w:bookmarkStart w:id="28" w:name="_Toc168225812"/>
    </w:p>
    <w:p w:rsidR="00074975" w:rsidRDefault="00F71F7A">
      <w:pPr>
        <w:pStyle w:val="1"/>
        <w:numPr>
          <w:ilvl w:val="0"/>
          <w:numId w:val="0"/>
        </w:numPr>
        <w:spacing w:line="480" w:lineRule="auto"/>
        <w:jc w:val="center"/>
        <w:rPr>
          <w:rFonts w:eastAsia="方正黑体简体"/>
          <w:b w:val="0"/>
          <w:kern w:val="2"/>
          <w:sz w:val="32"/>
          <w:szCs w:val="32"/>
        </w:rPr>
      </w:pPr>
      <w:r>
        <w:rPr>
          <w:rFonts w:eastAsia="方正黑体简体" w:hint="eastAsia"/>
          <w:b w:val="0"/>
          <w:kern w:val="2"/>
          <w:sz w:val="32"/>
          <w:szCs w:val="32"/>
        </w:rPr>
        <w:lastRenderedPageBreak/>
        <w:t>估价结果报告</w:t>
      </w:r>
      <w:bookmarkEnd w:id="27"/>
      <w:bookmarkEnd w:id="28"/>
    </w:p>
    <w:p w:rsidR="00074975" w:rsidRDefault="00F71F7A">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29" w:name="_Toc216083223"/>
      <w:bookmarkStart w:id="30" w:name="_Toc500322963"/>
      <w:r>
        <w:rPr>
          <w:rFonts w:eastAsia="宋体" w:hint="eastAsia"/>
          <w:kern w:val="2"/>
          <w:sz w:val="21"/>
          <w:szCs w:val="21"/>
        </w:rPr>
        <w:t>一</w:t>
      </w:r>
      <w:bookmarkEnd w:id="29"/>
      <w:r>
        <w:rPr>
          <w:rFonts w:eastAsia="宋体" w:hint="eastAsia"/>
          <w:kern w:val="2"/>
          <w:sz w:val="21"/>
          <w:szCs w:val="21"/>
        </w:rPr>
        <w:t>、估价委托人</w:t>
      </w:r>
      <w:bookmarkEnd w:id="30"/>
    </w:p>
    <w:p w:rsidR="00074975" w:rsidRDefault="00F71F7A">
      <w:pPr>
        <w:overflowPunct w:val="0"/>
        <w:spacing w:line="480" w:lineRule="auto"/>
        <w:ind w:firstLineChars="200" w:firstLine="420"/>
        <w:jc w:val="both"/>
        <w:rPr>
          <w:rFonts w:ascii="Arial" w:hAnsi="Arial"/>
          <w:sz w:val="21"/>
          <w:szCs w:val="21"/>
        </w:rPr>
      </w:pPr>
      <w:r>
        <w:rPr>
          <w:rFonts w:ascii="Arial" w:hAnsi="Arial" w:hint="eastAsia"/>
          <w:sz w:val="21"/>
          <w:szCs w:val="21"/>
        </w:rPr>
        <w:t>单位名称：建</w:t>
      </w:r>
      <w:proofErr w:type="gramStart"/>
      <w:r>
        <w:rPr>
          <w:rFonts w:ascii="Arial" w:hAnsi="Arial" w:hint="eastAsia"/>
          <w:sz w:val="21"/>
          <w:szCs w:val="21"/>
        </w:rPr>
        <w:t>信住房</w:t>
      </w:r>
      <w:proofErr w:type="gramEnd"/>
      <w:r>
        <w:rPr>
          <w:rFonts w:ascii="Arial" w:hAnsi="Arial" w:hint="eastAsia"/>
          <w:sz w:val="21"/>
          <w:szCs w:val="21"/>
        </w:rPr>
        <w:t>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w:t>
      </w:r>
    </w:p>
    <w:p w:rsidR="00074975" w:rsidRDefault="00F71F7A">
      <w:pPr>
        <w:overflowPunct w:val="0"/>
        <w:spacing w:line="480" w:lineRule="auto"/>
        <w:ind w:firstLineChars="200" w:firstLine="420"/>
        <w:jc w:val="both"/>
        <w:rPr>
          <w:rFonts w:ascii="Arial" w:hAnsi="Arial"/>
          <w:i/>
          <w:sz w:val="21"/>
          <w:szCs w:val="21"/>
        </w:rPr>
      </w:pPr>
      <w:r>
        <w:rPr>
          <w:rFonts w:ascii="Arial" w:hAnsi="Arial" w:hint="eastAsia"/>
          <w:sz w:val="21"/>
          <w:szCs w:val="21"/>
        </w:rPr>
        <w:t>联系人：</w:t>
      </w:r>
      <w:commentRangeStart w:id="31"/>
      <w:r>
        <w:rPr>
          <w:rFonts w:ascii="Arial" w:hAnsi="Arial" w:hint="eastAsia"/>
          <w:sz w:val="21"/>
          <w:szCs w:val="21"/>
        </w:rPr>
        <w:t>邢洁</w:t>
      </w:r>
      <w:commentRangeEnd w:id="31"/>
      <w:r>
        <w:rPr>
          <w:rStyle w:val="af5"/>
        </w:rPr>
        <w:commentReference w:id="31"/>
      </w:r>
    </w:p>
    <w:p w:rsidR="00074975" w:rsidRDefault="00F71F7A">
      <w:pPr>
        <w:overflowPunct w:val="0"/>
        <w:spacing w:line="480" w:lineRule="auto"/>
        <w:ind w:firstLineChars="200" w:firstLine="420"/>
        <w:jc w:val="both"/>
        <w:rPr>
          <w:rFonts w:ascii="Arial" w:hAnsi="Arial" w:cs="宋体"/>
          <w:sz w:val="21"/>
          <w:szCs w:val="21"/>
        </w:rPr>
      </w:pPr>
      <w:r>
        <w:rPr>
          <w:rFonts w:ascii="Arial" w:hAnsi="Arial" w:hint="eastAsia"/>
          <w:sz w:val="21"/>
          <w:szCs w:val="21"/>
        </w:rPr>
        <w:t>联系电话：</w:t>
      </w:r>
      <w:r>
        <w:rPr>
          <w:rFonts w:ascii="Arial" w:hAnsi="Arial"/>
          <w:sz w:val="21"/>
          <w:szCs w:val="21"/>
        </w:rPr>
        <w:t>18601122499</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2" w:name="_Toc168225814"/>
      <w:bookmarkStart w:id="33" w:name="_Toc500322964"/>
      <w:r>
        <w:rPr>
          <w:rFonts w:eastAsia="宋体" w:hint="eastAsia"/>
          <w:kern w:val="2"/>
          <w:sz w:val="21"/>
          <w:szCs w:val="21"/>
        </w:rPr>
        <w:t>二、房地产估价机构</w:t>
      </w:r>
      <w:bookmarkEnd w:id="32"/>
      <w:bookmarkEnd w:id="33"/>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hint="eastAsia"/>
          <w:sz w:val="21"/>
          <w:szCs w:val="21"/>
        </w:rPr>
        <w:t>2025</w:t>
      </w:r>
      <w:r>
        <w:rPr>
          <w:rFonts w:ascii="Arial" w:hAnsi="Arial" w:cs="Arial"/>
          <w:sz w:val="21"/>
          <w:szCs w:val="21"/>
        </w:rPr>
        <w:t>年</w:t>
      </w:r>
      <w:r>
        <w:rPr>
          <w:rFonts w:ascii="Arial" w:hAnsi="Arial" w:cs="Arial" w:hint="eastAsia"/>
          <w:sz w:val="21"/>
          <w:szCs w:val="21"/>
        </w:rPr>
        <w:t>7</w:t>
      </w:r>
      <w:r>
        <w:rPr>
          <w:rFonts w:ascii="Arial" w:hAnsi="Arial" w:cs="Arial"/>
          <w:sz w:val="21"/>
          <w:szCs w:val="21"/>
        </w:rPr>
        <w:t>月</w:t>
      </w:r>
      <w:r>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28</w:t>
      </w:r>
      <w:r>
        <w:rPr>
          <w:rFonts w:ascii="Arial" w:hAnsi="Arial" w:cs="Arial"/>
          <w:sz w:val="21"/>
          <w:szCs w:val="21"/>
        </w:rPr>
        <w:t>年</w:t>
      </w:r>
      <w:r>
        <w:rPr>
          <w:rFonts w:ascii="Arial" w:hAnsi="Arial" w:cs="Arial" w:hint="eastAsia"/>
          <w:sz w:val="21"/>
          <w:szCs w:val="21"/>
        </w:rPr>
        <w:t>6</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通讯</w:t>
      </w:r>
      <w:r>
        <w:rPr>
          <w:rFonts w:ascii="Arial" w:hAnsi="Arial" w:cs="Arial"/>
          <w:sz w:val="21"/>
          <w:szCs w:val="21"/>
        </w:rPr>
        <w:t>地址：北京市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联</w:t>
      </w:r>
      <w:r>
        <w:rPr>
          <w:rFonts w:ascii="Arial" w:hAnsi="Arial" w:hint="eastAsia"/>
          <w:sz w:val="21"/>
          <w:szCs w:val="21"/>
        </w:rPr>
        <w:t xml:space="preserve"> </w:t>
      </w:r>
      <w:r>
        <w:rPr>
          <w:rFonts w:ascii="Arial" w:hAnsi="Arial" w:hint="eastAsia"/>
          <w:sz w:val="21"/>
          <w:szCs w:val="21"/>
        </w:rPr>
        <w:t>系</w:t>
      </w:r>
      <w:r>
        <w:rPr>
          <w:rFonts w:ascii="Arial" w:hAnsi="Arial" w:hint="eastAsia"/>
          <w:sz w:val="21"/>
          <w:szCs w:val="21"/>
        </w:rPr>
        <w:t xml:space="preserve"> </w:t>
      </w:r>
      <w:r>
        <w:rPr>
          <w:rFonts w:ascii="Arial" w:hAnsi="Arial" w:hint="eastAsia"/>
          <w:sz w:val="21"/>
          <w:szCs w:val="21"/>
        </w:rPr>
        <w:t>人：李诗霖</w:t>
      </w:r>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联系电话：</w:t>
      </w:r>
      <w:r>
        <w:rPr>
          <w:rFonts w:ascii="Arial" w:hAnsi="Arial" w:hint="eastAsia"/>
          <w:sz w:val="21"/>
          <w:szCs w:val="21"/>
        </w:rPr>
        <w:t>010-82253558</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4" w:name="_Toc500322965"/>
      <w:bookmarkStart w:id="35" w:name="_Toc168225815"/>
      <w:r>
        <w:rPr>
          <w:rFonts w:eastAsia="宋体" w:hint="eastAsia"/>
          <w:kern w:val="2"/>
          <w:sz w:val="21"/>
          <w:szCs w:val="21"/>
        </w:rPr>
        <w:t>三、估价目的</w:t>
      </w:r>
      <w:bookmarkEnd w:id="34"/>
      <w:bookmarkEnd w:id="35"/>
    </w:p>
    <w:p w:rsidR="00074975" w:rsidRDefault="00F71F7A">
      <w:pPr>
        <w:spacing w:line="360" w:lineRule="auto"/>
        <w:ind w:firstLineChars="200" w:firstLine="420"/>
        <w:rPr>
          <w:rFonts w:ascii="Arial" w:hAnsi="Arial"/>
          <w:sz w:val="21"/>
          <w:szCs w:val="21"/>
        </w:rPr>
      </w:pPr>
      <w:bookmarkStart w:id="36" w:name="_Hlk212149559"/>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w:t>
      </w:r>
      <w:bookmarkEnd w:id="36"/>
      <w:r>
        <w:rPr>
          <w:rFonts w:ascii="Arial" w:hAnsi="Arial" w:hint="eastAsia"/>
          <w:sz w:val="21"/>
          <w:szCs w:val="21"/>
        </w:rPr>
        <w:t>。</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7" w:name="_Toc500322966"/>
      <w:bookmarkStart w:id="38" w:name="_Toc168225816"/>
      <w:r>
        <w:rPr>
          <w:rFonts w:eastAsia="宋体" w:hint="eastAsia"/>
          <w:kern w:val="2"/>
          <w:sz w:val="21"/>
          <w:szCs w:val="21"/>
        </w:rPr>
        <w:t>四、估价对象</w:t>
      </w:r>
      <w:bookmarkEnd w:id="37"/>
      <w:bookmarkEnd w:id="38"/>
    </w:p>
    <w:p w:rsidR="00074975" w:rsidRDefault="00F71F7A">
      <w:pPr>
        <w:overflowPunct w:val="0"/>
        <w:spacing w:line="480" w:lineRule="auto"/>
        <w:jc w:val="both"/>
        <w:textAlignment w:val="auto"/>
        <w:rPr>
          <w:rFonts w:ascii="Arial" w:hAnsi="Arial"/>
          <w:b/>
          <w:kern w:val="2"/>
          <w:sz w:val="21"/>
          <w:szCs w:val="21"/>
        </w:rPr>
      </w:pPr>
      <w:r>
        <w:rPr>
          <w:rFonts w:ascii="Arial" w:hAnsi="Arial" w:hint="eastAsia"/>
          <w:b/>
          <w:kern w:val="2"/>
          <w:sz w:val="21"/>
          <w:szCs w:val="21"/>
        </w:rPr>
        <w:t>（一）估价对象范围</w:t>
      </w:r>
    </w:p>
    <w:p w:rsidR="00074975" w:rsidRDefault="00F71F7A">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本次评估估价对象为</w:t>
      </w:r>
      <w:r>
        <w:rPr>
          <w:rFonts w:ascii="Arial" w:hAnsi="Arial" w:hint="eastAsia"/>
          <w:kern w:val="2"/>
          <w:sz w:val="21"/>
        </w:rPr>
        <w:t>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223</w:t>
      </w:r>
      <w:r>
        <w:rPr>
          <w:rFonts w:ascii="Arial" w:hAnsi="Arial" w:hint="eastAsia"/>
          <w:kern w:val="2"/>
          <w:sz w:val="21"/>
        </w:rPr>
        <w:t>套住宅用房</w:t>
      </w:r>
      <w:r>
        <w:rPr>
          <w:rFonts w:ascii="Arial" w:hAnsi="Arial" w:hint="eastAsia"/>
          <w:sz w:val="21"/>
          <w:szCs w:val="21"/>
        </w:rPr>
        <w:t>房地产</w:t>
      </w:r>
      <w:r>
        <w:rPr>
          <w:rFonts w:ascii="Arial" w:hAnsi="Arial" w:hint="eastAsia"/>
          <w:kern w:val="2"/>
          <w:sz w:val="21"/>
          <w:szCs w:val="21"/>
        </w:rPr>
        <w:t>，</w:t>
      </w:r>
      <w:r>
        <w:rPr>
          <w:rFonts w:ascii="Arial" w:hAnsi="Arial" w:hint="eastAsia"/>
          <w:kern w:val="2"/>
          <w:sz w:val="21"/>
        </w:rPr>
        <w:t>估价对象范围不包含债权债务、特许经营权等其他财产或权益</w:t>
      </w:r>
      <w:r>
        <w:rPr>
          <w:rFonts w:ascii="Arial" w:hAnsi="Arial" w:hint="eastAsia"/>
          <w:kern w:val="2"/>
          <w:sz w:val="21"/>
          <w:szCs w:val="21"/>
        </w:rPr>
        <w:t>。</w:t>
      </w:r>
    </w:p>
    <w:p w:rsidR="00074975" w:rsidRDefault="00F71F7A">
      <w:pPr>
        <w:overflowPunct w:val="0"/>
        <w:spacing w:line="480" w:lineRule="auto"/>
        <w:jc w:val="both"/>
        <w:textAlignment w:val="auto"/>
        <w:rPr>
          <w:rFonts w:ascii="Arial" w:hAnsi="Arial"/>
          <w:b/>
          <w:kern w:val="2"/>
          <w:sz w:val="21"/>
          <w:szCs w:val="21"/>
        </w:rPr>
      </w:pPr>
      <w:r>
        <w:rPr>
          <w:rFonts w:ascii="Arial" w:hAnsi="Arial" w:hint="eastAsia"/>
          <w:b/>
          <w:kern w:val="2"/>
          <w:sz w:val="21"/>
          <w:szCs w:val="21"/>
        </w:rPr>
        <w:t>（二）估价对象基本状况</w:t>
      </w:r>
    </w:p>
    <w:p w:rsidR="00074975" w:rsidRDefault="00F71F7A">
      <w:pPr>
        <w:overflowPunct w:val="0"/>
        <w:spacing w:line="480" w:lineRule="auto"/>
        <w:ind w:firstLineChars="200" w:firstLine="420"/>
        <w:jc w:val="both"/>
        <w:textAlignment w:val="auto"/>
        <w:rPr>
          <w:rFonts w:ascii="Arial" w:hAnsi="Arial"/>
          <w:kern w:val="2"/>
          <w:sz w:val="21"/>
          <w:szCs w:val="21"/>
        </w:rPr>
      </w:pPr>
      <w:r>
        <w:rPr>
          <w:rFonts w:ascii="Arial" w:hAnsi="Arial" w:cs="Arial"/>
          <w:kern w:val="2"/>
          <w:sz w:val="21"/>
          <w:szCs w:val="21"/>
        </w:rPr>
        <w:t>估价对象位</w:t>
      </w:r>
      <w:r>
        <w:rPr>
          <w:rFonts w:ascii="Arial" w:hAnsi="Arial" w:cs="Arial" w:hint="eastAsia"/>
          <w:kern w:val="2"/>
          <w:sz w:val="21"/>
          <w:szCs w:val="21"/>
        </w:rPr>
        <w:t>于</w:t>
      </w:r>
      <w:r>
        <w:rPr>
          <w:rFonts w:ascii="Arial" w:hAnsi="Arial" w:hint="eastAsia"/>
          <w:kern w:val="2"/>
          <w:sz w:val="21"/>
        </w:rPr>
        <w:t>北京市海淀区西北旺镇土井村</w:t>
      </w:r>
      <w:proofErr w:type="gramStart"/>
      <w:r>
        <w:rPr>
          <w:rFonts w:ascii="Arial" w:hAnsi="Arial" w:hint="eastAsia"/>
          <w:kern w:val="2"/>
          <w:sz w:val="21"/>
        </w:rPr>
        <w:t>图景嘉园小区</w:t>
      </w:r>
      <w:proofErr w:type="gramEnd"/>
      <w:r>
        <w:rPr>
          <w:rFonts w:ascii="Arial" w:hAnsi="Arial" w:cs="Arial" w:hint="eastAsia"/>
          <w:kern w:val="2"/>
          <w:sz w:val="21"/>
          <w:szCs w:val="21"/>
        </w:rPr>
        <w:t>，</w:t>
      </w:r>
      <w:r>
        <w:rPr>
          <w:rFonts w:ascii="Arial" w:hAnsi="Arial" w:hint="eastAsia"/>
          <w:kern w:val="2"/>
          <w:sz w:val="21"/>
        </w:rPr>
        <w:t>出租方为北京市海淀区西北旺镇土井</w:t>
      </w:r>
      <w:r>
        <w:rPr>
          <w:rFonts w:ascii="Arial" w:hAnsi="Arial" w:hint="eastAsia"/>
          <w:kern w:val="2"/>
          <w:sz w:val="21"/>
        </w:rPr>
        <w:lastRenderedPageBreak/>
        <w:t>村经济合作社。</w:t>
      </w:r>
      <w:r>
        <w:rPr>
          <w:rFonts w:ascii="Arial" w:hAnsi="Arial" w:cs="Arial"/>
          <w:kern w:val="2"/>
          <w:sz w:val="21"/>
          <w:szCs w:val="21"/>
        </w:rPr>
        <w:t>本次估价对象的范围是</w:t>
      </w:r>
      <w:r>
        <w:rPr>
          <w:rFonts w:ascii="Arial" w:hAnsi="Arial" w:hint="eastAsia"/>
          <w:kern w:val="2"/>
          <w:sz w:val="21"/>
        </w:rPr>
        <w:t>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223</w:t>
      </w:r>
      <w:r>
        <w:rPr>
          <w:rFonts w:ascii="Arial" w:hAnsi="Arial" w:hint="eastAsia"/>
          <w:kern w:val="2"/>
          <w:sz w:val="21"/>
        </w:rPr>
        <w:t>套住宅用房</w:t>
      </w:r>
      <w:r>
        <w:rPr>
          <w:rFonts w:ascii="Arial" w:hAnsi="Arial" w:cs="Arial"/>
          <w:kern w:val="2"/>
          <w:sz w:val="21"/>
          <w:szCs w:val="21"/>
        </w:rPr>
        <w:t>，建筑面积</w:t>
      </w:r>
      <w:r>
        <w:rPr>
          <w:rFonts w:ascii="Arial" w:hAnsi="Arial" w:cs="Arial" w:hint="eastAsia"/>
          <w:kern w:val="2"/>
          <w:sz w:val="21"/>
          <w:szCs w:val="21"/>
        </w:rPr>
        <w:t>16190.64</w:t>
      </w:r>
      <w:r>
        <w:rPr>
          <w:rFonts w:ascii="Arial" w:hAnsi="Arial" w:cs="Arial"/>
          <w:kern w:val="2"/>
          <w:sz w:val="21"/>
          <w:szCs w:val="21"/>
        </w:rPr>
        <w:t>平方米，</w:t>
      </w:r>
      <w:r>
        <w:rPr>
          <w:rFonts w:ascii="Arial" w:hAnsi="Arial" w:cs="Arial" w:hint="eastAsia"/>
          <w:kern w:val="2"/>
          <w:sz w:val="21"/>
          <w:szCs w:val="21"/>
        </w:rPr>
        <w:t>设定</w:t>
      </w:r>
      <w:r>
        <w:rPr>
          <w:rFonts w:ascii="Arial" w:hAnsi="Arial" w:cs="Arial"/>
          <w:kern w:val="2"/>
          <w:sz w:val="21"/>
          <w:szCs w:val="21"/>
        </w:rPr>
        <w:t>用途为</w:t>
      </w:r>
      <w:r>
        <w:rPr>
          <w:rFonts w:ascii="Arial" w:hAnsi="Arial" w:cs="Arial" w:hint="eastAsia"/>
          <w:kern w:val="2"/>
          <w:sz w:val="21"/>
          <w:szCs w:val="21"/>
        </w:rPr>
        <w:t>住宅</w:t>
      </w:r>
      <w:r>
        <w:rPr>
          <w:rFonts w:ascii="Arial" w:hAnsi="Arial" w:cs="Arial"/>
          <w:kern w:val="2"/>
          <w:sz w:val="21"/>
          <w:szCs w:val="21"/>
        </w:rPr>
        <w:t>。</w:t>
      </w:r>
    </w:p>
    <w:p w:rsidR="00074975" w:rsidRDefault="00F71F7A">
      <w:pPr>
        <w:overflowPunct w:val="0"/>
        <w:spacing w:line="480" w:lineRule="auto"/>
        <w:jc w:val="both"/>
        <w:textAlignment w:val="auto"/>
        <w:rPr>
          <w:rFonts w:ascii="Arial" w:hAnsi="Arial"/>
          <w:b/>
          <w:kern w:val="2"/>
          <w:sz w:val="21"/>
          <w:szCs w:val="21"/>
        </w:rPr>
      </w:pPr>
      <w:r>
        <w:rPr>
          <w:rFonts w:ascii="Arial" w:hAnsi="Arial" w:hint="eastAsia"/>
          <w:b/>
          <w:kern w:val="2"/>
          <w:sz w:val="21"/>
          <w:szCs w:val="21"/>
        </w:rPr>
        <w:t>（三</w:t>
      </w:r>
      <w:commentRangeStart w:id="39"/>
      <w:r>
        <w:rPr>
          <w:rFonts w:ascii="Arial" w:hAnsi="Arial" w:hint="eastAsia"/>
          <w:b/>
          <w:kern w:val="2"/>
          <w:sz w:val="21"/>
          <w:szCs w:val="21"/>
        </w:rPr>
        <w:t>）房地产基本状况</w:t>
      </w:r>
      <w:commentRangeEnd w:id="39"/>
      <w:r>
        <w:rPr>
          <w:rStyle w:val="af5"/>
        </w:rPr>
        <w:commentReference w:id="39"/>
      </w:r>
    </w:p>
    <w:p w:rsidR="00074975" w:rsidRDefault="00F71F7A">
      <w:pPr>
        <w:spacing w:line="480" w:lineRule="auto"/>
        <w:ind w:firstLineChars="200" w:firstLine="420"/>
        <w:rPr>
          <w:rFonts w:ascii="Arial" w:hAnsi="Arial"/>
          <w:kern w:val="2"/>
          <w:sz w:val="21"/>
        </w:rPr>
      </w:pPr>
      <w:r>
        <w:rPr>
          <w:rFonts w:ascii="Arial" w:hAnsi="Arial" w:hint="eastAsia"/>
          <w:kern w:val="2"/>
          <w:sz w:val="21"/>
        </w:rPr>
        <w:t>根据估价委托人提供的《估价委托书》、《租赁合同》</w:t>
      </w:r>
      <w:r>
        <w:rPr>
          <w:rFonts w:ascii="Arial" w:hAnsi="Arial" w:hint="eastAsia"/>
          <w:kern w:val="2"/>
          <w:sz w:val="21"/>
        </w:rPr>
        <w:t>[</w:t>
      </w:r>
      <w:r>
        <w:rPr>
          <w:rFonts w:ascii="Arial" w:hAnsi="Arial" w:hint="eastAsia"/>
          <w:kern w:val="2"/>
          <w:sz w:val="21"/>
        </w:rPr>
        <w:t>合同编号：</w:t>
      </w:r>
      <w:r>
        <w:rPr>
          <w:rFonts w:ascii="Arial" w:hAnsi="Arial" w:hint="eastAsia"/>
          <w:kern w:val="2"/>
          <w:sz w:val="21"/>
        </w:rPr>
        <w:t>JXZF-TJJY-20210001]</w:t>
      </w:r>
      <w:r>
        <w:rPr>
          <w:rFonts w:ascii="Arial" w:hAnsi="Arial" w:hint="eastAsia"/>
          <w:kern w:val="2"/>
          <w:sz w:val="21"/>
        </w:rPr>
        <w:t>及注册房地产估价师调查，估价对象为北京市海淀区西北旺镇土井村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223</w:t>
      </w:r>
      <w:r>
        <w:rPr>
          <w:rFonts w:ascii="Arial" w:hAnsi="Arial" w:hint="eastAsia"/>
          <w:kern w:val="2"/>
          <w:sz w:val="21"/>
        </w:rPr>
        <w:t>套住宅用房房地产，出租方为北京市海淀区西北旺镇土井村经济合作社，现状由</w:t>
      </w:r>
      <w:r>
        <w:rPr>
          <w:rFonts w:ascii="Arial" w:hAnsi="Arial" w:hint="eastAsia"/>
          <w:sz w:val="21"/>
          <w:szCs w:val="21"/>
        </w:rPr>
        <w:t>建</w:t>
      </w:r>
      <w:proofErr w:type="gramStart"/>
      <w:r>
        <w:rPr>
          <w:rFonts w:ascii="Arial" w:hAnsi="Arial" w:hint="eastAsia"/>
          <w:sz w:val="21"/>
          <w:szCs w:val="21"/>
        </w:rPr>
        <w:t>信住房</w:t>
      </w:r>
      <w:proofErr w:type="gramEnd"/>
      <w:r>
        <w:rPr>
          <w:rFonts w:ascii="Arial" w:hAnsi="Arial" w:hint="eastAsia"/>
          <w:sz w:val="21"/>
          <w:szCs w:val="21"/>
        </w:rPr>
        <w:t>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有限责任公司承租经营</w:t>
      </w:r>
      <w:r>
        <w:rPr>
          <w:rFonts w:ascii="Arial" w:hAnsi="Arial" w:hint="eastAsia"/>
          <w:kern w:val="2"/>
          <w:sz w:val="21"/>
        </w:rPr>
        <w:t>，设定</w:t>
      </w:r>
      <w:r>
        <w:rPr>
          <w:rFonts w:ascii="Arial" w:hAnsi="Arial" w:hint="eastAsia"/>
          <w:bCs/>
          <w:sz w:val="21"/>
        </w:rPr>
        <w:t>用途为住宅</w:t>
      </w:r>
      <w:r>
        <w:rPr>
          <w:rFonts w:ascii="Arial" w:hAnsi="Arial" w:hint="eastAsia"/>
          <w:kern w:val="2"/>
          <w:sz w:val="21"/>
        </w:rPr>
        <w:t>，设定评估状态为包含家具家电。估价对象分布于北京市海淀区西北旺镇土井村</w:t>
      </w:r>
      <w:proofErr w:type="gramStart"/>
      <w:r>
        <w:rPr>
          <w:rFonts w:ascii="Arial" w:hAnsi="Arial" w:hint="eastAsia"/>
          <w:kern w:val="2"/>
          <w:sz w:val="21"/>
        </w:rPr>
        <w:t>图景嘉园小区</w:t>
      </w:r>
      <w:proofErr w:type="gramEnd"/>
      <w:r>
        <w:rPr>
          <w:rFonts w:ascii="Arial" w:hAnsi="Arial" w:hint="eastAsia"/>
          <w:kern w:val="2"/>
          <w:sz w:val="21"/>
        </w:rPr>
        <w:t>1</w:t>
      </w:r>
      <w:r>
        <w:rPr>
          <w:rFonts w:ascii="Arial" w:hAnsi="Arial" w:hint="eastAsia"/>
          <w:kern w:val="2"/>
          <w:sz w:val="21"/>
        </w:rPr>
        <w:t>、</w:t>
      </w:r>
      <w:r>
        <w:rPr>
          <w:rFonts w:ascii="Arial" w:hAnsi="Arial" w:hint="eastAsia"/>
          <w:kern w:val="2"/>
          <w:sz w:val="21"/>
        </w:rPr>
        <w:t>2</w:t>
      </w:r>
      <w:r>
        <w:rPr>
          <w:rFonts w:ascii="Arial" w:hAnsi="Arial" w:hint="eastAsia"/>
          <w:kern w:val="2"/>
          <w:sz w:val="21"/>
        </w:rPr>
        <w:t>、</w:t>
      </w:r>
      <w:r>
        <w:rPr>
          <w:rFonts w:ascii="Arial" w:hAnsi="Arial" w:hint="eastAsia"/>
          <w:kern w:val="2"/>
          <w:sz w:val="21"/>
        </w:rPr>
        <w:t>3</w:t>
      </w:r>
      <w:r>
        <w:rPr>
          <w:rFonts w:ascii="Arial" w:hAnsi="Arial" w:hint="eastAsia"/>
          <w:kern w:val="2"/>
          <w:sz w:val="21"/>
        </w:rPr>
        <w:t>、</w:t>
      </w:r>
      <w:r>
        <w:rPr>
          <w:rFonts w:ascii="Arial" w:hAnsi="Arial" w:hint="eastAsia"/>
          <w:kern w:val="2"/>
          <w:sz w:val="21"/>
        </w:rPr>
        <w:t>5</w:t>
      </w:r>
      <w:r>
        <w:rPr>
          <w:rFonts w:ascii="Arial" w:hAnsi="Arial" w:hint="eastAsia"/>
          <w:kern w:val="2"/>
          <w:sz w:val="21"/>
        </w:rPr>
        <w:t>、</w:t>
      </w:r>
      <w:r>
        <w:rPr>
          <w:rFonts w:ascii="Arial" w:hAnsi="Arial" w:hint="eastAsia"/>
          <w:kern w:val="2"/>
          <w:sz w:val="21"/>
        </w:rPr>
        <w:t>6</w:t>
      </w:r>
      <w:r>
        <w:rPr>
          <w:rFonts w:ascii="Arial" w:hAnsi="Arial" w:hint="eastAsia"/>
          <w:kern w:val="2"/>
          <w:sz w:val="21"/>
        </w:rPr>
        <w:t>、</w:t>
      </w:r>
      <w:r>
        <w:rPr>
          <w:rFonts w:ascii="Arial" w:hAnsi="Arial" w:hint="eastAsia"/>
          <w:kern w:val="2"/>
          <w:sz w:val="21"/>
        </w:rPr>
        <w:t>7</w:t>
      </w:r>
      <w:r>
        <w:rPr>
          <w:rFonts w:ascii="Arial" w:hAnsi="Arial" w:hint="eastAsia"/>
          <w:kern w:val="2"/>
          <w:sz w:val="21"/>
        </w:rPr>
        <w:t>、</w:t>
      </w:r>
      <w:r>
        <w:rPr>
          <w:rFonts w:ascii="Arial" w:hAnsi="Arial" w:hint="eastAsia"/>
          <w:kern w:val="2"/>
          <w:sz w:val="21"/>
        </w:rPr>
        <w:t>8</w:t>
      </w:r>
      <w:r>
        <w:rPr>
          <w:rFonts w:ascii="Arial" w:hAnsi="Arial" w:hint="eastAsia"/>
          <w:kern w:val="2"/>
          <w:sz w:val="21"/>
        </w:rPr>
        <w:t>、</w:t>
      </w:r>
      <w:r>
        <w:rPr>
          <w:rFonts w:ascii="Arial" w:hAnsi="Arial" w:hint="eastAsia"/>
          <w:kern w:val="2"/>
          <w:sz w:val="21"/>
        </w:rPr>
        <w:t>9</w:t>
      </w:r>
      <w:r>
        <w:rPr>
          <w:rFonts w:ascii="Arial" w:hAnsi="Arial" w:hint="eastAsia"/>
          <w:kern w:val="2"/>
          <w:sz w:val="21"/>
        </w:rPr>
        <w:t>、</w:t>
      </w:r>
      <w:r>
        <w:rPr>
          <w:rFonts w:ascii="Arial" w:hAnsi="Arial" w:hint="eastAsia"/>
          <w:kern w:val="2"/>
          <w:sz w:val="21"/>
        </w:rPr>
        <w:t>10</w:t>
      </w:r>
      <w:r>
        <w:rPr>
          <w:rFonts w:ascii="Arial" w:hAnsi="Arial" w:hint="eastAsia"/>
          <w:kern w:val="2"/>
          <w:sz w:val="21"/>
        </w:rPr>
        <w:t>、</w:t>
      </w:r>
      <w:r>
        <w:rPr>
          <w:rFonts w:ascii="Arial" w:hAnsi="Arial" w:hint="eastAsia"/>
          <w:kern w:val="2"/>
          <w:sz w:val="21"/>
        </w:rPr>
        <w:t>12</w:t>
      </w:r>
      <w:r>
        <w:rPr>
          <w:rFonts w:ascii="Arial" w:hAnsi="Arial" w:hint="eastAsia"/>
          <w:kern w:val="2"/>
          <w:sz w:val="21"/>
        </w:rPr>
        <w:t>号楼，朝向为设定南北，估价对象各户型情况如下：</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663"/>
        <w:gridCol w:w="1116"/>
        <w:gridCol w:w="1966"/>
        <w:gridCol w:w="3643"/>
      </w:tblGrid>
      <w:tr w:rsidR="00074975">
        <w:trPr>
          <w:trHeight w:val="284"/>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户型名称</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各户型面积范围（㎡）</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套数（套）</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总建筑面积（㎡）</w:t>
            </w:r>
          </w:p>
        </w:tc>
        <w:tc>
          <w:tcPr>
            <w:tcW w:w="192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家具家电配备情况</w:t>
            </w:r>
            <w:bookmarkStart w:id="40" w:name="_GoBack"/>
            <w:bookmarkEnd w:id="40"/>
          </w:p>
        </w:tc>
      </w:tr>
      <w:tr w:rsidR="00074975">
        <w:trPr>
          <w:trHeight w:val="306"/>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三居室</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101.18-130.61</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35</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3672.23</w:t>
            </w:r>
          </w:p>
        </w:tc>
        <w:tc>
          <w:tcPr>
            <w:tcW w:w="1920" w:type="pct"/>
            <w:vMerge w:val="restar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床、床垫、衣柜、餐桌、书桌、椅子、电视柜、电视、穿衣镜、橱柜、空调、冰箱、洗衣机、抽油烟机、热水器、洗手池、座便器</w:t>
            </w:r>
          </w:p>
        </w:tc>
      </w:tr>
      <w:tr w:rsidR="00074975">
        <w:trPr>
          <w:trHeight w:val="284"/>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两居室</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76.39-84.46</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101</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8185.51</w:t>
            </w:r>
          </w:p>
        </w:tc>
        <w:tc>
          <w:tcPr>
            <w:tcW w:w="1920" w:type="pct"/>
            <w:vMerge/>
            <w:vAlign w:val="center"/>
          </w:tcPr>
          <w:p w:rsidR="00074975" w:rsidRDefault="00074975">
            <w:pPr>
              <w:widowControl/>
              <w:overflowPunct w:val="0"/>
              <w:spacing w:line="240" w:lineRule="auto"/>
              <w:jc w:val="center"/>
              <w:textAlignment w:val="auto"/>
              <w:rPr>
                <w:rFonts w:ascii="Arial" w:eastAsia="华文细黑" w:hAnsi="Arial" w:cs="宋体"/>
                <w:color w:val="000000"/>
                <w:sz w:val="18"/>
                <w:szCs w:val="21"/>
              </w:rPr>
            </w:pPr>
          </w:p>
        </w:tc>
      </w:tr>
      <w:tr w:rsidR="00074975">
        <w:trPr>
          <w:trHeight w:val="284"/>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proofErr w:type="gramStart"/>
            <w:r>
              <w:rPr>
                <w:rFonts w:ascii="Arial" w:eastAsia="华文细黑" w:hAnsi="Arial" w:cs="宋体" w:hint="eastAsia"/>
                <w:color w:val="000000"/>
                <w:sz w:val="18"/>
                <w:szCs w:val="21"/>
              </w:rPr>
              <w:t>一</w:t>
            </w:r>
            <w:proofErr w:type="gramEnd"/>
            <w:r>
              <w:rPr>
                <w:rFonts w:ascii="Arial" w:eastAsia="华文细黑" w:hAnsi="Arial" w:cs="宋体" w:hint="eastAsia"/>
                <w:color w:val="000000"/>
                <w:sz w:val="18"/>
                <w:szCs w:val="21"/>
              </w:rPr>
              <w:t>居室</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52.12-53.93</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42</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2229.34</w:t>
            </w:r>
          </w:p>
        </w:tc>
        <w:tc>
          <w:tcPr>
            <w:tcW w:w="1920" w:type="pct"/>
            <w:vMerge/>
            <w:vAlign w:val="center"/>
          </w:tcPr>
          <w:p w:rsidR="00074975" w:rsidRDefault="00074975">
            <w:pPr>
              <w:widowControl/>
              <w:overflowPunct w:val="0"/>
              <w:spacing w:line="240" w:lineRule="auto"/>
              <w:jc w:val="center"/>
              <w:textAlignment w:val="auto"/>
              <w:rPr>
                <w:rFonts w:ascii="Arial" w:eastAsia="华文细黑" w:hAnsi="Arial" w:cs="宋体"/>
                <w:color w:val="000000"/>
                <w:sz w:val="18"/>
                <w:szCs w:val="21"/>
              </w:rPr>
            </w:pPr>
          </w:p>
        </w:tc>
      </w:tr>
      <w:tr w:rsidR="00074975">
        <w:trPr>
          <w:trHeight w:val="284"/>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开间</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46.01-47.19</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45</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2103.56</w:t>
            </w:r>
          </w:p>
        </w:tc>
        <w:tc>
          <w:tcPr>
            <w:tcW w:w="1920" w:type="pct"/>
            <w:vMerge/>
            <w:vAlign w:val="center"/>
          </w:tcPr>
          <w:p w:rsidR="00074975" w:rsidRDefault="00074975">
            <w:pPr>
              <w:widowControl/>
              <w:overflowPunct w:val="0"/>
              <w:spacing w:line="240" w:lineRule="auto"/>
              <w:jc w:val="center"/>
              <w:textAlignment w:val="auto"/>
              <w:rPr>
                <w:rFonts w:ascii="Arial" w:eastAsia="华文细黑" w:hAnsi="Arial" w:cs="宋体"/>
                <w:color w:val="000000"/>
                <w:sz w:val="18"/>
                <w:szCs w:val="21"/>
              </w:rPr>
            </w:pPr>
          </w:p>
        </w:tc>
      </w:tr>
      <w:tr w:rsidR="00074975">
        <w:trPr>
          <w:trHeight w:val="284"/>
          <w:jc w:val="center"/>
        </w:trPr>
        <w:tc>
          <w:tcPr>
            <w:tcW w:w="596"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w:t>
            </w:r>
          </w:p>
        </w:tc>
        <w:tc>
          <w:tcPr>
            <w:tcW w:w="88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w:t>
            </w:r>
          </w:p>
        </w:tc>
        <w:tc>
          <w:tcPr>
            <w:tcW w:w="561"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223</w:t>
            </w:r>
          </w:p>
        </w:tc>
        <w:tc>
          <w:tcPr>
            <w:tcW w:w="1039" w:type="pct"/>
            <w:noWrap/>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16190.64</w:t>
            </w:r>
          </w:p>
        </w:tc>
        <w:tc>
          <w:tcPr>
            <w:tcW w:w="1920" w:type="pct"/>
            <w:vAlign w:val="center"/>
          </w:tcPr>
          <w:p w:rsidR="00074975" w:rsidRDefault="00F71F7A">
            <w:pPr>
              <w:widowControl/>
              <w:overflowPunct w:val="0"/>
              <w:spacing w:line="240" w:lineRule="auto"/>
              <w:jc w:val="center"/>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w:t>
            </w:r>
          </w:p>
        </w:tc>
      </w:tr>
    </w:tbl>
    <w:p w:rsidR="00074975" w:rsidRDefault="00074975">
      <w:pPr>
        <w:overflowPunct w:val="0"/>
        <w:spacing w:line="480" w:lineRule="auto"/>
        <w:ind w:firstLineChars="200" w:firstLine="360"/>
        <w:jc w:val="both"/>
        <w:textAlignment w:val="auto"/>
        <w:rPr>
          <w:rFonts w:ascii="Arial" w:hAnsi="Arial"/>
          <w:bCs/>
          <w:sz w:val="18"/>
          <w:szCs w:val="18"/>
        </w:rPr>
      </w:pPr>
    </w:p>
    <w:p w:rsidR="00074975" w:rsidRDefault="00F71F7A">
      <w:pPr>
        <w:overflowPunct w:val="0"/>
        <w:spacing w:line="480" w:lineRule="auto"/>
        <w:jc w:val="both"/>
        <w:textAlignment w:val="auto"/>
        <w:rPr>
          <w:rFonts w:ascii="Arial" w:hAnsi="Arial"/>
          <w:b/>
          <w:bCs/>
          <w:sz w:val="21"/>
          <w:szCs w:val="21"/>
        </w:rPr>
      </w:pPr>
      <w:r>
        <w:rPr>
          <w:rFonts w:ascii="Arial" w:hAnsi="Arial" w:hint="eastAsia"/>
          <w:b/>
          <w:bCs/>
          <w:sz w:val="21"/>
          <w:szCs w:val="21"/>
        </w:rPr>
        <w:t>（四）他项权利状况</w:t>
      </w:r>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cs="Arial" w:hint="eastAsia"/>
          <w:kern w:val="2"/>
          <w:sz w:val="21"/>
        </w:rPr>
        <w:t>根据评估专业人员实地查勘，估价对象目前部分已出租，本次评估是</w:t>
      </w:r>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房地产市场租金提供参考依据。经与估价委托人确认，本次评估不考虑已设定的租赁权对估价结果的影响。</w:t>
      </w:r>
      <w:r>
        <w:rPr>
          <w:rFonts w:ascii="Arial" w:hAnsi="Arial" w:hint="eastAsia"/>
          <w:sz w:val="21"/>
          <w:szCs w:val="21"/>
        </w:rPr>
        <w:t>根据《估价委托书》，截至本报告出具之日，未见估价对象抵押权、地役权等其他他项权利。</w:t>
      </w:r>
    </w:p>
    <w:p w:rsidR="00074975" w:rsidRDefault="00F71F7A">
      <w:pPr>
        <w:overflowPunct w:val="0"/>
        <w:spacing w:line="480" w:lineRule="auto"/>
        <w:jc w:val="both"/>
        <w:textAlignment w:val="auto"/>
        <w:rPr>
          <w:rFonts w:ascii="Arial" w:hAnsi="Arial"/>
          <w:b/>
          <w:bCs/>
          <w:sz w:val="21"/>
          <w:szCs w:val="21"/>
        </w:rPr>
      </w:pPr>
      <w:r>
        <w:rPr>
          <w:rFonts w:ascii="Arial" w:hAnsi="Arial" w:hint="eastAsia"/>
          <w:b/>
          <w:bCs/>
          <w:sz w:val="21"/>
          <w:szCs w:val="21"/>
        </w:rPr>
        <w:t>（五）实物状况</w:t>
      </w:r>
    </w:p>
    <w:p w:rsidR="00074975" w:rsidRDefault="00F71F7A">
      <w:pPr>
        <w:widowControl/>
        <w:overflowPunct w:val="0"/>
        <w:spacing w:line="240" w:lineRule="auto"/>
        <w:ind w:firstLineChars="200" w:firstLine="420"/>
        <w:jc w:val="both"/>
        <w:textAlignment w:val="auto"/>
        <w:rPr>
          <w:rFonts w:ascii="Arial" w:hAnsi="Arial"/>
          <w:sz w:val="21"/>
          <w:szCs w:val="21"/>
        </w:rPr>
      </w:pPr>
      <w:r>
        <w:rPr>
          <w:rFonts w:ascii="Arial" w:hAnsi="Arial" w:hint="eastAsia"/>
          <w:sz w:val="21"/>
          <w:szCs w:val="21"/>
        </w:rPr>
        <w:t>1.</w:t>
      </w:r>
      <w:r>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firstRow="1" w:lastRow="0" w:firstColumn="1" w:lastColumn="0" w:noHBand="0" w:noVBand="1"/>
      </w:tblPr>
      <w:tblGrid>
        <w:gridCol w:w="2127"/>
        <w:gridCol w:w="2522"/>
        <w:gridCol w:w="2325"/>
        <w:gridCol w:w="2325"/>
      </w:tblGrid>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结构形式</w:t>
            </w:r>
          </w:p>
        </w:tc>
        <w:tc>
          <w:tcPr>
            <w:tcW w:w="2522"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钢混</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建筑类型</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高层板楼</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外立面装饰</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大堂设计装修</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涂料顶棚，涂料墙面，地砖地面</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电梯间装修</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涂料顶棚，涂料墙面，地砖地面</w:t>
            </w:r>
          </w:p>
        </w:tc>
      </w:tr>
      <w:tr w:rsidR="00074975">
        <w:trPr>
          <w:jc w:val="center"/>
        </w:trPr>
        <w:tc>
          <w:tcPr>
            <w:tcW w:w="9299" w:type="dxa"/>
            <w:gridSpan w:val="4"/>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基础设施情况</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道路</w:t>
            </w:r>
          </w:p>
        </w:tc>
        <w:tc>
          <w:tcPr>
            <w:tcW w:w="2522"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城市次干道</w:t>
            </w:r>
            <w:r>
              <w:rPr>
                <w:rFonts w:ascii="Arial" w:eastAsia="华文细黑" w:hAnsi="Arial" w:cs="宋体" w:hint="eastAsia"/>
                <w:color w:val="000000"/>
                <w:sz w:val="18"/>
                <w:szCs w:val="21"/>
              </w:rPr>
              <w:t>-</w:t>
            </w:r>
            <w:proofErr w:type="gramStart"/>
            <w:r>
              <w:rPr>
                <w:rFonts w:ascii="Arial" w:eastAsia="华文细黑" w:hAnsi="Arial" w:cs="宋体" w:hint="eastAsia"/>
                <w:color w:val="000000"/>
                <w:sz w:val="18"/>
                <w:szCs w:val="21"/>
              </w:rPr>
              <w:t>图景嘉园路</w:t>
            </w:r>
            <w:proofErr w:type="gramEnd"/>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供水</w:t>
            </w:r>
          </w:p>
        </w:tc>
        <w:tc>
          <w:tcPr>
            <w:tcW w:w="2325"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市政管网供水</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lastRenderedPageBreak/>
              <w:t>排水</w:t>
            </w:r>
          </w:p>
        </w:tc>
        <w:tc>
          <w:tcPr>
            <w:tcW w:w="2522"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市政管网排水</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供电</w:t>
            </w:r>
          </w:p>
        </w:tc>
        <w:tc>
          <w:tcPr>
            <w:tcW w:w="2325"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市政供电</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供暖</w:t>
            </w:r>
          </w:p>
        </w:tc>
        <w:tc>
          <w:tcPr>
            <w:tcW w:w="2522"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市政供暖</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通讯</w:t>
            </w:r>
          </w:p>
        </w:tc>
        <w:tc>
          <w:tcPr>
            <w:tcW w:w="2325"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通讯</w:t>
            </w:r>
          </w:p>
        </w:tc>
        <w:tc>
          <w:tcPr>
            <w:tcW w:w="2522" w:type="dxa"/>
            <w:vAlign w:val="center"/>
          </w:tcPr>
          <w:p w:rsidR="00074975" w:rsidRDefault="00F71F7A">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电话线、有线电视、宽带入户</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通风空调系统</w:t>
            </w:r>
          </w:p>
        </w:tc>
        <w:tc>
          <w:tcPr>
            <w:tcW w:w="2325" w:type="dxa"/>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壁挂式空调</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消防系统</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消防栓</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安全系统</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楼宇对讲门禁</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停车</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地上有少量停车位、地下车库</w:t>
            </w:r>
          </w:p>
        </w:tc>
      </w:tr>
      <w:tr w:rsidR="00074975">
        <w:trPr>
          <w:jc w:val="center"/>
        </w:trPr>
        <w:tc>
          <w:tcPr>
            <w:tcW w:w="2127" w:type="dxa"/>
            <w:noWrap/>
            <w:vAlign w:val="center"/>
          </w:tcPr>
          <w:p w:rsidR="00074975" w:rsidRDefault="00F71F7A">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物业管理</w:t>
            </w:r>
          </w:p>
        </w:tc>
        <w:tc>
          <w:tcPr>
            <w:tcW w:w="7172" w:type="dxa"/>
            <w:gridSpan w:val="3"/>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物业公司管理</w:t>
            </w:r>
          </w:p>
        </w:tc>
      </w:tr>
    </w:tbl>
    <w:p w:rsidR="00074975" w:rsidRDefault="00074975">
      <w:pPr>
        <w:widowControl/>
        <w:overflowPunct w:val="0"/>
        <w:spacing w:line="240" w:lineRule="auto"/>
        <w:ind w:firstLineChars="200" w:firstLine="420"/>
        <w:jc w:val="both"/>
        <w:textAlignment w:val="auto"/>
        <w:rPr>
          <w:rFonts w:ascii="Arial" w:hAnsi="Arial"/>
          <w:sz w:val="21"/>
          <w:szCs w:val="21"/>
        </w:rPr>
      </w:pPr>
    </w:p>
    <w:p w:rsidR="00074975" w:rsidRDefault="00F71F7A">
      <w:pPr>
        <w:widowControl/>
        <w:overflowPunct w:val="0"/>
        <w:spacing w:line="240" w:lineRule="auto"/>
        <w:ind w:firstLineChars="200" w:firstLine="420"/>
        <w:jc w:val="both"/>
        <w:textAlignment w:val="auto"/>
        <w:rPr>
          <w:rFonts w:ascii="Arial" w:hAnsi="Arial"/>
          <w:sz w:val="21"/>
          <w:szCs w:val="21"/>
        </w:rPr>
      </w:pPr>
      <w:r>
        <w:rPr>
          <w:rFonts w:ascii="Arial" w:hAnsi="Arial" w:hint="eastAsia"/>
          <w:sz w:val="21"/>
          <w:szCs w:val="21"/>
        </w:rPr>
        <w:t>2.</w:t>
      </w:r>
      <w:proofErr w:type="gramStart"/>
      <w:r>
        <w:rPr>
          <w:rFonts w:ascii="Arial" w:hAnsi="Arial" w:hint="eastAsia"/>
          <w:sz w:val="21"/>
          <w:szCs w:val="21"/>
        </w:rPr>
        <w:t>户内部</w:t>
      </w:r>
      <w:proofErr w:type="gramEnd"/>
      <w:r>
        <w:rPr>
          <w:rFonts w:ascii="Arial" w:hAnsi="Arial" w:hint="eastAsia"/>
          <w:sz w:val="21"/>
          <w:szCs w:val="21"/>
        </w:rPr>
        <w:t>分：</w:t>
      </w:r>
      <w:r>
        <w:rPr>
          <w:rFonts w:ascii="Arial" w:hAnsi="Arial" w:hint="eastAsia"/>
          <w:sz w:val="21"/>
          <w:szCs w:val="21"/>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8" w:type="dxa"/>
          <w:bottom w:w="85" w:type="dxa"/>
          <w:right w:w="28" w:type="dxa"/>
        </w:tblCellMar>
        <w:tblLook w:val="04A0" w:firstRow="1" w:lastRow="0" w:firstColumn="1" w:lastColumn="0" w:noHBand="0" w:noVBand="1"/>
      </w:tblPr>
      <w:tblGrid>
        <w:gridCol w:w="1338"/>
        <w:gridCol w:w="1781"/>
        <w:gridCol w:w="1781"/>
        <w:gridCol w:w="1631"/>
        <w:gridCol w:w="2820"/>
      </w:tblGrid>
      <w:tr w:rsidR="00074975">
        <w:trPr>
          <w:cantSplit/>
          <w:trHeight w:val="221"/>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单元类型</w:t>
            </w:r>
          </w:p>
        </w:tc>
        <w:tc>
          <w:tcPr>
            <w:tcW w:w="1904" w:type="pct"/>
            <w:gridSpan w:val="2"/>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平层</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朝向</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南北</w:t>
            </w:r>
          </w:p>
        </w:tc>
      </w:tr>
      <w:tr w:rsidR="00074975">
        <w:trPr>
          <w:cantSplit/>
          <w:trHeight w:val="205"/>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外门窗</w:t>
            </w:r>
          </w:p>
        </w:tc>
        <w:tc>
          <w:tcPr>
            <w:tcW w:w="1904" w:type="pct"/>
            <w:gridSpan w:val="2"/>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防盗门、塑钢窗</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内门</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木门、木</w:t>
            </w:r>
            <w:proofErr w:type="gramStart"/>
            <w:r>
              <w:rPr>
                <w:rFonts w:ascii="Arial" w:eastAsia="华文细黑" w:hAnsi="Arial" w:hint="eastAsia"/>
                <w:sz w:val="18"/>
                <w:szCs w:val="21"/>
              </w:rPr>
              <w:t>玻</w:t>
            </w:r>
            <w:proofErr w:type="gramEnd"/>
            <w:r>
              <w:rPr>
                <w:rFonts w:ascii="Arial" w:eastAsia="华文细黑" w:hAnsi="Arial" w:hint="eastAsia"/>
                <w:sz w:val="18"/>
                <w:szCs w:val="21"/>
              </w:rPr>
              <w:t>门</w:t>
            </w:r>
          </w:p>
        </w:tc>
      </w:tr>
      <w:tr w:rsidR="00074975">
        <w:trPr>
          <w:cantSplit/>
          <w:trHeight w:val="210"/>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建设内容</w:t>
            </w:r>
          </w:p>
        </w:tc>
        <w:tc>
          <w:tcPr>
            <w:tcW w:w="952" w:type="pct"/>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顶棚</w:t>
            </w:r>
          </w:p>
        </w:tc>
        <w:tc>
          <w:tcPr>
            <w:tcW w:w="95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墙面</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地面</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建筑装饰配件及附属设备</w:t>
            </w:r>
          </w:p>
        </w:tc>
      </w:tr>
      <w:tr w:rsidR="00074975">
        <w:trPr>
          <w:cantSplit/>
          <w:trHeight w:val="210"/>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室内</w:t>
            </w:r>
          </w:p>
        </w:tc>
        <w:tc>
          <w:tcPr>
            <w:tcW w:w="952" w:type="pct"/>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涂料</w:t>
            </w:r>
          </w:p>
        </w:tc>
        <w:tc>
          <w:tcPr>
            <w:tcW w:w="95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涂料</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木地板</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w:t>
            </w:r>
          </w:p>
        </w:tc>
      </w:tr>
      <w:tr w:rsidR="00074975">
        <w:trPr>
          <w:cantSplit/>
          <w:trHeight w:val="210"/>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厨房</w:t>
            </w:r>
          </w:p>
        </w:tc>
        <w:tc>
          <w:tcPr>
            <w:tcW w:w="952" w:type="pct"/>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铝扣板</w:t>
            </w:r>
          </w:p>
        </w:tc>
        <w:tc>
          <w:tcPr>
            <w:tcW w:w="95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墙砖</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地砖</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整体橱柜、不锈钢洗菜池</w:t>
            </w:r>
          </w:p>
        </w:tc>
      </w:tr>
      <w:tr w:rsidR="00074975">
        <w:trPr>
          <w:cantSplit/>
          <w:trHeight w:val="210"/>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卫生间</w:t>
            </w:r>
          </w:p>
        </w:tc>
        <w:tc>
          <w:tcPr>
            <w:tcW w:w="952" w:type="pct"/>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铝扣板</w:t>
            </w:r>
          </w:p>
        </w:tc>
        <w:tc>
          <w:tcPr>
            <w:tcW w:w="95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墙砖</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地砖</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座便器、陶瓷洗手池</w:t>
            </w:r>
          </w:p>
        </w:tc>
      </w:tr>
      <w:tr w:rsidR="00074975">
        <w:trPr>
          <w:cantSplit/>
          <w:trHeight w:val="210"/>
          <w:jc w:val="center"/>
        </w:trPr>
        <w:tc>
          <w:tcPr>
            <w:tcW w:w="715"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阳台</w:t>
            </w:r>
          </w:p>
        </w:tc>
        <w:tc>
          <w:tcPr>
            <w:tcW w:w="952" w:type="pct"/>
            <w:tcMar>
              <w:bottom w:w="0" w:type="dxa"/>
            </w:tcMar>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涂料</w:t>
            </w:r>
          </w:p>
        </w:tc>
        <w:tc>
          <w:tcPr>
            <w:tcW w:w="95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涂料</w:t>
            </w:r>
          </w:p>
        </w:tc>
        <w:tc>
          <w:tcPr>
            <w:tcW w:w="872"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木地板</w:t>
            </w:r>
          </w:p>
        </w:tc>
        <w:tc>
          <w:tcPr>
            <w:tcW w:w="1507" w:type="pc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w:t>
            </w:r>
          </w:p>
        </w:tc>
      </w:tr>
    </w:tbl>
    <w:p w:rsidR="00074975" w:rsidRDefault="00074975">
      <w:pPr>
        <w:widowControl/>
        <w:overflowPunct w:val="0"/>
        <w:spacing w:line="240" w:lineRule="auto"/>
        <w:ind w:firstLineChars="200" w:firstLine="420"/>
        <w:jc w:val="both"/>
        <w:textAlignment w:val="auto"/>
        <w:rPr>
          <w:rFonts w:ascii="Arial" w:hAnsi="Arial"/>
          <w:sz w:val="21"/>
          <w:szCs w:val="21"/>
        </w:rPr>
      </w:pPr>
    </w:p>
    <w:p w:rsidR="00074975" w:rsidRDefault="00F71F7A">
      <w:pPr>
        <w:widowControl/>
        <w:overflowPunct w:val="0"/>
        <w:spacing w:line="240" w:lineRule="auto"/>
        <w:ind w:firstLineChars="200" w:firstLine="420"/>
        <w:jc w:val="both"/>
        <w:textAlignment w:val="auto"/>
        <w:rPr>
          <w:rFonts w:ascii="Arial" w:hAnsi="Arial"/>
          <w:sz w:val="21"/>
          <w:szCs w:val="21"/>
        </w:rPr>
      </w:pPr>
      <w:r>
        <w:rPr>
          <w:rFonts w:ascii="Arial" w:hAnsi="Arial" w:hint="eastAsia"/>
          <w:sz w:val="21"/>
          <w:szCs w:val="21"/>
        </w:rPr>
        <w:t>3.</w:t>
      </w:r>
      <w:r>
        <w:rPr>
          <w:rFonts w:ascii="Arial" w:hAnsi="Arial" w:hint="eastAsia"/>
          <w:sz w:val="21"/>
          <w:szCs w:val="21"/>
        </w:rPr>
        <w:t>估价对象装修及设备的维护保养状况：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firstRow="1" w:lastRow="0" w:firstColumn="1" w:lastColumn="0" w:noHBand="0" w:noVBand="1"/>
      </w:tblPr>
      <w:tblGrid>
        <w:gridCol w:w="426"/>
        <w:gridCol w:w="1898"/>
        <w:gridCol w:w="6975"/>
      </w:tblGrid>
      <w:tr w:rsidR="00074975">
        <w:trPr>
          <w:jc w:val="center"/>
        </w:trPr>
        <w:tc>
          <w:tcPr>
            <w:tcW w:w="2324" w:type="dxa"/>
            <w:gridSpan w:val="2"/>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建设内容</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折旧程度</w:t>
            </w:r>
          </w:p>
        </w:tc>
      </w:tr>
      <w:tr w:rsidR="00074975">
        <w:trPr>
          <w:jc w:val="center"/>
        </w:trPr>
        <w:tc>
          <w:tcPr>
            <w:tcW w:w="426" w:type="dxa"/>
            <w:vMerge w:val="restar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装饰部分</w:t>
            </w: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外墙面</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内墙面</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门窗</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顶棚</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楼地面</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基本完好</w:t>
            </w:r>
          </w:p>
        </w:tc>
      </w:tr>
      <w:tr w:rsidR="00074975">
        <w:trPr>
          <w:jc w:val="center"/>
        </w:trPr>
        <w:tc>
          <w:tcPr>
            <w:tcW w:w="426" w:type="dxa"/>
            <w:vMerge w:val="restar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设备部分</w:t>
            </w:r>
          </w:p>
        </w:tc>
        <w:tc>
          <w:tcPr>
            <w:tcW w:w="1898" w:type="dxa"/>
          </w:tcPr>
          <w:p w:rsidR="00074975" w:rsidRDefault="00F71F7A">
            <w:pPr>
              <w:overflowPunct w:val="0"/>
              <w:spacing w:line="240" w:lineRule="auto"/>
              <w:textAlignment w:val="auto"/>
              <w:rPr>
                <w:rFonts w:ascii="Arial" w:eastAsia="华文细黑" w:hAnsi="Arial"/>
                <w:sz w:val="18"/>
                <w:szCs w:val="21"/>
              </w:rPr>
            </w:pPr>
            <w:proofErr w:type="gramStart"/>
            <w:r>
              <w:rPr>
                <w:rFonts w:ascii="Arial" w:eastAsia="华文细黑" w:hAnsi="Arial" w:hint="eastAsia"/>
                <w:sz w:val="18"/>
                <w:szCs w:val="21"/>
              </w:rPr>
              <w:t>水卫</w:t>
            </w:r>
            <w:proofErr w:type="gramEnd"/>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上、下水基本畅通</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电照</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线路和各种照明装置基本完好</w:t>
            </w:r>
          </w:p>
        </w:tc>
      </w:tr>
      <w:tr w:rsidR="00074975">
        <w:trPr>
          <w:jc w:val="center"/>
        </w:trPr>
        <w:tc>
          <w:tcPr>
            <w:tcW w:w="426"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1898"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特种设备</w:t>
            </w:r>
          </w:p>
        </w:tc>
        <w:tc>
          <w:tcPr>
            <w:tcW w:w="6975" w:type="dxa"/>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w:t>
            </w:r>
          </w:p>
        </w:tc>
      </w:tr>
    </w:tbl>
    <w:p w:rsidR="00074975" w:rsidRDefault="00074975">
      <w:pPr>
        <w:overflowPunct w:val="0"/>
        <w:spacing w:line="480" w:lineRule="auto"/>
        <w:ind w:firstLineChars="200" w:firstLine="360"/>
        <w:jc w:val="both"/>
        <w:textAlignment w:val="auto"/>
        <w:rPr>
          <w:rFonts w:ascii="Arial" w:hAnsi="Arial"/>
          <w:sz w:val="18"/>
          <w:szCs w:val="18"/>
        </w:rPr>
      </w:pPr>
    </w:p>
    <w:p w:rsidR="00074975" w:rsidRDefault="00F71F7A">
      <w:pPr>
        <w:overflowPunct w:val="0"/>
        <w:spacing w:line="480" w:lineRule="auto"/>
        <w:jc w:val="both"/>
        <w:textAlignment w:val="auto"/>
        <w:rPr>
          <w:rFonts w:ascii="Arial" w:hAnsi="Arial"/>
          <w:b/>
          <w:bCs/>
          <w:sz w:val="21"/>
          <w:szCs w:val="21"/>
        </w:rPr>
      </w:pPr>
      <w:r>
        <w:rPr>
          <w:rFonts w:ascii="Arial" w:hAnsi="Arial" w:hint="eastAsia"/>
          <w:b/>
          <w:bCs/>
          <w:sz w:val="21"/>
          <w:szCs w:val="21"/>
        </w:rPr>
        <w:t>（六）区位状况（实地查勘之日）</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firstRow="1" w:lastRow="0" w:firstColumn="1" w:lastColumn="0" w:noHBand="0" w:noVBand="1"/>
      </w:tblPr>
      <w:tblGrid>
        <w:gridCol w:w="2324"/>
        <w:gridCol w:w="6975"/>
      </w:tblGrid>
      <w:tr w:rsidR="00074975">
        <w:trPr>
          <w:jc w:val="center"/>
        </w:trPr>
        <w:tc>
          <w:tcPr>
            <w:tcW w:w="2324" w:type="dxa"/>
            <w:vMerge w:val="restart"/>
            <w:vAlign w:val="center"/>
          </w:tcPr>
          <w:p w:rsidR="00074975" w:rsidRDefault="00F71F7A">
            <w:pPr>
              <w:overflowPunct w:val="0"/>
              <w:spacing w:line="240" w:lineRule="auto"/>
              <w:textAlignment w:val="auto"/>
              <w:rPr>
                <w:rFonts w:ascii="Arial" w:eastAsia="华文细黑" w:hAnsi="Arial"/>
                <w:sz w:val="18"/>
                <w:szCs w:val="21"/>
              </w:rPr>
            </w:pPr>
            <w:r>
              <w:rPr>
                <w:rFonts w:ascii="Arial" w:eastAsia="华文细黑" w:hAnsi="Arial" w:cs="宋体" w:hint="eastAsia"/>
                <w:sz w:val="18"/>
                <w:szCs w:val="21"/>
              </w:rPr>
              <w:t>估价对象所属项目四至</w:t>
            </w:r>
          </w:p>
        </w:tc>
        <w:tc>
          <w:tcPr>
            <w:tcW w:w="6975"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东至：</w:t>
            </w:r>
            <w:proofErr w:type="gramStart"/>
            <w:r>
              <w:rPr>
                <w:rFonts w:ascii="Arial" w:eastAsia="华文细黑" w:hAnsi="Arial" w:cs="宋体" w:hint="eastAsia"/>
                <w:sz w:val="18"/>
                <w:szCs w:val="21"/>
              </w:rPr>
              <w:t>图景嘉园路</w:t>
            </w:r>
            <w:proofErr w:type="gramEnd"/>
          </w:p>
        </w:tc>
      </w:tr>
      <w:tr w:rsidR="00074975">
        <w:trPr>
          <w:jc w:val="center"/>
        </w:trPr>
        <w:tc>
          <w:tcPr>
            <w:tcW w:w="2324"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6975"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南至：康家岭新城</w:t>
            </w:r>
            <w:r>
              <w:rPr>
                <w:rFonts w:ascii="Arial" w:eastAsia="华文细黑" w:hAnsi="Arial" w:cs="宋体" w:hint="eastAsia"/>
                <w:sz w:val="18"/>
                <w:szCs w:val="21"/>
              </w:rPr>
              <w:t>1</w:t>
            </w:r>
            <w:r>
              <w:rPr>
                <w:rFonts w:ascii="Arial" w:eastAsia="华文细黑" w:hAnsi="Arial" w:cs="宋体" w:hint="eastAsia"/>
                <w:sz w:val="18"/>
                <w:szCs w:val="21"/>
              </w:rPr>
              <w:t>号路</w:t>
            </w:r>
          </w:p>
        </w:tc>
      </w:tr>
      <w:tr w:rsidR="00074975">
        <w:trPr>
          <w:jc w:val="center"/>
        </w:trPr>
        <w:tc>
          <w:tcPr>
            <w:tcW w:w="2324"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6975"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西至：康家岭新城</w:t>
            </w:r>
            <w:r>
              <w:rPr>
                <w:rFonts w:ascii="Arial" w:eastAsia="华文细黑" w:hAnsi="Arial" w:cs="宋体" w:hint="eastAsia"/>
                <w:sz w:val="18"/>
                <w:szCs w:val="21"/>
              </w:rPr>
              <w:t>1</w:t>
            </w:r>
            <w:r>
              <w:rPr>
                <w:rFonts w:ascii="Arial" w:eastAsia="华文细黑" w:hAnsi="Arial" w:cs="宋体" w:hint="eastAsia"/>
                <w:sz w:val="18"/>
                <w:szCs w:val="21"/>
              </w:rPr>
              <w:t>号路</w:t>
            </w:r>
          </w:p>
        </w:tc>
      </w:tr>
      <w:tr w:rsidR="00074975">
        <w:trPr>
          <w:jc w:val="center"/>
        </w:trPr>
        <w:tc>
          <w:tcPr>
            <w:tcW w:w="2324" w:type="dxa"/>
            <w:vMerge/>
            <w:vAlign w:val="center"/>
          </w:tcPr>
          <w:p w:rsidR="00074975" w:rsidRDefault="00074975">
            <w:pPr>
              <w:overflowPunct w:val="0"/>
              <w:spacing w:line="240" w:lineRule="auto"/>
              <w:textAlignment w:val="auto"/>
              <w:rPr>
                <w:rFonts w:ascii="Arial" w:eastAsia="华文细黑" w:hAnsi="Arial"/>
                <w:sz w:val="18"/>
                <w:szCs w:val="21"/>
              </w:rPr>
            </w:pPr>
          </w:p>
        </w:tc>
        <w:tc>
          <w:tcPr>
            <w:tcW w:w="6975"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北至：土井二街</w:t>
            </w:r>
          </w:p>
        </w:tc>
      </w:tr>
      <w:tr w:rsidR="00074975">
        <w:trPr>
          <w:jc w:val="center"/>
        </w:trPr>
        <w:tc>
          <w:tcPr>
            <w:tcW w:w="2324"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lastRenderedPageBreak/>
              <w:t>居住社区成熟度</w:t>
            </w:r>
          </w:p>
        </w:tc>
        <w:tc>
          <w:tcPr>
            <w:tcW w:w="6975"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估价对象周边有唐家岭新城、</w:t>
            </w:r>
            <w:r>
              <w:rPr>
                <w:rFonts w:ascii="Arial" w:eastAsia="华文细黑" w:hAnsi="Arial" w:cs="宋体" w:hint="eastAsia"/>
                <w:sz w:val="18"/>
                <w:szCs w:val="21"/>
              </w:rPr>
              <w:t>T08</w:t>
            </w:r>
            <w:r>
              <w:rPr>
                <w:rFonts w:ascii="Arial" w:eastAsia="华文细黑" w:hAnsi="Arial" w:cs="宋体" w:hint="eastAsia"/>
                <w:sz w:val="18"/>
                <w:szCs w:val="21"/>
              </w:rPr>
              <w:t>小区、万和家园、盛景创业园小区等居住社区，居住小区规模适中，入住率较好，综合评价居住区成熟度较好。</w:t>
            </w:r>
          </w:p>
        </w:tc>
      </w:tr>
      <w:tr w:rsidR="00074975">
        <w:trPr>
          <w:jc w:val="center"/>
        </w:trPr>
        <w:tc>
          <w:tcPr>
            <w:tcW w:w="2324"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交通便捷度</w:t>
            </w:r>
          </w:p>
        </w:tc>
        <w:tc>
          <w:tcPr>
            <w:tcW w:w="6975" w:type="dxa"/>
            <w:vAlign w:val="center"/>
          </w:tcPr>
          <w:p w:rsidR="00074975" w:rsidRDefault="00F71F7A">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临近城市次干道——</w:t>
            </w:r>
            <w:proofErr w:type="gramStart"/>
            <w:r>
              <w:rPr>
                <w:rFonts w:ascii="Arial" w:eastAsia="华文细黑" w:hAnsi="Arial" w:cs="宋体" w:hint="eastAsia"/>
                <w:sz w:val="18"/>
                <w:szCs w:val="21"/>
              </w:rPr>
              <w:t>图景嘉园路</w:t>
            </w:r>
            <w:proofErr w:type="gramEnd"/>
            <w:r>
              <w:rPr>
                <w:rFonts w:ascii="Arial" w:eastAsia="华文细黑" w:hAnsi="Arial" w:cs="宋体" w:hint="eastAsia"/>
                <w:sz w:val="18"/>
                <w:szCs w:val="21"/>
              </w:rPr>
              <w:t>，距离地铁</w:t>
            </w:r>
            <w:r>
              <w:rPr>
                <w:rFonts w:ascii="Arial" w:eastAsia="华文细黑" w:hAnsi="Arial" w:cs="宋体" w:hint="eastAsia"/>
                <w:sz w:val="18"/>
                <w:szCs w:val="21"/>
              </w:rPr>
              <w:t>16</w:t>
            </w:r>
            <w:r>
              <w:rPr>
                <w:rFonts w:ascii="Arial" w:eastAsia="华文细黑" w:hAnsi="Arial" w:cs="宋体" w:hint="eastAsia"/>
                <w:sz w:val="18"/>
                <w:szCs w:val="21"/>
              </w:rPr>
              <w:t>号线永丰南站约</w:t>
            </w:r>
            <w:r>
              <w:rPr>
                <w:rFonts w:ascii="Arial" w:eastAsia="华文细黑" w:hAnsi="Arial" w:cs="宋体" w:hint="eastAsia"/>
                <w:sz w:val="18"/>
                <w:szCs w:val="21"/>
              </w:rPr>
              <w:t>2000</w:t>
            </w:r>
            <w:r>
              <w:rPr>
                <w:rFonts w:ascii="Arial" w:eastAsia="华文细黑" w:hAnsi="Arial" w:cs="宋体" w:hint="eastAsia"/>
                <w:sz w:val="18"/>
                <w:szCs w:val="21"/>
              </w:rPr>
              <w:t>米，周边</w:t>
            </w:r>
            <w:r>
              <w:rPr>
                <w:rFonts w:ascii="Arial" w:eastAsia="华文细黑" w:hAnsi="Arial" w:cs="宋体" w:hint="eastAsia"/>
                <w:sz w:val="18"/>
                <w:szCs w:val="21"/>
              </w:rPr>
              <w:t>500</w:t>
            </w:r>
            <w:r>
              <w:rPr>
                <w:rFonts w:ascii="Arial" w:eastAsia="华文细黑" w:hAnsi="Arial" w:cs="宋体" w:hint="eastAsia"/>
                <w:sz w:val="18"/>
                <w:szCs w:val="21"/>
              </w:rPr>
              <w:t>米内有专</w:t>
            </w:r>
            <w:r>
              <w:rPr>
                <w:rFonts w:ascii="Arial" w:eastAsia="华文细黑" w:hAnsi="Arial" w:cs="宋体" w:hint="eastAsia"/>
                <w:sz w:val="18"/>
                <w:szCs w:val="21"/>
              </w:rPr>
              <w:t>446</w:t>
            </w:r>
            <w:r>
              <w:rPr>
                <w:rFonts w:ascii="Arial" w:eastAsia="华文细黑" w:hAnsi="Arial" w:cs="宋体" w:hint="eastAsia"/>
                <w:sz w:val="18"/>
                <w:szCs w:val="21"/>
              </w:rPr>
              <w:t>路、</w:t>
            </w:r>
            <w:r>
              <w:rPr>
                <w:rFonts w:ascii="Arial" w:eastAsia="华文细黑" w:hAnsi="Arial" w:cs="宋体" w:hint="eastAsia"/>
                <w:sz w:val="18"/>
                <w:szCs w:val="21"/>
              </w:rPr>
              <w:t>447</w:t>
            </w:r>
            <w:r>
              <w:rPr>
                <w:rFonts w:ascii="Arial" w:eastAsia="华文细黑" w:hAnsi="Arial" w:cs="宋体" w:hint="eastAsia"/>
                <w:sz w:val="18"/>
                <w:szCs w:val="21"/>
              </w:rPr>
              <w:t>路、</w:t>
            </w:r>
            <w:r>
              <w:rPr>
                <w:rFonts w:ascii="Arial" w:eastAsia="华文细黑" w:hAnsi="Arial" w:cs="宋体" w:hint="eastAsia"/>
                <w:sz w:val="18"/>
                <w:szCs w:val="21"/>
              </w:rPr>
              <w:t>495</w:t>
            </w:r>
            <w:r>
              <w:rPr>
                <w:rFonts w:ascii="Arial" w:eastAsia="华文细黑" w:hAnsi="Arial" w:cs="宋体" w:hint="eastAsia"/>
                <w:sz w:val="18"/>
                <w:szCs w:val="21"/>
              </w:rPr>
              <w:t>路等公交线路途径并设立站点，综合评估估价对象交通便捷度一般。</w:t>
            </w:r>
          </w:p>
        </w:tc>
      </w:tr>
      <w:tr w:rsidR="00074975">
        <w:trPr>
          <w:jc w:val="center"/>
        </w:trPr>
        <w:tc>
          <w:tcPr>
            <w:tcW w:w="2324"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道路状况</w:t>
            </w:r>
          </w:p>
        </w:tc>
        <w:tc>
          <w:tcPr>
            <w:tcW w:w="6975" w:type="dxa"/>
            <w:vAlign w:val="center"/>
          </w:tcPr>
          <w:p w:rsidR="00074975" w:rsidRDefault="00F71F7A">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所属项目临近</w:t>
            </w:r>
            <w:proofErr w:type="gramStart"/>
            <w:r>
              <w:rPr>
                <w:rFonts w:ascii="Arial" w:eastAsia="华文细黑" w:hAnsi="Arial" w:cs="宋体" w:hint="eastAsia"/>
                <w:sz w:val="18"/>
                <w:szCs w:val="21"/>
              </w:rPr>
              <w:t>图景嘉园路</w:t>
            </w:r>
            <w:proofErr w:type="gramEnd"/>
            <w:r>
              <w:rPr>
                <w:rFonts w:ascii="Arial" w:eastAsia="华文细黑" w:hAnsi="Arial" w:cs="宋体" w:hint="eastAsia"/>
                <w:sz w:val="18"/>
                <w:szCs w:val="21"/>
              </w:rPr>
              <w:t>，为城市次干道</w:t>
            </w:r>
          </w:p>
        </w:tc>
      </w:tr>
      <w:tr w:rsidR="00074975">
        <w:trPr>
          <w:jc w:val="center"/>
        </w:trPr>
        <w:tc>
          <w:tcPr>
            <w:tcW w:w="2324"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公共服务设施</w:t>
            </w:r>
          </w:p>
        </w:tc>
        <w:tc>
          <w:tcPr>
            <w:tcW w:w="6975" w:type="dxa"/>
            <w:vAlign w:val="center"/>
          </w:tcPr>
          <w:p w:rsidR="00074975" w:rsidRDefault="00F71F7A">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估价对象所在区域周边</w:t>
            </w:r>
            <w:r>
              <w:rPr>
                <w:rFonts w:ascii="Arial" w:eastAsia="华文细黑" w:hAnsi="Arial" w:cs="宋体" w:hint="eastAsia"/>
                <w:sz w:val="18"/>
                <w:szCs w:val="21"/>
              </w:rPr>
              <w:t>2</w:t>
            </w:r>
            <w:r>
              <w:rPr>
                <w:rFonts w:ascii="Arial" w:eastAsia="华文细黑" w:hAnsi="Arial" w:cs="宋体" w:hint="eastAsia"/>
                <w:sz w:val="18"/>
                <w:szCs w:val="21"/>
              </w:rPr>
              <w:t>公里范围内有</w:t>
            </w:r>
            <w:r>
              <w:rPr>
                <w:rFonts w:ascii="Arial" w:eastAsia="华文细黑" w:hAnsi="Arial" w:cs="宋体" w:hint="eastAsia"/>
                <w:sz w:val="18"/>
                <w:szCs w:val="21"/>
              </w:rPr>
              <w:t>U</w:t>
            </w:r>
            <w:proofErr w:type="gramStart"/>
            <w:r>
              <w:rPr>
                <w:rFonts w:ascii="Arial" w:eastAsia="华文细黑" w:hAnsi="Arial" w:cs="宋体" w:hint="eastAsia"/>
                <w:sz w:val="18"/>
                <w:szCs w:val="21"/>
              </w:rPr>
              <w:t>悦生活</w:t>
            </w:r>
            <w:proofErr w:type="gramEnd"/>
            <w:r>
              <w:rPr>
                <w:rFonts w:ascii="Arial" w:eastAsia="华文细黑" w:hAnsi="Arial" w:cs="宋体" w:hint="eastAsia"/>
                <w:sz w:val="18"/>
                <w:szCs w:val="21"/>
              </w:rPr>
              <w:t>广场、西北旺万象汇等商业场所；有北京市建华实验学校（东校区）、人大附中航天城学校、红英小学、北京市海淀区中关村第二小学（科学城北区分校）、唐家岭新城幼儿园等教育机构；有北京大学第三医院（海淀北部院区）、马连</w:t>
            </w:r>
            <w:proofErr w:type="gramStart"/>
            <w:r>
              <w:rPr>
                <w:rFonts w:ascii="Arial" w:eastAsia="华文细黑" w:hAnsi="Arial" w:cs="宋体" w:hint="eastAsia"/>
                <w:sz w:val="18"/>
                <w:szCs w:val="21"/>
              </w:rPr>
              <w:t>洼</w:t>
            </w:r>
            <w:proofErr w:type="gramEnd"/>
            <w:r>
              <w:rPr>
                <w:rFonts w:ascii="Arial" w:eastAsia="华文细黑" w:hAnsi="Arial" w:cs="宋体" w:hint="eastAsia"/>
                <w:sz w:val="18"/>
                <w:szCs w:val="21"/>
              </w:rPr>
              <w:t>社区卫生服务中心等医疗机构；有北京农商银行、中国农业银行等金融网点，公共配套设施状况较好。</w:t>
            </w:r>
          </w:p>
        </w:tc>
      </w:tr>
      <w:tr w:rsidR="00074975">
        <w:trPr>
          <w:jc w:val="center"/>
        </w:trPr>
        <w:tc>
          <w:tcPr>
            <w:tcW w:w="2324" w:type="dxa"/>
            <w:vAlign w:val="center"/>
          </w:tcPr>
          <w:p w:rsidR="00074975" w:rsidRDefault="00F71F7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rsidR="00074975" w:rsidRDefault="00F71F7A">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估价对象周边</w:t>
            </w:r>
            <w:r>
              <w:rPr>
                <w:rFonts w:ascii="Arial" w:eastAsia="华文细黑" w:hAnsi="Arial" w:cs="宋体" w:hint="eastAsia"/>
                <w:sz w:val="18"/>
                <w:szCs w:val="21"/>
              </w:rPr>
              <w:t>2</w:t>
            </w:r>
            <w:r>
              <w:rPr>
                <w:rFonts w:ascii="Arial" w:eastAsia="华文细黑" w:hAnsi="Arial" w:cs="宋体" w:hint="eastAsia"/>
                <w:sz w:val="18"/>
                <w:szCs w:val="21"/>
              </w:rPr>
              <w:t>公里内有中关村公园等自然景观，有中国空间技术研究院等人文场所，综合评价自然与人文环境较好。周边</w:t>
            </w:r>
            <w:r>
              <w:rPr>
                <w:rFonts w:ascii="Arial" w:eastAsia="华文细黑" w:hAnsi="Arial" w:cs="宋体" w:hint="eastAsia"/>
                <w:sz w:val="18"/>
                <w:szCs w:val="21"/>
              </w:rPr>
              <w:t>5km</w:t>
            </w:r>
            <w:r>
              <w:rPr>
                <w:rFonts w:ascii="Arial" w:eastAsia="华文细黑" w:hAnsi="Arial" w:cs="宋体" w:hint="eastAsia"/>
                <w:sz w:val="18"/>
                <w:szCs w:val="21"/>
              </w:rPr>
              <w:t>内无污染源。</w:t>
            </w:r>
          </w:p>
        </w:tc>
      </w:tr>
    </w:tbl>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41" w:name="_Toc500322967"/>
      <w:r>
        <w:rPr>
          <w:rFonts w:eastAsia="宋体" w:hint="eastAsia"/>
          <w:kern w:val="2"/>
          <w:sz w:val="21"/>
          <w:szCs w:val="21"/>
        </w:rPr>
        <w:br w:type="page"/>
      </w:r>
      <w:r>
        <w:rPr>
          <w:rFonts w:eastAsia="宋体" w:hint="eastAsia"/>
          <w:kern w:val="2"/>
          <w:sz w:val="21"/>
          <w:szCs w:val="21"/>
        </w:rPr>
        <w:lastRenderedPageBreak/>
        <w:t>五、影响房地产价格因素分析</w:t>
      </w:r>
      <w:bookmarkEnd w:id="41"/>
    </w:p>
    <w:p w:rsidR="00074975" w:rsidRDefault="00F71F7A">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rsidR="00074975" w:rsidRDefault="00F71F7A">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bookmarkStart w:id="42" w:name="OLE_LINK34"/>
      <w:bookmarkStart w:id="43"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074975" w:rsidRDefault="00F71F7A">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074975" w:rsidRDefault="00F71F7A">
      <w:pPr>
        <w:widowControl/>
        <w:adjustRightInd/>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0" distR="0">
            <wp:extent cx="5252085" cy="1610995"/>
            <wp:effectExtent l="0" t="0" r="0" b="0"/>
            <wp:docPr id="4" name="图片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42"/>
    <w:bookmarkEnd w:id="43"/>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rsidR="00074975" w:rsidRDefault="00F71F7A">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rsidR="00074975" w:rsidRDefault="00F71F7A">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rsidR="00074975" w:rsidRDefault="00F71F7A">
      <w:pPr>
        <w:overflowPunct w:val="0"/>
        <w:spacing w:line="360" w:lineRule="auto"/>
        <w:jc w:val="center"/>
        <w:rPr>
          <w:rFonts w:ascii="Arial" w:eastAsia="仿宋_GB2312" w:hAnsi="Arial"/>
          <w:b/>
          <w:bCs/>
          <w:color w:val="000000"/>
          <w:szCs w:val="24"/>
        </w:rPr>
      </w:pPr>
      <w:r>
        <w:rPr>
          <w:noProof/>
        </w:rPr>
        <w:drawing>
          <wp:inline distT="0" distB="0" distL="0" distR="0">
            <wp:extent cx="4091305" cy="2197100"/>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91305" cy="2197100"/>
                    </a:xfrm>
                    <a:prstGeom prst="rect">
                      <a:avLst/>
                    </a:prstGeom>
                    <a:noFill/>
                    <a:ln>
                      <a:noFill/>
                    </a:ln>
                    <a:effectLst/>
                  </pic:spPr>
                </pic:pic>
              </a:graphicData>
            </a:graphic>
          </wp:inline>
        </w:drawing>
      </w:r>
    </w:p>
    <w:p w:rsidR="00074975" w:rsidRDefault="00F71F7A">
      <w:pPr>
        <w:widowControl/>
        <w:overflowPunct w:val="0"/>
        <w:adjustRightInd/>
        <w:spacing w:line="480" w:lineRule="auto"/>
        <w:ind w:firstLineChars="200" w:firstLine="420"/>
        <w:jc w:val="both"/>
        <w:textAlignment w:val="auto"/>
        <w:rPr>
          <w:rFonts w:ascii="Arial" w:hAnsi="Arial"/>
          <w:sz w:val="21"/>
          <w:szCs w:val="21"/>
        </w:rPr>
      </w:pP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）土地成交情况</w:t>
      </w:r>
    </w:p>
    <w:p w:rsidR="00074975" w:rsidRDefault="00F71F7A">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rsidR="00074975" w:rsidRDefault="00F71F7A">
      <w:pPr>
        <w:overflowPunct w:val="0"/>
        <w:spacing w:line="360" w:lineRule="auto"/>
        <w:jc w:val="center"/>
        <w:textAlignment w:val="auto"/>
        <w:rPr>
          <w:rFonts w:ascii="Arial" w:eastAsia="仿宋_GB2312" w:hAnsi="Arial"/>
          <w:bCs/>
          <w:color w:val="000000"/>
          <w:sz w:val="28"/>
          <w:szCs w:val="28"/>
        </w:rPr>
      </w:pPr>
      <w:r>
        <w:rPr>
          <w:noProof/>
        </w:rPr>
        <w:drawing>
          <wp:inline distT="0" distB="0" distL="0" distR="0">
            <wp:extent cx="4815205" cy="2404745"/>
            <wp:effectExtent l="0" t="0" r="0"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15205" cy="2404745"/>
                    </a:xfrm>
                    <a:prstGeom prst="rect">
                      <a:avLst/>
                    </a:prstGeom>
                    <a:noFill/>
                    <a:ln>
                      <a:noFill/>
                    </a:ln>
                    <a:effectLst/>
                  </pic:spPr>
                </pic:pic>
              </a:graphicData>
            </a:graphic>
          </wp:inline>
        </w:drawing>
      </w:r>
    </w:p>
    <w:p w:rsidR="00074975" w:rsidRDefault="00F71F7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rsidR="00074975" w:rsidRDefault="00F71F7A">
      <w:pPr>
        <w:widowControl/>
        <w:overflowPunct w:val="0"/>
        <w:adjustRightInd/>
        <w:spacing w:line="480" w:lineRule="auto"/>
        <w:jc w:val="center"/>
        <w:textAlignment w:val="auto"/>
      </w:pPr>
      <w:r>
        <w:rPr>
          <w:noProof/>
        </w:rPr>
        <w:drawing>
          <wp:inline distT="0" distB="0" distL="0" distR="0">
            <wp:extent cx="3764280" cy="3248025"/>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64280" cy="3248025"/>
                    </a:xfrm>
                    <a:prstGeom prst="rect">
                      <a:avLst/>
                    </a:prstGeom>
                    <a:noFill/>
                    <a:ln>
                      <a:noFill/>
                    </a:ln>
                    <a:effectLst/>
                  </pic:spPr>
                </pic:pic>
              </a:graphicData>
            </a:graphic>
          </wp:inline>
        </w:drawing>
      </w:r>
    </w:p>
    <w:p w:rsidR="00074975" w:rsidRDefault="00F71F7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lastRenderedPageBreak/>
        <w:t>（</w:t>
      </w:r>
      <w:r>
        <w:rPr>
          <w:rFonts w:ascii="Arial" w:hAnsi="Arial" w:hint="eastAsia"/>
          <w:sz w:val="21"/>
        </w:rPr>
        <w:t>3</w:t>
      </w:r>
      <w:r>
        <w:rPr>
          <w:rFonts w:ascii="Arial" w:hAnsi="Arial" w:cs="宋体" w:hint="eastAsia"/>
          <w:sz w:val="21"/>
          <w:szCs w:val="21"/>
        </w:rPr>
        <w:t>）土地成交价格</w:t>
      </w:r>
    </w:p>
    <w:p w:rsidR="00074975" w:rsidRDefault="00F71F7A">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rsidR="00074975" w:rsidRDefault="00F71F7A">
      <w:pPr>
        <w:spacing w:line="480" w:lineRule="auto"/>
        <w:jc w:val="center"/>
        <w:rPr>
          <w:rFonts w:ascii="Arial" w:hAnsi="Arial" w:cs="Arial"/>
          <w:sz w:val="21"/>
          <w:szCs w:val="21"/>
        </w:rPr>
      </w:pPr>
      <w:r>
        <w:rPr>
          <w:noProof/>
        </w:rPr>
        <w:drawing>
          <wp:inline distT="0" distB="0" distL="0" distR="0">
            <wp:extent cx="3402330" cy="191198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02330" cy="1911985"/>
                    </a:xfrm>
                    <a:prstGeom prst="rect">
                      <a:avLst/>
                    </a:prstGeom>
                    <a:noFill/>
                    <a:ln>
                      <a:noFill/>
                    </a:ln>
                    <a:effectLst/>
                  </pic:spPr>
                </pic:pic>
              </a:graphicData>
            </a:graphic>
          </wp:inline>
        </w:drawing>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rsidR="00074975" w:rsidRDefault="00F71F7A">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rsidR="00074975" w:rsidRDefault="00F71F7A">
      <w:pPr>
        <w:overflowPunct w:val="0"/>
        <w:spacing w:line="480" w:lineRule="auto"/>
        <w:jc w:val="center"/>
        <w:textAlignment w:val="auto"/>
        <w:rPr>
          <w:rFonts w:ascii="Arial" w:hAnsi="Arial"/>
          <w:sz w:val="21"/>
          <w:szCs w:val="28"/>
        </w:rPr>
      </w:pPr>
      <w:r>
        <w:rPr>
          <w:noProof/>
        </w:rPr>
        <w:drawing>
          <wp:inline distT="0" distB="0" distL="0" distR="0">
            <wp:extent cx="3473450" cy="203073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73450" cy="2030730"/>
                    </a:xfrm>
                    <a:prstGeom prst="rect">
                      <a:avLst/>
                    </a:prstGeom>
                    <a:noFill/>
                    <a:ln>
                      <a:noFill/>
                    </a:ln>
                    <a:effectLst/>
                  </pic:spPr>
                </pic:pic>
              </a:graphicData>
            </a:graphic>
          </wp:inline>
        </w:drawing>
      </w:r>
    </w:p>
    <w:p w:rsidR="00074975" w:rsidRDefault="00F71F7A">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lastRenderedPageBreak/>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rsidR="00074975" w:rsidRDefault="00F71F7A">
      <w:pPr>
        <w:overflowPunct w:val="0"/>
        <w:spacing w:line="480" w:lineRule="auto"/>
        <w:jc w:val="center"/>
        <w:textAlignment w:val="auto"/>
        <w:rPr>
          <w:rFonts w:ascii="Arial" w:hAnsi="Arial"/>
          <w:sz w:val="21"/>
        </w:rPr>
      </w:pPr>
      <w:r>
        <w:rPr>
          <w:noProof/>
        </w:rPr>
        <w:drawing>
          <wp:inline distT="0" distB="0" distL="0" distR="0">
            <wp:extent cx="5902325" cy="184086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2325" cy="1840865"/>
                    </a:xfrm>
                    <a:prstGeom prst="rect">
                      <a:avLst/>
                    </a:prstGeom>
                    <a:noFill/>
                    <a:ln>
                      <a:noFill/>
                    </a:ln>
                  </pic:spPr>
                </pic:pic>
              </a:graphicData>
            </a:graphic>
          </wp:inline>
        </w:drawing>
      </w:r>
    </w:p>
    <w:p w:rsidR="00074975" w:rsidRDefault="00F71F7A">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rsidR="00074975" w:rsidRDefault="00F71F7A">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rsidR="00074975" w:rsidRDefault="00F71F7A">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rsidR="00074975" w:rsidRDefault="00F71F7A">
      <w:pPr>
        <w:overflowPunct w:val="0"/>
        <w:spacing w:line="480" w:lineRule="auto"/>
        <w:jc w:val="both"/>
        <w:textAlignment w:val="auto"/>
        <w:rPr>
          <w:rFonts w:ascii="Arial" w:hAnsi="Arial"/>
          <w:sz w:val="21"/>
        </w:rPr>
      </w:pPr>
      <w:r>
        <w:rPr>
          <w:noProof/>
        </w:rPr>
        <w:drawing>
          <wp:inline distT="0" distB="0" distL="0" distR="0">
            <wp:extent cx="5902325" cy="16687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02325" cy="1668780"/>
                    </a:xfrm>
                    <a:prstGeom prst="rect">
                      <a:avLst/>
                    </a:prstGeom>
                    <a:noFill/>
                    <a:ln>
                      <a:noFill/>
                    </a:ln>
                  </pic:spPr>
                </pic:pic>
              </a:graphicData>
            </a:graphic>
          </wp:inline>
        </w:drawing>
      </w:r>
    </w:p>
    <w:p w:rsidR="00074975" w:rsidRDefault="00F71F7A">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rsidR="00074975" w:rsidRDefault="00F71F7A">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rsidR="00074975" w:rsidRDefault="00F71F7A">
      <w:pPr>
        <w:spacing w:line="360" w:lineRule="auto"/>
        <w:ind w:firstLineChars="200" w:firstLine="420"/>
        <w:jc w:val="both"/>
        <w:outlineLvl w:val="0"/>
        <w:rPr>
          <w:rFonts w:ascii="Arial" w:hAnsi="Arial"/>
          <w:sz w:val="21"/>
          <w:szCs w:val="28"/>
        </w:rPr>
      </w:pPr>
      <w:r>
        <w:rPr>
          <w:rFonts w:ascii="Arial" w:hAnsi="Arial"/>
          <w:color w:val="000000"/>
          <w:sz w:val="21"/>
          <w:szCs w:val="21"/>
        </w:rPr>
        <w:lastRenderedPageBreak/>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rsidR="00074975" w:rsidRDefault="00F71F7A">
      <w:pPr>
        <w:tabs>
          <w:tab w:val="left" w:pos="426"/>
        </w:tabs>
        <w:overflowPunct w:val="0"/>
        <w:spacing w:line="480" w:lineRule="auto"/>
        <w:jc w:val="center"/>
        <w:textAlignment w:val="auto"/>
        <w:rPr>
          <w:rFonts w:ascii="Arial" w:hAnsi="Arial"/>
          <w:sz w:val="21"/>
          <w:szCs w:val="28"/>
        </w:rPr>
      </w:pPr>
      <w:r>
        <w:rPr>
          <w:noProof/>
        </w:rPr>
        <w:drawing>
          <wp:inline distT="0" distB="0" distL="0" distR="0">
            <wp:extent cx="5902325" cy="183451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02325" cy="1834515"/>
                    </a:xfrm>
                    <a:prstGeom prst="rect">
                      <a:avLst/>
                    </a:prstGeom>
                    <a:noFill/>
                    <a:ln>
                      <a:noFill/>
                    </a:ln>
                  </pic:spPr>
                </pic:pic>
              </a:graphicData>
            </a:graphic>
          </wp:inline>
        </w:drawing>
      </w:r>
    </w:p>
    <w:p w:rsidR="00074975" w:rsidRDefault="00F71F7A">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44" w:name="OLE_LINK10"/>
      <w:r>
        <w:rPr>
          <w:rFonts w:ascii="Arial" w:hAnsi="Arial" w:hint="eastAsia"/>
          <w:sz w:val="21"/>
          <w:szCs w:val="28"/>
        </w:rPr>
        <w:t>元</w:t>
      </w:r>
      <w:bookmarkEnd w:id="44"/>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rsidR="00074975" w:rsidRDefault="00F71F7A">
      <w:pPr>
        <w:overflowPunct w:val="0"/>
        <w:spacing w:line="480" w:lineRule="auto"/>
        <w:jc w:val="center"/>
        <w:textAlignment w:val="auto"/>
      </w:pPr>
      <w:r>
        <w:rPr>
          <w:noProof/>
        </w:rPr>
        <w:lastRenderedPageBreak/>
        <w:drawing>
          <wp:inline distT="0" distB="0" distL="0" distR="0">
            <wp:extent cx="5902325" cy="170434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02325" cy="1704340"/>
                    </a:xfrm>
                    <a:prstGeom prst="rect">
                      <a:avLst/>
                    </a:prstGeom>
                    <a:noFill/>
                    <a:ln>
                      <a:noFill/>
                    </a:ln>
                  </pic:spPr>
                </pic:pic>
              </a:graphicData>
            </a:graphic>
          </wp:inline>
        </w:drawing>
      </w:r>
    </w:p>
    <w:p w:rsidR="00074975" w:rsidRDefault="00F71F7A">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rsidR="00074975" w:rsidRDefault="00F71F7A">
      <w:pPr>
        <w:tabs>
          <w:tab w:val="left" w:pos="0"/>
        </w:tabs>
        <w:overflowPunct w:val="0"/>
        <w:spacing w:line="480" w:lineRule="auto"/>
        <w:jc w:val="center"/>
        <w:textAlignment w:val="auto"/>
      </w:pPr>
      <w:r>
        <w:rPr>
          <w:noProof/>
        </w:rPr>
        <w:drawing>
          <wp:inline distT="0" distB="0" distL="0" distR="0">
            <wp:extent cx="5908040" cy="1941830"/>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08040" cy="1941830"/>
                    </a:xfrm>
                    <a:prstGeom prst="rect">
                      <a:avLst/>
                    </a:prstGeom>
                    <a:noFill/>
                    <a:ln>
                      <a:noFill/>
                    </a:ln>
                  </pic:spPr>
                </pic:pic>
              </a:graphicData>
            </a:graphic>
          </wp:inline>
        </w:drawing>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rsidR="00074975" w:rsidRDefault="00F71F7A">
      <w:pPr>
        <w:overflowPunct w:val="0"/>
        <w:spacing w:line="480" w:lineRule="auto"/>
        <w:ind w:firstLineChars="200" w:firstLine="420"/>
        <w:jc w:val="both"/>
        <w:textAlignment w:val="auto"/>
        <w:rPr>
          <w:rFonts w:ascii="Arial" w:hAnsi="Arial"/>
          <w:sz w:val="21"/>
          <w:szCs w:val="28"/>
        </w:rPr>
      </w:pPr>
      <w:r>
        <w:rPr>
          <w:rFonts w:ascii="Arial" w:hAnsi="Arial"/>
          <w:sz w:val="21"/>
          <w:szCs w:val="28"/>
        </w:rPr>
        <w:lastRenderedPageBreak/>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rsidR="00074975" w:rsidRDefault="00F71F7A">
      <w:pPr>
        <w:widowControl/>
        <w:spacing w:line="360" w:lineRule="auto"/>
        <w:jc w:val="center"/>
        <w:rPr>
          <w:rFonts w:ascii="Arial" w:eastAsia="仿宋_GB2312" w:hAnsi="Arial" w:cs="Arial"/>
          <w:bCs/>
          <w:color w:val="000000"/>
          <w:sz w:val="28"/>
          <w:szCs w:val="28"/>
        </w:rPr>
      </w:pPr>
      <w:r>
        <w:rPr>
          <w:noProof/>
        </w:rPr>
        <w:drawing>
          <wp:inline distT="0" distB="0" distL="0" distR="0">
            <wp:extent cx="5902325" cy="1983105"/>
            <wp:effectExtent l="0" t="0" r="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02325" cy="1983105"/>
                    </a:xfrm>
                    <a:prstGeom prst="rect">
                      <a:avLst/>
                    </a:prstGeom>
                    <a:noFill/>
                    <a:ln>
                      <a:noFill/>
                    </a:ln>
                  </pic:spPr>
                </pic:pic>
              </a:graphicData>
            </a:graphic>
          </wp:inline>
        </w:drawing>
      </w:r>
    </w:p>
    <w:p w:rsidR="00074975" w:rsidRDefault="00F71F7A">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rsidR="00074975" w:rsidRDefault="00F71F7A">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rsidR="00074975" w:rsidRDefault="00F71F7A">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45" w:name="OLE_LINK11"/>
      <w:r>
        <w:rPr>
          <w:rFonts w:ascii="Arial" w:hAnsi="Arial" w:hint="eastAsia"/>
          <w:sz w:val="21"/>
          <w:szCs w:val="28"/>
        </w:rPr>
        <w:t>存量</w:t>
      </w:r>
      <w:bookmarkEnd w:id="45"/>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rsidR="00074975" w:rsidRDefault="00F71F7A">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rsidR="00074975" w:rsidRDefault="00F71F7A">
      <w:pPr>
        <w:tabs>
          <w:tab w:val="left" w:pos="0"/>
        </w:tabs>
        <w:overflowPunct w:val="0"/>
        <w:spacing w:line="480" w:lineRule="auto"/>
        <w:jc w:val="center"/>
        <w:textAlignment w:val="auto"/>
        <w:rPr>
          <w:rFonts w:ascii="Arial" w:hAnsi="Arial"/>
          <w:sz w:val="21"/>
        </w:rPr>
      </w:pPr>
      <w:r>
        <w:rPr>
          <w:noProof/>
        </w:rPr>
        <w:drawing>
          <wp:inline distT="0" distB="0" distL="0" distR="0">
            <wp:extent cx="5902325" cy="1632585"/>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02325" cy="1632585"/>
                    </a:xfrm>
                    <a:prstGeom prst="rect">
                      <a:avLst/>
                    </a:prstGeom>
                    <a:noFill/>
                    <a:ln>
                      <a:noFill/>
                    </a:ln>
                  </pic:spPr>
                </pic:pic>
              </a:graphicData>
            </a:graphic>
          </wp:inline>
        </w:drawing>
      </w:r>
    </w:p>
    <w:p w:rsidR="00074975" w:rsidRDefault="00F71F7A">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rsidR="00074975" w:rsidRDefault="00F71F7A">
      <w:pPr>
        <w:overflowPunct w:val="0"/>
        <w:spacing w:line="480" w:lineRule="auto"/>
        <w:ind w:firstLine="420"/>
        <w:jc w:val="both"/>
        <w:textAlignment w:val="auto"/>
        <w:rPr>
          <w:rFonts w:ascii="Arial" w:hAnsi="Arial"/>
          <w:color w:val="000000"/>
          <w:sz w:val="21"/>
        </w:rPr>
      </w:pPr>
      <w:bookmarkStart w:id="46" w:name="OLE_LINK9"/>
      <w:bookmarkStart w:id="47" w:name="OLE_LINK8"/>
      <w:r>
        <w:rPr>
          <w:rFonts w:ascii="Arial" w:hAnsi="Arial"/>
          <w:color w:val="000000"/>
          <w:sz w:val="21"/>
        </w:rPr>
        <w:lastRenderedPageBreak/>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rsidR="00074975" w:rsidRDefault="00F71F7A">
      <w:pPr>
        <w:widowControl/>
        <w:spacing w:line="360" w:lineRule="auto"/>
        <w:jc w:val="center"/>
        <w:rPr>
          <w:rFonts w:ascii="Arial" w:eastAsia="仿宋_GB2312" w:hAnsi="Arial" w:cs="Arial"/>
          <w:bCs/>
          <w:color w:val="000000"/>
          <w:sz w:val="28"/>
          <w:szCs w:val="28"/>
        </w:rPr>
      </w:pPr>
      <w:r>
        <w:rPr>
          <w:noProof/>
        </w:rPr>
        <w:drawing>
          <wp:inline distT="0" distB="0" distL="0" distR="0">
            <wp:extent cx="5908040" cy="2084070"/>
            <wp:effectExtent l="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08040" cy="2084070"/>
                    </a:xfrm>
                    <a:prstGeom prst="rect">
                      <a:avLst/>
                    </a:prstGeom>
                    <a:noFill/>
                    <a:ln>
                      <a:noFill/>
                    </a:ln>
                  </pic:spPr>
                </pic:pic>
              </a:graphicData>
            </a:graphic>
          </wp:inline>
        </w:drawing>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rsidR="00074975" w:rsidRDefault="00F71F7A">
      <w:pPr>
        <w:overflowPunct w:val="0"/>
        <w:spacing w:line="480" w:lineRule="auto"/>
        <w:jc w:val="both"/>
        <w:textAlignment w:val="auto"/>
        <w:rPr>
          <w:rFonts w:ascii="Arial" w:hAnsi="Arial"/>
          <w:color w:val="000000"/>
          <w:sz w:val="21"/>
        </w:rPr>
      </w:pPr>
      <w:r>
        <w:rPr>
          <w:noProof/>
        </w:rPr>
        <w:drawing>
          <wp:inline distT="0" distB="0" distL="0" distR="0">
            <wp:extent cx="5908040" cy="1722120"/>
            <wp:effectExtent l="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8040" cy="1722120"/>
                    </a:xfrm>
                    <a:prstGeom prst="rect">
                      <a:avLst/>
                    </a:prstGeom>
                    <a:noFill/>
                    <a:ln>
                      <a:noFill/>
                    </a:ln>
                  </pic:spPr>
                </pic:pic>
              </a:graphicData>
            </a:graphic>
          </wp:inline>
        </w:drawing>
      </w:r>
    </w:p>
    <w:p w:rsidR="00074975" w:rsidRDefault="00F71F7A">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rsidR="00074975" w:rsidRDefault="00F71F7A">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w:t>
      </w:r>
      <w:r>
        <w:rPr>
          <w:rFonts w:ascii="Arial" w:hAnsi="Arial"/>
          <w:color w:val="000000"/>
          <w:sz w:val="21"/>
        </w:rPr>
        <w:lastRenderedPageBreak/>
        <w:t>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48" w:name="OLE_LINK7"/>
      <w:r>
        <w:rPr>
          <w:rFonts w:ascii="Arial" w:hAnsi="Arial"/>
          <w:color w:val="000000"/>
          <w:sz w:val="21"/>
        </w:rPr>
        <w:t>中央城市工作会议</w:t>
      </w:r>
      <w:bookmarkEnd w:id="48"/>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w:t>
      </w:r>
      <w:r>
        <w:rPr>
          <w:rFonts w:ascii="Arial" w:hAnsi="Arial"/>
          <w:color w:val="000000"/>
          <w:sz w:val="21"/>
        </w:rPr>
        <w:lastRenderedPageBreak/>
        <w:t>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rsidR="00074975" w:rsidRDefault="00F71F7A">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w:t>
      </w:r>
      <w:r>
        <w:rPr>
          <w:rFonts w:ascii="Arial" w:hAnsi="Arial" w:hint="eastAsia"/>
          <w:color w:val="000000"/>
          <w:sz w:val="21"/>
        </w:rPr>
        <w:lastRenderedPageBreak/>
        <w:t>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bookmarkEnd w:id="46"/>
    <w:bookmarkEnd w:id="47"/>
    <w:p w:rsidR="00074975" w:rsidRDefault="00F71F7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rsidR="00074975" w:rsidRDefault="00F71F7A">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w:t>
      </w:r>
      <w:r>
        <w:rPr>
          <w:rFonts w:ascii="Arial" w:hAnsi="Arial"/>
          <w:color w:val="000000"/>
          <w:sz w:val="21"/>
        </w:rPr>
        <w:lastRenderedPageBreak/>
        <w:t>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rsidR="00074975" w:rsidRDefault="00F71F7A">
      <w:pPr>
        <w:overflowPunct w:val="0"/>
        <w:spacing w:line="480" w:lineRule="auto"/>
        <w:jc w:val="both"/>
        <w:textAlignment w:val="auto"/>
        <w:rPr>
          <w:rFonts w:ascii="Arial" w:hAnsi="Arial"/>
          <w:b/>
          <w:bCs/>
          <w:sz w:val="21"/>
          <w:szCs w:val="21"/>
        </w:rPr>
      </w:pPr>
      <w:r>
        <w:rPr>
          <w:rFonts w:ascii="Arial" w:hAnsi="Arial" w:hint="eastAsia"/>
          <w:b/>
          <w:bCs/>
          <w:sz w:val="21"/>
          <w:szCs w:val="21"/>
        </w:rPr>
        <w:t>（二）估价对象所在区域相应用途房地产市场状况</w:t>
      </w:r>
    </w:p>
    <w:p w:rsidR="00074975" w:rsidRDefault="00F71F7A">
      <w:pPr>
        <w:overflowPunct w:val="0"/>
        <w:spacing w:line="480" w:lineRule="auto"/>
        <w:ind w:firstLine="420"/>
        <w:jc w:val="both"/>
        <w:rPr>
          <w:rFonts w:ascii="Arial" w:hAnsi="Arial"/>
          <w:sz w:val="21"/>
        </w:rPr>
      </w:pPr>
      <w:r>
        <w:rPr>
          <w:rFonts w:ascii="Arial" w:hAnsi="Arial" w:hint="eastAsia"/>
          <w:sz w:val="21"/>
        </w:rPr>
        <w:t>土井村位于北京市海淀区西北旺镇南部，与皇后店村、小牛坊村毗邻。辖区内有盛景创业园等产业载体，依托邓庄南路、土井二街等主干道形成发达交通网络。</w:t>
      </w:r>
      <w:r>
        <w:rPr>
          <w:rFonts w:ascii="Arial" w:hAnsi="Arial" w:hint="eastAsia"/>
          <w:sz w:val="21"/>
        </w:rPr>
        <w:t>2024</w:t>
      </w:r>
      <w:r>
        <w:rPr>
          <w:rFonts w:ascii="Arial" w:hAnsi="Arial" w:hint="eastAsia"/>
          <w:sz w:val="21"/>
        </w:rPr>
        <w:t>年至</w:t>
      </w:r>
      <w:r>
        <w:rPr>
          <w:rFonts w:ascii="Arial" w:hAnsi="Arial" w:hint="eastAsia"/>
          <w:sz w:val="21"/>
        </w:rPr>
        <w:t>2025</w:t>
      </w:r>
      <w:r>
        <w:rPr>
          <w:rFonts w:ascii="Arial" w:hAnsi="Arial" w:hint="eastAsia"/>
          <w:sz w:val="21"/>
        </w:rPr>
        <w:t>年间，土井村股份经济合作社多次在西北旺镇城市管理考评中位列前茅，展现出基层治理成效。截至</w:t>
      </w:r>
      <w:r>
        <w:rPr>
          <w:rFonts w:ascii="Arial" w:hAnsi="Arial" w:hint="eastAsia"/>
          <w:sz w:val="21"/>
        </w:rPr>
        <w:t>2025</w:t>
      </w:r>
      <w:r>
        <w:rPr>
          <w:rFonts w:ascii="Arial" w:hAnsi="Arial" w:hint="eastAsia"/>
          <w:sz w:val="21"/>
        </w:rPr>
        <w:t>年</w:t>
      </w:r>
      <w:r>
        <w:rPr>
          <w:rFonts w:ascii="Arial" w:hAnsi="Arial" w:hint="eastAsia"/>
          <w:sz w:val="21"/>
        </w:rPr>
        <w:t>3</w:t>
      </w:r>
      <w:r>
        <w:rPr>
          <w:rFonts w:ascii="Arial" w:hAnsi="Arial" w:hint="eastAsia"/>
          <w:sz w:val="21"/>
        </w:rPr>
        <w:t>月，行政事务由土井村村民委员会管理。</w:t>
      </w:r>
    </w:p>
    <w:p w:rsidR="00074975" w:rsidRDefault="00F71F7A">
      <w:pPr>
        <w:overflowPunct w:val="0"/>
        <w:spacing w:line="480" w:lineRule="auto"/>
        <w:ind w:firstLine="420"/>
        <w:jc w:val="both"/>
        <w:rPr>
          <w:rFonts w:ascii="Arial" w:hAnsi="Arial" w:cs="Arial"/>
          <w:bCs/>
          <w:sz w:val="21"/>
          <w:szCs w:val="21"/>
        </w:rPr>
      </w:pPr>
      <w:r>
        <w:rPr>
          <w:rFonts w:ascii="Arial" w:hAnsi="Arial" w:hint="eastAsia"/>
          <w:sz w:val="21"/>
        </w:rPr>
        <w:t>估价对象所属项目紧邻城市次干道——</w:t>
      </w:r>
      <w:proofErr w:type="gramStart"/>
      <w:r>
        <w:rPr>
          <w:rFonts w:ascii="Arial" w:hAnsi="Arial" w:hint="eastAsia"/>
          <w:sz w:val="21"/>
        </w:rPr>
        <w:t>图景嘉园路</w:t>
      </w:r>
      <w:proofErr w:type="gramEnd"/>
      <w:r>
        <w:rPr>
          <w:rFonts w:ascii="Arial" w:hAnsi="Arial" w:hint="eastAsia"/>
          <w:sz w:val="21"/>
        </w:rPr>
        <w:t>，周边停车便捷程度较好，综合评价交通便捷度一般。估价对象周边有盛景创业园小区、万和嘉园、唐家岭新城等居住社区，居住小区规模适中，入住率较好，综合评价居住区成熟度较好</w:t>
      </w:r>
      <w:r>
        <w:rPr>
          <w:rFonts w:ascii="Arial" w:hAnsi="Arial" w:cs="Arial" w:hint="eastAsia"/>
          <w:bCs/>
          <w:sz w:val="21"/>
          <w:szCs w:val="21"/>
        </w:rPr>
        <w:t>。</w:t>
      </w:r>
      <w:r>
        <w:rPr>
          <w:rFonts w:ascii="Arial" w:hAnsi="Arial" w:cs="Arial" w:hint="eastAsia"/>
          <w:bCs/>
          <w:sz w:val="21"/>
          <w:szCs w:val="21"/>
        </w:rPr>
        <w:t>2025</w:t>
      </w:r>
      <w:r>
        <w:rPr>
          <w:rFonts w:ascii="Arial" w:hAnsi="Arial" w:cs="Arial" w:hint="eastAsia"/>
          <w:bCs/>
          <w:sz w:val="21"/>
          <w:szCs w:val="21"/>
        </w:rPr>
        <w:t>年该区域与估价对象类似的住宅用房租金约为</w:t>
      </w:r>
      <w:r>
        <w:rPr>
          <w:rFonts w:ascii="Arial" w:hAnsi="Arial" w:cs="Arial" w:hint="eastAsia"/>
          <w:bCs/>
          <w:sz w:val="21"/>
          <w:szCs w:val="21"/>
        </w:rPr>
        <w:t>70-90</w:t>
      </w:r>
      <w:r>
        <w:rPr>
          <w:rFonts w:ascii="Arial" w:hAnsi="Arial" w:cs="Arial" w:hint="eastAsia"/>
          <w:bCs/>
          <w:sz w:val="21"/>
          <w:szCs w:val="21"/>
        </w:rPr>
        <w:t>元</w:t>
      </w:r>
      <w:r>
        <w:rPr>
          <w:rFonts w:ascii="Arial" w:hAnsi="Arial" w:cs="Arial"/>
          <w:bCs/>
          <w:sz w:val="21"/>
          <w:szCs w:val="21"/>
        </w:rPr>
        <w:t>/</w:t>
      </w:r>
      <w:r>
        <w:rPr>
          <w:rFonts w:ascii="Arial" w:hAnsi="Arial" w:cs="Arial" w:hint="eastAsia"/>
          <w:bCs/>
          <w:sz w:val="21"/>
          <w:szCs w:val="21"/>
        </w:rPr>
        <w:t>平方米·月。</w:t>
      </w:r>
      <w:r>
        <w:rPr>
          <w:rFonts w:ascii="Arial" w:hAnsi="Arial" w:cs="Arial"/>
          <w:bCs/>
          <w:sz w:val="21"/>
          <w:szCs w:val="21"/>
        </w:rPr>
        <w:t xml:space="preserve"> </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49" w:name="_Toc500322968"/>
      <w:r>
        <w:rPr>
          <w:rFonts w:eastAsia="宋体" w:hint="eastAsia"/>
          <w:kern w:val="2"/>
          <w:sz w:val="21"/>
          <w:szCs w:val="21"/>
        </w:rPr>
        <w:t>六、价值时点</w:t>
      </w:r>
      <w:bookmarkEnd w:id="49"/>
    </w:p>
    <w:p w:rsidR="00074975" w:rsidRDefault="00F71F7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日（依据《估价委托书》）</w:t>
      </w:r>
      <w:r>
        <w:rPr>
          <w:rFonts w:ascii="Arial" w:hAnsi="Arial" w:cs="Arial" w:hint="eastAsia"/>
          <w:bCs/>
          <w:sz w:val="21"/>
          <w:szCs w:val="21"/>
        </w:rPr>
        <w:t>。</w:t>
      </w:r>
    </w:p>
    <w:p w:rsidR="00074975" w:rsidRDefault="00074975">
      <w:pPr>
        <w:overflowPunct w:val="0"/>
        <w:spacing w:line="480" w:lineRule="auto"/>
        <w:ind w:firstLineChars="200" w:firstLine="420"/>
        <w:jc w:val="both"/>
        <w:textAlignment w:val="auto"/>
        <w:rPr>
          <w:rFonts w:ascii="Arial" w:hAnsi="Arial" w:cs="Arial"/>
          <w:bCs/>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50" w:name="_Toc500322969"/>
      <w:r>
        <w:rPr>
          <w:rFonts w:eastAsia="宋体" w:hint="eastAsia"/>
          <w:kern w:val="2"/>
          <w:sz w:val="21"/>
          <w:szCs w:val="21"/>
        </w:rPr>
        <w:t>七、价值类型</w:t>
      </w:r>
      <w:bookmarkEnd w:id="50"/>
    </w:p>
    <w:p w:rsidR="00074975" w:rsidRDefault="00F71F7A">
      <w:pPr>
        <w:spacing w:line="480" w:lineRule="auto"/>
        <w:ind w:firstLineChars="200" w:firstLine="420"/>
        <w:jc w:val="both"/>
        <w:rPr>
          <w:rFonts w:eastAsia="楷体_GB2312"/>
          <w:sz w:val="28"/>
          <w:szCs w:val="28"/>
        </w:rPr>
      </w:pPr>
      <w:bookmarkStart w:id="51" w:name="_Toc168225819"/>
      <w:bookmarkStart w:id="52" w:name="_Toc500322970"/>
      <w:r>
        <w:rPr>
          <w:rFonts w:ascii="Arial" w:hAnsi="Arial" w:hint="eastAsia"/>
          <w:kern w:val="2"/>
          <w:sz w:val="21"/>
        </w:rPr>
        <w:t>根据房地产估价规范、国家现行有关标准规定和项目的具体要求，本次评估采用的是市场价值标准。</w:t>
      </w:r>
      <w:r>
        <w:rPr>
          <w:rFonts w:ascii="Arial" w:hAnsi="Arial"/>
          <w:kern w:val="2"/>
          <w:sz w:val="21"/>
        </w:rPr>
        <w:t>根据</w:t>
      </w:r>
      <w:r>
        <w:rPr>
          <w:rFonts w:ascii="Arial" w:hAnsi="Arial" w:hint="eastAsia"/>
          <w:sz w:val="21"/>
          <w:szCs w:val="28"/>
        </w:rPr>
        <w:t>《房地产估价基本术语标准》</w:t>
      </w:r>
      <w:r>
        <w:rPr>
          <w:rFonts w:ascii="Arial" w:hAnsi="Arial" w:hint="eastAsia"/>
          <w:kern w:val="2"/>
          <w:sz w:val="21"/>
        </w:rPr>
        <w:t>[GB/T50899-2013]</w:t>
      </w:r>
      <w:r>
        <w:rPr>
          <w:rFonts w:ascii="Arial" w:hAnsi="Arial" w:hint="eastAsia"/>
          <w:kern w:val="2"/>
          <w:sz w:val="21"/>
        </w:rPr>
        <w:t>，</w:t>
      </w:r>
      <w:r>
        <w:rPr>
          <w:rFonts w:ascii="Arial" w:hAnsi="Arial"/>
          <w:kern w:val="2"/>
          <w:sz w:val="21"/>
        </w:rPr>
        <w:t>市场价值是经适当营销后，由熟悉情况、谨慎行事且不受强迫的交易双方，以公平交易方式在</w:t>
      </w:r>
      <w:r>
        <w:rPr>
          <w:rFonts w:ascii="Arial" w:hAnsi="Arial" w:hint="eastAsia"/>
          <w:kern w:val="2"/>
          <w:sz w:val="21"/>
        </w:rPr>
        <w:t>各</w:t>
      </w:r>
      <w:r>
        <w:rPr>
          <w:rFonts w:ascii="Arial" w:hAnsi="Arial"/>
          <w:kern w:val="2"/>
          <w:sz w:val="21"/>
        </w:rPr>
        <w:t>价值时点自愿进行交易的金额</w:t>
      </w:r>
      <w:r>
        <w:rPr>
          <w:rFonts w:ascii="Arial" w:hAnsi="Arial" w:hint="eastAsia"/>
          <w:kern w:val="2"/>
          <w:sz w:val="21"/>
        </w:rPr>
        <w:t>。</w:t>
      </w:r>
    </w:p>
    <w:p w:rsidR="00074975" w:rsidRDefault="00F71F7A">
      <w:pPr>
        <w:spacing w:line="480" w:lineRule="auto"/>
        <w:ind w:firstLineChars="200" w:firstLine="420"/>
        <w:jc w:val="both"/>
        <w:rPr>
          <w:rFonts w:ascii="Arial" w:hAnsi="Arial"/>
          <w:kern w:val="2"/>
          <w:sz w:val="21"/>
        </w:rPr>
      </w:pPr>
      <w:r>
        <w:rPr>
          <w:rFonts w:ascii="Arial" w:hAnsi="Arial" w:cs="Arial" w:hint="eastAsia"/>
          <w:bCs/>
          <w:sz w:val="21"/>
        </w:rPr>
        <w:t>本次估价的“房地产市场租金”是指在正常市场情况下，在价值时点</w:t>
      </w:r>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w:t>
      </w:r>
      <w:r>
        <w:rPr>
          <w:rFonts w:ascii="Arial" w:hAnsi="Arial" w:cs="Arial" w:hint="eastAsia"/>
          <w:bCs/>
          <w:sz w:val="21"/>
        </w:rPr>
        <w:t>，估价对象用途为住宅的房地产租赁价格，估价结果采用价税合计的形式，包含增值税及附加、家具家电使用费、物业费，不包含能源费、房地产经纪公司服务费等费用</w:t>
      </w:r>
      <w:r>
        <w:rPr>
          <w:rFonts w:ascii="Arial" w:hAnsi="Arial" w:hint="eastAsia"/>
          <w:kern w:val="2"/>
          <w:sz w:val="21"/>
        </w:rPr>
        <w:t>。</w:t>
      </w: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r>
        <w:rPr>
          <w:rFonts w:eastAsia="宋体" w:hint="eastAsia"/>
          <w:kern w:val="2"/>
          <w:sz w:val="21"/>
          <w:szCs w:val="21"/>
        </w:rPr>
        <w:lastRenderedPageBreak/>
        <w:t>八、估价原则</w:t>
      </w:r>
      <w:bookmarkEnd w:id="51"/>
      <w:bookmarkEnd w:id="52"/>
    </w:p>
    <w:p w:rsidR="00074975" w:rsidRDefault="00F71F7A">
      <w:pPr>
        <w:wordWrap w:val="0"/>
        <w:overflowPunct w:val="0"/>
        <w:spacing w:line="480" w:lineRule="auto"/>
        <w:jc w:val="both"/>
        <w:textAlignment w:val="auto"/>
        <w:rPr>
          <w:rFonts w:ascii="Arial" w:hAnsi="Arial"/>
          <w:i/>
          <w:sz w:val="21"/>
          <w:szCs w:val="21"/>
        </w:rPr>
      </w:pPr>
      <w:r>
        <w:rPr>
          <w:rFonts w:ascii="Arial" w:hAnsi="Arial" w:cs="Arial"/>
          <w:sz w:val="21"/>
          <w:szCs w:val="21"/>
        </w:rPr>
        <w:t>我们在本次估价时遵循了以下原则：</w:t>
      </w:r>
    </w:p>
    <w:p w:rsidR="00074975" w:rsidRDefault="00F71F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rsidR="00074975" w:rsidRDefault="00F71F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rsidR="00074975" w:rsidRDefault="00F71F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是在法律上可行、技术上可能、经济上可行，经过充分合理的论证，能使估价对象价值达到最大、最可能的使用。估价对象</w:t>
      </w:r>
      <w:r>
        <w:rPr>
          <w:rFonts w:ascii="Arial" w:hAnsi="Arial" w:cs="Arial" w:hint="eastAsia"/>
          <w:sz w:val="21"/>
          <w:szCs w:val="21"/>
        </w:rPr>
        <w:t>现状为住宅用房，保持现状使用</w:t>
      </w:r>
      <w:r>
        <w:rPr>
          <w:rFonts w:ascii="Arial" w:hAnsi="Arial" w:cs="Arial"/>
          <w:sz w:val="21"/>
          <w:szCs w:val="21"/>
        </w:rPr>
        <w:t>符合最高</w:t>
      </w:r>
      <w:proofErr w:type="gramStart"/>
      <w:r>
        <w:rPr>
          <w:rFonts w:ascii="Arial" w:hAnsi="Arial" w:cs="Arial"/>
          <w:sz w:val="21"/>
          <w:szCs w:val="21"/>
        </w:rPr>
        <w:t>最佳利用</w:t>
      </w:r>
      <w:proofErr w:type="gramEnd"/>
      <w:r>
        <w:rPr>
          <w:rFonts w:ascii="Arial" w:hAnsi="Arial" w:cs="Arial"/>
          <w:sz w:val="21"/>
          <w:szCs w:val="21"/>
        </w:rPr>
        <w:t>原则。</w:t>
      </w:r>
    </w:p>
    <w:p w:rsidR="00074975" w:rsidRDefault="00F71F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074975" w:rsidRDefault="00F71F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074975" w:rsidRDefault="00F71F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w:t>
      </w:r>
      <w:r>
        <w:rPr>
          <w:rFonts w:ascii="Arial" w:hAnsi="Arial" w:cs="Arial"/>
          <w:sz w:val="21"/>
          <w:szCs w:val="21"/>
        </w:rPr>
        <w:lastRenderedPageBreak/>
        <w:t>同时点会具有不同的市场价格。所以强调：估价结果是估价对象在价值时点的价值体现，不能将估价结果作为估价对象在其他时点的价值。</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53" w:name="_Toc168225820"/>
      <w:bookmarkStart w:id="54" w:name="_Toc500322971"/>
      <w:r>
        <w:rPr>
          <w:rFonts w:eastAsia="宋体" w:hint="eastAsia"/>
          <w:kern w:val="2"/>
          <w:sz w:val="21"/>
          <w:szCs w:val="21"/>
        </w:rPr>
        <w:t>九、估价</w:t>
      </w:r>
      <w:bookmarkEnd w:id="53"/>
      <w:r>
        <w:rPr>
          <w:rFonts w:eastAsia="宋体" w:hint="eastAsia"/>
          <w:kern w:val="2"/>
          <w:sz w:val="21"/>
          <w:szCs w:val="21"/>
        </w:rPr>
        <w:t>依据</w:t>
      </w:r>
      <w:bookmarkEnd w:id="54"/>
    </w:p>
    <w:p w:rsidR="00074975" w:rsidRDefault="00F71F7A">
      <w:pPr>
        <w:overflowPunct w:val="0"/>
        <w:spacing w:line="480" w:lineRule="auto"/>
        <w:jc w:val="both"/>
        <w:textAlignment w:val="auto"/>
        <w:rPr>
          <w:rFonts w:ascii="Arial" w:hAnsi="Arial"/>
          <w:b/>
          <w:sz w:val="21"/>
          <w:szCs w:val="21"/>
        </w:rPr>
      </w:pPr>
      <w:r>
        <w:rPr>
          <w:rFonts w:ascii="Arial" w:hAnsi="Arial" w:hint="eastAsia"/>
          <w:b/>
          <w:sz w:val="21"/>
          <w:szCs w:val="21"/>
        </w:rPr>
        <w:t>（一）有关的法律、法规及技术标准文件</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sz w:val="21"/>
          <w:szCs w:val="21"/>
        </w:rPr>
        <w:t>1990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19</w:t>
      </w:r>
      <w:r>
        <w:rPr>
          <w:rFonts w:ascii="Arial" w:hAnsi="Arial" w:cs="Arial" w:hint="eastAsia"/>
          <w:sz w:val="21"/>
          <w:szCs w:val="21"/>
        </w:rPr>
        <w:t>日中华人民共和国国务院令第</w:t>
      </w:r>
      <w:r>
        <w:rPr>
          <w:rFonts w:ascii="Arial" w:hAnsi="Arial" w:cs="Arial"/>
          <w:sz w:val="21"/>
          <w:szCs w:val="21"/>
        </w:rPr>
        <w:t>55</w:t>
      </w:r>
      <w:r>
        <w:rPr>
          <w:rFonts w:ascii="Arial" w:hAnsi="Arial" w:cs="Arial" w:hint="eastAsia"/>
          <w:sz w:val="21"/>
          <w:szCs w:val="21"/>
        </w:rPr>
        <w:t>号发布</w:t>
      </w:r>
      <w:r>
        <w:rPr>
          <w:rFonts w:ascii="Arial" w:hAnsi="Arial" w:cs="Arial" w:hint="eastAsia"/>
          <w:sz w:val="21"/>
          <w:szCs w:val="21"/>
        </w:rPr>
        <w:t xml:space="preserve"> </w:t>
      </w:r>
      <w:r>
        <w:rPr>
          <w:rFonts w:ascii="Arial" w:hAnsi="Arial" w:cs="Arial" w:hint="eastAsia"/>
          <w:sz w:val="21"/>
          <w:szCs w:val="21"/>
        </w:rPr>
        <w:t>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日《国务院关于修改和废止部分行政法规的决定》修订）</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21</w:t>
      </w:r>
      <w:r>
        <w:rPr>
          <w:rFonts w:ascii="Arial" w:hAnsi="Arial" w:cs="Arial"/>
          <w:sz w:val="21"/>
          <w:szCs w:val="21"/>
        </w:rPr>
        <w:t>日，国务院第</w:t>
      </w:r>
      <w:r>
        <w:rPr>
          <w:rFonts w:ascii="Arial" w:hAnsi="Arial" w:cs="Arial"/>
          <w:sz w:val="21"/>
          <w:szCs w:val="21"/>
        </w:rPr>
        <w:t>132</w:t>
      </w:r>
      <w:r>
        <w:rPr>
          <w:rFonts w:ascii="Arial" w:hAnsi="Arial" w:cs="Arial"/>
          <w:sz w:val="21"/>
          <w:szCs w:val="21"/>
        </w:rPr>
        <w:t>次会议第三次修订通过，</w:t>
      </w:r>
      <w:r>
        <w:rPr>
          <w:rFonts w:ascii="Arial" w:hAnsi="Arial" w:cs="Arial"/>
          <w:sz w:val="21"/>
          <w:szCs w:val="21"/>
        </w:rPr>
        <w:t>2021</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2</w:t>
      </w:r>
      <w:r>
        <w:rPr>
          <w:rFonts w:ascii="Arial" w:hAnsi="Arial" w:cs="Arial"/>
          <w:sz w:val="21"/>
          <w:szCs w:val="21"/>
        </w:rPr>
        <w:t>日中华人民共和国国务院令第</w:t>
      </w:r>
      <w:r>
        <w:rPr>
          <w:rFonts w:ascii="Arial" w:hAnsi="Arial" w:cs="Arial"/>
          <w:sz w:val="21"/>
          <w:szCs w:val="21"/>
        </w:rPr>
        <w:t>743</w:t>
      </w:r>
      <w:r>
        <w:rPr>
          <w:rFonts w:ascii="Arial" w:hAnsi="Arial" w:cs="Arial"/>
          <w:sz w:val="21"/>
          <w:szCs w:val="21"/>
        </w:rPr>
        <w:t>号公布，自</w:t>
      </w:r>
      <w:r>
        <w:rPr>
          <w:rFonts w:ascii="Arial" w:hAnsi="Arial" w:cs="Arial"/>
          <w:sz w:val="21"/>
          <w:szCs w:val="21"/>
        </w:rPr>
        <w:t>2021</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rsidR="00074975" w:rsidRDefault="00F71F7A">
      <w:pPr>
        <w:numPr>
          <w:ilvl w:val="0"/>
          <w:numId w:val="8"/>
        </w:numPr>
        <w:overflowPunct w:val="0"/>
        <w:spacing w:before="20" w:after="20"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sz w:val="21"/>
          <w:szCs w:val="21"/>
        </w:rPr>
        <w:t>商品房屋租赁管理办法</w:t>
      </w:r>
      <w:r>
        <w:rPr>
          <w:rFonts w:ascii="Arial" w:hAnsi="Arial" w:cs="Arial" w:hint="eastAsia"/>
          <w:sz w:val="21"/>
          <w:szCs w:val="21"/>
        </w:rPr>
        <w:t>》</w:t>
      </w:r>
      <w:r>
        <w:rPr>
          <w:rFonts w:ascii="Arial" w:hAnsi="Arial" w:cs="Arial"/>
          <w:sz w:val="21"/>
          <w:szCs w:val="21"/>
        </w:rPr>
        <w:t>（住房和城乡建设部令</w:t>
      </w:r>
      <w:r>
        <w:rPr>
          <w:rFonts w:ascii="Arial" w:hAnsi="Arial" w:cs="Arial"/>
          <w:sz w:val="21"/>
          <w:szCs w:val="21"/>
        </w:rPr>
        <w:t>[2010]</w:t>
      </w:r>
      <w:r>
        <w:rPr>
          <w:rFonts w:ascii="Arial" w:hAnsi="Arial" w:cs="Arial"/>
          <w:sz w:val="21"/>
          <w:szCs w:val="21"/>
        </w:rPr>
        <w:t>第</w:t>
      </w:r>
      <w:r>
        <w:rPr>
          <w:rFonts w:ascii="Arial" w:hAnsi="Arial" w:cs="Arial"/>
          <w:sz w:val="21"/>
          <w:szCs w:val="21"/>
        </w:rPr>
        <w:t xml:space="preserve"> 6 </w:t>
      </w:r>
      <w:r>
        <w:rPr>
          <w:rFonts w:ascii="Arial" w:hAnsi="Arial" w:cs="Arial"/>
          <w:sz w:val="21"/>
          <w:szCs w:val="21"/>
        </w:rPr>
        <w:t>号）</w:t>
      </w:r>
    </w:p>
    <w:p w:rsidR="00074975" w:rsidRDefault="00F71F7A">
      <w:pPr>
        <w:numPr>
          <w:ilvl w:val="0"/>
          <w:numId w:val="8"/>
        </w:numPr>
        <w:overflowPunct w:val="0"/>
        <w:spacing w:before="20" w:after="20"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sz w:val="21"/>
          <w:szCs w:val="21"/>
        </w:rPr>
        <w:t>北京市房屋租赁管理若干规定</w:t>
      </w:r>
      <w:r>
        <w:rPr>
          <w:rFonts w:ascii="Arial" w:hAnsi="Arial" w:cs="Arial" w:hint="eastAsia"/>
          <w:sz w:val="21"/>
          <w:szCs w:val="21"/>
        </w:rPr>
        <w:t>》</w:t>
      </w:r>
      <w:r>
        <w:rPr>
          <w:rFonts w:ascii="Arial" w:hAnsi="Arial" w:cs="Arial"/>
          <w:sz w:val="21"/>
          <w:szCs w:val="21"/>
        </w:rPr>
        <w:t>（</w:t>
      </w:r>
      <w:r>
        <w:rPr>
          <w:rFonts w:ascii="Arial" w:hAnsi="Arial" w:cs="Arial"/>
          <w:sz w:val="21"/>
          <w:szCs w:val="21"/>
        </w:rPr>
        <w:t xml:space="preserve"> 2007 </w:t>
      </w:r>
      <w:r>
        <w:rPr>
          <w:rFonts w:ascii="Arial" w:hAnsi="Arial" w:cs="Arial"/>
          <w:sz w:val="21"/>
          <w:szCs w:val="21"/>
        </w:rPr>
        <w:t>年</w:t>
      </w:r>
      <w:r>
        <w:rPr>
          <w:rFonts w:ascii="Arial" w:hAnsi="Arial" w:cs="Arial"/>
          <w:sz w:val="21"/>
          <w:szCs w:val="21"/>
        </w:rPr>
        <w:t xml:space="preserve"> 11 </w:t>
      </w:r>
      <w:r>
        <w:rPr>
          <w:rFonts w:ascii="Arial" w:hAnsi="Arial" w:cs="Arial"/>
          <w:sz w:val="21"/>
          <w:szCs w:val="21"/>
        </w:rPr>
        <w:t>月</w:t>
      </w:r>
      <w:r>
        <w:rPr>
          <w:rFonts w:ascii="Arial" w:hAnsi="Arial" w:cs="Arial"/>
          <w:sz w:val="21"/>
          <w:szCs w:val="21"/>
        </w:rPr>
        <w:t xml:space="preserve"> 3 </w:t>
      </w:r>
      <w:r>
        <w:rPr>
          <w:rFonts w:ascii="Arial" w:hAnsi="Arial" w:cs="Arial"/>
          <w:sz w:val="21"/>
          <w:szCs w:val="21"/>
        </w:rPr>
        <w:t>日北京市人民政府第</w:t>
      </w:r>
      <w:r>
        <w:rPr>
          <w:rFonts w:ascii="Arial" w:hAnsi="Arial" w:cs="Arial"/>
          <w:sz w:val="21"/>
          <w:szCs w:val="21"/>
        </w:rPr>
        <w:t xml:space="preserve"> 194 </w:t>
      </w:r>
      <w:r>
        <w:rPr>
          <w:rFonts w:ascii="Arial" w:hAnsi="Arial" w:cs="Arial"/>
          <w:sz w:val="21"/>
          <w:szCs w:val="21"/>
        </w:rPr>
        <w:t>号令发布</w:t>
      </w:r>
      <w:r>
        <w:rPr>
          <w:rFonts w:ascii="Arial" w:hAnsi="Arial" w:cs="Arial"/>
          <w:sz w:val="21"/>
          <w:szCs w:val="21"/>
        </w:rPr>
        <w:t xml:space="preserve"> </w:t>
      </w:r>
      <w:r>
        <w:rPr>
          <w:rFonts w:ascii="Arial" w:hAnsi="Arial" w:cs="Arial"/>
          <w:sz w:val="21"/>
          <w:szCs w:val="21"/>
        </w:rPr>
        <w:t>根据</w:t>
      </w:r>
      <w:r>
        <w:rPr>
          <w:rFonts w:ascii="Arial" w:hAnsi="Arial" w:cs="Arial"/>
          <w:sz w:val="21"/>
          <w:szCs w:val="21"/>
        </w:rPr>
        <w:t xml:space="preserve"> 2011 </w:t>
      </w:r>
      <w:r>
        <w:rPr>
          <w:rFonts w:ascii="Arial" w:hAnsi="Arial" w:cs="Arial"/>
          <w:sz w:val="21"/>
          <w:szCs w:val="21"/>
        </w:rPr>
        <w:t>年</w:t>
      </w:r>
      <w:r>
        <w:rPr>
          <w:rFonts w:ascii="Arial" w:hAnsi="Arial" w:cs="Arial"/>
          <w:sz w:val="21"/>
          <w:szCs w:val="21"/>
        </w:rPr>
        <w:t xml:space="preserve"> 5 </w:t>
      </w:r>
      <w:r>
        <w:rPr>
          <w:rFonts w:ascii="Arial" w:hAnsi="Arial" w:cs="Arial"/>
          <w:sz w:val="21"/>
          <w:szCs w:val="21"/>
        </w:rPr>
        <w:t>月</w:t>
      </w:r>
      <w:r>
        <w:rPr>
          <w:rFonts w:ascii="Arial" w:hAnsi="Arial" w:cs="Arial"/>
          <w:sz w:val="21"/>
          <w:szCs w:val="21"/>
        </w:rPr>
        <w:t xml:space="preserve"> 5 </w:t>
      </w:r>
      <w:r>
        <w:rPr>
          <w:rFonts w:ascii="Arial" w:hAnsi="Arial" w:cs="Arial"/>
          <w:sz w:val="21"/>
          <w:szCs w:val="21"/>
        </w:rPr>
        <w:t>日北京市人民政府第</w:t>
      </w:r>
      <w:r>
        <w:rPr>
          <w:rFonts w:ascii="Arial" w:hAnsi="Arial" w:cs="Arial"/>
          <w:sz w:val="21"/>
          <w:szCs w:val="21"/>
        </w:rPr>
        <w:t xml:space="preserve">231 </w:t>
      </w:r>
      <w:r>
        <w:rPr>
          <w:rFonts w:ascii="Arial" w:hAnsi="Arial" w:cs="Arial"/>
          <w:sz w:val="21"/>
          <w:szCs w:val="21"/>
        </w:rPr>
        <w:t>号令修改）</w:t>
      </w:r>
    </w:p>
    <w:p w:rsidR="00074975" w:rsidRDefault="00F71F7A">
      <w:pPr>
        <w:numPr>
          <w:ilvl w:val="0"/>
          <w:numId w:val="8"/>
        </w:numPr>
        <w:overflowPunct w:val="0"/>
        <w:spacing w:before="20" w:after="20"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sz w:val="21"/>
          <w:szCs w:val="21"/>
        </w:rPr>
        <w:t>北京市人民政府关于进一步落实</w:t>
      </w:r>
      <w:r>
        <w:rPr>
          <w:rFonts w:ascii="Arial" w:hAnsi="Arial" w:cs="Arial"/>
          <w:sz w:val="21"/>
          <w:szCs w:val="21"/>
        </w:rPr>
        <w:t>&lt;</w:t>
      </w:r>
      <w:r>
        <w:rPr>
          <w:rFonts w:ascii="Arial" w:hAnsi="Arial" w:cs="Arial"/>
          <w:sz w:val="21"/>
          <w:szCs w:val="21"/>
        </w:rPr>
        <w:t>中华人民共和国房产税暂行条例</w:t>
      </w:r>
      <w:r>
        <w:rPr>
          <w:rFonts w:ascii="Arial" w:hAnsi="Arial" w:cs="Arial"/>
          <w:sz w:val="21"/>
          <w:szCs w:val="21"/>
        </w:rPr>
        <w:t>&gt;</w:t>
      </w:r>
      <w:r>
        <w:rPr>
          <w:rFonts w:ascii="Arial" w:hAnsi="Arial" w:cs="Arial"/>
          <w:sz w:val="21"/>
          <w:szCs w:val="21"/>
        </w:rPr>
        <w:t>有关规定的通知</w:t>
      </w:r>
      <w:r>
        <w:rPr>
          <w:rFonts w:ascii="Arial" w:hAnsi="Arial" w:cs="Arial" w:hint="eastAsia"/>
          <w:sz w:val="21"/>
          <w:szCs w:val="21"/>
        </w:rPr>
        <w:t>》</w:t>
      </w:r>
      <w:r>
        <w:rPr>
          <w:rFonts w:ascii="Arial" w:hAnsi="Arial" w:cs="Arial"/>
          <w:sz w:val="21"/>
          <w:szCs w:val="21"/>
        </w:rPr>
        <w:t>（京</w:t>
      </w:r>
      <w:r>
        <w:rPr>
          <w:rFonts w:ascii="Arial" w:hAnsi="Arial" w:cs="Arial"/>
          <w:sz w:val="21"/>
          <w:szCs w:val="21"/>
        </w:rPr>
        <w:lastRenderedPageBreak/>
        <w:t>政发（</w:t>
      </w:r>
      <w:r>
        <w:rPr>
          <w:rFonts w:ascii="Arial" w:hAnsi="Arial" w:cs="Arial"/>
          <w:sz w:val="21"/>
          <w:szCs w:val="21"/>
        </w:rPr>
        <w:t xml:space="preserve"> 2016</w:t>
      </w:r>
      <w:r>
        <w:rPr>
          <w:rFonts w:ascii="Arial" w:hAnsi="Arial" w:cs="Arial"/>
          <w:sz w:val="21"/>
          <w:szCs w:val="21"/>
        </w:rPr>
        <w:t>）</w:t>
      </w:r>
      <w:r>
        <w:rPr>
          <w:rFonts w:ascii="Arial" w:hAnsi="Arial" w:cs="Arial"/>
          <w:sz w:val="21"/>
          <w:szCs w:val="21"/>
        </w:rPr>
        <w:t xml:space="preserve"> 24</w:t>
      </w:r>
      <w:r>
        <w:rPr>
          <w:rFonts w:ascii="Arial" w:hAnsi="Arial" w:cs="Arial"/>
          <w:sz w:val="21"/>
          <w:szCs w:val="21"/>
        </w:rPr>
        <w:t>号文，</w:t>
      </w:r>
      <w:r>
        <w:rPr>
          <w:rFonts w:ascii="Arial" w:hAnsi="Arial" w:cs="Arial"/>
          <w:sz w:val="21"/>
          <w:szCs w:val="21"/>
        </w:rPr>
        <w:t xml:space="preserve"> 2016</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28</w:t>
      </w:r>
      <w:r>
        <w:rPr>
          <w:rFonts w:ascii="Arial" w:hAnsi="Arial" w:cs="Arial"/>
          <w:sz w:val="21"/>
          <w:szCs w:val="21"/>
        </w:rPr>
        <w:t>日公布，</w:t>
      </w:r>
      <w:r>
        <w:rPr>
          <w:rFonts w:ascii="Arial" w:hAnsi="Arial" w:cs="Arial"/>
          <w:sz w:val="21"/>
          <w:szCs w:val="21"/>
        </w:rPr>
        <w:t xml:space="preserve"> 2016</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1</w:t>
      </w:r>
      <w:r>
        <w:rPr>
          <w:rFonts w:ascii="Arial" w:hAnsi="Arial" w:cs="Arial"/>
          <w:sz w:val="21"/>
          <w:szCs w:val="21"/>
        </w:rPr>
        <w:t>日实施）</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《住房租赁条例》（</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日中华人民共和国国务院令第</w:t>
      </w:r>
      <w:r>
        <w:rPr>
          <w:rFonts w:ascii="Arial" w:hAnsi="Arial" w:cs="Arial" w:hint="eastAsia"/>
          <w:sz w:val="21"/>
          <w:szCs w:val="21"/>
        </w:rPr>
        <w:t>812</w:t>
      </w:r>
      <w:r>
        <w:rPr>
          <w:rFonts w:ascii="Arial" w:hAnsi="Arial" w:cs="Arial" w:hint="eastAsia"/>
          <w:sz w:val="21"/>
          <w:szCs w:val="21"/>
        </w:rPr>
        <w:t>号公布，自</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15</w:t>
      </w:r>
      <w:r>
        <w:rPr>
          <w:rFonts w:ascii="Arial" w:hAnsi="Arial" w:cs="Arial" w:hint="eastAsia"/>
          <w:sz w:val="21"/>
          <w:szCs w:val="21"/>
        </w:rPr>
        <w:t>日起施行）</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《房地产估价规范》</w:t>
      </w:r>
      <w:r>
        <w:rPr>
          <w:rFonts w:ascii="Arial" w:hAnsi="Arial" w:cs="Arial"/>
          <w:sz w:val="21"/>
          <w:szCs w:val="21"/>
        </w:rPr>
        <w:t>[GB/T 50291-2015]</w:t>
      </w:r>
    </w:p>
    <w:p w:rsidR="00074975" w:rsidRDefault="00F71F7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sz w:val="21"/>
          <w:szCs w:val="21"/>
        </w:rPr>
        <w:t>[GB/T 50899-2013]</w:t>
      </w:r>
    </w:p>
    <w:p w:rsidR="00074975" w:rsidRDefault="00F71F7A">
      <w:pPr>
        <w:overflowPunct w:val="0"/>
        <w:spacing w:line="480" w:lineRule="auto"/>
        <w:jc w:val="both"/>
        <w:textAlignment w:val="auto"/>
        <w:rPr>
          <w:rFonts w:ascii="Arial" w:hAnsi="Arial"/>
          <w:b/>
          <w:sz w:val="21"/>
          <w:szCs w:val="21"/>
        </w:rPr>
      </w:pPr>
      <w:r>
        <w:rPr>
          <w:rFonts w:ascii="Arial" w:hAnsi="Arial" w:hint="eastAsia"/>
          <w:b/>
          <w:sz w:val="21"/>
          <w:szCs w:val="21"/>
        </w:rPr>
        <w:t>（二）估价委托人提供的资料</w:t>
      </w:r>
    </w:p>
    <w:p w:rsidR="00074975" w:rsidRDefault="00F71F7A">
      <w:pPr>
        <w:numPr>
          <w:ilvl w:val="0"/>
          <w:numId w:val="9"/>
        </w:numPr>
        <w:overflowPunct w:val="0"/>
        <w:spacing w:line="480" w:lineRule="auto"/>
        <w:ind w:left="0" w:firstLine="420"/>
        <w:jc w:val="both"/>
        <w:textAlignment w:val="auto"/>
        <w:rPr>
          <w:rFonts w:ascii="Arial" w:hAnsi="Arial" w:cs="Arial"/>
          <w:sz w:val="21"/>
          <w:szCs w:val="21"/>
        </w:rPr>
      </w:pPr>
      <w:bookmarkStart w:id="55" w:name="_Hlk128743126"/>
      <w:bookmarkStart w:id="56" w:name="_Hlk128748708"/>
      <w:r>
        <w:rPr>
          <w:rFonts w:ascii="Arial" w:hAnsi="Arial" w:hint="eastAsia"/>
          <w:sz w:val="21"/>
          <w:szCs w:val="24"/>
        </w:rPr>
        <w:t>《估价委托书》</w:t>
      </w:r>
      <w:bookmarkEnd w:id="55"/>
    </w:p>
    <w:p w:rsidR="00074975" w:rsidRDefault="00F71F7A">
      <w:pPr>
        <w:numPr>
          <w:ilvl w:val="0"/>
          <w:numId w:val="9"/>
        </w:numPr>
        <w:spacing w:line="480" w:lineRule="auto"/>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rsidR="00074975" w:rsidRDefault="00F71F7A">
      <w:pPr>
        <w:numPr>
          <w:ilvl w:val="0"/>
          <w:numId w:val="9"/>
        </w:numPr>
        <w:overflowPunct w:val="0"/>
        <w:spacing w:line="480" w:lineRule="auto"/>
        <w:ind w:left="0" w:firstLine="420"/>
        <w:jc w:val="both"/>
        <w:textAlignment w:val="auto"/>
        <w:rPr>
          <w:rFonts w:ascii="Arial" w:hAnsi="Arial" w:cs="Arial"/>
          <w:sz w:val="21"/>
          <w:szCs w:val="21"/>
        </w:rPr>
      </w:pPr>
      <w:r>
        <w:rPr>
          <w:rFonts w:ascii="Arial" w:hAnsi="Arial" w:hint="eastAsia"/>
          <w:kern w:val="2"/>
          <w:sz w:val="21"/>
        </w:rPr>
        <w:t>《名称变更通知》</w:t>
      </w:r>
      <w:bookmarkEnd w:id="56"/>
      <w:r>
        <w:rPr>
          <w:rFonts w:ascii="Arial" w:hAnsi="Arial" w:cs="Arial" w:hint="eastAsia"/>
          <w:sz w:val="21"/>
          <w:szCs w:val="21"/>
        </w:rPr>
        <w:t>复印件</w:t>
      </w:r>
    </w:p>
    <w:p w:rsidR="00074975" w:rsidRDefault="00F71F7A">
      <w:pPr>
        <w:overflowPunct w:val="0"/>
        <w:spacing w:line="480" w:lineRule="auto"/>
        <w:jc w:val="both"/>
        <w:textAlignment w:val="auto"/>
        <w:rPr>
          <w:rFonts w:ascii="Arial" w:hAnsi="Arial"/>
          <w:b/>
          <w:sz w:val="21"/>
          <w:szCs w:val="21"/>
        </w:rPr>
      </w:pPr>
      <w:r>
        <w:rPr>
          <w:rFonts w:ascii="Arial" w:hAnsi="Arial" w:hint="eastAsia"/>
          <w:b/>
          <w:sz w:val="21"/>
          <w:szCs w:val="21"/>
        </w:rPr>
        <w:t>（三）评估专业人员实地查勘的有关资料</w:t>
      </w:r>
    </w:p>
    <w:p w:rsidR="00074975" w:rsidRDefault="00F71F7A">
      <w:pPr>
        <w:overflowPunct w:val="0"/>
        <w:spacing w:line="480" w:lineRule="auto"/>
        <w:jc w:val="both"/>
        <w:textAlignment w:val="auto"/>
        <w:rPr>
          <w:rFonts w:ascii="Arial" w:hAnsi="Arial"/>
          <w:b/>
          <w:sz w:val="21"/>
          <w:szCs w:val="21"/>
        </w:rPr>
      </w:pPr>
      <w:r>
        <w:rPr>
          <w:rFonts w:ascii="Arial" w:hAnsi="Arial" w:hint="eastAsia"/>
          <w:b/>
          <w:sz w:val="21"/>
          <w:szCs w:val="21"/>
        </w:rPr>
        <w:t>（四）房地产估价机构资质证书及</w:t>
      </w:r>
      <w:r>
        <w:rPr>
          <w:rFonts w:ascii="Arial" w:hAnsi="Arial"/>
          <w:b/>
          <w:sz w:val="21"/>
          <w:szCs w:val="21"/>
        </w:rPr>
        <w:t>承诺书</w:t>
      </w:r>
    </w:p>
    <w:p w:rsidR="00074975" w:rsidRDefault="00074975">
      <w:pPr>
        <w:overflowPunct w:val="0"/>
        <w:spacing w:line="480" w:lineRule="auto"/>
        <w:ind w:firstLineChars="200" w:firstLine="420"/>
        <w:jc w:val="both"/>
        <w:textAlignment w:val="auto"/>
        <w:rPr>
          <w:rFonts w:ascii="Arial" w:hAnsi="Arial"/>
          <w:sz w:val="21"/>
          <w:szCs w:val="21"/>
        </w:rPr>
      </w:pPr>
      <w:bookmarkStart w:id="57" w:name="_Toc168225821"/>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58" w:name="_Toc500322972"/>
      <w:r>
        <w:rPr>
          <w:rFonts w:eastAsia="宋体" w:hint="eastAsia"/>
          <w:kern w:val="2"/>
          <w:sz w:val="21"/>
          <w:szCs w:val="21"/>
        </w:rPr>
        <w:t>十、估价方法</w:t>
      </w:r>
      <w:bookmarkEnd w:id="57"/>
      <w:bookmarkEnd w:id="58"/>
    </w:p>
    <w:p w:rsidR="00074975" w:rsidRDefault="00F71F7A">
      <w:pPr>
        <w:pStyle w:val="11"/>
        <w:overflowPunct w:val="0"/>
        <w:autoSpaceDE w:val="0"/>
        <w:autoSpaceDN w:val="0"/>
        <w:spacing w:line="480" w:lineRule="auto"/>
        <w:ind w:right="140" w:firstLineChars="200" w:firstLine="420"/>
        <w:jc w:val="both"/>
        <w:textAlignment w:val="auto"/>
        <w:rPr>
          <w:rFonts w:ascii="Arial" w:hAnsi="Arial"/>
          <w:sz w:val="21"/>
          <w:szCs w:val="21"/>
        </w:rPr>
      </w:pPr>
      <w:r>
        <w:rPr>
          <w:rFonts w:ascii="Arial" w:hAnsi="Arial" w:cs="Arial"/>
          <w:sz w:val="21"/>
          <w:szCs w:val="21"/>
        </w:rPr>
        <w:t>由于本次评估是</w:t>
      </w:r>
      <w:r>
        <w:rPr>
          <w:rFonts w:ascii="Arial" w:hAnsi="Arial" w:hint="eastAsia"/>
          <w:kern w:val="2"/>
          <w:sz w:val="21"/>
        </w:rPr>
        <w:t>为估价委托人了解估价对象的房地产市场租金水平提供参考依据</w:t>
      </w:r>
      <w:r>
        <w:rPr>
          <w:rFonts w:ascii="Arial" w:hAnsi="Arial" w:cs="Arial"/>
          <w:sz w:val="21"/>
          <w:szCs w:val="21"/>
        </w:rPr>
        <w:t>，</w:t>
      </w:r>
      <w:r>
        <w:rPr>
          <w:rFonts w:ascii="Arial" w:hAnsi="Arial" w:cs="Arial" w:hint="eastAsia"/>
          <w:sz w:val="21"/>
          <w:szCs w:val="21"/>
        </w:rPr>
        <w:t>因此我们在认真分析研究估价对象的相关资料，并通过对邻近地区同类物业调查的基础上，根据《房地产估价规范》</w:t>
      </w:r>
      <w:r>
        <w:rPr>
          <w:rFonts w:ascii="Arial" w:hAnsi="Arial" w:cs="Arial" w:hint="eastAsia"/>
          <w:sz w:val="21"/>
          <w:szCs w:val="21"/>
        </w:rPr>
        <w:t>(GB/T 50291-2015)</w:t>
      </w:r>
      <w:r>
        <w:rPr>
          <w:rFonts w:ascii="Arial" w:hAnsi="Arial" w:cs="Arial" w:hint="eastAsia"/>
          <w:sz w:val="21"/>
          <w:szCs w:val="21"/>
        </w:rPr>
        <w:t>的估价程序，选用比较法</w:t>
      </w:r>
      <w:r>
        <w:rPr>
          <w:rFonts w:ascii="Arial" w:hAnsi="Arial" w:hint="eastAsia"/>
          <w:sz w:val="21"/>
          <w:szCs w:val="21"/>
        </w:rPr>
        <w:t>进行估价。估价方法简述如下：</w:t>
      </w:r>
    </w:p>
    <w:p w:rsidR="00074975" w:rsidRDefault="00F71F7A">
      <w:pPr>
        <w:pStyle w:val="11"/>
        <w:overflowPunct w:val="0"/>
        <w:autoSpaceDE w:val="0"/>
        <w:autoSpaceDN w:val="0"/>
        <w:spacing w:line="480" w:lineRule="auto"/>
        <w:ind w:right="6" w:firstLineChars="200" w:firstLine="420"/>
        <w:jc w:val="both"/>
        <w:textAlignment w:val="auto"/>
        <w:rPr>
          <w:rFonts w:ascii="Arial" w:hAnsi="Arial"/>
          <w:sz w:val="21"/>
          <w:szCs w:val="21"/>
        </w:rPr>
      </w:pPr>
      <w:r>
        <w:rPr>
          <w:rFonts w:ascii="Arial" w:hAnsi="Arial" w:hint="eastAsia"/>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074975" w:rsidRDefault="00074975">
      <w:pPr>
        <w:overflowPunct w:val="0"/>
        <w:spacing w:line="480" w:lineRule="auto"/>
        <w:ind w:firstLineChars="200" w:firstLine="420"/>
        <w:jc w:val="both"/>
        <w:textAlignment w:val="auto"/>
        <w:rPr>
          <w:rFonts w:ascii="Arial" w:hAnsi="Arial"/>
          <w:sz w:val="21"/>
          <w:szCs w:val="21"/>
        </w:rPr>
      </w:pPr>
    </w:p>
    <w:p w:rsidR="00074975" w:rsidRDefault="00F71F7A">
      <w:pPr>
        <w:rPr>
          <w:kern w:val="2"/>
          <w:sz w:val="21"/>
          <w:szCs w:val="21"/>
        </w:rPr>
      </w:pPr>
      <w:bookmarkStart w:id="59" w:name="_Toc500322973"/>
      <w:r>
        <w:rPr>
          <w:rFonts w:hint="eastAsia"/>
          <w:kern w:val="2"/>
          <w:sz w:val="21"/>
          <w:szCs w:val="21"/>
        </w:rPr>
        <w:br w:type="page"/>
      </w: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r>
        <w:rPr>
          <w:rFonts w:eastAsia="宋体" w:hint="eastAsia"/>
          <w:kern w:val="2"/>
          <w:sz w:val="21"/>
          <w:szCs w:val="21"/>
        </w:rPr>
        <w:lastRenderedPageBreak/>
        <w:t>十一、</w:t>
      </w:r>
      <w:bookmarkStart w:id="60" w:name="_Toc168225822"/>
      <w:r>
        <w:rPr>
          <w:rFonts w:eastAsia="宋体" w:hint="eastAsia"/>
          <w:kern w:val="2"/>
          <w:sz w:val="21"/>
          <w:szCs w:val="21"/>
        </w:rPr>
        <w:t>估价结果</w:t>
      </w:r>
      <w:bookmarkEnd w:id="59"/>
      <w:bookmarkEnd w:id="60"/>
    </w:p>
    <w:p w:rsidR="00074975" w:rsidRDefault="00F71F7A">
      <w:pPr>
        <w:overflowPunct w:val="0"/>
        <w:spacing w:line="480" w:lineRule="auto"/>
        <w:ind w:firstLineChars="200" w:firstLine="420"/>
        <w:jc w:val="both"/>
        <w:textAlignment w:val="auto"/>
        <w:rPr>
          <w:rFonts w:ascii="Arial" w:hAnsi="Arial"/>
          <w:sz w:val="21"/>
          <w:szCs w:val="21"/>
        </w:rPr>
      </w:pPr>
      <w:bookmarkStart w:id="61" w:name="_Toc168225824"/>
      <w:r>
        <w:rPr>
          <w:rFonts w:ascii="Arial" w:hAnsi="Arial" w:hint="eastAsia"/>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hint="eastAsia"/>
          <w:sz w:val="21"/>
        </w:rPr>
        <w:t>市场租金，</w:t>
      </w:r>
      <w:r>
        <w:rPr>
          <w:rFonts w:ascii="Arial" w:hAnsi="Arial" w:hint="eastAsia"/>
          <w:sz w:val="21"/>
          <w:szCs w:val="21"/>
        </w:rPr>
        <w:t>详见估价结果一览表。</w:t>
      </w:r>
    </w:p>
    <w:p w:rsidR="00074975" w:rsidRDefault="00F71F7A">
      <w:pPr>
        <w:spacing w:line="360" w:lineRule="auto"/>
        <w:jc w:val="center"/>
        <w:rPr>
          <w:rFonts w:ascii="Arial" w:eastAsia="方正黑体简体" w:hAnsi="Arial"/>
          <w:szCs w:val="24"/>
        </w:rPr>
      </w:pPr>
      <w:r>
        <w:rPr>
          <w:rFonts w:ascii="Arial" w:eastAsia="方正黑体简体" w:hAnsi="Arial" w:hint="eastAsia"/>
          <w:szCs w:val="24"/>
        </w:rPr>
        <w:t>估价结果一览表</w:t>
      </w:r>
    </w:p>
    <w:tbl>
      <w:tblPr>
        <w:tblW w:w="4995"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CellMar>
          <w:top w:w="57" w:type="dxa"/>
          <w:left w:w="57" w:type="dxa"/>
          <w:bottom w:w="57" w:type="dxa"/>
          <w:right w:w="57" w:type="dxa"/>
        </w:tblCellMar>
        <w:tblLook w:val="04A0" w:firstRow="1" w:lastRow="0" w:firstColumn="1" w:lastColumn="0" w:noHBand="0" w:noVBand="1"/>
      </w:tblPr>
      <w:tblGrid>
        <w:gridCol w:w="3591"/>
        <w:gridCol w:w="1580"/>
        <w:gridCol w:w="927"/>
        <w:gridCol w:w="3306"/>
      </w:tblGrid>
      <w:tr w:rsidR="00074975">
        <w:trPr>
          <w:cantSplit/>
          <w:trHeight w:val="557"/>
          <w:jc w:val="center"/>
        </w:trPr>
        <w:tc>
          <w:tcPr>
            <w:tcW w:w="1908"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840"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r>
              <w:rPr>
                <w:rFonts w:ascii="Arial" w:eastAsia="华文细黑" w:hAnsi="Arial" w:cs="Arial" w:hint="eastAsia"/>
                <w:sz w:val="18"/>
                <w:szCs w:val="18"/>
              </w:rPr>
              <w:t>（平方米）</w:t>
            </w:r>
          </w:p>
        </w:tc>
        <w:tc>
          <w:tcPr>
            <w:tcW w:w="493"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套数（套）</w:t>
            </w:r>
          </w:p>
        </w:tc>
        <w:tc>
          <w:tcPr>
            <w:tcW w:w="1757"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74975">
        <w:trPr>
          <w:cantSplit/>
          <w:trHeight w:val="1121"/>
          <w:jc w:val="center"/>
        </w:trPr>
        <w:tc>
          <w:tcPr>
            <w:tcW w:w="1908"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北京市海淀区西北旺镇土井村</w:t>
            </w:r>
            <w:proofErr w:type="gramStart"/>
            <w:r>
              <w:rPr>
                <w:rFonts w:ascii="Arial" w:eastAsia="华文细黑" w:hAnsi="Arial" w:cs="Arial" w:hint="eastAsia"/>
                <w:sz w:val="18"/>
                <w:szCs w:val="18"/>
              </w:rPr>
              <w:t>图景嘉园小区</w:t>
            </w:r>
            <w:proofErr w:type="gramEnd"/>
            <w:r>
              <w:rPr>
                <w:rFonts w:ascii="Arial" w:eastAsia="华文细黑" w:hAnsi="Arial" w:cs="Arial" w:hint="eastAsia"/>
                <w:sz w:val="18"/>
                <w:szCs w:val="18"/>
              </w:rPr>
              <w:t>223</w:t>
            </w:r>
            <w:r>
              <w:rPr>
                <w:rFonts w:ascii="Arial" w:eastAsia="华文细黑" w:hAnsi="Arial" w:cs="Arial" w:hint="eastAsia"/>
                <w:sz w:val="18"/>
                <w:szCs w:val="18"/>
              </w:rPr>
              <w:t>套住宅用房房地产市场租金水平</w:t>
            </w:r>
          </w:p>
        </w:tc>
        <w:tc>
          <w:tcPr>
            <w:tcW w:w="840"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16190.64</w:t>
            </w:r>
          </w:p>
        </w:tc>
        <w:tc>
          <w:tcPr>
            <w:tcW w:w="493"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757" w:type="pct"/>
            <w:vAlign w:val="center"/>
          </w:tcPr>
          <w:p w:rsidR="00074975" w:rsidRDefault="00F71F7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85</w:t>
            </w:r>
          </w:p>
        </w:tc>
      </w:tr>
    </w:tbl>
    <w:p w:rsidR="00074975" w:rsidRDefault="00F71F7A">
      <w:pPr>
        <w:spacing w:line="360" w:lineRule="auto"/>
        <w:ind w:right="17"/>
        <w:rPr>
          <w:rFonts w:ascii="Arial" w:eastAsia="华文细黑" w:hAnsi="Arial" w:cs="Arial"/>
          <w:sz w:val="18"/>
          <w:szCs w:val="18"/>
        </w:rPr>
      </w:pPr>
      <w:r>
        <w:rPr>
          <w:rFonts w:ascii="Arial" w:eastAsia="华文细黑" w:hAnsi="Arial" w:hint="eastAsia"/>
          <w:sz w:val="18"/>
          <w:szCs w:val="18"/>
        </w:rPr>
        <w:t>单位：</w:t>
      </w:r>
      <w:r>
        <w:rPr>
          <w:rFonts w:ascii="Arial" w:eastAsia="华文细黑" w:hAnsi="Arial" w:cs="Arial"/>
          <w:sz w:val="18"/>
          <w:szCs w:val="18"/>
        </w:rPr>
        <w:t>元、元</w:t>
      </w:r>
      <w:r>
        <w:rPr>
          <w:rFonts w:ascii="Arial" w:eastAsia="华文细黑" w:hAnsi="Arial" w:cs="Arial"/>
          <w:sz w:val="18"/>
          <w:szCs w:val="18"/>
        </w:rPr>
        <w:t>/</w:t>
      </w:r>
      <w:r>
        <w:rPr>
          <w:rFonts w:ascii="Arial" w:eastAsia="华文细黑" w:hAnsi="Arial" w:cs="Arial"/>
          <w:sz w:val="18"/>
          <w:szCs w:val="18"/>
        </w:rPr>
        <w:t>平方米（币种：人民币）</w:t>
      </w:r>
    </w:p>
    <w:p w:rsidR="00074975" w:rsidRDefault="00F71F7A">
      <w:pPr>
        <w:spacing w:line="360" w:lineRule="auto"/>
        <w:ind w:right="17"/>
        <w:rPr>
          <w:rFonts w:ascii="Arial" w:eastAsia="华文细黑" w:hAnsi="Arial" w:cs="Arial"/>
          <w:b/>
          <w:sz w:val="18"/>
          <w:szCs w:val="18"/>
        </w:rPr>
      </w:pPr>
      <w:r>
        <w:rPr>
          <w:rFonts w:ascii="Arial" w:eastAsia="华文细黑" w:hAnsi="Arial" w:cs="Arial" w:hint="eastAsia"/>
          <w:b/>
          <w:sz w:val="18"/>
          <w:szCs w:val="18"/>
        </w:rPr>
        <w:t>提示</w:t>
      </w:r>
      <w:r>
        <w:rPr>
          <w:rFonts w:ascii="Arial" w:eastAsia="华文细黑" w:hAnsi="Arial" w:cs="Arial"/>
          <w:b/>
          <w:sz w:val="18"/>
          <w:szCs w:val="18"/>
        </w:rPr>
        <w:t>：</w:t>
      </w:r>
      <w:r>
        <w:rPr>
          <w:rFonts w:ascii="Arial" w:eastAsia="华文细黑" w:hAnsi="Arial" w:cs="Arial" w:hint="eastAsia"/>
          <w:b/>
          <w:sz w:val="18"/>
          <w:szCs w:val="18"/>
        </w:rPr>
        <w:t>1</w:t>
      </w:r>
      <w:r>
        <w:rPr>
          <w:rFonts w:ascii="Arial" w:eastAsia="华文细黑" w:hAnsi="Arial" w:cs="Arial" w:hint="eastAsia"/>
          <w:b/>
          <w:sz w:val="18"/>
          <w:szCs w:val="18"/>
        </w:rPr>
        <w:t>、估价结果按照法律法规规定，出租方和承租方各自承担相应的交易税费。</w:t>
      </w:r>
    </w:p>
    <w:p w:rsidR="00074975" w:rsidRDefault="00F71F7A">
      <w:pPr>
        <w:spacing w:line="360" w:lineRule="auto"/>
        <w:ind w:right="17" w:firstLineChars="300" w:firstLine="541"/>
        <w:rPr>
          <w:rFonts w:ascii="Arial" w:eastAsia="华文细黑" w:hAnsi="Arial" w:cs="Arial"/>
          <w:b/>
          <w:sz w:val="18"/>
          <w:szCs w:val="18"/>
        </w:rPr>
      </w:pPr>
      <w:r>
        <w:rPr>
          <w:rFonts w:ascii="Arial" w:eastAsia="华文细黑" w:hAnsi="Arial" w:cs="Arial" w:hint="eastAsia"/>
          <w:b/>
          <w:sz w:val="18"/>
          <w:szCs w:val="18"/>
        </w:rPr>
        <w:t>2</w:t>
      </w:r>
      <w:r>
        <w:rPr>
          <w:rFonts w:ascii="Arial" w:eastAsia="华文细黑" w:hAnsi="Arial" w:cs="Arial" w:hint="eastAsia"/>
          <w:b/>
          <w:sz w:val="18"/>
          <w:szCs w:val="18"/>
        </w:rPr>
        <w:t>、估价结果采用价税合计的形式，上述估价结果中包含增值税及附加、家具家电使用费、物业费，不包含能源费、房地产经纪公司服务费等费用。</w:t>
      </w:r>
    </w:p>
    <w:p w:rsidR="00074975" w:rsidRDefault="00074975">
      <w:pPr>
        <w:spacing w:line="360" w:lineRule="auto"/>
        <w:ind w:right="17"/>
        <w:rPr>
          <w:rFonts w:ascii="Arial" w:hAnsi="Arial"/>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62" w:name="_Toc500322974"/>
      <w:r>
        <w:rPr>
          <w:rFonts w:eastAsia="宋体" w:hint="eastAsia"/>
          <w:kern w:val="2"/>
          <w:sz w:val="21"/>
          <w:szCs w:val="21"/>
        </w:rPr>
        <w:t>十</w:t>
      </w:r>
      <w:bookmarkEnd w:id="61"/>
      <w:r>
        <w:rPr>
          <w:rFonts w:eastAsia="宋体" w:hint="eastAsia"/>
          <w:kern w:val="2"/>
          <w:sz w:val="21"/>
          <w:szCs w:val="21"/>
        </w:rPr>
        <w:t>二、参与本次估价工作的评估专业人员</w:t>
      </w:r>
      <w:bookmarkEnd w:id="6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746"/>
        <w:gridCol w:w="2197"/>
        <w:gridCol w:w="2774"/>
        <w:gridCol w:w="2582"/>
      </w:tblGrid>
      <w:tr w:rsidR="00074975">
        <w:trPr>
          <w:trHeight w:hRule="exact" w:val="454"/>
          <w:jc w:val="center"/>
        </w:trPr>
        <w:tc>
          <w:tcPr>
            <w:tcW w:w="9299" w:type="dxa"/>
            <w:gridSpan w:val="4"/>
            <w:tcBorders>
              <w:bottom w:val="single" w:sz="2" w:space="0" w:color="404040"/>
            </w:tcBorders>
            <w:vAlign w:val="center"/>
          </w:tcPr>
          <w:p w:rsidR="00074975" w:rsidRDefault="00F71F7A">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rsidR="00074975">
        <w:trPr>
          <w:trHeight w:hRule="exact" w:val="454"/>
          <w:jc w:val="center"/>
        </w:trPr>
        <w:tc>
          <w:tcPr>
            <w:tcW w:w="1746"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sz w:val="21"/>
                <w:szCs w:val="21"/>
              </w:rPr>
              <w:t>姓名</w:t>
            </w:r>
          </w:p>
        </w:tc>
        <w:tc>
          <w:tcPr>
            <w:tcW w:w="2197"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rsidR="00074975">
        <w:trPr>
          <w:trHeight w:hRule="exact" w:val="1134"/>
          <w:jc w:val="center"/>
        </w:trPr>
        <w:tc>
          <w:tcPr>
            <w:tcW w:w="1746"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rsidR="00074975" w:rsidRDefault="00F71F7A">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1120250061</w:t>
            </w:r>
          </w:p>
        </w:tc>
        <w:tc>
          <w:tcPr>
            <w:tcW w:w="2774" w:type="dxa"/>
            <w:vAlign w:val="center"/>
          </w:tcPr>
          <w:p w:rsidR="00074975" w:rsidRDefault="00074975">
            <w:pPr>
              <w:tabs>
                <w:tab w:val="left" w:pos="5160"/>
              </w:tabs>
              <w:overflowPunct w:val="0"/>
              <w:spacing w:line="240" w:lineRule="auto"/>
              <w:rPr>
                <w:rFonts w:ascii="Arial" w:hAnsi="Arial" w:cs="Arial"/>
                <w:sz w:val="21"/>
                <w:szCs w:val="21"/>
              </w:rPr>
            </w:pPr>
          </w:p>
        </w:tc>
        <w:tc>
          <w:tcPr>
            <w:tcW w:w="2582" w:type="dxa"/>
            <w:vAlign w:val="center"/>
          </w:tcPr>
          <w:p w:rsidR="00074975" w:rsidRDefault="00F71F7A">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r w:rsidR="00074975">
        <w:trPr>
          <w:trHeight w:hRule="exact" w:val="1134"/>
          <w:jc w:val="center"/>
        </w:trPr>
        <w:tc>
          <w:tcPr>
            <w:tcW w:w="1746" w:type="dxa"/>
            <w:vAlign w:val="center"/>
          </w:tcPr>
          <w:p w:rsidR="00074975" w:rsidRDefault="00F71F7A">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rsidR="00074975" w:rsidRDefault="00F71F7A">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1119980019</w:t>
            </w:r>
          </w:p>
        </w:tc>
        <w:tc>
          <w:tcPr>
            <w:tcW w:w="2774" w:type="dxa"/>
            <w:vAlign w:val="center"/>
          </w:tcPr>
          <w:p w:rsidR="00074975" w:rsidRDefault="00074975">
            <w:pPr>
              <w:tabs>
                <w:tab w:val="left" w:pos="5160"/>
              </w:tabs>
              <w:overflowPunct w:val="0"/>
              <w:spacing w:line="240" w:lineRule="auto"/>
              <w:rPr>
                <w:rFonts w:ascii="Arial" w:hAnsi="Arial" w:cs="Arial"/>
                <w:sz w:val="21"/>
                <w:szCs w:val="21"/>
              </w:rPr>
            </w:pPr>
          </w:p>
        </w:tc>
        <w:tc>
          <w:tcPr>
            <w:tcW w:w="2582" w:type="dxa"/>
            <w:vAlign w:val="center"/>
          </w:tcPr>
          <w:p w:rsidR="00074975" w:rsidRDefault="00F71F7A">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bl>
    <w:p w:rsidR="00074975" w:rsidRDefault="00074975">
      <w:pPr>
        <w:overflowPunct w:val="0"/>
        <w:spacing w:line="480" w:lineRule="auto"/>
        <w:jc w:val="both"/>
        <w:textAlignment w:val="auto"/>
        <w:rPr>
          <w:rFonts w:ascii="Arial" w:hAnsi="Arial"/>
          <w:kern w:val="2"/>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63" w:name="_Toc500322975"/>
      <w:r>
        <w:rPr>
          <w:rFonts w:eastAsia="宋体" w:hint="eastAsia"/>
          <w:kern w:val="2"/>
          <w:sz w:val="21"/>
          <w:szCs w:val="21"/>
        </w:rPr>
        <w:t>十三、实地</w:t>
      </w:r>
      <w:r>
        <w:rPr>
          <w:rFonts w:eastAsia="宋体"/>
          <w:kern w:val="2"/>
          <w:sz w:val="21"/>
          <w:szCs w:val="21"/>
        </w:rPr>
        <w:t>查勘</w:t>
      </w:r>
      <w:r>
        <w:rPr>
          <w:rFonts w:eastAsia="宋体" w:hint="eastAsia"/>
          <w:kern w:val="2"/>
          <w:sz w:val="21"/>
          <w:szCs w:val="21"/>
        </w:rPr>
        <w:t>期</w:t>
      </w:r>
      <w:bookmarkEnd w:id="63"/>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4</w:t>
      </w:r>
      <w:r>
        <w:rPr>
          <w:rFonts w:ascii="Arial" w:hAnsi="Arial" w:hint="eastAsia"/>
          <w:sz w:val="21"/>
          <w:szCs w:val="21"/>
        </w:rPr>
        <w:t>日</w:t>
      </w:r>
    </w:p>
    <w:p w:rsidR="00074975" w:rsidRDefault="00074975">
      <w:pPr>
        <w:overflowPunct w:val="0"/>
        <w:spacing w:line="480" w:lineRule="auto"/>
        <w:ind w:firstLineChars="200" w:firstLine="420"/>
        <w:jc w:val="both"/>
        <w:textAlignment w:val="auto"/>
        <w:rPr>
          <w:rFonts w:ascii="Arial" w:hAnsi="Arial"/>
          <w:kern w:val="2"/>
          <w:sz w:val="21"/>
          <w:szCs w:val="21"/>
        </w:rPr>
      </w:pPr>
    </w:p>
    <w:p w:rsidR="00074975" w:rsidRDefault="00F71F7A">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64" w:name="_Toc168225825"/>
      <w:bookmarkStart w:id="65" w:name="_Toc500322976"/>
      <w:r>
        <w:rPr>
          <w:rFonts w:eastAsia="宋体" w:hint="eastAsia"/>
          <w:kern w:val="2"/>
          <w:sz w:val="21"/>
          <w:szCs w:val="21"/>
        </w:rPr>
        <w:t>十四、估价作业期</w:t>
      </w:r>
      <w:bookmarkEnd w:id="64"/>
      <w:bookmarkEnd w:id="65"/>
      <w:r>
        <w:rPr>
          <w:rFonts w:eastAsia="宋体" w:hint="eastAsia"/>
          <w:kern w:val="2"/>
          <w:sz w:val="21"/>
          <w:szCs w:val="21"/>
        </w:rPr>
        <w:t xml:space="preserve">  </w:t>
      </w:r>
    </w:p>
    <w:p w:rsidR="00074975" w:rsidRDefault="00F71F7A">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4</w:t>
      </w:r>
      <w:r>
        <w:rPr>
          <w:rFonts w:ascii="Arial" w:hAnsi="Arial" w:hint="eastAsia"/>
          <w:sz w:val="21"/>
          <w:szCs w:val="21"/>
        </w:rPr>
        <w:t>日至</w:t>
      </w: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9</w:t>
      </w:r>
      <w:r>
        <w:rPr>
          <w:rFonts w:ascii="Arial" w:hAnsi="Arial" w:hint="eastAsia"/>
          <w:sz w:val="21"/>
          <w:szCs w:val="21"/>
        </w:rPr>
        <w:t>日</w:t>
      </w:r>
    </w:p>
    <w:p w:rsidR="00074975" w:rsidRDefault="00074975">
      <w:pPr>
        <w:overflowPunct w:val="0"/>
        <w:spacing w:line="480" w:lineRule="auto"/>
        <w:ind w:firstLineChars="200" w:firstLine="422"/>
        <w:jc w:val="both"/>
        <w:textAlignment w:val="auto"/>
        <w:outlineLvl w:val="0"/>
        <w:rPr>
          <w:rFonts w:ascii="Arial" w:hAnsi="Arial"/>
          <w:b/>
          <w:kern w:val="2"/>
          <w:sz w:val="21"/>
          <w:szCs w:val="21"/>
        </w:rPr>
        <w:sectPr w:rsidR="00074975">
          <w:pgSz w:w="11907" w:h="16840"/>
          <w:pgMar w:top="1843" w:right="1134" w:bottom="1191" w:left="1134" w:header="1134" w:footer="1134" w:gutter="340"/>
          <w:cols w:space="720"/>
          <w:docGrid w:linePitch="326"/>
        </w:sectPr>
      </w:pPr>
    </w:p>
    <w:p w:rsidR="00074975" w:rsidRDefault="00F71F7A">
      <w:pPr>
        <w:pStyle w:val="1"/>
        <w:numPr>
          <w:ilvl w:val="0"/>
          <w:numId w:val="0"/>
        </w:numPr>
        <w:spacing w:line="480" w:lineRule="auto"/>
        <w:jc w:val="center"/>
        <w:rPr>
          <w:rFonts w:eastAsia="方正黑体简体"/>
          <w:b w:val="0"/>
          <w:kern w:val="2"/>
          <w:sz w:val="32"/>
          <w:szCs w:val="32"/>
        </w:rPr>
      </w:pPr>
      <w:bookmarkStart w:id="66" w:name="_Toc500322977"/>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6"/>
    </w:p>
    <w:p w:rsidR="00074975" w:rsidRDefault="00F71F7A">
      <w:pPr>
        <w:numPr>
          <w:ilvl w:val="0"/>
          <w:numId w:val="10"/>
        </w:numPr>
        <w:spacing w:line="420" w:lineRule="exact"/>
        <w:jc w:val="both"/>
        <w:textAlignment w:val="auto"/>
        <w:rPr>
          <w:rFonts w:ascii="Arial" w:hAnsi="Arial"/>
          <w:sz w:val="21"/>
          <w:szCs w:val="24"/>
        </w:rPr>
      </w:pPr>
      <w:bookmarkStart w:id="67" w:name="_Hlk128749574"/>
      <w:r>
        <w:rPr>
          <w:rFonts w:ascii="Arial" w:hAnsi="Arial" w:hint="eastAsia"/>
          <w:sz w:val="21"/>
          <w:szCs w:val="24"/>
        </w:rPr>
        <w:t>《估价委托书》复印件</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估价对象所在位置示意图</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估价对象实地查勘相关照片</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《名称变更通知》复印件</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房地产估价机构《营业执照（副本）》复印件</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估价机构资质证书复印件</w:t>
      </w:r>
    </w:p>
    <w:p w:rsidR="00074975" w:rsidRDefault="00F71F7A">
      <w:pPr>
        <w:numPr>
          <w:ilvl w:val="0"/>
          <w:numId w:val="10"/>
        </w:numPr>
        <w:spacing w:line="420" w:lineRule="exact"/>
        <w:jc w:val="both"/>
        <w:textAlignment w:val="auto"/>
        <w:rPr>
          <w:rFonts w:ascii="Arial" w:hAnsi="Arial"/>
          <w:sz w:val="21"/>
          <w:szCs w:val="24"/>
        </w:rPr>
      </w:pPr>
      <w:r>
        <w:rPr>
          <w:rFonts w:ascii="Arial" w:hAnsi="Arial" w:hint="eastAsia"/>
          <w:sz w:val="21"/>
          <w:szCs w:val="24"/>
        </w:rPr>
        <w:t>评估专业人员执业证书复印件</w:t>
      </w:r>
      <w:bookmarkEnd w:id="67"/>
    </w:p>
    <w:sectPr w:rsidR="00074975">
      <w:headerReference w:type="default" r:id="rId31"/>
      <w:pgSz w:w="11907" w:h="16840"/>
      <w:pgMar w:top="1843" w:right="1134" w:bottom="1191" w:left="1134" w:header="1134" w:footer="1134"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win10B" w:date="2025-12-09T16:59:00Z" w:initials="w">
    <w:p w:rsidR="00F71F7A" w:rsidRDefault="00F71F7A">
      <w:pPr>
        <w:pStyle w:val="a5"/>
        <w:rPr>
          <w:rFonts w:hint="eastAsia"/>
        </w:rPr>
      </w:pPr>
      <w:r>
        <w:rPr>
          <w:rStyle w:val="af5"/>
        </w:rPr>
        <w:annotationRef/>
      </w:r>
      <w:r>
        <w:t>是他？需要写老总？</w:t>
      </w:r>
    </w:p>
    <w:p w:rsidR="00F71F7A" w:rsidRDefault="00F71F7A">
      <w:pPr>
        <w:pStyle w:val="a5"/>
        <w:rPr>
          <w:rFonts w:hint="eastAsia"/>
        </w:rPr>
      </w:pPr>
      <w:r>
        <w:rPr>
          <w:rFonts w:hint="eastAsia"/>
        </w:rPr>
        <w:t>有没有对接人</w:t>
      </w:r>
    </w:p>
    <w:p w:rsidR="00F71F7A" w:rsidRDefault="00F71F7A">
      <w:pPr>
        <w:pStyle w:val="a5"/>
      </w:pPr>
    </w:p>
  </w:comment>
  <w:comment w:id="39" w:author="win10B" w:date="2025-12-09T17:02:00Z" w:initials="w">
    <w:p w:rsidR="00F71F7A" w:rsidRDefault="00F71F7A">
      <w:pPr>
        <w:pStyle w:val="a5"/>
      </w:pPr>
      <w:r>
        <w:rPr>
          <w:rStyle w:val="af5"/>
        </w:rPr>
        <w:annotationRef/>
      </w:r>
      <w:r>
        <w:t>土地情况没有说</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8D1" w:rsidRDefault="008148D1">
      <w:pPr>
        <w:spacing w:line="240" w:lineRule="auto"/>
      </w:pPr>
      <w:r>
        <w:separator/>
      </w:r>
    </w:p>
  </w:endnote>
  <w:endnote w:type="continuationSeparator" w:id="0">
    <w:p w:rsidR="008148D1" w:rsidRDefault="008148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altName w:val="Malgun Gothic"/>
    <w:charset w:val="81"/>
    <w:family w:val="modern"/>
    <w:pitch w:val="default"/>
    <w:sig w:usb0="00000000" w:usb1="00000000"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7A"/>
    <w:family w:val="swiss"/>
    <w:pitch w:val="default"/>
    <w:sig w:usb0="00000000" w:usb1="00000000" w:usb2="00000016" w:usb3="00000000" w:csb0="00060007" w:csb1="00000000"/>
  </w:font>
  <w:font w:name="方正黑体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b"/>
      <w:pBdr>
        <w:top w:val="single" w:sz="4" w:space="0" w:color="auto"/>
      </w:pBdr>
      <w:tabs>
        <w:tab w:val="clear" w:pos="8306"/>
        <w:tab w:val="right" w:pos="8647"/>
      </w:tabs>
      <w:ind w:right="17"/>
    </w:pPr>
    <w:r>
      <w:rPr>
        <w:rFonts w:hint="eastAsia"/>
      </w:rPr>
      <w:t>评估编号：</w:t>
    </w:r>
    <w:r>
      <w:rPr>
        <w:rFonts w:ascii="Arial" w:hAnsi="Arial"/>
      </w:rPr>
      <w:t>2025-1-0</w:t>
    </w:r>
    <w:r>
      <w:rPr>
        <w:rFonts w:ascii="Arial" w:hAnsi="Arial" w:hint="eastAsia"/>
      </w:rPr>
      <w:t>910</w:t>
    </w:r>
    <w:r>
      <w:rPr>
        <w:rFonts w:ascii="Arial" w:hAnsi="Arial"/>
      </w:rPr>
      <w:t>-F0</w:t>
    </w:r>
    <w:r>
      <w:rPr>
        <w:rFonts w:ascii="Arial" w:hAnsi="Arial" w:hint="eastAsia"/>
      </w:rPr>
      <w:t>1</w:t>
    </w:r>
    <w:r>
      <w:rPr>
        <w:rFonts w:ascii="Arial" w:hAnsi="Arial"/>
      </w:rPr>
      <w:t>ZLGJ6</w:t>
    </w:r>
    <w:r>
      <w:t xml:space="preserve">                                                                   </w:t>
    </w:r>
    <w:r>
      <w:fldChar w:fldCharType="begin"/>
    </w:r>
    <w:r>
      <w:instrText>PAGE   \* MERGEFORMAT</w:instrText>
    </w:r>
    <w:r>
      <w:fldChar w:fldCharType="separate"/>
    </w:r>
    <w:r w:rsidR="00437104">
      <w:rPr>
        <w:noProof/>
      </w:rPr>
      <w:t>30</w:t>
    </w:r>
    <w:r>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b"/>
      <w:jc w:val="center"/>
    </w:pPr>
    <w:r>
      <w:fldChar w:fldCharType="begin"/>
    </w:r>
    <w:r>
      <w:instrText>PAGE   \* MERGEFORMAT</w:instrText>
    </w:r>
    <w:r>
      <w:fldChar w:fldCharType="separate"/>
    </w:r>
    <w:r>
      <w:rPr>
        <w:rFonts w:ascii="Arial" w:hAnsi="Arial"/>
        <w:lang w:val="zh-CN"/>
      </w:rPr>
      <w:t>12</w:t>
    </w:r>
    <w:r>
      <w:fldChar w:fldCharType="end"/>
    </w:r>
  </w:p>
  <w:p w:rsidR="00F71F7A" w:rsidRDefault="00F71F7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71F7A" w:rsidRDefault="00F71F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8D1" w:rsidRDefault="008148D1">
      <w:pPr>
        <w:spacing w:line="240" w:lineRule="auto"/>
      </w:pPr>
      <w:r>
        <w:separator/>
      </w:r>
    </w:p>
  </w:footnote>
  <w:footnote w:type="continuationSeparator" w:id="0">
    <w:p w:rsidR="008148D1" w:rsidRDefault="008148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2325"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2325"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c"/>
    </w:pPr>
    <w:r>
      <w:rPr>
        <w:noProof/>
      </w:rPr>
      <w:drawing>
        <wp:inline distT="0" distB="0" distL="0" distR="0">
          <wp:extent cx="5504180" cy="28511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2325"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7A" w:rsidRDefault="00F71F7A">
    <w:pPr>
      <w:pStyle w:val="ac"/>
      <w:pBdr>
        <w:bottom w:val="none" w:sz="0" w:space="0" w:color="auto"/>
      </w:pBdr>
    </w:pPr>
    <w:r>
      <w:rPr>
        <w:noProof/>
      </w:rPr>
      <w:drawing>
        <wp:inline distT="0" distB="0" distL="0" distR="0">
          <wp:extent cx="5902325" cy="28511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6F27"/>
    <w:multiLevelType w:val="multilevel"/>
    <w:tmpl w:val="0A396F2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AB0795"/>
    <w:multiLevelType w:val="multilevel"/>
    <w:tmpl w:val="14AB079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6">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36F"/>
    <w:rsid w:val="00004D42"/>
    <w:rsid w:val="0001031A"/>
    <w:rsid w:val="0001237C"/>
    <w:rsid w:val="000129CD"/>
    <w:rsid w:val="0001354F"/>
    <w:rsid w:val="00014F2D"/>
    <w:rsid w:val="0002263E"/>
    <w:rsid w:val="00022827"/>
    <w:rsid w:val="00023657"/>
    <w:rsid w:val="00025398"/>
    <w:rsid w:val="00027BA2"/>
    <w:rsid w:val="00027D53"/>
    <w:rsid w:val="00027EB9"/>
    <w:rsid w:val="00030B79"/>
    <w:rsid w:val="00031225"/>
    <w:rsid w:val="0003345F"/>
    <w:rsid w:val="00035392"/>
    <w:rsid w:val="00036629"/>
    <w:rsid w:val="00037642"/>
    <w:rsid w:val="0003783C"/>
    <w:rsid w:val="00041390"/>
    <w:rsid w:val="00041C33"/>
    <w:rsid w:val="0004288D"/>
    <w:rsid w:val="00042DD8"/>
    <w:rsid w:val="0004482A"/>
    <w:rsid w:val="0004627B"/>
    <w:rsid w:val="00046421"/>
    <w:rsid w:val="00050104"/>
    <w:rsid w:val="00052348"/>
    <w:rsid w:val="00052CDB"/>
    <w:rsid w:val="00053031"/>
    <w:rsid w:val="000552B7"/>
    <w:rsid w:val="00057D66"/>
    <w:rsid w:val="00062BA3"/>
    <w:rsid w:val="000639A8"/>
    <w:rsid w:val="000647E7"/>
    <w:rsid w:val="00065379"/>
    <w:rsid w:val="000677C9"/>
    <w:rsid w:val="000728BE"/>
    <w:rsid w:val="00074975"/>
    <w:rsid w:val="00074C60"/>
    <w:rsid w:val="00074F45"/>
    <w:rsid w:val="00076979"/>
    <w:rsid w:val="00082C75"/>
    <w:rsid w:val="00084265"/>
    <w:rsid w:val="00085690"/>
    <w:rsid w:val="000861C3"/>
    <w:rsid w:val="00090ADF"/>
    <w:rsid w:val="00090DD5"/>
    <w:rsid w:val="00090F8F"/>
    <w:rsid w:val="00092F3C"/>
    <w:rsid w:val="00092F51"/>
    <w:rsid w:val="0009464C"/>
    <w:rsid w:val="000951A8"/>
    <w:rsid w:val="000A1B10"/>
    <w:rsid w:val="000A1CE2"/>
    <w:rsid w:val="000A3E29"/>
    <w:rsid w:val="000B0322"/>
    <w:rsid w:val="000B060E"/>
    <w:rsid w:val="000B34FE"/>
    <w:rsid w:val="000B737B"/>
    <w:rsid w:val="000B7C3D"/>
    <w:rsid w:val="000B7E14"/>
    <w:rsid w:val="000C5413"/>
    <w:rsid w:val="000C5BB3"/>
    <w:rsid w:val="000D1D5A"/>
    <w:rsid w:val="000D2845"/>
    <w:rsid w:val="000D2A60"/>
    <w:rsid w:val="000D362A"/>
    <w:rsid w:val="000D51B9"/>
    <w:rsid w:val="000D56DC"/>
    <w:rsid w:val="000D76F1"/>
    <w:rsid w:val="000E0128"/>
    <w:rsid w:val="000E01F1"/>
    <w:rsid w:val="000E1641"/>
    <w:rsid w:val="000E3902"/>
    <w:rsid w:val="000E4175"/>
    <w:rsid w:val="000E4497"/>
    <w:rsid w:val="000E4856"/>
    <w:rsid w:val="000E4D45"/>
    <w:rsid w:val="000E5067"/>
    <w:rsid w:val="000E5749"/>
    <w:rsid w:val="000F0AD8"/>
    <w:rsid w:val="000F556A"/>
    <w:rsid w:val="000F746A"/>
    <w:rsid w:val="00103AC3"/>
    <w:rsid w:val="001045E5"/>
    <w:rsid w:val="001055A0"/>
    <w:rsid w:val="00105F55"/>
    <w:rsid w:val="00106495"/>
    <w:rsid w:val="00110932"/>
    <w:rsid w:val="00112C6B"/>
    <w:rsid w:val="00116213"/>
    <w:rsid w:val="0011651C"/>
    <w:rsid w:val="00117997"/>
    <w:rsid w:val="001201A8"/>
    <w:rsid w:val="00121EB7"/>
    <w:rsid w:val="00121F4B"/>
    <w:rsid w:val="00123103"/>
    <w:rsid w:val="0012365E"/>
    <w:rsid w:val="0012550C"/>
    <w:rsid w:val="001267C9"/>
    <w:rsid w:val="00126809"/>
    <w:rsid w:val="00130392"/>
    <w:rsid w:val="0013092A"/>
    <w:rsid w:val="001309C4"/>
    <w:rsid w:val="00130D76"/>
    <w:rsid w:val="00134710"/>
    <w:rsid w:val="001365FB"/>
    <w:rsid w:val="00136D1A"/>
    <w:rsid w:val="00137B2B"/>
    <w:rsid w:val="001433AC"/>
    <w:rsid w:val="00145ADE"/>
    <w:rsid w:val="00150A2F"/>
    <w:rsid w:val="0015101C"/>
    <w:rsid w:val="00153D34"/>
    <w:rsid w:val="0015637F"/>
    <w:rsid w:val="00162718"/>
    <w:rsid w:val="0016376A"/>
    <w:rsid w:val="00167BBC"/>
    <w:rsid w:val="00170B7A"/>
    <w:rsid w:val="00171F28"/>
    <w:rsid w:val="0017359A"/>
    <w:rsid w:val="00174FED"/>
    <w:rsid w:val="0017520E"/>
    <w:rsid w:val="001752EA"/>
    <w:rsid w:val="0017647B"/>
    <w:rsid w:val="0018127C"/>
    <w:rsid w:val="00181B68"/>
    <w:rsid w:val="0018215B"/>
    <w:rsid w:val="00182645"/>
    <w:rsid w:val="0018410F"/>
    <w:rsid w:val="00185D76"/>
    <w:rsid w:val="00186584"/>
    <w:rsid w:val="00190377"/>
    <w:rsid w:val="00191C1B"/>
    <w:rsid w:val="0019484B"/>
    <w:rsid w:val="00194A1F"/>
    <w:rsid w:val="00196A74"/>
    <w:rsid w:val="00197502"/>
    <w:rsid w:val="001A0593"/>
    <w:rsid w:val="001A13ED"/>
    <w:rsid w:val="001A31DD"/>
    <w:rsid w:val="001A7B50"/>
    <w:rsid w:val="001A7FA2"/>
    <w:rsid w:val="001B1B96"/>
    <w:rsid w:val="001B427F"/>
    <w:rsid w:val="001B5443"/>
    <w:rsid w:val="001B730A"/>
    <w:rsid w:val="001C178D"/>
    <w:rsid w:val="001C2A98"/>
    <w:rsid w:val="001C2C79"/>
    <w:rsid w:val="001C2DF8"/>
    <w:rsid w:val="001C44F5"/>
    <w:rsid w:val="001C562A"/>
    <w:rsid w:val="001C7458"/>
    <w:rsid w:val="001D1B18"/>
    <w:rsid w:val="001D4524"/>
    <w:rsid w:val="001D4FBC"/>
    <w:rsid w:val="001D650B"/>
    <w:rsid w:val="001D6B6B"/>
    <w:rsid w:val="001D7D7A"/>
    <w:rsid w:val="001E0925"/>
    <w:rsid w:val="001E53E3"/>
    <w:rsid w:val="001F0888"/>
    <w:rsid w:val="001F6090"/>
    <w:rsid w:val="001F730F"/>
    <w:rsid w:val="002002BD"/>
    <w:rsid w:val="002005B1"/>
    <w:rsid w:val="00200E28"/>
    <w:rsid w:val="00201A37"/>
    <w:rsid w:val="002021EB"/>
    <w:rsid w:val="00202895"/>
    <w:rsid w:val="00206854"/>
    <w:rsid w:val="0021285B"/>
    <w:rsid w:val="00212AAF"/>
    <w:rsid w:val="00212AEE"/>
    <w:rsid w:val="0021374A"/>
    <w:rsid w:val="00221C8C"/>
    <w:rsid w:val="00223AA5"/>
    <w:rsid w:val="0022545A"/>
    <w:rsid w:val="00232AF2"/>
    <w:rsid w:val="0023337C"/>
    <w:rsid w:val="00235EFE"/>
    <w:rsid w:val="002361E9"/>
    <w:rsid w:val="00237F00"/>
    <w:rsid w:val="002422F5"/>
    <w:rsid w:val="00243D67"/>
    <w:rsid w:val="0024429E"/>
    <w:rsid w:val="00244311"/>
    <w:rsid w:val="00244D93"/>
    <w:rsid w:val="00244F91"/>
    <w:rsid w:val="002455C6"/>
    <w:rsid w:val="00245AC4"/>
    <w:rsid w:val="00247052"/>
    <w:rsid w:val="00250828"/>
    <w:rsid w:val="00250E07"/>
    <w:rsid w:val="00252130"/>
    <w:rsid w:val="002527CB"/>
    <w:rsid w:val="00252E12"/>
    <w:rsid w:val="0025385C"/>
    <w:rsid w:val="002539C2"/>
    <w:rsid w:val="002547BD"/>
    <w:rsid w:val="0025609C"/>
    <w:rsid w:val="00256148"/>
    <w:rsid w:val="00261E81"/>
    <w:rsid w:val="00264B8C"/>
    <w:rsid w:val="00266F94"/>
    <w:rsid w:val="00267E50"/>
    <w:rsid w:val="00270C1D"/>
    <w:rsid w:val="00271C6B"/>
    <w:rsid w:val="0027408F"/>
    <w:rsid w:val="00277CA3"/>
    <w:rsid w:val="00282EC8"/>
    <w:rsid w:val="002856FC"/>
    <w:rsid w:val="00295595"/>
    <w:rsid w:val="00296579"/>
    <w:rsid w:val="002975A8"/>
    <w:rsid w:val="002A136E"/>
    <w:rsid w:val="002A24B2"/>
    <w:rsid w:val="002A4036"/>
    <w:rsid w:val="002A4C30"/>
    <w:rsid w:val="002A53A9"/>
    <w:rsid w:val="002A7C0A"/>
    <w:rsid w:val="002B2E93"/>
    <w:rsid w:val="002B3532"/>
    <w:rsid w:val="002B35F7"/>
    <w:rsid w:val="002B384D"/>
    <w:rsid w:val="002B61BB"/>
    <w:rsid w:val="002C00CB"/>
    <w:rsid w:val="002C167B"/>
    <w:rsid w:val="002C3EAB"/>
    <w:rsid w:val="002C4410"/>
    <w:rsid w:val="002C46F3"/>
    <w:rsid w:val="002C47E6"/>
    <w:rsid w:val="002C49C6"/>
    <w:rsid w:val="002C6A9B"/>
    <w:rsid w:val="002C789A"/>
    <w:rsid w:val="002D19AE"/>
    <w:rsid w:val="002D38A9"/>
    <w:rsid w:val="002D3A09"/>
    <w:rsid w:val="002D3BA9"/>
    <w:rsid w:val="002D400F"/>
    <w:rsid w:val="002E1286"/>
    <w:rsid w:val="002E261C"/>
    <w:rsid w:val="002E2D27"/>
    <w:rsid w:val="002E45E5"/>
    <w:rsid w:val="002E58B3"/>
    <w:rsid w:val="002E65BB"/>
    <w:rsid w:val="002E6BD0"/>
    <w:rsid w:val="002E7F97"/>
    <w:rsid w:val="002F41E0"/>
    <w:rsid w:val="002F6A0D"/>
    <w:rsid w:val="003067F2"/>
    <w:rsid w:val="00306AEA"/>
    <w:rsid w:val="0030795F"/>
    <w:rsid w:val="00312D2B"/>
    <w:rsid w:val="00315E58"/>
    <w:rsid w:val="00316467"/>
    <w:rsid w:val="00320786"/>
    <w:rsid w:val="00323163"/>
    <w:rsid w:val="00323C56"/>
    <w:rsid w:val="0032573F"/>
    <w:rsid w:val="00326F40"/>
    <w:rsid w:val="00330243"/>
    <w:rsid w:val="003311BE"/>
    <w:rsid w:val="00332156"/>
    <w:rsid w:val="00333401"/>
    <w:rsid w:val="00333BD4"/>
    <w:rsid w:val="003405BD"/>
    <w:rsid w:val="00345A25"/>
    <w:rsid w:val="00346A47"/>
    <w:rsid w:val="0035067C"/>
    <w:rsid w:val="00351B58"/>
    <w:rsid w:val="00351CBA"/>
    <w:rsid w:val="00352066"/>
    <w:rsid w:val="00352F46"/>
    <w:rsid w:val="00353B3D"/>
    <w:rsid w:val="00355D98"/>
    <w:rsid w:val="00357EEC"/>
    <w:rsid w:val="00361E2F"/>
    <w:rsid w:val="00361F1D"/>
    <w:rsid w:val="003636C1"/>
    <w:rsid w:val="0036385B"/>
    <w:rsid w:val="00364041"/>
    <w:rsid w:val="00364ED6"/>
    <w:rsid w:val="00375183"/>
    <w:rsid w:val="00376119"/>
    <w:rsid w:val="00377F0B"/>
    <w:rsid w:val="00380058"/>
    <w:rsid w:val="00382598"/>
    <w:rsid w:val="003843D8"/>
    <w:rsid w:val="00385340"/>
    <w:rsid w:val="0039096F"/>
    <w:rsid w:val="00390D6F"/>
    <w:rsid w:val="00391276"/>
    <w:rsid w:val="003922BA"/>
    <w:rsid w:val="0039346A"/>
    <w:rsid w:val="00393A15"/>
    <w:rsid w:val="003958DE"/>
    <w:rsid w:val="0039670C"/>
    <w:rsid w:val="00396F5B"/>
    <w:rsid w:val="003A15DC"/>
    <w:rsid w:val="003A2CAB"/>
    <w:rsid w:val="003A38A4"/>
    <w:rsid w:val="003A3BC1"/>
    <w:rsid w:val="003A48A3"/>
    <w:rsid w:val="003A4D8E"/>
    <w:rsid w:val="003A6366"/>
    <w:rsid w:val="003A7040"/>
    <w:rsid w:val="003B0E4C"/>
    <w:rsid w:val="003B1BD5"/>
    <w:rsid w:val="003B4EEF"/>
    <w:rsid w:val="003B57ED"/>
    <w:rsid w:val="003C235C"/>
    <w:rsid w:val="003C42C3"/>
    <w:rsid w:val="003D1359"/>
    <w:rsid w:val="003D1BD6"/>
    <w:rsid w:val="003D27EF"/>
    <w:rsid w:val="003D28D3"/>
    <w:rsid w:val="003D2C2F"/>
    <w:rsid w:val="003D33D6"/>
    <w:rsid w:val="003D4A89"/>
    <w:rsid w:val="003D53D3"/>
    <w:rsid w:val="003E1066"/>
    <w:rsid w:val="003E5B5E"/>
    <w:rsid w:val="003E611B"/>
    <w:rsid w:val="003E64BD"/>
    <w:rsid w:val="003F01F2"/>
    <w:rsid w:val="003F17E9"/>
    <w:rsid w:val="003F7F99"/>
    <w:rsid w:val="004004FE"/>
    <w:rsid w:val="00403BC4"/>
    <w:rsid w:val="00404396"/>
    <w:rsid w:val="00406AB5"/>
    <w:rsid w:val="004109A6"/>
    <w:rsid w:val="0041133E"/>
    <w:rsid w:val="00414C71"/>
    <w:rsid w:val="004150E4"/>
    <w:rsid w:val="00415F32"/>
    <w:rsid w:val="0041611B"/>
    <w:rsid w:val="00420AA6"/>
    <w:rsid w:val="004213EA"/>
    <w:rsid w:val="00423270"/>
    <w:rsid w:val="00431786"/>
    <w:rsid w:val="00432405"/>
    <w:rsid w:val="00433765"/>
    <w:rsid w:val="00436D80"/>
    <w:rsid w:val="00437104"/>
    <w:rsid w:val="00437E58"/>
    <w:rsid w:val="00440A23"/>
    <w:rsid w:val="00444961"/>
    <w:rsid w:val="00444DEC"/>
    <w:rsid w:val="00447F02"/>
    <w:rsid w:val="00450DCF"/>
    <w:rsid w:val="00452F36"/>
    <w:rsid w:val="00466C77"/>
    <w:rsid w:val="00466EAA"/>
    <w:rsid w:val="00472B83"/>
    <w:rsid w:val="0047506C"/>
    <w:rsid w:val="00476958"/>
    <w:rsid w:val="004810F5"/>
    <w:rsid w:val="00481308"/>
    <w:rsid w:val="00483265"/>
    <w:rsid w:val="004855EC"/>
    <w:rsid w:val="00486F66"/>
    <w:rsid w:val="00491DF0"/>
    <w:rsid w:val="00496EDE"/>
    <w:rsid w:val="004A1653"/>
    <w:rsid w:val="004A3457"/>
    <w:rsid w:val="004A42DB"/>
    <w:rsid w:val="004A541C"/>
    <w:rsid w:val="004A548D"/>
    <w:rsid w:val="004B035E"/>
    <w:rsid w:val="004B0FC7"/>
    <w:rsid w:val="004B152E"/>
    <w:rsid w:val="004B2641"/>
    <w:rsid w:val="004B312F"/>
    <w:rsid w:val="004B60D1"/>
    <w:rsid w:val="004C294D"/>
    <w:rsid w:val="004C3943"/>
    <w:rsid w:val="004C4FC0"/>
    <w:rsid w:val="004C5844"/>
    <w:rsid w:val="004C5F64"/>
    <w:rsid w:val="004C7D88"/>
    <w:rsid w:val="004D0A99"/>
    <w:rsid w:val="004D0EC7"/>
    <w:rsid w:val="004D0EE4"/>
    <w:rsid w:val="004D4D55"/>
    <w:rsid w:val="004D54CB"/>
    <w:rsid w:val="004D62BB"/>
    <w:rsid w:val="004E16A1"/>
    <w:rsid w:val="004E21FE"/>
    <w:rsid w:val="004E3F45"/>
    <w:rsid w:val="004E73CF"/>
    <w:rsid w:val="004F0C1D"/>
    <w:rsid w:val="004F0CB1"/>
    <w:rsid w:val="004F14D2"/>
    <w:rsid w:val="004F3DA1"/>
    <w:rsid w:val="004F5293"/>
    <w:rsid w:val="004F68F9"/>
    <w:rsid w:val="004F7676"/>
    <w:rsid w:val="004F7AAC"/>
    <w:rsid w:val="005033AC"/>
    <w:rsid w:val="00505F77"/>
    <w:rsid w:val="005072D7"/>
    <w:rsid w:val="005167F1"/>
    <w:rsid w:val="005168D3"/>
    <w:rsid w:val="00516B79"/>
    <w:rsid w:val="00521F05"/>
    <w:rsid w:val="00523241"/>
    <w:rsid w:val="00523F10"/>
    <w:rsid w:val="00524C18"/>
    <w:rsid w:val="005251C8"/>
    <w:rsid w:val="00526456"/>
    <w:rsid w:val="00526554"/>
    <w:rsid w:val="00530D9D"/>
    <w:rsid w:val="0053268A"/>
    <w:rsid w:val="00532D51"/>
    <w:rsid w:val="005334EA"/>
    <w:rsid w:val="00533DAE"/>
    <w:rsid w:val="00535553"/>
    <w:rsid w:val="005367E2"/>
    <w:rsid w:val="0054495D"/>
    <w:rsid w:val="00544C45"/>
    <w:rsid w:val="0054546A"/>
    <w:rsid w:val="00545BF4"/>
    <w:rsid w:val="00547D4D"/>
    <w:rsid w:val="00552741"/>
    <w:rsid w:val="005540F2"/>
    <w:rsid w:val="00560BCE"/>
    <w:rsid w:val="005610B7"/>
    <w:rsid w:val="0056169A"/>
    <w:rsid w:val="00561DDC"/>
    <w:rsid w:val="00573359"/>
    <w:rsid w:val="00575B58"/>
    <w:rsid w:val="005774F5"/>
    <w:rsid w:val="00577B2B"/>
    <w:rsid w:val="005827A4"/>
    <w:rsid w:val="00585457"/>
    <w:rsid w:val="00591470"/>
    <w:rsid w:val="005925BC"/>
    <w:rsid w:val="00593409"/>
    <w:rsid w:val="005934D2"/>
    <w:rsid w:val="005964B4"/>
    <w:rsid w:val="00597BD4"/>
    <w:rsid w:val="005A2C8D"/>
    <w:rsid w:val="005A33D9"/>
    <w:rsid w:val="005B0290"/>
    <w:rsid w:val="005B30DC"/>
    <w:rsid w:val="005B5015"/>
    <w:rsid w:val="005B6F2A"/>
    <w:rsid w:val="005B741B"/>
    <w:rsid w:val="005C169C"/>
    <w:rsid w:val="005C2098"/>
    <w:rsid w:val="005C45E0"/>
    <w:rsid w:val="005D262F"/>
    <w:rsid w:val="005D4241"/>
    <w:rsid w:val="005D4276"/>
    <w:rsid w:val="005D4B6E"/>
    <w:rsid w:val="005D5C55"/>
    <w:rsid w:val="005D7924"/>
    <w:rsid w:val="005E41DB"/>
    <w:rsid w:val="005E6E39"/>
    <w:rsid w:val="005E708A"/>
    <w:rsid w:val="005E7A2D"/>
    <w:rsid w:val="005F00BB"/>
    <w:rsid w:val="005F29B8"/>
    <w:rsid w:val="005F3A08"/>
    <w:rsid w:val="005F4469"/>
    <w:rsid w:val="00602105"/>
    <w:rsid w:val="006023C6"/>
    <w:rsid w:val="006033C4"/>
    <w:rsid w:val="0060386C"/>
    <w:rsid w:val="00605600"/>
    <w:rsid w:val="00605EB6"/>
    <w:rsid w:val="0060649E"/>
    <w:rsid w:val="00606A14"/>
    <w:rsid w:val="00607FFD"/>
    <w:rsid w:val="0061090D"/>
    <w:rsid w:val="00611F0A"/>
    <w:rsid w:val="00613E7B"/>
    <w:rsid w:val="006206EC"/>
    <w:rsid w:val="00621CB2"/>
    <w:rsid w:val="0062248F"/>
    <w:rsid w:val="0062310F"/>
    <w:rsid w:val="006231D4"/>
    <w:rsid w:val="00623662"/>
    <w:rsid w:val="006247ED"/>
    <w:rsid w:val="00627C4D"/>
    <w:rsid w:val="006305A1"/>
    <w:rsid w:val="0063086A"/>
    <w:rsid w:val="006340BC"/>
    <w:rsid w:val="00640F31"/>
    <w:rsid w:val="006448ED"/>
    <w:rsid w:val="006452DE"/>
    <w:rsid w:val="006470B4"/>
    <w:rsid w:val="006507C8"/>
    <w:rsid w:val="00653EBF"/>
    <w:rsid w:val="00654144"/>
    <w:rsid w:val="00654BA2"/>
    <w:rsid w:val="00655331"/>
    <w:rsid w:val="00656A9C"/>
    <w:rsid w:val="0066156E"/>
    <w:rsid w:val="00661701"/>
    <w:rsid w:val="006620EF"/>
    <w:rsid w:val="00664273"/>
    <w:rsid w:val="00667B7E"/>
    <w:rsid w:val="00670B9F"/>
    <w:rsid w:val="006715BF"/>
    <w:rsid w:val="006717DA"/>
    <w:rsid w:val="00674EC0"/>
    <w:rsid w:val="00676850"/>
    <w:rsid w:val="00680B97"/>
    <w:rsid w:val="006827BC"/>
    <w:rsid w:val="00683DFE"/>
    <w:rsid w:val="006863BC"/>
    <w:rsid w:val="00686AFE"/>
    <w:rsid w:val="00687629"/>
    <w:rsid w:val="006878BC"/>
    <w:rsid w:val="00690A0A"/>
    <w:rsid w:val="00691BD3"/>
    <w:rsid w:val="006950DF"/>
    <w:rsid w:val="00695ED8"/>
    <w:rsid w:val="006969CE"/>
    <w:rsid w:val="006A0A03"/>
    <w:rsid w:val="006A2CA1"/>
    <w:rsid w:val="006A457B"/>
    <w:rsid w:val="006B4A2F"/>
    <w:rsid w:val="006C188F"/>
    <w:rsid w:val="006C3CB2"/>
    <w:rsid w:val="006C547E"/>
    <w:rsid w:val="006C6921"/>
    <w:rsid w:val="006D0D42"/>
    <w:rsid w:val="006D256C"/>
    <w:rsid w:val="006D280A"/>
    <w:rsid w:val="006D2C3C"/>
    <w:rsid w:val="006D51AE"/>
    <w:rsid w:val="006D56D6"/>
    <w:rsid w:val="006D71F3"/>
    <w:rsid w:val="006D7D28"/>
    <w:rsid w:val="006E1AE4"/>
    <w:rsid w:val="006E7B93"/>
    <w:rsid w:val="006F04B9"/>
    <w:rsid w:val="006F2864"/>
    <w:rsid w:val="006F73D4"/>
    <w:rsid w:val="0070221C"/>
    <w:rsid w:val="00704230"/>
    <w:rsid w:val="007069B7"/>
    <w:rsid w:val="00707500"/>
    <w:rsid w:val="00711456"/>
    <w:rsid w:val="00711779"/>
    <w:rsid w:val="00713746"/>
    <w:rsid w:val="0071465E"/>
    <w:rsid w:val="0071645F"/>
    <w:rsid w:val="00721447"/>
    <w:rsid w:val="0072195E"/>
    <w:rsid w:val="00724FFE"/>
    <w:rsid w:val="007260BF"/>
    <w:rsid w:val="00727C26"/>
    <w:rsid w:val="0073156D"/>
    <w:rsid w:val="00733957"/>
    <w:rsid w:val="00733A9F"/>
    <w:rsid w:val="007353FF"/>
    <w:rsid w:val="0073750D"/>
    <w:rsid w:val="00737EFD"/>
    <w:rsid w:val="00740F8B"/>
    <w:rsid w:val="00741FEB"/>
    <w:rsid w:val="00742E7D"/>
    <w:rsid w:val="00750298"/>
    <w:rsid w:val="0075192C"/>
    <w:rsid w:val="00752592"/>
    <w:rsid w:val="00754393"/>
    <w:rsid w:val="00754E0D"/>
    <w:rsid w:val="007558A0"/>
    <w:rsid w:val="00755D3F"/>
    <w:rsid w:val="00760D7A"/>
    <w:rsid w:val="00762219"/>
    <w:rsid w:val="0076240F"/>
    <w:rsid w:val="00762810"/>
    <w:rsid w:val="00763696"/>
    <w:rsid w:val="00765951"/>
    <w:rsid w:val="007676CC"/>
    <w:rsid w:val="0077090E"/>
    <w:rsid w:val="00771556"/>
    <w:rsid w:val="00774CA1"/>
    <w:rsid w:val="007775FF"/>
    <w:rsid w:val="007778D5"/>
    <w:rsid w:val="0078149A"/>
    <w:rsid w:val="00783508"/>
    <w:rsid w:val="00783520"/>
    <w:rsid w:val="00783AA9"/>
    <w:rsid w:val="007849D8"/>
    <w:rsid w:val="0078750D"/>
    <w:rsid w:val="007917D9"/>
    <w:rsid w:val="00792A75"/>
    <w:rsid w:val="00792E8C"/>
    <w:rsid w:val="007933C8"/>
    <w:rsid w:val="00794C50"/>
    <w:rsid w:val="00795623"/>
    <w:rsid w:val="007A15BA"/>
    <w:rsid w:val="007A4132"/>
    <w:rsid w:val="007A4F05"/>
    <w:rsid w:val="007A539D"/>
    <w:rsid w:val="007A6766"/>
    <w:rsid w:val="007B00E2"/>
    <w:rsid w:val="007B130A"/>
    <w:rsid w:val="007B2169"/>
    <w:rsid w:val="007B25CA"/>
    <w:rsid w:val="007B35AC"/>
    <w:rsid w:val="007B62DE"/>
    <w:rsid w:val="007B64C9"/>
    <w:rsid w:val="007B6901"/>
    <w:rsid w:val="007B6C55"/>
    <w:rsid w:val="007B7A6F"/>
    <w:rsid w:val="007C0831"/>
    <w:rsid w:val="007C1647"/>
    <w:rsid w:val="007C6DAE"/>
    <w:rsid w:val="007C72BC"/>
    <w:rsid w:val="007C7D1F"/>
    <w:rsid w:val="007D0FED"/>
    <w:rsid w:val="007D15AE"/>
    <w:rsid w:val="007D24E6"/>
    <w:rsid w:val="007D28F2"/>
    <w:rsid w:val="007D2F36"/>
    <w:rsid w:val="007D46D9"/>
    <w:rsid w:val="007D4826"/>
    <w:rsid w:val="007E0C41"/>
    <w:rsid w:val="007E2B40"/>
    <w:rsid w:val="007E490C"/>
    <w:rsid w:val="007E590D"/>
    <w:rsid w:val="007E6941"/>
    <w:rsid w:val="007F1537"/>
    <w:rsid w:val="007F3107"/>
    <w:rsid w:val="007F34C5"/>
    <w:rsid w:val="007F4EC2"/>
    <w:rsid w:val="007F6DE3"/>
    <w:rsid w:val="007F6F0E"/>
    <w:rsid w:val="007F77CA"/>
    <w:rsid w:val="007F7F5B"/>
    <w:rsid w:val="008016EA"/>
    <w:rsid w:val="00801D1E"/>
    <w:rsid w:val="00802B56"/>
    <w:rsid w:val="00802CBB"/>
    <w:rsid w:val="00803847"/>
    <w:rsid w:val="00803D8E"/>
    <w:rsid w:val="00803E4D"/>
    <w:rsid w:val="00805D2A"/>
    <w:rsid w:val="00805F3F"/>
    <w:rsid w:val="00813866"/>
    <w:rsid w:val="008148D1"/>
    <w:rsid w:val="00815372"/>
    <w:rsid w:val="0081686B"/>
    <w:rsid w:val="008202FC"/>
    <w:rsid w:val="00823E5E"/>
    <w:rsid w:val="00826664"/>
    <w:rsid w:val="00826BDE"/>
    <w:rsid w:val="00830E5D"/>
    <w:rsid w:val="00831441"/>
    <w:rsid w:val="00831E03"/>
    <w:rsid w:val="00833B6E"/>
    <w:rsid w:val="00834451"/>
    <w:rsid w:val="0083615B"/>
    <w:rsid w:val="00840E29"/>
    <w:rsid w:val="008424C4"/>
    <w:rsid w:val="008428BA"/>
    <w:rsid w:val="0084556C"/>
    <w:rsid w:val="008459C0"/>
    <w:rsid w:val="008459C8"/>
    <w:rsid w:val="008464F8"/>
    <w:rsid w:val="00850B9E"/>
    <w:rsid w:val="008520CA"/>
    <w:rsid w:val="00855C34"/>
    <w:rsid w:val="00856390"/>
    <w:rsid w:val="00860C9A"/>
    <w:rsid w:val="00864E6C"/>
    <w:rsid w:val="00867524"/>
    <w:rsid w:val="00867534"/>
    <w:rsid w:val="008708AC"/>
    <w:rsid w:val="00871697"/>
    <w:rsid w:val="00873ED8"/>
    <w:rsid w:val="008741A3"/>
    <w:rsid w:val="00877485"/>
    <w:rsid w:val="00884BDD"/>
    <w:rsid w:val="0089390A"/>
    <w:rsid w:val="00894BE1"/>
    <w:rsid w:val="00895C80"/>
    <w:rsid w:val="008A4342"/>
    <w:rsid w:val="008A4A5F"/>
    <w:rsid w:val="008A65BE"/>
    <w:rsid w:val="008A6EC3"/>
    <w:rsid w:val="008B01A8"/>
    <w:rsid w:val="008B2FD7"/>
    <w:rsid w:val="008B72D0"/>
    <w:rsid w:val="008C02C5"/>
    <w:rsid w:val="008C0E9D"/>
    <w:rsid w:val="008C25A1"/>
    <w:rsid w:val="008C2FD0"/>
    <w:rsid w:val="008C5096"/>
    <w:rsid w:val="008C5FCA"/>
    <w:rsid w:val="008C6DA7"/>
    <w:rsid w:val="008D1FC8"/>
    <w:rsid w:val="008D408F"/>
    <w:rsid w:val="008D7601"/>
    <w:rsid w:val="008E1B0B"/>
    <w:rsid w:val="008E326C"/>
    <w:rsid w:val="008E5AC6"/>
    <w:rsid w:val="008E6D93"/>
    <w:rsid w:val="008F0F11"/>
    <w:rsid w:val="008F0FB1"/>
    <w:rsid w:val="008F160E"/>
    <w:rsid w:val="008F1BD6"/>
    <w:rsid w:val="008F5C53"/>
    <w:rsid w:val="00905D6A"/>
    <w:rsid w:val="00911103"/>
    <w:rsid w:val="0091178E"/>
    <w:rsid w:val="00913645"/>
    <w:rsid w:val="0091686A"/>
    <w:rsid w:val="00917024"/>
    <w:rsid w:val="009171C2"/>
    <w:rsid w:val="009173A0"/>
    <w:rsid w:val="00920CF1"/>
    <w:rsid w:val="009219ED"/>
    <w:rsid w:val="00921FB4"/>
    <w:rsid w:val="0092352B"/>
    <w:rsid w:val="0093248F"/>
    <w:rsid w:val="009359E2"/>
    <w:rsid w:val="0094006B"/>
    <w:rsid w:val="009410E0"/>
    <w:rsid w:val="00942BAA"/>
    <w:rsid w:val="009437C5"/>
    <w:rsid w:val="00947511"/>
    <w:rsid w:val="00947ACA"/>
    <w:rsid w:val="00950BB5"/>
    <w:rsid w:val="00952C49"/>
    <w:rsid w:val="00955F94"/>
    <w:rsid w:val="00956025"/>
    <w:rsid w:val="00956659"/>
    <w:rsid w:val="009566A0"/>
    <w:rsid w:val="009574DB"/>
    <w:rsid w:val="00960D77"/>
    <w:rsid w:val="009615C3"/>
    <w:rsid w:val="00962326"/>
    <w:rsid w:val="0096490C"/>
    <w:rsid w:val="00966EEF"/>
    <w:rsid w:val="00967AE9"/>
    <w:rsid w:val="00971743"/>
    <w:rsid w:val="00972581"/>
    <w:rsid w:val="009734E0"/>
    <w:rsid w:val="009757E5"/>
    <w:rsid w:val="00977F0B"/>
    <w:rsid w:val="0098080F"/>
    <w:rsid w:val="00980DA4"/>
    <w:rsid w:val="00981C08"/>
    <w:rsid w:val="00981C3C"/>
    <w:rsid w:val="00984015"/>
    <w:rsid w:val="00987258"/>
    <w:rsid w:val="0099159E"/>
    <w:rsid w:val="00992FE3"/>
    <w:rsid w:val="009975F9"/>
    <w:rsid w:val="009A032A"/>
    <w:rsid w:val="009A1001"/>
    <w:rsid w:val="009A2A1F"/>
    <w:rsid w:val="009A535E"/>
    <w:rsid w:val="009A64BC"/>
    <w:rsid w:val="009B04CC"/>
    <w:rsid w:val="009B08DB"/>
    <w:rsid w:val="009B5FD8"/>
    <w:rsid w:val="009B6FE9"/>
    <w:rsid w:val="009C5027"/>
    <w:rsid w:val="009C5287"/>
    <w:rsid w:val="009C530D"/>
    <w:rsid w:val="009C6A20"/>
    <w:rsid w:val="009D1F59"/>
    <w:rsid w:val="009D30C4"/>
    <w:rsid w:val="009E151F"/>
    <w:rsid w:val="009E1A87"/>
    <w:rsid w:val="009E3C3F"/>
    <w:rsid w:val="009E424F"/>
    <w:rsid w:val="009E464E"/>
    <w:rsid w:val="009E5D19"/>
    <w:rsid w:val="009E669B"/>
    <w:rsid w:val="009E6A66"/>
    <w:rsid w:val="009E7AF8"/>
    <w:rsid w:val="009F76AD"/>
    <w:rsid w:val="00A0033C"/>
    <w:rsid w:val="00A03CCB"/>
    <w:rsid w:val="00A03E05"/>
    <w:rsid w:val="00A03F45"/>
    <w:rsid w:val="00A06A7D"/>
    <w:rsid w:val="00A07B78"/>
    <w:rsid w:val="00A1102B"/>
    <w:rsid w:val="00A1572B"/>
    <w:rsid w:val="00A2091B"/>
    <w:rsid w:val="00A21AE6"/>
    <w:rsid w:val="00A21DE3"/>
    <w:rsid w:val="00A244F8"/>
    <w:rsid w:val="00A269F8"/>
    <w:rsid w:val="00A30818"/>
    <w:rsid w:val="00A30CD9"/>
    <w:rsid w:val="00A32C16"/>
    <w:rsid w:val="00A35E49"/>
    <w:rsid w:val="00A36326"/>
    <w:rsid w:val="00A3748E"/>
    <w:rsid w:val="00A40067"/>
    <w:rsid w:val="00A415C5"/>
    <w:rsid w:val="00A4306E"/>
    <w:rsid w:val="00A4388D"/>
    <w:rsid w:val="00A44C9A"/>
    <w:rsid w:val="00A44EE2"/>
    <w:rsid w:val="00A46649"/>
    <w:rsid w:val="00A507D9"/>
    <w:rsid w:val="00A517AD"/>
    <w:rsid w:val="00A54BF6"/>
    <w:rsid w:val="00A569EA"/>
    <w:rsid w:val="00A56CC7"/>
    <w:rsid w:val="00A60821"/>
    <w:rsid w:val="00A62E24"/>
    <w:rsid w:val="00A70686"/>
    <w:rsid w:val="00A7380D"/>
    <w:rsid w:val="00A75D5D"/>
    <w:rsid w:val="00A76FFB"/>
    <w:rsid w:val="00A83869"/>
    <w:rsid w:val="00A83E7E"/>
    <w:rsid w:val="00A85404"/>
    <w:rsid w:val="00A90CE1"/>
    <w:rsid w:val="00A91B3F"/>
    <w:rsid w:val="00A931C3"/>
    <w:rsid w:val="00A935CF"/>
    <w:rsid w:val="00A93733"/>
    <w:rsid w:val="00A937DC"/>
    <w:rsid w:val="00AA1156"/>
    <w:rsid w:val="00AA14EA"/>
    <w:rsid w:val="00AA1715"/>
    <w:rsid w:val="00AA1930"/>
    <w:rsid w:val="00AA29C5"/>
    <w:rsid w:val="00AA3276"/>
    <w:rsid w:val="00AA50DA"/>
    <w:rsid w:val="00AB320F"/>
    <w:rsid w:val="00AB6047"/>
    <w:rsid w:val="00AC09D8"/>
    <w:rsid w:val="00AC1176"/>
    <w:rsid w:val="00AC4564"/>
    <w:rsid w:val="00AC4C71"/>
    <w:rsid w:val="00AC4DED"/>
    <w:rsid w:val="00AC53DE"/>
    <w:rsid w:val="00AC7372"/>
    <w:rsid w:val="00AC7FC5"/>
    <w:rsid w:val="00AD1B9B"/>
    <w:rsid w:val="00AD2243"/>
    <w:rsid w:val="00AD31D5"/>
    <w:rsid w:val="00AD418C"/>
    <w:rsid w:val="00AD5494"/>
    <w:rsid w:val="00AE0BD2"/>
    <w:rsid w:val="00AE2B5C"/>
    <w:rsid w:val="00AE47DA"/>
    <w:rsid w:val="00AE7DC8"/>
    <w:rsid w:val="00AF027B"/>
    <w:rsid w:val="00AF0DFD"/>
    <w:rsid w:val="00AF203C"/>
    <w:rsid w:val="00AF3FA6"/>
    <w:rsid w:val="00AF4A4D"/>
    <w:rsid w:val="00AF4C5B"/>
    <w:rsid w:val="00AF577B"/>
    <w:rsid w:val="00AF5899"/>
    <w:rsid w:val="00AF6582"/>
    <w:rsid w:val="00AF681D"/>
    <w:rsid w:val="00AF7058"/>
    <w:rsid w:val="00AF79A7"/>
    <w:rsid w:val="00B002BF"/>
    <w:rsid w:val="00B0054C"/>
    <w:rsid w:val="00B01236"/>
    <w:rsid w:val="00B03E75"/>
    <w:rsid w:val="00B04D69"/>
    <w:rsid w:val="00B07EB9"/>
    <w:rsid w:val="00B07F9E"/>
    <w:rsid w:val="00B10026"/>
    <w:rsid w:val="00B13564"/>
    <w:rsid w:val="00B139E3"/>
    <w:rsid w:val="00B13D8E"/>
    <w:rsid w:val="00B15AE4"/>
    <w:rsid w:val="00B15D7C"/>
    <w:rsid w:val="00B16C20"/>
    <w:rsid w:val="00B16DFE"/>
    <w:rsid w:val="00B17705"/>
    <w:rsid w:val="00B20F1A"/>
    <w:rsid w:val="00B22545"/>
    <w:rsid w:val="00B30C6E"/>
    <w:rsid w:val="00B322CC"/>
    <w:rsid w:val="00B36810"/>
    <w:rsid w:val="00B41D16"/>
    <w:rsid w:val="00B422D7"/>
    <w:rsid w:val="00B430F1"/>
    <w:rsid w:val="00B447D8"/>
    <w:rsid w:val="00B454E4"/>
    <w:rsid w:val="00B45F7A"/>
    <w:rsid w:val="00B50FF2"/>
    <w:rsid w:val="00B519E6"/>
    <w:rsid w:val="00B52A74"/>
    <w:rsid w:val="00B53D64"/>
    <w:rsid w:val="00B56814"/>
    <w:rsid w:val="00B57521"/>
    <w:rsid w:val="00B6090E"/>
    <w:rsid w:val="00B63BF4"/>
    <w:rsid w:val="00B648DA"/>
    <w:rsid w:val="00B65014"/>
    <w:rsid w:val="00B67B44"/>
    <w:rsid w:val="00B714C0"/>
    <w:rsid w:val="00B7218B"/>
    <w:rsid w:val="00B735D5"/>
    <w:rsid w:val="00B74A6C"/>
    <w:rsid w:val="00B8025A"/>
    <w:rsid w:val="00B805B7"/>
    <w:rsid w:val="00B80AE9"/>
    <w:rsid w:val="00B820CF"/>
    <w:rsid w:val="00B82926"/>
    <w:rsid w:val="00B836A7"/>
    <w:rsid w:val="00B84651"/>
    <w:rsid w:val="00B84A14"/>
    <w:rsid w:val="00B85B86"/>
    <w:rsid w:val="00B8624D"/>
    <w:rsid w:val="00B86B5B"/>
    <w:rsid w:val="00B93AD9"/>
    <w:rsid w:val="00B95457"/>
    <w:rsid w:val="00B95BA1"/>
    <w:rsid w:val="00B96733"/>
    <w:rsid w:val="00B97928"/>
    <w:rsid w:val="00B979C8"/>
    <w:rsid w:val="00BA01EA"/>
    <w:rsid w:val="00BA15B5"/>
    <w:rsid w:val="00BA2FCA"/>
    <w:rsid w:val="00BA3739"/>
    <w:rsid w:val="00BA565A"/>
    <w:rsid w:val="00BA695A"/>
    <w:rsid w:val="00BA7681"/>
    <w:rsid w:val="00BB54EF"/>
    <w:rsid w:val="00BB74A2"/>
    <w:rsid w:val="00BC1E36"/>
    <w:rsid w:val="00BC2D66"/>
    <w:rsid w:val="00BC5705"/>
    <w:rsid w:val="00BC63E9"/>
    <w:rsid w:val="00BC7B93"/>
    <w:rsid w:val="00BD0ED6"/>
    <w:rsid w:val="00BD41A5"/>
    <w:rsid w:val="00BD4DB9"/>
    <w:rsid w:val="00BD501C"/>
    <w:rsid w:val="00BD666F"/>
    <w:rsid w:val="00BE1EC7"/>
    <w:rsid w:val="00BE4971"/>
    <w:rsid w:val="00BE73F9"/>
    <w:rsid w:val="00BF08EB"/>
    <w:rsid w:val="00BF167A"/>
    <w:rsid w:val="00BF1ECF"/>
    <w:rsid w:val="00BF217B"/>
    <w:rsid w:val="00BF46F5"/>
    <w:rsid w:val="00BF4F89"/>
    <w:rsid w:val="00C00DFB"/>
    <w:rsid w:val="00C00FAB"/>
    <w:rsid w:val="00C02744"/>
    <w:rsid w:val="00C0378B"/>
    <w:rsid w:val="00C04E4B"/>
    <w:rsid w:val="00C055CF"/>
    <w:rsid w:val="00C0757E"/>
    <w:rsid w:val="00C159F8"/>
    <w:rsid w:val="00C15D16"/>
    <w:rsid w:val="00C20527"/>
    <w:rsid w:val="00C24073"/>
    <w:rsid w:val="00C31A7F"/>
    <w:rsid w:val="00C345A6"/>
    <w:rsid w:val="00C348A7"/>
    <w:rsid w:val="00C368A0"/>
    <w:rsid w:val="00C406A7"/>
    <w:rsid w:val="00C40CDD"/>
    <w:rsid w:val="00C40FA9"/>
    <w:rsid w:val="00C41630"/>
    <w:rsid w:val="00C42081"/>
    <w:rsid w:val="00C43B42"/>
    <w:rsid w:val="00C45108"/>
    <w:rsid w:val="00C46703"/>
    <w:rsid w:val="00C474A0"/>
    <w:rsid w:val="00C50BF5"/>
    <w:rsid w:val="00C550F5"/>
    <w:rsid w:val="00C57913"/>
    <w:rsid w:val="00C604F8"/>
    <w:rsid w:val="00C64B39"/>
    <w:rsid w:val="00C650C6"/>
    <w:rsid w:val="00C675F3"/>
    <w:rsid w:val="00C705A0"/>
    <w:rsid w:val="00C708D4"/>
    <w:rsid w:val="00C71060"/>
    <w:rsid w:val="00C720FC"/>
    <w:rsid w:val="00C72F4B"/>
    <w:rsid w:val="00C73456"/>
    <w:rsid w:val="00C750DB"/>
    <w:rsid w:val="00C80823"/>
    <w:rsid w:val="00C84BA8"/>
    <w:rsid w:val="00C84F79"/>
    <w:rsid w:val="00C8580E"/>
    <w:rsid w:val="00C86F6F"/>
    <w:rsid w:val="00C92F5F"/>
    <w:rsid w:val="00C9665B"/>
    <w:rsid w:val="00CA2952"/>
    <w:rsid w:val="00CA2E0C"/>
    <w:rsid w:val="00CA52EC"/>
    <w:rsid w:val="00CB0A1C"/>
    <w:rsid w:val="00CB1EB4"/>
    <w:rsid w:val="00CB25CB"/>
    <w:rsid w:val="00CC27DC"/>
    <w:rsid w:val="00CC30FE"/>
    <w:rsid w:val="00CC356D"/>
    <w:rsid w:val="00CC4ABE"/>
    <w:rsid w:val="00CC5AC7"/>
    <w:rsid w:val="00CC7449"/>
    <w:rsid w:val="00CD1323"/>
    <w:rsid w:val="00CD1407"/>
    <w:rsid w:val="00CD412F"/>
    <w:rsid w:val="00CD5604"/>
    <w:rsid w:val="00CE0A5D"/>
    <w:rsid w:val="00CE401A"/>
    <w:rsid w:val="00CE60D0"/>
    <w:rsid w:val="00CE629B"/>
    <w:rsid w:val="00CE6327"/>
    <w:rsid w:val="00CE719B"/>
    <w:rsid w:val="00CF29AE"/>
    <w:rsid w:val="00CF31A7"/>
    <w:rsid w:val="00CF3D0E"/>
    <w:rsid w:val="00CF437B"/>
    <w:rsid w:val="00CF51C3"/>
    <w:rsid w:val="00D05BD3"/>
    <w:rsid w:val="00D1465F"/>
    <w:rsid w:val="00D14BE1"/>
    <w:rsid w:val="00D20AA6"/>
    <w:rsid w:val="00D354AE"/>
    <w:rsid w:val="00D3604C"/>
    <w:rsid w:val="00D43DB4"/>
    <w:rsid w:val="00D461B9"/>
    <w:rsid w:val="00D46563"/>
    <w:rsid w:val="00D46C20"/>
    <w:rsid w:val="00D50577"/>
    <w:rsid w:val="00D52C10"/>
    <w:rsid w:val="00D542EB"/>
    <w:rsid w:val="00D55714"/>
    <w:rsid w:val="00D562FF"/>
    <w:rsid w:val="00D56B23"/>
    <w:rsid w:val="00D57950"/>
    <w:rsid w:val="00D57C46"/>
    <w:rsid w:val="00D60040"/>
    <w:rsid w:val="00D600F5"/>
    <w:rsid w:val="00D61272"/>
    <w:rsid w:val="00D64014"/>
    <w:rsid w:val="00D65054"/>
    <w:rsid w:val="00D65D6A"/>
    <w:rsid w:val="00D725DB"/>
    <w:rsid w:val="00D74494"/>
    <w:rsid w:val="00D87DDB"/>
    <w:rsid w:val="00D90D21"/>
    <w:rsid w:val="00D916A1"/>
    <w:rsid w:val="00D93E44"/>
    <w:rsid w:val="00D9438C"/>
    <w:rsid w:val="00D97943"/>
    <w:rsid w:val="00DA4921"/>
    <w:rsid w:val="00DA4C4F"/>
    <w:rsid w:val="00DA5FD6"/>
    <w:rsid w:val="00DA7E21"/>
    <w:rsid w:val="00DB016D"/>
    <w:rsid w:val="00DB1913"/>
    <w:rsid w:val="00DB2122"/>
    <w:rsid w:val="00DB2F2D"/>
    <w:rsid w:val="00DB4864"/>
    <w:rsid w:val="00DB5462"/>
    <w:rsid w:val="00DB6CF6"/>
    <w:rsid w:val="00DC0CA4"/>
    <w:rsid w:val="00DC2354"/>
    <w:rsid w:val="00DC43AC"/>
    <w:rsid w:val="00DC560F"/>
    <w:rsid w:val="00DD0BEA"/>
    <w:rsid w:val="00DD282B"/>
    <w:rsid w:val="00DD2B64"/>
    <w:rsid w:val="00DD2C90"/>
    <w:rsid w:val="00DD2DE6"/>
    <w:rsid w:val="00DD36CF"/>
    <w:rsid w:val="00DD3E33"/>
    <w:rsid w:val="00DE11DC"/>
    <w:rsid w:val="00DE614D"/>
    <w:rsid w:val="00DF0168"/>
    <w:rsid w:val="00DF05D8"/>
    <w:rsid w:val="00DF324D"/>
    <w:rsid w:val="00DF35A9"/>
    <w:rsid w:val="00DF3E33"/>
    <w:rsid w:val="00DF5244"/>
    <w:rsid w:val="00E0273F"/>
    <w:rsid w:val="00E04DDE"/>
    <w:rsid w:val="00E06AEA"/>
    <w:rsid w:val="00E10134"/>
    <w:rsid w:val="00E10FBF"/>
    <w:rsid w:val="00E13EEC"/>
    <w:rsid w:val="00E14E05"/>
    <w:rsid w:val="00E20B3C"/>
    <w:rsid w:val="00E216C5"/>
    <w:rsid w:val="00E222D9"/>
    <w:rsid w:val="00E23AE8"/>
    <w:rsid w:val="00E243D7"/>
    <w:rsid w:val="00E24711"/>
    <w:rsid w:val="00E273EF"/>
    <w:rsid w:val="00E27671"/>
    <w:rsid w:val="00E30567"/>
    <w:rsid w:val="00E31865"/>
    <w:rsid w:val="00E31B64"/>
    <w:rsid w:val="00E34634"/>
    <w:rsid w:val="00E35E30"/>
    <w:rsid w:val="00E37629"/>
    <w:rsid w:val="00E405C7"/>
    <w:rsid w:val="00E40DA2"/>
    <w:rsid w:val="00E418A5"/>
    <w:rsid w:val="00E50E1F"/>
    <w:rsid w:val="00E54034"/>
    <w:rsid w:val="00E555B7"/>
    <w:rsid w:val="00E56103"/>
    <w:rsid w:val="00E60910"/>
    <w:rsid w:val="00E60B40"/>
    <w:rsid w:val="00E63194"/>
    <w:rsid w:val="00E64696"/>
    <w:rsid w:val="00E64D23"/>
    <w:rsid w:val="00E65928"/>
    <w:rsid w:val="00E65DB2"/>
    <w:rsid w:val="00E67EA2"/>
    <w:rsid w:val="00E70B02"/>
    <w:rsid w:val="00E717A2"/>
    <w:rsid w:val="00E71B45"/>
    <w:rsid w:val="00E7572B"/>
    <w:rsid w:val="00E75778"/>
    <w:rsid w:val="00E75B4C"/>
    <w:rsid w:val="00E76844"/>
    <w:rsid w:val="00E801F0"/>
    <w:rsid w:val="00E80F99"/>
    <w:rsid w:val="00E858D6"/>
    <w:rsid w:val="00E8633C"/>
    <w:rsid w:val="00E8721E"/>
    <w:rsid w:val="00E93ADB"/>
    <w:rsid w:val="00E95AF6"/>
    <w:rsid w:val="00EA1693"/>
    <w:rsid w:val="00EA3469"/>
    <w:rsid w:val="00EA421E"/>
    <w:rsid w:val="00EA53E6"/>
    <w:rsid w:val="00EB0E19"/>
    <w:rsid w:val="00EB1105"/>
    <w:rsid w:val="00EB44C3"/>
    <w:rsid w:val="00EB624F"/>
    <w:rsid w:val="00EB78C9"/>
    <w:rsid w:val="00EC09A8"/>
    <w:rsid w:val="00EC39A5"/>
    <w:rsid w:val="00EC4BFD"/>
    <w:rsid w:val="00EC5844"/>
    <w:rsid w:val="00EC6283"/>
    <w:rsid w:val="00EC70B7"/>
    <w:rsid w:val="00EC7C33"/>
    <w:rsid w:val="00ED2978"/>
    <w:rsid w:val="00ED619A"/>
    <w:rsid w:val="00ED657F"/>
    <w:rsid w:val="00ED749D"/>
    <w:rsid w:val="00EE05EE"/>
    <w:rsid w:val="00EE470C"/>
    <w:rsid w:val="00EF30D4"/>
    <w:rsid w:val="00EF3B9C"/>
    <w:rsid w:val="00EF4826"/>
    <w:rsid w:val="00F0030A"/>
    <w:rsid w:val="00F01563"/>
    <w:rsid w:val="00F024F6"/>
    <w:rsid w:val="00F05A92"/>
    <w:rsid w:val="00F11EF5"/>
    <w:rsid w:val="00F130A9"/>
    <w:rsid w:val="00F14772"/>
    <w:rsid w:val="00F156A8"/>
    <w:rsid w:val="00F206BB"/>
    <w:rsid w:val="00F20A59"/>
    <w:rsid w:val="00F20B59"/>
    <w:rsid w:val="00F22141"/>
    <w:rsid w:val="00F22B81"/>
    <w:rsid w:val="00F23A1F"/>
    <w:rsid w:val="00F243D3"/>
    <w:rsid w:val="00F24B82"/>
    <w:rsid w:val="00F26E41"/>
    <w:rsid w:val="00F271B5"/>
    <w:rsid w:val="00F27BE6"/>
    <w:rsid w:val="00F30834"/>
    <w:rsid w:val="00F34098"/>
    <w:rsid w:val="00F3622B"/>
    <w:rsid w:val="00F41F64"/>
    <w:rsid w:val="00F43247"/>
    <w:rsid w:val="00F455D1"/>
    <w:rsid w:val="00F46671"/>
    <w:rsid w:val="00F47637"/>
    <w:rsid w:val="00F556F6"/>
    <w:rsid w:val="00F557E0"/>
    <w:rsid w:val="00F61B76"/>
    <w:rsid w:val="00F65874"/>
    <w:rsid w:val="00F66151"/>
    <w:rsid w:val="00F674D7"/>
    <w:rsid w:val="00F71F7A"/>
    <w:rsid w:val="00F73D46"/>
    <w:rsid w:val="00F74FB5"/>
    <w:rsid w:val="00F756BC"/>
    <w:rsid w:val="00F776C8"/>
    <w:rsid w:val="00F80796"/>
    <w:rsid w:val="00F810EC"/>
    <w:rsid w:val="00F84A08"/>
    <w:rsid w:val="00F85D27"/>
    <w:rsid w:val="00F86A25"/>
    <w:rsid w:val="00F86DCD"/>
    <w:rsid w:val="00F918C1"/>
    <w:rsid w:val="00F92CCE"/>
    <w:rsid w:val="00F94FCC"/>
    <w:rsid w:val="00FA2FF8"/>
    <w:rsid w:val="00FA6FAD"/>
    <w:rsid w:val="00FB0668"/>
    <w:rsid w:val="00FB0C72"/>
    <w:rsid w:val="00FB0F73"/>
    <w:rsid w:val="00FB22A8"/>
    <w:rsid w:val="00FB2787"/>
    <w:rsid w:val="00FB389A"/>
    <w:rsid w:val="00FB5C67"/>
    <w:rsid w:val="00FC1D97"/>
    <w:rsid w:val="00FC297E"/>
    <w:rsid w:val="00FC2E46"/>
    <w:rsid w:val="00FC4345"/>
    <w:rsid w:val="00FD2047"/>
    <w:rsid w:val="00FD3C00"/>
    <w:rsid w:val="00FD4B28"/>
    <w:rsid w:val="00FD5726"/>
    <w:rsid w:val="00FD6804"/>
    <w:rsid w:val="00FD72A9"/>
    <w:rsid w:val="00FD7818"/>
    <w:rsid w:val="00FE0B94"/>
    <w:rsid w:val="00FE1935"/>
    <w:rsid w:val="00FE20F4"/>
    <w:rsid w:val="00FE4618"/>
    <w:rsid w:val="00FE51FE"/>
    <w:rsid w:val="00FE542D"/>
    <w:rsid w:val="00FE6669"/>
    <w:rsid w:val="00FE669E"/>
    <w:rsid w:val="00FE68B2"/>
    <w:rsid w:val="00FE7E03"/>
    <w:rsid w:val="00FF173D"/>
    <w:rsid w:val="00FF1746"/>
    <w:rsid w:val="00FF242D"/>
    <w:rsid w:val="00FF32E2"/>
    <w:rsid w:val="00FF3527"/>
    <w:rsid w:val="00FF3DD4"/>
    <w:rsid w:val="052676B9"/>
    <w:rsid w:val="07B471FE"/>
    <w:rsid w:val="0AAA2B3A"/>
    <w:rsid w:val="0F276507"/>
    <w:rsid w:val="11553800"/>
    <w:rsid w:val="122B4561"/>
    <w:rsid w:val="1672275E"/>
    <w:rsid w:val="1A710F7F"/>
    <w:rsid w:val="1CD11D45"/>
    <w:rsid w:val="1D011660"/>
    <w:rsid w:val="1F6A2B6C"/>
    <w:rsid w:val="20857532"/>
    <w:rsid w:val="22280ABD"/>
    <w:rsid w:val="268B0E99"/>
    <w:rsid w:val="26BF6919"/>
    <w:rsid w:val="28425D08"/>
    <w:rsid w:val="294E6EB1"/>
    <w:rsid w:val="2ED31DB0"/>
    <w:rsid w:val="30F46739"/>
    <w:rsid w:val="328E2276"/>
    <w:rsid w:val="34F1314B"/>
    <w:rsid w:val="352549E8"/>
    <w:rsid w:val="35D303E0"/>
    <w:rsid w:val="365A6C3E"/>
    <w:rsid w:val="371A4A20"/>
    <w:rsid w:val="3ADE3FB6"/>
    <w:rsid w:val="418227BA"/>
    <w:rsid w:val="42577ABB"/>
    <w:rsid w:val="42CB3072"/>
    <w:rsid w:val="42D45873"/>
    <w:rsid w:val="43B517B0"/>
    <w:rsid w:val="43D67F21"/>
    <w:rsid w:val="48334CC8"/>
    <w:rsid w:val="49183881"/>
    <w:rsid w:val="4A125090"/>
    <w:rsid w:val="525C2221"/>
    <w:rsid w:val="56E878F7"/>
    <w:rsid w:val="59CA6DFB"/>
    <w:rsid w:val="5DB9023F"/>
    <w:rsid w:val="678C42CF"/>
    <w:rsid w:val="6A5F202E"/>
    <w:rsid w:val="7237760A"/>
    <w:rsid w:val="73661E78"/>
    <w:rsid w:val="73E21E46"/>
    <w:rsid w:val="76A96C4B"/>
    <w:rsid w:val="79A14081"/>
    <w:rsid w:val="7AF42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qFormat="1"/>
    <w:lsdException w:name="toc 2" w:semiHidden="0" w:uiPriority="39" w:qFormat="1"/>
    <w:lsdException w:name="toc 3" w:uiPriority="0" w:qFormat="1"/>
    <w:lsdException w:name="toc 4" w:uiPriority="0" w:qFormat="1"/>
    <w:lsdException w:name="toc 5" w:uiPriority="0" w:qFormat="1"/>
    <w:lsdException w:name="toc 6" w:uiPriority="0"/>
    <w:lsdException w:name="toc 7" w:uiPriority="0" w:qFormat="1"/>
    <w:lsdException w:name="toc 8" w:uiPriority="0" w:qFormat="1"/>
    <w:lsdException w:name="toc 9" w:uiPriority="0" w:qFormat="1"/>
    <w:lsdException w:name="Normal Indent" w:uiPriority="0" w:qFormat="1"/>
    <w:lsdException w:name="footnote text" w:unhideWhenUsed="1"/>
    <w:lsdException w:name="annotation text" w:uiPriority="0" w:qFormat="1"/>
    <w:lsdException w:name="header" w:semiHidden="0" w:qFormat="1"/>
    <w:lsdException w:name="footer" w:semiHidden="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qFormat="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qFormat="1"/>
    <w:lsdException w:name="Body Text First Indent" w:uiPriority="0" w:qFormat="1"/>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lsdException w:name="Block Text" w:unhideWhenUsed="1"/>
    <w:lsdException w:name="Hyperlink" w:semiHidden="0" w:qFormat="1"/>
    <w:lsdException w:name="FollowedHyperlink" w:uiPriority="0" w:qFormat="1"/>
    <w:lsdException w:name="Strong" w:semiHidden="0" w:uiPriority="22" w:qFormat="1"/>
    <w:lsdException w:name="Emphasis" w:semiHidden="0" w:uiPriority="20" w:qFormat="1"/>
    <w:lsdException w:name="Document Map" w:uiPriority="0" w:qFormat="1"/>
    <w:lsdException w:name="Plain Text" w:uiPriority="0" w:qFormat="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qFormat/>
    <w:pPr>
      <w:shd w:val="clear" w:color="auto" w:fill="000080"/>
    </w:pPr>
  </w:style>
  <w:style w:type="paragraph" w:styleId="a5">
    <w:name w:val="annotation text"/>
    <w:basedOn w:val="a"/>
    <w:semiHidden/>
    <w:qFormat/>
  </w:style>
  <w:style w:type="paragraph" w:styleId="a6">
    <w:name w:val="Body Text"/>
    <w:basedOn w:val="a"/>
    <w:semiHidden/>
    <w:rPr>
      <w:rFonts w:eastAsia="隶书"/>
      <w:sz w:val="52"/>
    </w:rPr>
  </w:style>
  <w:style w:type="paragraph" w:styleId="a7">
    <w:name w:val="Body Text Indent"/>
    <w:basedOn w:val="a"/>
    <w:semiHidden/>
    <w:qFormat/>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qFormat/>
    <w:pPr>
      <w:ind w:leftChars="400" w:left="840"/>
    </w:pPr>
  </w:style>
  <w:style w:type="paragraph" w:styleId="a8">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9">
    <w:name w:val="Date"/>
    <w:basedOn w:val="a"/>
    <w:next w:val="a"/>
    <w:semiHidden/>
    <w:qFormat/>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a">
    <w:name w:val="Balloon Text"/>
    <w:basedOn w:val="a"/>
    <w:semiHidden/>
    <w:qFormat/>
    <w:rPr>
      <w:sz w:val="18"/>
      <w:szCs w:val="18"/>
    </w:rPr>
  </w:style>
  <w:style w:type="paragraph" w:styleId="ab">
    <w:name w:val="footer"/>
    <w:basedOn w:val="a"/>
    <w:link w:val="Char0"/>
    <w:uiPriority w:val="99"/>
    <w:qFormat/>
    <w:pPr>
      <w:tabs>
        <w:tab w:val="center" w:pos="4153"/>
        <w:tab w:val="right" w:pos="8306"/>
      </w:tabs>
      <w:spacing w:line="240" w:lineRule="atLeast"/>
    </w:pPr>
    <w:rPr>
      <w:sz w:val="18"/>
    </w:rPr>
  </w:style>
  <w:style w:type="paragraph" w:styleId="ac">
    <w:name w:val="header"/>
    <w:basedOn w:val="a"/>
    <w:link w:val="Char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500" w:lineRule="exact"/>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style>
  <w:style w:type="paragraph" w:styleId="9">
    <w:name w:val="toc 9"/>
    <w:basedOn w:val="a"/>
    <w:next w:val="a"/>
    <w:semiHidden/>
    <w:qFormat/>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d">
    <w:name w:val="Normal (Web)"/>
    <w:basedOn w:val="a"/>
    <w:uiPriority w:val="99"/>
    <w:semiHidden/>
    <w:qFormat/>
    <w:pPr>
      <w:widowControl/>
      <w:adjustRightInd/>
      <w:spacing w:line="360" w:lineRule="auto"/>
      <w:textAlignment w:val="auto"/>
    </w:pPr>
    <w:rPr>
      <w:rFonts w:ascii="宋体" w:hAnsi="宋体"/>
      <w:sz w:val="18"/>
      <w:szCs w:val="18"/>
    </w:rPr>
  </w:style>
  <w:style w:type="paragraph" w:styleId="ae">
    <w:name w:val="annotation subject"/>
    <w:basedOn w:val="a5"/>
    <w:next w:val="a5"/>
    <w:semiHidden/>
    <w:qFormat/>
    <w:rPr>
      <w:b/>
      <w:bCs/>
    </w:rPr>
  </w:style>
  <w:style w:type="paragraph" w:styleId="af">
    <w:name w:val="Body Text First Indent"/>
    <w:basedOn w:val="a6"/>
    <w:semiHidden/>
    <w:qFormat/>
    <w:pPr>
      <w:adjustRightInd/>
      <w:spacing w:after="120" w:line="240" w:lineRule="auto"/>
      <w:ind w:firstLine="420"/>
      <w:jc w:val="both"/>
      <w:textAlignment w:val="auto"/>
    </w:pPr>
    <w:rPr>
      <w:rFonts w:eastAsia="宋体"/>
      <w:kern w:val="2"/>
      <w:sz w:val="21"/>
    </w:rPr>
  </w:style>
  <w:style w:type="table" w:styleId="af0">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qFormat/>
  </w:style>
  <w:style w:type="character" w:styleId="af3">
    <w:name w:val="FollowedHyperlink"/>
    <w:semiHidden/>
    <w:qFormat/>
    <w:rPr>
      <w:color w:val="800080"/>
      <w:u w:val="single"/>
    </w:rPr>
  </w:style>
  <w:style w:type="character" w:styleId="af4">
    <w:name w:val="Hyperlink"/>
    <w:uiPriority w:val="99"/>
    <w:qFormat/>
    <w:rPr>
      <w:color w:val="0000FF"/>
      <w:u w:val="single"/>
    </w:rPr>
  </w:style>
  <w:style w:type="character" w:styleId="af5">
    <w:name w:val="annotation reference"/>
    <w:semiHidden/>
    <w:qFormat/>
    <w:rPr>
      <w:sz w:val="21"/>
      <w:szCs w:val="21"/>
    </w:rPr>
  </w:style>
  <w:style w:type="character" w:customStyle="1" w:styleId="Char">
    <w:name w:val="文档结构图 Char"/>
    <w:link w:val="a4"/>
    <w:semiHidden/>
    <w:qFormat/>
    <w:rPr>
      <w:sz w:val="24"/>
      <w:shd w:val="clear" w:color="auto" w:fill="000080"/>
    </w:rPr>
  </w:style>
  <w:style w:type="character" w:customStyle="1" w:styleId="Char0">
    <w:name w:val="页脚 Char"/>
    <w:link w:val="ab"/>
    <w:uiPriority w:val="99"/>
    <w:rPr>
      <w:sz w:val="18"/>
    </w:rPr>
  </w:style>
  <w:style w:type="character" w:customStyle="1" w:styleId="Char1">
    <w:name w:val="页眉 Char"/>
    <w:link w:val="ac"/>
    <w:uiPriority w:val="99"/>
    <w:rPr>
      <w:sz w:val="18"/>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character" w:customStyle="1" w:styleId="unnamed11">
    <w:name w:val="unnamed11"/>
    <w:qFormat/>
    <w:rPr>
      <w:rFonts w:ascii="宋体" w:eastAsia="宋体" w:hAnsi="宋体" w:hint="eastAsia"/>
      <w:color w:val="000000"/>
      <w:sz w:val="18"/>
      <w:szCs w:val="18"/>
      <w:u w:val="none"/>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qFormat/>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character" w:customStyle="1" w:styleId="nr1">
    <w:name w:val="nr1"/>
    <w:qFormat/>
    <w:rPr>
      <w:rFonts w:ascii="楷体_GB2312" w:eastAsia="楷体_GB2312" w:hint="eastAsia"/>
      <w:color w:val="000000"/>
      <w:sz w:val="24"/>
      <w:szCs w:val="24"/>
    </w:rPr>
  </w:style>
  <w:style w:type="character" w:customStyle="1" w:styleId="5Char">
    <w:name w:val="标题 5 Char"/>
    <w:qFormat/>
    <w:rPr>
      <w:rFonts w:ascii="楷体_GB2312" w:eastAsia="楷体_GB2312"/>
      <w:color w:val="000000"/>
      <w:sz w:val="28"/>
    </w:r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pPr>
      <w:ind w:firstLineChars="200" w:firstLine="420"/>
    </w:pPr>
  </w:style>
  <w:style w:type="paragraph" w:styleId="af7">
    <w:name w:val="No Spacing"/>
    <w:link w:val="Char2"/>
    <w:uiPriority w:val="1"/>
    <w:qFormat/>
    <w:rPr>
      <w:rFonts w:ascii="Calibri" w:hAnsi="Calibri"/>
      <w:sz w:val="22"/>
      <w:szCs w:val="22"/>
    </w:rPr>
  </w:style>
  <w:style w:type="character" w:customStyle="1" w:styleId="Char2">
    <w:name w:val="无间隔 Char"/>
    <w:link w:val="af7"/>
    <w:uiPriority w:val="1"/>
    <w:qFormat/>
    <w:rPr>
      <w:rFonts w:ascii="Calibri" w:hAnsi="Calibri"/>
      <w:sz w:val="22"/>
      <w:szCs w:val="22"/>
    </w:rPr>
  </w:style>
  <w:style w:type="character" w:customStyle="1" w:styleId="fwzhdz">
    <w:name w:val="fwzhdz"/>
    <w:qFormat/>
  </w:style>
  <w:style w:type="character" w:customStyle="1" w:styleId="fwzhnf">
    <w:name w:val="fwzhnf"/>
    <w:qFormat/>
  </w:style>
  <w:style w:type="character" w:customStyle="1" w:styleId="fwzhxh">
    <w:name w:val="fwzhxh"/>
    <w:qFormat/>
  </w:style>
  <w:style w:type="character" w:customStyle="1" w:styleId="12">
    <w:name w:val="页脚 字符1"/>
    <w:uiPriority w:val="99"/>
    <w:semiHidden/>
    <w:qFormat/>
    <w:locked/>
    <w:rPr>
      <w:rFonts w:ascii="Calibri" w:hAnsi="Calibri"/>
      <w:sz w:val="18"/>
      <w:szCs w:val="18"/>
    </w:rPr>
  </w:style>
  <w:style w:type="paragraph" w:customStyle="1" w:styleId="13">
    <w:name w:val="修订1"/>
    <w:uiPriority w:val="99"/>
    <w:semiHidden/>
    <w:qForma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qFormat="1"/>
    <w:lsdException w:name="toc 2" w:semiHidden="0" w:uiPriority="39" w:qFormat="1"/>
    <w:lsdException w:name="toc 3" w:uiPriority="0" w:qFormat="1"/>
    <w:lsdException w:name="toc 4" w:uiPriority="0" w:qFormat="1"/>
    <w:lsdException w:name="toc 5" w:uiPriority="0" w:qFormat="1"/>
    <w:lsdException w:name="toc 6" w:uiPriority="0"/>
    <w:lsdException w:name="toc 7" w:uiPriority="0" w:qFormat="1"/>
    <w:lsdException w:name="toc 8" w:uiPriority="0" w:qFormat="1"/>
    <w:lsdException w:name="toc 9" w:uiPriority="0" w:qFormat="1"/>
    <w:lsdException w:name="Normal Indent" w:uiPriority="0" w:qFormat="1"/>
    <w:lsdException w:name="footnote text" w:unhideWhenUsed="1"/>
    <w:lsdException w:name="annotation text" w:uiPriority="0" w:qFormat="1"/>
    <w:lsdException w:name="header" w:semiHidden="0" w:qFormat="1"/>
    <w:lsdException w:name="footer" w:semiHidden="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qFormat="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qFormat="1"/>
    <w:lsdException w:name="Body Text First Indent" w:uiPriority="0" w:qFormat="1"/>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lsdException w:name="Block Text" w:unhideWhenUsed="1"/>
    <w:lsdException w:name="Hyperlink" w:semiHidden="0" w:qFormat="1"/>
    <w:lsdException w:name="FollowedHyperlink" w:uiPriority="0" w:qFormat="1"/>
    <w:lsdException w:name="Strong" w:semiHidden="0" w:uiPriority="22" w:qFormat="1"/>
    <w:lsdException w:name="Emphasis" w:semiHidden="0" w:uiPriority="20" w:qFormat="1"/>
    <w:lsdException w:name="Document Map" w:uiPriority="0" w:qFormat="1"/>
    <w:lsdException w:name="Plain Text" w:uiPriority="0" w:qFormat="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qFormat/>
    <w:pPr>
      <w:shd w:val="clear" w:color="auto" w:fill="000080"/>
    </w:pPr>
  </w:style>
  <w:style w:type="paragraph" w:styleId="a5">
    <w:name w:val="annotation text"/>
    <w:basedOn w:val="a"/>
    <w:semiHidden/>
    <w:qFormat/>
  </w:style>
  <w:style w:type="paragraph" w:styleId="a6">
    <w:name w:val="Body Text"/>
    <w:basedOn w:val="a"/>
    <w:semiHidden/>
    <w:rPr>
      <w:rFonts w:eastAsia="隶书"/>
      <w:sz w:val="52"/>
    </w:rPr>
  </w:style>
  <w:style w:type="paragraph" w:styleId="a7">
    <w:name w:val="Body Text Indent"/>
    <w:basedOn w:val="a"/>
    <w:semiHidden/>
    <w:qFormat/>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qFormat/>
    <w:pPr>
      <w:ind w:leftChars="400" w:left="840"/>
    </w:pPr>
  </w:style>
  <w:style w:type="paragraph" w:styleId="a8">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9">
    <w:name w:val="Date"/>
    <w:basedOn w:val="a"/>
    <w:next w:val="a"/>
    <w:semiHidden/>
    <w:qFormat/>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a">
    <w:name w:val="Balloon Text"/>
    <w:basedOn w:val="a"/>
    <w:semiHidden/>
    <w:qFormat/>
    <w:rPr>
      <w:sz w:val="18"/>
      <w:szCs w:val="18"/>
    </w:rPr>
  </w:style>
  <w:style w:type="paragraph" w:styleId="ab">
    <w:name w:val="footer"/>
    <w:basedOn w:val="a"/>
    <w:link w:val="Char0"/>
    <w:uiPriority w:val="99"/>
    <w:qFormat/>
    <w:pPr>
      <w:tabs>
        <w:tab w:val="center" w:pos="4153"/>
        <w:tab w:val="right" w:pos="8306"/>
      </w:tabs>
      <w:spacing w:line="240" w:lineRule="atLeast"/>
    </w:pPr>
    <w:rPr>
      <w:sz w:val="18"/>
    </w:rPr>
  </w:style>
  <w:style w:type="paragraph" w:styleId="ac">
    <w:name w:val="header"/>
    <w:basedOn w:val="a"/>
    <w:link w:val="Char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500" w:lineRule="exact"/>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style>
  <w:style w:type="paragraph" w:styleId="9">
    <w:name w:val="toc 9"/>
    <w:basedOn w:val="a"/>
    <w:next w:val="a"/>
    <w:semiHidden/>
    <w:qFormat/>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d">
    <w:name w:val="Normal (Web)"/>
    <w:basedOn w:val="a"/>
    <w:uiPriority w:val="99"/>
    <w:semiHidden/>
    <w:qFormat/>
    <w:pPr>
      <w:widowControl/>
      <w:adjustRightInd/>
      <w:spacing w:line="360" w:lineRule="auto"/>
      <w:textAlignment w:val="auto"/>
    </w:pPr>
    <w:rPr>
      <w:rFonts w:ascii="宋体" w:hAnsi="宋体"/>
      <w:sz w:val="18"/>
      <w:szCs w:val="18"/>
    </w:rPr>
  </w:style>
  <w:style w:type="paragraph" w:styleId="ae">
    <w:name w:val="annotation subject"/>
    <w:basedOn w:val="a5"/>
    <w:next w:val="a5"/>
    <w:semiHidden/>
    <w:qFormat/>
    <w:rPr>
      <w:b/>
      <w:bCs/>
    </w:rPr>
  </w:style>
  <w:style w:type="paragraph" w:styleId="af">
    <w:name w:val="Body Text First Indent"/>
    <w:basedOn w:val="a6"/>
    <w:semiHidden/>
    <w:qFormat/>
    <w:pPr>
      <w:adjustRightInd/>
      <w:spacing w:after="120" w:line="240" w:lineRule="auto"/>
      <w:ind w:firstLine="420"/>
      <w:jc w:val="both"/>
      <w:textAlignment w:val="auto"/>
    </w:pPr>
    <w:rPr>
      <w:rFonts w:eastAsia="宋体"/>
      <w:kern w:val="2"/>
      <w:sz w:val="21"/>
    </w:rPr>
  </w:style>
  <w:style w:type="table" w:styleId="af0">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qFormat/>
  </w:style>
  <w:style w:type="character" w:styleId="af3">
    <w:name w:val="FollowedHyperlink"/>
    <w:semiHidden/>
    <w:qFormat/>
    <w:rPr>
      <w:color w:val="800080"/>
      <w:u w:val="single"/>
    </w:rPr>
  </w:style>
  <w:style w:type="character" w:styleId="af4">
    <w:name w:val="Hyperlink"/>
    <w:uiPriority w:val="99"/>
    <w:qFormat/>
    <w:rPr>
      <w:color w:val="0000FF"/>
      <w:u w:val="single"/>
    </w:rPr>
  </w:style>
  <w:style w:type="character" w:styleId="af5">
    <w:name w:val="annotation reference"/>
    <w:semiHidden/>
    <w:qFormat/>
    <w:rPr>
      <w:sz w:val="21"/>
      <w:szCs w:val="21"/>
    </w:rPr>
  </w:style>
  <w:style w:type="character" w:customStyle="1" w:styleId="Char">
    <w:name w:val="文档结构图 Char"/>
    <w:link w:val="a4"/>
    <w:semiHidden/>
    <w:qFormat/>
    <w:rPr>
      <w:sz w:val="24"/>
      <w:shd w:val="clear" w:color="auto" w:fill="000080"/>
    </w:rPr>
  </w:style>
  <w:style w:type="character" w:customStyle="1" w:styleId="Char0">
    <w:name w:val="页脚 Char"/>
    <w:link w:val="ab"/>
    <w:uiPriority w:val="99"/>
    <w:rPr>
      <w:sz w:val="18"/>
    </w:rPr>
  </w:style>
  <w:style w:type="character" w:customStyle="1" w:styleId="Char1">
    <w:name w:val="页眉 Char"/>
    <w:link w:val="ac"/>
    <w:uiPriority w:val="99"/>
    <w:rPr>
      <w:sz w:val="18"/>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character" w:customStyle="1" w:styleId="unnamed11">
    <w:name w:val="unnamed11"/>
    <w:qFormat/>
    <w:rPr>
      <w:rFonts w:ascii="宋体" w:eastAsia="宋体" w:hAnsi="宋体" w:hint="eastAsia"/>
      <w:color w:val="000000"/>
      <w:sz w:val="18"/>
      <w:szCs w:val="18"/>
      <w:u w:val="none"/>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qFormat/>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character" w:customStyle="1" w:styleId="nr1">
    <w:name w:val="nr1"/>
    <w:qFormat/>
    <w:rPr>
      <w:rFonts w:ascii="楷体_GB2312" w:eastAsia="楷体_GB2312" w:hint="eastAsia"/>
      <w:color w:val="000000"/>
      <w:sz w:val="24"/>
      <w:szCs w:val="24"/>
    </w:rPr>
  </w:style>
  <w:style w:type="character" w:customStyle="1" w:styleId="5Char">
    <w:name w:val="标题 5 Char"/>
    <w:qFormat/>
    <w:rPr>
      <w:rFonts w:ascii="楷体_GB2312" w:eastAsia="楷体_GB2312"/>
      <w:color w:val="000000"/>
      <w:sz w:val="28"/>
    </w:r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pPr>
      <w:ind w:firstLineChars="200" w:firstLine="420"/>
    </w:pPr>
  </w:style>
  <w:style w:type="paragraph" w:styleId="af7">
    <w:name w:val="No Spacing"/>
    <w:link w:val="Char2"/>
    <w:uiPriority w:val="1"/>
    <w:qFormat/>
    <w:rPr>
      <w:rFonts w:ascii="Calibri" w:hAnsi="Calibri"/>
      <w:sz w:val="22"/>
      <w:szCs w:val="22"/>
    </w:rPr>
  </w:style>
  <w:style w:type="character" w:customStyle="1" w:styleId="Char2">
    <w:name w:val="无间隔 Char"/>
    <w:link w:val="af7"/>
    <w:uiPriority w:val="1"/>
    <w:qFormat/>
    <w:rPr>
      <w:rFonts w:ascii="Calibri" w:hAnsi="Calibri"/>
      <w:sz w:val="22"/>
      <w:szCs w:val="22"/>
    </w:rPr>
  </w:style>
  <w:style w:type="character" w:customStyle="1" w:styleId="fwzhdz">
    <w:name w:val="fwzhdz"/>
    <w:qFormat/>
  </w:style>
  <w:style w:type="character" w:customStyle="1" w:styleId="fwzhnf">
    <w:name w:val="fwzhnf"/>
    <w:qFormat/>
  </w:style>
  <w:style w:type="character" w:customStyle="1" w:styleId="fwzhxh">
    <w:name w:val="fwzhxh"/>
    <w:qFormat/>
  </w:style>
  <w:style w:type="character" w:customStyle="1" w:styleId="12">
    <w:name w:val="页脚 字符1"/>
    <w:uiPriority w:val="99"/>
    <w:semiHidden/>
    <w:qFormat/>
    <w:locked/>
    <w:rPr>
      <w:rFonts w:ascii="Calibri" w:hAnsi="Calibri"/>
      <w:sz w:val="18"/>
      <w:szCs w:val="18"/>
    </w:rPr>
  </w:style>
  <w:style w:type="paragraph" w:customStyle="1" w:styleId="13">
    <w:name w:val="修订1"/>
    <w:uiPriority w:val="99"/>
    <w:semiHidden/>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229234944"/>
        <c:axId val="2292408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229242368"/>
        <c:axId val="229243904"/>
      </c:lineChart>
      <c:catAx>
        <c:axId val="22923494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9240832"/>
        <c:crosses val="autoZero"/>
        <c:auto val="1"/>
        <c:lblAlgn val="ctr"/>
        <c:lblOffset val="100"/>
        <c:noMultiLvlLbl val="0"/>
      </c:catAx>
      <c:valAx>
        <c:axId val="22924083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9234944"/>
        <c:crosses val="autoZero"/>
        <c:crossBetween val="between"/>
        <c:majorUnit val="500"/>
      </c:valAx>
      <c:catAx>
        <c:axId val="229242368"/>
        <c:scaling>
          <c:orientation val="minMax"/>
        </c:scaling>
        <c:delete val="1"/>
        <c:axPos val="b"/>
        <c:numFmt formatCode="General" sourceLinked="1"/>
        <c:majorTickMark val="out"/>
        <c:minorTickMark val="none"/>
        <c:tickLblPos val="nextTo"/>
        <c:crossAx val="229243904"/>
        <c:crosses val="autoZero"/>
        <c:auto val="1"/>
        <c:lblAlgn val="ctr"/>
        <c:lblOffset val="100"/>
        <c:noMultiLvlLbl val="0"/>
      </c:catAx>
      <c:valAx>
        <c:axId val="22924390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924236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1f101bc2-cffe-4c45-8183-d8fb01ff51fa}"/>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TotalTime>
  <Pages>31</Pages>
  <Words>2943</Words>
  <Characters>16779</Characters>
  <Application>Microsoft Office Word</Application>
  <DocSecurity>0</DocSecurity>
  <Lines>139</Lines>
  <Paragraphs>39</Paragraphs>
  <ScaleCrop>false</ScaleCrop>
  <Company>Sky123.Org</Company>
  <LinksUpToDate>false</LinksUpToDate>
  <CharactersWithSpaces>19683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3</cp:revision>
  <cp:lastPrinted>2023-03-20T10:46:00Z</cp:lastPrinted>
  <dcterms:created xsi:type="dcterms:W3CDTF">2025-12-09T08:32:00Z</dcterms:created>
  <dcterms:modified xsi:type="dcterms:W3CDTF">2025-12-09T09:13:00Z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2052-12.1.0.24034</vt:lpwstr>
  </property>
  <property fmtid="{D5CDD505-2E9C-101B-9397-08002B2CF9AE}" pid="4" name="ICV">
    <vt:lpwstr>64BC5DB8459946F6A141BD77A8E4EBF7_13</vt:lpwstr>
  </property>
</Properties>
</file>