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FB267">
      <w:pPr>
        <w:jc w:val="center"/>
        <w:rPr>
          <w:rFonts w:ascii="Arial" w:hAnsi="Arial"/>
        </w:rPr>
      </w:pPr>
      <w:r>
        <w:rPr>
          <w:rFonts w:hint="eastAsia" w:ascii="Arial" w:hAnsi="Arial" w:eastAsia="宋体" w:cs="宋体"/>
          <w:b/>
          <w:bCs/>
          <w:kern w:val="0"/>
          <w:sz w:val="40"/>
          <w:szCs w:val="40"/>
        </w:rPr>
        <w:t>房地产抵押评估</w:t>
      </w:r>
      <w:r>
        <w:rPr>
          <w:rFonts w:hint="eastAsia" w:ascii="Arial" w:hAnsi="Arial" w:eastAsia="宋体" w:cs="宋体"/>
          <w:b/>
          <w:bCs/>
          <w:color w:val="000000" w:themeColor="text1"/>
          <w:kern w:val="0"/>
          <w:sz w:val="40"/>
          <w:szCs w:val="40"/>
          <w14:textFill>
            <w14:solidFill>
              <w14:schemeClr w14:val="tx1"/>
            </w14:solidFill>
          </w14:textFill>
        </w:rPr>
        <w:t>复估单</w:t>
      </w:r>
    </w:p>
    <w:p w14:paraId="52F3A3E5">
      <w:pPr>
        <w:jc w:val="right"/>
        <w:rPr>
          <w:rFonts w:hint="eastAsia" w:ascii="Arial" w:hAnsi="Arial" w:eastAsia="宋体"/>
          <w:lang w:eastAsia="zh-CN"/>
        </w:rPr>
      </w:pPr>
      <w:r>
        <w:rPr>
          <w:rFonts w:hint="eastAsia" w:ascii="Arial" w:hAnsi="Arial" w:eastAsia="宋体" w:cs="宋体"/>
          <w:kern w:val="0"/>
          <w:sz w:val="20"/>
          <w:szCs w:val="20"/>
        </w:rPr>
        <w:t>报告编号：康正评字</w:t>
      </w:r>
      <w:r>
        <w:rPr>
          <w:rFonts w:hint="eastAsia" w:ascii="Arial" w:hAnsi="Arial" w:eastAsia="宋体" w:cs="宋体"/>
          <w:color w:val="auto"/>
          <w:kern w:val="0"/>
          <w:sz w:val="20"/>
          <w:szCs w:val="20"/>
        </w:rPr>
        <w:t>2025-1-0673-P0</w:t>
      </w:r>
      <w:r>
        <w:rPr>
          <w:rFonts w:hint="eastAsia" w:ascii="Arial" w:hAnsi="Arial" w:eastAsia="宋体" w:cs="宋体"/>
          <w:color w:val="auto"/>
          <w:kern w:val="0"/>
          <w:sz w:val="20"/>
          <w:szCs w:val="20"/>
          <w:lang w:val="en-US" w:eastAsia="zh-CN"/>
        </w:rPr>
        <w:t>2</w:t>
      </w:r>
      <w:r>
        <w:rPr>
          <w:rFonts w:hint="eastAsia" w:ascii="Arial" w:hAnsi="Arial" w:eastAsia="宋体" w:cs="宋体"/>
          <w:color w:val="auto"/>
          <w:kern w:val="0"/>
          <w:sz w:val="20"/>
          <w:szCs w:val="20"/>
        </w:rPr>
        <w:t>DYGJ</w:t>
      </w:r>
      <w:r>
        <w:rPr>
          <w:rFonts w:hint="eastAsia" w:ascii="Arial" w:hAnsi="Arial" w:eastAsia="宋体" w:cs="宋体"/>
          <w:color w:val="auto"/>
          <w:kern w:val="0"/>
          <w:sz w:val="20"/>
          <w:szCs w:val="20"/>
          <w:lang w:val="en-US" w:eastAsia="zh-CN"/>
        </w:rPr>
        <w:t>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14:paraId="78D6EE0D">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29AA5">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1E2F4443">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上海浦东发展银行股份有限公司北京市分行</w:t>
            </w:r>
          </w:p>
        </w:tc>
      </w:tr>
      <w:tr w14:paraId="2143F8B9">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60985A10">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14:paraId="2AA346A0">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北京市海淀区三里河路17号902</w:t>
            </w:r>
          </w:p>
        </w:tc>
      </w:tr>
      <w:tr w14:paraId="323D042F">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1F3555EB">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6A4D5EFB">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为上海浦东发展银行股份有限公司确定押品复估抵押价值。</w:t>
            </w:r>
          </w:p>
        </w:tc>
      </w:tr>
      <w:tr w14:paraId="228268EB">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1B147239">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5092D947">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25</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8</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29</w:t>
            </w:r>
            <w:r>
              <w:rPr>
                <w:rFonts w:hint="eastAsia" w:ascii="Arial" w:hAnsi="Arial" w:eastAsia="宋体" w:cs="宋体"/>
                <w:color w:val="auto"/>
                <w:kern w:val="0"/>
                <w:sz w:val="20"/>
                <w:szCs w:val="20"/>
              </w:rPr>
              <w:t>日</w:t>
            </w:r>
          </w:p>
        </w:tc>
      </w:tr>
      <w:tr w14:paraId="6CD68611">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7706BE7B">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2EAB3CD7">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14:paraId="4AC2AD35">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甘家口大厦</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8A86ACF">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14:paraId="46D94F00">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293.88平方米</w:t>
            </w:r>
          </w:p>
        </w:tc>
      </w:tr>
      <w:tr w14:paraId="4EAF5128">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0E9EEE8">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2E2F1F55">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14:paraId="6A274B2D">
            <w:pPr>
              <w:widowControl/>
              <w:spacing w:line="240" w:lineRule="exact"/>
              <w:jc w:val="left"/>
              <w:rPr>
                <w:rFonts w:ascii="Arial" w:hAnsi="Arial" w:eastAsia="宋体" w:cs="宋体"/>
                <w:color w:val="auto"/>
                <w:kern w:val="0"/>
                <w:sz w:val="20"/>
                <w:szCs w:val="20"/>
              </w:rPr>
            </w:pPr>
            <w:r>
              <w:rPr>
                <w:rFonts w:ascii="Arial" w:hAnsi="Arial" w:eastAsia="宋体" w:cs="宋体"/>
                <w:color w:val="auto"/>
                <w:kern w:val="0"/>
                <w:sz w:val="20"/>
                <w:szCs w:val="20"/>
              </w:rPr>
              <w:t>16（-3）</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E475926">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14:paraId="24F76F0A">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9</w:t>
            </w:r>
          </w:p>
        </w:tc>
      </w:tr>
      <w:tr w14:paraId="184A82E1">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2A4F86D">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28013BDB">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14:paraId="7FA237F5">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综合</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86271FC">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14:paraId="01E58343">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钢混</w:t>
            </w:r>
          </w:p>
        </w:tc>
      </w:tr>
      <w:tr w14:paraId="54B121E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14D73781">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3C271177">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1DFAA75B">
            <w:pPr>
              <w:widowControl/>
              <w:spacing w:line="240" w:lineRule="exact"/>
              <w:jc w:val="left"/>
              <w:rPr>
                <w:rFonts w:hint="eastAsia" w:ascii="Arial" w:hAnsi="Arial" w:eastAsia="宋体" w:cs="宋体"/>
                <w:color w:val="auto"/>
                <w:kern w:val="0"/>
                <w:sz w:val="20"/>
                <w:szCs w:val="20"/>
                <w:lang w:eastAsia="zh-CN"/>
              </w:rPr>
            </w:pPr>
            <w:r>
              <w:rPr>
                <w:rFonts w:hint="eastAsia" w:ascii="Arial" w:hAnsi="Arial" w:eastAsia="宋体" w:cs="宋体"/>
                <w:color w:val="auto"/>
                <w:kern w:val="0"/>
                <w:sz w:val="20"/>
                <w:szCs w:val="20"/>
                <w:lang w:eastAsia="zh-CN"/>
              </w:rPr>
              <w:t>——</w:t>
            </w:r>
          </w:p>
        </w:tc>
      </w:tr>
      <w:tr w14:paraId="40A13BAF">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8AB3268">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96B497C">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14:paraId="0D732B71">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估价对象于咨询时点存在抵押权，本次评估以原有的抵押权注销后再设立新的抵押权为假设前提，故不考虑此项优先受偿权。</w:t>
            </w:r>
          </w:p>
        </w:tc>
      </w:tr>
      <w:tr w14:paraId="04F795AA">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7E00FBE9">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1F547862">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02923B71">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28028</w:t>
            </w:r>
            <w:r>
              <w:rPr>
                <w:rFonts w:hint="eastAsia" w:ascii="Arial" w:hAnsi="Arial" w:eastAsia="宋体" w:cs="宋体"/>
                <w:b/>
                <w:bCs/>
                <w:color w:val="auto"/>
                <w:kern w:val="0"/>
                <w:sz w:val="20"/>
                <w:szCs w:val="20"/>
              </w:rPr>
              <w:t>元/平方米</w:t>
            </w:r>
          </w:p>
        </w:tc>
      </w:tr>
      <w:tr w14:paraId="57CF68A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E0B7284">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2F40C94">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29824774">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824</w:t>
            </w:r>
            <w:r>
              <w:rPr>
                <w:rFonts w:hint="eastAsia" w:ascii="Arial" w:hAnsi="Arial" w:eastAsia="宋体" w:cs="宋体"/>
                <w:b/>
                <w:bCs/>
                <w:color w:val="auto"/>
                <w:kern w:val="0"/>
                <w:sz w:val="20"/>
                <w:szCs w:val="20"/>
              </w:rPr>
              <w:t>万元</w:t>
            </w:r>
          </w:p>
        </w:tc>
      </w:tr>
      <w:tr w14:paraId="4532B966">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31F4438">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14:paraId="6BD42881">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14:paraId="2EE2BE3A">
            <w:pPr>
              <w:widowControl/>
              <w:spacing w:line="240" w:lineRule="exact"/>
              <w:jc w:val="left"/>
              <w:rPr>
                <w:rFonts w:hint="default"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lang w:val="en-US" w:eastAsia="zh-CN"/>
              </w:rPr>
              <w:t>捌佰贰拾肆万元整</w:t>
            </w:r>
          </w:p>
        </w:tc>
      </w:tr>
      <w:tr w14:paraId="3510035C">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6B829AF8">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14:paraId="5C189AF2">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1、本次复估单所依据的资料由估价委托人提供，估价人员未对其权属资料的真实性、完整性、准确性进行核验，如实际情况与之不符，估价结果需做相应调整。</w:t>
            </w:r>
          </w:p>
        </w:tc>
      </w:tr>
      <w:tr w14:paraId="5805F2F9">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5D94134">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1FDC1B0B">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14:paraId="69D0553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6CFBB92">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5DA14150">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3、本次复估未对估价对象进行实地勘查，若实际情况与估价委托人提供的信息有所差异时，会对估价结果产生影响，相关数据会发生变化，估价结果需做相应调整。</w:t>
            </w:r>
          </w:p>
        </w:tc>
      </w:tr>
      <w:tr w14:paraId="4E0AAEB5">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4F4D8C8">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1881EB1D">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14:paraId="752D3C3A">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2862C4D">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14:paraId="398C500C">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5、估价结果是反映估价对象在本次估价目的下的房地产价值，估价中未考虑国家宏观经济政策发生变化、市场供应关系变化、市场</w:t>
            </w:r>
            <w:bookmarkStart w:id="0" w:name="_GoBack"/>
            <w:bookmarkEnd w:id="0"/>
            <w:r>
              <w:rPr>
                <w:rFonts w:hint="eastAsia" w:ascii="Arial" w:hAnsi="Arial" w:eastAsia="宋体" w:cs="宋体"/>
                <w:color w:val="auto"/>
                <w:kern w:val="0"/>
                <w:sz w:val="20"/>
                <w:szCs w:val="20"/>
              </w:rPr>
              <w:t>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17082A3F">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5A5569B7">
            <w:pPr>
              <w:widowControl/>
              <w:spacing w:line="240" w:lineRule="exact"/>
              <w:jc w:val="left"/>
              <w:rPr>
                <w:rFonts w:ascii="Arial" w:hAnsi="Arial" w:eastAsia="宋体" w:cs="宋体"/>
                <w:b/>
                <w:color w:val="auto"/>
                <w:kern w:val="0"/>
                <w:sz w:val="20"/>
                <w:szCs w:val="20"/>
              </w:rPr>
            </w:pPr>
            <w:r>
              <w:rPr>
                <w:rFonts w:hint="eastAsia" w:ascii="Arial" w:hAnsi="Arial" w:eastAsia="宋体" w:cs="宋体"/>
                <w:b/>
                <w:color w:val="auto"/>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14:paraId="488F742F">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本复估单自出具之日起</w:t>
            </w:r>
            <w:r>
              <w:rPr>
                <w:rFonts w:hint="eastAsia" w:ascii="Arial" w:hAnsi="Arial" w:eastAsia="宋体" w:cs="宋体"/>
                <w:b/>
                <w:bCs/>
                <w:color w:val="auto"/>
                <w:kern w:val="0"/>
                <w:sz w:val="20"/>
                <w:szCs w:val="20"/>
              </w:rPr>
              <w:t>壹年</w:t>
            </w:r>
            <w:r>
              <w:rPr>
                <w:rFonts w:hint="eastAsia" w:ascii="Arial" w:hAnsi="Arial" w:eastAsia="宋体" w:cs="宋体"/>
                <w:color w:val="auto"/>
                <w:kern w:val="0"/>
                <w:sz w:val="20"/>
                <w:szCs w:val="20"/>
              </w:rPr>
              <w:t>内有效，但在此期间市场变化较快或国家经济、城市规划、相关税费和银行利率发生变化，应重新评估。</w:t>
            </w:r>
          </w:p>
        </w:tc>
      </w:tr>
    </w:tbl>
    <w:p w14:paraId="49BF821E">
      <w:pPr>
        <w:rPr>
          <w:rFonts w:ascii="Arial" w:hAnsi="Arial"/>
        </w:rPr>
      </w:pPr>
    </w:p>
    <w:p w14:paraId="56AAB3DF">
      <w:pPr>
        <w:jc w:val="right"/>
        <w:rPr>
          <w:rFonts w:ascii="Arial" w:hAnsi="Arial"/>
          <w:color w:val="auto"/>
        </w:rPr>
      </w:pPr>
      <w:r>
        <w:rPr>
          <w:rFonts w:hint="eastAsia" w:ascii="Arial" w:hAnsi="Arial" w:eastAsia="宋体" w:cs="宋体"/>
          <w:color w:val="auto"/>
          <w:kern w:val="0"/>
          <w:sz w:val="20"/>
          <w:szCs w:val="20"/>
        </w:rPr>
        <w:t>北京康正宏基房地产评估有限公司</w:t>
      </w:r>
    </w:p>
    <w:p w14:paraId="5A176D1A">
      <w:pPr>
        <w:jc w:val="right"/>
        <w:rPr>
          <w:rFonts w:hint="eastAsia"/>
          <w:color w:val="E46C0A" w:themeColor="accent6" w:themeShade="BF"/>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五</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八</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二十九</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6DD41">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7203D6"/>
    <w:rsid w:val="00795B85"/>
    <w:rsid w:val="00863392"/>
    <w:rsid w:val="00876164"/>
    <w:rsid w:val="00A92DEB"/>
    <w:rsid w:val="00BF20BE"/>
    <w:rsid w:val="00E95130"/>
    <w:rsid w:val="1B0B388C"/>
    <w:rsid w:val="740A3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905</Words>
  <Characters>944</Characters>
  <Lines>7</Lines>
  <Paragraphs>2</Paragraphs>
  <TotalTime>0</TotalTime>
  <ScaleCrop>false</ScaleCrop>
  <LinksUpToDate>false</LinksUpToDate>
  <CharactersWithSpaces>944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WPS_1673068481</cp:lastModifiedBy>
  <dcterms:modified xsi:type="dcterms:W3CDTF">2025-08-29T07:07:41Z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eyJoZGlkIjoiMmE3OTZkMDU4ZmY0NjM3NjQ3MGQzZDk0ZmE4NjBlMjMiLCJ1c2VySWQiOiIxNDY1MTE2MjA1In0=</vt:lpwstr>
  </property>
  <property fmtid="{D5CDD505-2E9C-101B-9397-08002B2CF9AE}" pid="3" name="KSOProductBuildVer">
    <vt:lpwstr>2052-12.1.0.22529</vt:lpwstr>
  </property>
  <property fmtid="{D5CDD505-2E9C-101B-9397-08002B2CF9AE}" pid="4" name="ICV">
    <vt:lpwstr>B72AF66D6124462DA812A7504EDDF5D3_12</vt:lpwstr>
  </property>
</Properties>
</file>