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bookmarkStart w:id="0" w:name="_GoBack"/>
      <w:bookmarkEnd w:id="0"/>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1" w:name="_Toc379795040"/>
      <w:r>
        <w:rPr>
          <w:rFonts w:ascii="Arial" w:eastAsia="方正黑体简体" w:hAnsi="Arial" w:hint="eastAsia"/>
          <w:color w:val="000000"/>
          <w:kern w:val="2"/>
          <w:sz w:val="32"/>
          <w:szCs w:val="32"/>
        </w:rPr>
        <w:lastRenderedPageBreak/>
        <w:t>致估价委托人函</w:t>
      </w:r>
      <w:bookmarkEnd w:id="1"/>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2" w:name="_Toc379795041"/>
      <w:bookmarkStart w:id="3" w:name="_Toc469298293"/>
      <w:r>
        <w:rPr>
          <w:rFonts w:eastAsia="方正黑体简体" w:hint="eastAsia"/>
          <w:b w:val="0"/>
          <w:kern w:val="2"/>
          <w:sz w:val="32"/>
          <w:szCs w:val="32"/>
        </w:rPr>
        <w:lastRenderedPageBreak/>
        <w:t>估价师声明</w:t>
      </w:r>
      <w:bookmarkEnd w:id="2"/>
      <w:bookmarkEnd w:id="3"/>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4"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5" w:name="_Toc379795042"/>
      <w:bookmarkStart w:id="6" w:name="_Toc469298294"/>
      <w:r>
        <w:rPr>
          <w:rFonts w:eastAsia="方正黑体简体" w:hint="eastAsia"/>
          <w:b w:val="0"/>
          <w:kern w:val="2"/>
          <w:sz w:val="32"/>
          <w:szCs w:val="32"/>
        </w:rPr>
        <w:lastRenderedPageBreak/>
        <w:t>估价假设和限制条件</w:t>
      </w:r>
      <w:bookmarkEnd w:id="5"/>
      <w:bookmarkEnd w:id="6"/>
    </w:p>
    <w:p w:rsidR="00243762" w:rsidRDefault="00243762">
      <w:pPr>
        <w:overflowPunct w:val="0"/>
        <w:spacing w:line="480" w:lineRule="auto"/>
        <w:jc w:val="both"/>
        <w:textAlignment w:val="auto"/>
        <w:outlineLvl w:val="0"/>
        <w:rPr>
          <w:rFonts w:ascii="Arial" w:hAnsi="Arial" w:cs="Arial"/>
          <w:b/>
          <w:kern w:val="2"/>
          <w:sz w:val="21"/>
        </w:rPr>
      </w:pPr>
      <w:bookmarkStart w:id="7" w:name="OLE_LINK12"/>
      <w:bookmarkStart w:id="8" w:name="OLE_LINK13"/>
      <w:bookmarkEnd w:id="4"/>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7"/>
    <w:bookmarkEnd w:id="8"/>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w:t>
      </w:r>
      <w:commentRangeStart w:id="9"/>
      <w:r>
        <w:rPr>
          <w:rFonts w:ascii="Arial" w:hAnsi="Arial" w:hint="eastAsia"/>
          <w:color w:val="000000"/>
          <w:kern w:val="2"/>
          <w:sz w:val="21"/>
        </w:rPr>
        <w:t>致假设</w:t>
      </w:r>
      <w:commentRangeEnd w:id="9"/>
      <w:r w:rsidR="00B3458A">
        <w:rPr>
          <w:rStyle w:val="a3"/>
        </w:rPr>
        <w:commentReference w:id="9"/>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w:t>
      </w:r>
      <w:commentRangeStart w:id="10"/>
      <w:r>
        <w:rPr>
          <w:rFonts w:ascii="Arial" w:hAnsi="Arial" w:hint="eastAsia"/>
          <w:color w:val="000000"/>
          <w:kern w:val="2"/>
          <w:sz w:val="21"/>
        </w:rPr>
        <w:t>不足假设</w:t>
      </w:r>
      <w:commentRangeEnd w:id="10"/>
      <w:r w:rsidR="00B3458A">
        <w:rPr>
          <w:rStyle w:val="a3"/>
        </w:rPr>
        <w:commentReference w:id="10"/>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1" w:name="_Toc168225812"/>
      <w:bookmarkStart w:id="12" w:name="_Toc469298295"/>
      <w:r>
        <w:rPr>
          <w:rFonts w:eastAsia="方正黑体简体" w:hint="eastAsia"/>
          <w:b w:val="0"/>
          <w:kern w:val="2"/>
          <w:sz w:val="32"/>
          <w:szCs w:val="32"/>
        </w:rPr>
        <w:lastRenderedPageBreak/>
        <w:t>估价结果报告</w:t>
      </w:r>
      <w:bookmarkEnd w:id="11"/>
      <w:bookmarkEnd w:id="12"/>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B3458A">
              <w:rPr>
                <w:rFonts w:ascii="Arial" w:eastAsia="华文细黑" w:hAnsi="Arial" w:hint="eastAsia"/>
                <w:bCs/>
                <w:sz w:val="18"/>
                <w:szCs w:val="21"/>
                <w:highlight w:val="yellow"/>
                <w:rPrChange w:id="13" w:author="Sky123.Org" w:date="2023-02-23T14:24:00Z">
                  <w:rPr>
                    <w:rFonts w:ascii="Arial" w:eastAsia="华文细黑" w:hAnsi="Arial" w:hint="eastAsia"/>
                    <w:bCs/>
                    <w:sz w:val="18"/>
                    <w:szCs w:val="21"/>
                  </w:rPr>
                </w:rPrChange>
              </w:rPr>
              <w:t>估价委托人为</w:t>
            </w:r>
            <w:r w:rsidR="009E66CA" w:rsidRPr="00B3458A">
              <w:rPr>
                <w:rFonts w:ascii="Arial" w:eastAsia="华文细黑" w:hAnsi="Arial" w:hint="eastAsia"/>
                <w:bCs/>
                <w:sz w:val="18"/>
                <w:szCs w:val="21"/>
                <w:highlight w:val="yellow"/>
                <w:rPrChange w:id="14" w:author="Sky123.Org" w:date="2023-02-23T14:24:00Z">
                  <w:rPr>
                    <w:rFonts w:ascii="Arial" w:eastAsia="华文细黑" w:hAnsi="Arial" w:hint="eastAsia"/>
                    <w:bCs/>
                    <w:sz w:val="18"/>
                    <w:szCs w:val="21"/>
                  </w:rPr>
                </w:rPrChange>
              </w:rPr>
              <w:t>长治市财政保障中心</w:t>
            </w:r>
            <w:r w:rsidRPr="00B3458A">
              <w:rPr>
                <w:rFonts w:ascii="Arial" w:eastAsia="华文细黑" w:hAnsi="Arial" w:hint="eastAsia"/>
                <w:bCs/>
                <w:sz w:val="18"/>
                <w:szCs w:val="21"/>
                <w:highlight w:val="yellow"/>
                <w:rPrChange w:id="15" w:author="Sky123.Org" w:date="2023-02-23T14:24:00Z">
                  <w:rPr>
                    <w:rFonts w:ascii="Arial" w:eastAsia="华文细黑" w:hAnsi="Arial" w:hint="eastAsia"/>
                    <w:bCs/>
                    <w:sz w:val="18"/>
                    <w:szCs w:val="21"/>
                  </w:rPr>
                </w:rPrChange>
              </w:rPr>
              <w:t>，非估价对象的不动产权利人，为估价对象的</w:t>
            </w:r>
            <w:r w:rsidR="006743E4" w:rsidRPr="00B3458A">
              <w:rPr>
                <w:rFonts w:ascii="Arial" w:eastAsia="华文细黑" w:hAnsi="Arial" w:hint="eastAsia"/>
                <w:bCs/>
                <w:sz w:val="18"/>
                <w:szCs w:val="21"/>
                <w:highlight w:val="yellow"/>
                <w:rPrChange w:id="16" w:author="Sky123.Org" w:date="2023-02-23T14:24:00Z">
                  <w:rPr>
                    <w:rFonts w:ascii="Arial" w:eastAsia="华文细黑" w:hAnsi="Arial" w:hint="eastAsia"/>
                    <w:bCs/>
                    <w:sz w:val="18"/>
                    <w:szCs w:val="21"/>
                  </w:rPr>
                </w:rPrChange>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B64FD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B64FDB">
              <w:rPr>
                <w:rFonts w:ascii="Arial" w:eastAsia="华文细黑" w:hAnsi="Arial" w:hint="eastAsia"/>
                <w:kern w:val="2"/>
                <w:sz w:val="18"/>
                <w:szCs w:val="21"/>
              </w:rPr>
              <w:t>根据估价委托人提供的《地址证明函》，估价对象</w:t>
            </w:r>
            <w:r w:rsidR="00B64FDB" w:rsidRPr="00B64FDB">
              <w:rPr>
                <w:rFonts w:ascii="Arial" w:eastAsia="华文细黑" w:hAnsi="Arial" w:hint="eastAsia"/>
                <w:kern w:val="2"/>
                <w:sz w:val="18"/>
                <w:szCs w:val="21"/>
              </w:rPr>
              <w:t>现状坐落为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t>层</w:t>
            </w:r>
            <w:r w:rsidR="00B64FDB" w:rsidRPr="00B64FDB">
              <w:rPr>
                <w:rFonts w:ascii="Arial" w:eastAsia="华文细黑" w:hAnsi="Arial" w:hint="eastAsia"/>
                <w:kern w:val="2"/>
                <w:sz w:val="18"/>
                <w:szCs w:val="21"/>
              </w:rPr>
              <w:t>3A03</w:t>
            </w:r>
            <w:r w:rsidR="00B64FDB">
              <w:rPr>
                <w:rFonts w:ascii="Arial" w:eastAsia="华文细黑" w:hAnsi="Arial" w:hint="eastAsia"/>
                <w:kern w:val="2"/>
                <w:sz w:val="18"/>
                <w:szCs w:val="21"/>
              </w:rPr>
              <w:t>，</w:t>
            </w:r>
            <w:r w:rsidR="00B64FDB" w:rsidRPr="00B64FDB">
              <w:rPr>
                <w:rFonts w:ascii="Arial" w:eastAsia="华文细黑" w:hAnsi="Arial" w:hint="eastAsia"/>
                <w:kern w:val="2"/>
                <w:sz w:val="18"/>
                <w:szCs w:val="21"/>
              </w:rPr>
              <w:t>与评估专业人员现</w:t>
            </w:r>
            <w:r w:rsidR="00B64FDB" w:rsidRPr="00B64FDB">
              <w:rPr>
                <w:rFonts w:ascii="Arial" w:eastAsia="华文细黑" w:hAnsi="Arial" w:hint="eastAsia"/>
                <w:kern w:val="2"/>
                <w:sz w:val="18"/>
                <w:szCs w:val="21"/>
              </w:rPr>
              <w:lastRenderedPageBreak/>
              <w:t>场勘查对象为同</w:t>
            </w:r>
            <w:commentRangeStart w:id="17"/>
            <w:r w:rsidR="00B64FDB" w:rsidRPr="00B64FDB">
              <w:rPr>
                <w:rFonts w:ascii="Arial" w:eastAsia="华文细黑" w:hAnsi="Arial" w:hint="eastAsia"/>
                <w:kern w:val="2"/>
                <w:sz w:val="18"/>
                <w:szCs w:val="21"/>
              </w:rPr>
              <w:t>一坐落。</w:t>
            </w:r>
            <w:commentRangeEnd w:id="17"/>
            <w:r w:rsidR="009447DF">
              <w:rPr>
                <w:rStyle w:val="a3"/>
              </w:rPr>
              <w:commentReference w:id="17"/>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8"/>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Sky123.Org" w:date="2023-02-23T14:24:00Z" w:initials="S">
    <w:p w:rsidR="00B3458A" w:rsidRDefault="00B3458A">
      <w:pPr>
        <w:pStyle w:val="af0"/>
      </w:pPr>
      <w:r>
        <w:rPr>
          <w:rStyle w:val="a3"/>
        </w:rPr>
        <w:annotationRef/>
      </w:r>
      <w:r>
        <w:rPr>
          <w:rFonts w:hint="eastAsia"/>
        </w:rPr>
        <w:t>地址假设</w:t>
      </w:r>
    </w:p>
  </w:comment>
  <w:comment w:id="10" w:author="Sky123.Org" w:date="2023-02-23T14:24:00Z" w:initials="S">
    <w:p w:rsidR="00B3458A" w:rsidRDefault="00B3458A">
      <w:pPr>
        <w:pStyle w:val="af0"/>
      </w:pPr>
      <w:r>
        <w:rPr>
          <w:rStyle w:val="a3"/>
        </w:rPr>
        <w:annotationRef/>
      </w:r>
      <w:r>
        <w:rPr>
          <w:rFonts w:hint="eastAsia"/>
        </w:rPr>
        <w:t>建成年代假设</w:t>
      </w:r>
    </w:p>
  </w:comment>
  <w:comment w:id="17" w:author="Sky123.Org" w:date="2023-02-23T14:26:00Z" w:initials="S">
    <w:p w:rsidR="009447DF" w:rsidRDefault="009447DF">
      <w:pPr>
        <w:pStyle w:val="af0"/>
      </w:pPr>
      <w:r>
        <w:rPr>
          <w:rStyle w:val="a3"/>
        </w:rPr>
        <w:annotationRef/>
      </w:r>
      <w:r>
        <w:rPr>
          <w:rFonts w:hint="eastAsia"/>
        </w:rPr>
        <w:t>建成年代再描述下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D5" w:rsidRDefault="00F96DD5">
      <w:pPr>
        <w:spacing w:line="240" w:lineRule="auto"/>
      </w:pPr>
      <w:r>
        <w:separator/>
      </w:r>
    </w:p>
  </w:endnote>
  <w:endnote w:type="continuationSeparator" w:id="0">
    <w:p w:rsidR="00F96DD5" w:rsidRDefault="00F96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2E54EC" w:rsidRPr="002E54EC">
      <w:rPr>
        <w:rFonts w:ascii="Arial" w:hAnsi="Arial"/>
        <w:noProof/>
        <w:lang w:val="zh-CN"/>
      </w:rPr>
      <w:t>1</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D5" w:rsidRDefault="00F96DD5">
      <w:pPr>
        <w:spacing w:line="240" w:lineRule="auto"/>
      </w:pPr>
      <w:r>
        <w:separator/>
      </w:r>
    </w:p>
  </w:footnote>
  <w:footnote w:type="continuationSeparator" w:id="0">
    <w:p w:rsidR="00F96DD5" w:rsidRDefault="00F96D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98B8-16AA-415D-B347-EF3E5081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15</Pages>
  <Words>1258</Words>
  <Characters>7173</Characters>
  <Application>Microsoft Office Word</Application>
  <DocSecurity>0</DocSecurity>
  <Lines>59</Lines>
  <Paragraphs>16</Paragraphs>
  <ScaleCrop>false</ScaleCrop>
  <Company>Sky123.Org</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Sky123.Org</cp:lastModifiedBy>
  <cp:revision>67</cp:revision>
  <cp:lastPrinted>2017-10-20T06:09:00Z</cp:lastPrinted>
  <dcterms:created xsi:type="dcterms:W3CDTF">2021-02-05T09:08:00Z</dcterms:created>
  <dcterms:modified xsi:type="dcterms:W3CDTF">2023-02-23T06:30:00Z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