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ommentsExtensible.xml" ContentType="application/vnd.openxmlformats-officedocument.wordprocessingml.commentsExtensibl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05D9" w14:textId="77777777" w:rsidR="00771ECA" w:rsidRDefault="00771ECA">
      <w:pPr>
        <w:spacing w:line="300" w:lineRule="exact"/>
        <w:jc w:val="center"/>
        <w:rPr>
          <w:rFonts w:ascii="Arial" w:hAnsi="Arial" w:cs="Arial"/>
        </w:rPr>
      </w:pPr>
    </w:p>
    <w:p w14:paraId="7B85355D" w14:textId="77777777" w:rsidR="00771ECA" w:rsidRDefault="00771ECA">
      <w:pPr>
        <w:spacing w:line="300" w:lineRule="exact"/>
        <w:rPr>
          <w:rFonts w:ascii="Arial" w:hAnsi="Arial" w:cs="Arial"/>
        </w:rPr>
      </w:pPr>
    </w:p>
    <w:p w14:paraId="405D2154" w14:textId="77777777" w:rsidR="00771ECA" w:rsidRDefault="00771ECA">
      <w:pPr>
        <w:spacing w:line="300" w:lineRule="exact"/>
        <w:rPr>
          <w:rFonts w:ascii="Arial" w:hAnsi="Arial" w:cs="Arial"/>
        </w:rPr>
      </w:pPr>
    </w:p>
    <w:p w14:paraId="4FD466C3" w14:textId="77777777" w:rsidR="00771ECA" w:rsidRDefault="00771ECA">
      <w:pPr>
        <w:spacing w:line="300" w:lineRule="exact"/>
        <w:rPr>
          <w:rFonts w:ascii="Arial" w:hAnsi="Arial" w:cs="Arial"/>
        </w:rPr>
      </w:pPr>
    </w:p>
    <w:p w14:paraId="2277191D" w14:textId="77777777" w:rsidR="00771ECA" w:rsidRDefault="00771ECA">
      <w:pPr>
        <w:spacing w:line="300" w:lineRule="exact"/>
        <w:rPr>
          <w:rFonts w:ascii="Arial" w:hAnsi="Arial" w:cs="Arial"/>
        </w:rPr>
      </w:pPr>
    </w:p>
    <w:p w14:paraId="4E0B31F2" w14:textId="77777777" w:rsidR="00771ECA" w:rsidRDefault="00771ECA">
      <w:pPr>
        <w:spacing w:line="300" w:lineRule="exact"/>
        <w:rPr>
          <w:rFonts w:ascii="Arial" w:hAnsi="Arial" w:cs="Arial"/>
        </w:rPr>
      </w:pPr>
    </w:p>
    <w:p w14:paraId="1E87E489" w14:textId="77777777" w:rsidR="00771ECA" w:rsidRDefault="00771ECA">
      <w:pPr>
        <w:spacing w:line="300" w:lineRule="exact"/>
        <w:rPr>
          <w:rFonts w:ascii="Arial" w:hAnsi="Arial" w:cs="Arial"/>
        </w:rPr>
      </w:pPr>
    </w:p>
    <w:p w14:paraId="5E572A85" w14:textId="77777777" w:rsidR="00771ECA" w:rsidRDefault="00771ECA">
      <w:pPr>
        <w:spacing w:line="300" w:lineRule="exact"/>
        <w:rPr>
          <w:rFonts w:ascii="Arial" w:hAnsi="Arial" w:cs="Arial"/>
        </w:rPr>
      </w:pPr>
    </w:p>
    <w:p w14:paraId="5107067C" w14:textId="77777777" w:rsidR="00771ECA" w:rsidRDefault="00771ECA">
      <w:pPr>
        <w:spacing w:line="300" w:lineRule="exact"/>
        <w:rPr>
          <w:rFonts w:ascii="Arial" w:hAnsi="Arial" w:cs="Arial"/>
        </w:rPr>
      </w:pPr>
    </w:p>
    <w:p w14:paraId="1590988B" w14:textId="77777777" w:rsidR="00771ECA" w:rsidRDefault="00771ECA">
      <w:pPr>
        <w:spacing w:line="300" w:lineRule="exact"/>
        <w:rPr>
          <w:rFonts w:ascii="Arial" w:hAnsi="Arial" w:cs="Arial"/>
        </w:rPr>
      </w:pPr>
    </w:p>
    <w:p w14:paraId="6738C9A3" w14:textId="77777777" w:rsidR="00771ECA" w:rsidRDefault="00771ECA">
      <w:pPr>
        <w:spacing w:line="300" w:lineRule="exact"/>
        <w:rPr>
          <w:rFonts w:ascii="Arial" w:hAnsi="Arial" w:cs="Arial"/>
        </w:rPr>
      </w:pPr>
    </w:p>
    <w:p w14:paraId="089C5473" w14:textId="77777777" w:rsidR="00771ECA" w:rsidRDefault="00771ECA">
      <w:pPr>
        <w:spacing w:line="300" w:lineRule="exact"/>
        <w:rPr>
          <w:rFonts w:ascii="Arial" w:hAnsi="Arial" w:cs="Arial"/>
        </w:rPr>
      </w:pPr>
    </w:p>
    <w:p w14:paraId="70607845" w14:textId="77777777" w:rsidR="00771ECA" w:rsidRDefault="00771ECA">
      <w:pPr>
        <w:spacing w:line="300" w:lineRule="exact"/>
        <w:rPr>
          <w:rFonts w:ascii="Arial" w:hAnsi="Arial" w:cs="Arial"/>
        </w:rPr>
      </w:pPr>
    </w:p>
    <w:p w14:paraId="3FF2ED9F" w14:textId="77777777" w:rsidR="00771ECA" w:rsidRDefault="00771ECA">
      <w:pPr>
        <w:spacing w:line="300" w:lineRule="exact"/>
        <w:rPr>
          <w:rFonts w:ascii="Arial" w:hAnsi="Arial" w:cs="Arial"/>
        </w:rPr>
      </w:pPr>
    </w:p>
    <w:p w14:paraId="6592BEA8" w14:textId="77777777" w:rsidR="00771ECA" w:rsidRDefault="00771ECA">
      <w:pPr>
        <w:spacing w:line="300" w:lineRule="exact"/>
        <w:rPr>
          <w:rFonts w:ascii="Arial" w:hAnsi="Arial" w:cs="Arial"/>
        </w:rPr>
      </w:pPr>
    </w:p>
    <w:p w14:paraId="49A92153" w14:textId="77777777" w:rsidR="00771ECA" w:rsidRDefault="00771ECA">
      <w:pPr>
        <w:spacing w:line="300" w:lineRule="exact"/>
        <w:rPr>
          <w:rFonts w:ascii="Arial" w:hAnsi="Arial" w:cs="Arial"/>
        </w:rPr>
      </w:pPr>
    </w:p>
    <w:p w14:paraId="78705560" w14:textId="77777777" w:rsidR="00771ECA" w:rsidRDefault="00771ECA">
      <w:pPr>
        <w:spacing w:line="300" w:lineRule="exact"/>
        <w:rPr>
          <w:rFonts w:ascii="Arial" w:hAnsi="Arial" w:cs="Arial"/>
        </w:rPr>
      </w:pPr>
    </w:p>
    <w:p w14:paraId="0888371E" w14:textId="77777777" w:rsidR="00771ECA" w:rsidRDefault="00771ECA">
      <w:pPr>
        <w:spacing w:line="300" w:lineRule="exact"/>
        <w:rPr>
          <w:rFonts w:ascii="Arial" w:hAnsi="Arial" w:cs="Arial"/>
        </w:rPr>
      </w:pPr>
    </w:p>
    <w:p w14:paraId="6CB73B75" w14:textId="77777777" w:rsidR="00771ECA" w:rsidRDefault="00771ECA">
      <w:pPr>
        <w:spacing w:line="300" w:lineRule="exact"/>
        <w:rPr>
          <w:rFonts w:ascii="Arial" w:hAnsi="Arial" w:cs="Arial"/>
        </w:rPr>
      </w:pPr>
    </w:p>
    <w:p w14:paraId="4C70F53C" w14:textId="77777777" w:rsidR="00771ECA" w:rsidRDefault="00771ECA">
      <w:pPr>
        <w:spacing w:line="300" w:lineRule="exact"/>
        <w:rPr>
          <w:rFonts w:ascii="Arial" w:hAnsi="Arial" w:cs="Arial"/>
        </w:rPr>
      </w:pPr>
    </w:p>
    <w:p w14:paraId="247CD0D8" w14:textId="77777777" w:rsidR="00771ECA" w:rsidRDefault="00771ECA">
      <w:pPr>
        <w:spacing w:line="300" w:lineRule="exact"/>
        <w:rPr>
          <w:rFonts w:ascii="Arial" w:hAnsi="Arial" w:cs="Arial"/>
        </w:rPr>
      </w:pPr>
    </w:p>
    <w:p w14:paraId="6364C456" w14:textId="77777777" w:rsidR="00771ECA" w:rsidRDefault="00771ECA">
      <w:pPr>
        <w:spacing w:line="300" w:lineRule="exact"/>
        <w:rPr>
          <w:rFonts w:ascii="Arial" w:hAnsi="Arial" w:cs="Arial"/>
        </w:rPr>
      </w:pPr>
    </w:p>
    <w:p w14:paraId="2BCCF73A" w14:textId="77777777" w:rsidR="00771ECA" w:rsidRDefault="00771ECA">
      <w:pPr>
        <w:spacing w:line="300" w:lineRule="exact"/>
        <w:rPr>
          <w:rFonts w:ascii="Arial" w:hAnsi="Arial" w:cs="Arial"/>
        </w:rPr>
      </w:pPr>
    </w:p>
    <w:p w14:paraId="713539B1" w14:textId="77777777" w:rsidR="00771ECA" w:rsidRDefault="00771ECA">
      <w:pPr>
        <w:spacing w:line="300" w:lineRule="exact"/>
        <w:rPr>
          <w:rFonts w:ascii="Arial" w:hAnsi="Arial" w:cs="Arial"/>
        </w:rPr>
      </w:pPr>
    </w:p>
    <w:p w14:paraId="21F34266" w14:textId="77777777" w:rsidR="00771ECA" w:rsidRDefault="00771ECA">
      <w:pPr>
        <w:spacing w:line="300" w:lineRule="exact"/>
        <w:rPr>
          <w:rFonts w:ascii="Arial" w:hAnsi="Arial" w:cs="Arial"/>
        </w:rPr>
      </w:pPr>
    </w:p>
    <w:p w14:paraId="0C4709B7" w14:textId="77777777" w:rsidR="00771ECA" w:rsidRDefault="00771ECA">
      <w:pPr>
        <w:spacing w:line="300" w:lineRule="exact"/>
        <w:rPr>
          <w:rFonts w:ascii="Arial" w:hAnsi="Arial" w:cs="Arial"/>
        </w:rPr>
      </w:pPr>
    </w:p>
    <w:p w14:paraId="1C4C6FF9" w14:textId="77777777" w:rsidR="00771ECA" w:rsidRDefault="00000000">
      <w:pPr>
        <w:pStyle w:val="af1"/>
        <w:numPr>
          <w:ilvl w:val="0"/>
          <w:numId w:val="10"/>
        </w:numPr>
        <w:spacing w:line="300" w:lineRule="exact"/>
        <w:ind w:right="-93"/>
        <w:jc w:val="both"/>
        <w:outlineLvl w:val="0"/>
        <w:rPr>
          <w:rFonts w:ascii="Arial" w:eastAsia="方正黑体简体" w:hAnsi="Arial" w:cs="Arial"/>
          <w:b/>
          <w:bCs/>
          <w:sz w:val="21"/>
          <w:szCs w:val="21"/>
        </w:rPr>
      </w:pPr>
      <w:r>
        <w:rPr>
          <w:rFonts w:ascii="Arial" w:eastAsia="方正黑体简体" w:hAnsi="Arial" w:cs="Arial"/>
          <w:b/>
          <w:bCs/>
          <w:sz w:val="21"/>
          <w:szCs w:val="21"/>
        </w:rPr>
        <w:t>估价项目名称：</w:t>
      </w:r>
    </w:p>
    <w:p w14:paraId="3B7069AA" w14:textId="77777777" w:rsidR="00771ECA" w:rsidRDefault="00000000">
      <w:pPr>
        <w:pStyle w:val="af1"/>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北京经济技术开发区科创十一街</w:t>
      </w:r>
      <w:r>
        <w:rPr>
          <w:rFonts w:ascii="Arial" w:eastAsia="方正黑体简体" w:hAnsi="Arial" w:cs="Arial"/>
          <w:sz w:val="21"/>
          <w:szCs w:val="21"/>
        </w:rPr>
        <w:t>4</w:t>
      </w:r>
      <w:r>
        <w:rPr>
          <w:rFonts w:ascii="Arial" w:eastAsia="方正黑体简体" w:hAnsi="Arial" w:cs="Arial"/>
          <w:sz w:val="21"/>
          <w:szCs w:val="21"/>
        </w:rPr>
        <w:t>号院</w:t>
      </w:r>
      <w:r>
        <w:rPr>
          <w:rFonts w:ascii="Arial" w:eastAsia="方正黑体简体" w:hAnsi="Arial" w:cs="Arial"/>
          <w:sz w:val="21"/>
          <w:szCs w:val="21"/>
        </w:rPr>
        <w:t>10</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层</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102</w:t>
      </w:r>
      <w:r>
        <w:rPr>
          <w:rFonts w:ascii="Arial" w:eastAsia="方正黑体简体" w:hAnsi="Arial" w:cs="Arial"/>
          <w:sz w:val="21"/>
          <w:szCs w:val="21"/>
        </w:rPr>
        <w:t>等</w:t>
      </w:r>
      <w:r>
        <w:rPr>
          <w:rFonts w:ascii="Arial" w:eastAsia="方正黑体简体" w:hAnsi="Arial" w:cs="Arial"/>
          <w:sz w:val="21"/>
          <w:szCs w:val="21"/>
        </w:rPr>
        <w:t>513</w:t>
      </w:r>
      <w:r>
        <w:rPr>
          <w:rFonts w:ascii="Arial" w:eastAsia="方正黑体简体" w:hAnsi="Arial" w:cs="Arial"/>
          <w:sz w:val="21"/>
          <w:szCs w:val="21"/>
        </w:rPr>
        <w:t>套（</w:t>
      </w:r>
      <w:r>
        <w:rPr>
          <w:rFonts w:ascii="Arial" w:eastAsia="方正黑体简体" w:hAnsi="Arial" w:cs="Arial"/>
          <w:sz w:val="21"/>
          <w:szCs w:val="21"/>
        </w:rPr>
        <w:t>E18</w:t>
      </w:r>
      <w:r>
        <w:rPr>
          <w:rFonts w:ascii="Arial" w:eastAsia="方正黑体简体" w:hAnsi="Arial" w:cs="Arial"/>
          <w:sz w:val="21"/>
          <w:szCs w:val="21"/>
        </w:rPr>
        <w:t>亦城景园）住宅用房市场租金评估</w:t>
      </w:r>
    </w:p>
    <w:p w14:paraId="6292802A" w14:textId="77777777" w:rsidR="00771ECA" w:rsidRDefault="00771ECA">
      <w:pPr>
        <w:spacing w:line="300" w:lineRule="exact"/>
        <w:rPr>
          <w:rFonts w:ascii="Arial" w:eastAsia="方正黑体简体" w:hAnsi="Arial" w:cs="Arial"/>
          <w:b/>
          <w:bCs/>
          <w:sz w:val="21"/>
          <w:szCs w:val="21"/>
        </w:rPr>
      </w:pPr>
    </w:p>
    <w:p w14:paraId="294BAA32" w14:textId="77777777" w:rsidR="00771ECA" w:rsidRDefault="00000000">
      <w:pPr>
        <w:pStyle w:val="af1"/>
        <w:numPr>
          <w:ilvl w:val="0"/>
          <w:numId w:val="10"/>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估价委托人：</w:t>
      </w:r>
    </w:p>
    <w:p w14:paraId="56CCF8F5" w14:textId="77777777" w:rsidR="00771ECA" w:rsidRDefault="00000000">
      <w:pPr>
        <w:pStyle w:val="af1"/>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北京博大新元房地产开发有限公司</w:t>
      </w:r>
    </w:p>
    <w:p w14:paraId="1077C312" w14:textId="77777777" w:rsidR="00771ECA" w:rsidRDefault="00771ECA">
      <w:pPr>
        <w:pStyle w:val="af1"/>
        <w:spacing w:line="300" w:lineRule="exact"/>
        <w:ind w:left="360" w:firstLine="0"/>
        <w:jc w:val="both"/>
        <w:rPr>
          <w:rFonts w:ascii="Arial" w:eastAsia="方正黑体简体" w:hAnsi="Arial" w:cs="Arial"/>
          <w:sz w:val="21"/>
          <w:szCs w:val="21"/>
        </w:rPr>
      </w:pPr>
    </w:p>
    <w:p w14:paraId="5D834AE0" w14:textId="77777777" w:rsidR="00771ECA" w:rsidRDefault="00000000">
      <w:pPr>
        <w:pStyle w:val="af1"/>
        <w:numPr>
          <w:ilvl w:val="0"/>
          <w:numId w:val="10"/>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房地产估价机构：</w:t>
      </w:r>
    </w:p>
    <w:p w14:paraId="10DC5C34" w14:textId="77777777" w:rsidR="00771ECA" w:rsidRDefault="00000000">
      <w:pPr>
        <w:pStyle w:val="af1"/>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北京康正宏基房地产评估有限公司</w:t>
      </w:r>
    </w:p>
    <w:p w14:paraId="70C9EEC9" w14:textId="77777777" w:rsidR="00771ECA" w:rsidRDefault="00771ECA">
      <w:pPr>
        <w:spacing w:line="300" w:lineRule="exact"/>
        <w:jc w:val="both"/>
        <w:rPr>
          <w:rFonts w:ascii="Arial" w:eastAsia="方正黑体简体" w:hAnsi="Arial" w:cs="Arial"/>
          <w:b/>
          <w:sz w:val="21"/>
          <w:szCs w:val="21"/>
        </w:rPr>
      </w:pPr>
    </w:p>
    <w:p w14:paraId="0DDA8232" w14:textId="77777777" w:rsidR="00771ECA" w:rsidRDefault="00000000">
      <w:pPr>
        <w:pStyle w:val="af1"/>
        <w:numPr>
          <w:ilvl w:val="0"/>
          <w:numId w:val="10"/>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注册房地产估价师：</w:t>
      </w:r>
    </w:p>
    <w:p w14:paraId="12C15E4E" w14:textId="77777777" w:rsidR="00771ECA" w:rsidRDefault="00000000">
      <w:pPr>
        <w:pStyle w:val="af1"/>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高</w:t>
      </w:r>
      <w:r>
        <w:rPr>
          <w:rFonts w:ascii="Arial" w:eastAsia="Arial" w:hAnsi="Arial" w:cs="Arial"/>
          <w:sz w:val="21"/>
          <w:szCs w:val="21"/>
        </w:rPr>
        <w:t xml:space="preserve"> </w:t>
      </w:r>
      <w:r>
        <w:rPr>
          <w:rFonts w:ascii="Arial" w:eastAsia="方正黑体简体" w:hAnsi="Arial" w:cs="Arial"/>
          <w:sz w:val="21"/>
          <w:szCs w:val="21"/>
        </w:rPr>
        <w:t>鹏（注册号：</w:t>
      </w:r>
      <w:r>
        <w:rPr>
          <w:rFonts w:ascii="Arial" w:eastAsia="方正黑体简体" w:hAnsi="Arial" w:cs="Arial"/>
          <w:sz w:val="21"/>
          <w:szCs w:val="21"/>
        </w:rPr>
        <w:t>1120140024</w:t>
      </w:r>
      <w:r>
        <w:rPr>
          <w:rFonts w:ascii="Arial" w:eastAsia="方正黑体简体" w:hAnsi="Arial" w:cs="Arial"/>
          <w:sz w:val="21"/>
          <w:szCs w:val="21"/>
        </w:rPr>
        <w:t>）、许皓源（注册号：</w:t>
      </w:r>
      <w:r>
        <w:rPr>
          <w:rFonts w:ascii="Arial" w:eastAsia="方正黑体简体" w:hAnsi="Arial" w:cs="Arial"/>
          <w:sz w:val="21"/>
          <w:szCs w:val="21"/>
        </w:rPr>
        <w:t>1119980019</w:t>
      </w:r>
      <w:r>
        <w:rPr>
          <w:rFonts w:ascii="Arial" w:eastAsia="方正黑体简体" w:hAnsi="Arial" w:cs="Arial"/>
          <w:sz w:val="21"/>
          <w:szCs w:val="21"/>
        </w:rPr>
        <w:t>）</w:t>
      </w:r>
    </w:p>
    <w:p w14:paraId="1F4B9B46" w14:textId="77777777" w:rsidR="00771ECA" w:rsidRDefault="00771ECA">
      <w:pPr>
        <w:spacing w:line="300" w:lineRule="exact"/>
        <w:jc w:val="both"/>
        <w:rPr>
          <w:rFonts w:ascii="Arial" w:eastAsia="方正黑体简体" w:hAnsi="Arial" w:cs="Arial"/>
          <w:b/>
          <w:sz w:val="21"/>
          <w:szCs w:val="21"/>
        </w:rPr>
      </w:pPr>
    </w:p>
    <w:p w14:paraId="3290841A" w14:textId="77777777" w:rsidR="00771ECA" w:rsidRDefault="00000000">
      <w:pPr>
        <w:pStyle w:val="af1"/>
        <w:numPr>
          <w:ilvl w:val="0"/>
          <w:numId w:val="10"/>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14:paraId="6D28B1B5" w14:textId="77777777" w:rsidR="00771ECA" w:rsidRDefault="00000000">
      <w:pPr>
        <w:pStyle w:val="af1"/>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1</w:t>
      </w:r>
      <w:r>
        <w:rPr>
          <w:rFonts w:ascii="Arial" w:eastAsia="方正黑体简体" w:hAnsi="Arial" w:cs="Arial"/>
          <w:sz w:val="21"/>
          <w:szCs w:val="21"/>
        </w:rPr>
        <w:t>月</w:t>
      </w:r>
      <w:r>
        <w:rPr>
          <w:rFonts w:ascii="Arial" w:eastAsia="方正黑体简体" w:hAnsi="Arial" w:cs="Arial"/>
          <w:sz w:val="21"/>
          <w:szCs w:val="21"/>
        </w:rPr>
        <w:t>4</w:t>
      </w:r>
      <w:r>
        <w:rPr>
          <w:rFonts w:ascii="Arial" w:eastAsia="方正黑体简体" w:hAnsi="Arial" w:cs="Arial"/>
          <w:sz w:val="21"/>
          <w:szCs w:val="21"/>
        </w:rPr>
        <w:t>日</w:t>
      </w:r>
    </w:p>
    <w:p w14:paraId="4D366BE8" w14:textId="77777777" w:rsidR="00771ECA" w:rsidRDefault="00771ECA">
      <w:pPr>
        <w:spacing w:line="300" w:lineRule="exact"/>
        <w:jc w:val="both"/>
        <w:rPr>
          <w:rFonts w:ascii="Arial" w:eastAsia="方正黑体简体" w:hAnsi="Arial" w:cs="Arial"/>
          <w:b/>
          <w:sz w:val="21"/>
          <w:szCs w:val="21"/>
        </w:rPr>
      </w:pPr>
    </w:p>
    <w:p w14:paraId="3BD68690" w14:textId="77777777" w:rsidR="00771ECA" w:rsidRDefault="00000000">
      <w:pPr>
        <w:pStyle w:val="af1"/>
        <w:numPr>
          <w:ilvl w:val="0"/>
          <w:numId w:val="10"/>
        </w:numPr>
        <w:spacing w:line="300" w:lineRule="exact"/>
        <w:jc w:val="both"/>
        <w:outlineLvl w:val="0"/>
        <w:rPr>
          <w:rFonts w:ascii="Arial" w:eastAsia="方正黑体简体" w:hAnsi="Arial" w:cs="Arial"/>
          <w:sz w:val="21"/>
          <w:szCs w:val="21"/>
        </w:rPr>
      </w:pPr>
      <w:r>
        <w:rPr>
          <w:rFonts w:ascii="Arial" w:eastAsia="方正黑体简体" w:hAnsi="Arial" w:cs="Arial"/>
          <w:b/>
          <w:sz w:val="21"/>
          <w:szCs w:val="21"/>
        </w:rPr>
        <w:t>估价报告编号：</w:t>
      </w:r>
    </w:p>
    <w:p w14:paraId="2FF50FA4" w14:textId="77777777" w:rsidR="00771ECA" w:rsidRDefault="00000000">
      <w:pPr>
        <w:pStyle w:val="af1"/>
        <w:spacing w:line="300" w:lineRule="exact"/>
        <w:ind w:left="360" w:firstLine="0"/>
        <w:jc w:val="both"/>
        <w:rPr>
          <w:rFonts w:ascii="Arial" w:eastAsia="方正黑体简体" w:hAnsi="Arial" w:cs="Arial"/>
          <w:sz w:val="21"/>
          <w:szCs w:val="21"/>
        </w:rPr>
        <w:sectPr w:rsidR="00771ECA">
          <w:headerReference w:type="default" r:id="rId7"/>
          <w:footerReference w:type="default" r:id="rId8"/>
          <w:headerReference w:type="first" r:id="rId9"/>
          <w:footerReference w:type="first" r:id="rId10"/>
          <w:pgSz w:w="11906" w:h="16838"/>
          <w:pgMar w:top="1843" w:right="1134" w:bottom="1190" w:left="1474" w:header="850" w:footer="1134" w:gutter="0"/>
          <w:cols w:space="720"/>
          <w:formProt w:val="0"/>
          <w:titlePg/>
          <w:docGrid w:linePitch="326"/>
        </w:sectPr>
      </w:pPr>
      <w:r>
        <w:rPr>
          <w:rFonts w:ascii="Arial" w:eastAsia="方正黑体简体" w:hAnsi="Arial" w:cs="Arial"/>
          <w:sz w:val="21"/>
          <w:szCs w:val="21"/>
        </w:rPr>
        <w:t>康正评字</w:t>
      </w:r>
      <w:r>
        <w:rPr>
          <w:rFonts w:ascii="Arial" w:eastAsia="方正黑体简体" w:hAnsi="Arial" w:cs="Arial"/>
          <w:sz w:val="21"/>
          <w:szCs w:val="21"/>
        </w:rPr>
        <w:tab/>
        <w:t>2023-1-0911-F01ZLGJ6</w:t>
      </w:r>
      <w:r>
        <w:rPr>
          <w:rFonts w:ascii="Arial" w:eastAsia="方正黑体简体" w:hAnsi="Arial" w:cs="Arial"/>
          <w:sz w:val="21"/>
          <w:szCs w:val="21"/>
        </w:rPr>
        <w:t>号</w:t>
      </w:r>
    </w:p>
    <w:p w14:paraId="6765CB6F" w14:textId="77777777" w:rsidR="00771ECA" w:rsidRDefault="00771ECA">
      <w:pPr>
        <w:pStyle w:val="af1"/>
        <w:rPr>
          <w:rFonts w:ascii="Arial" w:eastAsia="方正黑体简体" w:hAnsi="Arial" w:cs="Arial"/>
          <w:sz w:val="21"/>
          <w:szCs w:val="21"/>
        </w:rPr>
        <w:sectPr w:rsidR="00771ECA">
          <w:headerReference w:type="default" r:id="rId11"/>
          <w:footerReference w:type="default" r:id="rId12"/>
          <w:headerReference w:type="first" r:id="rId13"/>
          <w:footerReference w:type="first" r:id="rId14"/>
          <w:pgSz w:w="11906" w:h="16838"/>
          <w:pgMar w:top="1843" w:right="1134" w:bottom="1190" w:left="1474" w:header="850" w:footer="1134" w:gutter="0"/>
          <w:cols w:space="720"/>
          <w:formProt w:val="0"/>
          <w:titlePg/>
          <w:docGrid w:linePitch="326"/>
        </w:sectPr>
      </w:pPr>
    </w:p>
    <w:p w14:paraId="473A5EC1" w14:textId="77777777" w:rsidR="00771ECA" w:rsidRDefault="00000000">
      <w:pPr>
        <w:pStyle w:val="1"/>
        <w:spacing w:line="480" w:lineRule="auto"/>
        <w:jc w:val="center"/>
        <w:rPr>
          <w:rFonts w:eastAsia="方正黑体简体"/>
          <w:b w:val="0"/>
          <w:color w:val="000000"/>
          <w:kern w:val="2"/>
          <w:sz w:val="32"/>
          <w:szCs w:val="32"/>
        </w:rPr>
      </w:pPr>
      <w:bookmarkStart w:id="0" w:name="__RefHeading___Toc525655414"/>
      <w:bookmarkEnd w:id="0"/>
      <w:r>
        <w:rPr>
          <w:rFonts w:eastAsia="方正黑体简体"/>
          <w:b w:val="0"/>
          <w:color w:val="000000"/>
          <w:kern w:val="2"/>
          <w:sz w:val="32"/>
          <w:szCs w:val="32"/>
        </w:rPr>
        <w:lastRenderedPageBreak/>
        <w:t>致估价委托人函</w:t>
      </w:r>
    </w:p>
    <w:p w14:paraId="2551EE80" w14:textId="77777777" w:rsidR="00771ECA" w:rsidRDefault="00000000">
      <w:pPr>
        <w:overflowPunct w:val="0"/>
        <w:spacing w:before="120"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p>
    <w:p w14:paraId="53377CEA"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kern w:val="2"/>
          <w:sz w:val="21"/>
          <w:szCs w:val="21"/>
        </w:rPr>
        <w:t>受贵单位委托，我公司对北京经济技术开发区科创十一街</w:t>
      </w:r>
      <w:r>
        <w:rPr>
          <w:rFonts w:ascii="Arial" w:hAnsi="Arial" w:cs="Arial"/>
          <w:kern w:val="2"/>
          <w:sz w:val="21"/>
          <w:szCs w:val="21"/>
        </w:rPr>
        <w:t>4</w:t>
      </w:r>
      <w:r>
        <w:rPr>
          <w:rFonts w:ascii="Arial" w:hAnsi="Arial" w:cs="Arial"/>
          <w:kern w:val="2"/>
          <w:sz w:val="21"/>
          <w:szCs w:val="21"/>
        </w:rPr>
        <w:t>号院</w:t>
      </w:r>
      <w:r>
        <w:rPr>
          <w:rFonts w:ascii="Arial" w:hAnsi="Arial" w:cs="Arial"/>
          <w:kern w:val="2"/>
          <w:sz w:val="21"/>
          <w:szCs w:val="21"/>
        </w:rPr>
        <w:t>10</w:t>
      </w:r>
      <w:r>
        <w:rPr>
          <w:rFonts w:ascii="Arial" w:hAnsi="Arial" w:cs="Arial"/>
          <w:kern w:val="2"/>
          <w:sz w:val="21"/>
          <w:szCs w:val="21"/>
        </w:rPr>
        <w:t>号楼</w:t>
      </w:r>
      <w:r>
        <w:rPr>
          <w:rFonts w:ascii="Arial" w:hAnsi="Arial" w:cs="Arial"/>
          <w:kern w:val="2"/>
          <w:sz w:val="21"/>
          <w:szCs w:val="21"/>
        </w:rPr>
        <w:t>1</w:t>
      </w:r>
      <w:r>
        <w:rPr>
          <w:rFonts w:ascii="Arial" w:hAnsi="Arial" w:cs="Arial"/>
          <w:kern w:val="2"/>
          <w:sz w:val="21"/>
          <w:szCs w:val="21"/>
        </w:rPr>
        <w:t>层</w:t>
      </w:r>
      <w:r>
        <w:rPr>
          <w:rFonts w:ascii="Arial" w:hAnsi="Arial" w:cs="Arial"/>
          <w:kern w:val="2"/>
          <w:sz w:val="21"/>
          <w:szCs w:val="21"/>
        </w:rPr>
        <w:t>1</w:t>
      </w:r>
      <w:r>
        <w:rPr>
          <w:rFonts w:ascii="Arial" w:hAnsi="Arial" w:cs="Arial"/>
          <w:kern w:val="2"/>
          <w:sz w:val="21"/>
          <w:szCs w:val="21"/>
        </w:rPr>
        <w:t>单元</w:t>
      </w:r>
      <w:r>
        <w:rPr>
          <w:rFonts w:ascii="Arial" w:hAnsi="Arial" w:cs="Arial"/>
          <w:kern w:val="2"/>
          <w:sz w:val="21"/>
          <w:szCs w:val="21"/>
        </w:rPr>
        <w:t>102</w:t>
      </w:r>
      <w:r>
        <w:rPr>
          <w:rFonts w:ascii="Arial" w:hAnsi="Arial" w:cs="Arial"/>
          <w:kern w:val="2"/>
          <w:sz w:val="21"/>
          <w:szCs w:val="21"/>
        </w:rPr>
        <w:t>等</w:t>
      </w:r>
      <w:r>
        <w:rPr>
          <w:rFonts w:ascii="Arial" w:hAnsi="Arial" w:cs="Arial"/>
          <w:kern w:val="2"/>
          <w:sz w:val="21"/>
          <w:szCs w:val="21"/>
        </w:rPr>
        <w:t>513</w:t>
      </w:r>
      <w:r>
        <w:rPr>
          <w:rFonts w:ascii="Arial" w:hAnsi="Arial" w:cs="Arial"/>
          <w:kern w:val="2"/>
          <w:sz w:val="21"/>
          <w:szCs w:val="21"/>
        </w:rPr>
        <w:t>套（</w:t>
      </w:r>
      <w:r>
        <w:rPr>
          <w:rFonts w:ascii="Arial" w:hAnsi="Arial" w:cs="Arial"/>
          <w:kern w:val="2"/>
          <w:sz w:val="21"/>
          <w:szCs w:val="21"/>
        </w:rPr>
        <w:t>E18</w:t>
      </w:r>
      <w:r>
        <w:rPr>
          <w:rFonts w:ascii="Arial" w:hAnsi="Arial" w:cs="Arial"/>
          <w:kern w:val="2"/>
          <w:sz w:val="21"/>
          <w:szCs w:val="21"/>
        </w:rPr>
        <w:t>亦城景园）住宅用房的市场租金进行了评估。</w:t>
      </w:r>
    </w:p>
    <w:p w14:paraId="12C003BD" w14:textId="77777777" w:rsidR="00771ECA" w:rsidRDefault="00000000">
      <w:pPr>
        <w:overflowPunct w:val="0"/>
        <w:spacing w:line="480" w:lineRule="auto"/>
        <w:ind w:firstLine="420"/>
        <w:jc w:val="both"/>
        <w:textAlignment w:val="auto"/>
      </w:pPr>
      <w:r>
        <w:rPr>
          <w:rFonts w:ascii="Arial" w:hAnsi="Arial" w:cs="Arial"/>
          <w:b/>
          <w:bCs/>
          <w:color w:val="000000"/>
          <w:sz w:val="21"/>
          <w:szCs w:val="21"/>
        </w:rPr>
        <w:t>估价目的：</w:t>
      </w:r>
      <w:r>
        <w:rPr>
          <w:rFonts w:ascii="Arial" w:hAnsi="Arial" w:cs="Arial"/>
          <w:sz w:val="21"/>
          <w:szCs w:val="21"/>
        </w:rPr>
        <w:t>为估价委托人了解估价对象房地产市场租金水平提供参考依据。</w:t>
      </w:r>
    </w:p>
    <w:p w14:paraId="6B5C1E42" w14:textId="77777777" w:rsidR="00771ECA" w:rsidRDefault="00000000">
      <w:pPr>
        <w:overflowPunct w:val="0"/>
        <w:spacing w:line="480" w:lineRule="auto"/>
        <w:ind w:firstLine="420"/>
        <w:jc w:val="both"/>
        <w:textAlignment w:val="auto"/>
        <w:rPr>
          <w:rFonts w:cs="Arial"/>
        </w:rPr>
      </w:pPr>
      <w:r>
        <w:rPr>
          <w:rFonts w:ascii="Arial" w:hAnsi="Arial" w:cs="Arial"/>
          <w:b/>
          <w:bCs/>
          <w:sz w:val="21"/>
          <w:szCs w:val="21"/>
        </w:rPr>
        <w:t>估价对象：</w:t>
      </w:r>
      <w:bookmarkStart w:id="1" w:name="_Hlk155254977"/>
      <w:r>
        <w:rPr>
          <w:rFonts w:ascii="Arial" w:eastAsia="Arial" w:hAnsi="Arial" w:cs="Arial"/>
          <w:kern w:val="2"/>
          <w:sz w:val="21"/>
          <w:szCs w:val="21"/>
        </w:rPr>
        <w:t xml:space="preserve"> </w:t>
      </w:r>
      <w:r>
        <w:rPr>
          <w:rFonts w:ascii="Arial" w:hAnsi="Arial" w:cs="Arial"/>
          <w:sz w:val="21"/>
          <w:szCs w:val="21"/>
        </w:rPr>
        <w:t>根据不动产权利人提供的</w:t>
      </w:r>
      <w:r>
        <w:rPr>
          <w:rFonts w:ascii="Arial" w:hAnsi="Arial" w:cs="Arial"/>
          <w:kern w:val="2"/>
          <w:sz w:val="21"/>
          <w:szCs w:val="21"/>
        </w:rPr>
        <w:t>《不动产权证书》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，估价对象为北京经济技术开发区科创十一街</w:t>
      </w:r>
      <w:r>
        <w:rPr>
          <w:rFonts w:ascii="Arial" w:hAnsi="Arial" w:cs="Arial"/>
          <w:kern w:val="2"/>
          <w:sz w:val="21"/>
          <w:szCs w:val="21"/>
        </w:rPr>
        <w:t>4</w:t>
      </w:r>
      <w:r>
        <w:rPr>
          <w:rFonts w:ascii="Arial" w:hAnsi="Arial" w:cs="Arial"/>
          <w:kern w:val="2"/>
          <w:sz w:val="21"/>
          <w:szCs w:val="21"/>
        </w:rPr>
        <w:t>号院</w:t>
      </w:r>
      <w:r>
        <w:rPr>
          <w:rFonts w:ascii="Arial" w:hAnsi="Arial" w:cs="Arial"/>
          <w:kern w:val="2"/>
          <w:sz w:val="21"/>
          <w:szCs w:val="21"/>
        </w:rPr>
        <w:t>10</w:t>
      </w:r>
      <w:r>
        <w:rPr>
          <w:rFonts w:ascii="Arial" w:hAnsi="Arial" w:cs="Arial"/>
          <w:kern w:val="2"/>
          <w:sz w:val="21"/>
          <w:szCs w:val="21"/>
        </w:rPr>
        <w:t>号楼</w:t>
      </w:r>
      <w:r>
        <w:rPr>
          <w:rFonts w:ascii="Arial" w:hAnsi="Arial" w:cs="Arial"/>
          <w:kern w:val="2"/>
          <w:sz w:val="21"/>
          <w:szCs w:val="21"/>
        </w:rPr>
        <w:t>1</w:t>
      </w:r>
      <w:r>
        <w:rPr>
          <w:rFonts w:ascii="Arial" w:hAnsi="Arial" w:cs="Arial"/>
          <w:kern w:val="2"/>
          <w:sz w:val="21"/>
          <w:szCs w:val="21"/>
        </w:rPr>
        <w:t>层</w:t>
      </w:r>
      <w:r>
        <w:rPr>
          <w:rFonts w:ascii="Arial" w:hAnsi="Arial" w:cs="Arial"/>
          <w:kern w:val="2"/>
          <w:sz w:val="21"/>
          <w:szCs w:val="21"/>
        </w:rPr>
        <w:t>1</w:t>
      </w:r>
      <w:r>
        <w:rPr>
          <w:rFonts w:ascii="Arial" w:hAnsi="Arial" w:cs="Arial"/>
          <w:kern w:val="2"/>
          <w:sz w:val="21"/>
          <w:szCs w:val="21"/>
        </w:rPr>
        <w:t>单元</w:t>
      </w:r>
      <w:r>
        <w:rPr>
          <w:rFonts w:ascii="Arial" w:hAnsi="Arial" w:cs="Arial"/>
          <w:kern w:val="2"/>
          <w:sz w:val="21"/>
          <w:szCs w:val="21"/>
        </w:rPr>
        <w:t>102</w:t>
      </w:r>
      <w:r>
        <w:rPr>
          <w:rFonts w:ascii="Arial" w:hAnsi="Arial" w:cs="Arial"/>
          <w:kern w:val="2"/>
          <w:sz w:val="21"/>
          <w:szCs w:val="21"/>
        </w:rPr>
        <w:t>等</w:t>
      </w:r>
      <w:r>
        <w:rPr>
          <w:rFonts w:ascii="Arial" w:hAnsi="Arial" w:cs="Arial"/>
          <w:kern w:val="2"/>
          <w:sz w:val="21"/>
          <w:szCs w:val="21"/>
        </w:rPr>
        <w:t>513</w:t>
      </w:r>
      <w:r>
        <w:rPr>
          <w:rFonts w:ascii="Arial" w:hAnsi="Arial" w:cs="Arial"/>
          <w:kern w:val="2"/>
          <w:sz w:val="21"/>
          <w:szCs w:val="21"/>
        </w:rPr>
        <w:t>套（</w:t>
      </w:r>
      <w:r>
        <w:rPr>
          <w:rFonts w:ascii="Arial" w:hAnsi="Arial" w:cs="Arial"/>
          <w:kern w:val="2"/>
          <w:sz w:val="21"/>
          <w:szCs w:val="21"/>
        </w:rPr>
        <w:t>E18</w:t>
      </w:r>
      <w:r>
        <w:rPr>
          <w:rFonts w:ascii="Arial" w:hAnsi="Arial" w:cs="Arial"/>
          <w:kern w:val="2"/>
          <w:sz w:val="21"/>
          <w:szCs w:val="21"/>
        </w:rPr>
        <w:t>亦城景园）住宅用房项目，现状四至为东至通惠干渠路、</w:t>
      </w:r>
      <w:commentRangeStart w:id="2"/>
      <w:r>
        <w:rPr>
          <w:rFonts w:ascii="Arial" w:hAnsi="Arial" w:cs="Arial"/>
          <w:kern w:val="2"/>
          <w:sz w:val="21"/>
          <w:szCs w:val="21"/>
        </w:rPr>
        <w:t>南至科创十二街</w:t>
      </w:r>
      <w:commentRangeEnd w:id="2"/>
      <w:r>
        <w:commentReference w:id="2"/>
      </w:r>
      <w:r>
        <w:rPr>
          <w:rFonts w:ascii="Arial" w:hAnsi="Arial" w:cs="Arial"/>
          <w:kern w:val="2"/>
          <w:sz w:val="21"/>
          <w:szCs w:val="21"/>
        </w:rPr>
        <w:t>、西至经海六路、北至科创十一街。根据估价委托人提供的《估价委托书》、《不动产权证书》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，估价对象所属宗地土地用途为城镇住宅用地等，权利人为北京博大新元房地产开发有限公司，权利类型为国有建设用地使用权</w:t>
      </w:r>
      <w:r>
        <w:rPr>
          <w:rFonts w:ascii="Arial" w:hAnsi="Arial" w:cs="Arial"/>
          <w:kern w:val="2"/>
          <w:sz w:val="21"/>
          <w:szCs w:val="21"/>
        </w:rPr>
        <w:t>/</w:t>
      </w:r>
      <w:r>
        <w:rPr>
          <w:rFonts w:ascii="Arial" w:hAnsi="Arial" w:cs="Arial"/>
          <w:kern w:val="2"/>
          <w:sz w:val="21"/>
          <w:szCs w:val="21"/>
        </w:rPr>
        <w:t>房屋所有权，权利性质为国有土地租赁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日，用途为居住</w:t>
      </w:r>
      <w:r>
        <w:rPr>
          <w:rFonts w:ascii="Arial" w:hAnsi="Arial" w:cs="Arial"/>
          <w:kern w:val="2"/>
          <w:sz w:val="21"/>
          <w:szCs w:val="21"/>
        </w:rPr>
        <w:t>/</w:t>
      </w:r>
      <w:r>
        <w:rPr>
          <w:rFonts w:ascii="Arial" w:hAnsi="Arial" w:cs="Arial"/>
          <w:kern w:val="2"/>
          <w:sz w:val="21"/>
          <w:szCs w:val="21"/>
        </w:rPr>
        <w:t>门卫室、住宅等</w:t>
      </w:r>
      <w:r>
        <w:rPr>
          <w:rFonts w:ascii="Arial" w:hAnsi="Arial" w:cs="Arial"/>
          <w:kern w:val="2"/>
          <w:sz w:val="21"/>
          <w:szCs w:val="21"/>
        </w:rPr>
        <w:t>16</w:t>
      </w:r>
      <w:r>
        <w:rPr>
          <w:rFonts w:ascii="Arial" w:hAnsi="Arial" w:cs="Arial"/>
          <w:kern w:val="2"/>
          <w:sz w:val="21"/>
          <w:szCs w:val="21"/>
        </w:rPr>
        <w:t>种用途。根据估价委托人提供的《</w:t>
      </w:r>
      <w:r>
        <w:rPr>
          <w:rFonts w:ascii="Arial" w:hAnsi="Arial" w:cs="Arial"/>
          <w:kern w:val="2"/>
          <w:sz w:val="21"/>
          <w:szCs w:val="21"/>
        </w:rPr>
        <w:t>E18</w:t>
      </w:r>
      <w:r>
        <w:rPr>
          <w:rFonts w:ascii="Arial" w:hAnsi="Arial" w:cs="Arial"/>
          <w:kern w:val="2"/>
          <w:sz w:val="21"/>
          <w:szCs w:val="21"/>
        </w:rPr>
        <w:t>国际人才公寓房屋明细》，本次评估的</w:t>
      </w:r>
      <w:r>
        <w:rPr>
          <w:rFonts w:ascii="Arial" w:hAnsi="Arial" w:cs="Arial"/>
          <w:kern w:val="2"/>
          <w:sz w:val="21"/>
          <w:szCs w:val="21"/>
        </w:rPr>
        <w:t>513</w:t>
      </w:r>
      <w:r>
        <w:rPr>
          <w:rFonts w:ascii="Arial" w:hAnsi="Arial" w:cs="Arial"/>
          <w:kern w:val="2"/>
          <w:sz w:val="21"/>
          <w:szCs w:val="21"/>
        </w:rPr>
        <w:t>套人才公寓是由北京博大新元房地产开发有限公司开发建设、持有并经营，总建筑面积</w:t>
      </w:r>
      <w:r>
        <w:rPr>
          <w:rFonts w:ascii="Arial" w:hAnsi="Arial" w:cs="Arial"/>
          <w:kern w:val="2"/>
          <w:sz w:val="21"/>
          <w:szCs w:val="21"/>
        </w:rPr>
        <w:t>44131.16</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771ECA" w14:paraId="723FD68E" w14:textId="77777777">
        <w:trPr>
          <w:trHeight w:val="285"/>
        </w:trPr>
        <w:tc>
          <w:tcPr>
            <w:tcW w:w="2000" w:type="dxa"/>
            <w:tcBorders>
              <w:top w:val="single" w:sz="4" w:space="0" w:color="000000"/>
              <w:left w:val="single" w:sz="4" w:space="0" w:color="000000"/>
              <w:bottom w:val="single" w:sz="4" w:space="0" w:color="000000"/>
            </w:tcBorders>
            <w:shd w:val="clear" w:color="auto" w:fill="auto"/>
            <w:vAlign w:val="center"/>
          </w:tcPr>
          <w:p w14:paraId="4801B77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shd w:val="clear" w:color="auto" w:fill="auto"/>
            <w:vAlign w:val="center"/>
          </w:tcPr>
          <w:p w14:paraId="04E778C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p>
        </w:tc>
        <w:tc>
          <w:tcPr>
            <w:tcW w:w="1200" w:type="dxa"/>
            <w:tcBorders>
              <w:top w:val="single" w:sz="4" w:space="0" w:color="000000"/>
              <w:left w:val="single" w:sz="4" w:space="0" w:color="000000"/>
              <w:bottom w:val="single" w:sz="4" w:space="0" w:color="000000"/>
            </w:tcBorders>
            <w:shd w:val="clear" w:color="auto" w:fill="auto"/>
            <w:vAlign w:val="center"/>
          </w:tcPr>
          <w:p w14:paraId="3F11B83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shd w:val="clear" w:color="auto" w:fill="auto"/>
            <w:vAlign w:val="center"/>
          </w:tcPr>
          <w:p w14:paraId="25D435B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shd w:val="clear" w:color="auto" w:fill="auto"/>
            <w:vAlign w:val="center"/>
          </w:tcPr>
          <w:p w14:paraId="591CDE3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shd w:val="clear" w:color="auto" w:fill="auto"/>
            <w:vAlign w:val="center"/>
          </w:tcPr>
          <w:p w14:paraId="43856A59"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DC30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771ECA" w14:paraId="050F985C" w14:textId="77777777">
        <w:trPr>
          <w:trHeight w:val="285"/>
        </w:trPr>
        <w:tc>
          <w:tcPr>
            <w:tcW w:w="2000" w:type="dxa"/>
            <w:tcBorders>
              <w:left w:val="single" w:sz="4" w:space="0" w:color="000000"/>
              <w:bottom w:val="single" w:sz="4" w:space="0" w:color="000000"/>
            </w:tcBorders>
            <w:shd w:val="clear" w:color="auto" w:fill="auto"/>
            <w:vAlign w:val="center"/>
          </w:tcPr>
          <w:p w14:paraId="1616FEE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0B3D740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shd w:val="clear" w:color="auto" w:fill="auto"/>
            <w:vAlign w:val="center"/>
          </w:tcPr>
          <w:p w14:paraId="4F990C6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shd w:val="clear" w:color="auto" w:fill="auto"/>
            <w:vAlign w:val="center"/>
          </w:tcPr>
          <w:p w14:paraId="3D7DBFC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1C3338D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shd w:val="clear" w:color="auto" w:fill="auto"/>
            <w:vAlign w:val="center"/>
          </w:tcPr>
          <w:p w14:paraId="741974F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shd w:val="clear" w:color="auto" w:fill="auto"/>
            <w:vAlign w:val="center"/>
          </w:tcPr>
          <w:p w14:paraId="0FA9EDA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7C7C6293" w14:textId="77777777">
        <w:trPr>
          <w:trHeight w:val="285"/>
        </w:trPr>
        <w:tc>
          <w:tcPr>
            <w:tcW w:w="2000" w:type="dxa"/>
            <w:tcBorders>
              <w:left w:val="single" w:sz="4" w:space="0" w:color="000000"/>
              <w:bottom w:val="single" w:sz="4" w:space="0" w:color="000000"/>
            </w:tcBorders>
            <w:shd w:val="clear" w:color="auto" w:fill="auto"/>
            <w:vAlign w:val="center"/>
          </w:tcPr>
          <w:p w14:paraId="4254AFB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auto"/>
            <w:vAlign w:val="center"/>
          </w:tcPr>
          <w:p w14:paraId="45E6562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3484.96</w:t>
            </w:r>
          </w:p>
        </w:tc>
        <w:tc>
          <w:tcPr>
            <w:tcW w:w="1200" w:type="dxa"/>
            <w:tcBorders>
              <w:left w:val="single" w:sz="4" w:space="0" w:color="000000"/>
              <w:bottom w:val="single" w:sz="4" w:space="0" w:color="000000"/>
            </w:tcBorders>
            <w:shd w:val="clear" w:color="auto" w:fill="auto"/>
            <w:vAlign w:val="center"/>
          </w:tcPr>
          <w:p w14:paraId="3083D90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auto"/>
            <w:vAlign w:val="center"/>
          </w:tcPr>
          <w:p w14:paraId="4D28D61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32AA7C0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shd w:val="clear" w:color="auto" w:fill="auto"/>
            <w:vAlign w:val="center"/>
          </w:tcPr>
          <w:p w14:paraId="51644D6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shd w:val="clear" w:color="auto" w:fill="auto"/>
            <w:vAlign w:val="center"/>
          </w:tcPr>
          <w:p w14:paraId="0FF9C80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4FCE83C3" w14:textId="77777777">
        <w:trPr>
          <w:trHeight w:val="285"/>
        </w:trPr>
        <w:tc>
          <w:tcPr>
            <w:tcW w:w="2000" w:type="dxa"/>
            <w:tcBorders>
              <w:left w:val="single" w:sz="4" w:space="0" w:color="000000"/>
              <w:bottom w:val="single" w:sz="4" w:space="0" w:color="000000"/>
            </w:tcBorders>
            <w:shd w:val="clear" w:color="auto" w:fill="auto"/>
            <w:vAlign w:val="center"/>
          </w:tcPr>
          <w:p w14:paraId="4ADEA90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5B071C5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shd w:val="clear" w:color="auto" w:fill="auto"/>
            <w:vAlign w:val="center"/>
          </w:tcPr>
          <w:p w14:paraId="3AD6917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shd w:val="clear" w:color="auto" w:fill="auto"/>
            <w:vAlign w:val="center"/>
          </w:tcPr>
          <w:p w14:paraId="5498537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72C7852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auto"/>
            <w:vAlign w:val="center"/>
          </w:tcPr>
          <w:p w14:paraId="6B4CF3F9"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shd w:val="clear" w:color="auto" w:fill="auto"/>
            <w:vAlign w:val="center"/>
          </w:tcPr>
          <w:p w14:paraId="0238959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0804B21B" w14:textId="77777777">
        <w:trPr>
          <w:trHeight w:val="285"/>
        </w:trPr>
        <w:tc>
          <w:tcPr>
            <w:tcW w:w="2000" w:type="dxa"/>
            <w:tcBorders>
              <w:left w:val="single" w:sz="4" w:space="0" w:color="000000"/>
              <w:bottom w:val="single" w:sz="4" w:space="0" w:color="000000"/>
            </w:tcBorders>
            <w:shd w:val="clear" w:color="auto" w:fill="FFFFFF"/>
            <w:vAlign w:val="center"/>
          </w:tcPr>
          <w:p w14:paraId="40A1B080"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15FCF51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245458D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52E0FAE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1C05949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1D21E1D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37E2849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15FF089B" w14:textId="77777777">
        <w:trPr>
          <w:trHeight w:val="285"/>
        </w:trPr>
        <w:tc>
          <w:tcPr>
            <w:tcW w:w="2000" w:type="dxa"/>
            <w:tcBorders>
              <w:left w:val="single" w:sz="4" w:space="0" w:color="000000"/>
              <w:bottom w:val="single" w:sz="4" w:space="0" w:color="000000"/>
            </w:tcBorders>
            <w:shd w:val="clear" w:color="auto" w:fill="FFFFFF"/>
            <w:vAlign w:val="center"/>
          </w:tcPr>
          <w:p w14:paraId="373159D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7B50C1D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4442.35</w:t>
            </w:r>
          </w:p>
        </w:tc>
        <w:tc>
          <w:tcPr>
            <w:tcW w:w="1200" w:type="dxa"/>
            <w:tcBorders>
              <w:left w:val="single" w:sz="4" w:space="0" w:color="000000"/>
              <w:bottom w:val="single" w:sz="4" w:space="0" w:color="000000"/>
            </w:tcBorders>
            <w:shd w:val="clear" w:color="auto" w:fill="FFFFFF"/>
            <w:vAlign w:val="center"/>
          </w:tcPr>
          <w:p w14:paraId="6428E6B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FFFFFF"/>
            <w:vAlign w:val="center"/>
          </w:tcPr>
          <w:p w14:paraId="1027C85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613D342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04069CC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0CB850C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535E4531" w14:textId="77777777">
        <w:trPr>
          <w:trHeight w:val="285"/>
        </w:trPr>
        <w:tc>
          <w:tcPr>
            <w:tcW w:w="2000" w:type="dxa"/>
            <w:tcBorders>
              <w:left w:val="single" w:sz="4" w:space="0" w:color="000000"/>
              <w:bottom w:val="single" w:sz="4" w:space="0" w:color="000000"/>
            </w:tcBorders>
            <w:shd w:val="clear" w:color="auto" w:fill="auto"/>
            <w:vAlign w:val="center"/>
          </w:tcPr>
          <w:p w14:paraId="73F9EBE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shd w:val="clear" w:color="auto" w:fill="auto"/>
            <w:vAlign w:val="center"/>
          </w:tcPr>
          <w:p w14:paraId="55DB4B8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44131.16</w:t>
            </w:r>
          </w:p>
        </w:tc>
        <w:tc>
          <w:tcPr>
            <w:tcW w:w="1200" w:type="dxa"/>
            <w:tcBorders>
              <w:left w:val="single" w:sz="4" w:space="0" w:color="000000"/>
              <w:bottom w:val="single" w:sz="4" w:space="0" w:color="000000"/>
            </w:tcBorders>
            <w:shd w:val="clear" w:color="auto" w:fill="auto"/>
            <w:vAlign w:val="center"/>
          </w:tcPr>
          <w:p w14:paraId="58EDD28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513</w:t>
            </w:r>
          </w:p>
        </w:tc>
        <w:tc>
          <w:tcPr>
            <w:tcW w:w="1100" w:type="dxa"/>
            <w:tcBorders>
              <w:left w:val="single" w:sz="4" w:space="0" w:color="000000"/>
              <w:bottom w:val="single" w:sz="4" w:space="0" w:color="000000"/>
            </w:tcBorders>
            <w:shd w:val="clear" w:color="auto" w:fill="auto"/>
            <w:vAlign w:val="center"/>
          </w:tcPr>
          <w:p w14:paraId="36B1BC3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shd w:val="clear" w:color="auto" w:fill="auto"/>
            <w:vAlign w:val="center"/>
          </w:tcPr>
          <w:p w14:paraId="5B8E4E8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shd w:val="clear" w:color="auto" w:fill="auto"/>
            <w:vAlign w:val="center"/>
          </w:tcPr>
          <w:p w14:paraId="7D67E5B0"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shd w:val="clear" w:color="auto" w:fill="auto"/>
            <w:vAlign w:val="center"/>
          </w:tcPr>
          <w:p w14:paraId="15E37DD0"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bookmarkEnd w:id="1"/>
    <w:p w14:paraId="62913E38" w14:textId="77777777" w:rsidR="00771ECA" w:rsidRDefault="00000000">
      <w:pPr>
        <w:overflowPunct w:val="0"/>
        <w:spacing w:line="480" w:lineRule="auto"/>
        <w:ind w:firstLine="420"/>
        <w:jc w:val="both"/>
        <w:textAlignment w:val="auto"/>
      </w:pPr>
      <w:r>
        <w:rPr>
          <w:rFonts w:ascii="Arial" w:hAnsi="Arial" w:cs="Arial"/>
          <w:b/>
          <w:bCs/>
          <w:sz w:val="21"/>
          <w:szCs w:val="21"/>
        </w:rPr>
        <w:t>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日（根据《估价委托书》确定）</w:t>
      </w:r>
    </w:p>
    <w:p w14:paraId="790CC6E1"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估价时段：</w:t>
      </w:r>
      <w:r>
        <w:rPr>
          <w:rFonts w:ascii="Arial" w:hAnsi="Arial" w:cs="Arial"/>
          <w:sz w:val="21"/>
          <w:szCs w:val="21"/>
        </w:rPr>
        <w:t>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w:t>
      </w:r>
    </w:p>
    <w:p w14:paraId="7A368C16" w14:textId="77777777" w:rsidR="00771ECA" w:rsidRDefault="00000000">
      <w:pPr>
        <w:overflowPunct w:val="0"/>
        <w:spacing w:line="480" w:lineRule="auto"/>
        <w:ind w:firstLine="420"/>
        <w:jc w:val="both"/>
        <w:textAlignment w:val="auto"/>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月）规划利用条件及下述设定条件下的市场平均租金价格：</w:t>
      </w:r>
      <w:r>
        <w:rPr>
          <w:rFonts w:ascii="Arial" w:eastAsia="Arial" w:hAnsi="Arial" w:cs="Arial"/>
          <w:sz w:val="21"/>
          <w:szCs w:val="21"/>
        </w:rPr>
        <w:t xml:space="preserve"> </w:t>
      </w:r>
    </w:p>
    <w:p w14:paraId="19A92CFE" w14:textId="77777777" w:rsidR="00771ECA" w:rsidRDefault="00000000">
      <w:pPr>
        <w:overflowPunct w:val="0"/>
        <w:spacing w:line="480" w:lineRule="auto"/>
        <w:ind w:firstLine="420"/>
        <w:jc w:val="both"/>
      </w:pPr>
      <w:r>
        <w:rPr>
          <w:rFonts w:ascii="Arial" w:hAnsi="Arial" w:cs="Arial"/>
          <w:sz w:val="21"/>
          <w:szCs w:val="21"/>
        </w:rPr>
        <w:t>项目同地段、同类型的普通住房在估价时段的市场租赁平均价格，</w:t>
      </w:r>
      <w:bookmarkStart w:id="3" w:name="_Hlk118454962"/>
      <w:r>
        <w:rPr>
          <w:rFonts w:ascii="Arial" w:hAnsi="Arial" w:cs="Arial"/>
          <w:sz w:val="21"/>
          <w:szCs w:val="21"/>
        </w:rPr>
        <w:t>包括地租、房屋折旧、设备折</w:t>
      </w:r>
      <w:r>
        <w:rPr>
          <w:rFonts w:ascii="Arial" w:hAnsi="Arial" w:cs="Arial"/>
          <w:sz w:val="21"/>
          <w:szCs w:val="21"/>
        </w:rPr>
        <w:lastRenderedPageBreak/>
        <w:t>旧、维修费、保险费、物业费、供暖费、管理费、利息、利润、家具、家电租赁费及租赁税费等；不含水电费、天然气费、通信费、有线电视费、上网宽带费等。</w:t>
      </w:r>
      <w:bookmarkEnd w:id="3"/>
      <w:r>
        <w:rPr>
          <w:rFonts w:ascii="Arial" w:eastAsia="Arial" w:hAnsi="Arial" w:cs="Arial"/>
          <w:sz w:val="21"/>
          <w:szCs w:val="21"/>
        </w:rPr>
        <w:t xml:space="preserve"> </w:t>
      </w:r>
    </w:p>
    <w:p w14:paraId="0A2FCFA3" w14:textId="77777777" w:rsidR="00771ECA" w:rsidRDefault="00000000">
      <w:pPr>
        <w:overflowPunct w:val="0"/>
        <w:spacing w:line="480" w:lineRule="auto"/>
        <w:ind w:firstLine="420"/>
        <w:jc w:val="both"/>
      </w:pPr>
      <w:r>
        <w:rPr>
          <w:rFonts w:ascii="Arial" w:hAnsi="Arial" w:cs="Arial"/>
          <w:sz w:val="21"/>
          <w:szCs w:val="21"/>
        </w:rPr>
        <w:t>（</w:t>
      </w:r>
      <w:r>
        <w:rPr>
          <w:rFonts w:ascii="Arial" w:hAnsi="Arial" w:cs="Arial"/>
          <w:sz w:val="21"/>
          <w:szCs w:val="21"/>
        </w:rPr>
        <w:t>1</w:t>
      </w:r>
      <w:r>
        <w:rPr>
          <w:rFonts w:ascii="Arial" w:hAnsi="Arial" w:cs="Arial"/>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14:paraId="673D5F01" w14:textId="77777777" w:rsidR="00771ECA" w:rsidRDefault="00000000">
      <w:pPr>
        <w:overflowPunct w:val="0"/>
        <w:spacing w:line="480" w:lineRule="auto"/>
        <w:ind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）同类型是指使用功能、建筑结构、面积、户型、装修、家具家电设备及周边环境与配套相同或相似的住房。</w:t>
      </w:r>
    </w:p>
    <w:p w14:paraId="38728B72"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）估价时段是指价值时点前一年（</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w:t>
      </w:r>
    </w:p>
    <w:p w14:paraId="1D5C6557" w14:textId="77777777" w:rsidR="00771ECA" w:rsidRDefault="00000000">
      <w:pPr>
        <w:overflowPunct w:val="0"/>
        <w:spacing w:line="480" w:lineRule="auto"/>
        <w:ind w:firstLine="42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7CA874AC"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w:t>
      </w:r>
      <w:bookmarkStart w:id="4" w:name="_Hlk111638309"/>
      <w:r>
        <w:rPr>
          <w:rFonts w:ascii="Arial" w:hAnsi="Arial" w:cs="Arial"/>
          <w:sz w:val="21"/>
          <w:szCs w:val="21"/>
        </w:rPr>
        <w:t>平均市场租金</w:t>
      </w:r>
      <w:bookmarkEnd w:id="4"/>
      <w:r>
        <w:rPr>
          <w:rFonts w:ascii="Arial" w:hAnsi="Arial" w:cs="Arial"/>
          <w:sz w:val="21"/>
          <w:szCs w:val="21"/>
        </w:rPr>
        <w:t>水平为：</w:t>
      </w:r>
      <w:r>
        <w:rPr>
          <w:rFonts w:ascii="Arial" w:eastAsia="Arial" w:hAnsi="Arial" w:cs="Arial"/>
          <w:sz w:val="21"/>
          <w:szCs w:val="21"/>
        </w:rPr>
        <w:t xml:space="preserve"> </w:t>
      </w:r>
    </w:p>
    <w:p w14:paraId="6590E1EB" w14:textId="77777777" w:rsidR="00771ECA" w:rsidRDefault="00000000">
      <w:pPr>
        <w:overflowPunct w:val="0"/>
        <w:spacing w:line="480" w:lineRule="auto"/>
        <w:ind w:firstLine="420"/>
        <w:textAlignment w:val="auto"/>
        <w:rPr>
          <w:rFonts w:ascii="Arial" w:hAnsi="Arial" w:cs="Arial"/>
          <w:b/>
          <w:bCs/>
          <w:sz w:val="21"/>
          <w:szCs w:val="21"/>
        </w:rPr>
      </w:pPr>
      <w:r>
        <w:rPr>
          <w:rFonts w:ascii="Arial" w:hAnsi="Arial" w:cs="Arial"/>
          <w:b/>
          <w:bCs/>
          <w:sz w:val="21"/>
          <w:szCs w:val="21"/>
        </w:rPr>
        <w:t>亦城景园：</w:t>
      </w:r>
      <w:r>
        <w:rPr>
          <w:rFonts w:ascii="Arial" w:hAnsi="Arial" w:cs="Arial"/>
          <w:b/>
          <w:bCs/>
          <w:sz w:val="21"/>
          <w:szCs w:val="21"/>
        </w:rPr>
        <w:t>79</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月（货币种类：人民币）</w:t>
      </w:r>
    </w:p>
    <w:p w14:paraId="0237E2E5" w14:textId="77777777" w:rsidR="00771ECA" w:rsidRDefault="00000000">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14:paraId="35081B99" w14:textId="77777777" w:rsidR="00771ECA" w:rsidRDefault="00000000">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14:paraId="13177D1A" w14:textId="77777777" w:rsidR="00771ECA" w:rsidRDefault="00000000">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14:paraId="072701A0" w14:textId="77777777" w:rsidR="00771ECA" w:rsidRDefault="00000000">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、估价结果包括地租、房屋折旧、设备折旧、维修费、保险费、物业费、供暖费、管理费、利息、利润、家具、家电租赁费及租赁税费等；不含水电费、天然气费、通信费、有线电视费、上网宽带费等。</w:t>
      </w:r>
    </w:p>
    <w:p w14:paraId="7E760CEC" w14:textId="77777777" w:rsidR="00771ECA" w:rsidRDefault="00000000">
      <w:pPr>
        <w:spacing w:line="480" w:lineRule="auto"/>
        <w:ind w:firstLine="4200"/>
        <w:jc w:val="both"/>
        <w:rPr>
          <w:rFonts w:ascii="Arial" w:hAnsi="Arial" w:cs="Arial"/>
          <w:sz w:val="21"/>
          <w:szCs w:val="21"/>
        </w:rPr>
      </w:pPr>
      <w:r>
        <w:rPr>
          <w:rFonts w:ascii="Arial" w:hAnsi="Arial" w:cs="Arial"/>
          <w:sz w:val="21"/>
          <w:szCs w:val="21"/>
        </w:rPr>
        <w:t>顺致</w:t>
      </w:r>
    </w:p>
    <w:p w14:paraId="11DAA39C" w14:textId="77777777" w:rsidR="00771ECA" w:rsidRDefault="00771ECA">
      <w:pPr>
        <w:spacing w:line="480" w:lineRule="auto"/>
        <w:ind w:firstLine="4200"/>
        <w:jc w:val="both"/>
        <w:rPr>
          <w:rFonts w:ascii="Arial" w:hAnsi="Arial" w:cs="Arial"/>
          <w:sz w:val="21"/>
          <w:szCs w:val="21"/>
        </w:rPr>
      </w:pPr>
    </w:p>
    <w:p w14:paraId="0BC3647A" w14:textId="6FE7C94F" w:rsidR="00771ECA" w:rsidRDefault="00000000">
      <w:pPr>
        <w:spacing w:line="480" w:lineRule="auto"/>
        <w:ind w:firstLine="420"/>
        <w:jc w:val="both"/>
        <w:rPr>
          <w:rFonts w:ascii="Arial" w:hAnsi="Arial" w:cs="Arial"/>
          <w:sz w:val="21"/>
          <w:szCs w:val="21"/>
        </w:rPr>
      </w:pPr>
      <w:r>
        <w:rPr>
          <w:rFonts w:ascii="Arial" w:hAnsi="Arial" w:cs="Arial"/>
          <w:sz w:val="21"/>
          <w:szCs w:val="21"/>
        </w:rPr>
        <w:t>商祺</w:t>
      </w:r>
      <w:r w:rsidR="005F05E6">
        <w:rPr>
          <w:noProof/>
        </w:rPr>
        <mc:AlternateContent>
          <mc:Choice Requires="wps">
            <w:drawing>
              <wp:anchor distT="0" distB="0" distL="114300" distR="0" simplePos="0" relativeHeight="2" behindDoc="0" locked="0" layoutInCell="1" allowOverlap="1" wp14:anchorId="29075A73" wp14:editId="55D1E269">
                <wp:simplePos x="0" y="0"/>
                <wp:positionH relativeFrom="margin">
                  <wp:align>right</wp:align>
                </wp:positionH>
                <wp:positionV relativeFrom="paragraph">
                  <wp:posOffset>42545</wp:posOffset>
                </wp:positionV>
                <wp:extent cx="2160270" cy="1213485"/>
                <wp:effectExtent l="0" t="0" r="0" b="0"/>
                <wp:wrapSquare wrapText="bothSides"/>
                <wp:docPr id="6781702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270" cy="1213485"/>
                        </a:xfrm>
                        <a:prstGeom prst="rect">
                          <a:avLst/>
                        </a:prstGeom>
                        <a:solidFill>
                          <a:srgbClr val="FFFFFF">
                            <a:alpha val="0"/>
                          </a:srgbClr>
                        </a:solidFill>
                      </wps:spPr>
                      <wps:txbx>
                        <w:txbxContent>
                          <w:tbl>
                            <w:tblPr>
                              <w:tblW w:w="3402" w:type="dxa"/>
                              <w:tblLook w:val="04A0" w:firstRow="1" w:lastRow="0" w:firstColumn="1" w:lastColumn="0" w:noHBand="0" w:noVBand="1"/>
                            </w:tblPr>
                            <w:tblGrid>
                              <w:gridCol w:w="3402"/>
                            </w:tblGrid>
                            <w:tr w:rsidR="00771ECA" w14:paraId="0D03C890" w14:textId="77777777">
                              <w:tc>
                                <w:tcPr>
                                  <w:tcW w:w="3402" w:type="dxa"/>
                                  <w:shd w:val="clear" w:color="auto" w:fill="auto"/>
                                </w:tcPr>
                                <w:p w14:paraId="130A4B9F" w14:textId="77777777" w:rsidR="00771ECA" w:rsidRDefault="00000000">
                                  <w:pPr>
                                    <w:spacing w:line="480" w:lineRule="auto"/>
                                    <w:rPr>
                                      <w:rFonts w:ascii="Arial" w:hAnsi="Arial" w:cs="Arial"/>
                                      <w:sz w:val="21"/>
                                      <w:szCs w:val="21"/>
                                    </w:rPr>
                                  </w:pPr>
                                  <w:r>
                                    <w:rPr>
                                      <w:rFonts w:ascii="Arial" w:hAnsi="Arial" w:cs="Arial"/>
                                      <w:sz w:val="21"/>
                                      <w:szCs w:val="21"/>
                                    </w:rPr>
                                    <w:t>北京康正宏基房地产评估有限公司</w:t>
                                  </w:r>
                                </w:p>
                              </w:tc>
                            </w:tr>
                            <w:tr w:rsidR="00771ECA" w14:paraId="4A300E61" w14:textId="77777777">
                              <w:trPr>
                                <w:trHeight w:val="1431"/>
                              </w:trPr>
                              <w:tc>
                                <w:tcPr>
                                  <w:tcW w:w="3402" w:type="dxa"/>
                                  <w:shd w:val="clear" w:color="auto" w:fill="auto"/>
                                </w:tcPr>
                                <w:p w14:paraId="6531FFD2" w14:textId="77777777" w:rsidR="00771ECA" w:rsidRDefault="00000000">
                                  <w:pPr>
                                    <w:spacing w:line="480" w:lineRule="auto"/>
                                    <w:rPr>
                                      <w:rFonts w:ascii="Arial" w:hAnsi="Arial" w:cs="Arial"/>
                                      <w:sz w:val="21"/>
                                      <w:szCs w:val="21"/>
                                    </w:rPr>
                                  </w:pPr>
                                  <w:r>
                                    <w:rPr>
                                      <w:rFonts w:ascii="Arial" w:hAnsi="Arial" w:cs="Arial"/>
                                      <w:sz w:val="21"/>
                                      <w:szCs w:val="21"/>
                                    </w:rPr>
                                    <w:t>法定代表人：</w:t>
                                  </w:r>
                                </w:p>
                              </w:tc>
                            </w:tr>
                            <w:tr w:rsidR="00771ECA" w14:paraId="30C5C5F0" w14:textId="77777777">
                              <w:tc>
                                <w:tcPr>
                                  <w:tcW w:w="3402" w:type="dxa"/>
                                  <w:shd w:val="clear" w:color="auto" w:fill="auto"/>
                                </w:tcPr>
                                <w:p w14:paraId="30A47914" w14:textId="77777777" w:rsidR="00771ECA" w:rsidRDefault="00000000">
                                  <w:pPr>
                                    <w:spacing w:line="480" w:lineRule="auto"/>
                                    <w:jc w:val="right"/>
                                  </w:pPr>
                                  <w:r>
                                    <w:rPr>
                                      <w:rFonts w:ascii="Arial" w:hAnsi="Arial" w:cs="Arial"/>
                                      <w:sz w:val="21"/>
                                      <w:szCs w:val="21"/>
                                    </w:rPr>
                                    <w:t>二〇二四年一月四日</w:t>
                                  </w:r>
                                </w:p>
                              </w:tc>
                            </w:tr>
                          </w:tbl>
                          <w:p w14:paraId="2E476194" w14:textId="77777777" w:rsidR="00000000" w:rsidRDefault="00000000"/>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w14:anchorId="29075A73" id="_x0000_t202" coordsize="21600,21600" o:spt="202" path="m,l,21600r21600,l21600,xe">
                <v:stroke joinstyle="miter"/>
                <v:path gradientshapeok="t" o:connecttype="rect"/>
              </v:shapetype>
              <v:shape id="文本框 2" o:spid="_x0000_s1026" type="#_x0000_t202" style="position:absolute;left:0;text-align:left;margin-left:118.9pt;margin-top:3.35pt;width:170.1pt;height:95.55pt;z-index:2;visibility:visible;mso-wrap-style:square;mso-width-percent:0;mso-height-percent:0;mso-wrap-distance-left:9pt;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" stroked="f">
                <v:fill opacity="0"/>
                <v:textbox inset="0,0,0,0">
                  <w:txbxContent>
                    <w:tbl>
                      <w:tblPr>
                        <w:tblW w:w="3402" w:type="dxa"/>
                        <w:tblLook w:val="04A0" w:firstRow="1" w:lastRow="0" w:firstColumn="1" w:lastColumn="0" w:noHBand="0" w:noVBand="1"/>
                      </w:tblPr>
                      <w:tblGrid>
                        <w:gridCol w:w="3402"/>
                      </w:tblGrid>
                      <w:tr w:rsidR="00771ECA" w14:paraId="0D03C890" w14:textId="77777777">
                        <w:tc>
                          <w:tcPr>
                            <w:tcW w:w="3402" w:type="dxa"/>
                            <w:shd w:val="clear" w:color="auto" w:fill="auto"/>
                          </w:tcPr>
                          <w:p w14:paraId="130A4B9F" w14:textId="77777777" w:rsidR="00771ECA" w:rsidRDefault="00000000">
                            <w:pPr>
                              <w:spacing w:line="480" w:lineRule="auto"/>
                              <w:rPr>
                                <w:rFonts w:ascii="Arial" w:hAnsi="Arial" w:cs="Arial"/>
                                <w:sz w:val="21"/>
                                <w:szCs w:val="21"/>
                              </w:rPr>
                            </w:pPr>
                            <w:r>
                              <w:rPr>
                                <w:rFonts w:ascii="Arial" w:hAnsi="Arial" w:cs="Arial"/>
                                <w:sz w:val="21"/>
                                <w:szCs w:val="21"/>
                              </w:rPr>
                              <w:t>北京康正宏基房地产评估有限公司</w:t>
                            </w:r>
                          </w:p>
                        </w:tc>
                      </w:tr>
                      <w:tr w:rsidR="00771ECA" w14:paraId="4A300E61" w14:textId="77777777">
                        <w:trPr>
                          <w:trHeight w:val="1431"/>
                        </w:trPr>
                        <w:tc>
                          <w:tcPr>
                            <w:tcW w:w="3402" w:type="dxa"/>
                            <w:shd w:val="clear" w:color="auto" w:fill="auto"/>
                          </w:tcPr>
                          <w:p w14:paraId="6531FFD2" w14:textId="77777777" w:rsidR="00771ECA" w:rsidRDefault="00000000">
                            <w:pPr>
                              <w:spacing w:line="480" w:lineRule="auto"/>
                              <w:rPr>
                                <w:rFonts w:ascii="Arial" w:hAnsi="Arial" w:cs="Arial"/>
                                <w:sz w:val="21"/>
                                <w:szCs w:val="21"/>
                              </w:rPr>
                            </w:pPr>
                            <w:r>
                              <w:rPr>
                                <w:rFonts w:ascii="Arial" w:hAnsi="Arial" w:cs="Arial"/>
                                <w:sz w:val="21"/>
                                <w:szCs w:val="21"/>
                              </w:rPr>
                              <w:t>法定代表人：</w:t>
                            </w:r>
                          </w:p>
                        </w:tc>
                      </w:tr>
                      <w:tr w:rsidR="00771ECA" w14:paraId="30C5C5F0" w14:textId="77777777">
                        <w:tc>
                          <w:tcPr>
                            <w:tcW w:w="3402" w:type="dxa"/>
                            <w:shd w:val="clear" w:color="auto" w:fill="auto"/>
                          </w:tcPr>
                          <w:p w14:paraId="30A47914" w14:textId="77777777" w:rsidR="00771ECA" w:rsidRDefault="00000000">
                            <w:pPr>
                              <w:spacing w:line="480" w:lineRule="auto"/>
                              <w:jc w:val="right"/>
                            </w:pPr>
                            <w:r>
                              <w:rPr>
                                <w:rFonts w:ascii="Arial" w:hAnsi="Arial" w:cs="Arial"/>
                                <w:sz w:val="21"/>
                                <w:szCs w:val="21"/>
                              </w:rPr>
                              <w:t>二〇二四年一月四日</w:t>
                            </w:r>
                          </w:p>
                        </w:tc>
                      </w:tr>
                    </w:tbl>
                    <w:p w14:paraId="2E476194" w14:textId="77777777" w:rsidR="00000000" w:rsidRDefault="00000000"/>
                  </w:txbxContent>
                </v:textbox>
                <w10:wrap type="square" anchorx="margin"/>
              </v:shape>
            </w:pict>
          </mc:Fallback>
        </mc:AlternateContent>
      </w:r>
    </w:p>
    <w:p w14:paraId="61F256C3" w14:textId="77777777" w:rsidR="00771ECA" w:rsidRDefault="00771ECA">
      <w:pPr>
        <w:spacing w:line="480" w:lineRule="auto"/>
        <w:jc w:val="right"/>
        <w:rPr>
          <w:rFonts w:ascii="Arial" w:hAnsi="Arial" w:cs="Arial"/>
          <w:sz w:val="21"/>
          <w:szCs w:val="21"/>
        </w:rPr>
        <w:sectPr w:rsidR="00771ECA">
          <w:headerReference w:type="default" r:id="rId18"/>
          <w:footerReference w:type="default" r:id="rId19"/>
          <w:pgSz w:w="11906" w:h="16838"/>
          <w:pgMar w:top="1843" w:right="1134" w:bottom="1134" w:left="1474" w:header="1134" w:footer="907" w:gutter="0"/>
          <w:pgNumType w:start="1"/>
          <w:cols w:space="720"/>
          <w:formProt w:val="0"/>
          <w:docGrid w:linePitch="326"/>
        </w:sectPr>
      </w:pPr>
    </w:p>
    <w:p w14:paraId="28F76AC1" w14:textId="77777777" w:rsidR="00771ECA" w:rsidRDefault="00000000">
      <w:pPr>
        <w:spacing w:line="480" w:lineRule="auto"/>
        <w:jc w:val="center"/>
        <w:outlineLvl w:val="0"/>
      </w:pPr>
      <w:r>
        <w:rPr>
          <w:rFonts w:eastAsia="方正黑体简体"/>
        </w:rPr>
        <w:lastRenderedPageBreak/>
        <w:t>目</w:t>
      </w:r>
      <w:r>
        <w:rPr>
          <w:rFonts w:eastAsia="方正黑体简体"/>
        </w:rPr>
        <w:t xml:space="preserve">   </w:t>
      </w:r>
      <w:r>
        <w:t>录</w:t>
      </w:r>
    </w:p>
    <w:sdt>
      <w:sdtPr>
        <w:id w:val="1141393622"/>
        <w:docPartObj>
          <w:docPartGallery w:val="Table of Contents"/>
          <w:docPartUnique/>
        </w:docPartObj>
      </w:sdtPr>
      <w:sdtContent>
        <w:p w14:paraId="36C747E1" w14:textId="77777777" w:rsidR="00771ECA" w:rsidRDefault="00000000">
          <w:pPr>
            <w:pStyle w:val="TOC1"/>
            <w:rPr>
              <w:rFonts w:ascii="宋体;SimSun" w:eastAsia="宋体;SimSun" w:hAnsi="宋体;SimSun" w:cs="宋体;SimSun"/>
              <w:b w:val="0"/>
              <w:bCs w:val="0"/>
              <w:kern w:val="2"/>
              <w:sz w:val="24"/>
              <w:szCs w:val="24"/>
            </w:rPr>
          </w:pPr>
          <w:r>
            <w:fldChar w:fldCharType="begin"/>
          </w:r>
          <w:r>
            <w:rPr>
              <w:rFonts w:ascii="宋体;SimSun" w:eastAsia="宋体;SimSun" w:hAnsi="宋体;SimSun" w:cs="宋体;SimSun"/>
              <w:sz w:val="24"/>
              <w:szCs w:val="24"/>
            </w:rPr>
            <w:instrText>TOC \o "1-3" \h \z</w:instrText>
          </w:r>
          <w:r>
            <w:rPr>
              <w:rFonts w:ascii="宋体;SimSun" w:eastAsia="宋体;SimSun" w:hAnsi="宋体;SimSun" w:cs="宋体;SimSun"/>
              <w:sz w:val="24"/>
              <w:szCs w:val="24"/>
            </w:rPr>
            <w:fldChar w:fldCharType="separate"/>
          </w:r>
          <w:hyperlink w:anchor="__RefHeading___Toc525655414">
            <w:r>
              <w:rPr>
                <w:rFonts w:ascii="宋体;SimSun" w:eastAsia="宋体;SimSun" w:hAnsi="宋体;SimSun" w:cs="宋体;SimSun"/>
                <w:sz w:val="24"/>
                <w:szCs w:val="24"/>
              </w:rPr>
              <w:t>致估价委托人函</w:t>
            </w:r>
            <w:r>
              <w:rPr>
                <w:rFonts w:ascii="宋体;SimSun" w:eastAsia="宋体;SimSun" w:hAnsi="宋体;SimSun" w:cs="宋体;SimSun"/>
                <w:sz w:val="24"/>
                <w:szCs w:val="24"/>
              </w:rPr>
              <w:tab/>
              <w:t>1</w:t>
            </w:r>
          </w:hyperlink>
        </w:p>
        <w:p w14:paraId="161D4D72" w14:textId="77777777" w:rsidR="00771ECA" w:rsidRDefault="00000000">
          <w:pPr>
            <w:pStyle w:val="TOC1"/>
            <w:rPr>
              <w:rFonts w:ascii="宋体;SimSun" w:eastAsia="宋体;SimSun" w:hAnsi="宋体;SimSun" w:cs="宋体;SimSun"/>
              <w:b w:val="0"/>
              <w:bCs w:val="0"/>
              <w:kern w:val="2"/>
              <w:sz w:val="24"/>
              <w:szCs w:val="24"/>
            </w:rPr>
          </w:pPr>
          <w:hyperlink w:anchor="__RefHeading___Toc525655415">
            <w:r>
              <w:rPr>
                <w:rFonts w:ascii="宋体;SimSun" w:eastAsia="宋体;SimSun" w:hAnsi="宋体;SimSun" w:cs="宋体;SimSun"/>
                <w:sz w:val="24"/>
                <w:szCs w:val="24"/>
              </w:rPr>
              <w:t>估价师声明</w:t>
            </w:r>
            <w:r>
              <w:rPr>
                <w:rFonts w:ascii="宋体;SimSun" w:eastAsia="宋体;SimSun" w:hAnsi="宋体;SimSun" w:cs="宋体;SimSun"/>
                <w:sz w:val="24"/>
                <w:szCs w:val="24"/>
              </w:rPr>
              <w:tab/>
              <w:t>5</w:t>
            </w:r>
          </w:hyperlink>
        </w:p>
        <w:p w14:paraId="7D30C58F" w14:textId="77777777" w:rsidR="00771ECA" w:rsidRDefault="00000000">
          <w:pPr>
            <w:pStyle w:val="TOC1"/>
            <w:rPr>
              <w:rFonts w:ascii="宋体;SimSun" w:eastAsia="宋体;SimSun" w:hAnsi="宋体;SimSun" w:cs="宋体;SimSun"/>
              <w:b w:val="0"/>
              <w:bCs w:val="0"/>
              <w:kern w:val="2"/>
              <w:sz w:val="24"/>
              <w:szCs w:val="24"/>
            </w:rPr>
          </w:pPr>
          <w:hyperlink w:anchor="__RefHeading___Toc525655416">
            <w:r>
              <w:rPr>
                <w:rFonts w:ascii="宋体;SimSun" w:eastAsia="宋体;SimSun" w:hAnsi="宋体;SimSun" w:cs="宋体;SimSun"/>
                <w:sz w:val="24"/>
                <w:szCs w:val="24"/>
              </w:rPr>
              <w:t>估价假设和限制条件</w:t>
            </w:r>
            <w:r>
              <w:rPr>
                <w:rFonts w:ascii="宋体;SimSun" w:eastAsia="宋体;SimSun" w:hAnsi="宋体;SimSun" w:cs="宋体;SimSun"/>
                <w:sz w:val="24"/>
                <w:szCs w:val="24"/>
              </w:rPr>
              <w:tab/>
              <w:t>6</w:t>
            </w:r>
          </w:hyperlink>
        </w:p>
        <w:p w14:paraId="5317F32A" w14:textId="77777777" w:rsidR="00771ECA" w:rsidRDefault="00000000">
          <w:pPr>
            <w:pStyle w:val="TOC1"/>
            <w:rPr>
              <w:rFonts w:ascii="宋体;SimSun" w:eastAsia="宋体;SimSun" w:hAnsi="宋体;SimSun" w:cs="宋体;SimSun"/>
              <w:b w:val="0"/>
              <w:bCs w:val="0"/>
              <w:kern w:val="2"/>
              <w:sz w:val="24"/>
              <w:szCs w:val="24"/>
            </w:rPr>
          </w:pPr>
          <w:hyperlink w:anchor="__RefHeading___Toc525655417">
            <w:r>
              <w:rPr>
                <w:rFonts w:ascii="宋体;SimSun" w:eastAsia="宋体;SimSun" w:hAnsi="宋体;SimSun" w:cs="宋体;SimSun"/>
                <w:sz w:val="24"/>
                <w:szCs w:val="24"/>
              </w:rPr>
              <w:t>估价结果报告</w:t>
            </w:r>
            <w:r>
              <w:rPr>
                <w:rFonts w:ascii="宋体;SimSun" w:eastAsia="宋体;SimSun" w:hAnsi="宋体;SimSun" w:cs="宋体;SimSun"/>
                <w:sz w:val="24"/>
                <w:szCs w:val="24"/>
              </w:rPr>
              <w:tab/>
              <w:t>9</w:t>
            </w:r>
          </w:hyperlink>
        </w:p>
        <w:p w14:paraId="58D8619B" w14:textId="77777777" w:rsidR="00771ECA" w:rsidRDefault="00000000">
          <w:pPr>
            <w:pStyle w:val="TOC2"/>
            <w:rPr>
              <w:rFonts w:ascii="宋体;SimSun" w:eastAsia="宋体;SimSun" w:hAnsi="宋体;SimSun" w:cs="宋体;SimSun"/>
              <w:kern w:val="2"/>
              <w:sz w:val="21"/>
              <w:szCs w:val="21"/>
            </w:rPr>
          </w:pPr>
          <w:hyperlink w:anchor="__RefHeading___Toc525655418">
            <w:r>
              <w:rPr>
                <w:rFonts w:ascii="宋体;SimSun" w:eastAsia="宋体;SimSun" w:hAnsi="宋体;SimSun" w:cs="宋体;SimSun"/>
                <w:sz w:val="21"/>
                <w:szCs w:val="21"/>
              </w:rPr>
              <w:t>一、估价委托人</w:t>
            </w:r>
            <w:r>
              <w:rPr>
                <w:rFonts w:ascii="宋体;SimSun" w:eastAsia="宋体;SimSun" w:hAnsi="宋体;SimSun" w:cs="宋体;SimSun"/>
                <w:sz w:val="21"/>
                <w:szCs w:val="21"/>
              </w:rPr>
              <w:tab/>
              <w:t>9</w:t>
            </w:r>
          </w:hyperlink>
        </w:p>
        <w:p w14:paraId="00255EDD" w14:textId="77777777" w:rsidR="00771ECA" w:rsidRDefault="00000000">
          <w:pPr>
            <w:pStyle w:val="TOC2"/>
            <w:rPr>
              <w:rFonts w:ascii="宋体;SimSun" w:eastAsia="宋体;SimSun" w:hAnsi="宋体;SimSun" w:cs="宋体;SimSun"/>
              <w:kern w:val="2"/>
              <w:sz w:val="21"/>
              <w:szCs w:val="21"/>
            </w:rPr>
          </w:pPr>
          <w:hyperlink w:anchor="__RefHeading___Toc525655419">
            <w:r>
              <w:rPr>
                <w:rFonts w:ascii="宋体;SimSun" w:eastAsia="宋体;SimSun" w:hAnsi="宋体;SimSun" w:cs="宋体;SimSun"/>
                <w:sz w:val="21"/>
                <w:szCs w:val="21"/>
              </w:rPr>
              <w:t>二、房地产估价机构</w:t>
            </w:r>
            <w:r>
              <w:rPr>
                <w:rFonts w:ascii="宋体;SimSun" w:eastAsia="宋体;SimSun" w:hAnsi="宋体;SimSun" w:cs="宋体;SimSun"/>
                <w:sz w:val="21"/>
                <w:szCs w:val="21"/>
              </w:rPr>
              <w:tab/>
              <w:t>9</w:t>
            </w:r>
          </w:hyperlink>
        </w:p>
        <w:p w14:paraId="34B4F8D0" w14:textId="77777777" w:rsidR="00771ECA" w:rsidRDefault="00000000">
          <w:pPr>
            <w:pStyle w:val="TOC2"/>
            <w:rPr>
              <w:rFonts w:ascii="宋体;SimSun" w:eastAsia="宋体;SimSun" w:hAnsi="宋体;SimSun" w:cs="宋体;SimSun"/>
              <w:kern w:val="2"/>
              <w:sz w:val="21"/>
              <w:szCs w:val="21"/>
            </w:rPr>
          </w:pPr>
          <w:hyperlink w:anchor="__RefHeading___Toc525655420">
            <w:r>
              <w:rPr>
                <w:rFonts w:ascii="宋体;SimSun" w:eastAsia="宋体;SimSun" w:hAnsi="宋体;SimSun" w:cs="宋体;SimSun"/>
                <w:sz w:val="21"/>
                <w:szCs w:val="21"/>
              </w:rPr>
              <w:t>三、估价目的</w:t>
            </w:r>
            <w:r>
              <w:rPr>
                <w:rFonts w:ascii="宋体;SimSun" w:eastAsia="宋体;SimSun" w:hAnsi="宋体;SimSun" w:cs="宋体;SimSun"/>
                <w:sz w:val="21"/>
                <w:szCs w:val="21"/>
              </w:rPr>
              <w:tab/>
              <w:t>9</w:t>
            </w:r>
          </w:hyperlink>
        </w:p>
        <w:p w14:paraId="1DBA03B4" w14:textId="77777777" w:rsidR="00771ECA" w:rsidRDefault="00000000">
          <w:pPr>
            <w:pStyle w:val="TOC2"/>
            <w:rPr>
              <w:rFonts w:ascii="宋体;SimSun" w:eastAsia="宋体;SimSun" w:hAnsi="宋体;SimSun" w:cs="宋体;SimSun"/>
              <w:kern w:val="2"/>
              <w:sz w:val="21"/>
              <w:szCs w:val="21"/>
            </w:rPr>
          </w:pPr>
          <w:hyperlink w:anchor="__RefHeading___Toc525655421">
            <w:r>
              <w:rPr>
                <w:rFonts w:ascii="宋体;SimSun" w:eastAsia="宋体;SimSun" w:hAnsi="宋体;SimSun" w:cs="宋体;SimSun"/>
                <w:sz w:val="21"/>
                <w:szCs w:val="21"/>
              </w:rPr>
              <w:t>四、估价对象</w:t>
            </w:r>
            <w:r>
              <w:rPr>
                <w:rFonts w:ascii="宋体;SimSun" w:eastAsia="宋体;SimSun" w:hAnsi="宋体;SimSun" w:cs="宋体;SimSun"/>
                <w:sz w:val="21"/>
                <w:szCs w:val="21"/>
              </w:rPr>
              <w:tab/>
              <w:t>9</w:t>
            </w:r>
          </w:hyperlink>
        </w:p>
        <w:p w14:paraId="042CE4D7" w14:textId="77777777" w:rsidR="00771ECA" w:rsidRDefault="00000000">
          <w:pPr>
            <w:pStyle w:val="TOC2"/>
            <w:rPr>
              <w:rFonts w:ascii="宋体;SimSun" w:eastAsia="宋体;SimSun" w:hAnsi="宋体;SimSun" w:cs="宋体;SimSun"/>
              <w:kern w:val="2"/>
              <w:sz w:val="21"/>
              <w:szCs w:val="21"/>
            </w:rPr>
          </w:pPr>
          <w:hyperlink w:anchor="__RefHeading___Toc525655422">
            <w:r>
              <w:rPr>
                <w:rFonts w:ascii="宋体;SimSun" w:eastAsia="宋体;SimSun" w:hAnsi="宋体;SimSun" w:cs="宋体;SimSun"/>
                <w:sz w:val="21"/>
                <w:szCs w:val="21"/>
              </w:rPr>
              <w:t>五、价值时点</w:t>
            </w:r>
            <w:r>
              <w:rPr>
                <w:rFonts w:ascii="宋体;SimSun" w:eastAsia="宋体;SimSun" w:hAnsi="宋体;SimSun" w:cs="宋体;SimSun"/>
                <w:sz w:val="21"/>
                <w:szCs w:val="21"/>
              </w:rPr>
              <w:tab/>
              <w:t>12</w:t>
            </w:r>
          </w:hyperlink>
        </w:p>
        <w:p w14:paraId="4953B46B" w14:textId="77777777" w:rsidR="00771ECA" w:rsidRDefault="00000000">
          <w:pPr>
            <w:pStyle w:val="TOC2"/>
            <w:rPr>
              <w:rFonts w:ascii="宋体;SimSun" w:eastAsia="宋体;SimSun" w:hAnsi="宋体;SimSun" w:cs="宋体;SimSun"/>
              <w:kern w:val="2"/>
              <w:sz w:val="21"/>
              <w:szCs w:val="21"/>
            </w:rPr>
          </w:pPr>
          <w:hyperlink w:anchor="__RefHeading___Toc525655423">
            <w:r>
              <w:rPr>
                <w:rFonts w:ascii="宋体;SimSun" w:eastAsia="宋体;SimSun" w:hAnsi="宋体;SimSun" w:cs="宋体;SimSun"/>
                <w:sz w:val="21"/>
                <w:szCs w:val="21"/>
              </w:rPr>
              <w:t>六、价值类型</w:t>
            </w:r>
            <w:r>
              <w:rPr>
                <w:rFonts w:ascii="宋体;SimSun" w:eastAsia="宋体;SimSun" w:hAnsi="宋体;SimSun" w:cs="宋体;SimSun"/>
                <w:sz w:val="21"/>
                <w:szCs w:val="21"/>
              </w:rPr>
              <w:tab/>
              <w:t>12</w:t>
            </w:r>
          </w:hyperlink>
        </w:p>
        <w:p w14:paraId="2B3D3C12" w14:textId="77777777" w:rsidR="00771ECA" w:rsidRDefault="00000000">
          <w:pPr>
            <w:pStyle w:val="TOC2"/>
            <w:rPr>
              <w:rFonts w:ascii="宋体;SimSun" w:eastAsia="宋体;SimSun" w:hAnsi="宋体;SimSun" w:cs="宋体;SimSun"/>
              <w:kern w:val="2"/>
              <w:sz w:val="21"/>
              <w:szCs w:val="21"/>
            </w:rPr>
          </w:pPr>
          <w:hyperlink w:anchor="__RefHeading___Toc525655424">
            <w:r>
              <w:rPr>
                <w:rFonts w:ascii="宋体;SimSun" w:eastAsia="宋体;SimSun" w:hAnsi="宋体;SimSun" w:cs="宋体;SimSun"/>
                <w:sz w:val="21"/>
                <w:szCs w:val="21"/>
              </w:rPr>
              <w:t>七、估价原则</w:t>
            </w:r>
            <w:r>
              <w:rPr>
                <w:rFonts w:ascii="宋体;SimSun" w:eastAsia="宋体;SimSun" w:hAnsi="宋体;SimSun" w:cs="宋体;SimSun"/>
                <w:sz w:val="21"/>
                <w:szCs w:val="21"/>
              </w:rPr>
              <w:tab/>
              <w:t>13</w:t>
            </w:r>
          </w:hyperlink>
        </w:p>
        <w:p w14:paraId="67365827" w14:textId="77777777" w:rsidR="00771ECA" w:rsidRDefault="00000000">
          <w:pPr>
            <w:pStyle w:val="TOC2"/>
            <w:rPr>
              <w:rFonts w:ascii="宋体;SimSun" w:eastAsia="宋体;SimSun" w:hAnsi="宋体;SimSun" w:cs="宋体;SimSun"/>
              <w:kern w:val="2"/>
              <w:sz w:val="21"/>
              <w:szCs w:val="21"/>
            </w:rPr>
          </w:pPr>
          <w:hyperlink w:anchor="__RefHeading___Toc525655425">
            <w:r>
              <w:rPr>
                <w:rFonts w:ascii="宋体;SimSun" w:eastAsia="宋体;SimSun" w:hAnsi="宋体;SimSun" w:cs="宋体;SimSun"/>
                <w:sz w:val="21"/>
                <w:szCs w:val="21"/>
              </w:rPr>
              <w:t>八、估价依据</w:t>
            </w:r>
            <w:r>
              <w:rPr>
                <w:rFonts w:ascii="宋体;SimSun" w:eastAsia="宋体;SimSun" w:hAnsi="宋体;SimSun" w:cs="宋体;SimSun"/>
                <w:sz w:val="21"/>
                <w:szCs w:val="21"/>
              </w:rPr>
              <w:tab/>
              <w:t>15</w:t>
            </w:r>
          </w:hyperlink>
        </w:p>
        <w:p w14:paraId="2AE0B34D" w14:textId="77777777" w:rsidR="00771ECA" w:rsidRDefault="00000000">
          <w:pPr>
            <w:pStyle w:val="TOC2"/>
            <w:rPr>
              <w:rFonts w:ascii="宋体;SimSun" w:eastAsia="宋体;SimSun" w:hAnsi="宋体;SimSun" w:cs="宋体;SimSun"/>
              <w:kern w:val="2"/>
              <w:sz w:val="21"/>
              <w:szCs w:val="21"/>
            </w:rPr>
          </w:pPr>
          <w:hyperlink w:anchor="__RefHeading___Toc525655426">
            <w:r>
              <w:rPr>
                <w:rFonts w:ascii="宋体;SimSun" w:eastAsia="宋体;SimSun" w:hAnsi="宋体;SimSun" w:cs="宋体;SimSun"/>
                <w:sz w:val="21"/>
                <w:szCs w:val="21"/>
              </w:rPr>
              <w:t>九、估价方法</w:t>
            </w:r>
            <w:r>
              <w:rPr>
                <w:rFonts w:ascii="宋体;SimSun" w:eastAsia="宋体;SimSun" w:hAnsi="宋体;SimSun" w:cs="宋体;SimSun"/>
                <w:sz w:val="21"/>
                <w:szCs w:val="21"/>
              </w:rPr>
              <w:tab/>
              <w:t>16</w:t>
            </w:r>
          </w:hyperlink>
        </w:p>
        <w:p w14:paraId="094B505E" w14:textId="77777777" w:rsidR="00771ECA" w:rsidRDefault="00000000">
          <w:pPr>
            <w:pStyle w:val="TOC2"/>
            <w:rPr>
              <w:rFonts w:ascii="宋体;SimSun" w:eastAsia="宋体;SimSun" w:hAnsi="宋体;SimSun" w:cs="宋体;SimSun"/>
              <w:kern w:val="2"/>
              <w:sz w:val="21"/>
              <w:szCs w:val="21"/>
            </w:rPr>
          </w:pPr>
          <w:hyperlink w:anchor="__RefHeading___Toc525655427">
            <w:r>
              <w:rPr>
                <w:rFonts w:ascii="宋体;SimSun" w:eastAsia="宋体;SimSun" w:hAnsi="宋体;SimSun" w:cs="宋体;SimSun"/>
                <w:sz w:val="21"/>
                <w:szCs w:val="21"/>
              </w:rPr>
              <w:t>十、估价结果</w:t>
            </w:r>
            <w:r>
              <w:rPr>
                <w:rFonts w:ascii="宋体;SimSun" w:eastAsia="宋体;SimSun" w:hAnsi="宋体;SimSun" w:cs="宋体;SimSun"/>
                <w:sz w:val="21"/>
                <w:szCs w:val="21"/>
              </w:rPr>
              <w:tab/>
              <w:t>17</w:t>
            </w:r>
          </w:hyperlink>
        </w:p>
        <w:p w14:paraId="2956CCE3" w14:textId="77777777" w:rsidR="00771ECA" w:rsidRDefault="00000000">
          <w:pPr>
            <w:pStyle w:val="TOC2"/>
            <w:rPr>
              <w:rFonts w:ascii="宋体;SimSun" w:eastAsia="宋体;SimSun" w:hAnsi="宋体;SimSun" w:cs="宋体;SimSun"/>
              <w:kern w:val="2"/>
              <w:sz w:val="21"/>
              <w:szCs w:val="21"/>
            </w:rPr>
          </w:pPr>
          <w:hyperlink w:anchor="__RefHeading___Toc525655428">
            <w:r>
              <w:rPr>
                <w:rFonts w:ascii="宋体;SimSun" w:eastAsia="宋体;SimSun" w:hAnsi="宋体;SimSun" w:cs="宋体;SimSun"/>
                <w:sz w:val="21"/>
                <w:szCs w:val="21"/>
              </w:rPr>
              <w:t>十一、参与本次估价工作的评估专业人员</w:t>
            </w:r>
            <w:r>
              <w:rPr>
                <w:rFonts w:ascii="宋体;SimSun" w:eastAsia="宋体;SimSun" w:hAnsi="宋体;SimSun" w:cs="宋体;SimSun"/>
                <w:sz w:val="21"/>
                <w:szCs w:val="21"/>
              </w:rPr>
              <w:tab/>
              <w:t>18</w:t>
            </w:r>
          </w:hyperlink>
        </w:p>
        <w:p w14:paraId="01FEF6C9" w14:textId="77777777" w:rsidR="00771ECA" w:rsidRDefault="00000000">
          <w:pPr>
            <w:pStyle w:val="TOC2"/>
            <w:rPr>
              <w:rFonts w:ascii="宋体;SimSun" w:eastAsia="宋体;SimSun" w:hAnsi="宋体;SimSun" w:cs="宋体;SimSun"/>
              <w:kern w:val="2"/>
              <w:sz w:val="21"/>
              <w:szCs w:val="21"/>
            </w:rPr>
          </w:pPr>
          <w:hyperlink w:anchor="__RefHeading___Toc525655429">
            <w:r>
              <w:rPr>
                <w:rFonts w:ascii="宋体;SimSun" w:eastAsia="宋体;SimSun" w:hAnsi="宋体;SimSun" w:cs="宋体;SimSun"/>
                <w:sz w:val="21"/>
                <w:szCs w:val="21"/>
              </w:rPr>
              <w:t>十二、实地查勘期</w:t>
            </w:r>
            <w:r>
              <w:rPr>
                <w:rFonts w:ascii="宋体;SimSun" w:eastAsia="宋体;SimSun" w:hAnsi="宋体;SimSun" w:cs="宋体;SimSun"/>
                <w:sz w:val="21"/>
                <w:szCs w:val="21"/>
              </w:rPr>
              <w:tab/>
              <w:t>18</w:t>
            </w:r>
          </w:hyperlink>
        </w:p>
        <w:p w14:paraId="2D4E3A16" w14:textId="77777777" w:rsidR="00771ECA" w:rsidRDefault="00000000">
          <w:pPr>
            <w:pStyle w:val="TOC2"/>
            <w:rPr>
              <w:rFonts w:ascii="宋体;SimSun" w:eastAsia="宋体;SimSun" w:hAnsi="宋体;SimSun" w:cs="宋体;SimSun"/>
              <w:kern w:val="2"/>
              <w:szCs w:val="24"/>
            </w:rPr>
          </w:pPr>
          <w:hyperlink w:anchor="__RefHeading___Toc525655430">
            <w:r>
              <w:rPr>
                <w:rFonts w:ascii="宋体;SimSun" w:eastAsia="宋体;SimSun" w:hAnsi="宋体;SimSun" w:cs="宋体;SimSun"/>
                <w:sz w:val="21"/>
                <w:szCs w:val="21"/>
              </w:rPr>
              <w:t>十三、估价作业期</w:t>
            </w:r>
            <w:r>
              <w:rPr>
                <w:rFonts w:ascii="宋体;SimSun" w:eastAsia="宋体;SimSun" w:hAnsi="宋体;SimSun" w:cs="宋体;SimSun"/>
                <w:sz w:val="21"/>
                <w:szCs w:val="21"/>
              </w:rPr>
              <w:tab/>
              <w:t>18</w:t>
            </w:r>
          </w:hyperlink>
        </w:p>
        <w:p w14:paraId="2D173942" w14:textId="77777777" w:rsidR="00771ECA" w:rsidRDefault="00000000">
          <w:pPr>
            <w:pStyle w:val="TOC1"/>
            <w:rPr>
              <w:rFonts w:ascii="宋体;SimSun" w:eastAsia="宋体;SimSun" w:hAnsi="宋体;SimSun" w:cs="宋体;SimSun"/>
              <w:b w:val="0"/>
              <w:bCs w:val="0"/>
              <w:kern w:val="2"/>
              <w:sz w:val="24"/>
              <w:szCs w:val="24"/>
            </w:rPr>
          </w:pPr>
          <w:hyperlink w:anchor="__RefHeading___Toc525655431">
            <w:r>
              <w:rPr>
                <w:rFonts w:ascii="宋体;SimSun" w:eastAsia="宋体;SimSun" w:hAnsi="宋体;SimSun" w:cs="宋体;SimSun"/>
                <w:sz w:val="24"/>
                <w:szCs w:val="24"/>
              </w:rPr>
              <w:t>估价技术报告</w:t>
            </w:r>
            <w:r>
              <w:rPr>
                <w:rFonts w:ascii="宋体;SimSun" w:eastAsia="宋体;SimSun" w:hAnsi="宋体;SimSun" w:cs="宋体;SimSun"/>
                <w:sz w:val="24"/>
                <w:szCs w:val="24"/>
              </w:rPr>
              <w:tab/>
              <w:t>19</w:t>
            </w:r>
          </w:hyperlink>
        </w:p>
        <w:p w14:paraId="6EFC6C98" w14:textId="77777777" w:rsidR="00771ECA" w:rsidRDefault="00000000">
          <w:pPr>
            <w:pStyle w:val="TOC2"/>
            <w:rPr>
              <w:rFonts w:ascii="宋体;SimSun" w:eastAsia="宋体;SimSun" w:hAnsi="宋体;SimSun" w:cs="宋体;SimSun"/>
              <w:kern w:val="2"/>
              <w:sz w:val="21"/>
              <w:szCs w:val="21"/>
            </w:rPr>
          </w:pPr>
          <w:hyperlink w:anchor="__RefHeading___Toc525655432">
            <w:r>
              <w:rPr>
                <w:rFonts w:ascii="宋体;SimSun" w:eastAsia="宋体;SimSun" w:hAnsi="宋体;SimSun" w:cs="宋体;SimSun"/>
                <w:sz w:val="21"/>
                <w:szCs w:val="21"/>
              </w:rPr>
              <w:t>一、估价对象描述与分析</w:t>
            </w:r>
            <w:r>
              <w:rPr>
                <w:rFonts w:ascii="宋体;SimSun" w:eastAsia="宋体;SimSun" w:hAnsi="宋体;SimSun" w:cs="宋体;SimSun"/>
                <w:sz w:val="21"/>
                <w:szCs w:val="21"/>
              </w:rPr>
              <w:tab/>
              <w:t>19</w:t>
            </w:r>
          </w:hyperlink>
        </w:p>
        <w:p w14:paraId="64DEF854" w14:textId="77777777" w:rsidR="00771ECA" w:rsidRDefault="00000000">
          <w:pPr>
            <w:pStyle w:val="TOC2"/>
            <w:rPr>
              <w:rFonts w:ascii="宋体;SimSun" w:eastAsia="宋体;SimSun" w:hAnsi="宋体;SimSun" w:cs="宋体;SimSun"/>
              <w:kern w:val="2"/>
              <w:sz w:val="21"/>
              <w:szCs w:val="21"/>
            </w:rPr>
          </w:pPr>
          <w:hyperlink w:anchor="__RefHeading___Toc525655433">
            <w:r>
              <w:rPr>
                <w:rFonts w:ascii="宋体;SimSun" w:eastAsia="宋体;SimSun" w:hAnsi="宋体;SimSun" w:cs="宋体;SimSun"/>
                <w:sz w:val="21"/>
                <w:szCs w:val="21"/>
              </w:rPr>
              <w:t>（一）区位状况分析</w:t>
            </w:r>
            <w:r>
              <w:rPr>
                <w:rFonts w:ascii="宋体;SimSun" w:eastAsia="宋体;SimSun" w:hAnsi="宋体;SimSun" w:cs="宋体;SimSun"/>
                <w:sz w:val="21"/>
                <w:szCs w:val="21"/>
              </w:rPr>
              <w:tab/>
              <w:t>19</w:t>
            </w:r>
          </w:hyperlink>
        </w:p>
        <w:p w14:paraId="58E9AB1F" w14:textId="77777777" w:rsidR="00771ECA" w:rsidRDefault="00000000">
          <w:pPr>
            <w:pStyle w:val="TOC2"/>
            <w:rPr>
              <w:rFonts w:ascii="宋体;SimSun" w:eastAsia="宋体;SimSun" w:hAnsi="宋体;SimSun" w:cs="宋体;SimSun"/>
              <w:kern w:val="2"/>
              <w:sz w:val="21"/>
              <w:szCs w:val="21"/>
            </w:rPr>
          </w:pPr>
          <w:hyperlink w:anchor="__RefHeading___Toc525655435">
            <w:r>
              <w:rPr>
                <w:rFonts w:ascii="宋体;SimSun" w:eastAsia="宋体;SimSun" w:hAnsi="宋体;SimSun" w:cs="宋体;SimSun"/>
                <w:sz w:val="21"/>
                <w:szCs w:val="21"/>
              </w:rPr>
              <w:t>（二）实物状况分析</w:t>
            </w:r>
            <w:r>
              <w:rPr>
                <w:rFonts w:ascii="宋体;SimSun" w:eastAsia="宋体;SimSun" w:hAnsi="宋体;SimSun" w:cs="宋体;SimSun"/>
                <w:sz w:val="21"/>
                <w:szCs w:val="21"/>
              </w:rPr>
              <w:tab/>
              <w:t>20</w:t>
            </w:r>
          </w:hyperlink>
        </w:p>
        <w:p w14:paraId="1756A0BA" w14:textId="77777777" w:rsidR="00771ECA" w:rsidRDefault="00000000">
          <w:pPr>
            <w:pStyle w:val="TOC2"/>
            <w:rPr>
              <w:rFonts w:ascii="宋体;SimSun" w:eastAsia="宋体;SimSun" w:hAnsi="宋体;SimSun" w:cs="宋体;SimSun"/>
              <w:kern w:val="2"/>
              <w:sz w:val="21"/>
              <w:szCs w:val="21"/>
            </w:rPr>
          </w:pPr>
          <w:hyperlink w:anchor="__RefHeading___Toc525655436">
            <w:r>
              <w:rPr>
                <w:rFonts w:ascii="宋体;SimSun" w:eastAsia="宋体;SimSun" w:hAnsi="宋体;SimSun" w:cs="宋体;SimSun"/>
                <w:sz w:val="21"/>
                <w:szCs w:val="21"/>
              </w:rPr>
              <w:t>（三）权益状况分析</w:t>
            </w:r>
            <w:r>
              <w:rPr>
                <w:rFonts w:ascii="宋体;SimSun" w:eastAsia="宋体;SimSun" w:hAnsi="宋体;SimSun" w:cs="宋体;SimSun"/>
                <w:sz w:val="21"/>
                <w:szCs w:val="21"/>
              </w:rPr>
              <w:tab/>
              <w:t>22</w:t>
            </w:r>
          </w:hyperlink>
        </w:p>
        <w:p w14:paraId="7160B897" w14:textId="77777777" w:rsidR="00771ECA" w:rsidRDefault="00000000">
          <w:pPr>
            <w:pStyle w:val="TOC2"/>
            <w:rPr>
              <w:rFonts w:ascii="宋体;SimSun" w:eastAsia="宋体;SimSun" w:hAnsi="宋体;SimSun" w:cs="宋体;SimSun"/>
              <w:kern w:val="2"/>
              <w:sz w:val="21"/>
              <w:szCs w:val="21"/>
            </w:rPr>
          </w:pPr>
          <w:hyperlink w:anchor="__RefHeading___Toc525655437">
            <w:r>
              <w:rPr>
                <w:rFonts w:ascii="宋体;SimSun" w:eastAsia="宋体;SimSun" w:hAnsi="宋体;SimSun" w:cs="宋体;SimSun"/>
                <w:sz w:val="21"/>
                <w:szCs w:val="21"/>
              </w:rPr>
              <w:t>二、市场背景描述与分析</w:t>
            </w:r>
            <w:r>
              <w:rPr>
                <w:rFonts w:ascii="宋体;SimSun" w:eastAsia="宋体;SimSun" w:hAnsi="宋体;SimSun" w:cs="宋体;SimSun"/>
                <w:sz w:val="21"/>
                <w:szCs w:val="21"/>
              </w:rPr>
              <w:tab/>
              <w:t>22</w:t>
            </w:r>
          </w:hyperlink>
        </w:p>
        <w:p w14:paraId="26965B77" w14:textId="77777777" w:rsidR="00771ECA" w:rsidRDefault="00000000">
          <w:pPr>
            <w:pStyle w:val="TOC2"/>
            <w:rPr>
              <w:rFonts w:ascii="宋体;SimSun" w:eastAsia="宋体;SimSun" w:hAnsi="宋体;SimSun" w:cs="宋体;SimSun"/>
              <w:kern w:val="2"/>
              <w:sz w:val="21"/>
              <w:szCs w:val="21"/>
            </w:rPr>
          </w:pPr>
          <w:hyperlink w:anchor="__RefHeading___Toc525655438">
            <w:r>
              <w:rPr>
                <w:rFonts w:ascii="宋体;SimSun" w:eastAsia="宋体;SimSun" w:hAnsi="宋体;SimSun" w:cs="宋体;SimSun"/>
                <w:sz w:val="21"/>
                <w:szCs w:val="21"/>
              </w:rPr>
              <w:t>三、最高最佳利用分析</w:t>
            </w:r>
            <w:r>
              <w:rPr>
                <w:rFonts w:ascii="宋体;SimSun" w:eastAsia="宋体;SimSun" w:hAnsi="宋体;SimSun" w:cs="宋体;SimSun"/>
                <w:sz w:val="21"/>
                <w:szCs w:val="21"/>
              </w:rPr>
              <w:tab/>
              <w:t>22</w:t>
            </w:r>
          </w:hyperlink>
        </w:p>
        <w:p w14:paraId="713F9934" w14:textId="77777777" w:rsidR="00771ECA" w:rsidRDefault="00000000">
          <w:pPr>
            <w:pStyle w:val="TOC2"/>
            <w:rPr>
              <w:rFonts w:ascii="宋体;SimSun" w:eastAsia="宋体;SimSun" w:hAnsi="宋体;SimSun" w:cs="宋体;SimSun"/>
              <w:kern w:val="2"/>
              <w:sz w:val="21"/>
              <w:szCs w:val="21"/>
            </w:rPr>
          </w:pPr>
          <w:hyperlink w:anchor="__RefHeading___Toc525655439">
            <w:r>
              <w:rPr>
                <w:rFonts w:ascii="宋体;SimSun" w:eastAsia="宋体;SimSun" w:hAnsi="宋体;SimSun" w:cs="宋体;SimSun"/>
                <w:sz w:val="21"/>
                <w:szCs w:val="21"/>
              </w:rPr>
              <w:t>四、估价方法适用性分析</w:t>
            </w:r>
            <w:r>
              <w:rPr>
                <w:rFonts w:ascii="宋体;SimSun" w:eastAsia="宋体;SimSun" w:hAnsi="宋体;SimSun" w:cs="宋体;SimSun"/>
                <w:sz w:val="21"/>
                <w:szCs w:val="21"/>
              </w:rPr>
              <w:tab/>
              <w:t>36</w:t>
            </w:r>
          </w:hyperlink>
        </w:p>
        <w:p w14:paraId="2FE549D7" w14:textId="77777777" w:rsidR="00771ECA" w:rsidRDefault="00000000">
          <w:pPr>
            <w:pStyle w:val="TOC2"/>
            <w:rPr>
              <w:rFonts w:ascii="宋体;SimSun" w:eastAsia="宋体;SimSun" w:hAnsi="宋体;SimSun" w:cs="宋体;SimSun"/>
              <w:kern w:val="2"/>
              <w:sz w:val="21"/>
              <w:szCs w:val="21"/>
            </w:rPr>
          </w:pPr>
          <w:hyperlink w:anchor="__RefHeading___Toc525655440">
            <w:r>
              <w:rPr>
                <w:rFonts w:ascii="宋体;SimSun" w:eastAsia="宋体;SimSun" w:hAnsi="宋体;SimSun" w:cs="宋体;SimSun"/>
                <w:sz w:val="21"/>
                <w:szCs w:val="21"/>
              </w:rPr>
              <w:t>五、估价测算过程</w:t>
            </w:r>
            <w:r>
              <w:rPr>
                <w:rFonts w:ascii="宋体;SimSun" w:eastAsia="宋体;SimSun" w:hAnsi="宋体;SimSun" w:cs="宋体;SimSun"/>
                <w:sz w:val="21"/>
                <w:szCs w:val="21"/>
              </w:rPr>
              <w:tab/>
              <w:t>38</w:t>
            </w:r>
          </w:hyperlink>
        </w:p>
        <w:p w14:paraId="0A4E90F4" w14:textId="77777777" w:rsidR="00771ECA" w:rsidRDefault="00000000">
          <w:pPr>
            <w:pStyle w:val="TOC2"/>
            <w:rPr>
              <w:rFonts w:ascii="宋体;SimSun" w:eastAsia="宋体;SimSun" w:hAnsi="宋体;SimSun" w:cs="宋体;SimSun"/>
              <w:kern w:val="2"/>
              <w:szCs w:val="24"/>
            </w:rPr>
          </w:pPr>
          <w:hyperlink w:anchor="__RefHeading___Toc525655441">
            <w:r>
              <w:rPr>
                <w:rFonts w:ascii="宋体;SimSun" w:eastAsia="宋体;SimSun" w:hAnsi="宋体;SimSun" w:cs="宋体;SimSun"/>
                <w:sz w:val="21"/>
                <w:szCs w:val="21"/>
              </w:rPr>
              <w:t>六、估价结果确定</w:t>
            </w:r>
            <w:r>
              <w:rPr>
                <w:rFonts w:ascii="宋体;SimSun" w:eastAsia="宋体;SimSun" w:hAnsi="宋体;SimSun" w:cs="宋体;SimSun"/>
                <w:sz w:val="21"/>
                <w:szCs w:val="21"/>
              </w:rPr>
              <w:tab/>
              <w:t>50</w:t>
            </w:r>
          </w:hyperlink>
        </w:p>
        <w:p w14:paraId="031B9DF0" w14:textId="77777777" w:rsidR="00771ECA" w:rsidRDefault="00000000">
          <w:pPr>
            <w:pStyle w:val="TOC1"/>
            <w:rPr>
              <w:rFonts w:ascii="宋体;SimSun" w:eastAsia="宋体;SimSun" w:hAnsi="宋体;SimSun" w:cs="宋体;SimSun"/>
              <w:kern w:val="2"/>
              <w:sz w:val="24"/>
              <w:szCs w:val="24"/>
            </w:rPr>
          </w:pPr>
          <w:hyperlink w:anchor="__RefHeading___Toc525655442">
            <w:r>
              <w:rPr>
                <w:rFonts w:ascii="宋体;SimSun" w:eastAsia="宋体;SimSun" w:hAnsi="宋体;SimSun" w:cs="宋体;SimSun"/>
                <w:b w:val="0"/>
                <w:bCs w:val="0"/>
                <w:sz w:val="24"/>
                <w:szCs w:val="24"/>
              </w:rPr>
              <w:t>附   件</w:t>
            </w:r>
            <w:r>
              <w:rPr>
                <w:rFonts w:ascii="宋体;SimSun" w:eastAsia="宋体;SimSun" w:hAnsi="宋体;SimSun" w:cs="宋体;SimSun"/>
                <w:b w:val="0"/>
                <w:bCs w:val="0"/>
                <w:sz w:val="24"/>
                <w:szCs w:val="24"/>
              </w:rPr>
              <w:tab/>
              <w:t>51</w:t>
            </w:r>
          </w:hyperlink>
          <w:r>
            <w:rPr>
              <w:rFonts w:ascii="宋体;SimSun" w:eastAsia="宋体;SimSun" w:hAnsi="宋体;SimSun" w:cs="宋体;SimSun"/>
              <w:b w:val="0"/>
              <w:bCs w:val="0"/>
              <w:sz w:val="24"/>
              <w:szCs w:val="24"/>
            </w:rPr>
            <w:fldChar w:fldCharType="end"/>
          </w:r>
        </w:p>
      </w:sdtContent>
    </w:sdt>
    <w:p w14:paraId="5586A3A1"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t>《估价委托书》复印件</w:t>
      </w:r>
    </w:p>
    <w:p w14:paraId="29402E1C"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t>估价对象所在位置示意图</w:t>
      </w:r>
    </w:p>
    <w:p w14:paraId="1E35B1C1"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t>估价对象现状照片</w:t>
      </w:r>
    </w:p>
    <w:p w14:paraId="0CF0FAD4"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lastRenderedPageBreak/>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13D355F5" w14:textId="77777777" w:rsidR="00771ECA" w:rsidRDefault="00000000">
      <w:pPr>
        <w:numPr>
          <w:ilvl w:val="0"/>
          <w:numId w:val="9"/>
        </w:numPr>
        <w:spacing w:line="360" w:lineRule="auto"/>
        <w:jc w:val="both"/>
        <w:rPr>
          <w:rFonts w:ascii="Arial" w:hAnsi="Arial" w:cs="Arial"/>
          <w:sz w:val="21"/>
          <w:szCs w:val="21"/>
        </w:rPr>
      </w:pP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w:t>
      </w:r>
      <w:r>
        <w:rPr>
          <w:rFonts w:ascii="Arial" w:hAnsi="Arial" w:cs="Arial"/>
          <w:sz w:val="21"/>
          <w:szCs w:val="21"/>
        </w:rPr>
        <w:t>复印件</w:t>
      </w:r>
    </w:p>
    <w:p w14:paraId="2D9561A9"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t>估价委托人《营业执照（副本）》复印件</w:t>
      </w:r>
    </w:p>
    <w:p w14:paraId="56D05913" w14:textId="77777777" w:rsidR="00771ECA" w:rsidRDefault="00000000">
      <w:pPr>
        <w:numPr>
          <w:ilvl w:val="0"/>
          <w:numId w:val="9"/>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11F60F16"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t>房地产估价机构资质证书复印件</w:t>
      </w:r>
    </w:p>
    <w:p w14:paraId="27AD8906" w14:textId="77777777" w:rsidR="00771ECA" w:rsidRDefault="00000000">
      <w:pPr>
        <w:numPr>
          <w:ilvl w:val="0"/>
          <w:numId w:val="9"/>
        </w:numPr>
        <w:spacing w:line="360" w:lineRule="auto"/>
        <w:jc w:val="both"/>
        <w:sectPr w:rsidR="00771ECA">
          <w:headerReference w:type="default" r:id="rId20"/>
          <w:footerReference w:type="default" r:id="rId21"/>
          <w:pgSz w:w="11906" w:h="16838"/>
          <w:pgMar w:top="1843" w:right="1134" w:bottom="1134" w:left="1474" w:header="1134" w:footer="907" w:gutter="0"/>
          <w:cols w:space="720"/>
          <w:formProt w:val="0"/>
          <w:docGrid w:linePitch="326"/>
        </w:sectPr>
      </w:pPr>
      <w:r>
        <w:rPr>
          <w:rFonts w:ascii="Arial" w:hAnsi="Arial" w:cs="Arial"/>
          <w:sz w:val="21"/>
          <w:szCs w:val="21"/>
        </w:rPr>
        <w:t>评估专业人员执业证书复印件</w:t>
      </w:r>
    </w:p>
    <w:p w14:paraId="476E7057" w14:textId="77777777" w:rsidR="00771ECA" w:rsidRDefault="00000000">
      <w:pPr>
        <w:pStyle w:val="1"/>
        <w:spacing w:line="480" w:lineRule="auto"/>
        <w:jc w:val="center"/>
        <w:rPr>
          <w:rFonts w:eastAsia="方正黑体简体"/>
          <w:b w:val="0"/>
          <w:kern w:val="2"/>
          <w:sz w:val="32"/>
          <w:szCs w:val="32"/>
        </w:rPr>
      </w:pPr>
      <w:bookmarkStart w:id="5" w:name="__RefHeading___Toc525655415"/>
      <w:bookmarkEnd w:id="5"/>
      <w:r>
        <w:rPr>
          <w:rFonts w:eastAsia="方正黑体简体"/>
          <w:b w:val="0"/>
          <w:kern w:val="2"/>
          <w:sz w:val="32"/>
          <w:szCs w:val="32"/>
        </w:rPr>
        <w:lastRenderedPageBreak/>
        <w:t>估价师声明</w:t>
      </w:r>
    </w:p>
    <w:p w14:paraId="72D8862E" w14:textId="77777777" w:rsidR="00771ECA" w:rsidRDefault="00000000">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7A084F9" w14:textId="77777777" w:rsidR="00771ECA" w:rsidRDefault="00000000">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641A44CF" w14:textId="77777777" w:rsidR="00771ECA" w:rsidRDefault="00000000">
      <w:pPr>
        <w:spacing w:line="480" w:lineRule="auto"/>
        <w:jc w:val="both"/>
        <w:outlineLvl w:val="0"/>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5ECE98E2" w14:textId="77777777" w:rsidR="00771ECA" w:rsidRDefault="00000000">
      <w:pPr>
        <w:spacing w:line="480" w:lineRule="auto"/>
        <w:jc w:val="both"/>
        <w:outlineLvl w:val="0"/>
        <w:rPr>
          <w:rFonts w:ascii="Arial" w:hAnsi="Arial" w:cs="Arial"/>
          <w:kern w:val="2"/>
          <w:sz w:val="21"/>
          <w:szCs w:val="21"/>
        </w:rPr>
      </w:pPr>
      <w:r>
        <w:rPr>
          <w:rFonts w:ascii="Arial" w:hAnsi="Arial" w:cs="Arial"/>
          <w:kern w:val="2"/>
          <w:sz w:val="21"/>
          <w:szCs w:val="21"/>
        </w:rPr>
        <w:t>（三）评估专业人员已于</w:t>
      </w:r>
      <w:r>
        <w:rPr>
          <w:rFonts w:ascii="Arial" w:hAnsi="Arial" w:cs="Arial"/>
          <w:kern w:val="2"/>
          <w:sz w:val="21"/>
          <w:szCs w:val="21"/>
        </w:rPr>
        <w:t>2023</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15</w:t>
      </w:r>
      <w:r>
        <w:rPr>
          <w:rFonts w:ascii="Arial" w:hAnsi="Arial" w:cs="Arial"/>
          <w:kern w:val="2"/>
          <w:sz w:val="21"/>
          <w:szCs w:val="21"/>
        </w:rPr>
        <w:t>日对估价对象进行了实地查勘。我们与估价报告中的估价对象没有现实或潜在的利益，与估价委托人及估价利害关系人没有利害关系，也对本估价报告中的估价对象、估价委托人及估价利害关系人没有偏见。</w:t>
      </w:r>
    </w:p>
    <w:p w14:paraId="36CBEE38" w14:textId="77777777" w:rsidR="00771ECA" w:rsidRDefault="00000000">
      <w:pPr>
        <w:spacing w:line="480" w:lineRule="auto"/>
        <w:jc w:val="both"/>
        <w:outlineLvl w:val="0"/>
        <w:sectPr w:rsidR="00771ECA">
          <w:headerReference w:type="default" r:id="rId22"/>
          <w:footerReference w:type="default" r:id="rId23"/>
          <w:pgSz w:w="11906" w:h="16838"/>
          <w:pgMar w:top="1843" w:right="1134" w:bottom="1134" w:left="1474" w:header="1134" w:footer="907" w:gutter="0"/>
          <w:cols w:space="720"/>
          <w:formProt w:val="0"/>
          <w:docGrid w:linePitch="326"/>
        </w:sect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 50291-2015]</w:t>
      </w:r>
      <w:r>
        <w:rPr>
          <w:rFonts w:ascii="Arial" w:hAnsi="Arial" w:cs="Arial"/>
          <w:kern w:val="2"/>
          <w:sz w:val="21"/>
          <w:szCs w:val="21"/>
        </w:rPr>
        <w:t>、《房地产估价基本术语标准》</w:t>
      </w:r>
      <w:r>
        <w:rPr>
          <w:rFonts w:ascii="Arial" w:hAnsi="Arial" w:cs="Arial"/>
          <w:kern w:val="2"/>
          <w:sz w:val="21"/>
          <w:szCs w:val="21"/>
        </w:rPr>
        <w:t>[GB/T 50899-2013]</w:t>
      </w:r>
      <w:r>
        <w:rPr>
          <w:rFonts w:ascii="Arial" w:hAnsi="Arial" w:cs="Arial"/>
          <w:kern w:val="2"/>
          <w:sz w:val="21"/>
          <w:szCs w:val="21"/>
        </w:rPr>
        <w:t>以及相关房地产估价专项标准，撰写本估价报告。</w:t>
      </w:r>
    </w:p>
    <w:p w14:paraId="487EA532" w14:textId="77777777" w:rsidR="00771ECA" w:rsidRDefault="00000000">
      <w:pPr>
        <w:pStyle w:val="1"/>
        <w:spacing w:line="480" w:lineRule="auto"/>
        <w:jc w:val="center"/>
        <w:rPr>
          <w:rFonts w:eastAsia="方正黑体简体"/>
          <w:b w:val="0"/>
          <w:kern w:val="2"/>
          <w:sz w:val="32"/>
          <w:szCs w:val="32"/>
        </w:rPr>
      </w:pPr>
      <w:bookmarkStart w:id="6" w:name="__RefHeading___Toc525655416"/>
      <w:bookmarkEnd w:id="6"/>
      <w:r>
        <w:rPr>
          <w:rFonts w:eastAsia="方正黑体简体"/>
          <w:b w:val="0"/>
          <w:kern w:val="2"/>
          <w:sz w:val="32"/>
          <w:szCs w:val="32"/>
        </w:rPr>
        <w:lastRenderedPageBreak/>
        <w:t>估价假设和限制条件</w:t>
      </w:r>
    </w:p>
    <w:p w14:paraId="3D945A9D"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（一）本次估价的一般假设</w:t>
      </w:r>
    </w:p>
    <w:p w14:paraId="7F64FEA4"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在估价时段的房地产租赁市场为公开、平等、自愿的交易市场。</w:t>
      </w:r>
    </w:p>
    <w:p w14:paraId="6089CFF7"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以估价对象符合规划设计条件，能够按规划住宅用途持续使用，对外出租为假设前提。</w:t>
      </w:r>
    </w:p>
    <w:p w14:paraId="21FC1046" w14:textId="77777777" w:rsidR="00771ECA" w:rsidRDefault="00000000">
      <w:pPr>
        <w:spacing w:line="480" w:lineRule="auto"/>
        <w:ind w:firstLine="420"/>
        <w:jc w:val="both"/>
      </w:pPr>
      <w:r>
        <w:rPr>
          <w:rFonts w:ascii="Arial" w:hAnsi="Arial" w:cs="Arial"/>
          <w:kern w:val="2"/>
          <w:sz w:val="21"/>
          <w:szCs w:val="21"/>
        </w:rPr>
        <w:t>3.</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5E09033A"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 xml:space="preserve">4. </w:t>
      </w:r>
      <w:r>
        <w:rPr>
          <w:rFonts w:ascii="Arial" w:hAnsi="Arial" w:cs="Arial"/>
          <w:kern w:val="2"/>
          <w:sz w:val="21"/>
          <w:szCs w:val="21"/>
        </w:rPr>
        <w:t>本次估价结果是在满足全部假设与限制条件下，于价值时点</w:t>
      </w:r>
      <w:r>
        <w:rPr>
          <w:rFonts w:ascii="Arial" w:hAnsi="Arial" w:cs="Arial"/>
          <w:kern w:val="2"/>
          <w:sz w:val="21"/>
          <w:szCs w:val="21"/>
        </w:rPr>
        <w:t>2023</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21</w:t>
      </w:r>
      <w:r>
        <w:rPr>
          <w:rFonts w:ascii="Arial" w:hAnsi="Arial" w:cs="Arial"/>
          <w:kern w:val="2"/>
          <w:sz w:val="21"/>
          <w:szCs w:val="21"/>
        </w:rPr>
        <w:t>日前一年内（</w:t>
      </w:r>
      <w:r>
        <w:rPr>
          <w:rFonts w:ascii="Arial" w:hAnsi="Arial" w:cs="Arial"/>
          <w:kern w:val="2"/>
          <w:sz w:val="21"/>
          <w:szCs w:val="21"/>
        </w:rPr>
        <w:t>2022</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月至</w:t>
      </w:r>
      <w:r>
        <w:rPr>
          <w:rFonts w:ascii="Arial" w:hAnsi="Arial" w:cs="Arial"/>
          <w:kern w:val="2"/>
          <w:sz w:val="21"/>
          <w:szCs w:val="21"/>
        </w:rPr>
        <w:t>2023</w:t>
      </w:r>
      <w:r>
        <w:rPr>
          <w:rFonts w:ascii="Arial" w:hAnsi="Arial" w:cs="Arial"/>
          <w:kern w:val="2"/>
          <w:sz w:val="21"/>
          <w:szCs w:val="21"/>
        </w:rPr>
        <w:t>年</w:t>
      </w:r>
      <w:r>
        <w:rPr>
          <w:rFonts w:ascii="Arial" w:hAnsi="Arial" w:cs="Arial"/>
          <w:kern w:val="2"/>
          <w:sz w:val="21"/>
          <w:szCs w:val="21"/>
        </w:rPr>
        <w:t>11</w:t>
      </w:r>
      <w:r>
        <w:rPr>
          <w:rFonts w:ascii="Arial" w:hAnsi="Arial" w:cs="Arial"/>
          <w:kern w:val="2"/>
          <w:sz w:val="21"/>
          <w:szCs w:val="21"/>
        </w:rPr>
        <w:t>月）估价对象所在区域同类型商品住房的市场平均租金价格水平，估价结果包括地租、房屋折旧、设备折旧、维修费、保险费、物业费、供暖费、管理费、利息、利润、家具、家电租赁费及租赁税费等；不含水电费、天然气费、通信费、有线电视费、上网宽带费等。</w:t>
      </w:r>
    </w:p>
    <w:p w14:paraId="1ACDB1F2"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5.</w:t>
      </w:r>
      <w:r>
        <w:rPr>
          <w:rFonts w:ascii="Arial" w:hAnsi="Arial" w:cs="Arial"/>
          <w:kern w:val="2"/>
          <w:sz w:val="21"/>
          <w:szCs w:val="21"/>
        </w:rPr>
        <w:t>估价对象户型、建筑面积、套数等情况均以估价委托人提供的《估价委托书》、</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国际人才公寓房屋明细》为</w:t>
      </w:r>
      <w:r>
        <w:rPr>
          <w:rFonts w:ascii="Arial" w:hAnsi="Arial" w:cs="Arial"/>
          <w:sz w:val="21"/>
          <w:szCs w:val="21"/>
        </w:rPr>
        <w:t>依据。</w:t>
      </w:r>
    </w:p>
    <w:p w14:paraId="60305DA4" w14:textId="77777777" w:rsidR="00771ECA" w:rsidRDefault="00000000">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kern w:val="2"/>
          <w:sz w:val="21"/>
          <w:szCs w:val="21"/>
        </w:rPr>
        <w:t>评估专业人员未能进入全部房屋内部进行勘察，</w:t>
      </w:r>
      <w:r>
        <w:rPr>
          <w:rFonts w:ascii="Arial" w:hAnsi="Arial" w:cs="Arial"/>
          <w:color w:val="000000"/>
          <w:kern w:val="2"/>
          <w:sz w:val="21"/>
          <w:szCs w:val="21"/>
        </w:rPr>
        <w:t>评估专业人员</w:t>
      </w:r>
      <w:r>
        <w:rPr>
          <w:rFonts w:ascii="Arial" w:hAnsi="Arial" w:cs="Arial"/>
          <w:kern w:val="2"/>
          <w:sz w:val="21"/>
          <w:szCs w:val="21"/>
        </w:rPr>
        <w:t>仅</w:t>
      </w:r>
      <w:r>
        <w:rPr>
          <w:rFonts w:ascii="Arial" w:hAnsi="Arial" w:cs="Arial"/>
          <w:color w:val="000000"/>
          <w:kern w:val="2"/>
          <w:sz w:val="21"/>
          <w:szCs w:val="21"/>
        </w:rPr>
        <w:t>对估价对象部分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A85366B" w14:textId="77777777" w:rsidR="00771ECA" w:rsidRDefault="00000000">
      <w:pPr>
        <w:spacing w:line="480" w:lineRule="auto"/>
        <w:ind w:firstLine="420"/>
        <w:jc w:val="both"/>
      </w:pPr>
      <w:r>
        <w:rPr>
          <w:rFonts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2385788C" w14:textId="77777777" w:rsidR="00771ECA" w:rsidRDefault="00000000">
      <w:pPr>
        <w:spacing w:line="480" w:lineRule="auto"/>
        <w:ind w:firstLine="420"/>
        <w:jc w:val="both"/>
      </w:pPr>
      <w:r>
        <w:rPr>
          <w:rFonts w:ascii="Arial" w:hAnsi="Arial" w:cs="Arial"/>
          <w:kern w:val="2"/>
          <w:sz w:val="21"/>
          <w:szCs w:val="21"/>
        </w:rPr>
        <w:t>8.</w:t>
      </w:r>
      <w:r>
        <w:rPr>
          <w:rFonts w:ascii="Arial" w:hAnsi="Arial" w:cs="Arial"/>
          <w:color w:val="000000"/>
          <w:kern w:val="2"/>
          <w:sz w:val="21"/>
          <w:szCs w:val="21"/>
        </w:rPr>
        <w:t>本次估价结果未考虑国家宏观政策发生重大变化以及遇有自然力和其他不可抗力对估价结果的影响。</w:t>
      </w:r>
    </w:p>
    <w:p w14:paraId="526E45E2"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估价结果未考虑估价对象及其运营企业已承担的债务、或有债务及经营决策失误或市场运作失当对其租赁价格水平的影响。</w:t>
      </w:r>
    </w:p>
    <w:p w14:paraId="6B7BE3B0"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10.</w:t>
      </w:r>
      <w:r>
        <w:rPr>
          <w:rFonts w:ascii="Arial" w:hAnsi="Arial" w:cs="Arial"/>
          <w:kern w:val="2"/>
          <w:sz w:val="21"/>
          <w:szCs w:val="21"/>
        </w:rPr>
        <w:t>评估专业人员于</w:t>
      </w:r>
      <w:r>
        <w:rPr>
          <w:rFonts w:ascii="Arial" w:hAnsi="Arial" w:cs="Arial"/>
          <w:kern w:val="2"/>
          <w:sz w:val="21"/>
          <w:szCs w:val="21"/>
        </w:rPr>
        <w:t>2023</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15</w:t>
      </w:r>
      <w:r>
        <w:rPr>
          <w:rFonts w:ascii="Arial" w:hAnsi="Arial" w:cs="Arial"/>
          <w:kern w:val="2"/>
          <w:sz w:val="21"/>
          <w:szCs w:val="21"/>
        </w:rPr>
        <w:t>日对估价对象现状利用状况进行了实地查勘。</w:t>
      </w:r>
    </w:p>
    <w:p w14:paraId="0ADAC90F"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11.</w:t>
      </w:r>
      <w:bookmarkStart w:id="7" w:name="_Hlk155255816"/>
      <w:r>
        <w:rPr>
          <w:rFonts w:ascii="Arial" w:hAnsi="Arial" w:cs="Arial"/>
          <w:kern w:val="2"/>
          <w:sz w:val="21"/>
          <w:szCs w:val="21"/>
        </w:rPr>
        <w:t>根据估价专业人员调查，估价对象部分已出租，根据估价目的，本次估价未考虑抵押、租赁、地役、查封等他项权利影响。</w:t>
      </w:r>
      <w:bookmarkEnd w:id="7"/>
    </w:p>
    <w:p w14:paraId="065FEA24"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lastRenderedPageBreak/>
        <w:t>（二）本次估价的未定事项假设</w:t>
      </w:r>
    </w:p>
    <w:p w14:paraId="28A62891" w14:textId="77777777" w:rsidR="00771ECA" w:rsidRDefault="00000000">
      <w:pPr>
        <w:spacing w:line="480" w:lineRule="auto"/>
        <w:ind w:firstLine="420"/>
        <w:jc w:val="both"/>
        <w:rPr>
          <w:rFonts w:ascii="Arial" w:hAnsi="Arial" w:cs="Arial"/>
          <w:color w:val="000000"/>
          <w:sz w:val="21"/>
          <w:szCs w:val="21"/>
        </w:rPr>
      </w:pPr>
      <w:r>
        <w:rPr>
          <w:rFonts w:ascii="Arial" w:hAnsi="Arial" w:cs="Arial"/>
          <w:color w:val="000000"/>
          <w:sz w:val="21"/>
          <w:szCs w:val="21"/>
        </w:rPr>
        <w:t>无未定事项假设。</w:t>
      </w:r>
    </w:p>
    <w:p w14:paraId="096F1314"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（三）本次估价的</w:t>
      </w:r>
      <w:bookmarkStart w:id="8" w:name="_Hlk118391731"/>
      <w:r>
        <w:rPr>
          <w:rFonts w:ascii="Arial" w:hAnsi="Arial" w:cs="Arial"/>
          <w:b/>
          <w:kern w:val="2"/>
          <w:sz w:val="21"/>
          <w:szCs w:val="21"/>
        </w:rPr>
        <w:t>背离事实假设</w:t>
      </w:r>
      <w:bookmarkEnd w:id="8"/>
    </w:p>
    <w:p w14:paraId="053B95ED"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无背离事实假设。</w:t>
      </w:r>
    </w:p>
    <w:p w14:paraId="59F3464A"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（四）本次估价的不相一致假设</w:t>
      </w:r>
    </w:p>
    <w:p w14:paraId="64DC70A1"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无不相一致假设。</w:t>
      </w:r>
    </w:p>
    <w:p w14:paraId="77D9B1F8"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（五）本次估价的依据不足假设</w:t>
      </w:r>
    </w:p>
    <w:p w14:paraId="758D5CFE"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无依据不足假设。</w:t>
      </w:r>
    </w:p>
    <w:p w14:paraId="4B357DAD"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（六）估价报告使用限制</w:t>
      </w:r>
    </w:p>
    <w:p w14:paraId="5E2323FF" w14:textId="77777777" w:rsidR="00771ECA" w:rsidRDefault="00000000">
      <w:pPr>
        <w:spacing w:line="480" w:lineRule="auto"/>
        <w:ind w:firstLine="420"/>
        <w:jc w:val="both"/>
      </w:pPr>
      <w:r>
        <w:rPr>
          <w:rFonts w:ascii="Arial" w:hAnsi="Arial" w:cs="Arial"/>
          <w:kern w:val="2"/>
          <w:sz w:val="21"/>
          <w:szCs w:val="21"/>
        </w:rPr>
        <w:t>1.</w:t>
      </w:r>
      <w:r>
        <w:rPr>
          <w:rFonts w:ascii="Arial" w:hAnsi="Arial" w:cs="Arial"/>
          <w:kern w:val="2"/>
          <w:sz w:val="21"/>
          <w:szCs w:val="21"/>
        </w:rPr>
        <w:t>使用范围：本估价报告只能由估价报告载明的报告使用者使用，且只能用于本报告载明的唯一估价目的和用途。</w:t>
      </w:r>
    </w:p>
    <w:p w14:paraId="0528D8CA"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B11671F" w14:textId="77777777" w:rsidR="00771ECA" w:rsidRDefault="00000000">
      <w:pPr>
        <w:spacing w:line="480" w:lineRule="auto"/>
        <w:ind w:firstLine="420"/>
        <w:jc w:val="both"/>
      </w:pPr>
      <w:r>
        <w:rPr>
          <w:rFonts w:ascii="Arial" w:hAnsi="Arial" w:cs="Arial"/>
          <w:kern w:val="2"/>
          <w:sz w:val="21"/>
          <w:szCs w:val="21"/>
        </w:rPr>
        <w:t>3.</w:t>
      </w:r>
      <w:r>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35ADCA68" w14:textId="77777777" w:rsidR="00771ECA" w:rsidRDefault="00000000">
      <w:pPr>
        <w:spacing w:line="480" w:lineRule="auto"/>
        <w:ind w:firstLine="420"/>
        <w:jc w:val="both"/>
      </w:pPr>
      <w:r>
        <w:rPr>
          <w:rFonts w:ascii="Arial" w:hAnsi="Arial" w:cs="Arial"/>
          <w:kern w:val="2"/>
          <w:sz w:val="21"/>
          <w:szCs w:val="21"/>
        </w:rPr>
        <w:t>4.</w:t>
      </w:r>
      <w:r>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673ACFD2" w14:textId="77777777" w:rsidR="00771ECA" w:rsidRDefault="00000000">
      <w:pPr>
        <w:spacing w:line="480" w:lineRule="auto"/>
        <w:ind w:firstLine="420"/>
        <w:jc w:val="both"/>
      </w:pPr>
      <w:r>
        <w:rPr>
          <w:rFonts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sz w:val="21"/>
          <w:szCs w:val="21"/>
        </w:rPr>
        <w:t>为估价委托人了解估价对象房地产市场租金水平提供参考依据</w:t>
      </w:r>
      <w:r>
        <w:rPr>
          <w:rFonts w:ascii="Arial" w:hAnsi="Arial" w:cs="Arial"/>
          <w:kern w:val="2"/>
          <w:sz w:val="21"/>
          <w:szCs w:val="21"/>
        </w:rPr>
        <w:t>，不做其他评估目的之用。如果估价对象的评估条件或目的发生变化，需重新进行评估。</w:t>
      </w:r>
    </w:p>
    <w:p w14:paraId="56439589" w14:textId="77777777" w:rsidR="00771ECA" w:rsidRDefault="00000000">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color w:val="000000"/>
          <w:kern w:val="2"/>
          <w:sz w:val="21"/>
          <w:szCs w:val="21"/>
        </w:rPr>
        <w:t>估价委托人应对其提供的权属证明以及其他资料的真实性、完整性和合法性负责。如因资料失实或资料提供人有所隐匿而导致估价结果失真，估价机构不承担相应的责任。</w:t>
      </w:r>
    </w:p>
    <w:p w14:paraId="79CC9856" w14:textId="77777777" w:rsidR="00771ECA" w:rsidRDefault="00000000">
      <w:pPr>
        <w:spacing w:line="480" w:lineRule="auto"/>
        <w:ind w:firstLine="420"/>
        <w:jc w:val="both"/>
        <w:rPr>
          <w:rFonts w:ascii="Arial" w:hAnsi="Arial" w:cs="Arial"/>
          <w:kern w:val="2"/>
          <w:sz w:val="21"/>
          <w:szCs w:val="21"/>
        </w:rPr>
      </w:pPr>
      <w:r>
        <w:rPr>
          <w:rFonts w:ascii="Arial" w:hAnsi="Arial" w:cs="Arial"/>
          <w:color w:val="000000"/>
          <w:kern w:val="2"/>
          <w:sz w:val="21"/>
          <w:szCs w:val="21"/>
        </w:rPr>
        <w:t>7.</w:t>
      </w:r>
      <w:r>
        <w:rPr>
          <w:rFonts w:ascii="Arial" w:hAnsi="Arial" w:cs="Arial"/>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8FD06D7" w14:textId="77777777" w:rsidR="00771ECA" w:rsidRDefault="00000000">
      <w:pPr>
        <w:spacing w:line="480" w:lineRule="auto"/>
        <w:ind w:firstLine="420"/>
        <w:jc w:val="both"/>
      </w:pPr>
      <w:r>
        <w:rPr>
          <w:rFonts w:ascii="Arial" w:hAnsi="Arial" w:cs="Arial"/>
          <w:sz w:val="21"/>
          <w:szCs w:val="21"/>
        </w:rPr>
        <w:lastRenderedPageBreak/>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DFC39A6"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t>9.</w:t>
      </w:r>
      <w:r>
        <w:rPr>
          <w:rFonts w:ascii="Arial" w:hAnsi="Arial" w:cs="Arial"/>
          <w:sz w:val="21"/>
          <w:szCs w:val="21"/>
        </w:rPr>
        <w:t>本估价报告在估价机构盖章和注册房地产估价师签字或盖章的条件下有效。</w:t>
      </w:r>
    </w:p>
    <w:p w14:paraId="303C8373" w14:textId="77777777" w:rsidR="00771ECA" w:rsidRDefault="00000000">
      <w:pPr>
        <w:spacing w:line="480" w:lineRule="auto"/>
        <w:ind w:firstLine="420"/>
        <w:jc w:val="both"/>
      </w:pPr>
      <w:r>
        <w:rPr>
          <w:rFonts w:ascii="Arial" w:hAnsi="Arial" w:cs="Arial"/>
          <w:kern w:val="2"/>
          <w:sz w:val="21"/>
          <w:szCs w:val="21"/>
        </w:rPr>
        <w:t>10.</w:t>
      </w:r>
      <w:r>
        <w:rPr>
          <w:rFonts w:ascii="Arial" w:hAnsi="Arial" w:cs="Arial"/>
          <w:sz w:val="21"/>
          <w:szCs w:val="21"/>
        </w:rPr>
        <w:t>价值时点后，估价报告有效期内估价对象的质量及价格标准发生变化，并对估价对象租赁价值产生明显影响时，不能直接使用本次估价结论。</w:t>
      </w:r>
    </w:p>
    <w:p w14:paraId="1C8BAD12"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t>11.</w:t>
      </w:r>
      <w:r>
        <w:rPr>
          <w:rFonts w:ascii="Arial" w:hAnsi="Arial" w:cs="Arial"/>
          <w:sz w:val="21"/>
          <w:szCs w:val="21"/>
        </w:rPr>
        <w:t>本次估价未考虑特殊交易方式对估价结果的影响。</w:t>
      </w:r>
    </w:p>
    <w:p w14:paraId="357B3A4C" w14:textId="77777777" w:rsidR="00771ECA" w:rsidRDefault="00000000">
      <w:pPr>
        <w:spacing w:line="480" w:lineRule="auto"/>
        <w:ind w:firstLine="420"/>
        <w:jc w:val="both"/>
      </w:pPr>
      <w:r>
        <w:rPr>
          <w:rFonts w:ascii="Arial" w:hAnsi="Arial" w:cs="Arial"/>
          <w:sz w:val="21"/>
          <w:szCs w:val="21"/>
        </w:rPr>
        <w:t>12.</w:t>
      </w:r>
      <w:r>
        <w:rPr>
          <w:rFonts w:ascii="Arial" w:hAnsi="Arial" w:cs="Arial"/>
          <w:sz w:val="21"/>
          <w:szCs w:val="21"/>
        </w:rPr>
        <w:t>根据估价委托人提供的资料，估价对象</w:t>
      </w:r>
      <w:commentRangeStart w:id="9"/>
      <w:r>
        <w:rPr>
          <w:rFonts w:ascii="Arial" w:hAnsi="Arial" w:cs="Arial"/>
          <w:sz w:val="21"/>
          <w:szCs w:val="21"/>
        </w:rPr>
        <w:t>不存在</w:t>
      </w:r>
      <w:commentRangeEnd w:id="9"/>
      <w:r>
        <w:commentReference w:id="9"/>
      </w:r>
      <w:r>
        <w:rPr>
          <w:rFonts w:ascii="Arial" w:hAnsi="Arial" w:cs="Arial"/>
          <w:sz w:val="21"/>
          <w:szCs w:val="21"/>
        </w:rPr>
        <w:t>抵押、担保等他项权利登记，本次估价不考虑抵押等他项权利及现利用状况对估价对象租金价格产生的影响。</w:t>
      </w:r>
    </w:p>
    <w:p w14:paraId="53783646" w14:textId="77777777" w:rsidR="00771ECA" w:rsidRDefault="00000000">
      <w:pPr>
        <w:spacing w:line="480" w:lineRule="auto"/>
        <w:ind w:firstLine="420"/>
        <w:jc w:val="both"/>
        <w:rPr>
          <w:rFonts w:ascii="Arial" w:hAnsi="Arial" w:cs="Arial"/>
          <w:color w:val="0070C0"/>
          <w:sz w:val="21"/>
          <w:szCs w:val="21"/>
        </w:rPr>
        <w:sectPr w:rsidR="00771ECA">
          <w:headerReference w:type="default" r:id="rId24"/>
          <w:footerReference w:type="default" r:id="rId25"/>
          <w:pgSz w:w="11906" w:h="16838"/>
          <w:pgMar w:top="1843" w:right="1134" w:bottom="1134" w:left="1474" w:header="1134" w:footer="907" w:gutter="0"/>
          <w:cols w:space="720"/>
          <w:formProt w:val="0"/>
          <w:docGrid w:linePitch="326"/>
        </w:sectPr>
      </w:pPr>
      <w:r>
        <w:rPr>
          <w:rFonts w:ascii="Arial" w:hAnsi="Arial" w:cs="Arial"/>
          <w:kern w:val="2"/>
          <w:sz w:val="21"/>
          <w:szCs w:val="21"/>
        </w:rPr>
        <w:t>13.</w:t>
      </w:r>
      <w:r>
        <w:rPr>
          <w:rFonts w:ascii="Arial" w:hAnsi="Arial" w:cs="Arial"/>
          <w:kern w:val="2"/>
          <w:sz w:val="21"/>
          <w:szCs w:val="21"/>
        </w:rPr>
        <w:t>本估价报告自报告出具日起计算，自</w:t>
      </w:r>
      <w:r>
        <w:rPr>
          <w:rFonts w:ascii="Arial" w:hAnsi="Arial" w:cs="Arial"/>
          <w:kern w:val="2"/>
          <w:sz w:val="21"/>
          <w:szCs w:val="21"/>
        </w:rPr>
        <w:t>2024</w:t>
      </w:r>
      <w:r>
        <w:rPr>
          <w:rFonts w:ascii="Arial" w:hAnsi="Arial" w:cs="Arial"/>
          <w:kern w:val="2"/>
          <w:sz w:val="21"/>
          <w:szCs w:val="21"/>
        </w:rPr>
        <w:t>年</w:t>
      </w:r>
      <w:r>
        <w:rPr>
          <w:rFonts w:ascii="Arial" w:hAnsi="Arial" w:cs="Arial"/>
          <w:kern w:val="2"/>
          <w:sz w:val="21"/>
          <w:szCs w:val="21"/>
        </w:rPr>
        <w:t>1</w:t>
      </w:r>
      <w:r>
        <w:rPr>
          <w:rFonts w:ascii="Arial" w:hAnsi="Arial" w:cs="Arial"/>
          <w:kern w:val="2"/>
          <w:sz w:val="21"/>
          <w:szCs w:val="21"/>
        </w:rPr>
        <w:t>月</w:t>
      </w:r>
      <w:r>
        <w:rPr>
          <w:rFonts w:ascii="Arial" w:hAnsi="Arial" w:cs="Arial"/>
          <w:kern w:val="2"/>
          <w:sz w:val="21"/>
          <w:szCs w:val="21"/>
        </w:rPr>
        <w:t>4</w:t>
      </w:r>
      <w:r>
        <w:rPr>
          <w:rFonts w:ascii="Arial" w:hAnsi="Arial" w:cs="Arial"/>
          <w:kern w:val="2"/>
          <w:sz w:val="21"/>
          <w:szCs w:val="21"/>
        </w:rPr>
        <w:t>日至</w:t>
      </w:r>
      <w:r>
        <w:rPr>
          <w:rFonts w:ascii="Arial" w:hAnsi="Arial" w:cs="Arial"/>
          <w:kern w:val="2"/>
          <w:sz w:val="21"/>
          <w:szCs w:val="21"/>
        </w:rPr>
        <w:t>2025</w:t>
      </w:r>
      <w:r>
        <w:rPr>
          <w:rFonts w:ascii="Arial" w:hAnsi="Arial" w:cs="Arial"/>
          <w:kern w:val="2"/>
          <w:sz w:val="21"/>
          <w:szCs w:val="21"/>
        </w:rPr>
        <w:t>年</w:t>
      </w:r>
      <w:r>
        <w:rPr>
          <w:rFonts w:ascii="Arial" w:hAnsi="Arial" w:cs="Arial"/>
          <w:kern w:val="2"/>
          <w:sz w:val="21"/>
          <w:szCs w:val="21"/>
        </w:rPr>
        <w:t>1</w:t>
      </w:r>
      <w:r>
        <w:rPr>
          <w:rFonts w:ascii="Arial" w:hAnsi="Arial" w:cs="Arial"/>
          <w:kern w:val="2"/>
          <w:sz w:val="21"/>
          <w:szCs w:val="21"/>
        </w:rPr>
        <w:t>月</w:t>
      </w:r>
      <w:r>
        <w:rPr>
          <w:rFonts w:ascii="Arial" w:hAnsi="Arial" w:cs="Arial"/>
          <w:kern w:val="2"/>
          <w:sz w:val="21"/>
          <w:szCs w:val="21"/>
        </w:rPr>
        <w:t>3</w:t>
      </w:r>
      <w:r>
        <w:rPr>
          <w:rFonts w:ascii="Arial" w:hAnsi="Arial" w:cs="Arial"/>
          <w:kern w:val="2"/>
          <w:sz w:val="21"/>
          <w:szCs w:val="21"/>
        </w:rPr>
        <w:t>日有效。</w:t>
      </w:r>
    </w:p>
    <w:p w14:paraId="45C6EBE7" w14:textId="77777777" w:rsidR="00771ECA" w:rsidRDefault="00000000">
      <w:pPr>
        <w:pStyle w:val="1"/>
        <w:spacing w:line="360" w:lineRule="auto"/>
        <w:jc w:val="center"/>
        <w:rPr>
          <w:rFonts w:eastAsia="方正黑体简体"/>
          <w:b w:val="0"/>
          <w:kern w:val="2"/>
          <w:sz w:val="32"/>
          <w:szCs w:val="32"/>
        </w:rPr>
      </w:pPr>
      <w:bookmarkStart w:id="10" w:name="__RefHeading___Toc525655417"/>
      <w:bookmarkEnd w:id="10"/>
      <w:r>
        <w:rPr>
          <w:rFonts w:eastAsia="方正黑体简体"/>
          <w:b w:val="0"/>
          <w:kern w:val="2"/>
          <w:sz w:val="32"/>
          <w:szCs w:val="32"/>
        </w:rPr>
        <w:lastRenderedPageBreak/>
        <w:t>估价结果报告</w:t>
      </w:r>
    </w:p>
    <w:p w14:paraId="7B54D9E7"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b w:val="0"/>
          <w:kern w:val="2"/>
          <w:sz w:val="21"/>
          <w:szCs w:val="21"/>
        </w:rPr>
      </w:pPr>
      <w:bookmarkStart w:id="11" w:name="__RefHeading___Toc525655418"/>
      <w:bookmarkEnd w:id="11"/>
      <w:r>
        <w:rPr>
          <w:rFonts w:eastAsia="宋体;SimSun"/>
          <w:kern w:val="2"/>
          <w:sz w:val="21"/>
          <w:szCs w:val="21"/>
        </w:rPr>
        <w:t>一、估价委托人</w:t>
      </w:r>
    </w:p>
    <w:p w14:paraId="01385CB9" w14:textId="77777777" w:rsidR="00771ECA" w:rsidRDefault="00000000">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6A49C49A" w14:textId="77777777" w:rsidR="00771ECA" w:rsidRDefault="00000000">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2B0825E8"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址：北京市北京经济技术开发区鹿海园四里</w:t>
      </w:r>
      <w:r>
        <w:rPr>
          <w:rFonts w:ascii="Arial" w:hAnsi="Arial" w:cs="Arial"/>
          <w:sz w:val="21"/>
          <w:szCs w:val="21"/>
        </w:rPr>
        <w:t>8</w:t>
      </w:r>
      <w:r>
        <w:rPr>
          <w:rFonts w:ascii="Arial" w:hAnsi="Arial" w:cs="Arial"/>
          <w:sz w:val="21"/>
          <w:szCs w:val="21"/>
        </w:rPr>
        <w:t>号楼</w:t>
      </w:r>
      <w:r>
        <w:rPr>
          <w:rFonts w:ascii="Arial" w:hAnsi="Arial" w:cs="Arial"/>
          <w:sz w:val="21"/>
          <w:szCs w:val="21"/>
        </w:rPr>
        <w:t>8101</w:t>
      </w:r>
    </w:p>
    <w:p w14:paraId="72A3120A"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74F804E3" w14:textId="77777777" w:rsidR="00771ECA" w:rsidRDefault="00771ECA">
      <w:pPr>
        <w:overflowPunct w:val="0"/>
        <w:spacing w:line="480" w:lineRule="auto"/>
        <w:ind w:firstLine="420"/>
        <w:jc w:val="both"/>
        <w:textAlignment w:val="auto"/>
        <w:rPr>
          <w:rFonts w:ascii="Arial" w:hAnsi="Arial" w:cs="Arial"/>
          <w:sz w:val="21"/>
          <w:szCs w:val="21"/>
        </w:rPr>
      </w:pPr>
    </w:p>
    <w:p w14:paraId="69E07106"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2" w:name="__RefHeading___Toc525655419"/>
      <w:bookmarkEnd w:id="12"/>
      <w:r>
        <w:rPr>
          <w:rFonts w:eastAsia="宋体;SimSun"/>
          <w:kern w:val="2"/>
          <w:sz w:val="21"/>
          <w:szCs w:val="21"/>
        </w:rPr>
        <w:t>二、房地产估价机构</w:t>
      </w:r>
    </w:p>
    <w:p w14:paraId="625CD70F" w14:textId="77777777" w:rsidR="00771ECA" w:rsidRDefault="00000000">
      <w:pPr>
        <w:overflowPunct w:val="0"/>
        <w:spacing w:line="480" w:lineRule="auto"/>
        <w:ind w:firstLine="420"/>
        <w:jc w:val="both"/>
        <w:rPr>
          <w:rFonts w:ascii="Arial" w:hAnsi="Arial" w:cs="Arial"/>
          <w:sz w:val="21"/>
          <w:szCs w:val="21"/>
        </w:rPr>
      </w:pPr>
      <w:r>
        <w:rPr>
          <w:rFonts w:ascii="Arial" w:hAnsi="Arial" w:cs="Arial"/>
          <w:sz w:val="21"/>
          <w:szCs w:val="21"/>
        </w:rPr>
        <w:t>受托机构：北京康正宏基房地产评估有限公司</w:t>
      </w:r>
    </w:p>
    <w:p w14:paraId="1EB33929" w14:textId="77777777" w:rsidR="00771ECA" w:rsidRDefault="00000000">
      <w:pPr>
        <w:overflowPunct w:val="0"/>
        <w:spacing w:line="480" w:lineRule="auto"/>
        <w:ind w:firstLine="420"/>
        <w:jc w:val="both"/>
        <w:rPr>
          <w:rFonts w:ascii="Arial" w:hAnsi="Arial" w:cs="Arial"/>
          <w:sz w:val="21"/>
          <w:szCs w:val="21"/>
        </w:rPr>
      </w:pPr>
      <w:r>
        <w:rPr>
          <w:rFonts w:ascii="Arial" w:hAnsi="Arial" w:cs="Arial"/>
          <w:sz w:val="21"/>
          <w:szCs w:val="21"/>
        </w:rPr>
        <w:t>资质级别：壹级</w:t>
      </w:r>
    </w:p>
    <w:p w14:paraId="5CA4A426" w14:textId="77777777" w:rsidR="00771ECA" w:rsidRDefault="00000000">
      <w:pPr>
        <w:overflowPunct w:val="0"/>
        <w:spacing w:line="480" w:lineRule="auto"/>
        <w:ind w:firstLine="420"/>
        <w:jc w:val="both"/>
        <w:textAlignment w:val="auto"/>
      </w:pPr>
      <w:r>
        <w:rPr>
          <w:rFonts w:ascii="Arial" w:hAnsi="Arial" w:cs="Arial"/>
          <w:sz w:val="21"/>
          <w:szCs w:val="21"/>
        </w:rPr>
        <w:t>资格证书号：建房估备字</w:t>
      </w:r>
      <w:r>
        <w:rPr>
          <w:rFonts w:ascii="Arial" w:hAnsi="Arial" w:cs="Arial"/>
          <w:sz w:val="21"/>
          <w:szCs w:val="21"/>
        </w:rPr>
        <w:t>[2013</w:t>
      </w:r>
      <w:r>
        <w:rPr>
          <w:rFonts w:ascii="Arial" w:hAnsi="Arial" w:cs="Arial"/>
          <w:sz w:val="21"/>
          <w:szCs w:val="21"/>
        </w:rPr>
        <w:t>第</w:t>
      </w:r>
      <w:r>
        <w:rPr>
          <w:rFonts w:ascii="Arial" w:hAnsi="Arial" w:cs="Arial"/>
          <w:sz w:val="21"/>
          <w:szCs w:val="21"/>
        </w:rPr>
        <w:t>]081</w:t>
      </w:r>
      <w:r>
        <w:rPr>
          <w:rFonts w:ascii="Arial" w:hAnsi="Arial" w:cs="Arial"/>
          <w:sz w:val="21"/>
          <w:szCs w:val="21"/>
        </w:rPr>
        <w:t>号</w:t>
      </w:r>
    </w:p>
    <w:p w14:paraId="333A1FDF"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有效期限：</w:t>
      </w:r>
      <w:r>
        <w:rPr>
          <w:rFonts w:ascii="Arial" w:hAnsi="Arial" w:cs="Arial"/>
          <w:sz w:val="21"/>
          <w:szCs w:val="21"/>
        </w:rPr>
        <w:t>2022</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30</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29</w:t>
      </w:r>
      <w:r>
        <w:rPr>
          <w:rFonts w:ascii="Arial" w:hAnsi="Arial" w:cs="Arial"/>
          <w:sz w:val="21"/>
          <w:szCs w:val="21"/>
        </w:rPr>
        <w:t>日</w:t>
      </w:r>
    </w:p>
    <w:p w14:paraId="57E56E39"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注册地址：北京市丰台区芳城园一区</w:t>
      </w:r>
      <w:r>
        <w:rPr>
          <w:rFonts w:ascii="Arial" w:hAnsi="Arial" w:cs="Arial"/>
          <w:sz w:val="21"/>
          <w:szCs w:val="21"/>
        </w:rPr>
        <w:t>16</w:t>
      </w:r>
      <w:r>
        <w:rPr>
          <w:rFonts w:ascii="Arial" w:hAnsi="Arial" w:cs="Arial"/>
          <w:sz w:val="21"/>
          <w:szCs w:val="21"/>
        </w:rPr>
        <w:t>号楼</w:t>
      </w:r>
      <w:r>
        <w:rPr>
          <w:rFonts w:ascii="Arial" w:hAnsi="Arial" w:cs="Arial"/>
          <w:sz w:val="21"/>
          <w:szCs w:val="21"/>
        </w:rPr>
        <w:t>2</w:t>
      </w:r>
      <w:r>
        <w:rPr>
          <w:rFonts w:ascii="Arial" w:hAnsi="Arial" w:cs="Arial"/>
          <w:sz w:val="21"/>
          <w:szCs w:val="21"/>
        </w:rPr>
        <w:t>层</w:t>
      </w:r>
      <w:r>
        <w:rPr>
          <w:rFonts w:ascii="Arial" w:hAnsi="Arial" w:cs="Arial"/>
          <w:sz w:val="21"/>
          <w:szCs w:val="21"/>
        </w:rPr>
        <w:t>2</w:t>
      </w:r>
      <w:r>
        <w:rPr>
          <w:rFonts w:ascii="Arial" w:hAnsi="Arial" w:cs="Arial"/>
          <w:sz w:val="21"/>
          <w:szCs w:val="21"/>
        </w:rPr>
        <w:t>门配套公建</w:t>
      </w:r>
      <w:r>
        <w:rPr>
          <w:rFonts w:ascii="Arial" w:hAnsi="Arial" w:cs="Arial"/>
          <w:sz w:val="21"/>
          <w:szCs w:val="21"/>
        </w:rPr>
        <w:t>01</w:t>
      </w:r>
    </w:p>
    <w:p w14:paraId="17C27419" w14:textId="77777777" w:rsidR="00771ECA" w:rsidRDefault="00000000">
      <w:pPr>
        <w:overflowPunct w:val="0"/>
        <w:spacing w:line="480" w:lineRule="auto"/>
        <w:ind w:firstLine="420"/>
        <w:jc w:val="both"/>
        <w:rPr>
          <w:rFonts w:ascii="Arial" w:hAnsi="Arial" w:cs="Arial"/>
          <w:sz w:val="21"/>
          <w:szCs w:val="21"/>
        </w:rPr>
      </w:pPr>
      <w:r>
        <w:rPr>
          <w:rFonts w:ascii="Arial" w:hAnsi="Arial" w:cs="Arial"/>
          <w:sz w:val="21"/>
          <w:szCs w:val="21"/>
        </w:rPr>
        <w:t>法定代表人：齐宏</w:t>
      </w:r>
    </w:p>
    <w:p w14:paraId="19ECB26F"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人：常畅</w:t>
      </w:r>
    </w:p>
    <w:p w14:paraId="28860D83"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39C1357B" w14:textId="77777777" w:rsidR="00771ECA" w:rsidRDefault="00771ECA">
      <w:pPr>
        <w:overflowPunct w:val="0"/>
        <w:spacing w:line="480" w:lineRule="auto"/>
        <w:ind w:firstLine="420"/>
        <w:jc w:val="both"/>
        <w:textAlignment w:val="auto"/>
        <w:rPr>
          <w:rFonts w:ascii="Arial" w:hAnsi="Arial" w:cs="Arial"/>
          <w:kern w:val="2"/>
          <w:sz w:val="21"/>
          <w:szCs w:val="21"/>
        </w:rPr>
      </w:pPr>
    </w:p>
    <w:p w14:paraId="442D6FD3"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3" w:name="__RefHeading___Toc525655420"/>
      <w:bookmarkEnd w:id="13"/>
      <w:r>
        <w:rPr>
          <w:rFonts w:eastAsia="宋体;SimSun"/>
          <w:kern w:val="2"/>
          <w:sz w:val="21"/>
          <w:szCs w:val="21"/>
        </w:rPr>
        <w:t>三、估价目的</w:t>
      </w:r>
    </w:p>
    <w:p w14:paraId="1E27B7B6" w14:textId="77777777" w:rsidR="00771ECA" w:rsidRDefault="00000000">
      <w:pPr>
        <w:overflowPunct w:val="0"/>
        <w:spacing w:line="480" w:lineRule="auto"/>
        <w:ind w:firstLine="420"/>
        <w:jc w:val="both"/>
        <w:textAlignment w:val="auto"/>
      </w:pPr>
      <w:r>
        <w:rPr>
          <w:rFonts w:ascii="Arial" w:hAnsi="Arial" w:cs="Arial"/>
          <w:sz w:val="21"/>
          <w:szCs w:val="21"/>
        </w:rPr>
        <w:t>为估价委托人了解估价对象房地产市场租金水平提供参考依据</w:t>
      </w:r>
      <w:r>
        <w:rPr>
          <w:rFonts w:ascii="Arial" w:hAnsi="Arial" w:cs="Arial"/>
          <w:kern w:val="2"/>
          <w:sz w:val="21"/>
          <w:szCs w:val="21"/>
        </w:rPr>
        <w:t>。</w:t>
      </w:r>
      <w:r>
        <w:rPr>
          <w:rFonts w:ascii="Arial" w:eastAsia="Arial" w:hAnsi="Arial" w:cs="Arial"/>
          <w:kern w:val="2"/>
          <w:sz w:val="21"/>
          <w:szCs w:val="21"/>
        </w:rPr>
        <w:t xml:space="preserve"> </w:t>
      </w:r>
    </w:p>
    <w:p w14:paraId="74BF9496" w14:textId="77777777" w:rsidR="00771ECA" w:rsidRDefault="00771ECA">
      <w:pPr>
        <w:overflowPunct w:val="0"/>
        <w:spacing w:line="480" w:lineRule="auto"/>
        <w:ind w:firstLine="420"/>
        <w:jc w:val="both"/>
        <w:textAlignment w:val="auto"/>
        <w:rPr>
          <w:rFonts w:ascii="Arial" w:hAnsi="Arial" w:cs="Arial"/>
          <w:kern w:val="2"/>
          <w:sz w:val="21"/>
          <w:szCs w:val="21"/>
        </w:rPr>
      </w:pPr>
    </w:p>
    <w:p w14:paraId="74B425AA"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4" w:name="__RefHeading___Toc525655421"/>
      <w:bookmarkEnd w:id="14"/>
      <w:r>
        <w:rPr>
          <w:rFonts w:eastAsia="宋体;SimSun"/>
          <w:kern w:val="2"/>
          <w:sz w:val="21"/>
          <w:szCs w:val="21"/>
        </w:rPr>
        <w:t>四、估价对象</w:t>
      </w:r>
    </w:p>
    <w:p w14:paraId="3E15EF9B" w14:textId="77777777" w:rsidR="00771ECA" w:rsidRDefault="00000000">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6A95E918" w14:textId="77777777" w:rsidR="00771ECA" w:rsidRDefault="00000000">
      <w:pPr>
        <w:overflowPunct w:val="0"/>
        <w:spacing w:line="480" w:lineRule="auto"/>
        <w:ind w:firstLine="420"/>
        <w:jc w:val="both"/>
        <w:textAlignment w:val="auto"/>
        <w:rPr>
          <w:rFonts w:cs="Arial"/>
        </w:rPr>
      </w:pPr>
      <w:r>
        <w:rPr>
          <w:rFonts w:ascii="Arial" w:hAnsi="Arial" w:cs="Arial"/>
          <w:kern w:val="2"/>
          <w:sz w:val="21"/>
          <w:szCs w:val="21"/>
        </w:rPr>
        <w:t>估价对象为北京经济技术开发区科创十一街</w:t>
      </w:r>
      <w:r>
        <w:rPr>
          <w:rFonts w:ascii="Arial" w:hAnsi="Arial" w:cs="Arial"/>
          <w:kern w:val="2"/>
          <w:sz w:val="21"/>
          <w:szCs w:val="21"/>
        </w:rPr>
        <w:t>4</w:t>
      </w:r>
      <w:r>
        <w:rPr>
          <w:rFonts w:ascii="Arial" w:hAnsi="Arial" w:cs="Arial"/>
          <w:kern w:val="2"/>
          <w:sz w:val="21"/>
          <w:szCs w:val="21"/>
        </w:rPr>
        <w:t>号院</w:t>
      </w:r>
      <w:r>
        <w:rPr>
          <w:rFonts w:ascii="Arial" w:hAnsi="Arial" w:cs="Arial"/>
          <w:kern w:val="2"/>
          <w:sz w:val="21"/>
          <w:szCs w:val="21"/>
        </w:rPr>
        <w:t>10</w:t>
      </w:r>
      <w:r>
        <w:rPr>
          <w:rFonts w:ascii="Arial" w:hAnsi="Arial" w:cs="Arial"/>
          <w:kern w:val="2"/>
          <w:sz w:val="21"/>
          <w:szCs w:val="21"/>
        </w:rPr>
        <w:t>号楼</w:t>
      </w:r>
      <w:r>
        <w:rPr>
          <w:rFonts w:ascii="Arial" w:hAnsi="Arial" w:cs="Arial"/>
          <w:kern w:val="2"/>
          <w:sz w:val="21"/>
          <w:szCs w:val="21"/>
        </w:rPr>
        <w:t>1</w:t>
      </w:r>
      <w:r>
        <w:rPr>
          <w:rFonts w:ascii="Arial" w:hAnsi="Arial" w:cs="Arial"/>
          <w:kern w:val="2"/>
          <w:sz w:val="21"/>
          <w:szCs w:val="21"/>
        </w:rPr>
        <w:t>层</w:t>
      </w:r>
      <w:r>
        <w:rPr>
          <w:rFonts w:ascii="Arial" w:hAnsi="Arial" w:cs="Arial"/>
          <w:kern w:val="2"/>
          <w:sz w:val="21"/>
          <w:szCs w:val="21"/>
        </w:rPr>
        <w:t>1</w:t>
      </w:r>
      <w:r>
        <w:rPr>
          <w:rFonts w:ascii="Arial" w:hAnsi="Arial" w:cs="Arial"/>
          <w:kern w:val="2"/>
          <w:sz w:val="21"/>
          <w:szCs w:val="21"/>
        </w:rPr>
        <w:t>单元</w:t>
      </w:r>
      <w:r>
        <w:rPr>
          <w:rFonts w:ascii="Arial" w:hAnsi="Arial" w:cs="Arial"/>
          <w:kern w:val="2"/>
          <w:sz w:val="21"/>
          <w:szCs w:val="21"/>
        </w:rPr>
        <w:t>102</w:t>
      </w:r>
      <w:r>
        <w:rPr>
          <w:rFonts w:ascii="Arial" w:hAnsi="Arial" w:cs="Arial"/>
          <w:kern w:val="2"/>
          <w:sz w:val="21"/>
          <w:szCs w:val="21"/>
        </w:rPr>
        <w:t>等</w:t>
      </w:r>
      <w:r>
        <w:rPr>
          <w:rFonts w:ascii="Arial" w:hAnsi="Arial" w:cs="Arial"/>
          <w:kern w:val="2"/>
          <w:sz w:val="21"/>
          <w:szCs w:val="21"/>
        </w:rPr>
        <w:t>513</w:t>
      </w:r>
      <w:r>
        <w:rPr>
          <w:rFonts w:ascii="Arial" w:hAnsi="Arial" w:cs="Arial"/>
          <w:kern w:val="2"/>
          <w:sz w:val="21"/>
          <w:szCs w:val="21"/>
        </w:rPr>
        <w:t>套（</w:t>
      </w:r>
      <w:r>
        <w:rPr>
          <w:rFonts w:ascii="Arial" w:hAnsi="Arial" w:cs="Arial"/>
          <w:kern w:val="2"/>
          <w:sz w:val="21"/>
          <w:szCs w:val="21"/>
        </w:rPr>
        <w:t>E18</w:t>
      </w:r>
      <w:r>
        <w:rPr>
          <w:rFonts w:ascii="Arial" w:hAnsi="Arial" w:cs="Arial"/>
          <w:kern w:val="2"/>
          <w:sz w:val="21"/>
          <w:szCs w:val="21"/>
        </w:rPr>
        <w:t>亦城景园）住宅用房项目，根据估价委托人提供的《</w:t>
      </w:r>
      <w:r>
        <w:rPr>
          <w:rFonts w:ascii="Arial" w:hAnsi="Arial" w:cs="Arial"/>
          <w:kern w:val="2"/>
          <w:sz w:val="21"/>
          <w:szCs w:val="21"/>
        </w:rPr>
        <w:t>E18</w:t>
      </w:r>
      <w:r>
        <w:rPr>
          <w:rFonts w:ascii="Arial" w:hAnsi="Arial" w:cs="Arial"/>
          <w:kern w:val="2"/>
          <w:sz w:val="21"/>
          <w:szCs w:val="21"/>
        </w:rPr>
        <w:t>国际人才公寓房屋明细》，本次评估的</w:t>
      </w:r>
      <w:r>
        <w:rPr>
          <w:rFonts w:ascii="Arial" w:hAnsi="Arial" w:cs="Arial"/>
          <w:kern w:val="2"/>
          <w:sz w:val="21"/>
          <w:szCs w:val="21"/>
        </w:rPr>
        <w:t>513</w:t>
      </w:r>
      <w:r>
        <w:rPr>
          <w:rFonts w:ascii="Arial" w:hAnsi="Arial" w:cs="Arial"/>
          <w:kern w:val="2"/>
          <w:sz w:val="21"/>
          <w:szCs w:val="21"/>
        </w:rPr>
        <w:t>套人才公寓总建筑面积</w:t>
      </w:r>
      <w:r>
        <w:rPr>
          <w:rFonts w:ascii="Arial" w:hAnsi="Arial" w:cs="Arial"/>
          <w:kern w:val="2"/>
          <w:sz w:val="21"/>
          <w:szCs w:val="21"/>
        </w:rPr>
        <w:t>44131.16</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771ECA" w14:paraId="60FE8A11" w14:textId="77777777">
        <w:trPr>
          <w:trHeight w:val="285"/>
        </w:trPr>
        <w:tc>
          <w:tcPr>
            <w:tcW w:w="2000" w:type="dxa"/>
            <w:tcBorders>
              <w:top w:val="single" w:sz="4" w:space="0" w:color="000000"/>
              <w:left w:val="single" w:sz="4" w:space="0" w:color="000000"/>
              <w:bottom w:val="single" w:sz="4" w:space="0" w:color="000000"/>
            </w:tcBorders>
            <w:shd w:val="clear" w:color="auto" w:fill="auto"/>
            <w:vAlign w:val="center"/>
          </w:tcPr>
          <w:p w14:paraId="141C2B1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shd w:val="clear" w:color="auto" w:fill="auto"/>
            <w:vAlign w:val="center"/>
          </w:tcPr>
          <w:p w14:paraId="17AED8D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p>
        </w:tc>
        <w:tc>
          <w:tcPr>
            <w:tcW w:w="1200" w:type="dxa"/>
            <w:tcBorders>
              <w:top w:val="single" w:sz="4" w:space="0" w:color="000000"/>
              <w:left w:val="single" w:sz="4" w:space="0" w:color="000000"/>
              <w:bottom w:val="single" w:sz="4" w:space="0" w:color="000000"/>
            </w:tcBorders>
            <w:shd w:val="clear" w:color="auto" w:fill="auto"/>
            <w:vAlign w:val="center"/>
          </w:tcPr>
          <w:p w14:paraId="29C2949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shd w:val="clear" w:color="auto" w:fill="auto"/>
            <w:vAlign w:val="center"/>
          </w:tcPr>
          <w:p w14:paraId="28CC2E5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shd w:val="clear" w:color="auto" w:fill="auto"/>
            <w:vAlign w:val="center"/>
          </w:tcPr>
          <w:p w14:paraId="3C19A6C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shd w:val="clear" w:color="auto" w:fill="auto"/>
            <w:vAlign w:val="center"/>
          </w:tcPr>
          <w:p w14:paraId="3F1EFEF9"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86D8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771ECA" w14:paraId="28560C66" w14:textId="77777777">
        <w:trPr>
          <w:trHeight w:val="285"/>
        </w:trPr>
        <w:tc>
          <w:tcPr>
            <w:tcW w:w="2000" w:type="dxa"/>
            <w:tcBorders>
              <w:left w:val="single" w:sz="4" w:space="0" w:color="000000"/>
              <w:bottom w:val="single" w:sz="4" w:space="0" w:color="000000"/>
            </w:tcBorders>
            <w:shd w:val="clear" w:color="auto" w:fill="auto"/>
            <w:vAlign w:val="center"/>
          </w:tcPr>
          <w:p w14:paraId="2003869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lastRenderedPageBreak/>
              <w:t>领军人才公寓</w:t>
            </w:r>
          </w:p>
        </w:tc>
        <w:tc>
          <w:tcPr>
            <w:tcW w:w="1260" w:type="dxa"/>
            <w:tcBorders>
              <w:left w:val="single" w:sz="4" w:space="0" w:color="000000"/>
              <w:bottom w:val="single" w:sz="4" w:space="0" w:color="000000"/>
            </w:tcBorders>
            <w:shd w:val="clear" w:color="auto" w:fill="auto"/>
            <w:vAlign w:val="center"/>
          </w:tcPr>
          <w:p w14:paraId="424F359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shd w:val="clear" w:color="auto" w:fill="auto"/>
            <w:vAlign w:val="center"/>
          </w:tcPr>
          <w:p w14:paraId="73C7701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shd w:val="clear" w:color="auto" w:fill="auto"/>
            <w:vAlign w:val="center"/>
          </w:tcPr>
          <w:p w14:paraId="45240FD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137FFA0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shd w:val="clear" w:color="auto" w:fill="auto"/>
            <w:vAlign w:val="center"/>
          </w:tcPr>
          <w:p w14:paraId="2FA7B95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shd w:val="clear" w:color="auto" w:fill="auto"/>
            <w:vAlign w:val="center"/>
          </w:tcPr>
          <w:p w14:paraId="507EB79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223E761D" w14:textId="77777777">
        <w:trPr>
          <w:trHeight w:val="285"/>
        </w:trPr>
        <w:tc>
          <w:tcPr>
            <w:tcW w:w="2000" w:type="dxa"/>
            <w:tcBorders>
              <w:left w:val="single" w:sz="4" w:space="0" w:color="000000"/>
              <w:bottom w:val="single" w:sz="4" w:space="0" w:color="000000"/>
            </w:tcBorders>
            <w:shd w:val="clear" w:color="auto" w:fill="auto"/>
            <w:vAlign w:val="center"/>
          </w:tcPr>
          <w:p w14:paraId="0826782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auto"/>
            <w:vAlign w:val="center"/>
          </w:tcPr>
          <w:p w14:paraId="46DC348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3484.96</w:t>
            </w:r>
          </w:p>
        </w:tc>
        <w:tc>
          <w:tcPr>
            <w:tcW w:w="1200" w:type="dxa"/>
            <w:tcBorders>
              <w:left w:val="single" w:sz="4" w:space="0" w:color="000000"/>
              <w:bottom w:val="single" w:sz="4" w:space="0" w:color="000000"/>
            </w:tcBorders>
            <w:shd w:val="clear" w:color="auto" w:fill="auto"/>
            <w:vAlign w:val="center"/>
          </w:tcPr>
          <w:p w14:paraId="08D7058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auto"/>
            <w:vAlign w:val="center"/>
          </w:tcPr>
          <w:p w14:paraId="3BFB6BD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3764537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shd w:val="clear" w:color="auto" w:fill="auto"/>
            <w:vAlign w:val="center"/>
          </w:tcPr>
          <w:p w14:paraId="1EE2156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shd w:val="clear" w:color="auto" w:fill="auto"/>
            <w:vAlign w:val="center"/>
          </w:tcPr>
          <w:p w14:paraId="625CEEB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5F5527BB" w14:textId="77777777">
        <w:trPr>
          <w:trHeight w:val="285"/>
        </w:trPr>
        <w:tc>
          <w:tcPr>
            <w:tcW w:w="2000" w:type="dxa"/>
            <w:tcBorders>
              <w:left w:val="single" w:sz="4" w:space="0" w:color="000000"/>
              <w:bottom w:val="single" w:sz="4" w:space="0" w:color="000000"/>
            </w:tcBorders>
            <w:shd w:val="clear" w:color="auto" w:fill="auto"/>
            <w:vAlign w:val="center"/>
          </w:tcPr>
          <w:p w14:paraId="514600A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05935FB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shd w:val="clear" w:color="auto" w:fill="auto"/>
            <w:vAlign w:val="center"/>
          </w:tcPr>
          <w:p w14:paraId="01CB6B3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shd w:val="clear" w:color="auto" w:fill="auto"/>
            <w:vAlign w:val="center"/>
          </w:tcPr>
          <w:p w14:paraId="73DCC2E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772DA19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auto"/>
            <w:vAlign w:val="center"/>
          </w:tcPr>
          <w:p w14:paraId="2C9CD28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shd w:val="clear" w:color="auto" w:fill="auto"/>
            <w:vAlign w:val="center"/>
          </w:tcPr>
          <w:p w14:paraId="1745798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28323246" w14:textId="77777777">
        <w:trPr>
          <w:trHeight w:val="285"/>
        </w:trPr>
        <w:tc>
          <w:tcPr>
            <w:tcW w:w="2000" w:type="dxa"/>
            <w:tcBorders>
              <w:left w:val="single" w:sz="4" w:space="0" w:color="000000"/>
              <w:bottom w:val="single" w:sz="4" w:space="0" w:color="000000"/>
            </w:tcBorders>
            <w:shd w:val="clear" w:color="auto" w:fill="FFFFFF"/>
            <w:vAlign w:val="center"/>
          </w:tcPr>
          <w:p w14:paraId="60E2276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5F0E2E3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3E0F329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6813CEE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5AF6234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2FB52C9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547BB09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3C68209B" w14:textId="77777777">
        <w:trPr>
          <w:trHeight w:val="285"/>
        </w:trPr>
        <w:tc>
          <w:tcPr>
            <w:tcW w:w="2000" w:type="dxa"/>
            <w:tcBorders>
              <w:left w:val="single" w:sz="4" w:space="0" w:color="000000"/>
              <w:bottom w:val="single" w:sz="4" w:space="0" w:color="000000"/>
            </w:tcBorders>
            <w:shd w:val="clear" w:color="auto" w:fill="FFFFFF"/>
            <w:vAlign w:val="center"/>
          </w:tcPr>
          <w:p w14:paraId="28BF81B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55E044F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4442.35</w:t>
            </w:r>
          </w:p>
        </w:tc>
        <w:tc>
          <w:tcPr>
            <w:tcW w:w="1200" w:type="dxa"/>
            <w:tcBorders>
              <w:left w:val="single" w:sz="4" w:space="0" w:color="000000"/>
              <w:bottom w:val="single" w:sz="4" w:space="0" w:color="000000"/>
            </w:tcBorders>
            <w:shd w:val="clear" w:color="auto" w:fill="FFFFFF"/>
            <w:vAlign w:val="center"/>
          </w:tcPr>
          <w:p w14:paraId="17C2786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FFFFFF"/>
            <w:vAlign w:val="center"/>
          </w:tcPr>
          <w:p w14:paraId="1A918B2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5C94A73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4DE0DF5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46E438E9"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5D80F3B8" w14:textId="77777777">
        <w:trPr>
          <w:trHeight w:val="285"/>
        </w:trPr>
        <w:tc>
          <w:tcPr>
            <w:tcW w:w="2000" w:type="dxa"/>
            <w:tcBorders>
              <w:left w:val="single" w:sz="4" w:space="0" w:color="000000"/>
              <w:bottom w:val="single" w:sz="4" w:space="0" w:color="000000"/>
            </w:tcBorders>
            <w:shd w:val="clear" w:color="auto" w:fill="auto"/>
            <w:vAlign w:val="center"/>
          </w:tcPr>
          <w:p w14:paraId="01B7AB9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shd w:val="clear" w:color="auto" w:fill="auto"/>
            <w:vAlign w:val="center"/>
          </w:tcPr>
          <w:p w14:paraId="7E3F363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44131.16</w:t>
            </w:r>
          </w:p>
        </w:tc>
        <w:tc>
          <w:tcPr>
            <w:tcW w:w="1200" w:type="dxa"/>
            <w:tcBorders>
              <w:left w:val="single" w:sz="4" w:space="0" w:color="000000"/>
              <w:bottom w:val="single" w:sz="4" w:space="0" w:color="000000"/>
            </w:tcBorders>
            <w:shd w:val="clear" w:color="auto" w:fill="auto"/>
            <w:vAlign w:val="center"/>
          </w:tcPr>
          <w:p w14:paraId="5A0FE52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513</w:t>
            </w:r>
          </w:p>
        </w:tc>
        <w:tc>
          <w:tcPr>
            <w:tcW w:w="1100" w:type="dxa"/>
            <w:tcBorders>
              <w:left w:val="single" w:sz="4" w:space="0" w:color="000000"/>
              <w:bottom w:val="single" w:sz="4" w:space="0" w:color="000000"/>
            </w:tcBorders>
            <w:shd w:val="clear" w:color="auto" w:fill="auto"/>
            <w:vAlign w:val="center"/>
          </w:tcPr>
          <w:p w14:paraId="2ED7D03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shd w:val="clear" w:color="auto" w:fill="auto"/>
            <w:vAlign w:val="center"/>
          </w:tcPr>
          <w:p w14:paraId="285C3BF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shd w:val="clear" w:color="auto" w:fill="auto"/>
            <w:vAlign w:val="center"/>
          </w:tcPr>
          <w:p w14:paraId="7574D54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shd w:val="clear" w:color="auto" w:fill="auto"/>
            <w:vAlign w:val="center"/>
          </w:tcPr>
          <w:p w14:paraId="1E271C9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3712C764" w14:textId="77777777" w:rsidR="00771ECA" w:rsidRDefault="00000000">
      <w:pPr>
        <w:overflowPunct w:val="0"/>
        <w:spacing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6678103B" w14:textId="77777777" w:rsidR="00771ECA" w:rsidRDefault="00000000">
      <w:pPr>
        <w:overflowPunct w:val="0"/>
        <w:spacing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27139D86" w14:textId="63A9A458" w:rsidR="00771ECA" w:rsidRDefault="00000000">
      <w:pPr>
        <w:overflowPunct w:val="0"/>
        <w:spacing w:line="480" w:lineRule="auto"/>
        <w:jc w:val="center"/>
        <w:textAlignment w:val="auto"/>
        <w:rPr>
          <w:rFonts w:ascii="Arial" w:hAnsi="Arial" w:cs="Arial"/>
          <w:kern w:val="2"/>
          <w:sz w:val="21"/>
          <w:szCs w:val="21"/>
        </w:rPr>
      </w:pPr>
      <w:r>
        <w:rPr>
          <w:noProof/>
          <w:lang w:val="zh-CN"/>
        </w:rPr>
        <w:drawing>
          <wp:inline distT="0" distB="0" distL="0" distR="0" wp14:anchorId="23AB0305" wp14:editId="729FAD48">
            <wp:extent cx="5906135" cy="3733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6"/>
                    <a:srcRect l="-4" t="-6" r="-4" b="-6"/>
                    <a:stretch>
                      <a:fillRect/>
                    </a:stretch>
                  </pic:blipFill>
                  <pic:spPr bwMode="auto">
                    <a:xfrm>
                      <a:off x="0" y="0"/>
                      <a:ext cx="5906135" cy="3733800"/>
                    </a:xfrm>
                    <a:prstGeom prst="rect">
                      <a:avLst/>
                    </a:prstGeom>
                  </pic:spPr>
                </pic:pic>
              </a:graphicData>
            </a:graphic>
          </wp:inline>
        </w:drawing>
      </w:r>
      <w:r w:rsidR="005F05E6">
        <w:rPr>
          <w:noProof/>
        </w:rPr>
        <mc:AlternateContent>
          <mc:Choice Requires="wps">
            <w:drawing>
              <wp:anchor distT="0" distB="0" distL="114935" distR="114935" simplePos="0" relativeHeight="37" behindDoc="0" locked="0" layoutInCell="1" allowOverlap="1" wp14:anchorId="2AE53877" wp14:editId="79AFADC0">
                <wp:simplePos x="0" y="0"/>
                <wp:positionH relativeFrom="column">
                  <wp:posOffset>3740785</wp:posOffset>
                </wp:positionH>
                <wp:positionV relativeFrom="paragraph">
                  <wp:posOffset>1224915</wp:posOffset>
                </wp:positionV>
                <wp:extent cx="1143635" cy="610235"/>
                <wp:effectExtent l="0" t="0" r="0" b="94615"/>
                <wp:wrapNone/>
                <wp:docPr id="890938993" name="对话气泡: 椭圆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635" cy="610235"/>
                        </a:xfrm>
                        <a:prstGeom prst="wedgeEllipseCallout">
                          <a:avLst>
                            <a:gd name="adj1" fmla="val -43333"/>
                            <a:gd name="adj2" fmla="val 68439"/>
                          </a:avLst>
                        </a:prstGeom>
                        <a:solidFill>
                          <a:srgbClr val="FF0000"/>
                        </a:solidFill>
                        <a:ln>
                          <a:noFill/>
                        </a:ln>
                      </wps:spPr>
                      <wps:style>
                        <a:lnRef idx="0">
                          <a:scrgbClr r="0" g="0" b="0"/>
                        </a:lnRef>
                        <a:fillRef idx="0">
                          <a:scrgbClr r="0" g="0" b="0"/>
                        </a:fillRef>
                        <a:effectRef idx="0">
                          <a:scrgbClr r="0" g="0" b="0"/>
                        </a:effectRef>
                        <a:fontRef idx="minor"/>
                      </wps:style>
                      <wps:txbx>
                        <w:txbxContent>
                          <w:p w14:paraId="0FD23407" w14:textId="77777777" w:rsidR="00771ECA" w:rsidRDefault="00000000">
                            <w:pPr>
                              <w:overflowPunct w:val="0"/>
                            </w:pPr>
                            <w:r>
                              <w:rPr>
                                <w:color w:val="FFFFFF"/>
                                <w:kern w:val="2"/>
                              </w:rPr>
                              <w:t>估价对象</w:t>
                            </w:r>
                          </w:p>
                        </w:txbxContent>
                      </wps:txbx>
                      <wps:bodyPr>
                        <a:noAutofit/>
                      </wps:bodyPr>
                    </wps:wsp>
                  </a:graphicData>
                </a:graphic>
                <wp14:sizeRelH relativeFrom="page">
                  <wp14:pctWidth>0</wp14:pctWidth>
                </wp14:sizeRelH>
                <wp14:sizeRelV relativeFrom="page">
                  <wp14:pctHeight>0</wp14:pctHeight>
                </wp14:sizeRelV>
              </wp:anchor>
            </w:drawing>
          </mc:Choice>
          <mc:Fallback>
            <w:pict>
              <v:shapetype w14:anchorId="2AE5387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7" type="#_x0000_t63" style="position:absolute;left:0;text-align:left;margin-left:294.55pt;margin-top:96.45pt;width:90.05pt;height:48.05pt;z-index:3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" adj="1440,25583" fillcolor="red" stroked="f">
                <v:textbox>
                  <w:txbxContent>
                    <w:p w14:paraId="0FD23407" w14:textId="77777777" w:rsidR="00771ECA" w:rsidRDefault="00000000">
                      <w:pPr>
                        <w:overflowPunct w:val="0"/>
                      </w:pPr>
                      <w:r>
                        <w:rPr>
                          <w:color w:val="FFFFFF"/>
                          <w:kern w:val="2"/>
                        </w:rPr>
                        <w:t>估价对象</w:t>
                      </w:r>
                    </w:p>
                  </w:txbxContent>
                </v:textbox>
              </v:shape>
            </w:pict>
          </mc:Fallback>
        </mc:AlternateContent>
      </w:r>
    </w:p>
    <w:p w14:paraId="368EDB59" w14:textId="77777777" w:rsidR="00771ECA" w:rsidRDefault="00000000">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2181AB9E" w14:textId="77777777"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kern w:val="2"/>
          <w:sz w:val="21"/>
          <w:szCs w:val="21"/>
        </w:rPr>
        <w:t>根据估价委托人提供的《不动产权证书》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w:t>
      </w:r>
      <w:r>
        <w:rPr>
          <w:rFonts w:ascii="Arial" w:hAnsi="Arial" w:cs="Arial"/>
          <w:sz w:val="21"/>
          <w:szCs w:val="21"/>
        </w:rPr>
        <w:t>用途为居住</w:t>
      </w:r>
      <w:r>
        <w:rPr>
          <w:rFonts w:ascii="Arial" w:hAnsi="Arial" w:cs="Arial"/>
          <w:sz w:val="21"/>
          <w:szCs w:val="21"/>
        </w:rPr>
        <w:t>/</w:t>
      </w:r>
      <w:r>
        <w:rPr>
          <w:rFonts w:ascii="Arial" w:hAnsi="Arial" w:cs="Arial"/>
          <w:sz w:val="21"/>
          <w:szCs w:val="21"/>
        </w:rPr>
        <w:t>门卫室、住宅等</w:t>
      </w:r>
      <w:r>
        <w:rPr>
          <w:rFonts w:ascii="Arial" w:hAnsi="Arial" w:cs="Arial"/>
          <w:sz w:val="21"/>
          <w:szCs w:val="21"/>
        </w:rPr>
        <w:t>16</w:t>
      </w:r>
      <w:r>
        <w:rPr>
          <w:rFonts w:ascii="Arial" w:hAnsi="Arial" w:cs="Arial"/>
          <w:sz w:val="21"/>
          <w:szCs w:val="21"/>
        </w:rPr>
        <w:t>种用途，共有宗地面积为</w:t>
      </w:r>
      <w:r>
        <w:rPr>
          <w:rFonts w:ascii="Arial" w:hAnsi="Arial" w:cs="Arial"/>
          <w:sz w:val="21"/>
          <w:szCs w:val="21"/>
        </w:rPr>
        <w:t>76607.9</w:t>
      </w:r>
      <w:r>
        <w:rPr>
          <w:rFonts w:ascii="Arial" w:hAnsi="Arial" w:cs="Arial"/>
          <w:sz w:val="21"/>
          <w:szCs w:val="21"/>
        </w:rPr>
        <w:t>平方米</w:t>
      </w:r>
      <w:r>
        <w:rPr>
          <w:rFonts w:ascii="Arial" w:hAnsi="Arial" w:cs="Arial"/>
          <w:kern w:val="2"/>
          <w:sz w:val="21"/>
          <w:szCs w:val="21"/>
        </w:rPr>
        <w:t>。</w:t>
      </w:r>
      <w:r>
        <w:rPr>
          <w:rFonts w:ascii="Arial" w:eastAsia="Arial" w:hAnsi="Arial" w:cs="Arial"/>
          <w:sz w:val="21"/>
          <w:szCs w:val="21"/>
        </w:rPr>
        <w:t xml:space="preserve"> </w:t>
      </w:r>
    </w:p>
    <w:p w14:paraId="06A18E6A" w14:textId="77777777" w:rsidR="00771ECA" w:rsidRDefault="00000000">
      <w:pPr>
        <w:overflowPunct w:val="0"/>
        <w:spacing w:line="480" w:lineRule="auto"/>
        <w:ind w:firstLine="420"/>
        <w:jc w:val="both"/>
        <w:textAlignment w:val="auto"/>
      </w:pPr>
      <w:r>
        <w:rPr>
          <w:rFonts w:ascii="Arial" w:hAnsi="Arial" w:cs="Arial"/>
          <w:sz w:val="21"/>
          <w:szCs w:val="21"/>
        </w:rPr>
        <w:t>2.</w:t>
      </w:r>
      <w:r>
        <w:rPr>
          <w:rFonts w:ascii="Arial" w:hAnsi="Arial" w:cs="Arial"/>
          <w:sz w:val="21"/>
          <w:szCs w:val="21"/>
        </w:rPr>
        <w:t>估价对象所属项目现状四至：</w:t>
      </w:r>
    </w:p>
    <w:p w14:paraId="7EE12CF4" w14:textId="77777777"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w:t>
      </w:r>
      <w:commentRangeStart w:id="15"/>
      <w:r>
        <w:rPr>
          <w:rFonts w:ascii="Arial" w:hAnsi="Arial" w:cs="Arial"/>
          <w:kern w:val="2"/>
          <w:sz w:val="21"/>
          <w:szCs w:val="21"/>
        </w:rPr>
        <w:t>南至科创十二街</w:t>
      </w:r>
      <w:commentRangeEnd w:id="15"/>
      <w:r>
        <w:commentReference w:id="15"/>
      </w:r>
      <w:r>
        <w:rPr>
          <w:rFonts w:ascii="Arial" w:hAnsi="Arial" w:cs="Arial"/>
          <w:kern w:val="2"/>
          <w:sz w:val="21"/>
          <w:szCs w:val="21"/>
        </w:rPr>
        <w:t>、西至经海六路、北至科创十一街。</w:t>
      </w:r>
    </w:p>
    <w:p w14:paraId="1F86928A"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估价对象所属项目用地呈较规则形状，对利用无不良影响，场地呈较平坦地势，工程地质条件</w:t>
      </w:r>
      <w:r>
        <w:rPr>
          <w:rFonts w:ascii="Arial" w:hAnsi="Arial" w:cs="Arial"/>
          <w:sz w:val="21"/>
          <w:szCs w:val="21"/>
        </w:rPr>
        <w:lastRenderedPageBreak/>
        <w:t>良好，无不良地质现象。估价对象现状已完成开发建设，土地利用程度高。</w:t>
      </w:r>
    </w:p>
    <w:p w14:paraId="08B08264" w14:textId="77777777" w:rsidR="00771ECA" w:rsidRDefault="00000000">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开发程度：</w:t>
      </w:r>
    </w:p>
    <w:p w14:paraId="7686EA07" w14:textId="77777777"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kern w:val="2"/>
          <w:sz w:val="21"/>
          <w:szCs w:val="21"/>
        </w:rPr>
        <w:t>七通</w:t>
      </w:r>
      <w:r>
        <w:rPr>
          <w:rFonts w:ascii="Arial" w:hAnsi="Arial" w:cs="Arial"/>
          <w:kern w:val="2"/>
          <w:sz w:val="21"/>
          <w:szCs w:val="21"/>
        </w:rPr>
        <w:t>”</w:t>
      </w:r>
      <w:r>
        <w:rPr>
          <w:rFonts w:ascii="Arial" w:hAnsi="Arial" w:cs="Arial"/>
          <w:kern w:val="2"/>
          <w:sz w:val="21"/>
          <w:szCs w:val="21"/>
        </w:rPr>
        <w:t>（即通路、通电、通讯、通上水、通下水、通燃气、通热力），且保证程度高。</w:t>
      </w:r>
    </w:p>
    <w:p w14:paraId="30CCF51F" w14:textId="77777777" w:rsidR="00771ECA" w:rsidRDefault="00000000">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41E4735D" w14:textId="77777777" w:rsidR="00771ECA" w:rsidRDefault="00000000">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（三）建筑物基本状况</w:t>
      </w:r>
    </w:p>
    <w:p w14:paraId="742A8D1A" w14:textId="77777777" w:rsidR="00771ECA" w:rsidRDefault="00000000">
      <w:pPr>
        <w:overflowPunct w:val="0"/>
        <w:spacing w:line="480" w:lineRule="auto"/>
        <w:ind w:firstLine="420"/>
        <w:jc w:val="both"/>
        <w:textAlignment w:val="auto"/>
        <w:rPr>
          <w:rFonts w:cs="Arial"/>
        </w:rPr>
      </w:pPr>
      <w:r>
        <w:rPr>
          <w:rFonts w:ascii="Arial" w:hAnsi="Arial" w:cs="Arial"/>
          <w:kern w:val="2"/>
          <w:sz w:val="21"/>
          <w:szCs w:val="21"/>
        </w:rPr>
        <w:t>1</w:t>
      </w:r>
      <w:r>
        <w:rPr>
          <w:rFonts w:ascii="Arial" w:hAnsi="Arial" w:cs="Arial"/>
          <w:kern w:val="2"/>
          <w:sz w:val="21"/>
          <w:szCs w:val="21"/>
        </w:rPr>
        <w:t>．建设规模：根据估价委托人提供的《估价委托书》及《</w:t>
      </w:r>
      <w:r>
        <w:rPr>
          <w:rFonts w:ascii="Arial" w:hAnsi="Arial" w:cs="Arial"/>
          <w:kern w:val="2"/>
          <w:sz w:val="21"/>
          <w:szCs w:val="21"/>
        </w:rPr>
        <w:t>E18</w:t>
      </w:r>
      <w:r>
        <w:rPr>
          <w:rFonts w:ascii="Arial" w:hAnsi="Arial" w:cs="Arial"/>
          <w:kern w:val="2"/>
          <w:sz w:val="21"/>
          <w:szCs w:val="21"/>
        </w:rPr>
        <w:t>国际人才公寓房屋明细》，确定本次估价范围为</w:t>
      </w:r>
      <w:r>
        <w:rPr>
          <w:rFonts w:ascii="Arial" w:hAnsi="Arial" w:cs="Arial"/>
          <w:bCs/>
          <w:color w:val="000000"/>
          <w:kern w:val="2"/>
          <w:sz w:val="21"/>
          <w:szCs w:val="21"/>
        </w:rPr>
        <w:t>北京经济技术开发区科创十一街</w:t>
      </w:r>
      <w:r>
        <w:rPr>
          <w:rFonts w:ascii="Arial" w:hAnsi="Arial" w:cs="Arial"/>
          <w:bCs/>
          <w:color w:val="000000"/>
          <w:kern w:val="2"/>
          <w:sz w:val="21"/>
          <w:szCs w:val="21"/>
        </w:rPr>
        <w:t>4</w:t>
      </w:r>
      <w:r>
        <w:rPr>
          <w:rFonts w:ascii="Arial" w:hAnsi="Arial" w:cs="Arial"/>
          <w:bCs/>
          <w:color w:val="000000"/>
          <w:kern w:val="2"/>
          <w:sz w:val="21"/>
          <w:szCs w:val="21"/>
        </w:rPr>
        <w:t>号院</w:t>
      </w:r>
      <w:r>
        <w:rPr>
          <w:rFonts w:ascii="Arial" w:hAnsi="Arial" w:cs="Arial"/>
          <w:bCs/>
          <w:color w:val="000000"/>
          <w:kern w:val="2"/>
          <w:sz w:val="21"/>
          <w:szCs w:val="21"/>
        </w:rPr>
        <w:t>10</w:t>
      </w:r>
      <w:r>
        <w:rPr>
          <w:rFonts w:ascii="Arial" w:hAnsi="Arial" w:cs="Arial"/>
          <w:bCs/>
          <w:color w:val="000000"/>
          <w:kern w:val="2"/>
          <w:sz w:val="21"/>
          <w:szCs w:val="21"/>
        </w:rPr>
        <w:t>号楼</w:t>
      </w:r>
      <w:r>
        <w:rPr>
          <w:rFonts w:ascii="Arial" w:hAnsi="Arial" w:cs="Arial"/>
          <w:bCs/>
          <w:color w:val="000000"/>
          <w:kern w:val="2"/>
          <w:sz w:val="21"/>
          <w:szCs w:val="21"/>
        </w:rPr>
        <w:t>1</w:t>
      </w:r>
      <w:r>
        <w:rPr>
          <w:rFonts w:ascii="Arial" w:hAnsi="Arial" w:cs="Arial"/>
          <w:bCs/>
          <w:color w:val="000000"/>
          <w:kern w:val="2"/>
          <w:sz w:val="21"/>
          <w:szCs w:val="21"/>
        </w:rPr>
        <w:t>层</w:t>
      </w:r>
      <w:r>
        <w:rPr>
          <w:rFonts w:ascii="Arial" w:hAnsi="Arial" w:cs="Arial"/>
          <w:bCs/>
          <w:color w:val="000000"/>
          <w:kern w:val="2"/>
          <w:sz w:val="21"/>
          <w:szCs w:val="21"/>
        </w:rPr>
        <w:t>1</w:t>
      </w:r>
      <w:r>
        <w:rPr>
          <w:rFonts w:ascii="Arial" w:hAnsi="Arial" w:cs="Arial"/>
          <w:bCs/>
          <w:color w:val="000000"/>
          <w:kern w:val="2"/>
          <w:sz w:val="21"/>
          <w:szCs w:val="21"/>
        </w:rPr>
        <w:t>单元</w:t>
      </w:r>
      <w:r>
        <w:rPr>
          <w:rFonts w:ascii="Arial" w:hAnsi="Arial" w:cs="Arial"/>
          <w:bCs/>
          <w:color w:val="000000"/>
          <w:kern w:val="2"/>
          <w:sz w:val="21"/>
          <w:szCs w:val="21"/>
        </w:rPr>
        <w:t>102</w:t>
      </w:r>
      <w:r>
        <w:rPr>
          <w:rFonts w:ascii="Arial" w:hAnsi="Arial" w:cs="Arial"/>
          <w:bCs/>
          <w:color w:val="000000"/>
          <w:kern w:val="2"/>
          <w:sz w:val="21"/>
          <w:szCs w:val="21"/>
        </w:rPr>
        <w:t>等</w:t>
      </w:r>
      <w:r>
        <w:rPr>
          <w:rFonts w:ascii="Arial" w:hAnsi="Arial" w:cs="Arial"/>
          <w:bCs/>
          <w:color w:val="000000"/>
          <w:kern w:val="2"/>
          <w:sz w:val="21"/>
          <w:szCs w:val="21"/>
        </w:rPr>
        <w:t>513</w:t>
      </w:r>
      <w:r>
        <w:rPr>
          <w:rFonts w:ascii="Arial" w:hAnsi="Arial" w:cs="Arial"/>
          <w:bCs/>
          <w:color w:val="000000"/>
          <w:kern w:val="2"/>
          <w:sz w:val="21"/>
          <w:szCs w:val="21"/>
        </w:rPr>
        <w:t>套（</w:t>
      </w:r>
      <w:r>
        <w:rPr>
          <w:rFonts w:ascii="Arial" w:hAnsi="Arial" w:cs="Arial"/>
          <w:bCs/>
          <w:color w:val="000000"/>
          <w:kern w:val="2"/>
          <w:sz w:val="21"/>
          <w:szCs w:val="21"/>
        </w:rPr>
        <w:t>E18</w:t>
      </w:r>
      <w:r>
        <w:rPr>
          <w:rFonts w:ascii="Arial" w:hAnsi="Arial" w:cs="Arial"/>
          <w:bCs/>
          <w:color w:val="000000"/>
          <w:kern w:val="2"/>
          <w:sz w:val="21"/>
          <w:szCs w:val="21"/>
        </w:rPr>
        <w:t>亦城景园）</w:t>
      </w:r>
      <w:r>
        <w:rPr>
          <w:rFonts w:ascii="Arial" w:hAnsi="Arial" w:cs="Arial"/>
          <w:kern w:val="2"/>
          <w:sz w:val="21"/>
          <w:szCs w:val="21"/>
        </w:rPr>
        <w:t>，建筑类型为高层板楼，楼宇主体建筑结构为钢混。建筑面积</w:t>
      </w:r>
      <w:r>
        <w:rPr>
          <w:rFonts w:ascii="Arial" w:hAnsi="Arial" w:cs="Arial"/>
          <w:kern w:val="2"/>
          <w:sz w:val="21"/>
          <w:szCs w:val="21"/>
        </w:rPr>
        <w:t>44131.16</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771ECA" w14:paraId="13C998E9" w14:textId="77777777">
        <w:trPr>
          <w:trHeight w:val="285"/>
        </w:trPr>
        <w:tc>
          <w:tcPr>
            <w:tcW w:w="2000" w:type="dxa"/>
            <w:tcBorders>
              <w:top w:val="single" w:sz="4" w:space="0" w:color="000000"/>
              <w:left w:val="single" w:sz="4" w:space="0" w:color="000000"/>
              <w:bottom w:val="single" w:sz="4" w:space="0" w:color="000000"/>
            </w:tcBorders>
            <w:shd w:val="clear" w:color="auto" w:fill="auto"/>
            <w:vAlign w:val="center"/>
          </w:tcPr>
          <w:p w14:paraId="1F7401E1"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shd w:val="clear" w:color="auto" w:fill="auto"/>
            <w:vAlign w:val="center"/>
          </w:tcPr>
          <w:p w14:paraId="4078C9B6"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p>
        </w:tc>
        <w:tc>
          <w:tcPr>
            <w:tcW w:w="1200" w:type="dxa"/>
            <w:tcBorders>
              <w:top w:val="single" w:sz="4" w:space="0" w:color="000000"/>
              <w:left w:val="single" w:sz="4" w:space="0" w:color="000000"/>
              <w:bottom w:val="single" w:sz="4" w:space="0" w:color="000000"/>
            </w:tcBorders>
            <w:shd w:val="clear" w:color="auto" w:fill="auto"/>
            <w:vAlign w:val="center"/>
          </w:tcPr>
          <w:p w14:paraId="74DF3510"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shd w:val="clear" w:color="auto" w:fill="auto"/>
            <w:vAlign w:val="center"/>
          </w:tcPr>
          <w:p w14:paraId="3203A0DF"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shd w:val="clear" w:color="auto" w:fill="auto"/>
            <w:vAlign w:val="center"/>
          </w:tcPr>
          <w:p w14:paraId="503F60CE"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shd w:val="clear" w:color="auto" w:fill="auto"/>
            <w:vAlign w:val="center"/>
          </w:tcPr>
          <w:p w14:paraId="2A7197DA"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57F1"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771ECA" w14:paraId="3D6389FD" w14:textId="77777777">
        <w:trPr>
          <w:trHeight w:val="285"/>
        </w:trPr>
        <w:tc>
          <w:tcPr>
            <w:tcW w:w="2000" w:type="dxa"/>
            <w:tcBorders>
              <w:left w:val="single" w:sz="4" w:space="0" w:color="000000"/>
              <w:bottom w:val="single" w:sz="4" w:space="0" w:color="000000"/>
            </w:tcBorders>
            <w:shd w:val="clear" w:color="auto" w:fill="auto"/>
            <w:vAlign w:val="center"/>
          </w:tcPr>
          <w:p w14:paraId="37FBECC0"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56B64DE0"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shd w:val="clear" w:color="auto" w:fill="auto"/>
            <w:vAlign w:val="center"/>
          </w:tcPr>
          <w:p w14:paraId="2AD67932"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shd w:val="clear" w:color="auto" w:fill="auto"/>
            <w:vAlign w:val="center"/>
          </w:tcPr>
          <w:p w14:paraId="00F43F72"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3532A872"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shd w:val="clear" w:color="auto" w:fill="auto"/>
            <w:vAlign w:val="center"/>
          </w:tcPr>
          <w:p w14:paraId="7374E173"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shd w:val="clear" w:color="auto" w:fill="auto"/>
            <w:vAlign w:val="center"/>
          </w:tcPr>
          <w:p w14:paraId="65F9DB6B"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595FAE61" w14:textId="77777777">
        <w:trPr>
          <w:trHeight w:val="285"/>
        </w:trPr>
        <w:tc>
          <w:tcPr>
            <w:tcW w:w="2000" w:type="dxa"/>
            <w:tcBorders>
              <w:left w:val="single" w:sz="4" w:space="0" w:color="000000"/>
              <w:bottom w:val="single" w:sz="4" w:space="0" w:color="000000"/>
            </w:tcBorders>
            <w:shd w:val="clear" w:color="auto" w:fill="auto"/>
            <w:vAlign w:val="center"/>
          </w:tcPr>
          <w:p w14:paraId="2EB17AE4"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auto"/>
            <w:vAlign w:val="center"/>
          </w:tcPr>
          <w:p w14:paraId="69C43758"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3484.96</w:t>
            </w:r>
          </w:p>
        </w:tc>
        <w:tc>
          <w:tcPr>
            <w:tcW w:w="1200" w:type="dxa"/>
            <w:tcBorders>
              <w:left w:val="single" w:sz="4" w:space="0" w:color="000000"/>
              <w:bottom w:val="single" w:sz="4" w:space="0" w:color="000000"/>
            </w:tcBorders>
            <w:shd w:val="clear" w:color="auto" w:fill="auto"/>
            <w:vAlign w:val="center"/>
          </w:tcPr>
          <w:p w14:paraId="278C25DA"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auto"/>
            <w:vAlign w:val="center"/>
          </w:tcPr>
          <w:p w14:paraId="4694F1D7"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5B0E902F"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shd w:val="clear" w:color="auto" w:fill="auto"/>
            <w:vAlign w:val="center"/>
          </w:tcPr>
          <w:p w14:paraId="58BE3510"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shd w:val="clear" w:color="auto" w:fill="auto"/>
            <w:vAlign w:val="center"/>
          </w:tcPr>
          <w:p w14:paraId="1406866D"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4E37CED3" w14:textId="77777777">
        <w:trPr>
          <w:trHeight w:val="285"/>
        </w:trPr>
        <w:tc>
          <w:tcPr>
            <w:tcW w:w="2000" w:type="dxa"/>
            <w:tcBorders>
              <w:left w:val="single" w:sz="4" w:space="0" w:color="000000"/>
              <w:bottom w:val="single" w:sz="4" w:space="0" w:color="000000"/>
            </w:tcBorders>
            <w:shd w:val="clear" w:color="auto" w:fill="auto"/>
            <w:vAlign w:val="center"/>
          </w:tcPr>
          <w:p w14:paraId="46B1B493"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2A69567A"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shd w:val="clear" w:color="auto" w:fill="auto"/>
            <w:vAlign w:val="center"/>
          </w:tcPr>
          <w:p w14:paraId="26274F74"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shd w:val="clear" w:color="auto" w:fill="auto"/>
            <w:vAlign w:val="center"/>
          </w:tcPr>
          <w:p w14:paraId="4D1FD368"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58FE1472"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auto"/>
            <w:vAlign w:val="center"/>
          </w:tcPr>
          <w:p w14:paraId="26634730"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shd w:val="clear" w:color="auto" w:fill="auto"/>
            <w:vAlign w:val="center"/>
          </w:tcPr>
          <w:p w14:paraId="49AEB3E2"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65EC7F21" w14:textId="77777777">
        <w:trPr>
          <w:trHeight w:val="285"/>
        </w:trPr>
        <w:tc>
          <w:tcPr>
            <w:tcW w:w="2000" w:type="dxa"/>
            <w:tcBorders>
              <w:left w:val="single" w:sz="4" w:space="0" w:color="000000"/>
              <w:bottom w:val="single" w:sz="4" w:space="0" w:color="000000"/>
            </w:tcBorders>
            <w:shd w:val="clear" w:color="auto" w:fill="FFFFFF"/>
            <w:vAlign w:val="center"/>
          </w:tcPr>
          <w:p w14:paraId="4E0659CE"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64B015EA"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5245A94B"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557C82AE"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24AE1E49"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46CC9E87"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32EA69E0"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3AE5150E" w14:textId="77777777">
        <w:trPr>
          <w:trHeight w:val="285"/>
        </w:trPr>
        <w:tc>
          <w:tcPr>
            <w:tcW w:w="2000" w:type="dxa"/>
            <w:tcBorders>
              <w:left w:val="single" w:sz="4" w:space="0" w:color="000000"/>
              <w:bottom w:val="single" w:sz="4" w:space="0" w:color="000000"/>
            </w:tcBorders>
            <w:shd w:val="clear" w:color="auto" w:fill="FFFFFF"/>
            <w:vAlign w:val="center"/>
          </w:tcPr>
          <w:p w14:paraId="3CD5FD24"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785D13FC"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4442.35</w:t>
            </w:r>
          </w:p>
        </w:tc>
        <w:tc>
          <w:tcPr>
            <w:tcW w:w="1200" w:type="dxa"/>
            <w:tcBorders>
              <w:left w:val="single" w:sz="4" w:space="0" w:color="000000"/>
              <w:bottom w:val="single" w:sz="4" w:space="0" w:color="000000"/>
            </w:tcBorders>
            <w:shd w:val="clear" w:color="auto" w:fill="FFFFFF"/>
            <w:vAlign w:val="center"/>
          </w:tcPr>
          <w:p w14:paraId="25D49672"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FFFFFF"/>
            <w:vAlign w:val="center"/>
          </w:tcPr>
          <w:p w14:paraId="679C5C78"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74944540"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7731AA66"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4762F886"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3BCB92EF" w14:textId="77777777">
        <w:trPr>
          <w:trHeight w:val="285"/>
        </w:trPr>
        <w:tc>
          <w:tcPr>
            <w:tcW w:w="2000" w:type="dxa"/>
            <w:tcBorders>
              <w:left w:val="single" w:sz="4" w:space="0" w:color="000000"/>
              <w:bottom w:val="single" w:sz="4" w:space="0" w:color="000000"/>
            </w:tcBorders>
            <w:shd w:val="clear" w:color="auto" w:fill="auto"/>
            <w:vAlign w:val="center"/>
          </w:tcPr>
          <w:p w14:paraId="016594E7"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shd w:val="clear" w:color="auto" w:fill="auto"/>
            <w:vAlign w:val="center"/>
          </w:tcPr>
          <w:p w14:paraId="310E1B17"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44131.16</w:t>
            </w:r>
          </w:p>
        </w:tc>
        <w:tc>
          <w:tcPr>
            <w:tcW w:w="1200" w:type="dxa"/>
            <w:tcBorders>
              <w:left w:val="single" w:sz="4" w:space="0" w:color="000000"/>
              <w:bottom w:val="single" w:sz="4" w:space="0" w:color="000000"/>
            </w:tcBorders>
            <w:shd w:val="clear" w:color="auto" w:fill="auto"/>
            <w:vAlign w:val="center"/>
          </w:tcPr>
          <w:p w14:paraId="05320B8A"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513</w:t>
            </w:r>
          </w:p>
        </w:tc>
        <w:tc>
          <w:tcPr>
            <w:tcW w:w="1100" w:type="dxa"/>
            <w:tcBorders>
              <w:left w:val="single" w:sz="4" w:space="0" w:color="000000"/>
              <w:bottom w:val="single" w:sz="4" w:space="0" w:color="000000"/>
            </w:tcBorders>
            <w:shd w:val="clear" w:color="auto" w:fill="auto"/>
            <w:vAlign w:val="center"/>
          </w:tcPr>
          <w:p w14:paraId="6BF1655D"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shd w:val="clear" w:color="auto" w:fill="auto"/>
            <w:vAlign w:val="center"/>
          </w:tcPr>
          <w:p w14:paraId="26CA9A22"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shd w:val="clear" w:color="auto" w:fill="auto"/>
            <w:vAlign w:val="center"/>
          </w:tcPr>
          <w:p w14:paraId="4587D774"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shd w:val="clear" w:color="auto" w:fill="auto"/>
            <w:vAlign w:val="center"/>
          </w:tcPr>
          <w:p w14:paraId="07615376" w14:textId="77777777" w:rsidR="00771ECA" w:rsidRDefault="00000000">
            <w:pPr>
              <w:widowControl/>
              <w:spacing w:line="48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0BD0B617" w14:textId="77777777" w:rsidR="00771ECA" w:rsidRDefault="00000000">
      <w:pPr>
        <w:overflowPunct w:val="0"/>
        <w:spacing w:line="480" w:lineRule="auto"/>
        <w:ind w:firstLine="420"/>
        <w:jc w:val="both"/>
        <w:textAlignment w:val="auto"/>
      </w:pPr>
      <w:r>
        <w:rPr>
          <w:rFonts w:ascii="Arial" w:hAnsi="Arial" w:cs="Arial"/>
          <w:sz w:val="21"/>
          <w:szCs w:val="21"/>
        </w:rPr>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bookmarkStart w:id="16" w:name="OLE_LINK2"/>
      <w:bookmarkStart w:id="17" w:name="OLE_LINK3"/>
    </w:p>
    <w:p w14:paraId="60E64CF9"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Pr>
          <w:rFonts w:ascii="Arial" w:hAnsi="Arial" w:cs="Arial"/>
          <w:kern w:val="2"/>
          <w:sz w:val="21"/>
          <w:szCs w:val="21"/>
        </w:rPr>
        <w:t>亦城景园楼型</w:t>
      </w:r>
      <w:r>
        <w:rPr>
          <w:rFonts w:ascii="Arial" w:hAnsi="Arial" w:cs="Arial"/>
          <w:sz w:val="21"/>
          <w:szCs w:val="21"/>
        </w:rPr>
        <w:t>为高层板楼。</w:t>
      </w:r>
    </w:p>
    <w:p w14:paraId="7E23C445" w14:textId="77777777" w:rsidR="00771ECA" w:rsidRDefault="00000000">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设施设备：估价对象所在项目配套设施完备，给排水、电力、电讯、暖通等齐全；防火栓、安防系统等设备齐全；配备家具家电。</w:t>
      </w:r>
    </w:p>
    <w:p w14:paraId="3D2D86C6" w14:textId="77777777" w:rsidR="00771ECA" w:rsidRDefault="00000000">
      <w:pPr>
        <w:overflowPunct w:val="0"/>
        <w:spacing w:line="480" w:lineRule="auto"/>
        <w:ind w:firstLine="420"/>
        <w:jc w:val="both"/>
        <w:textAlignment w:val="auto"/>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铺设地砖，墙面刷涂料、墙纸、电视墙，顶棚石膏吊顶；厨房地面铺设地砖，墙面为墙砖，顶棚为铝扣板，配整体橱柜；卫生间地面铺设地砖，墙面为墙砖，顶棚为铝扣板，配淋浴</w:t>
      </w:r>
      <w:r>
        <w:rPr>
          <w:rFonts w:ascii="Arial" w:hAnsi="Arial" w:cs="Arial"/>
          <w:sz w:val="21"/>
          <w:szCs w:val="21"/>
        </w:rPr>
        <w:lastRenderedPageBreak/>
        <w:t>间，室内装修领军人才公寓为：室内地面铺设地砖，墙面刷涂料，顶棚刷涂料；厨房地面铺设地砖，墙面为墙砖，顶棚为铝扣板，配简易橱柜；卫生间地面铺设地砖，墙面为墙砖，顶棚为铝扣板。</w:t>
      </w:r>
    </w:p>
    <w:p w14:paraId="16982F93" w14:textId="77777777" w:rsidR="00771ECA" w:rsidRDefault="00000000">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新旧程度：估价对象观察成新度较高，建成年代较近，成新度较高。</w:t>
      </w:r>
    </w:p>
    <w:p w14:paraId="6765E57A" w14:textId="77777777" w:rsidR="00771ECA" w:rsidRDefault="00000000">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p>
    <w:p w14:paraId="4B2179AC" w14:textId="77777777" w:rsidR="00771ECA" w:rsidRDefault="00000000">
      <w:pPr>
        <w:spacing w:line="480" w:lineRule="auto"/>
        <w:ind w:firstLine="420"/>
        <w:rPr>
          <w:rFonts w:ascii="Arial" w:hAnsi="Arial" w:cs="Arial"/>
          <w:sz w:val="21"/>
          <w:szCs w:val="21"/>
        </w:rPr>
      </w:pPr>
      <w:r>
        <w:rPr>
          <w:rFonts w:ascii="Arial" w:hAnsi="Arial" w:cs="Arial"/>
          <w:sz w:val="21"/>
          <w:szCs w:val="21"/>
        </w:rPr>
        <w:t>亦城景园有两种户型，分别为一居室、两居室。其中，一居室共</w:t>
      </w:r>
      <w:r>
        <w:rPr>
          <w:rFonts w:ascii="Arial" w:hAnsi="Arial" w:cs="Arial"/>
          <w:sz w:val="21"/>
          <w:szCs w:val="21"/>
        </w:rPr>
        <w:t>102</w:t>
      </w:r>
      <w:r>
        <w:rPr>
          <w:rFonts w:ascii="Arial" w:hAnsi="Arial" w:cs="Arial"/>
          <w:sz w:val="21"/>
          <w:szCs w:val="21"/>
        </w:rPr>
        <w:t>套，面积控制在</w:t>
      </w:r>
      <w:r>
        <w:rPr>
          <w:rFonts w:ascii="Arial" w:hAnsi="Arial" w:cs="Arial"/>
          <w:sz w:val="21"/>
          <w:szCs w:val="21"/>
        </w:rPr>
        <w:t>69-70</w:t>
      </w:r>
      <w:r>
        <w:rPr>
          <w:rFonts w:ascii="Arial" w:hAnsi="Arial" w:cs="Arial"/>
          <w:sz w:val="21"/>
          <w:szCs w:val="21"/>
        </w:rPr>
        <w:t>平方米；二居室共</w:t>
      </w:r>
      <w:r>
        <w:rPr>
          <w:rFonts w:ascii="Arial" w:hAnsi="Arial" w:cs="Arial"/>
          <w:sz w:val="21"/>
          <w:szCs w:val="21"/>
        </w:rPr>
        <w:t>411</w:t>
      </w:r>
      <w:r>
        <w:rPr>
          <w:rFonts w:ascii="Arial" w:hAnsi="Arial" w:cs="Arial"/>
          <w:sz w:val="21"/>
          <w:szCs w:val="21"/>
        </w:rPr>
        <w:t>套，面积控制在</w:t>
      </w:r>
      <w:r>
        <w:rPr>
          <w:rFonts w:ascii="Arial" w:hAnsi="Arial" w:cs="Arial"/>
          <w:sz w:val="21"/>
          <w:szCs w:val="21"/>
        </w:rPr>
        <w:t>88-93</w:t>
      </w:r>
      <w:r>
        <w:rPr>
          <w:rFonts w:ascii="Arial" w:hAnsi="Arial" w:cs="Arial"/>
          <w:sz w:val="21"/>
          <w:szCs w:val="21"/>
        </w:rPr>
        <w:t>平方米。</w:t>
      </w:r>
    </w:p>
    <w:p w14:paraId="5E459B17" w14:textId="77777777" w:rsidR="00771ECA" w:rsidRDefault="00000000">
      <w:pPr>
        <w:spacing w:line="480" w:lineRule="auto"/>
        <w:ind w:firstLine="420"/>
        <w:rPr>
          <w:rFonts w:ascii="Arial" w:hAnsi="Arial" w:cs="Arial"/>
          <w:sz w:val="21"/>
          <w:szCs w:val="21"/>
        </w:rPr>
      </w:pPr>
      <w:r>
        <w:rPr>
          <w:rFonts w:ascii="Arial" w:hAnsi="Arial" w:cs="Arial"/>
          <w:sz w:val="21"/>
          <w:szCs w:val="21"/>
        </w:rPr>
        <w:t>8.</w:t>
      </w:r>
      <w:r>
        <w:rPr>
          <w:rFonts w:ascii="Arial" w:hAnsi="Arial" w:cs="Arial"/>
          <w:sz w:val="21"/>
          <w:szCs w:val="21"/>
        </w:rPr>
        <w:t>朝向：</w:t>
      </w:r>
    </w:p>
    <w:p w14:paraId="2F5BB8DE" w14:textId="77777777" w:rsidR="00771ECA" w:rsidRDefault="00000000">
      <w:pPr>
        <w:spacing w:line="480" w:lineRule="auto"/>
        <w:ind w:firstLine="420"/>
      </w:pPr>
      <w:r>
        <w:rPr>
          <w:rFonts w:ascii="Arial" w:hAnsi="Arial" w:cs="Arial"/>
          <w:sz w:val="21"/>
          <w:szCs w:val="21"/>
        </w:rPr>
        <w:t>朝向为南北、南，以朝南为主。</w:t>
      </w:r>
    </w:p>
    <w:bookmarkEnd w:id="16"/>
    <w:bookmarkEnd w:id="17"/>
    <w:p w14:paraId="6CCFEB9F" w14:textId="77777777" w:rsidR="00771ECA" w:rsidRDefault="00000000">
      <w:pPr>
        <w:spacing w:line="480" w:lineRule="auto"/>
      </w:pPr>
      <w:r>
        <w:rPr>
          <w:rFonts w:ascii="Arial" w:hAnsi="Arial" w:cs="Arial"/>
          <w:b/>
          <w:kern w:val="2"/>
          <w:sz w:val="21"/>
          <w:szCs w:val="21"/>
        </w:rPr>
        <w:t>（四）对价格影响的分析</w:t>
      </w:r>
    </w:p>
    <w:p w14:paraId="7F8F1DD5" w14:textId="77777777" w:rsidR="00771ECA" w:rsidRDefault="00000000">
      <w:pPr>
        <w:spacing w:line="480" w:lineRule="auto"/>
        <w:ind w:firstLine="420"/>
        <w:rPr>
          <w:rFonts w:ascii="Arial" w:hAnsi="Arial" w:cs="Arial"/>
          <w:sz w:val="21"/>
          <w:szCs w:val="21"/>
        </w:rPr>
      </w:pPr>
      <w:r>
        <w:rPr>
          <w:rFonts w:ascii="Arial" w:hAnsi="Arial" w:cs="Arial"/>
          <w:sz w:val="21"/>
          <w:szCs w:val="21"/>
        </w:rPr>
        <w:t>估价对象作为住宅使用，通用性相对较好，能完全满足大部分</w:t>
      </w:r>
      <w:commentRangeStart w:id="18"/>
      <w:r>
        <w:rPr>
          <w:rFonts w:ascii="Arial" w:hAnsi="Arial" w:cs="Arial"/>
          <w:sz w:val="21"/>
          <w:szCs w:val="21"/>
        </w:rPr>
        <w:t>求租者</w:t>
      </w:r>
      <w:commentRangeEnd w:id="18"/>
      <w:r>
        <w:commentReference w:id="18"/>
      </w:r>
      <w:r>
        <w:rPr>
          <w:rFonts w:ascii="Arial" w:hAnsi="Arial" w:cs="Arial"/>
          <w:sz w:val="21"/>
          <w:szCs w:val="21"/>
        </w:rPr>
        <w:t>的需求，因此将会在一定程度上影响其租金价格水平。</w:t>
      </w:r>
    </w:p>
    <w:p w14:paraId="307863F3" w14:textId="77777777" w:rsidR="00771ECA" w:rsidRDefault="00000000">
      <w:pPr>
        <w:spacing w:line="480" w:lineRule="auto"/>
        <w:rPr>
          <w:rFonts w:ascii="Arial" w:hAnsi="Arial" w:cs="Arial"/>
          <w:b/>
          <w:kern w:val="2"/>
          <w:sz w:val="21"/>
          <w:szCs w:val="21"/>
        </w:rPr>
      </w:pPr>
      <w:r>
        <w:rPr>
          <w:rFonts w:ascii="Arial" w:hAnsi="Arial" w:cs="Arial"/>
          <w:b/>
          <w:kern w:val="2"/>
          <w:sz w:val="21"/>
          <w:szCs w:val="21"/>
        </w:rPr>
        <w:t>（五）他项权利状况</w:t>
      </w:r>
    </w:p>
    <w:p w14:paraId="159F2697" w14:textId="77777777" w:rsidR="00771ECA" w:rsidRDefault="00000000">
      <w:pPr>
        <w:spacing w:line="480" w:lineRule="auto"/>
        <w:ind w:firstLine="420"/>
        <w:rPr>
          <w:rFonts w:ascii="Arial" w:hAnsi="Arial" w:cs="Arial"/>
          <w:kern w:val="2"/>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）根据估价委托人提供的资料及评估专业人员实地查勘，于价值时点，未发现估价对象存在</w:t>
      </w:r>
      <w:r>
        <w:rPr>
          <w:rFonts w:ascii="Arial" w:hAnsi="Arial" w:cs="Arial"/>
          <w:kern w:val="2"/>
          <w:sz w:val="21"/>
          <w:szCs w:val="21"/>
        </w:rPr>
        <w:t>抵押、地役、查封等他项权利</w:t>
      </w:r>
      <w:r>
        <w:rPr>
          <w:rFonts w:ascii="Arial" w:hAnsi="Arial" w:cs="Arial"/>
          <w:sz w:val="21"/>
          <w:szCs w:val="21"/>
        </w:rPr>
        <w:t>。</w:t>
      </w:r>
      <w:r>
        <w:rPr>
          <w:rFonts w:ascii="Arial" w:hAnsi="Arial" w:cs="Arial"/>
          <w:kern w:val="2"/>
          <w:sz w:val="21"/>
          <w:szCs w:val="21"/>
        </w:rPr>
        <w:t>根据估价目的，本次估价未考虑抵押、租赁、地役、查封等他项权利影响，故设定估价对象于价值时点不存在抵押、地役、查封等他项权利限制。</w:t>
      </w:r>
    </w:p>
    <w:p w14:paraId="15982302" w14:textId="77777777" w:rsidR="00771ECA" w:rsidRDefault="00000000">
      <w:pPr>
        <w:spacing w:line="480" w:lineRule="auto"/>
        <w:ind w:firstLine="420"/>
        <w:rPr>
          <w:rFonts w:ascii="Arial" w:hAnsi="Arial" w:cs="Arial"/>
          <w:kern w:val="2"/>
          <w:sz w:val="21"/>
          <w:szCs w:val="21"/>
        </w:rPr>
      </w:pPr>
      <w:r>
        <w:rPr>
          <w:rFonts w:ascii="Arial" w:hAnsi="Arial" w:cs="Arial"/>
          <w:kern w:val="2"/>
          <w:sz w:val="21"/>
          <w:szCs w:val="21"/>
        </w:rPr>
        <w:t>（</w:t>
      </w:r>
      <w:r>
        <w:rPr>
          <w:rFonts w:ascii="Arial" w:hAnsi="Arial" w:cs="Arial"/>
          <w:kern w:val="2"/>
          <w:sz w:val="21"/>
          <w:szCs w:val="21"/>
        </w:rPr>
        <w:t>2</w:t>
      </w:r>
      <w:r>
        <w:rPr>
          <w:rFonts w:ascii="Arial" w:hAnsi="Arial" w:cs="Arial"/>
          <w:kern w:val="2"/>
          <w:sz w:val="21"/>
          <w:szCs w:val="21"/>
        </w:rPr>
        <w:t>）</w:t>
      </w:r>
      <w:r>
        <w:rPr>
          <w:rFonts w:ascii="Arial" w:hAnsi="Arial" w:cs="Arial"/>
          <w:sz w:val="21"/>
          <w:szCs w:val="21"/>
        </w:rPr>
        <w:t>根据评估专业人员实地查勘，于价值时点，估价对象部分已出租。</w:t>
      </w:r>
      <w:r>
        <w:rPr>
          <w:rFonts w:ascii="Arial" w:hAnsi="Arial" w:cs="Arial"/>
          <w:kern w:val="2"/>
          <w:sz w:val="21"/>
          <w:szCs w:val="21"/>
        </w:rPr>
        <w:t>根据估价目的，本次估价不考虑租赁情况的影响。</w:t>
      </w:r>
    </w:p>
    <w:p w14:paraId="0883C764" w14:textId="77777777" w:rsidR="00771ECA" w:rsidRDefault="00771ECA">
      <w:pPr>
        <w:spacing w:line="480" w:lineRule="auto"/>
        <w:ind w:firstLine="420"/>
        <w:rPr>
          <w:rFonts w:ascii="Arial" w:hAnsi="Arial" w:cs="Arial"/>
          <w:color w:val="E36C0A"/>
          <w:kern w:val="2"/>
          <w:sz w:val="21"/>
          <w:szCs w:val="21"/>
        </w:rPr>
      </w:pPr>
    </w:p>
    <w:p w14:paraId="4284FBA1"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9" w:name="__RefHeading___Toc525655422"/>
      <w:bookmarkEnd w:id="19"/>
      <w:r>
        <w:rPr>
          <w:rFonts w:eastAsia="宋体;SimSun"/>
          <w:kern w:val="2"/>
          <w:sz w:val="21"/>
          <w:szCs w:val="21"/>
        </w:rPr>
        <w:t>五、价值时点</w:t>
      </w:r>
    </w:p>
    <w:p w14:paraId="02B62117"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日（根据《估价委托书》确定）</w:t>
      </w:r>
    </w:p>
    <w:p w14:paraId="20201B6A" w14:textId="77777777" w:rsidR="00771ECA" w:rsidRDefault="00771ECA">
      <w:pPr>
        <w:overflowPunct w:val="0"/>
        <w:spacing w:line="480" w:lineRule="auto"/>
        <w:ind w:firstLine="420"/>
        <w:jc w:val="both"/>
        <w:textAlignment w:val="auto"/>
        <w:rPr>
          <w:rFonts w:ascii="Arial" w:hAnsi="Arial" w:cs="Arial"/>
          <w:sz w:val="21"/>
          <w:szCs w:val="21"/>
        </w:rPr>
      </w:pPr>
    </w:p>
    <w:p w14:paraId="0AC883DC"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20" w:name="__RefHeading___Toc525655423"/>
      <w:bookmarkEnd w:id="20"/>
      <w:r>
        <w:rPr>
          <w:rFonts w:eastAsia="宋体;SimSun"/>
          <w:kern w:val="2"/>
          <w:sz w:val="21"/>
          <w:szCs w:val="21"/>
        </w:rPr>
        <w:t>六、价值类型</w:t>
      </w:r>
    </w:p>
    <w:p w14:paraId="49774AF0" w14:textId="77777777" w:rsidR="00771ECA" w:rsidRDefault="00000000">
      <w:pPr>
        <w:spacing w:line="480" w:lineRule="auto"/>
        <w:rPr>
          <w:rFonts w:ascii="Arial" w:hAnsi="Arial" w:cs="Arial"/>
          <w:b/>
          <w:kern w:val="2"/>
          <w:sz w:val="21"/>
          <w:szCs w:val="21"/>
        </w:rPr>
      </w:pPr>
      <w:r>
        <w:rPr>
          <w:rFonts w:ascii="Arial" w:hAnsi="Arial" w:cs="Arial"/>
          <w:b/>
          <w:kern w:val="2"/>
          <w:sz w:val="21"/>
          <w:szCs w:val="21"/>
        </w:rPr>
        <w:t>（一）价值类型</w:t>
      </w:r>
    </w:p>
    <w:p w14:paraId="0082C5FD" w14:textId="77777777" w:rsidR="00771ECA" w:rsidRDefault="00000000">
      <w:pPr>
        <w:spacing w:line="480" w:lineRule="auto"/>
        <w:ind w:firstLine="420"/>
        <w:rPr>
          <w:rFonts w:ascii="Arial" w:hAnsi="Arial" w:cs="Arial"/>
          <w:sz w:val="21"/>
          <w:szCs w:val="21"/>
        </w:rPr>
      </w:pPr>
      <w:r>
        <w:rPr>
          <w:rFonts w:ascii="Arial" w:hAnsi="Arial" w:cs="Arial"/>
          <w:sz w:val="21"/>
          <w:szCs w:val="21"/>
        </w:rPr>
        <w:t>根据房地产评估的技术规程和本次估价目的，本次估价采用的是公开市场价值标准。市场价值是指估价对象经适当营销后，由熟悉情况、谨慎行事且不受强迫的交易双方，以公平交易方式在价值时点自愿进行交易的金额。</w:t>
      </w:r>
    </w:p>
    <w:p w14:paraId="33F2247F" w14:textId="77777777" w:rsidR="00771ECA" w:rsidRDefault="00000000">
      <w:pPr>
        <w:spacing w:line="480" w:lineRule="auto"/>
        <w:ind w:firstLine="420"/>
        <w:rPr>
          <w:rFonts w:ascii="Arial" w:hAnsi="Arial" w:cs="Arial"/>
          <w:sz w:val="21"/>
          <w:szCs w:val="21"/>
        </w:rPr>
      </w:pPr>
      <w:r>
        <w:rPr>
          <w:rFonts w:ascii="Arial" w:hAnsi="Arial" w:cs="Arial"/>
          <w:sz w:val="21"/>
          <w:szCs w:val="21"/>
        </w:rPr>
        <w:lastRenderedPageBreak/>
        <w:t>估价对象为人才公寓，本次评估设定了标准房，评估结果为设定条件房屋与价值时点，在估价时段内的人才公寓项目同地段、同类型的普通住房在估价时段的市场租赁平均价格。</w:t>
      </w:r>
    </w:p>
    <w:p w14:paraId="6B6EEEB5" w14:textId="77777777" w:rsidR="00771ECA" w:rsidRDefault="00000000">
      <w:pPr>
        <w:spacing w:line="480" w:lineRule="auto"/>
        <w:rPr>
          <w:rFonts w:ascii="Arial" w:hAnsi="Arial" w:cs="Arial"/>
          <w:b/>
          <w:kern w:val="2"/>
          <w:sz w:val="21"/>
          <w:szCs w:val="21"/>
        </w:rPr>
      </w:pPr>
      <w:r>
        <w:rPr>
          <w:rFonts w:ascii="Arial" w:hAnsi="Arial" w:cs="Arial"/>
          <w:b/>
          <w:kern w:val="2"/>
          <w:sz w:val="21"/>
          <w:szCs w:val="21"/>
        </w:rPr>
        <w:t>（二）设定条件</w:t>
      </w:r>
    </w:p>
    <w:p w14:paraId="19C8818A" w14:textId="77777777" w:rsidR="00771ECA" w:rsidRDefault="00000000">
      <w:pPr>
        <w:spacing w:line="480" w:lineRule="auto"/>
        <w:ind w:firstLine="420"/>
        <w:rPr>
          <w:rFonts w:ascii="Arial" w:hAnsi="Arial" w:cs="Arial"/>
          <w:sz w:val="21"/>
          <w:szCs w:val="21"/>
        </w:rPr>
      </w:pPr>
      <w:r>
        <w:rPr>
          <w:rFonts w:ascii="Arial" w:hAnsi="Arial" w:cs="Arial"/>
          <w:sz w:val="21"/>
          <w:szCs w:val="21"/>
        </w:rPr>
        <w:t>估价结果中的房地产租金价格是指估价对象房地产于价值时点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月）的估价时段内，估价对象在规划利用条件及下述设定条件下的市场平均租金价格：</w:t>
      </w:r>
    </w:p>
    <w:p w14:paraId="3C1E5D08" w14:textId="77777777" w:rsidR="00771ECA" w:rsidRDefault="00000000">
      <w:pPr>
        <w:spacing w:line="480" w:lineRule="auto"/>
        <w:ind w:firstLine="420"/>
        <w:rPr>
          <w:rFonts w:ascii="Arial" w:hAnsi="Arial" w:cs="Arial"/>
          <w:sz w:val="21"/>
          <w:szCs w:val="21"/>
        </w:rPr>
      </w:pPr>
      <w:r>
        <w:rPr>
          <w:rFonts w:ascii="Arial" w:hAnsi="Arial" w:cs="Arial"/>
          <w:sz w:val="21"/>
          <w:szCs w:val="21"/>
        </w:rPr>
        <w:t xml:space="preserve">1. </w:t>
      </w:r>
      <w:r>
        <w:rPr>
          <w:rFonts w:ascii="Arial" w:hAnsi="Arial" w:cs="Arial"/>
          <w:sz w:val="21"/>
          <w:szCs w:val="21"/>
        </w:rPr>
        <w:t>估价结果为项目同地段、同类型普通住宅前</w:t>
      </w:r>
      <w:r>
        <w:rPr>
          <w:rFonts w:ascii="Arial" w:hAnsi="Arial" w:cs="Arial"/>
          <w:sz w:val="21"/>
          <w:szCs w:val="21"/>
        </w:rPr>
        <w:t>12</w:t>
      </w:r>
      <w:r>
        <w:rPr>
          <w:rFonts w:ascii="Arial" w:hAnsi="Arial" w:cs="Arial"/>
          <w:sz w:val="21"/>
          <w:szCs w:val="21"/>
        </w:rPr>
        <w:t>个月（</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月）的市场平均月租金价格；</w:t>
      </w:r>
    </w:p>
    <w:p w14:paraId="73E3C3D6" w14:textId="77777777" w:rsidR="00771ECA" w:rsidRDefault="00000000">
      <w:pPr>
        <w:spacing w:line="480" w:lineRule="auto"/>
        <w:ind w:firstLine="420"/>
        <w:rPr>
          <w:rFonts w:ascii="Arial" w:hAnsi="Arial" w:cs="Arial"/>
          <w:sz w:val="21"/>
          <w:szCs w:val="21"/>
        </w:rPr>
      </w:pPr>
      <w:r>
        <w:rPr>
          <w:rFonts w:ascii="Arial" w:hAnsi="Arial" w:cs="Arial"/>
          <w:sz w:val="21"/>
          <w:szCs w:val="21"/>
        </w:rPr>
        <w:t>2.</w:t>
      </w:r>
      <w:r>
        <w:rPr>
          <w:rFonts w:ascii="Arial" w:hAnsi="Arial" w:cs="Arial"/>
          <w:sz w:val="21"/>
          <w:szCs w:val="21"/>
        </w:rPr>
        <w:t>估价对象所在区域是指与估价对象地理位置比较接近或者一致，基础设施、环境条件、规划条件、配套服务设施等情况基本相同的区域；</w:t>
      </w:r>
    </w:p>
    <w:p w14:paraId="03DCD0F9" w14:textId="77777777" w:rsidR="00771ECA" w:rsidRDefault="00000000">
      <w:pPr>
        <w:spacing w:line="480" w:lineRule="auto"/>
        <w:ind w:firstLine="420"/>
        <w:rPr>
          <w:rFonts w:ascii="Arial" w:hAnsi="Arial" w:cs="Arial"/>
          <w:sz w:val="21"/>
          <w:szCs w:val="21"/>
        </w:rPr>
      </w:pPr>
      <w:r>
        <w:rPr>
          <w:rFonts w:ascii="Arial" w:hAnsi="Arial" w:cs="Arial"/>
          <w:sz w:val="21"/>
          <w:szCs w:val="21"/>
        </w:rPr>
        <w:t>3.</w:t>
      </w:r>
      <w:r>
        <w:rPr>
          <w:rFonts w:ascii="Arial" w:hAnsi="Arial" w:cs="Arial"/>
          <w:sz w:val="21"/>
          <w:szCs w:val="21"/>
        </w:rPr>
        <w:t>同地段、同类型住房是指普通住宅，含普通商品住宅、限价商品住房等；</w:t>
      </w:r>
    </w:p>
    <w:p w14:paraId="4949870B" w14:textId="77777777" w:rsidR="00771ECA" w:rsidRDefault="00000000">
      <w:pPr>
        <w:spacing w:line="480" w:lineRule="auto"/>
        <w:ind w:firstLine="420"/>
        <w:rPr>
          <w:rFonts w:ascii="Arial" w:hAnsi="Arial" w:cs="Arial"/>
          <w:kern w:val="2"/>
          <w:sz w:val="21"/>
          <w:szCs w:val="21"/>
        </w:rPr>
      </w:pPr>
      <w:r>
        <w:rPr>
          <w:rFonts w:ascii="Arial" w:hAnsi="Arial" w:cs="Arial"/>
          <w:sz w:val="21"/>
          <w:szCs w:val="21"/>
        </w:rPr>
        <w:t>4.</w:t>
      </w:r>
      <w:r>
        <w:rPr>
          <w:rFonts w:ascii="Arial" w:hAnsi="Arial" w:cs="Arial"/>
          <w:sz w:val="21"/>
          <w:szCs w:val="21"/>
        </w:rPr>
        <w:t>本次估价采取标准房进行评估设定，标准房是指参照被评估住宅项目的户型、面积、朝向、楼层、装修及设备等因素按照众数原则设定的房屋状况。</w:t>
      </w:r>
      <w:commentRangeStart w:id="21"/>
      <w:r>
        <w:rPr>
          <w:rFonts w:ascii="Arial" w:hAnsi="Arial" w:cs="Arial"/>
          <w:kern w:val="2"/>
          <w:sz w:val="21"/>
          <w:szCs w:val="21"/>
        </w:rPr>
        <w:t>估价对象以户型为二居室</w:t>
      </w:r>
      <w:commentRangeEnd w:id="21"/>
      <w:r>
        <w:commentReference w:id="21"/>
      </w:r>
      <w:r>
        <w:rPr>
          <w:rFonts w:ascii="Arial" w:hAnsi="Arial" w:cs="Arial"/>
          <w:kern w:val="2"/>
          <w:sz w:val="21"/>
          <w:szCs w:val="21"/>
        </w:rPr>
        <w:t>，面积为</w:t>
      </w:r>
      <w:r>
        <w:rPr>
          <w:rFonts w:ascii="Arial" w:hAnsi="Arial" w:cs="Arial"/>
          <w:kern w:val="2"/>
          <w:sz w:val="21"/>
          <w:szCs w:val="21"/>
        </w:rPr>
        <w:t>70-90</w:t>
      </w:r>
      <w:r>
        <w:rPr>
          <w:rFonts w:ascii="Arial" w:hAnsi="Arial" w:cs="Arial"/>
          <w:kern w:val="2"/>
          <w:sz w:val="21"/>
          <w:szCs w:val="21"/>
        </w:rPr>
        <w:t>平方米，朝向为南，装修情况为全装修的普通商品住宅房地产为标准房。</w:t>
      </w:r>
    </w:p>
    <w:p w14:paraId="24CE9FBE" w14:textId="77777777" w:rsidR="00771ECA" w:rsidRDefault="00000000">
      <w:pPr>
        <w:spacing w:line="480" w:lineRule="auto"/>
        <w:ind w:firstLine="420"/>
        <w:rPr>
          <w:rFonts w:ascii="Arial" w:hAnsi="Arial" w:cs="Arial"/>
          <w:sz w:val="21"/>
          <w:szCs w:val="21"/>
        </w:rPr>
      </w:pPr>
      <w:r>
        <w:rPr>
          <w:rFonts w:ascii="Arial" w:hAnsi="Arial" w:cs="Arial"/>
          <w:sz w:val="21"/>
          <w:szCs w:val="21"/>
        </w:rPr>
        <w:t>5.</w:t>
      </w:r>
      <w:r>
        <w:rPr>
          <w:rFonts w:ascii="Arial" w:hAnsi="Arial" w:cs="Arial"/>
          <w:sz w:val="21"/>
          <w:szCs w:val="21"/>
        </w:rPr>
        <w:t>租金估价结果包括地租、房屋折旧、设备折旧、维修费、保险费、物业费、供暖费、管理费、利息、利润、家具、家电租赁费及租赁税费等；不含水电费、天然气费、通信费、有线电视费、上网宽带费等。</w:t>
      </w:r>
    </w:p>
    <w:p w14:paraId="25D30156"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22" w:name="__RefHeading___Toc525655424"/>
      <w:bookmarkEnd w:id="22"/>
      <w:r>
        <w:rPr>
          <w:rFonts w:eastAsia="宋体;SimSun"/>
          <w:kern w:val="2"/>
          <w:sz w:val="21"/>
          <w:szCs w:val="21"/>
        </w:rPr>
        <w:t>七、估价原则</w:t>
      </w:r>
    </w:p>
    <w:p w14:paraId="2AE6F465" w14:textId="77777777" w:rsidR="00771ECA" w:rsidRDefault="00000000">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eastAsia="Arial" w:hAnsi="Arial" w:cs="Arial"/>
          <w:sz w:val="21"/>
          <w:szCs w:val="21"/>
        </w:rPr>
        <w:t xml:space="preserve"> </w:t>
      </w:r>
    </w:p>
    <w:p w14:paraId="793A8A59"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55DA795C"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96E902B" w14:textId="77777777" w:rsidR="00771ECA" w:rsidRDefault="00000000">
      <w:pPr>
        <w:overflowPunct w:val="0"/>
        <w:spacing w:line="480" w:lineRule="auto"/>
        <w:jc w:val="both"/>
        <w:textAlignment w:val="auto"/>
      </w:pPr>
      <w:r>
        <w:rPr>
          <w:rFonts w:ascii="Arial" w:hAnsi="Arial" w:cs="Arial"/>
          <w:b/>
          <w:sz w:val="21"/>
          <w:szCs w:val="21"/>
        </w:rPr>
        <w:t>（二）合法原则</w:t>
      </w:r>
    </w:p>
    <w:p w14:paraId="619DA1FA" w14:textId="77777777" w:rsidR="00771ECA" w:rsidRDefault="00000000">
      <w:pPr>
        <w:overflowPunct w:val="0"/>
        <w:spacing w:line="480" w:lineRule="auto"/>
        <w:ind w:firstLine="420"/>
        <w:jc w:val="both"/>
        <w:textAlignment w:val="auto"/>
      </w:pPr>
      <w:r>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w:t>
      </w:r>
      <w:r>
        <w:rPr>
          <w:rFonts w:ascii="Arial" w:hAnsi="Arial" w:cs="Arial"/>
          <w:sz w:val="21"/>
          <w:szCs w:val="21"/>
        </w:rPr>
        <w:lastRenderedPageBreak/>
        <w:t>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775BE449"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1B51B703"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28E6B68C"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35F5E523" w14:textId="77777777" w:rsidR="00771ECA" w:rsidRDefault="00000000">
      <w:pPr>
        <w:overflowPunct w:val="0"/>
        <w:spacing w:line="480" w:lineRule="auto"/>
        <w:ind w:firstLine="420"/>
        <w:jc w:val="both"/>
        <w:textAlignment w:val="auto"/>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564461C"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2E26434"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222B1C66" w14:textId="77777777" w:rsidR="00771ECA" w:rsidRDefault="00000000">
      <w:pPr>
        <w:overflowPunct w:val="0"/>
        <w:spacing w:line="480" w:lineRule="auto"/>
        <w:ind w:firstLine="420"/>
        <w:jc w:val="both"/>
        <w:textAlignment w:val="auto"/>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AED320B"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28A5CAA8" w14:textId="77777777" w:rsidR="00771ECA" w:rsidRDefault="00000000">
      <w:pPr>
        <w:overflowPunct w:val="0"/>
        <w:spacing w:line="480" w:lineRule="auto"/>
        <w:ind w:firstLine="420"/>
        <w:jc w:val="both"/>
        <w:textAlignment w:val="auto"/>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w:t>
      </w:r>
      <w:r>
        <w:rPr>
          <w:rFonts w:ascii="Arial" w:hAnsi="Arial" w:cs="Arial"/>
          <w:sz w:val="21"/>
          <w:szCs w:val="21"/>
        </w:rPr>
        <w:lastRenderedPageBreak/>
        <w:t>价值时点前</w:t>
      </w:r>
      <w:r>
        <w:rPr>
          <w:rFonts w:ascii="Arial" w:hAnsi="Arial" w:cs="Arial"/>
          <w:sz w:val="21"/>
          <w:szCs w:val="21"/>
        </w:rPr>
        <w:t xml:space="preserve">12 </w:t>
      </w:r>
      <w:r>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7B5C4FD7" w14:textId="77777777" w:rsidR="00771ECA" w:rsidRDefault="00771ECA">
      <w:pPr>
        <w:overflowPunct w:val="0"/>
        <w:spacing w:line="480" w:lineRule="auto"/>
        <w:ind w:firstLine="420"/>
        <w:jc w:val="both"/>
        <w:textAlignment w:val="auto"/>
        <w:rPr>
          <w:rFonts w:ascii="Arial" w:hAnsi="Arial" w:cs="Arial"/>
          <w:sz w:val="21"/>
          <w:szCs w:val="21"/>
        </w:rPr>
      </w:pPr>
    </w:p>
    <w:p w14:paraId="1F6FEFE1"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23" w:name="__RefHeading___Toc525655425"/>
      <w:bookmarkEnd w:id="23"/>
      <w:r>
        <w:rPr>
          <w:rFonts w:eastAsia="宋体;SimSun"/>
          <w:kern w:val="2"/>
          <w:sz w:val="21"/>
          <w:szCs w:val="21"/>
        </w:rPr>
        <w:t>八、估价依据</w:t>
      </w:r>
    </w:p>
    <w:p w14:paraId="24525F7C"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0725DC3C" w14:textId="77777777" w:rsidR="00771ECA" w:rsidRDefault="00000000">
      <w:pPr>
        <w:overflowPunct w:val="0"/>
        <w:spacing w:line="480" w:lineRule="auto"/>
        <w:jc w:val="both"/>
        <w:textAlignment w:val="auto"/>
      </w:pPr>
      <w:r>
        <w:rPr>
          <w:rFonts w:ascii="Arial" w:hAnsi="Arial" w:cs="Arial"/>
          <w:sz w:val="21"/>
          <w:szCs w:val="21"/>
        </w:rPr>
        <w:t xml:space="preserve">1. </w:t>
      </w:r>
      <w:r>
        <w:rPr>
          <w:rFonts w:ascii="Arial" w:hAnsi="Arial" w:cs="Arial"/>
          <w:sz w:val="21"/>
          <w:szCs w:val="21"/>
        </w:rPr>
        <w:t>《中华人民共和国土地管理法》（</w:t>
      </w:r>
      <w:r>
        <w:rPr>
          <w:rFonts w:ascii="Arial" w:hAnsi="Arial" w:cs="Arial"/>
          <w:sz w:val="21"/>
          <w:szCs w:val="21"/>
        </w:rPr>
        <w:t>1986</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25</w:t>
      </w:r>
      <w:r>
        <w:rPr>
          <w:rFonts w:ascii="Arial" w:hAnsi="Arial" w:cs="Arial"/>
          <w:sz w:val="21"/>
          <w:szCs w:val="21"/>
        </w:rPr>
        <w:t>日第六届全国人民代表大会常务委员会第十六次会议通过，中华人民共和国主席令第</w:t>
      </w:r>
      <w:r>
        <w:rPr>
          <w:rFonts w:ascii="Arial" w:hAnsi="Arial" w:cs="Arial"/>
          <w:sz w:val="21"/>
          <w:szCs w:val="21"/>
        </w:rPr>
        <w:t>41</w:t>
      </w:r>
      <w:r>
        <w:rPr>
          <w:rFonts w:ascii="Arial" w:hAnsi="Arial" w:cs="Arial"/>
          <w:sz w:val="21"/>
          <w:szCs w:val="21"/>
        </w:rPr>
        <w:t>号公布，</w:t>
      </w:r>
      <w:r>
        <w:rPr>
          <w:rFonts w:ascii="Arial" w:hAnsi="Arial" w:cs="Arial"/>
          <w:sz w:val="21"/>
          <w:szCs w:val="21"/>
        </w:rPr>
        <w:t>1987</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r>
        <w:rPr>
          <w:rFonts w:ascii="Arial" w:hAnsi="Arial" w:cs="Arial"/>
          <w:sz w:val="21"/>
          <w:szCs w:val="21"/>
        </w:rPr>
        <w:t>1988</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29</w:t>
      </w:r>
      <w:r>
        <w:rPr>
          <w:rFonts w:ascii="Arial" w:hAnsi="Arial" w:cs="Arial"/>
          <w:sz w:val="21"/>
          <w:szCs w:val="21"/>
        </w:rPr>
        <w:t>日第七届全国人民代表大会常务委员会第五次会议第一次修正通过，自</w:t>
      </w:r>
      <w:r>
        <w:rPr>
          <w:rFonts w:ascii="Arial" w:hAnsi="Arial" w:cs="Arial"/>
          <w:sz w:val="21"/>
          <w:szCs w:val="21"/>
        </w:rPr>
        <w:t>1988</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29</w:t>
      </w:r>
      <w:r>
        <w:rPr>
          <w:rFonts w:ascii="Arial" w:hAnsi="Arial" w:cs="Arial"/>
          <w:sz w:val="21"/>
          <w:szCs w:val="21"/>
        </w:rPr>
        <w:t>日起施行；</w:t>
      </w:r>
      <w:r>
        <w:rPr>
          <w:rFonts w:ascii="Arial" w:hAnsi="Arial" w:cs="Arial"/>
          <w:sz w:val="21"/>
          <w:szCs w:val="21"/>
        </w:rPr>
        <w:t>1998</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29</w:t>
      </w:r>
      <w:r>
        <w:rPr>
          <w:rFonts w:ascii="Arial" w:hAnsi="Arial" w:cs="Arial"/>
          <w:sz w:val="21"/>
          <w:szCs w:val="21"/>
        </w:rPr>
        <w:t>日第九届全国人民代表大会常务委员会第四次会议修订通过，中华人民共和国主席令第</w:t>
      </w:r>
      <w:r>
        <w:rPr>
          <w:rFonts w:ascii="Arial" w:hAnsi="Arial" w:cs="Arial"/>
          <w:sz w:val="21"/>
          <w:szCs w:val="21"/>
        </w:rPr>
        <w:t>8</w:t>
      </w:r>
      <w:r>
        <w:rPr>
          <w:rFonts w:ascii="Arial" w:hAnsi="Arial" w:cs="Arial"/>
          <w:sz w:val="21"/>
          <w:szCs w:val="21"/>
        </w:rPr>
        <w:t>号公布，自</w:t>
      </w:r>
      <w:r>
        <w:rPr>
          <w:rFonts w:ascii="Arial" w:hAnsi="Arial" w:cs="Arial"/>
          <w:sz w:val="21"/>
          <w:szCs w:val="21"/>
        </w:rPr>
        <w:t>1999</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r>
        <w:rPr>
          <w:rFonts w:ascii="Arial" w:hAnsi="Arial" w:cs="Arial"/>
          <w:sz w:val="21"/>
          <w:szCs w:val="21"/>
        </w:rPr>
        <w:t>2004</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28</w:t>
      </w:r>
      <w:r>
        <w:rPr>
          <w:rFonts w:ascii="Arial" w:hAnsi="Arial" w:cs="Arial"/>
          <w:sz w:val="21"/>
          <w:szCs w:val="21"/>
        </w:rPr>
        <w:t>日第十届全国人民代表大会常务委员会第十一次会议第二次修正通过，中华人民共和国主席令第</w:t>
      </w:r>
      <w:r>
        <w:rPr>
          <w:rFonts w:ascii="Arial" w:hAnsi="Arial" w:cs="Arial"/>
          <w:sz w:val="21"/>
          <w:szCs w:val="21"/>
        </w:rPr>
        <w:t>28</w:t>
      </w:r>
      <w:r>
        <w:rPr>
          <w:rFonts w:ascii="Arial" w:hAnsi="Arial" w:cs="Arial"/>
          <w:sz w:val="21"/>
          <w:szCs w:val="21"/>
        </w:rPr>
        <w:t>号公布，自公布起日起施行；</w:t>
      </w:r>
      <w:r>
        <w:rPr>
          <w:rFonts w:ascii="Arial" w:hAnsi="Arial" w:cs="Arial"/>
          <w:sz w:val="21"/>
          <w:szCs w:val="21"/>
        </w:rPr>
        <w:t>2019</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26</w:t>
      </w:r>
      <w:r>
        <w:rPr>
          <w:rFonts w:ascii="Arial" w:hAnsi="Arial" w:cs="Arial"/>
          <w:sz w:val="21"/>
          <w:szCs w:val="21"/>
        </w:rPr>
        <w:t>日第十三届全国人民代表大会常务委员会第十二次会议第三次修正通过，自</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p>
    <w:p w14:paraId="527EA883" w14:textId="77777777" w:rsidR="00771ECA" w:rsidRDefault="00000000">
      <w:pPr>
        <w:overflowPunct w:val="0"/>
        <w:spacing w:line="480" w:lineRule="auto"/>
        <w:jc w:val="both"/>
        <w:textAlignment w:val="auto"/>
      </w:pPr>
      <w:r>
        <w:rPr>
          <w:rFonts w:ascii="Arial" w:hAnsi="Arial" w:cs="Arial"/>
          <w:sz w:val="21"/>
          <w:szCs w:val="21"/>
        </w:rPr>
        <w:t>2.</w:t>
      </w:r>
      <w:r>
        <w:rPr>
          <w:rFonts w:ascii="Arial" w:hAnsi="Arial" w:cs="Arial"/>
          <w:sz w:val="21"/>
          <w:szCs w:val="21"/>
        </w:rPr>
        <w:t>《中华人民共和国资产评估法》（</w:t>
      </w:r>
      <w:r>
        <w:rPr>
          <w:rFonts w:ascii="Arial" w:hAnsi="Arial" w:cs="Arial"/>
          <w:sz w:val="21"/>
          <w:szCs w:val="21"/>
        </w:rPr>
        <w:t>2016</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2</w:t>
      </w:r>
      <w:r>
        <w:rPr>
          <w:rFonts w:ascii="Arial" w:hAnsi="Arial" w:cs="Arial"/>
          <w:sz w:val="21"/>
          <w:szCs w:val="21"/>
        </w:rPr>
        <w:t>日第十二届全国人民代表大会常务委员会第二十一次会议通过</w:t>
      </w:r>
      <w:r>
        <w:rPr>
          <w:rFonts w:ascii="Arial" w:eastAsia="Arial" w:hAnsi="Arial" w:cs="Arial"/>
          <w:sz w:val="21"/>
          <w:szCs w:val="21"/>
        </w:rPr>
        <w:t xml:space="preserve"> </w:t>
      </w:r>
      <w:r>
        <w:rPr>
          <w:rFonts w:ascii="Arial" w:hAnsi="Arial" w:cs="Arial"/>
          <w:sz w:val="21"/>
          <w:szCs w:val="21"/>
        </w:rPr>
        <w:t>2016</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16</w:t>
      </w:r>
      <w:r>
        <w:rPr>
          <w:rFonts w:ascii="Arial" w:hAnsi="Arial" w:cs="Arial"/>
          <w:sz w:val="21"/>
          <w:szCs w:val="21"/>
        </w:rPr>
        <w:t>日中华人民共和国主席令第</w:t>
      </w:r>
      <w:r>
        <w:rPr>
          <w:rFonts w:ascii="Arial" w:hAnsi="Arial" w:cs="Arial"/>
          <w:sz w:val="21"/>
          <w:szCs w:val="21"/>
        </w:rPr>
        <w:t>46</w:t>
      </w:r>
      <w:r>
        <w:rPr>
          <w:rFonts w:ascii="Arial" w:hAnsi="Arial" w:cs="Arial"/>
          <w:sz w:val="21"/>
          <w:szCs w:val="21"/>
        </w:rPr>
        <w:t>号公布</w:t>
      </w:r>
      <w:r>
        <w:rPr>
          <w:rFonts w:ascii="Arial" w:eastAsia="Arial" w:hAnsi="Arial" w:cs="Arial"/>
          <w:sz w:val="21"/>
          <w:szCs w:val="21"/>
        </w:rPr>
        <w:t xml:space="preserve"> </w:t>
      </w:r>
      <w:r>
        <w:rPr>
          <w:rFonts w:ascii="Arial" w:hAnsi="Arial" w:cs="Arial"/>
          <w:sz w:val="21"/>
          <w:szCs w:val="21"/>
        </w:rPr>
        <w:t>自</w:t>
      </w:r>
      <w:r>
        <w:rPr>
          <w:rFonts w:ascii="Arial" w:hAnsi="Arial" w:cs="Arial"/>
          <w:sz w:val="21"/>
          <w:szCs w:val="21"/>
        </w:rPr>
        <w:t>2016</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p>
    <w:p w14:paraId="601384B3" w14:textId="77777777" w:rsidR="00771ECA" w:rsidRDefault="00000000">
      <w:pPr>
        <w:overflowPunct w:val="0"/>
        <w:spacing w:line="480" w:lineRule="auto"/>
        <w:jc w:val="both"/>
        <w:textAlignment w:val="auto"/>
      </w:pPr>
      <w:r>
        <w:rPr>
          <w:rFonts w:ascii="Arial" w:hAnsi="Arial" w:cs="Arial"/>
          <w:sz w:val="21"/>
          <w:szCs w:val="21"/>
        </w:rPr>
        <w:t>3.</w:t>
      </w:r>
      <w:r>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67D6C26F" w14:textId="77777777" w:rsidR="00771ECA" w:rsidRDefault="00000000">
      <w:pPr>
        <w:overflowPunct w:val="0"/>
        <w:spacing w:line="480" w:lineRule="auto"/>
        <w:jc w:val="both"/>
        <w:textAlignment w:val="auto"/>
      </w:pPr>
      <w:r>
        <w:rPr>
          <w:rFonts w:ascii="Arial" w:hAnsi="Arial" w:cs="Arial"/>
          <w:sz w:val="21"/>
          <w:szCs w:val="21"/>
        </w:rPr>
        <w:t>4.</w:t>
      </w:r>
      <w:r>
        <w:rPr>
          <w:rFonts w:ascii="Arial" w:hAnsi="Arial" w:cs="Arial"/>
          <w:sz w:val="21"/>
          <w:szCs w:val="21"/>
        </w:rPr>
        <w:t>《中华人民共和国民法典》（</w:t>
      </w:r>
      <w:r>
        <w:rPr>
          <w:rFonts w:ascii="Arial" w:hAnsi="Arial" w:cs="Arial"/>
          <w:sz w:val="21"/>
          <w:szCs w:val="21"/>
        </w:rPr>
        <w:t>2020</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28</w:t>
      </w:r>
      <w:r>
        <w:rPr>
          <w:rFonts w:ascii="Arial" w:hAnsi="Arial" w:cs="Arial"/>
          <w:sz w:val="21"/>
          <w:szCs w:val="21"/>
        </w:rPr>
        <w:t>日第十三届全国人大三次会议表决通过，自</w:t>
      </w:r>
      <w:r>
        <w:rPr>
          <w:rFonts w:ascii="Arial" w:hAnsi="Arial" w:cs="Arial"/>
          <w:sz w:val="21"/>
          <w:szCs w:val="21"/>
        </w:rPr>
        <w:t>2021</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p>
    <w:p w14:paraId="34EDFC62" w14:textId="77777777" w:rsidR="00771ECA" w:rsidRDefault="00000000">
      <w:pPr>
        <w:overflowPunct w:val="0"/>
        <w:spacing w:line="480" w:lineRule="auto"/>
        <w:jc w:val="both"/>
        <w:textAlignment w:val="auto"/>
      </w:pPr>
      <w:r>
        <w:rPr>
          <w:rFonts w:ascii="Arial" w:hAnsi="Arial" w:cs="Arial"/>
          <w:sz w:val="21"/>
          <w:szCs w:val="21"/>
        </w:rPr>
        <w:t>5.</w:t>
      </w:r>
      <w:r>
        <w:rPr>
          <w:rFonts w:ascii="Arial" w:hAnsi="Arial" w:cs="Arial"/>
          <w:sz w:val="21"/>
          <w:szCs w:val="21"/>
        </w:rPr>
        <w:t>《中华人民共和国城市房地产管理法》（</w:t>
      </w:r>
      <w:r>
        <w:rPr>
          <w:rFonts w:ascii="Arial" w:hAnsi="Arial" w:cs="Arial"/>
          <w:sz w:val="21"/>
          <w:szCs w:val="21"/>
        </w:rPr>
        <w:t>1994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5</w:t>
      </w:r>
      <w:r>
        <w:rPr>
          <w:rFonts w:ascii="Arial" w:hAnsi="Arial" w:cs="Arial"/>
          <w:sz w:val="21"/>
          <w:szCs w:val="21"/>
        </w:rPr>
        <w:t>日第八届全国人民代表大会常务委员会第八次会议通过，中华人民共和国主席令第</w:t>
      </w:r>
      <w:r>
        <w:rPr>
          <w:rFonts w:ascii="Arial" w:hAnsi="Arial" w:cs="Arial"/>
          <w:sz w:val="21"/>
          <w:szCs w:val="21"/>
        </w:rPr>
        <w:t>29</w:t>
      </w:r>
      <w:r>
        <w:rPr>
          <w:rFonts w:ascii="Arial" w:hAnsi="Arial" w:cs="Arial"/>
          <w:sz w:val="21"/>
          <w:szCs w:val="21"/>
        </w:rPr>
        <w:t>号公布，自</w:t>
      </w:r>
      <w:r>
        <w:rPr>
          <w:rFonts w:ascii="Arial" w:hAnsi="Arial" w:cs="Arial"/>
          <w:sz w:val="21"/>
          <w:szCs w:val="21"/>
        </w:rPr>
        <w:t>1995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r>
        <w:rPr>
          <w:rFonts w:ascii="Arial" w:hAnsi="Arial" w:cs="Arial"/>
          <w:sz w:val="21"/>
          <w:szCs w:val="21"/>
        </w:rPr>
        <w:t>2007</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30</w:t>
      </w:r>
      <w:r>
        <w:rPr>
          <w:rFonts w:ascii="Arial" w:hAnsi="Arial" w:cs="Arial"/>
          <w:sz w:val="21"/>
          <w:szCs w:val="21"/>
        </w:rPr>
        <w:t>日第十届全国人民代表大会常务委员会第二十九次会议通过第一次修正通过，中华人民共和国主席令第</w:t>
      </w:r>
      <w:r>
        <w:rPr>
          <w:rFonts w:ascii="Arial" w:hAnsi="Arial" w:cs="Arial"/>
          <w:sz w:val="21"/>
          <w:szCs w:val="21"/>
        </w:rPr>
        <w:t>72</w:t>
      </w:r>
      <w:r>
        <w:rPr>
          <w:rFonts w:ascii="Arial" w:hAnsi="Arial" w:cs="Arial"/>
          <w:sz w:val="21"/>
          <w:szCs w:val="21"/>
        </w:rPr>
        <w:t>号公布，自公布之日起施行；</w:t>
      </w:r>
      <w:r>
        <w:rPr>
          <w:rFonts w:ascii="Arial" w:hAnsi="Arial" w:cs="Arial"/>
          <w:sz w:val="21"/>
          <w:szCs w:val="21"/>
        </w:rPr>
        <w:t>2009</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27</w:t>
      </w:r>
      <w:r>
        <w:rPr>
          <w:rFonts w:ascii="Arial" w:hAnsi="Arial" w:cs="Arial"/>
          <w:sz w:val="21"/>
          <w:szCs w:val="21"/>
        </w:rPr>
        <w:t>日第十一届全国人民代表大会常务委员会第十次会议第二次修正通过，中华人民共和国主席令第</w:t>
      </w:r>
      <w:r>
        <w:rPr>
          <w:rFonts w:ascii="Arial" w:hAnsi="Arial" w:cs="Arial"/>
          <w:sz w:val="21"/>
          <w:szCs w:val="21"/>
        </w:rPr>
        <w:t>18</w:t>
      </w:r>
      <w:r>
        <w:rPr>
          <w:rFonts w:ascii="Arial" w:hAnsi="Arial" w:cs="Arial"/>
          <w:sz w:val="21"/>
          <w:szCs w:val="21"/>
        </w:rPr>
        <w:t>号公布，自公布之日起施行；</w:t>
      </w:r>
      <w:r>
        <w:rPr>
          <w:rFonts w:ascii="Arial" w:hAnsi="Arial" w:cs="Arial"/>
          <w:sz w:val="21"/>
          <w:szCs w:val="21"/>
        </w:rPr>
        <w:t>2019</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26</w:t>
      </w:r>
      <w:r>
        <w:rPr>
          <w:rFonts w:ascii="Arial" w:hAnsi="Arial" w:cs="Arial"/>
          <w:sz w:val="21"/>
          <w:szCs w:val="21"/>
        </w:rPr>
        <w:t>日第十三届全国人大常委会第十二次会议通过第三次修正，自</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p>
    <w:p w14:paraId="28F81033" w14:textId="77777777" w:rsidR="00771ECA" w:rsidRDefault="00000000">
      <w:pPr>
        <w:overflowPunct w:val="0"/>
        <w:spacing w:line="480" w:lineRule="auto"/>
        <w:jc w:val="both"/>
        <w:textAlignment w:val="auto"/>
        <w:rPr>
          <w:rFonts w:ascii="Arial" w:hAnsi="Arial" w:cs="Arial"/>
          <w:sz w:val="21"/>
          <w:szCs w:val="21"/>
        </w:rPr>
      </w:pPr>
      <w:commentRangeStart w:id="24"/>
      <w:r>
        <w:rPr>
          <w:rFonts w:ascii="Arial" w:hAnsi="Arial" w:cs="Arial"/>
          <w:sz w:val="21"/>
          <w:szCs w:val="21"/>
        </w:rPr>
        <w:lastRenderedPageBreak/>
        <w:t>6.</w:t>
      </w:r>
      <w:r>
        <w:rPr>
          <w:rFonts w:ascii="Arial" w:hAnsi="Arial" w:cs="Arial"/>
          <w:sz w:val="21"/>
          <w:szCs w:val="21"/>
        </w:rPr>
        <w:t>《关于运用政府和社会资本合作模式推进公共租赁住房投资建设和运营管理的通知》</w:t>
      </w:r>
      <w:r>
        <w:rPr>
          <w:rFonts w:ascii="Arial" w:hAnsi="Arial" w:cs="Arial"/>
          <w:sz w:val="21"/>
          <w:szCs w:val="21"/>
        </w:rPr>
        <w:t>[</w:t>
      </w:r>
      <w:r>
        <w:rPr>
          <w:rFonts w:ascii="Arial" w:hAnsi="Arial" w:cs="Arial"/>
          <w:sz w:val="21"/>
          <w:szCs w:val="21"/>
        </w:rPr>
        <w:t>财综</w:t>
      </w:r>
      <w:r>
        <w:rPr>
          <w:rFonts w:ascii="Arial" w:hAnsi="Arial" w:cs="Arial"/>
          <w:sz w:val="21"/>
          <w:szCs w:val="21"/>
        </w:rPr>
        <w:t>[2015]15</w:t>
      </w:r>
      <w:r>
        <w:rPr>
          <w:rFonts w:ascii="Arial" w:hAnsi="Arial" w:cs="Arial"/>
          <w:sz w:val="21"/>
          <w:szCs w:val="21"/>
        </w:rPr>
        <w:t>号</w:t>
      </w:r>
      <w:r>
        <w:rPr>
          <w:rFonts w:ascii="Arial" w:hAnsi="Arial" w:cs="Arial"/>
          <w:sz w:val="21"/>
          <w:szCs w:val="21"/>
        </w:rPr>
        <w:t>]</w:t>
      </w:r>
      <w:commentRangeEnd w:id="24"/>
      <w:r>
        <w:commentReference w:id="24"/>
      </w:r>
    </w:p>
    <w:p w14:paraId="4F922AC6" w14:textId="77777777" w:rsidR="00771ECA" w:rsidRDefault="00000000">
      <w:pPr>
        <w:overflowPunct w:val="0"/>
        <w:spacing w:line="480" w:lineRule="auto"/>
        <w:jc w:val="both"/>
        <w:textAlignment w:val="auto"/>
        <w:rPr>
          <w:rFonts w:ascii="Arial" w:hAnsi="Arial" w:cs="Arial"/>
          <w:sz w:val="21"/>
          <w:szCs w:val="21"/>
        </w:rPr>
      </w:pPr>
      <w:r>
        <w:rPr>
          <w:rFonts w:ascii="Arial" w:hAnsi="Arial" w:cs="Arial"/>
          <w:b/>
          <w:sz w:val="21"/>
          <w:szCs w:val="21"/>
        </w:rPr>
        <w:t>（二）技术标准</w:t>
      </w:r>
    </w:p>
    <w:p w14:paraId="357FDB40" w14:textId="77777777" w:rsidR="00771ECA" w:rsidRDefault="00000000">
      <w:pPr>
        <w:numPr>
          <w:ilvl w:val="0"/>
          <w:numId w:val="8"/>
        </w:numPr>
        <w:overflowPunct w:val="0"/>
        <w:spacing w:line="480" w:lineRule="auto"/>
        <w:ind w:left="0" w:firstLine="0"/>
        <w:jc w:val="both"/>
        <w:textAlignment w:val="auto"/>
      </w:pPr>
      <w:r>
        <w:rPr>
          <w:rFonts w:ascii="Arial" w:hAnsi="Arial" w:cs="Arial"/>
          <w:sz w:val="21"/>
          <w:szCs w:val="21"/>
        </w:rPr>
        <w:t>《房地产估价规范》</w:t>
      </w:r>
      <w:r>
        <w:rPr>
          <w:rFonts w:ascii="Arial" w:hAnsi="Arial" w:cs="Arial"/>
          <w:sz w:val="21"/>
          <w:szCs w:val="21"/>
        </w:rPr>
        <w:t>[GB/T 50291-2015]</w:t>
      </w:r>
    </w:p>
    <w:p w14:paraId="050B009E" w14:textId="77777777" w:rsidR="00771ECA" w:rsidRDefault="00000000">
      <w:pPr>
        <w:numPr>
          <w:ilvl w:val="0"/>
          <w:numId w:val="8"/>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《房地产估价基本术语标准》</w:t>
      </w:r>
      <w:r>
        <w:rPr>
          <w:rFonts w:ascii="Arial" w:hAnsi="Arial" w:cs="Arial"/>
          <w:sz w:val="21"/>
          <w:szCs w:val="21"/>
        </w:rPr>
        <w:t>[GB/T 50899-2013]</w:t>
      </w:r>
    </w:p>
    <w:p w14:paraId="12236320"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（三）估价委托人提供的资料</w:t>
      </w:r>
    </w:p>
    <w:p w14:paraId="729E7F2A" w14:textId="77777777" w:rsidR="00771ECA"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《估价委托书》</w:t>
      </w:r>
    </w:p>
    <w:p w14:paraId="45816578" w14:textId="77777777" w:rsidR="00771ECA"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101E8623" w14:textId="77777777" w:rsidR="00771ECA"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E18</w:t>
      </w:r>
      <w:r>
        <w:rPr>
          <w:rFonts w:ascii="Arial" w:hAnsi="Arial" w:cs="Arial"/>
          <w:sz w:val="21"/>
          <w:szCs w:val="21"/>
        </w:rPr>
        <w:t>国际人才公寓房屋明细》复印件</w:t>
      </w:r>
    </w:p>
    <w:p w14:paraId="7E0CA283" w14:textId="77777777" w:rsidR="00771ECA"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估价委托人《营业执照（副本）》复印件</w:t>
      </w:r>
    </w:p>
    <w:p w14:paraId="45C36577"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74185307" w14:textId="77777777" w:rsidR="00771ECA" w:rsidRDefault="00000000">
      <w:pPr>
        <w:overflowPunct w:val="0"/>
        <w:spacing w:line="480" w:lineRule="auto"/>
        <w:jc w:val="both"/>
        <w:textAlignment w:val="auto"/>
      </w:pPr>
      <w:r>
        <w:rPr>
          <w:rFonts w:ascii="Arial" w:hAnsi="Arial" w:cs="Arial"/>
          <w:b/>
          <w:color w:val="000000"/>
          <w:sz w:val="21"/>
          <w:szCs w:val="21"/>
        </w:rPr>
        <w:t>（五）房地产估价机构资质证书</w:t>
      </w:r>
    </w:p>
    <w:p w14:paraId="64363AB6" w14:textId="77777777" w:rsidR="00771ECA" w:rsidRDefault="00771ECA">
      <w:pPr>
        <w:overflowPunct w:val="0"/>
        <w:spacing w:line="480" w:lineRule="auto"/>
        <w:ind w:firstLine="420"/>
        <w:jc w:val="both"/>
        <w:textAlignment w:val="auto"/>
        <w:rPr>
          <w:rFonts w:ascii="Arial" w:hAnsi="Arial" w:cs="Arial"/>
          <w:b/>
          <w:color w:val="000000"/>
          <w:sz w:val="21"/>
          <w:szCs w:val="21"/>
        </w:rPr>
      </w:pPr>
    </w:p>
    <w:p w14:paraId="0F774C09" w14:textId="77777777" w:rsidR="00771ECA" w:rsidRDefault="00000000">
      <w:pPr>
        <w:pStyle w:val="2"/>
        <w:numPr>
          <w:ilvl w:val="0"/>
          <w:numId w:val="5"/>
        </w:numPr>
        <w:tabs>
          <w:tab w:val="left" w:pos="360"/>
        </w:tabs>
        <w:overflowPunct w:val="0"/>
        <w:spacing w:line="480" w:lineRule="auto"/>
        <w:ind w:left="358" w:hanging="358"/>
        <w:jc w:val="both"/>
        <w:textAlignment w:val="auto"/>
        <w:rPr>
          <w:rFonts w:eastAsia="宋体;SimSun"/>
          <w:kern w:val="2"/>
          <w:sz w:val="21"/>
          <w:szCs w:val="21"/>
        </w:rPr>
      </w:pPr>
      <w:bookmarkStart w:id="25" w:name="__RefHeading___Toc525655426"/>
      <w:bookmarkEnd w:id="25"/>
      <w:r>
        <w:rPr>
          <w:rFonts w:eastAsia="宋体;SimSun"/>
          <w:kern w:val="2"/>
          <w:sz w:val="21"/>
          <w:szCs w:val="21"/>
        </w:rPr>
        <w:t>估价方法</w:t>
      </w:r>
    </w:p>
    <w:p w14:paraId="6EACA8AB" w14:textId="77777777" w:rsidR="00771ECA" w:rsidRDefault="00000000">
      <w:pPr>
        <w:overflowPunct w:val="0"/>
        <w:autoSpaceDE w:val="0"/>
        <w:spacing w:line="480" w:lineRule="auto"/>
        <w:ind w:right="140" w:firstLine="420"/>
        <w:jc w:val="both"/>
        <w:textAlignment w:val="auto"/>
        <w:rPr>
          <w:rFonts w:ascii="Arial" w:hAnsi="Arial" w:cs="Arial"/>
          <w:sz w:val="21"/>
          <w:szCs w:val="21"/>
        </w:rPr>
      </w:pPr>
      <w:r>
        <w:rPr>
          <w:rFonts w:ascii="Arial" w:hAnsi="Arial" w:cs="Arial"/>
          <w:color w:val="000000"/>
          <w:sz w:val="21"/>
          <w:szCs w:val="21"/>
        </w:rPr>
        <w:t>由于本次评估是为估价委托人了解估价对象房地产市场租金水平提供参考依据，因此我们在认真分析研究估价对象的相关资料，并通过对邻近地区同类物业调查的基础上，根据《房地产估价规范》（</w:t>
      </w:r>
      <w:r>
        <w:rPr>
          <w:rFonts w:ascii="Arial" w:hAnsi="Arial" w:cs="Arial"/>
          <w:color w:val="000000"/>
          <w:sz w:val="21"/>
          <w:szCs w:val="21"/>
        </w:rPr>
        <w:t>GB/T 50291-2015</w:t>
      </w:r>
      <w:r>
        <w:rPr>
          <w:rFonts w:ascii="Arial" w:hAnsi="Arial" w:cs="Arial"/>
          <w:color w:val="000000"/>
          <w:sz w:val="21"/>
          <w:szCs w:val="21"/>
        </w:rPr>
        <w:t>）</w:t>
      </w:r>
      <w:r>
        <w:rPr>
          <w:rFonts w:ascii="Arial" w:hAnsi="Arial" w:cs="Arial"/>
          <w:sz w:val="21"/>
          <w:szCs w:val="21"/>
        </w:rPr>
        <w:t>的估价程序，选用比较法为主方法进行估价，进而确定估价对象市场平均租金价格水平。</w:t>
      </w:r>
    </w:p>
    <w:p w14:paraId="70CF992F" w14:textId="77777777" w:rsidR="00771ECA" w:rsidRDefault="00000000">
      <w:pPr>
        <w:pStyle w:val="LO-Normal"/>
        <w:overflowPunct w:val="0"/>
        <w:autoSpaceDE w:val="0"/>
        <w:spacing w:line="480" w:lineRule="auto"/>
        <w:ind w:right="140"/>
        <w:jc w:val="both"/>
        <w:textAlignment w:val="auto"/>
      </w:pPr>
      <w:r>
        <w:rPr>
          <w:rFonts w:ascii="Arial" w:hAnsi="Arial" w:cs="Arial"/>
          <w:b/>
          <w:color w:val="000000"/>
          <w:sz w:val="21"/>
          <w:szCs w:val="21"/>
        </w:rPr>
        <w:t>（一）估价思路</w:t>
      </w:r>
      <w:r>
        <w:rPr>
          <w:rFonts w:ascii="Arial" w:eastAsia="Arial" w:hAnsi="Arial" w:cs="Arial"/>
          <w:b/>
          <w:color w:val="000000"/>
          <w:sz w:val="21"/>
          <w:szCs w:val="21"/>
        </w:rPr>
        <w:t xml:space="preserve"> </w:t>
      </w:r>
    </w:p>
    <w:p w14:paraId="6734A405"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69854F12"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首先确认估价对象标准房。标准房设定如下：</w:t>
      </w:r>
    </w:p>
    <w:p w14:paraId="3A375E06" w14:textId="77777777" w:rsidR="00771ECA" w:rsidRDefault="00000000">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有两种户型，分别为一居室、两居室。其中，一居室共</w:t>
      </w:r>
      <w:r>
        <w:rPr>
          <w:rFonts w:ascii="Arial" w:hAnsi="Arial" w:cs="Arial"/>
          <w:sz w:val="21"/>
          <w:szCs w:val="21"/>
        </w:rPr>
        <w:t>102</w:t>
      </w:r>
      <w:r>
        <w:rPr>
          <w:rFonts w:ascii="Arial" w:hAnsi="Arial" w:cs="Arial"/>
          <w:sz w:val="21"/>
          <w:szCs w:val="21"/>
        </w:rPr>
        <w:t>套，面积控制在</w:t>
      </w:r>
      <w:r>
        <w:rPr>
          <w:rFonts w:ascii="Arial" w:hAnsi="Arial" w:cs="Arial"/>
          <w:sz w:val="21"/>
          <w:szCs w:val="21"/>
        </w:rPr>
        <w:t>69-70</w:t>
      </w:r>
      <w:r>
        <w:rPr>
          <w:rFonts w:ascii="Arial" w:hAnsi="Arial" w:cs="Arial"/>
          <w:sz w:val="21"/>
          <w:szCs w:val="21"/>
        </w:rPr>
        <w:t>平方米；二居室共</w:t>
      </w:r>
      <w:r>
        <w:rPr>
          <w:rFonts w:ascii="Arial" w:hAnsi="Arial" w:cs="Arial"/>
          <w:sz w:val="21"/>
          <w:szCs w:val="21"/>
        </w:rPr>
        <w:t>411</w:t>
      </w:r>
      <w:r>
        <w:rPr>
          <w:rFonts w:ascii="Arial" w:hAnsi="Arial" w:cs="Arial"/>
          <w:sz w:val="21"/>
          <w:szCs w:val="21"/>
        </w:rPr>
        <w:t>套，面积控制在</w:t>
      </w:r>
      <w:r>
        <w:rPr>
          <w:rFonts w:ascii="Arial" w:hAnsi="Arial" w:cs="Arial"/>
          <w:sz w:val="21"/>
          <w:szCs w:val="21"/>
        </w:rPr>
        <w:t>88-93</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标准房户型为二居室，面积为</w:t>
      </w:r>
      <w:r>
        <w:rPr>
          <w:rFonts w:ascii="Arial" w:hAnsi="Arial" w:cs="Arial"/>
          <w:kern w:val="2"/>
          <w:sz w:val="21"/>
          <w:szCs w:val="21"/>
        </w:rPr>
        <w:t>88-93</w:t>
      </w:r>
      <w:r>
        <w:rPr>
          <w:rFonts w:ascii="Arial" w:hAnsi="Arial" w:cs="Arial"/>
          <w:kern w:val="2"/>
          <w:sz w:val="21"/>
          <w:szCs w:val="21"/>
        </w:rPr>
        <w:t>平方米，朝向为南，装修情况为简单装修。</w:t>
      </w:r>
    </w:p>
    <w:p w14:paraId="791EE903"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在估价对象周边区域选取适当数量住宅小区，结合估价机构监测数据、估价机构市场调查两</w:t>
      </w:r>
      <w:r>
        <w:rPr>
          <w:rFonts w:ascii="Arial" w:hAnsi="Arial" w:cs="Arial"/>
          <w:color w:val="000000"/>
          <w:sz w:val="21"/>
          <w:szCs w:val="21"/>
        </w:rPr>
        <w:lastRenderedPageBreak/>
        <w:t>个方面的批量数据，选取可比小区。</w:t>
      </w:r>
    </w:p>
    <w:p w14:paraId="31DE1A51"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3.</w:t>
      </w:r>
      <w:r>
        <w:rPr>
          <w:rFonts w:ascii="Arial" w:hAnsi="Arial" w:cs="Arial"/>
          <w:color w:val="000000"/>
          <w:sz w:val="21"/>
          <w:szCs w:val="21"/>
        </w:rPr>
        <w:t>将所选可比小区与评估对象标准房进行比较，进行区位状况调整和实物状况调整，计算各可比实例比准租金，得到估价对象租金水平。</w:t>
      </w:r>
    </w:p>
    <w:p w14:paraId="30A46394" w14:textId="77777777" w:rsidR="00771ECA" w:rsidRDefault="00000000">
      <w:pPr>
        <w:pStyle w:val="LO-Normal"/>
        <w:overflowPunct w:val="0"/>
        <w:autoSpaceDE w:val="0"/>
        <w:spacing w:line="480" w:lineRule="auto"/>
        <w:ind w:right="140"/>
        <w:jc w:val="both"/>
        <w:textAlignment w:val="auto"/>
      </w:pPr>
      <w:r>
        <w:rPr>
          <w:rFonts w:ascii="Arial" w:hAnsi="Arial" w:cs="Arial"/>
          <w:b/>
          <w:color w:val="000000"/>
          <w:sz w:val="21"/>
          <w:szCs w:val="21"/>
        </w:rPr>
        <w:t>（二）估价方法</w:t>
      </w:r>
      <w:r>
        <w:rPr>
          <w:rFonts w:ascii="Arial" w:eastAsia="Arial" w:hAnsi="Arial" w:cs="Arial"/>
          <w:b/>
          <w:color w:val="000000"/>
          <w:sz w:val="21"/>
          <w:szCs w:val="21"/>
        </w:rPr>
        <w:t xml:space="preserve"> </w:t>
      </w:r>
    </w:p>
    <w:p w14:paraId="2D8CE98D"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11E89653"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采用比较法的理由：</w:t>
      </w:r>
    </w:p>
    <w:p w14:paraId="22DBA84C"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eastAsia="Arial" w:hAnsi="Arial" w:cs="Arial"/>
          <w:color w:val="000000"/>
          <w:sz w:val="21"/>
          <w:szCs w:val="21"/>
        </w:rPr>
        <w:t xml:space="preserve"> </w:t>
      </w:r>
      <w:r>
        <w:rPr>
          <w:rFonts w:ascii="Arial" w:hAnsi="Arial" w:cs="Arial"/>
          <w:color w:val="000000"/>
          <w:sz w:val="21"/>
          <w:szCs w:val="21"/>
        </w:rPr>
        <w:t>同时，通过区域因素修正得出估价对象相邻或相似区域住宅租赁价格水平。</w:t>
      </w:r>
    </w:p>
    <w:p w14:paraId="5FD443A6"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不采用成本法、假设开发法、收益法的理由：</w:t>
      </w:r>
    </w:p>
    <w:p w14:paraId="6D34218D" w14:textId="77777777" w:rsidR="00771ECA" w:rsidRDefault="00000000">
      <w:pPr>
        <w:pStyle w:val="LO-Normal"/>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03F80DCB" w14:textId="77777777" w:rsidR="00771ECA" w:rsidRDefault="00000000">
      <w:pPr>
        <w:pStyle w:val="LO-Normal"/>
        <w:overflowPunct w:val="0"/>
        <w:autoSpaceDE w:val="0"/>
        <w:spacing w:line="480" w:lineRule="auto"/>
        <w:ind w:right="140" w:firstLine="420"/>
        <w:jc w:val="both"/>
        <w:textAlignment w:val="auto"/>
      </w:pPr>
      <w:r>
        <w:rPr>
          <w:rFonts w:cs="Arial"/>
          <w:sz w:val="21"/>
          <w:szCs w:val="21"/>
        </w:rPr>
        <w:t>（2）假设开发法可评估房地产市场价值，但不适于租赁价格的评估。</w:t>
      </w:r>
    </w:p>
    <w:p w14:paraId="5E35EA0E" w14:textId="77777777" w:rsidR="00771ECA" w:rsidRDefault="00000000">
      <w:pPr>
        <w:pStyle w:val="LO-Normal"/>
        <w:overflowPunct w:val="0"/>
        <w:autoSpaceDE w:val="0"/>
        <w:spacing w:line="480" w:lineRule="auto"/>
        <w:ind w:right="140" w:firstLine="420"/>
        <w:jc w:val="both"/>
        <w:textAlignment w:val="auto"/>
      </w:pPr>
      <w:r>
        <w:rPr>
          <w:rFonts w:cs="Arial"/>
          <w:sz w:val="21"/>
          <w:szCs w:val="21"/>
        </w:rPr>
        <w:t>（3）</w:t>
      </w:r>
      <w:r>
        <w:rPr>
          <w:rFonts w:ascii="Arial" w:hAnsi="Arial" w:cs="Arial"/>
          <w:sz w:val="21"/>
          <w:szCs w:val="21"/>
        </w:rPr>
        <w:t>收益法适用于有现实收益或潜在收益的土地或房地产估价。估价对象用途</w:t>
      </w:r>
      <w:r>
        <w:rPr>
          <w:rFonts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eastAsia="Arial" w:hAnsi="Arial" w:cs="Arial"/>
          <w:sz w:val="21"/>
          <w:szCs w:val="21"/>
        </w:rPr>
        <w:t xml:space="preserve"> </w:t>
      </w:r>
    </w:p>
    <w:p w14:paraId="5560F599" w14:textId="77777777" w:rsidR="00771ECA" w:rsidRDefault="00771ECA">
      <w:pPr>
        <w:pStyle w:val="LO-Normal"/>
        <w:overflowPunct w:val="0"/>
        <w:autoSpaceDE w:val="0"/>
        <w:spacing w:line="480" w:lineRule="auto"/>
        <w:ind w:right="140" w:firstLine="420"/>
        <w:jc w:val="both"/>
        <w:textAlignment w:val="auto"/>
        <w:rPr>
          <w:rFonts w:ascii="Arial" w:hAnsi="Arial" w:cs="Arial"/>
          <w:sz w:val="21"/>
          <w:szCs w:val="21"/>
        </w:rPr>
      </w:pPr>
    </w:p>
    <w:p w14:paraId="03BAD89C"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26" w:name="__RefHeading___Toc525655427"/>
      <w:bookmarkEnd w:id="26"/>
      <w:r>
        <w:rPr>
          <w:rFonts w:eastAsia="宋体;SimSun"/>
          <w:kern w:val="2"/>
          <w:sz w:val="21"/>
          <w:szCs w:val="21"/>
        </w:rPr>
        <w:t>十、估价结果</w:t>
      </w:r>
    </w:p>
    <w:p w14:paraId="32148CF9"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w:t>
      </w:r>
      <w:r>
        <w:rPr>
          <w:rFonts w:ascii="Arial" w:hAnsi="Arial" w:cs="Arial"/>
          <w:sz w:val="21"/>
          <w:szCs w:val="21"/>
        </w:rPr>
        <w:lastRenderedPageBreak/>
        <w:t>象同地块、同类型普通住宅房地产于价值时点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月）平均市场租金水平为：</w:t>
      </w:r>
      <w:r>
        <w:rPr>
          <w:rFonts w:ascii="Arial" w:eastAsia="Arial" w:hAnsi="Arial" w:cs="Arial"/>
          <w:sz w:val="21"/>
          <w:szCs w:val="21"/>
        </w:rPr>
        <w:t xml:space="preserve"> </w:t>
      </w:r>
    </w:p>
    <w:p w14:paraId="5970FE0D" w14:textId="77777777" w:rsidR="00771ECA" w:rsidRDefault="00000000">
      <w:pPr>
        <w:overflowPunct w:val="0"/>
        <w:spacing w:line="480" w:lineRule="auto"/>
        <w:ind w:firstLine="420"/>
        <w:textAlignment w:val="auto"/>
      </w:pPr>
      <w:r>
        <w:rPr>
          <w:rFonts w:ascii="Arial" w:eastAsia="Arial" w:hAnsi="Arial" w:cs="Arial"/>
          <w:b/>
          <w:bCs/>
          <w:sz w:val="21"/>
          <w:szCs w:val="21"/>
        </w:rPr>
        <w:t xml:space="preserve"> </w:t>
      </w:r>
      <w:r>
        <w:rPr>
          <w:rFonts w:ascii="Arial" w:hAnsi="Arial" w:cs="Arial"/>
          <w:b/>
          <w:bCs/>
          <w:sz w:val="21"/>
          <w:szCs w:val="21"/>
        </w:rPr>
        <w:t>亦城景园：</w:t>
      </w:r>
      <w:r>
        <w:rPr>
          <w:rFonts w:ascii="Arial" w:hAnsi="Arial" w:cs="Arial"/>
          <w:b/>
          <w:bCs/>
          <w:sz w:val="21"/>
          <w:szCs w:val="21"/>
        </w:rPr>
        <w:t>79</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月（货币种类：人民币）</w:t>
      </w:r>
    </w:p>
    <w:p w14:paraId="5ECF3181" w14:textId="77777777" w:rsidR="00771ECA" w:rsidRDefault="00000000">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14:paraId="4DAB1A92" w14:textId="77777777" w:rsidR="00771ECA" w:rsidRDefault="00000000">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14:paraId="382744C8" w14:textId="77777777" w:rsidR="00771ECA" w:rsidRDefault="00000000">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14:paraId="55867C27" w14:textId="77777777" w:rsidR="00771ECA" w:rsidRDefault="00000000">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、估价结果包括地租、房屋折旧、设备折旧、维修费、保险费、物业费、供暖费、管理费、利息、利润、家具、家电租赁费及租赁税费等；不含水电费、天然气费、通信费、有线电视费、上网宽带费等。</w:t>
      </w:r>
    </w:p>
    <w:p w14:paraId="2355D9A8" w14:textId="77777777" w:rsidR="00771ECA" w:rsidRDefault="00771ECA">
      <w:pPr>
        <w:overflowPunct w:val="0"/>
        <w:spacing w:line="480" w:lineRule="auto"/>
        <w:ind w:left="707" w:hanging="347"/>
        <w:jc w:val="both"/>
        <w:textAlignment w:val="auto"/>
        <w:rPr>
          <w:rFonts w:ascii="Arial" w:hAnsi="Arial" w:cs="Arial"/>
          <w:sz w:val="18"/>
          <w:szCs w:val="18"/>
        </w:rPr>
      </w:pPr>
    </w:p>
    <w:p w14:paraId="2F8BD4AE" w14:textId="77777777" w:rsidR="00771ECA" w:rsidRDefault="00000000">
      <w:pPr>
        <w:pStyle w:val="2"/>
        <w:numPr>
          <w:ilvl w:val="0"/>
          <w:numId w:val="0"/>
        </w:numPr>
        <w:tabs>
          <w:tab w:val="left" w:pos="360"/>
        </w:tabs>
        <w:overflowPunct w:val="0"/>
        <w:spacing w:line="480" w:lineRule="auto"/>
        <w:jc w:val="both"/>
        <w:textAlignment w:val="auto"/>
      </w:pPr>
      <w:bookmarkStart w:id="27" w:name="__RefHeading___Toc525655428"/>
      <w:bookmarkEnd w:id="27"/>
      <w:r>
        <w:rPr>
          <w:rFonts w:eastAsia="宋体;SimSun"/>
          <w:kern w:val="2"/>
          <w:sz w:val="21"/>
          <w:szCs w:val="21"/>
        </w:rPr>
        <w:t>十一、参与本次估价工作的评估专业</w:t>
      </w:r>
      <w:r>
        <w:t>人员</w:t>
      </w:r>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771ECA" w14:paraId="77F11C75"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shd w:val="clear" w:color="auto" w:fill="auto"/>
            <w:vAlign w:val="center"/>
          </w:tcPr>
          <w:p w14:paraId="226AD81A" w14:textId="77777777" w:rsidR="00771ECA" w:rsidRDefault="00000000">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771ECA" w14:paraId="582898F9" w14:textId="77777777">
        <w:trPr>
          <w:cantSplit/>
          <w:trHeight w:hRule="exact" w:val="454"/>
          <w:jc w:val="center"/>
        </w:trPr>
        <w:tc>
          <w:tcPr>
            <w:tcW w:w="1746" w:type="dxa"/>
            <w:tcBorders>
              <w:top w:val="single" w:sz="2" w:space="0" w:color="404040"/>
              <w:left w:val="single" w:sz="2" w:space="0" w:color="404040"/>
              <w:bottom w:val="single" w:sz="2" w:space="0" w:color="404040"/>
            </w:tcBorders>
            <w:shd w:val="clear" w:color="auto" w:fill="auto"/>
            <w:vAlign w:val="center"/>
          </w:tcPr>
          <w:p w14:paraId="77DDAB7D" w14:textId="77777777" w:rsidR="00771ECA" w:rsidRDefault="00000000">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shd w:val="clear" w:color="auto" w:fill="auto"/>
            <w:vAlign w:val="center"/>
          </w:tcPr>
          <w:p w14:paraId="0E08C556"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shd w:val="clear" w:color="auto" w:fill="auto"/>
            <w:vAlign w:val="center"/>
          </w:tcPr>
          <w:p w14:paraId="01872F84"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A368211"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771ECA" w14:paraId="77C72EF5" w14:textId="77777777">
        <w:trPr>
          <w:cantSplit/>
          <w:trHeight w:hRule="exact" w:val="1134"/>
          <w:jc w:val="center"/>
        </w:trPr>
        <w:tc>
          <w:tcPr>
            <w:tcW w:w="1746" w:type="dxa"/>
            <w:tcBorders>
              <w:top w:val="single" w:sz="2" w:space="0" w:color="404040"/>
              <w:left w:val="single" w:sz="2" w:space="0" w:color="404040"/>
              <w:bottom w:val="single" w:sz="2" w:space="0" w:color="404040"/>
            </w:tcBorders>
            <w:shd w:val="clear" w:color="auto" w:fill="auto"/>
            <w:vAlign w:val="center"/>
          </w:tcPr>
          <w:p w14:paraId="288162BF"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shd w:val="clear" w:color="auto" w:fill="auto"/>
            <w:vAlign w:val="center"/>
          </w:tcPr>
          <w:p w14:paraId="06B60E82"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shd w:val="clear" w:color="auto" w:fill="auto"/>
            <w:vAlign w:val="center"/>
          </w:tcPr>
          <w:p w14:paraId="115751E5" w14:textId="77777777" w:rsidR="00771ECA" w:rsidRDefault="00771ECA">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DED684D" w14:textId="77777777" w:rsidR="00771ECA" w:rsidRDefault="00000000">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771ECA" w14:paraId="7D133EA2" w14:textId="77777777">
        <w:trPr>
          <w:cantSplit/>
          <w:trHeight w:hRule="exact" w:val="1134"/>
          <w:jc w:val="center"/>
        </w:trPr>
        <w:tc>
          <w:tcPr>
            <w:tcW w:w="1746" w:type="dxa"/>
            <w:tcBorders>
              <w:top w:val="single" w:sz="2" w:space="0" w:color="404040"/>
              <w:left w:val="single" w:sz="2" w:space="0" w:color="404040"/>
              <w:bottom w:val="single" w:sz="2" w:space="0" w:color="404040"/>
            </w:tcBorders>
            <w:shd w:val="clear" w:color="auto" w:fill="auto"/>
            <w:vAlign w:val="center"/>
          </w:tcPr>
          <w:p w14:paraId="2F6156CE"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shd w:val="clear" w:color="auto" w:fill="auto"/>
            <w:vAlign w:val="center"/>
          </w:tcPr>
          <w:p w14:paraId="444BE298" w14:textId="77777777" w:rsidR="00771ECA" w:rsidRDefault="00000000">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shd w:val="clear" w:color="auto" w:fill="auto"/>
            <w:vAlign w:val="center"/>
          </w:tcPr>
          <w:p w14:paraId="2E40BF2E" w14:textId="77777777" w:rsidR="00771ECA" w:rsidRDefault="00771ECA">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04F31903" w14:textId="77777777" w:rsidR="00771ECA" w:rsidRDefault="00000000">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771ECA" w14:paraId="2C5E5451"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shd w:val="clear" w:color="auto" w:fill="auto"/>
            <w:vAlign w:val="center"/>
          </w:tcPr>
          <w:p w14:paraId="6656D60B" w14:textId="77777777" w:rsidR="00771ECA" w:rsidRDefault="00000000">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771ECA" w14:paraId="5B4EC40D" w14:textId="77777777">
        <w:trPr>
          <w:cantSplit/>
          <w:trHeight w:hRule="exact" w:val="454"/>
          <w:jc w:val="center"/>
        </w:trPr>
        <w:tc>
          <w:tcPr>
            <w:tcW w:w="1746" w:type="dxa"/>
            <w:tcBorders>
              <w:top w:val="single" w:sz="2" w:space="0" w:color="404040"/>
              <w:left w:val="single" w:sz="2" w:space="0" w:color="404040"/>
              <w:bottom w:val="single" w:sz="2" w:space="0" w:color="404040"/>
            </w:tcBorders>
            <w:shd w:val="clear" w:color="auto" w:fill="auto"/>
            <w:vAlign w:val="center"/>
          </w:tcPr>
          <w:p w14:paraId="39D5659E" w14:textId="77777777" w:rsidR="00771ECA" w:rsidRDefault="00000000">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shd w:val="clear" w:color="auto" w:fill="auto"/>
            <w:vAlign w:val="center"/>
          </w:tcPr>
          <w:p w14:paraId="4AA82F19"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shd w:val="clear" w:color="auto" w:fill="auto"/>
            <w:vAlign w:val="center"/>
          </w:tcPr>
          <w:p w14:paraId="31239D9C"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E62471C"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771ECA" w14:paraId="25391774" w14:textId="77777777">
        <w:trPr>
          <w:cantSplit/>
          <w:trHeight w:hRule="exact" w:val="1134"/>
          <w:jc w:val="center"/>
        </w:trPr>
        <w:tc>
          <w:tcPr>
            <w:tcW w:w="1746" w:type="dxa"/>
            <w:tcBorders>
              <w:top w:val="single" w:sz="2" w:space="0" w:color="404040"/>
              <w:left w:val="single" w:sz="2" w:space="0" w:color="404040"/>
              <w:bottom w:val="single" w:sz="2" w:space="0" w:color="404040"/>
            </w:tcBorders>
            <w:shd w:val="clear" w:color="auto" w:fill="auto"/>
            <w:vAlign w:val="center"/>
          </w:tcPr>
          <w:p w14:paraId="77C4207A" w14:textId="77777777" w:rsidR="00771ECA" w:rsidRDefault="00000000">
            <w:pPr>
              <w:tabs>
                <w:tab w:val="left" w:pos="5160"/>
              </w:tabs>
              <w:overflowPunct w:val="0"/>
              <w:spacing w:line="240" w:lineRule="auto"/>
            </w:pPr>
            <w:r>
              <w:rPr>
                <w:rFonts w:ascii="Arial" w:hAnsi="Arial" w:cs="Arial"/>
                <w:color w:val="000000"/>
                <w:sz w:val="21"/>
                <w:szCs w:val="21"/>
              </w:rPr>
              <w:t>黄</w:t>
            </w:r>
            <w:r>
              <w:rPr>
                <w:rFonts w:ascii="Arial" w:eastAsia="Arial" w:hAnsi="Arial" w:cs="Arial"/>
                <w:color w:val="000000"/>
                <w:sz w:val="21"/>
                <w:szCs w:val="21"/>
              </w:rPr>
              <w:t xml:space="preserve">  </w:t>
            </w:r>
            <w:r>
              <w:rPr>
                <w:rFonts w:ascii="Arial" w:hAnsi="Arial" w:cs="Arial"/>
                <w:color w:val="000000"/>
                <w:sz w:val="21"/>
                <w:szCs w:val="21"/>
              </w:rPr>
              <w:t>英</w:t>
            </w:r>
          </w:p>
        </w:tc>
        <w:tc>
          <w:tcPr>
            <w:tcW w:w="2197" w:type="dxa"/>
            <w:tcBorders>
              <w:top w:val="single" w:sz="2" w:space="0" w:color="404040"/>
              <w:left w:val="single" w:sz="2" w:space="0" w:color="404040"/>
              <w:bottom w:val="single" w:sz="2" w:space="0" w:color="404040"/>
            </w:tcBorders>
            <w:shd w:val="clear" w:color="auto" w:fill="auto"/>
            <w:vAlign w:val="center"/>
          </w:tcPr>
          <w:p w14:paraId="3A1EEEE4" w14:textId="77777777" w:rsidR="00771ECA" w:rsidRDefault="00000000">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shd w:val="clear" w:color="auto" w:fill="auto"/>
            <w:vAlign w:val="center"/>
          </w:tcPr>
          <w:p w14:paraId="4FBF835C" w14:textId="77777777" w:rsidR="00771ECA" w:rsidRDefault="00771ECA">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011F34CC" w14:textId="77777777" w:rsidR="00771ECA" w:rsidRDefault="00000000">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1A459077" w14:textId="77777777" w:rsidR="00771ECA" w:rsidRDefault="00771ECA">
      <w:pPr>
        <w:overflowPunct w:val="0"/>
        <w:spacing w:line="480" w:lineRule="auto"/>
        <w:jc w:val="both"/>
        <w:textAlignment w:val="auto"/>
        <w:rPr>
          <w:rFonts w:ascii="Arial" w:hAnsi="Arial" w:cs="Arial"/>
          <w:kern w:val="2"/>
          <w:sz w:val="21"/>
          <w:szCs w:val="21"/>
        </w:rPr>
      </w:pPr>
    </w:p>
    <w:p w14:paraId="79C3E39B" w14:textId="77777777" w:rsidR="00771ECA" w:rsidRDefault="00000000">
      <w:pPr>
        <w:pStyle w:val="2"/>
        <w:numPr>
          <w:ilvl w:val="0"/>
          <w:numId w:val="0"/>
        </w:numPr>
        <w:tabs>
          <w:tab w:val="left" w:pos="360"/>
        </w:tabs>
        <w:overflowPunct w:val="0"/>
        <w:spacing w:line="480" w:lineRule="auto"/>
        <w:jc w:val="both"/>
        <w:textAlignment w:val="auto"/>
        <w:rPr>
          <w:rFonts w:eastAsia="宋体;SimSun"/>
          <w:kern w:val="2"/>
          <w:sz w:val="21"/>
          <w:szCs w:val="21"/>
        </w:rPr>
      </w:pPr>
      <w:bookmarkStart w:id="28" w:name="__RefHeading___Toc525655429"/>
      <w:bookmarkEnd w:id="28"/>
      <w:r>
        <w:rPr>
          <w:rFonts w:eastAsia="宋体;SimSun"/>
          <w:kern w:val="2"/>
          <w:sz w:val="21"/>
          <w:szCs w:val="21"/>
        </w:rPr>
        <w:t>十二、实地查勘期</w:t>
      </w:r>
    </w:p>
    <w:p w14:paraId="6AFFA69B"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15</w:t>
      </w:r>
      <w:r>
        <w:rPr>
          <w:rFonts w:ascii="Arial" w:hAnsi="Arial" w:cs="Arial"/>
          <w:sz w:val="21"/>
          <w:szCs w:val="21"/>
        </w:rPr>
        <w:t>日</w:t>
      </w:r>
    </w:p>
    <w:p w14:paraId="6CA7831D" w14:textId="77777777" w:rsidR="00771ECA" w:rsidRDefault="00771ECA">
      <w:pPr>
        <w:overflowPunct w:val="0"/>
        <w:spacing w:line="480" w:lineRule="auto"/>
        <w:jc w:val="both"/>
        <w:textAlignment w:val="auto"/>
        <w:rPr>
          <w:rFonts w:ascii="Arial" w:hAnsi="Arial" w:cs="Arial"/>
          <w:kern w:val="2"/>
          <w:sz w:val="21"/>
          <w:szCs w:val="21"/>
        </w:rPr>
      </w:pPr>
    </w:p>
    <w:p w14:paraId="715DE4A5" w14:textId="77777777" w:rsidR="00771ECA" w:rsidRDefault="00000000">
      <w:pPr>
        <w:pStyle w:val="2"/>
        <w:numPr>
          <w:ilvl w:val="0"/>
          <w:numId w:val="0"/>
        </w:numPr>
        <w:tabs>
          <w:tab w:val="left" w:pos="360"/>
        </w:tabs>
        <w:overflowPunct w:val="0"/>
        <w:spacing w:line="480" w:lineRule="auto"/>
        <w:jc w:val="both"/>
        <w:textAlignment w:val="auto"/>
        <w:rPr>
          <w:rFonts w:eastAsia="宋体;SimSun"/>
          <w:kern w:val="2"/>
          <w:sz w:val="21"/>
          <w:szCs w:val="21"/>
        </w:rPr>
      </w:pPr>
      <w:bookmarkStart w:id="29" w:name="__RefHeading___Toc525655430"/>
      <w:r>
        <w:rPr>
          <w:rFonts w:eastAsia="宋体;SimSun"/>
          <w:kern w:val="2"/>
          <w:sz w:val="21"/>
          <w:szCs w:val="21"/>
        </w:rPr>
        <w:lastRenderedPageBreak/>
        <w:t>十三、估价作业期</w:t>
      </w:r>
      <w:bookmarkEnd w:id="29"/>
      <w:r>
        <w:rPr>
          <w:rFonts w:eastAsia="Arial"/>
          <w:kern w:val="2"/>
          <w:sz w:val="21"/>
          <w:szCs w:val="21"/>
        </w:rPr>
        <w:t xml:space="preserve">  </w:t>
      </w:r>
    </w:p>
    <w:p w14:paraId="3A198A8C" w14:textId="77777777" w:rsidR="00771ECA" w:rsidRDefault="00000000">
      <w:pPr>
        <w:overflowPunct w:val="0"/>
        <w:spacing w:line="480" w:lineRule="auto"/>
        <w:ind w:firstLine="420"/>
        <w:jc w:val="both"/>
        <w:textAlignment w:val="auto"/>
        <w:rPr>
          <w:rFonts w:ascii="Arial" w:hAnsi="Arial" w:cs="Arial"/>
          <w:color w:val="E36C0A"/>
          <w:sz w:val="21"/>
          <w:szCs w:val="21"/>
        </w:rPr>
        <w:sectPr w:rsidR="00771ECA">
          <w:headerReference w:type="default" r:id="rId27"/>
          <w:footerReference w:type="default" r:id="rId28"/>
          <w:pgSz w:w="11906" w:h="16838"/>
          <w:pgMar w:top="1843" w:right="1134" w:bottom="1134" w:left="1474" w:header="1134" w:footer="907" w:gutter="0"/>
          <w:cols w:space="720"/>
          <w:formProt w:val="0"/>
          <w:docGrid w:linePitch="326"/>
        </w:sectPr>
      </w:pP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15</w:t>
      </w:r>
      <w:r>
        <w:rPr>
          <w:rFonts w:ascii="Arial" w:hAnsi="Arial" w:cs="Arial"/>
          <w:sz w:val="21"/>
          <w:szCs w:val="21"/>
        </w:rPr>
        <w:t>日至</w:t>
      </w:r>
      <w:r>
        <w:rPr>
          <w:rFonts w:ascii="Arial" w:hAnsi="Arial" w:cs="Arial"/>
          <w:sz w:val="21"/>
          <w:szCs w:val="21"/>
        </w:rPr>
        <w:t>2024</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4</w:t>
      </w:r>
      <w:r>
        <w:rPr>
          <w:rFonts w:ascii="Arial" w:hAnsi="Arial" w:cs="Arial"/>
          <w:sz w:val="21"/>
          <w:szCs w:val="21"/>
        </w:rPr>
        <w:t>日</w:t>
      </w:r>
    </w:p>
    <w:p w14:paraId="00E4F966" w14:textId="77777777" w:rsidR="00771ECA" w:rsidRDefault="00000000">
      <w:pPr>
        <w:pStyle w:val="1"/>
        <w:spacing w:line="480" w:lineRule="auto"/>
        <w:jc w:val="center"/>
        <w:rPr>
          <w:rFonts w:eastAsia="方正黑体简体"/>
          <w:b w:val="0"/>
          <w:kern w:val="2"/>
          <w:sz w:val="32"/>
          <w:szCs w:val="32"/>
        </w:rPr>
      </w:pPr>
      <w:bookmarkStart w:id="30" w:name="__RefHeading___Toc525655431"/>
      <w:bookmarkEnd w:id="30"/>
      <w:r>
        <w:rPr>
          <w:rFonts w:eastAsia="方正黑体简体"/>
          <w:b w:val="0"/>
          <w:kern w:val="2"/>
          <w:sz w:val="32"/>
          <w:szCs w:val="32"/>
        </w:rPr>
        <w:lastRenderedPageBreak/>
        <w:t>估价技术报告</w:t>
      </w:r>
    </w:p>
    <w:p w14:paraId="6B407E0B" w14:textId="77777777" w:rsidR="00771ECA" w:rsidRDefault="00000000">
      <w:pPr>
        <w:pStyle w:val="2"/>
        <w:numPr>
          <w:ilvl w:val="0"/>
          <w:numId w:val="0"/>
        </w:numPr>
        <w:tabs>
          <w:tab w:val="left" w:pos="360"/>
        </w:tabs>
        <w:spacing w:line="480" w:lineRule="auto"/>
        <w:ind w:left="357" w:hanging="357"/>
        <w:jc w:val="both"/>
      </w:pPr>
      <w:bookmarkStart w:id="31" w:name="__RefHeading___Toc525655432"/>
      <w:bookmarkEnd w:id="31"/>
      <w:r>
        <w:rPr>
          <w:rFonts w:eastAsia="宋体;SimSun"/>
          <w:kern w:val="2"/>
          <w:sz w:val="21"/>
          <w:szCs w:val="21"/>
        </w:rPr>
        <w:t>一、估价对象描述与分析</w:t>
      </w:r>
    </w:p>
    <w:p w14:paraId="24304A7C" w14:textId="77777777" w:rsidR="00771ECA" w:rsidRDefault="00000000">
      <w:pPr>
        <w:pStyle w:val="2"/>
        <w:numPr>
          <w:ilvl w:val="0"/>
          <w:numId w:val="0"/>
        </w:numPr>
        <w:tabs>
          <w:tab w:val="left" w:pos="360"/>
        </w:tabs>
        <w:spacing w:line="480" w:lineRule="auto"/>
        <w:ind w:left="359" w:hanging="359"/>
        <w:jc w:val="both"/>
      </w:pPr>
      <w:bookmarkStart w:id="32" w:name="__RefHeading___Toc525655433"/>
      <w:bookmarkEnd w:id="32"/>
      <w:r>
        <w:rPr>
          <w:rFonts w:eastAsia="宋体;SimSun"/>
          <w:kern w:val="2"/>
          <w:sz w:val="21"/>
          <w:szCs w:val="21"/>
        </w:rPr>
        <w:t>（一）区位状况分析</w:t>
      </w:r>
    </w:p>
    <w:p w14:paraId="6BA63802" w14:textId="77777777" w:rsidR="00771ECA" w:rsidRDefault="00000000">
      <w:pPr>
        <w:spacing w:line="480" w:lineRule="auto"/>
        <w:ind w:firstLine="420"/>
        <w:jc w:val="both"/>
      </w:pPr>
      <w:r>
        <w:rPr>
          <w:rFonts w:ascii="Arial" w:hAnsi="Arial" w:cs="Arial"/>
          <w:sz w:val="21"/>
          <w:szCs w:val="21"/>
        </w:rPr>
        <w:t>1.</w:t>
      </w:r>
      <w:r>
        <w:rPr>
          <w:rFonts w:ascii="Arial" w:hAnsi="Arial" w:cs="Arial"/>
          <w:sz w:val="21"/>
          <w:szCs w:val="21"/>
        </w:rPr>
        <w:t>位置状况</w:t>
      </w:r>
      <w:r>
        <w:rPr>
          <w:rFonts w:ascii="Arial" w:eastAsia="Arial" w:hAnsi="Arial" w:cs="Arial"/>
          <w:sz w:val="21"/>
          <w:szCs w:val="21"/>
        </w:rPr>
        <w:t xml:space="preserve">  </w:t>
      </w:r>
      <w:r>
        <w:rPr>
          <w:rFonts w:ascii="Arial" w:eastAsia="Arial" w:hAnsi="Arial" w:cs="Arial"/>
          <w:kern w:val="2"/>
          <w:sz w:val="21"/>
          <w:szCs w:val="21"/>
        </w:rPr>
        <w:t xml:space="preserve">  </w:t>
      </w:r>
    </w:p>
    <w:p w14:paraId="62BF9112"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估价对象位于北京经济技术开发区科创十一街</w:t>
      </w:r>
      <w:r>
        <w:rPr>
          <w:rFonts w:ascii="Arial" w:hAnsi="Arial" w:cs="Arial"/>
          <w:kern w:val="2"/>
          <w:sz w:val="21"/>
          <w:szCs w:val="21"/>
        </w:rPr>
        <w:t>4</w:t>
      </w:r>
      <w:r>
        <w:rPr>
          <w:rFonts w:ascii="Arial" w:hAnsi="Arial" w:cs="Arial"/>
          <w:kern w:val="2"/>
          <w:sz w:val="21"/>
          <w:szCs w:val="21"/>
        </w:rPr>
        <w:t>号院，其所属项目北侧邻科创十一街，土地级别属于北京市基准地价居住类六级，</w:t>
      </w:r>
      <w:r>
        <w:rPr>
          <w:rFonts w:ascii="Arial" w:hAnsi="Arial" w:cs="Arial"/>
          <w:kern w:val="2"/>
          <w:sz w:val="21"/>
          <w:szCs w:val="21"/>
        </w:rPr>
        <w:t>VI-</w:t>
      </w:r>
      <w:r>
        <w:rPr>
          <w:rFonts w:ascii="Arial" w:hAnsi="Arial" w:cs="Arial"/>
          <w:kern w:val="2"/>
          <w:sz w:val="21"/>
          <w:szCs w:val="21"/>
        </w:rPr>
        <w:t>亦</w:t>
      </w:r>
      <w:r>
        <w:rPr>
          <w:rFonts w:ascii="Arial" w:hAnsi="Arial" w:cs="Arial"/>
          <w:kern w:val="2"/>
          <w:sz w:val="21"/>
          <w:szCs w:val="21"/>
        </w:rPr>
        <w:t>4</w:t>
      </w:r>
      <w:r>
        <w:rPr>
          <w:rFonts w:ascii="Arial" w:hAnsi="Arial" w:cs="Arial"/>
          <w:kern w:val="2"/>
          <w:sz w:val="21"/>
          <w:szCs w:val="21"/>
        </w:rPr>
        <w:t>区片，地理位置状况较好。</w:t>
      </w:r>
    </w:p>
    <w:p w14:paraId="6A2D528D" w14:textId="77777777" w:rsidR="00771ECA" w:rsidRDefault="00000000">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67C4E474"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周边有禧瑞天著、次渠家园、玉江佳园、定海园等居住小区，居住小区规模较大，入住率较高，综合评价居住社区成熟度较好</w:t>
      </w:r>
      <w:r>
        <w:rPr>
          <w:rFonts w:ascii="Arial" w:hAnsi="Arial" w:cs="Arial"/>
          <w:kern w:val="2"/>
          <w:sz w:val="21"/>
          <w:szCs w:val="21"/>
        </w:rPr>
        <w:t>。</w:t>
      </w:r>
    </w:p>
    <w:p w14:paraId="077D324D"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t>3.</w:t>
      </w:r>
      <w:r>
        <w:rPr>
          <w:rFonts w:ascii="Arial" w:hAnsi="Arial" w:cs="Arial"/>
          <w:sz w:val="21"/>
          <w:szCs w:val="21"/>
        </w:rPr>
        <w:t>交通状况</w:t>
      </w:r>
    </w:p>
    <w:p w14:paraId="68FF669F"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估价对象所属项目紧邻城市次干道</w:t>
      </w:r>
      <w:r>
        <w:rPr>
          <w:rFonts w:ascii="Arial" w:hAnsi="Arial" w:cs="Arial"/>
          <w:kern w:val="2"/>
          <w:sz w:val="21"/>
          <w:szCs w:val="21"/>
        </w:rPr>
        <w:t>——</w:t>
      </w:r>
      <w:r>
        <w:rPr>
          <w:rFonts w:ascii="Arial" w:hAnsi="Arial" w:cs="Arial"/>
          <w:kern w:val="2"/>
          <w:sz w:val="21"/>
          <w:szCs w:val="21"/>
        </w:rPr>
        <w:t>经海六路，附近有公交车站亦城景园、经海七路南口等，停靠线路有通</w:t>
      </w:r>
      <w:r>
        <w:rPr>
          <w:rFonts w:ascii="Arial" w:hAnsi="Arial" w:cs="Arial"/>
          <w:kern w:val="2"/>
          <w:sz w:val="21"/>
          <w:szCs w:val="21"/>
        </w:rPr>
        <w:t>68</w:t>
      </w:r>
      <w:r>
        <w:rPr>
          <w:rFonts w:ascii="Arial" w:hAnsi="Arial" w:cs="Arial"/>
          <w:kern w:val="2"/>
          <w:sz w:val="21"/>
          <w:szCs w:val="21"/>
        </w:rPr>
        <w:t>路、专</w:t>
      </w:r>
      <w:r>
        <w:rPr>
          <w:rFonts w:ascii="Arial" w:hAnsi="Arial" w:cs="Arial"/>
          <w:kern w:val="2"/>
          <w:sz w:val="21"/>
          <w:szCs w:val="21"/>
        </w:rPr>
        <w:t>159</w:t>
      </w:r>
      <w:r>
        <w:rPr>
          <w:rFonts w:ascii="Arial" w:hAnsi="Arial" w:cs="Arial"/>
          <w:kern w:val="2"/>
          <w:sz w:val="21"/>
          <w:szCs w:val="21"/>
        </w:rPr>
        <w:t>路、专</w:t>
      </w:r>
      <w:r>
        <w:rPr>
          <w:rFonts w:ascii="Arial" w:hAnsi="Arial" w:cs="Arial"/>
          <w:kern w:val="2"/>
          <w:sz w:val="21"/>
          <w:szCs w:val="21"/>
        </w:rPr>
        <w:t>184</w:t>
      </w:r>
      <w:r>
        <w:rPr>
          <w:rFonts w:ascii="Arial" w:hAnsi="Arial" w:cs="Arial"/>
          <w:kern w:val="2"/>
          <w:sz w:val="21"/>
          <w:szCs w:val="21"/>
        </w:rPr>
        <w:t>路、专</w:t>
      </w:r>
      <w:r>
        <w:rPr>
          <w:rFonts w:ascii="Arial" w:hAnsi="Arial" w:cs="Arial"/>
          <w:kern w:val="2"/>
          <w:sz w:val="21"/>
          <w:szCs w:val="21"/>
        </w:rPr>
        <w:t>232</w:t>
      </w:r>
      <w:r>
        <w:rPr>
          <w:rFonts w:ascii="Arial" w:hAnsi="Arial" w:cs="Arial"/>
          <w:kern w:val="2"/>
          <w:sz w:val="21"/>
          <w:szCs w:val="21"/>
        </w:rPr>
        <w:t>路、</w:t>
      </w:r>
      <w:r>
        <w:rPr>
          <w:rFonts w:ascii="Arial" w:hAnsi="Arial" w:cs="Arial"/>
          <w:kern w:val="2"/>
          <w:sz w:val="21"/>
          <w:szCs w:val="21"/>
        </w:rPr>
        <w:t>523</w:t>
      </w:r>
      <w:r>
        <w:rPr>
          <w:rFonts w:ascii="Arial" w:hAnsi="Arial" w:cs="Arial"/>
          <w:kern w:val="2"/>
          <w:sz w:val="21"/>
          <w:szCs w:val="21"/>
        </w:rPr>
        <w:t>路等多条线路及亦庄新城现代有轨电车</w:t>
      </w:r>
      <w:r>
        <w:rPr>
          <w:rFonts w:ascii="Arial" w:hAnsi="Arial" w:cs="Arial"/>
          <w:kern w:val="2"/>
          <w:sz w:val="21"/>
          <w:szCs w:val="21"/>
        </w:rPr>
        <w:t>T1</w:t>
      </w:r>
      <w:r>
        <w:rPr>
          <w:rFonts w:ascii="Arial" w:hAnsi="Arial" w:cs="Arial"/>
          <w:kern w:val="2"/>
          <w:sz w:val="21"/>
          <w:szCs w:val="21"/>
        </w:rPr>
        <w:t>线，周边段道路情况良好，道路通达度较好，综合评价交通便捷度较好。</w:t>
      </w:r>
    </w:p>
    <w:p w14:paraId="2910D9E0" w14:textId="77777777" w:rsidR="00771ECA" w:rsidRDefault="00000000">
      <w:pPr>
        <w:spacing w:line="480" w:lineRule="auto"/>
        <w:ind w:firstLine="420"/>
        <w:jc w:val="both"/>
      </w:pPr>
      <w:r>
        <w:rPr>
          <w:rFonts w:ascii="Arial" w:hAnsi="Arial" w:cs="Arial"/>
          <w:sz w:val="21"/>
          <w:szCs w:val="21"/>
        </w:rPr>
        <w:t>4.</w:t>
      </w:r>
      <w:r>
        <w:rPr>
          <w:rFonts w:ascii="Arial" w:hAnsi="Arial" w:cs="Arial"/>
          <w:sz w:val="21"/>
          <w:szCs w:val="21"/>
        </w:rPr>
        <w:t>商业设施</w:t>
      </w:r>
    </w:p>
    <w:p w14:paraId="06832060"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估价对象位于北京经济技术开发区东区，周边商业设施以小区配套为主，且数量一般，综合评价商业设施一般。</w:t>
      </w:r>
    </w:p>
    <w:p w14:paraId="6F7DA69D" w14:textId="77777777" w:rsidR="00771ECA" w:rsidRDefault="00000000">
      <w:pPr>
        <w:spacing w:line="480" w:lineRule="auto"/>
        <w:ind w:firstLine="420"/>
        <w:jc w:val="both"/>
        <w:rPr>
          <w:rFonts w:ascii="Arial" w:hAnsi="Arial" w:cs="Arial"/>
          <w:color w:val="000000"/>
          <w:sz w:val="21"/>
          <w:szCs w:val="21"/>
        </w:rPr>
      </w:pPr>
      <w:r>
        <w:rPr>
          <w:rFonts w:ascii="Arial" w:hAnsi="Arial" w:cs="Arial"/>
          <w:sz w:val="21"/>
          <w:szCs w:val="21"/>
        </w:rPr>
        <w:t>5.</w:t>
      </w:r>
      <w:r>
        <w:rPr>
          <w:rFonts w:ascii="Arial" w:hAnsi="Arial" w:cs="Arial"/>
          <w:color w:val="000000"/>
          <w:sz w:val="21"/>
          <w:szCs w:val="21"/>
        </w:rPr>
        <w:t>环境状况</w:t>
      </w:r>
    </w:p>
    <w:p w14:paraId="426DC787"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东侧临近通惠北灌渠河、南侧临近通明湖公园，周边无高等教育学校或博物馆等人文景观，综合评价环境状况一般。</w:t>
      </w:r>
    </w:p>
    <w:p w14:paraId="088C4E81" w14:textId="77777777" w:rsidR="00771ECA" w:rsidRDefault="00000000">
      <w:pPr>
        <w:spacing w:line="480" w:lineRule="auto"/>
        <w:ind w:firstLine="420"/>
        <w:jc w:val="both"/>
        <w:rPr>
          <w:rFonts w:ascii="Arial" w:hAnsi="Arial" w:cs="Arial"/>
          <w:i/>
          <w:color w:val="548DD4"/>
          <w:sz w:val="21"/>
          <w:szCs w:val="21"/>
        </w:rPr>
      </w:pPr>
      <w:r>
        <w:rPr>
          <w:rFonts w:ascii="Arial" w:hAnsi="Arial" w:cs="Arial"/>
          <w:sz w:val="21"/>
          <w:szCs w:val="21"/>
        </w:rPr>
        <w:t>6.</w:t>
      </w:r>
      <w:r>
        <w:rPr>
          <w:rFonts w:ascii="Arial" w:hAnsi="Arial" w:cs="Arial"/>
          <w:sz w:val="21"/>
          <w:szCs w:val="21"/>
        </w:rPr>
        <w:t>外部配套设施状况</w:t>
      </w:r>
    </w:p>
    <w:p w14:paraId="09AC50C8" w14:textId="77777777" w:rsidR="00771ECA" w:rsidRDefault="00000000">
      <w:pPr>
        <w:spacing w:line="480" w:lineRule="auto"/>
        <w:ind w:firstLine="420"/>
        <w:jc w:val="both"/>
      </w:pPr>
      <w:r>
        <w:rPr>
          <w:rFonts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（通路、通电、通讯、供水、排水、通暖、通燃气）条件，且保证程度高。</w:t>
      </w:r>
    </w:p>
    <w:p w14:paraId="32A3B8B0" w14:textId="77777777" w:rsidR="00771ECA" w:rsidRDefault="00000000">
      <w:pPr>
        <w:spacing w:line="480" w:lineRule="auto"/>
        <w:ind w:firstLine="420"/>
        <w:jc w:val="both"/>
        <w:rPr>
          <w:rFonts w:ascii="Arial" w:hAnsi="Arial" w:cs="Arial"/>
          <w:sz w:val="21"/>
          <w:szCs w:val="21"/>
        </w:rPr>
      </w:pPr>
      <w:r>
        <w:rPr>
          <w:rFonts w:ascii="Arial" w:hAnsi="Arial" w:cs="Arial"/>
          <w:kern w:val="2"/>
          <w:sz w:val="21"/>
          <w:szCs w:val="21"/>
        </w:rPr>
        <w:t>估价对象所在区域周边</w:t>
      </w:r>
      <w:r>
        <w:rPr>
          <w:rFonts w:ascii="Arial" w:hAnsi="Arial" w:cs="Arial"/>
          <w:kern w:val="2"/>
          <w:sz w:val="21"/>
          <w:szCs w:val="21"/>
        </w:rPr>
        <w:t>2</w:t>
      </w:r>
      <w:r>
        <w:rPr>
          <w:rFonts w:ascii="Arial" w:hAnsi="Arial" w:cs="Arial"/>
          <w:kern w:val="2"/>
          <w:sz w:val="21"/>
          <w:szCs w:val="21"/>
        </w:rPr>
        <w:t>公里范围内有北京银行、北京农商银行、中国农业银行等金融机构；家和新天地商业中心等商服设施；周边有北京市建华实验亦庄学校、亦庄小学、定海园幼儿园等教育机构；有通州区第三医院、次渠北里社区卫生服务站等医疗机构设施。公共配套设施较齐全</w:t>
      </w:r>
      <w:r>
        <w:rPr>
          <w:rFonts w:ascii="Arial" w:hAnsi="Arial" w:cs="Arial"/>
          <w:sz w:val="21"/>
          <w:szCs w:val="21"/>
        </w:rPr>
        <w:t>。</w:t>
      </w:r>
    </w:p>
    <w:p w14:paraId="4DF0FBF9"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lastRenderedPageBreak/>
        <w:t>6.</w:t>
      </w:r>
      <w:r>
        <w:rPr>
          <w:rFonts w:ascii="Arial" w:hAnsi="Arial" w:cs="Arial"/>
          <w:sz w:val="21"/>
          <w:szCs w:val="21"/>
        </w:rPr>
        <w:t>总体评价</w:t>
      </w:r>
    </w:p>
    <w:p w14:paraId="30FF569A" w14:textId="77777777" w:rsidR="00771ECA" w:rsidRDefault="00000000">
      <w:pPr>
        <w:spacing w:line="480" w:lineRule="auto"/>
        <w:ind w:firstLine="420"/>
        <w:jc w:val="both"/>
        <w:rPr>
          <w:rFonts w:ascii="Arial" w:hAnsi="Arial" w:cs="Arial"/>
          <w:kern w:val="2"/>
          <w:sz w:val="21"/>
          <w:szCs w:val="21"/>
        </w:rPr>
      </w:pPr>
      <w:r>
        <w:rPr>
          <w:rFonts w:ascii="Arial" w:hAnsi="Arial" w:cs="Arial"/>
          <w:sz w:val="21"/>
          <w:szCs w:val="21"/>
        </w:rPr>
        <w:t>估价对象地理位置状况较好，居住社区成熟度较好，交通便捷度较好，商业设施一般，环境状况一般，区内大部分区域基础设施配套目前可达到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4EAA0EF0" w14:textId="77777777" w:rsidR="00771ECA" w:rsidRDefault="00000000">
      <w:pPr>
        <w:pStyle w:val="2"/>
        <w:numPr>
          <w:ilvl w:val="0"/>
          <w:numId w:val="0"/>
        </w:numPr>
        <w:tabs>
          <w:tab w:val="left" w:pos="360"/>
        </w:tabs>
        <w:spacing w:line="480" w:lineRule="auto"/>
        <w:ind w:left="359" w:hanging="359"/>
        <w:jc w:val="both"/>
      </w:pPr>
      <w:bookmarkStart w:id="33" w:name="__RefHeading___Toc525655435"/>
      <w:bookmarkEnd w:id="33"/>
      <w:r>
        <w:rPr>
          <w:rFonts w:eastAsia="宋体;SimSun"/>
          <w:kern w:val="2"/>
          <w:sz w:val="21"/>
          <w:szCs w:val="21"/>
        </w:rPr>
        <w:t>（二）实物状况分析</w:t>
      </w:r>
    </w:p>
    <w:p w14:paraId="6D0BE17B" w14:textId="77777777" w:rsidR="00771ECA" w:rsidRDefault="00000000">
      <w:pPr>
        <w:overflowPunct w:val="0"/>
        <w:spacing w:line="480" w:lineRule="auto"/>
        <w:ind w:firstLine="420"/>
        <w:jc w:val="both"/>
        <w:textAlignment w:val="auto"/>
        <w:rPr>
          <w:rFonts w:cs="Arial"/>
        </w:rPr>
      </w:pPr>
      <w:r>
        <w:rPr>
          <w:rFonts w:ascii="Arial" w:hAnsi="Arial" w:cs="Arial"/>
          <w:kern w:val="2"/>
          <w:sz w:val="21"/>
          <w:szCs w:val="21"/>
        </w:rPr>
        <w:t>估价对象为北京经济技术开发区科创十一街</w:t>
      </w:r>
      <w:r>
        <w:rPr>
          <w:rFonts w:ascii="Arial" w:hAnsi="Arial" w:cs="Arial"/>
          <w:kern w:val="2"/>
          <w:sz w:val="21"/>
          <w:szCs w:val="21"/>
        </w:rPr>
        <w:t>4</w:t>
      </w:r>
      <w:r>
        <w:rPr>
          <w:rFonts w:ascii="Arial" w:hAnsi="Arial" w:cs="Arial"/>
          <w:kern w:val="2"/>
          <w:sz w:val="21"/>
          <w:szCs w:val="21"/>
        </w:rPr>
        <w:t>号院</w:t>
      </w:r>
      <w:r>
        <w:rPr>
          <w:rFonts w:ascii="Arial" w:hAnsi="Arial" w:cs="Arial"/>
          <w:kern w:val="2"/>
          <w:sz w:val="21"/>
          <w:szCs w:val="21"/>
        </w:rPr>
        <w:t>10</w:t>
      </w:r>
      <w:r>
        <w:rPr>
          <w:rFonts w:ascii="Arial" w:hAnsi="Arial" w:cs="Arial"/>
          <w:kern w:val="2"/>
          <w:sz w:val="21"/>
          <w:szCs w:val="21"/>
        </w:rPr>
        <w:t>号楼</w:t>
      </w:r>
      <w:r>
        <w:rPr>
          <w:rFonts w:ascii="Arial" w:hAnsi="Arial" w:cs="Arial"/>
          <w:kern w:val="2"/>
          <w:sz w:val="21"/>
          <w:szCs w:val="21"/>
        </w:rPr>
        <w:t>1</w:t>
      </w:r>
      <w:r>
        <w:rPr>
          <w:rFonts w:ascii="Arial" w:hAnsi="Arial" w:cs="Arial"/>
          <w:kern w:val="2"/>
          <w:sz w:val="21"/>
          <w:szCs w:val="21"/>
        </w:rPr>
        <w:t>层</w:t>
      </w:r>
      <w:r>
        <w:rPr>
          <w:rFonts w:ascii="Arial" w:hAnsi="Arial" w:cs="Arial"/>
          <w:kern w:val="2"/>
          <w:sz w:val="21"/>
          <w:szCs w:val="21"/>
        </w:rPr>
        <w:t>1</w:t>
      </w:r>
      <w:r>
        <w:rPr>
          <w:rFonts w:ascii="Arial" w:hAnsi="Arial" w:cs="Arial"/>
          <w:kern w:val="2"/>
          <w:sz w:val="21"/>
          <w:szCs w:val="21"/>
        </w:rPr>
        <w:t>单元</w:t>
      </w:r>
      <w:r>
        <w:rPr>
          <w:rFonts w:ascii="Arial" w:hAnsi="Arial" w:cs="Arial"/>
          <w:kern w:val="2"/>
          <w:sz w:val="21"/>
          <w:szCs w:val="21"/>
        </w:rPr>
        <w:t>102</w:t>
      </w:r>
      <w:r>
        <w:rPr>
          <w:rFonts w:ascii="Arial" w:hAnsi="Arial" w:cs="Arial"/>
          <w:kern w:val="2"/>
          <w:sz w:val="21"/>
          <w:szCs w:val="21"/>
        </w:rPr>
        <w:t>等</w:t>
      </w:r>
      <w:r>
        <w:rPr>
          <w:rFonts w:ascii="Arial" w:hAnsi="Arial" w:cs="Arial"/>
          <w:kern w:val="2"/>
          <w:sz w:val="21"/>
          <w:szCs w:val="21"/>
        </w:rPr>
        <w:t>513</w:t>
      </w:r>
      <w:r>
        <w:rPr>
          <w:rFonts w:ascii="Arial" w:hAnsi="Arial" w:cs="Arial"/>
          <w:kern w:val="2"/>
          <w:sz w:val="21"/>
          <w:szCs w:val="21"/>
        </w:rPr>
        <w:t>套（</w:t>
      </w:r>
      <w:r>
        <w:rPr>
          <w:rFonts w:ascii="Arial" w:hAnsi="Arial" w:cs="Arial"/>
          <w:kern w:val="2"/>
          <w:sz w:val="21"/>
          <w:szCs w:val="21"/>
        </w:rPr>
        <w:t>E18</w:t>
      </w:r>
      <w:r>
        <w:rPr>
          <w:rFonts w:ascii="Arial" w:hAnsi="Arial" w:cs="Arial"/>
          <w:kern w:val="2"/>
          <w:sz w:val="21"/>
          <w:szCs w:val="21"/>
        </w:rPr>
        <w:t>亦城景园）住宅用房项目，总建筑面积</w:t>
      </w:r>
      <w:r>
        <w:rPr>
          <w:rFonts w:ascii="Arial" w:hAnsi="Arial" w:cs="Arial"/>
          <w:kern w:val="2"/>
          <w:sz w:val="21"/>
          <w:szCs w:val="21"/>
        </w:rPr>
        <w:t>44131.16</w:t>
      </w:r>
      <w:r>
        <w:rPr>
          <w:rFonts w:ascii="Arial" w:hAnsi="Arial" w:cs="Arial"/>
          <w:kern w:val="2"/>
          <w:sz w:val="21"/>
          <w:szCs w:val="21"/>
        </w:rPr>
        <w:t>平方米。详见下表：</w:t>
      </w:r>
    </w:p>
    <w:tbl>
      <w:tblPr>
        <w:tblW w:w="5000" w:type="pct"/>
        <w:jc w:val="center"/>
        <w:tblLook w:val="04A0" w:firstRow="1" w:lastRow="0" w:firstColumn="1" w:lastColumn="0" w:noHBand="0" w:noVBand="1"/>
      </w:tblPr>
      <w:tblGrid>
        <w:gridCol w:w="771"/>
        <w:gridCol w:w="1701"/>
        <w:gridCol w:w="3610"/>
        <w:gridCol w:w="1081"/>
        <w:gridCol w:w="2125"/>
      </w:tblGrid>
      <w:tr w:rsidR="00771ECA" w14:paraId="07A20CB5" w14:textId="77777777">
        <w:trPr>
          <w:trHeight w:val="227"/>
          <w:jc w:val="center"/>
        </w:trPr>
        <w:tc>
          <w:tcPr>
            <w:tcW w:w="772" w:type="dxa"/>
            <w:tcBorders>
              <w:top w:val="single" w:sz="4" w:space="0" w:color="000000"/>
              <w:left w:val="single" w:sz="4" w:space="0" w:color="000000"/>
              <w:bottom w:val="single" w:sz="4" w:space="0" w:color="000000"/>
            </w:tcBorders>
            <w:shd w:val="clear" w:color="auto" w:fill="auto"/>
            <w:vAlign w:val="center"/>
          </w:tcPr>
          <w:p w14:paraId="7BD612C8"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序号</w:t>
            </w:r>
          </w:p>
        </w:tc>
        <w:tc>
          <w:tcPr>
            <w:tcW w:w="1703" w:type="dxa"/>
            <w:tcBorders>
              <w:top w:val="single" w:sz="4" w:space="0" w:color="000000"/>
              <w:left w:val="single" w:sz="4" w:space="0" w:color="000000"/>
              <w:bottom w:val="single" w:sz="4" w:space="0" w:color="000000"/>
            </w:tcBorders>
            <w:shd w:val="clear" w:color="auto" w:fill="auto"/>
            <w:vAlign w:val="center"/>
          </w:tcPr>
          <w:p w14:paraId="5E9B8076"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项目名称</w:t>
            </w:r>
          </w:p>
        </w:tc>
        <w:tc>
          <w:tcPr>
            <w:tcW w:w="3615" w:type="dxa"/>
            <w:tcBorders>
              <w:top w:val="single" w:sz="4" w:space="0" w:color="000000"/>
              <w:left w:val="single" w:sz="4" w:space="0" w:color="000000"/>
              <w:bottom w:val="single" w:sz="4" w:space="0" w:color="000000"/>
            </w:tcBorders>
            <w:shd w:val="clear" w:color="auto" w:fill="auto"/>
            <w:vAlign w:val="center"/>
          </w:tcPr>
          <w:p w14:paraId="0E9C07CF" w14:textId="77777777" w:rsidR="00771ECA" w:rsidRDefault="00000000">
            <w:pPr>
              <w:overflowPunct w:val="0"/>
              <w:spacing w:line="276" w:lineRule="auto"/>
              <w:jc w:val="center"/>
              <w:textAlignment w:val="auto"/>
              <w:rPr>
                <w:rFonts w:ascii="Arial" w:eastAsia="华文细黑" w:hAnsi="Arial" w:cs="Arial"/>
                <w:kern w:val="2"/>
                <w:sz w:val="18"/>
                <w:szCs w:val="18"/>
              </w:rPr>
            </w:pPr>
            <w:commentRangeStart w:id="34"/>
            <w:r>
              <w:rPr>
                <w:rFonts w:ascii="Arial" w:eastAsia="华文细黑" w:hAnsi="Arial" w:cs="Arial"/>
                <w:kern w:val="2"/>
                <w:sz w:val="18"/>
                <w:szCs w:val="18"/>
              </w:rPr>
              <w:t>楼号</w:t>
            </w:r>
            <w:commentRangeEnd w:id="34"/>
            <w:r w:rsidR="009D4D09">
              <w:rPr>
                <w:rStyle w:val="a7"/>
              </w:rPr>
              <w:commentReference w:id="34"/>
            </w:r>
          </w:p>
        </w:tc>
        <w:tc>
          <w:tcPr>
            <w:tcW w:w="1081" w:type="dxa"/>
            <w:tcBorders>
              <w:top w:val="single" w:sz="4" w:space="0" w:color="000000"/>
              <w:left w:val="single" w:sz="4" w:space="0" w:color="000000"/>
              <w:bottom w:val="single" w:sz="4" w:space="0" w:color="000000"/>
            </w:tcBorders>
            <w:shd w:val="clear" w:color="auto" w:fill="auto"/>
            <w:vAlign w:val="center"/>
          </w:tcPr>
          <w:p w14:paraId="12E45AFB"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套数（套）</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30D4C"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建筑面积（平方米）</w:t>
            </w:r>
          </w:p>
        </w:tc>
      </w:tr>
      <w:tr w:rsidR="00771ECA" w14:paraId="709281A5" w14:textId="77777777">
        <w:trPr>
          <w:trHeight w:val="227"/>
          <w:jc w:val="center"/>
        </w:trPr>
        <w:tc>
          <w:tcPr>
            <w:tcW w:w="772" w:type="dxa"/>
            <w:tcBorders>
              <w:top w:val="single" w:sz="4" w:space="0" w:color="000000"/>
              <w:left w:val="single" w:sz="4" w:space="0" w:color="000000"/>
              <w:bottom w:val="single" w:sz="4" w:space="0" w:color="000000"/>
            </w:tcBorders>
            <w:shd w:val="clear" w:color="auto" w:fill="auto"/>
            <w:vAlign w:val="center"/>
          </w:tcPr>
          <w:p w14:paraId="6ECE2509"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1</w:t>
            </w:r>
          </w:p>
        </w:tc>
        <w:tc>
          <w:tcPr>
            <w:tcW w:w="1703" w:type="dxa"/>
            <w:tcBorders>
              <w:top w:val="single" w:sz="4" w:space="0" w:color="000000"/>
              <w:left w:val="single" w:sz="4" w:space="0" w:color="000000"/>
              <w:bottom w:val="single" w:sz="4" w:space="0" w:color="000000"/>
            </w:tcBorders>
            <w:shd w:val="clear" w:color="auto" w:fill="auto"/>
            <w:vAlign w:val="center"/>
          </w:tcPr>
          <w:p w14:paraId="756FCDB1"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亦城景园</w:t>
            </w:r>
          </w:p>
        </w:tc>
        <w:tc>
          <w:tcPr>
            <w:tcW w:w="3615" w:type="dxa"/>
            <w:tcBorders>
              <w:top w:val="single" w:sz="4" w:space="0" w:color="000000"/>
              <w:left w:val="single" w:sz="4" w:space="0" w:color="000000"/>
              <w:bottom w:val="single" w:sz="4" w:space="0" w:color="000000"/>
            </w:tcBorders>
            <w:shd w:val="clear" w:color="auto" w:fill="auto"/>
            <w:vAlign w:val="center"/>
          </w:tcPr>
          <w:p w14:paraId="5D32F037"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kern w:val="2"/>
                <w:sz w:val="18"/>
                <w:szCs w:val="18"/>
              </w:rPr>
              <w:t>号楼</w:t>
            </w:r>
          </w:p>
        </w:tc>
        <w:tc>
          <w:tcPr>
            <w:tcW w:w="1081" w:type="dxa"/>
            <w:tcBorders>
              <w:top w:val="single" w:sz="4" w:space="0" w:color="000000"/>
              <w:left w:val="single" w:sz="4" w:space="0" w:color="000000"/>
              <w:bottom w:val="single" w:sz="4" w:space="0" w:color="000000"/>
            </w:tcBorders>
            <w:shd w:val="clear" w:color="auto" w:fill="auto"/>
            <w:vAlign w:val="center"/>
          </w:tcPr>
          <w:p w14:paraId="063663F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154</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6E45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10960.74</w:t>
            </w:r>
          </w:p>
        </w:tc>
      </w:tr>
      <w:tr w:rsidR="00771ECA" w14:paraId="2041BDC2" w14:textId="77777777">
        <w:trPr>
          <w:trHeight w:val="227"/>
          <w:jc w:val="center"/>
        </w:trPr>
        <w:tc>
          <w:tcPr>
            <w:tcW w:w="772" w:type="dxa"/>
            <w:tcBorders>
              <w:top w:val="single" w:sz="4" w:space="0" w:color="000000"/>
              <w:left w:val="single" w:sz="4" w:space="0" w:color="000000"/>
              <w:bottom w:val="single" w:sz="4" w:space="0" w:color="000000"/>
            </w:tcBorders>
            <w:shd w:val="clear" w:color="auto" w:fill="auto"/>
            <w:vAlign w:val="center"/>
          </w:tcPr>
          <w:p w14:paraId="3F847F04"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2</w:t>
            </w:r>
          </w:p>
        </w:tc>
        <w:tc>
          <w:tcPr>
            <w:tcW w:w="1703" w:type="dxa"/>
            <w:tcBorders>
              <w:top w:val="single" w:sz="4" w:space="0" w:color="000000"/>
              <w:left w:val="single" w:sz="4" w:space="0" w:color="000000"/>
              <w:bottom w:val="single" w:sz="4" w:space="0" w:color="000000"/>
            </w:tcBorders>
            <w:shd w:val="clear" w:color="auto" w:fill="auto"/>
          </w:tcPr>
          <w:p w14:paraId="5909A1D4"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亦城景园</w:t>
            </w:r>
          </w:p>
        </w:tc>
        <w:tc>
          <w:tcPr>
            <w:tcW w:w="3615" w:type="dxa"/>
            <w:tcBorders>
              <w:top w:val="single" w:sz="4" w:space="0" w:color="000000"/>
              <w:left w:val="single" w:sz="4" w:space="0" w:color="000000"/>
              <w:bottom w:val="single" w:sz="4" w:space="0" w:color="000000"/>
            </w:tcBorders>
            <w:shd w:val="clear" w:color="auto" w:fill="auto"/>
            <w:vAlign w:val="center"/>
          </w:tcPr>
          <w:p w14:paraId="61923900"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2</w:t>
            </w:r>
            <w:r>
              <w:rPr>
                <w:rFonts w:ascii="Arial" w:eastAsia="华文细黑" w:hAnsi="Arial" w:cs="Arial"/>
                <w:kern w:val="2"/>
                <w:sz w:val="18"/>
                <w:szCs w:val="18"/>
              </w:rPr>
              <w:t>号楼</w:t>
            </w:r>
          </w:p>
        </w:tc>
        <w:tc>
          <w:tcPr>
            <w:tcW w:w="1081" w:type="dxa"/>
            <w:tcBorders>
              <w:top w:val="single" w:sz="4" w:space="0" w:color="000000"/>
              <w:left w:val="single" w:sz="4" w:space="0" w:color="000000"/>
              <w:bottom w:val="single" w:sz="4" w:space="0" w:color="000000"/>
            </w:tcBorders>
            <w:shd w:val="clear" w:color="auto" w:fill="auto"/>
            <w:vAlign w:val="center"/>
          </w:tcPr>
          <w:p w14:paraId="41A19FEC" w14:textId="77777777" w:rsidR="00771ECA" w:rsidRDefault="00000000">
            <w:pPr>
              <w:jc w:val="center"/>
              <w:rPr>
                <w:rFonts w:ascii="Arial" w:eastAsia="华文细黑" w:hAnsi="Arial" w:cs="Arial"/>
                <w:color w:val="000000"/>
                <w:sz w:val="18"/>
                <w:szCs w:val="18"/>
              </w:rPr>
            </w:pPr>
            <w:r>
              <w:rPr>
                <w:rFonts w:ascii="Arial" w:eastAsia="华文细黑" w:hAnsi="Arial" w:cs="Arial"/>
                <w:color w:val="000000"/>
                <w:sz w:val="18"/>
                <w:szCs w:val="18"/>
              </w:rPr>
              <w:t>119</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1024A" w14:textId="77777777" w:rsidR="00771ECA" w:rsidRDefault="00000000">
            <w:pPr>
              <w:jc w:val="center"/>
              <w:rPr>
                <w:rFonts w:ascii="Arial" w:eastAsia="华文细黑" w:hAnsi="Arial" w:cs="Arial"/>
                <w:color w:val="000000"/>
                <w:sz w:val="18"/>
                <w:szCs w:val="18"/>
              </w:rPr>
            </w:pPr>
            <w:r>
              <w:rPr>
                <w:rFonts w:ascii="Arial" w:eastAsia="华文细黑" w:hAnsi="Arial" w:cs="Arial"/>
                <w:color w:val="000000"/>
                <w:sz w:val="18"/>
                <w:szCs w:val="18"/>
              </w:rPr>
              <w:t>10448.02</w:t>
            </w:r>
          </w:p>
        </w:tc>
      </w:tr>
      <w:tr w:rsidR="00771ECA" w14:paraId="320CEE74" w14:textId="77777777">
        <w:trPr>
          <w:trHeight w:val="227"/>
          <w:jc w:val="center"/>
        </w:trPr>
        <w:tc>
          <w:tcPr>
            <w:tcW w:w="772" w:type="dxa"/>
            <w:tcBorders>
              <w:top w:val="single" w:sz="4" w:space="0" w:color="000000"/>
              <w:left w:val="single" w:sz="4" w:space="0" w:color="000000"/>
              <w:bottom w:val="single" w:sz="4" w:space="0" w:color="000000"/>
            </w:tcBorders>
            <w:shd w:val="clear" w:color="auto" w:fill="auto"/>
            <w:vAlign w:val="center"/>
          </w:tcPr>
          <w:p w14:paraId="15196C1C"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w:t>
            </w:r>
          </w:p>
        </w:tc>
        <w:tc>
          <w:tcPr>
            <w:tcW w:w="1703" w:type="dxa"/>
            <w:tcBorders>
              <w:top w:val="single" w:sz="4" w:space="0" w:color="000000"/>
              <w:left w:val="single" w:sz="4" w:space="0" w:color="000000"/>
              <w:bottom w:val="single" w:sz="4" w:space="0" w:color="000000"/>
            </w:tcBorders>
            <w:shd w:val="clear" w:color="auto" w:fill="auto"/>
          </w:tcPr>
          <w:p w14:paraId="0B551D3B"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亦城景园</w:t>
            </w:r>
          </w:p>
        </w:tc>
        <w:tc>
          <w:tcPr>
            <w:tcW w:w="3615" w:type="dxa"/>
            <w:tcBorders>
              <w:top w:val="single" w:sz="4" w:space="0" w:color="000000"/>
              <w:left w:val="single" w:sz="4" w:space="0" w:color="000000"/>
              <w:bottom w:val="single" w:sz="4" w:space="0" w:color="000000"/>
            </w:tcBorders>
            <w:shd w:val="clear" w:color="auto" w:fill="auto"/>
            <w:vAlign w:val="center"/>
          </w:tcPr>
          <w:p w14:paraId="5B4F169B"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w:t>
            </w:r>
            <w:r>
              <w:rPr>
                <w:rFonts w:ascii="Arial" w:eastAsia="华文细黑" w:hAnsi="Arial" w:cs="Arial"/>
                <w:kern w:val="2"/>
                <w:sz w:val="18"/>
                <w:szCs w:val="18"/>
              </w:rPr>
              <w:t>号楼</w:t>
            </w:r>
          </w:p>
        </w:tc>
        <w:tc>
          <w:tcPr>
            <w:tcW w:w="1081" w:type="dxa"/>
            <w:tcBorders>
              <w:top w:val="single" w:sz="4" w:space="0" w:color="000000"/>
              <w:left w:val="single" w:sz="4" w:space="0" w:color="000000"/>
              <w:bottom w:val="single" w:sz="4" w:space="0" w:color="000000"/>
            </w:tcBorders>
            <w:shd w:val="clear" w:color="auto" w:fill="auto"/>
            <w:vAlign w:val="center"/>
          </w:tcPr>
          <w:p w14:paraId="04231EAA" w14:textId="77777777" w:rsidR="00771ECA" w:rsidRDefault="00000000">
            <w:pPr>
              <w:jc w:val="center"/>
            </w:pPr>
            <w:r>
              <w:rPr>
                <w:rFonts w:ascii="Arial" w:eastAsia="华文细黑" w:hAnsi="Arial" w:cs="Arial"/>
                <w:color w:val="000000"/>
                <w:sz w:val="18"/>
                <w:szCs w:val="18"/>
              </w:rPr>
              <w:t>149</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C17E1" w14:textId="77777777" w:rsidR="00771ECA" w:rsidRDefault="00000000">
            <w:pPr>
              <w:jc w:val="center"/>
              <w:rPr>
                <w:rFonts w:ascii="Arial" w:eastAsia="华文细黑" w:hAnsi="Arial" w:cs="Arial"/>
                <w:color w:val="000000"/>
                <w:sz w:val="18"/>
                <w:szCs w:val="18"/>
              </w:rPr>
            </w:pPr>
            <w:r>
              <w:rPr>
                <w:rFonts w:ascii="Arial" w:eastAsia="华文细黑" w:hAnsi="Arial" w:cs="Arial"/>
                <w:color w:val="000000"/>
                <w:sz w:val="18"/>
                <w:szCs w:val="18"/>
              </w:rPr>
              <w:t>11490.22</w:t>
            </w:r>
          </w:p>
        </w:tc>
      </w:tr>
      <w:tr w:rsidR="00771ECA" w14:paraId="6D39268F" w14:textId="77777777">
        <w:trPr>
          <w:trHeight w:val="227"/>
          <w:jc w:val="center"/>
        </w:trPr>
        <w:tc>
          <w:tcPr>
            <w:tcW w:w="772" w:type="dxa"/>
            <w:tcBorders>
              <w:top w:val="single" w:sz="4" w:space="0" w:color="000000"/>
              <w:left w:val="single" w:sz="4" w:space="0" w:color="000000"/>
              <w:bottom w:val="single" w:sz="4" w:space="0" w:color="000000"/>
            </w:tcBorders>
            <w:shd w:val="clear" w:color="auto" w:fill="auto"/>
            <w:vAlign w:val="center"/>
          </w:tcPr>
          <w:p w14:paraId="35249835"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4</w:t>
            </w:r>
          </w:p>
        </w:tc>
        <w:tc>
          <w:tcPr>
            <w:tcW w:w="1703" w:type="dxa"/>
            <w:tcBorders>
              <w:top w:val="single" w:sz="4" w:space="0" w:color="000000"/>
              <w:left w:val="single" w:sz="4" w:space="0" w:color="000000"/>
              <w:bottom w:val="single" w:sz="4" w:space="0" w:color="000000"/>
            </w:tcBorders>
            <w:shd w:val="clear" w:color="auto" w:fill="auto"/>
          </w:tcPr>
          <w:p w14:paraId="57EFE858"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亦城景园</w:t>
            </w:r>
          </w:p>
        </w:tc>
        <w:tc>
          <w:tcPr>
            <w:tcW w:w="3615" w:type="dxa"/>
            <w:tcBorders>
              <w:top w:val="single" w:sz="4" w:space="0" w:color="000000"/>
              <w:left w:val="single" w:sz="4" w:space="0" w:color="000000"/>
              <w:bottom w:val="single" w:sz="4" w:space="0" w:color="000000"/>
            </w:tcBorders>
            <w:shd w:val="clear" w:color="auto" w:fill="auto"/>
            <w:vAlign w:val="center"/>
          </w:tcPr>
          <w:p w14:paraId="29B14F90"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4</w:t>
            </w:r>
            <w:r>
              <w:rPr>
                <w:rFonts w:ascii="Arial" w:eastAsia="华文细黑" w:hAnsi="Arial" w:cs="Arial"/>
                <w:kern w:val="2"/>
                <w:sz w:val="18"/>
                <w:szCs w:val="18"/>
              </w:rPr>
              <w:t>号楼</w:t>
            </w:r>
          </w:p>
        </w:tc>
        <w:tc>
          <w:tcPr>
            <w:tcW w:w="1081" w:type="dxa"/>
            <w:tcBorders>
              <w:top w:val="single" w:sz="4" w:space="0" w:color="000000"/>
              <w:left w:val="single" w:sz="4" w:space="0" w:color="000000"/>
              <w:bottom w:val="single" w:sz="4" w:space="0" w:color="000000"/>
            </w:tcBorders>
            <w:shd w:val="clear" w:color="auto" w:fill="auto"/>
            <w:vAlign w:val="center"/>
          </w:tcPr>
          <w:p w14:paraId="124607C1" w14:textId="77777777" w:rsidR="00771ECA" w:rsidRDefault="00000000">
            <w:pPr>
              <w:jc w:val="center"/>
              <w:rPr>
                <w:rFonts w:ascii="Arial" w:eastAsia="华文细黑" w:hAnsi="Arial" w:cs="Arial"/>
                <w:color w:val="000000"/>
                <w:sz w:val="18"/>
                <w:szCs w:val="18"/>
              </w:rPr>
            </w:pPr>
            <w:r>
              <w:rPr>
                <w:rFonts w:ascii="Arial" w:eastAsia="华文细黑" w:hAnsi="Arial" w:cs="Arial"/>
                <w:color w:val="000000"/>
                <w:sz w:val="18"/>
                <w:szCs w:val="18"/>
              </w:rPr>
              <w:t>120</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432AF" w14:textId="77777777" w:rsidR="00771ECA" w:rsidRDefault="00000000">
            <w:pPr>
              <w:jc w:val="center"/>
              <w:rPr>
                <w:rFonts w:ascii="Arial" w:eastAsia="华文细黑" w:hAnsi="Arial" w:cs="Arial"/>
                <w:color w:val="000000"/>
                <w:sz w:val="18"/>
                <w:szCs w:val="18"/>
              </w:rPr>
            </w:pPr>
            <w:r>
              <w:rPr>
                <w:rFonts w:ascii="Arial" w:eastAsia="华文细黑" w:hAnsi="Arial" w:cs="Arial"/>
                <w:color w:val="000000"/>
                <w:sz w:val="18"/>
                <w:szCs w:val="18"/>
              </w:rPr>
              <w:t>10487.48</w:t>
            </w:r>
          </w:p>
        </w:tc>
      </w:tr>
      <w:tr w:rsidR="00771ECA" w14:paraId="1B4A0FDC" w14:textId="77777777">
        <w:trPr>
          <w:trHeight w:val="227"/>
          <w:jc w:val="center"/>
        </w:trPr>
        <w:tc>
          <w:tcPr>
            <w:tcW w:w="772" w:type="dxa"/>
            <w:tcBorders>
              <w:top w:val="single" w:sz="4" w:space="0" w:color="000000"/>
              <w:left w:val="single" w:sz="4" w:space="0" w:color="000000"/>
              <w:bottom w:val="single" w:sz="4" w:space="0" w:color="000000"/>
            </w:tcBorders>
            <w:shd w:val="clear" w:color="auto" w:fill="auto"/>
            <w:vAlign w:val="center"/>
          </w:tcPr>
          <w:p w14:paraId="448924A0"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5</w:t>
            </w:r>
          </w:p>
        </w:tc>
        <w:tc>
          <w:tcPr>
            <w:tcW w:w="1703" w:type="dxa"/>
            <w:tcBorders>
              <w:top w:val="single" w:sz="4" w:space="0" w:color="000000"/>
              <w:left w:val="single" w:sz="4" w:space="0" w:color="000000"/>
              <w:bottom w:val="single" w:sz="4" w:space="0" w:color="000000"/>
            </w:tcBorders>
            <w:shd w:val="clear" w:color="auto" w:fill="auto"/>
          </w:tcPr>
          <w:p w14:paraId="5C4EDE86"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亦城景园</w:t>
            </w:r>
          </w:p>
        </w:tc>
        <w:tc>
          <w:tcPr>
            <w:tcW w:w="3615" w:type="dxa"/>
            <w:tcBorders>
              <w:top w:val="single" w:sz="4" w:space="0" w:color="000000"/>
              <w:left w:val="single" w:sz="4" w:space="0" w:color="000000"/>
              <w:bottom w:val="single" w:sz="4" w:space="0" w:color="000000"/>
            </w:tcBorders>
            <w:shd w:val="clear" w:color="auto" w:fill="auto"/>
            <w:vAlign w:val="center"/>
          </w:tcPr>
          <w:p w14:paraId="58BB90B2"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5</w:t>
            </w:r>
            <w:r>
              <w:rPr>
                <w:rFonts w:ascii="Arial" w:eastAsia="华文细黑" w:hAnsi="Arial" w:cs="Arial"/>
                <w:kern w:val="2"/>
                <w:sz w:val="18"/>
                <w:szCs w:val="18"/>
              </w:rPr>
              <w:t>号楼</w:t>
            </w:r>
          </w:p>
        </w:tc>
        <w:tc>
          <w:tcPr>
            <w:tcW w:w="1081" w:type="dxa"/>
            <w:tcBorders>
              <w:top w:val="single" w:sz="4" w:space="0" w:color="000000"/>
              <w:left w:val="single" w:sz="4" w:space="0" w:color="000000"/>
              <w:bottom w:val="single" w:sz="4" w:space="0" w:color="000000"/>
            </w:tcBorders>
            <w:shd w:val="clear" w:color="auto" w:fill="auto"/>
            <w:vAlign w:val="center"/>
          </w:tcPr>
          <w:p w14:paraId="2EAAEA96" w14:textId="77777777" w:rsidR="00771ECA" w:rsidRDefault="00000000">
            <w:pPr>
              <w:jc w:val="center"/>
              <w:rPr>
                <w:rFonts w:ascii="Arial" w:eastAsia="华文细黑" w:hAnsi="Arial" w:cs="Arial"/>
                <w:color w:val="000000"/>
                <w:sz w:val="18"/>
                <w:szCs w:val="18"/>
              </w:rPr>
            </w:pPr>
            <w:r>
              <w:rPr>
                <w:rFonts w:ascii="Arial" w:eastAsia="华文细黑" w:hAnsi="Arial" w:cs="Arial"/>
                <w:color w:val="000000"/>
                <w:sz w:val="18"/>
                <w:szCs w:val="18"/>
              </w:rPr>
              <w:t>150</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641E0" w14:textId="77777777" w:rsidR="00771ECA" w:rsidRDefault="00000000">
            <w:pPr>
              <w:jc w:val="center"/>
              <w:rPr>
                <w:rFonts w:ascii="Arial" w:eastAsia="华文细黑" w:hAnsi="Arial" w:cs="Arial"/>
                <w:color w:val="000000"/>
                <w:sz w:val="18"/>
                <w:szCs w:val="18"/>
              </w:rPr>
            </w:pPr>
            <w:r>
              <w:rPr>
                <w:rFonts w:ascii="Arial" w:eastAsia="华文细黑" w:hAnsi="Arial" w:cs="Arial"/>
                <w:color w:val="000000"/>
                <w:sz w:val="18"/>
                <w:szCs w:val="18"/>
              </w:rPr>
              <w:t>11529.79</w:t>
            </w:r>
          </w:p>
        </w:tc>
      </w:tr>
      <w:tr w:rsidR="00771ECA" w14:paraId="22D55B72" w14:textId="77777777">
        <w:trPr>
          <w:trHeight w:val="227"/>
          <w:jc w:val="center"/>
        </w:trPr>
        <w:tc>
          <w:tcPr>
            <w:tcW w:w="6090" w:type="dxa"/>
            <w:gridSpan w:val="3"/>
            <w:tcBorders>
              <w:top w:val="single" w:sz="4" w:space="0" w:color="000000"/>
              <w:left w:val="single" w:sz="4" w:space="0" w:color="000000"/>
              <w:bottom w:val="single" w:sz="4" w:space="0" w:color="000000"/>
            </w:tcBorders>
            <w:shd w:val="clear" w:color="auto" w:fill="auto"/>
            <w:vAlign w:val="center"/>
          </w:tcPr>
          <w:p w14:paraId="034F2A8A" w14:textId="77777777" w:rsidR="00771ECA" w:rsidRDefault="00000000">
            <w:pPr>
              <w:overflowPunct w:val="0"/>
              <w:spacing w:line="276"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合计</w:t>
            </w:r>
          </w:p>
        </w:tc>
        <w:tc>
          <w:tcPr>
            <w:tcW w:w="1081" w:type="dxa"/>
            <w:tcBorders>
              <w:top w:val="single" w:sz="4" w:space="0" w:color="000000"/>
              <w:left w:val="single" w:sz="4" w:space="0" w:color="000000"/>
              <w:bottom w:val="single" w:sz="4" w:space="0" w:color="000000"/>
            </w:tcBorders>
            <w:shd w:val="clear" w:color="auto" w:fill="auto"/>
            <w:vAlign w:val="center"/>
          </w:tcPr>
          <w:p w14:paraId="0F1FABC7" w14:textId="77777777" w:rsidR="00771ECA" w:rsidRDefault="00000000">
            <w:pPr>
              <w:overflowPunct w:val="0"/>
              <w:spacing w:line="276" w:lineRule="auto"/>
              <w:jc w:val="center"/>
              <w:textAlignment w:val="auto"/>
            </w:pPr>
            <w:commentRangeStart w:id="35"/>
            <w:r>
              <w:rPr>
                <w:rFonts w:ascii="Arial" w:eastAsia="华文细黑" w:hAnsi="Arial" w:cs="Arial"/>
                <w:kern w:val="2"/>
                <w:sz w:val="18"/>
                <w:szCs w:val="18"/>
              </w:rPr>
              <w:t>692</w:t>
            </w:r>
            <w:commentRangeEnd w:id="35"/>
            <w:r>
              <w:commentReference w:id="35"/>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DBB40" w14:textId="77777777" w:rsidR="00771ECA" w:rsidRDefault="00000000">
            <w:pPr>
              <w:widowControl/>
              <w:spacing w:line="240" w:lineRule="auto"/>
              <w:jc w:val="center"/>
              <w:textAlignment w:val="auto"/>
              <w:rPr>
                <w:rFonts w:ascii="Arial" w:eastAsia="华文细黑" w:hAnsi="Arial" w:cs="Arial"/>
                <w:kern w:val="2"/>
                <w:sz w:val="18"/>
                <w:szCs w:val="18"/>
              </w:rPr>
            </w:pPr>
            <w:r>
              <w:rPr>
                <w:rFonts w:ascii="Arial" w:eastAsia="华文细黑" w:hAnsi="Arial" w:cs="Arial"/>
                <w:color w:val="000000"/>
                <w:sz w:val="18"/>
                <w:szCs w:val="18"/>
              </w:rPr>
              <w:t>44131.16</w:t>
            </w:r>
          </w:p>
        </w:tc>
      </w:tr>
    </w:tbl>
    <w:p w14:paraId="6E21EC0B" w14:textId="77777777" w:rsidR="00771ECA" w:rsidRDefault="00000000">
      <w:pPr>
        <w:overflowPunct w:val="0"/>
        <w:spacing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266954B7" w14:textId="77777777" w:rsidR="00771ECA" w:rsidRDefault="00000000">
      <w:pPr>
        <w:spacing w:line="480" w:lineRule="auto"/>
        <w:ind w:firstLine="420"/>
        <w:jc w:val="both"/>
      </w:pPr>
      <w:r>
        <w:rPr>
          <w:rFonts w:ascii="Arial" w:hAnsi="Arial" w:cs="Arial"/>
          <w:sz w:val="21"/>
          <w:szCs w:val="21"/>
        </w:rPr>
        <w:t>1.</w:t>
      </w:r>
      <w:r>
        <w:rPr>
          <w:rFonts w:ascii="Arial" w:hAnsi="Arial" w:cs="Arial"/>
          <w:sz w:val="21"/>
          <w:szCs w:val="21"/>
        </w:rPr>
        <w:t>土地实物状况</w:t>
      </w:r>
    </w:p>
    <w:p w14:paraId="31E3A78E" w14:textId="77777777"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根据估价委托人提供的《不动产权证书》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w:t>
      </w:r>
      <w:r>
        <w:rPr>
          <w:rFonts w:ascii="Arial" w:hAnsi="Arial" w:cs="Arial"/>
          <w:sz w:val="21"/>
          <w:szCs w:val="21"/>
        </w:rPr>
        <w:t>用途为居住</w:t>
      </w:r>
      <w:r>
        <w:rPr>
          <w:rFonts w:ascii="Arial" w:hAnsi="Arial" w:cs="Arial"/>
          <w:sz w:val="21"/>
          <w:szCs w:val="21"/>
        </w:rPr>
        <w:t>/</w:t>
      </w:r>
      <w:r>
        <w:rPr>
          <w:rFonts w:ascii="Arial" w:hAnsi="Arial" w:cs="Arial"/>
          <w:sz w:val="21"/>
          <w:szCs w:val="21"/>
        </w:rPr>
        <w:t>门卫室、住宅等</w:t>
      </w:r>
      <w:r>
        <w:rPr>
          <w:rFonts w:ascii="Arial" w:hAnsi="Arial" w:cs="Arial"/>
          <w:sz w:val="21"/>
          <w:szCs w:val="21"/>
        </w:rPr>
        <w:t>16</w:t>
      </w:r>
      <w:r>
        <w:rPr>
          <w:rFonts w:ascii="Arial" w:hAnsi="Arial" w:cs="Arial"/>
          <w:sz w:val="21"/>
          <w:szCs w:val="21"/>
        </w:rPr>
        <w:t>种用途，共有宗地面积为</w:t>
      </w:r>
      <w:r>
        <w:rPr>
          <w:rFonts w:ascii="Arial" w:hAnsi="Arial" w:cs="Arial"/>
          <w:sz w:val="21"/>
          <w:szCs w:val="21"/>
        </w:rPr>
        <w:t>76607.9</w:t>
      </w:r>
      <w:r>
        <w:rPr>
          <w:rFonts w:ascii="Arial" w:hAnsi="Arial" w:cs="Arial"/>
          <w:sz w:val="21"/>
          <w:szCs w:val="21"/>
        </w:rPr>
        <w:t>平方米</w:t>
      </w:r>
      <w:r>
        <w:rPr>
          <w:rFonts w:ascii="Arial" w:hAnsi="Arial" w:cs="Arial"/>
          <w:kern w:val="2"/>
          <w:sz w:val="21"/>
          <w:szCs w:val="21"/>
        </w:rPr>
        <w:t>。</w:t>
      </w:r>
      <w:r>
        <w:rPr>
          <w:rFonts w:ascii="Arial" w:eastAsia="Arial" w:hAnsi="Arial" w:cs="Arial"/>
          <w:sz w:val="21"/>
          <w:szCs w:val="21"/>
        </w:rPr>
        <w:t xml:space="preserve"> </w:t>
      </w:r>
    </w:p>
    <w:p w14:paraId="059FB979" w14:textId="77777777" w:rsidR="00771ECA" w:rsidRDefault="00000000">
      <w:pPr>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2</w:t>
      </w:r>
      <w:r>
        <w:rPr>
          <w:rFonts w:ascii="Arial" w:hAnsi="Arial" w:cs="Arial"/>
          <w:sz w:val="21"/>
          <w:szCs w:val="21"/>
        </w:rPr>
        <w:t>）估价对象所属项目用地四至：</w:t>
      </w:r>
    </w:p>
    <w:p w14:paraId="5B9B03FD" w14:textId="77777777"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w:t>
      </w:r>
      <w:commentRangeStart w:id="36"/>
      <w:r>
        <w:rPr>
          <w:rFonts w:ascii="Arial" w:hAnsi="Arial" w:cs="Arial"/>
          <w:kern w:val="2"/>
          <w:sz w:val="21"/>
          <w:szCs w:val="21"/>
        </w:rPr>
        <w:t>南至科创十二街</w:t>
      </w:r>
      <w:commentRangeEnd w:id="36"/>
      <w:r>
        <w:commentReference w:id="36"/>
      </w:r>
      <w:r>
        <w:rPr>
          <w:rFonts w:ascii="Arial" w:hAnsi="Arial" w:cs="Arial"/>
          <w:kern w:val="2"/>
          <w:sz w:val="21"/>
          <w:szCs w:val="21"/>
        </w:rPr>
        <w:t>、西至经海六路、北至科创十一街。</w:t>
      </w:r>
    </w:p>
    <w:p w14:paraId="64F4E11E"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16D1E6E" w14:textId="77777777" w:rsidR="00771ECA" w:rsidRDefault="00000000">
      <w:pPr>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4</w:t>
      </w:r>
      <w:r>
        <w:rPr>
          <w:rFonts w:ascii="Arial" w:hAnsi="Arial" w:cs="Arial"/>
          <w:sz w:val="21"/>
          <w:szCs w:val="21"/>
        </w:rPr>
        <w:t>）开发程度：</w:t>
      </w:r>
    </w:p>
    <w:p w14:paraId="72353654" w14:textId="77777777"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kern w:val="2"/>
          <w:sz w:val="21"/>
          <w:szCs w:val="21"/>
        </w:rPr>
        <w:t>七通</w:t>
      </w:r>
      <w:r>
        <w:rPr>
          <w:rFonts w:ascii="Arial" w:hAnsi="Arial" w:cs="Arial"/>
          <w:kern w:val="2"/>
          <w:sz w:val="21"/>
          <w:szCs w:val="21"/>
        </w:rPr>
        <w:t>”</w:t>
      </w:r>
      <w:r>
        <w:rPr>
          <w:rFonts w:ascii="Arial" w:hAnsi="Arial" w:cs="Arial"/>
          <w:kern w:val="2"/>
          <w:sz w:val="21"/>
          <w:szCs w:val="21"/>
        </w:rPr>
        <w:t>（即通路、通电、通讯、通上水、通下水、通燃</w:t>
      </w:r>
      <w:r>
        <w:rPr>
          <w:rFonts w:ascii="Arial" w:hAnsi="Arial" w:cs="Arial"/>
          <w:kern w:val="2"/>
          <w:sz w:val="21"/>
          <w:szCs w:val="21"/>
        </w:rPr>
        <w:lastRenderedPageBreak/>
        <w:t>气、通热力），且保证程度高。</w:t>
      </w:r>
    </w:p>
    <w:p w14:paraId="7E722295" w14:textId="77777777" w:rsidR="00771ECA" w:rsidRDefault="00000000">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7BA5A7E2"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1D268FC0" w14:textId="77777777" w:rsidR="00771ECA" w:rsidRDefault="00000000">
      <w:pPr>
        <w:overflowPunct w:val="0"/>
        <w:spacing w:line="480" w:lineRule="auto"/>
        <w:ind w:firstLine="420"/>
        <w:jc w:val="both"/>
        <w:textAlignment w:val="auto"/>
        <w:rPr>
          <w:rFonts w:cs="Arial"/>
        </w:rPr>
      </w:pPr>
      <w:r>
        <w:rPr>
          <w:rFonts w:ascii="Arial" w:hAnsi="Arial" w:cs="Arial"/>
          <w:kern w:val="2"/>
          <w:sz w:val="21"/>
          <w:szCs w:val="21"/>
        </w:rPr>
        <w:t>（</w:t>
      </w:r>
      <w:r>
        <w:rPr>
          <w:rFonts w:ascii="Arial" w:hAnsi="Arial" w:cs="Arial"/>
          <w:kern w:val="2"/>
          <w:sz w:val="21"/>
          <w:szCs w:val="21"/>
        </w:rPr>
        <w:t>1</w:t>
      </w:r>
      <w:r>
        <w:rPr>
          <w:rFonts w:ascii="Arial" w:hAnsi="Arial" w:cs="Arial"/>
          <w:kern w:val="2"/>
          <w:sz w:val="21"/>
          <w:szCs w:val="21"/>
        </w:rPr>
        <w:t>）建设规模：根据估价委托人提供的《估价委托书》及《</w:t>
      </w:r>
      <w:r>
        <w:rPr>
          <w:rFonts w:ascii="Arial" w:hAnsi="Arial" w:cs="Arial"/>
          <w:kern w:val="2"/>
          <w:sz w:val="21"/>
          <w:szCs w:val="21"/>
        </w:rPr>
        <w:t>E18</w:t>
      </w:r>
      <w:r>
        <w:rPr>
          <w:rFonts w:ascii="Arial" w:hAnsi="Arial" w:cs="Arial"/>
          <w:kern w:val="2"/>
          <w:sz w:val="21"/>
          <w:szCs w:val="21"/>
        </w:rPr>
        <w:t>国际人才公寓房屋明细》，确定本次估价范围为</w:t>
      </w:r>
      <w:r>
        <w:rPr>
          <w:rFonts w:ascii="Arial" w:hAnsi="Arial" w:cs="Arial"/>
          <w:bCs/>
          <w:color w:val="000000"/>
          <w:kern w:val="2"/>
          <w:sz w:val="21"/>
          <w:szCs w:val="21"/>
        </w:rPr>
        <w:t>北京经济技术开发区科创十一街</w:t>
      </w:r>
      <w:r>
        <w:rPr>
          <w:rFonts w:ascii="Arial" w:hAnsi="Arial" w:cs="Arial"/>
          <w:bCs/>
          <w:color w:val="000000"/>
          <w:kern w:val="2"/>
          <w:sz w:val="21"/>
          <w:szCs w:val="21"/>
        </w:rPr>
        <w:t>4</w:t>
      </w:r>
      <w:r>
        <w:rPr>
          <w:rFonts w:ascii="Arial" w:hAnsi="Arial" w:cs="Arial"/>
          <w:bCs/>
          <w:color w:val="000000"/>
          <w:kern w:val="2"/>
          <w:sz w:val="21"/>
          <w:szCs w:val="21"/>
        </w:rPr>
        <w:t>号院</w:t>
      </w:r>
      <w:r>
        <w:rPr>
          <w:rFonts w:ascii="Arial" w:hAnsi="Arial" w:cs="Arial"/>
          <w:bCs/>
          <w:color w:val="000000"/>
          <w:kern w:val="2"/>
          <w:sz w:val="21"/>
          <w:szCs w:val="21"/>
        </w:rPr>
        <w:t>10</w:t>
      </w:r>
      <w:r>
        <w:rPr>
          <w:rFonts w:ascii="Arial" w:hAnsi="Arial" w:cs="Arial"/>
          <w:bCs/>
          <w:color w:val="000000"/>
          <w:kern w:val="2"/>
          <w:sz w:val="21"/>
          <w:szCs w:val="21"/>
        </w:rPr>
        <w:t>号楼</w:t>
      </w:r>
      <w:r>
        <w:rPr>
          <w:rFonts w:ascii="Arial" w:hAnsi="Arial" w:cs="Arial"/>
          <w:bCs/>
          <w:color w:val="000000"/>
          <w:kern w:val="2"/>
          <w:sz w:val="21"/>
          <w:szCs w:val="21"/>
        </w:rPr>
        <w:t>1</w:t>
      </w:r>
      <w:r>
        <w:rPr>
          <w:rFonts w:ascii="Arial" w:hAnsi="Arial" w:cs="Arial"/>
          <w:bCs/>
          <w:color w:val="000000"/>
          <w:kern w:val="2"/>
          <w:sz w:val="21"/>
          <w:szCs w:val="21"/>
        </w:rPr>
        <w:t>层</w:t>
      </w:r>
      <w:r>
        <w:rPr>
          <w:rFonts w:ascii="Arial" w:hAnsi="Arial" w:cs="Arial"/>
          <w:bCs/>
          <w:color w:val="000000"/>
          <w:kern w:val="2"/>
          <w:sz w:val="21"/>
          <w:szCs w:val="21"/>
        </w:rPr>
        <w:t>1</w:t>
      </w:r>
      <w:r>
        <w:rPr>
          <w:rFonts w:ascii="Arial" w:hAnsi="Arial" w:cs="Arial"/>
          <w:bCs/>
          <w:color w:val="000000"/>
          <w:kern w:val="2"/>
          <w:sz w:val="21"/>
          <w:szCs w:val="21"/>
        </w:rPr>
        <w:t>单元</w:t>
      </w:r>
      <w:r>
        <w:rPr>
          <w:rFonts w:ascii="Arial" w:hAnsi="Arial" w:cs="Arial"/>
          <w:bCs/>
          <w:color w:val="000000"/>
          <w:kern w:val="2"/>
          <w:sz w:val="21"/>
          <w:szCs w:val="21"/>
        </w:rPr>
        <w:t>102</w:t>
      </w:r>
      <w:r>
        <w:rPr>
          <w:rFonts w:ascii="Arial" w:hAnsi="Arial" w:cs="Arial"/>
          <w:bCs/>
          <w:color w:val="000000"/>
          <w:kern w:val="2"/>
          <w:sz w:val="21"/>
          <w:szCs w:val="21"/>
        </w:rPr>
        <w:t>等</w:t>
      </w:r>
      <w:r>
        <w:rPr>
          <w:rFonts w:ascii="Arial" w:hAnsi="Arial" w:cs="Arial"/>
          <w:bCs/>
          <w:color w:val="000000"/>
          <w:kern w:val="2"/>
          <w:sz w:val="21"/>
          <w:szCs w:val="21"/>
        </w:rPr>
        <w:t>513</w:t>
      </w:r>
      <w:r>
        <w:rPr>
          <w:rFonts w:ascii="Arial" w:hAnsi="Arial" w:cs="Arial"/>
          <w:bCs/>
          <w:color w:val="000000"/>
          <w:kern w:val="2"/>
          <w:sz w:val="21"/>
          <w:szCs w:val="21"/>
        </w:rPr>
        <w:t>套（</w:t>
      </w:r>
      <w:r>
        <w:rPr>
          <w:rFonts w:ascii="Arial" w:hAnsi="Arial" w:cs="Arial"/>
          <w:bCs/>
          <w:color w:val="000000"/>
          <w:kern w:val="2"/>
          <w:sz w:val="21"/>
          <w:szCs w:val="21"/>
        </w:rPr>
        <w:t>E18</w:t>
      </w:r>
      <w:r>
        <w:rPr>
          <w:rFonts w:ascii="Arial" w:hAnsi="Arial" w:cs="Arial"/>
          <w:bCs/>
          <w:color w:val="000000"/>
          <w:kern w:val="2"/>
          <w:sz w:val="21"/>
          <w:szCs w:val="21"/>
        </w:rPr>
        <w:t>亦城景园）</w:t>
      </w:r>
      <w:r>
        <w:rPr>
          <w:rFonts w:ascii="Arial" w:hAnsi="Arial" w:cs="Arial"/>
          <w:kern w:val="2"/>
          <w:sz w:val="21"/>
          <w:szCs w:val="21"/>
        </w:rPr>
        <w:t>，建筑类型为高层板楼，楼宇主体建筑结构为钢混。建筑面积</w:t>
      </w:r>
      <w:r>
        <w:rPr>
          <w:rFonts w:ascii="Arial" w:hAnsi="Arial" w:cs="Arial"/>
          <w:kern w:val="2"/>
          <w:sz w:val="21"/>
          <w:szCs w:val="21"/>
        </w:rPr>
        <w:t>44131.16</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771ECA" w14:paraId="6F83CE16" w14:textId="77777777">
        <w:trPr>
          <w:trHeight w:val="285"/>
        </w:trPr>
        <w:tc>
          <w:tcPr>
            <w:tcW w:w="2000" w:type="dxa"/>
            <w:tcBorders>
              <w:top w:val="single" w:sz="4" w:space="0" w:color="000000"/>
              <w:left w:val="single" w:sz="4" w:space="0" w:color="000000"/>
              <w:bottom w:val="single" w:sz="4" w:space="0" w:color="000000"/>
            </w:tcBorders>
            <w:shd w:val="clear" w:color="auto" w:fill="auto"/>
            <w:vAlign w:val="center"/>
          </w:tcPr>
          <w:p w14:paraId="6B657BF5"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shd w:val="clear" w:color="auto" w:fill="auto"/>
            <w:vAlign w:val="center"/>
          </w:tcPr>
          <w:p w14:paraId="2F516396"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p>
        </w:tc>
        <w:tc>
          <w:tcPr>
            <w:tcW w:w="1200" w:type="dxa"/>
            <w:tcBorders>
              <w:top w:val="single" w:sz="4" w:space="0" w:color="000000"/>
              <w:left w:val="single" w:sz="4" w:space="0" w:color="000000"/>
              <w:bottom w:val="single" w:sz="4" w:space="0" w:color="000000"/>
            </w:tcBorders>
            <w:shd w:val="clear" w:color="auto" w:fill="auto"/>
            <w:vAlign w:val="center"/>
          </w:tcPr>
          <w:p w14:paraId="60663573"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shd w:val="clear" w:color="auto" w:fill="auto"/>
            <w:vAlign w:val="center"/>
          </w:tcPr>
          <w:p w14:paraId="4C1D7350"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shd w:val="clear" w:color="auto" w:fill="auto"/>
            <w:vAlign w:val="center"/>
          </w:tcPr>
          <w:p w14:paraId="20DDAB8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shd w:val="clear" w:color="auto" w:fill="auto"/>
            <w:vAlign w:val="center"/>
          </w:tcPr>
          <w:p w14:paraId="730AA10D"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5A58"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771ECA" w14:paraId="0657F55E" w14:textId="77777777">
        <w:trPr>
          <w:trHeight w:val="285"/>
        </w:trPr>
        <w:tc>
          <w:tcPr>
            <w:tcW w:w="2000" w:type="dxa"/>
            <w:tcBorders>
              <w:left w:val="single" w:sz="4" w:space="0" w:color="000000"/>
              <w:bottom w:val="single" w:sz="4" w:space="0" w:color="000000"/>
            </w:tcBorders>
            <w:shd w:val="clear" w:color="auto" w:fill="auto"/>
            <w:vAlign w:val="center"/>
          </w:tcPr>
          <w:p w14:paraId="2E862664"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6B7BA2AB"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shd w:val="clear" w:color="auto" w:fill="auto"/>
            <w:vAlign w:val="center"/>
          </w:tcPr>
          <w:p w14:paraId="011C59E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shd w:val="clear" w:color="auto" w:fill="auto"/>
            <w:vAlign w:val="center"/>
          </w:tcPr>
          <w:p w14:paraId="37B0EBF9"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19598421"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shd w:val="clear" w:color="auto" w:fill="auto"/>
            <w:vAlign w:val="center"/>
          </w:tcPr>
          <w:p w14:paraId="1A2EAEAC"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shd w:val="clear" w:color="auto" w:fill="auto"/>
            <w:vAlign w:val="center"/>
          </w:tcPr>
          <w:p w14:paraId="0BEFB74E"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6BA43332" w14:textId="77777777">
        <w:trPr>
          <w:trHeight w:val="285"/>
        </w:trPr>
        <w:tc>
          <w:tcPr>
            <w:tcW w:w="2000" w:type="dxa"/>
            <w:tcBorders>
              <w:left w:val="single" w:sz="4" w:space="0" w:color="000000"/>
              <w:bottom w:val="single" w:sz="4" w:space="0" w:color="000000"/>
            </w:tcBorders>
            <w:shd w:val="clear" w:color="auto" w:fill="auto"/>
            <w:vAlign w:val="center"/>
          </w:tcPr>
          <w:p w14:paraId="776CDC4E"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auto"/>
            <w:vAlign w:val="center"/>
          </w:tcPr>
          <w:p w14:paraId="264C8F47"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3484.96</w:t>
            </w:r>
          </w:p>
        </w:tc>
        <w:tc>
          <w:tcPr>
            <w:tcW w:w="1200" w:type="dxa"/>
            <w:tcBorders>
              <w:left w:val="single" w:sz="4" w:space="0" w:color="000000"/>
              <w:bottom w:val="single" w:sz="4" w:space="0" w:color="000000"/>
            </w:tcBorders>
            <w:shd w:val="clear" w:color="auto" w:fill="auto"/>
            <w:vAlign w:val="center"/>
          </w:tcPr>
          <w:p w14:paraId="622162D8"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auto"/>
            <w:vAlign w:val="center"/>
          </w:tcPr>
          <w:p w14:paraId="35D9E05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027F7A31"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shd w:val="clear" w:color="auto" w:fill="auto"/>
            <w:vAlign w:val="center"/>
          </w:tcPr>
          <w:p w14:paraId="6F7F5974"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shd w:val="clear" w:color="auto" w:fill="auto"/>
            <w:vAlign w:val="center"/>
          </w:tcPr>
          <w:p w14:paraId="0397A511"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0C3242E1" w14:textId="77777777">
        <w:trPr>
          <w:trHeight w:val="285"/>
        </w:trPr>
        <w:tc>
          <w:tcPr>
            <w:tcW w:w="2000" w:type="dxa"/>
            <w:tcBorders>
              <w:left w:val="single" w:sz="4" w:space="0" w:color="000000"/>
              <w:bottom w:val="single" w:sz="4" w:space="0" w:color="000000"/>
            </w:tcBorders>
            <w:shd w:val="clear" w:color="auto" w:fill="auto"/>
            <w:vAlign w:val="center"/>
          </w:tcPr>
          <w:p w14:paraId="154D03F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469D1B47"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shd w:val="clear" w:color="auto" w:fill="auto"/>
            <w:vAlign w:val="center"/>
          </w:tcPr>
          <w:p w14:paraId="142C4DC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shd w:val="clear" w:color="auto" w:fill="auto"/>
            <w:vAlign w:val="center"/>
          </w:tcPr>
          <w:p w14:paraId="02AFD296"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2E2E866E"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auto"/>
            <w:vAlign w:val="center"/>
          </w:tcPr>
          <w:p w14:paraId="49E7FDCF"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shd w:val="clear" w:color="auto" w:fill="auto"/>
            <w:vAlign w:val="center"/>
          </w:tcPr>
          <w:p w14:paraId="6400C27E"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06775C32" w14:textId="77777777">
        <w:trPr>
          <w:trHeight w:val="285"/>
        </w:trPr>
        <w:tc>
          <w:tcPr>
            <w:tcW w:w="2000" w:type="dxa"/>
            <w:tcBorders>
              <w:left w:val="single" w:sz="4" w:space="0" w:color="000000"/>
              <w:bottom w:val="single" w:sz="4" w:space="0" w:color="000000"/>
            </w:tcBorders>
            <w:shd w:val="clear" w:color="auto" w:fill="FFFFFF"/>
            <w:vAlign w:val="center"/>
          </w:tcPr>
          <w:p w14:paraId="7F3C62D0"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4AA7C4C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213563B5"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183EE6EE"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402DF993"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3ECC5053"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3F32446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02470CC9" w14:textId="77777777">
        <w:trPr>
          <w:trHeight w:val="285"/>
        </w:trPr>
        <w:tc>
          <w:tcPr>
            <w:tcW w:w="2000" w:type="dxa"/>
            <w:tcBorders>
              <w:left w:val="single" w:sz="4" w:space="0" w:color="000000"/>
              <w:bottom w:val="single" w:sz="4" w:space="0" w:color="000000"/>
            </w:tcBorders>
            <w:shd w:val="clear" w:color="auto" w:fill="FFFFFF"/>
            <w:vAlign w:val="center"/>
          </w:tcPr>
          <w:p w14:paraId="2C189ACB"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46F7332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4442.35</w:t>
            </w:r>
          </w:p>
        </w:tc>
        <w:tc>
          <w:tcPr>
            <w:tcW w:w="1200" w:type="dxa"/>
            <w:tcBorders>
              <w:left w:val="single" w:sz="4" w:space="0" w:color="000000"/>
              <w:bottom w:val="single" w:sz="4" w:space="0" w:color="000000"/>
            </w:tcBorders>
            <w:shd w:val="clear" w:color="auto" w:fill="FFFFFF"/>
            <w:vAlign w:val="center"/>
          </w:tcPr>
          <w:p w14:paraId="1472AECC"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FFFFFF"/>
            <w:vAlign w:val="center"/>
          </w:tcPr>
          <w:p w14:paraId="0EA8881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727A0590"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4E346763"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4B6F2764"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3DE96A64" w14:textId="77777777">
        <w:trPr>
          <w:trHeight w:val="285"/>
        </w:trPr>
        <w:tc>
          <w:tcPr>
            <w:tcW w:w="2000" w:type="dxa"/>
            <w:tcBorders>
              <w:left w:val="single" w:sz="4" w:space="0" w:color="000000"/>
              <w:bottom w:val="single" w:sz="4" w:space="0" w:color="000000"/>
            </w:tcBorders>
            <w:shd w:val="clear" w:color="auto" w:fill="auto"/>
            <w:vAlign w:val="center"/>
          </w:tcPr>
          <w:p w14:paraId="7AC22C3F"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shd w:val="clear" w:color="auto" w:fill="auto"/>
            <w:vAlign w:val="center"/>
          </w:tcPr>
          <w:p w14:paraId="062853B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44131.16</w:t>
            </w:r>
          </w:p>
        </w:tc>
        <w:tc>
          <w:tcPr>
            <w:tcW w:w="1200" w:type="dxa"/>
            <w:tcBorders>
              <w:left w:val="single" w:sz="4" w:space="0" w:color="000000"/>
              <w:bottom w:val="single" w:sz="4" w:space="0" w:color="000000"/>
            </w:tcBorders>
            <w:shd w:val="clear" w:color="auto" w:fill="auto"/>
            <w:vAlign w:val="center"/>
          </w:tcPr>
          <w:p w14:paraId="541F7FF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513</w:t>
            </w:r>
          </w:p>
        </w:tc>
        <w:tc>
          <w:tcPr>
            <w:tcW w:w="1100" w:type="dxa"/>
            <w:tcBorders>
              <w:left w:val="single" w:sz="4" w:space="0" w:color="000000"/>
              <w:bottom w:val="single" w:sz="4" w:space="0" w:color="000000"/>
            </w:tcBorders>
            <w:shd w:val="clear" w:color="auto" w:fill="auto"/>
            <w:vAlign w:val="center"/>
          </w:tcPr>
          <w:p w14:paraId="577C4E2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shd w:val="clear" w:color="auto" w:fill="auto"/>
            <w:vAlign w:val="center"/>
          </w:tcPr>
          <w:p w14:paraId="56CF86A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shd w:val="clear" w:color="auto" w:fill="auto"/>
            <w:vAlign w:val="center"/>
          </w:tcPr>
          <w:p w14:paraId="726CEBD6"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shd w:val="clear" w:color="auto" w:fill="auto"/>
            <w:vAlign w:val="center"/>
          </w:tcPr>
          <w:p w14:paraId="57A05BA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3EA34BCE"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）建筑结构：估价对象所属楼宇建筑结构均为</w:t>
      </w:r>
      <w:r>
        <w:rPr>
          <w:rFonts w:ascii="Arial" w:hAnsi="Arial" w:cs="Arial"/>
          <w:kern w:val="2"/>
          <w:sz w:val="21"/>
          <w:szCs w:val="21"/>
        </w:rPr>
        <w:t>钢混</w:t>
      </w:r>
      <w:r>
        <w:rPr>
          <w:rFonts w:ascii="Arial" w:hAnsi="Arial" w:cs="Arial"/>
          <w:sz w:val="21"/>
          <w:szCs w:val="21"/>
        </w:rPr>
        <w:t>结构。</w:t>
      </w:r>
    </w:p>
    <w:p w14:paraId="199FF0A2"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）建筑外观：</w:t>
      </w:r>
      <w:r>
        <w:rPr>
          <w:rFonts w:ascii="Arial" w:hAnsi="Arial" w:cs="Arial"/>
          <w:kern w:val="2"/>
          <w:sz w:val="21"/>
          <w:szCs w:val="21"/>
        </w:rPr>
        <w:t>亦城景园楼型</w:t>
      </w:r>
      <w:r>
        <w:rPr>
          <w:rFonts w:ascii="Arial" w:hAnsi="Arial" w:cs="Arial"/>
          <w:sz w:val="21"/>
          <w:szCs w:val="21"/>
        </w:rPr>
        <w:t>为高层板楼。</w:t>
      </w:r>
    </w:p>
    <w:p w14:paraId="27DF45AE"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）设施设备：估价对象所在项目配套设施完备，给排水、电力、电讯、暖通等齐全；防火栓、安防系统等设备齐全；配备家具家电。</w:t>
      </w:r>
    </w:p>
    <w:p w14:paraId="3B80DAFC"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铺设地砖，墙面刷涂料、墙纸、电视墙，顶棚石膏吊顶；厨房地面铺设地砖，墙面为墙砖，顶棚为铝扣板，配整体橱柜；卫生间地面铺设地砖，墙面为墙砖，顶棚为铝扣板，配淋浴间，室内装修领军人才公寓为：室内地面铺设地砖，墙面刷涂料，顶棚刷涂料；厨房地面铺设地砖，墙面为墙砖，顶棚为铝扣板，配简易橱柜；卫生间地面铺设地砖，墙面为墙砖，顶棚为铝扣板。</w:t>
      </w:r>
    </w:p>
    <w:p w14:paraId="595DC6EB"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）新旧程度：估价对象观察成新度较高，建成年代较近，成新度较高。</w:t>
      </w:r>
    </w:p>
    <w:p w14:paraId="7DA5093F" w14:textId="77777777" w:rsidR="00771ECA" w:rsidRDefault="00000000">
      <w:pPr>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7</w:t>
      </w:r>
      <w:r>
        <w:rPr>
          <w:rFonts w:ascii="Arial" w:hAnsi="Arial" w:cs="Arial"/>
          <w:sz w:val="21"/>
          <w:szCs w:val="21"/>
        </w:rPr>
        <w:t>）户型设计：</w:t>
      </w:r>
    </w:p>
    <w:p w14:paraId="3F60BAF6" w14:textId="77777777" w:rsidR="00771ECA" w:rsidRDefault="00000000">
      <w:pPr>
        <w:spacing w:line="480" w:lineRule="auto"/>
        <w:ind w:firstLine="420"/>
        <w:rPr>
          <w:rFonts w:ascii="Arial" w:hAnsi="Arial" w:cs="Arial"/>
          <w:sz w:val="21"/>
          <w:szCs w:val="21"/>
        </w:rPr>
      </w:pPr>
      <w:r>
        <w:rPr>
          <w:rFonts w:ascii="Arial" w:hAnsi="Arial" w:cs="Arial"/>
          <w:sz w:val="21"/>
          <w:szCs w:val="21"/>
        </w:rPr>
        <w:t>亦城景园有两种户型，分别为一居室、两居室。其中，一居室共</w:t>
      </w:r>
      <w:r>
        <w:rPr>
          <w:rFonts w:ascii="Arial" w:hAnsi="Arial" w:cs="Arial"/>
          <w:sz w:val="21"/>
          <w:szCs w:val="21"/>
        </w:rPr>
        <w:t>102</w:t>
      </w:r>
      <w:r>
        <w:rPr>
          <w:rFonts w:ascii="Arial" w:hAnsi="Arial" w:cs="Arial"/>
          <w:sz w:val="21"/>
          <w:szCs w:val="21"/>
        </w:rPr>
        <w:t>套，面积控制在</w:t>
      </w:r>
      <w:r>
        <w:rPr>
          <w:rFonts w:ascii="Arial" w:hAnsi="Arial" w:cs="Arial"/>
          <w:sz w:val="21"/>
          <w:szCs w:val="21"/>
        </w:rPr>
        <w:t>69-70</w:t>
      </w:r>
      <w:r>
        <w:rPr>
          <w:rFonts w:ascii="Arial" w:hAnsi="Arial" w:cs="Arial"/>
          <w:sz w:val="21"/>
          <w:szCs w:val="21"/>
        </w:rPr>
        <w:t>平方</w:t>
      </w:r>
      <w:r>
        <w:rPr>
          <w:rFonts w:ascii="Arial" w:hAnsi="Arial" w:cs="Arial"/>
          <w:sz w:val="21"/>
          <w:szCs w:val="21"/>
        </w:rPr>
        <w:lastRenderedPageBreak/>
        <w:t>米；二居室共</w:t>
      </w:r>
      <w:r>
        <w:rPr>
          <w:rFonts w:ascii="Arial" w:hAnsi="Arial" w:cs="Arial"/>
          <w:sz w:val="21"/>
          <w:szCs w:val="21"/>
        </w:rPr>
        <w:t>411</w:t>
      </w:r>
      <w:r>
        <w:rPr>
          <w:rFonts w:ascii="Arial" w:hAnsi="Arial" w:cs="Arial"/>
          <w:sz w:val="21"/>
          <w:szCs w:val="21"/>
        </w:rPr>
        <w:t>套，面积控制在</w:t>
      </w:r>
      <w:r>
        <w:rPr>
          <w:rFonts w:ascii="Arial" w:hAnsi="Arial" w:cs="Arial"/>
          <w:sz w:val="21"/>
          <w:szCs w:val="21"/>
        </w:rPr>
        <w:t>88-93</w:t>
      </w:r>
      <w:r>
        <w:rPr>
          <w:rFonts w:ascii="Arial" w:hAnsi="Arial" w:cs="Arial"/>
          <w:sz w:val="21"/>
          <w:szCs w:val="21"/>
        </w:rPr>
        <w:t>平方米。</w:t>
      </w:r>
    </w:p>
    <w:p w14:paraId="7CF1399E" w14:textId="77777777" w:rsidR="00771ECA" w:rsidRDefault="00000000">
      <w:pPr>
        <w:spacing w:line="480" w:lineRule="auto"/>
        <w:ind w:firstLine="420"/>
      </w:pPr>
      <w:r>
        <w:rPr>
          <w:rFonts w:ascii="Arial" w:hAnsi="Arial" w:cs="Arial"/>
          <w:sz w:val="21"/>
          <w:szCs w:val="21"/>
        </w:rPr>
        <w:t>（</w:t>
      </w:r>
      <w:r>
        <w:rPr>
          <w:rFonts w:ascii="Arial" w:hAnsi="Arial" w:cs="Arial"/>
          <w:sz w:val="21"/>
          <w:szCs w:val="21"/>
        </w:rPr>
        <w:t>8</w:t>
      </w:r>
      <w:r>
        <w:rPr>
          <w:rFonts w:ascii="Arial" w:hAnsi="Arial" w:cs="Arial"/>
          <w:sz w:val="21"/>
          <w:szCs w:val="21"/>
        </w:rPr>
        <w:t>）朝向：</w:t>
      </w:r>
    </w:p>
    <w:p w14:paraId="4D3C62D3" w14:textId="77777777" w:rsidR="00771ECA" w:rsidRDefault="00000000">
      <w:pPr>
        <w:spacing w:line="480" w:lineRule="auto"/>
        <w:ind w:firstLine="420"/>
      </w:pPr>
      <w:r>
        <w:rPr>
          <w:rFonts w:ascii="Arial" w:hAnsi="Arial" w:cs="Arial"/>
          <w:sz w:val="21"/>
          <w:szCs w:val="21"/>
        </w:rPr>
        <w:t>朝向为南北、南，以朝南为主。</w:t>
      </w:r>
    </w:p>
    <w:p w14:paraId="20A81F62" w14:textId="77777777" w:rsidR="00771ECA" w:rsidRDefault="00000000">
      <w:pPr>
        <w:spacing w:line="480" w:lineRule="auto"/>
        <w:ind w:firstLine="420"/>
        <w:rPr>
          <w:rFonts w:ascii="Arial" w:hAnsi="Arial" w:cs="Arial"/>
          <w:sz w:val="21"/>
          <w:szCs w:val="21"/>
        </w:rPr>
      </w:pPr>
      <w:r>
        <w:rPr>
          <w:rFonts w:ascii="Arial" w:hAnsi="Arial" w:cs="Arial"/>
          <w:sz w:val="21"/>
          <w:szCs w:val="21"/>
        </w:rPr>
        <w:t>3.</w:t>
      </w:r>
      <w:r>
        <w:rPr>
          <w:rFonts w:ascii="Arial" w:hAnsi="Arial" w:cs="Arial"/>
          <w:sz w:val="21"/>
          <w:szCs w:val="21"/>
        </w:rPr>
        <w:t>对价格影响的分析</w:t>
      </w:r>
    </w:p>
    <w:p w14:paraId="6CC8A733" w14:textId="77777777" w:rsidR="00771ECA" w:rsidRDefault="00000000">
      <w:pPr>
        <w:spacing w:line="480" w:lineRule="auto"/>
        <w:ind w:firstLine="420"/>
      </w:pPr>
      <w:r>
        <w:rPr>
          <w:rFonts w:ascii="Arial" w:hAnsi="Arial" w:cs="Arial"/>
          <w:sz w:val="21"/>
          <w:szCs w:val="21"/>
        </w:rPr>
        <w:t>估价对象作为住宅使用，通用性相对较好，能完全满足大部分求租者的需求，因此不会影响其租金价格水平。</w:t>
      </w:r>
    </w:p>
    <w:p w14:paraId="68C33CFF" w14:textId="77777777" w:rsidR="00771ECA" w:rsidRDefault="00000000">
      <w:pPr>
        <w:pStyle w:val="2"/>
        <w:numPr>
          <w:ilvl w:val="0"/>
          <w:numId w:val="0"/>
        </w:numPr>
        <w:tabs>
          <w:tab w:val="left" w:pos="360"/>
        </w:tabs>
        <w:spacing w:line="480" w:lineRule="auto"/>
        <w:ind w:left="359" w:hanging="359"/>
        <w:jc w:val="both"/>
      </w:pPr>
      <w:bookmarkStart w:id="37" w:name="__RefHeading___Toc525655436"/>
      <w:bookmarkEnd w:id="37"/>
      <w:r>
        <w:rPr>
          <w:rFonts w:eastAsia="宋体;SimSun"/>
          <w:kern w:val="2"/>
          <w:sz w:val="21"/>
          <w:szCs w:val="21"/>
        </w:rPr>
        <w:t>（三）权益状况分析</w:t>
      </w:r>
    </w:p>
    <w:p w14:paraId="2507EB04" w14:textId="77777777" w:rsidR="00771ECA" w:rsidRDefault="00000000">
      <w:pPr>
        <w:spacing w:line="480" w:lineRule="auto"/>
        <w:ind w:firstLine="420"/>
        <w:rPr>
          <w:rFonts w:ascii="Arial" w:hAnsi="Arial" w:cs="Arial"/>
          <w:kern w:val="2"/>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）根据估价委托人提供的资料及评估专业人员实地查勘，于价值时点，未发现估价对象存在</w:t>
      </w:r>
      <w:r>
        <w:rPr>
          <w:rFonts w:ascii="Arial" w:hAnsi="Arial" w:cs="Arial"/>
          <w:kern w:val="2"/>
          <w:sz w:val="21"/>
          <w:szCs w:val="21"/>
        </w:rPr>
        <w:t>抵押、地役、查封等他项权利</w:t>
      </w:r>
      <w:r>
        <w:rPr>
          <w:rFonts w:ascii="Arial" w:hAnsi="Arial" w:cs="Arial"/>
          <w:sz w:val="21"/>
          <w:szCs w:val="21"/>
        </w:rPr>
        <w:t>。</w:t>
      </w:r>
      <w:r>
        <w:rPr>
          <w:rFonts w:ascii="Arial" w:hAnsi="Arial" w:cs="Arial"/>
          <w:kern w:val="2"/>
          <w:sz w:val="21"/>
          <w:szCs w:val="21"/>
        </w:rPr>
        <w:t>根据估价目的，本次估价未考虑抵押、租赁、地役、查封等他项权利影响，故设定估价对象于价值时点不存在抵押、地役、查封等他项权利限制。</w:t>
      </w:r>
    </w:p>
    <w:p w14:paraId="3BCFACE7" w14:textId="77777777" w:rsidR="00771ECA" w:rsidRDefault="00000000">
      <w:pPr>
        <w:spacing w:line="480" w:lineRule="auto"/>
        <w:ind w:firstLine="420"/>
        <w:rPr>
          <w:rFonts w:ascii="Arial" w:hAnsi="Arial" w:cs="Arial"/>
          <w:kern w:val="2"/>
          <w:sz w:val="21"/>
          <w:szCs w:val="21"/>
        </w:rPr>
      </w:pPr>
      <w:r>
        <w:rPr>
          <w:rFonts w:ascii="Arial" w:hAnsi="Arial" w:cs="Arial"/>
          <w:kern w:val="2"/>
          <w:sz w:val="21"/>
          <w:szCs w:val="21"/>
        </w:rPr>
        <w:t>（</w:t>
      </w:r>
      <w:r>
        <w:rPr>
          <w:rFonts w:ascii="Arial" w:hAnsi="Arial" w:cs="Arial"/>
          <w:kern w:val="2"/>
          <w:sz w:val="21"/>
          <w:szCs w:val="21"/>
        </w:rPr>
        <w:t>2</w:t>
      </w:r>
      <w:r>
        <w:rPr>
          <w:rFonts w:ascii="Arial" w:hAnsi="Arial" w:cs="Arial"/>
          <w:kern w:val="2"/>
          <w:sz w:val="21"/>
          <w:szCs w:val="21"/>
        </w:rPr>
        <w:t>）</w:t>
      </w:r>
      <w:r>
        <w:rPr>
          <w:rFonts w:ascii="Arial" w:hAnsi="Arial" w:cs="Arial"/>
          <w:sz w:val="21"/>
          <w:szCs w:val="21"/>
        </w:rPr>
        <w:t>根据评估专业人员实地查勘，于价值时点，估价对象部分已出租。</w:t>
      </w:r>
      <w:r>
        <w:rPr>
          <w:rFonts w:ascii="Arial" w:hAnsi="Arial" w:cs="Arial"/>
          <w:kern w:val="2"/>
          <w:sz w:val="21"/>
          <w:szCs w:val="21"/>
        </w:rPr>
        <w:t>根据估价目的，本次估价不考虑租赁情况的影响。</w:t>
      </w:r>
    </w:p>
    <w:p w14:paraId="2928F974" w14:textId="77777777" w:rsidR="00771ECA" w:rsidRDefault="00771ECA">
      <w:pPr>
        <w:pStyle w:val="2"/>
        <w:numPr>
          <w:ilvl w:val="0"/>
          <w:numId w:val="0"/>
        </w:numPr>
        <w:tabs>
          <w:tab w:val="left" w:pos="360"/>
        </w:tabs>
        <w:spacing w:line="480" w:lineRule="auto"/>
        <w:ind w:left="357" w:hanging="357"/>
        <w:jc w:val="both"/>
        <w:rPr>
          <w:rFonts w:eastAsia="宋体;SimSun"/>
          <w:kern w:val="2"/>
          <w:sz w:val="21"/>
          <w:szCs w:val="21"/>
        </w:rPr>
      </w:pPr>
    </w:p>
    <w:p w14:paraId="23F6A152" w14:textId="77777777" w:rsidR="00771ECA" w:rsidRDefault="00000000">
      <w:pPr>
        <w:pStyle w:val="2"/>
        <w:numPr>
          <w:ilvl w:val="0"/>
          <w:numId w:val="0"/>
        </w:numPr>
        <w:tabs>
          <w:tab w:val="left" w:pos="360"/>
        </w:tabs>
        <w:spacing w:line="480" w:lineRule="auto"/>
        <w:ind w:left="357" w:hanging="357"/>
        <w:jc w:val="both"/>
        <w:rPr>
          <w:rFonts w:eastAsia="宋体;SimSun"/>
          <w:kern w:val="2"/>
          <w:sz w:val="21"/>
          <w:szCs w:val="21"/>
        </w:rPr>
      </w:pPr>
      <w:bookmarkStart w:id="38" w:name="__RefHeading___Toc525655437"/>
      <w:r>
        <w:rPr>
          <w:rFonts w:eastAsia="宋体;SimSun"/>
          <w:kern w:val="2"/>
          <w:sz w:val="21"/>
          <w:szCs w:val="21"/>
        </w:rPr>
        <w:t>二、市场背景描述与分析</w:t>
      </w:r>
      <w:bookmarkEnd w:id="38"/>
    </w:p>
    <w:p w14:paraId="479799E2" w14:textId="77777777" w:rsidR="00771ECA" w:rsidRDefault="00000000">
      <w:pPr>
        <w:overflowPunct w:val="0"/>
        <w:spacing w:line="480" w:lineRule="auto"/>
        <w:ind w:right="205"/>
        <w:jc w:val="both"/>
        <w:textAlignment w:val="auto"/>
        <w:rPr>
          <w:rFonts w:ascii="Arial" w:hAnsi="Arial" w:cs="Arial"/>
          <w:b/>
          <w:bCs/>
          <w:sz w:val="21"/>
          <w:szCs w:val="21"/>
        </w:rPr>
      </w:pPr>
      <w:r>
        <w:rPr>
          <w:rFonts w:ascii="Arial" w:hAnsi="Arial" w:cs="Arial"/>
          <w:b/>
          <w:bCs/>
          <w:sz w:val="21"/>
          <w:szCs w:val="21"/>
        </w:rPr>
        <w:t>（一）类似房地产市场状况（</w:t>
      </w:r>
      <w:r>
        <w:rPr>
          <w:rFonts w:ascii="Arial" w:hAnsi="Arial" w:cs="Arial"/>
          <w:b/>
          <w:bCs/>
          <w:sz w:val="21"/>
          <w:szCs w:val="21"/>
        </w:rPr>
        <w:t>2023</w:t>
      </w:r>
      <w:r>
        <w:rPr>
          <w:rFonts w:ascii="Arial" w:hAnsi="Arial" w:cs="Arial"/>
          <w:b/>
          <w:bCs/>
          <w:sz w:val="21"/>
          <w:szCs w:val="21"/>
        </w:rPr>
        <w:t>年</w:t>
      </w:r>
      <w:r>
        <w:rPr>
          <w:rFonts w:ascii="Arial" w:hAnsi="Arial" w:cs="Arial"/>
          <w:b/>
          <w:bCs/>
          <w:sz w:val="21"/>
          <w:szCs w:val="21"/>
        </w:rPr>
        <w:t>3</w:t>
      </w:r>
      <w:r>
        <w:rPr>
          <w:rFonts w:ascii="Arial" w:hAnsi="Arial" w:cs="Arial"/>
          <w:b/>
          <w:bCs/>
          <w:sz w:val="21"/>
          <w:szCs w:val="21"/>
        </w:rPr>
        <w:t>季度）</w:t>
      </w:r>
    </w:p>
    <w:p w14:paraId="1DF75DCD"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1.</w:t>
      </w:r>
      <w:r>
        <w:rPr>
          <w:rFonts w:ascii="Arial" w:hAnsi="Arial" w:cs="Arial"/>
          <w:sz w:val="21"/>
          <w:szCs w:val="21"/>
        </w:rPr>
        <w:t>宏观环境</w:t>
      </w:r>
    </w:p>
    <w:p w14:paraId="35D64E20" w14:textId="77777777" w:rsidR="00771ECA" w:rsidRDefault="00000000">
      <w:pPr>
        <w:widowControl/>
        <w:spacing w:line="480" w:lineRule="auto"/>
        <w:ind w:firstLine="525"/>
        <w:jc w:val="both"/>
        <w:textAlignment w:val="auto"/>
      </w:pPr>
      <w:r>
        <w:rPr>
          <w:rFonts w:ascii="Arial" w:hAnsi="Arial" w:cs="Arial"/>
          <w:color w:val="000000"/>
          <w:sz w:val="21"/>
          <w:szCs w:val="21"/>
        </w:rPr>
        <w:t>北京市位于北纬</w:t>
      </w:r>
      <w:r>
        <w:rPr>
          <w:rFonts w:ascii="Arial" w:hAnsi="Arial" w:cs="Arial"/>
          <w:color w:val="000000"/>
          <w:sz w:val="21"/>
          <w:szCs w:val="21"/>
        </w:rPr>
        <w:t>39</w:t>
      </w:r>
      <w:r>
        <w:rPr>
          <w:rFonts w:ascii="Arial" w:hAnsi="Arial" w:cs="Arial"/>
          <w:color w:val="000000"/>
          <w:sz w:val="21"/>
          <w:szCs w:val="21"/>
        </w:rPr>
        <w:t>度</w:t>
      </w:r>
      <w:r>
        <w:rPr>
          <w:rFonts w:ascii="Arial" w:hAnsi="Arial" w:cs="Arial"/>
          <w:color w:val="000000"/>
          <w:sz w:val="21"/>
          <w:szCs w:val="21"/>
        </w:rPr>
        <w:t>56</w:t>
      </w:r>
      <w:r>
        <w:rPr>
          <w:rFonts w:ascii="Arial" w:hAnsi="Arial" w:cs="Arial"/>
          <w:color w:val="000000"/>
          <w:sz w:val="21"/>
          <w:szCs w:val="21"/>
        </w:rPr>
        <w:t>分，东经</w:t>
      </w:r>
      <w:r>
        <w:rPr>
          <w:rFonts w:ascii="Arial" w:hAnsi="Arial" w:cs="Arial"/>
          <w:color w:val="000000"/>
          <w:sz w:val="21"/>
          <w:szCs w:val="21"/>
        </w:rPr>
        <w:t>116</w:t>
      </w:r>
      <w:r>
        <w:rPr>
          <w:rFonts w:ascii="Arial" w:hAnsi="Arial" w:cs="Arial"/>
          <w:color w:val="000000"/>
          <w:sz w:val="21"/>
          <w:szCs w:val="21"/>
        </w:rPr>
        <w:t>度</w:t>
      </w:r>
      <w:r>
        <w:rPr>
          <w:rFonts w:ascii="Arial" w:hAnsi="Arial" w:cs="Arial"/>
          <w:color w:val="000000"/>
          <w:sz w:val="21"/>
          <w:szCs w:val="21"/>
        </w:rPr>
        <w:t>20</w:t>
      </w:r>
      <w:r>
        <w:rPr>
          <w:rFonts w:ascii="Arial" w:hAnsi="Arial" w:cs="Arial"/>
          <w:color w:val="000000"/>
          <w:sz w:val="21"/>
          <w:szCs w:val="21"/>
        </w:rPr>
        <w:t>分，地处华北大平原的北部，北京市土地面积</w:t>
      </w:r>
      <w:r>
        <w:rPr>
          <w:rFonts w:ascii="Arial" w:hAnsi="Arial" w:cs="Arial"/>
          <w:color w:val="000000"/>
          <w:sz w:val="21"/>
          <w:szCs w:val="21"/>
        </w:rPr>
        <w:t>16410.54</w:t>
      </w:r>
      <w:r>
        <w:rPr>
          <w:rFonts w:ascii="Arial" w:hAnsi="Arial" w:cs="Arial"/>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s="Arial"/>
          <w:color w:val="000000"/>
          <w:sz w:val="21"/>
          <w:szCs w:val="21"/>
        </w:rPr>
        <w:t>16</w:t>
      </w:r>
      <w:r>
        <w:rPr>
          <w:rFonts w:ascii="Arial" w:hAnsi="Arial" w:cs="Arial"/>
          <w:color w:val="000000"/>
          <w:sz w:val="21"/>
          <w:szCs w:val="21"/>
        </w:rPr>
        <w:t>区格局，即东城、西城、海淀、朝阳、丰台、顺义、昌平、通州、门头沟、石景山、房山、大兴、怀柔、平谷、密云、延庆。</w:t>
      </w:r>
    </w:p>
    <w:p w14:paraId="797FF47E" w14:textId="77777777" w:rsidR="00771ECA" w:rsidRDefault="00000000">
      <w:pPr>
        <w:widowControl/>
        <w:spacing w:line="480" w:lineRule="auto"/>
        <w:ind w:firstLine="525"/>
        <w:jc w:val="both"/>
        <w:textAlignment w:val="auto"/>
        <w:rPr>
          <w:rFonts w:ascii="Arial" w:hAnsi="Arial" w:cs="Arial"/>
          <w:color w:val="000000"/>
          <w:sz w:val="21"/>
          <w:szCs w:val="21"/>
        </w:rPr>
      </w:pPr>
      <w:r>
        <w:rPr>
          <w:rFonts w:ascii="Arial" w:hAnsi="Arial" w:cs="Arial"/>
          <w:color w:val="000000"/>
          <w:sz w:val="21"/>
          <w:szCs w:val="21"/>
        </w:rPr>
        <w:t>截至</w:t>
      </w:r>
      <w:r>
        <w:rPr>
          <w:rFonts w:ascii="Arial" w:hAnsi="Arial" w:cs="Arial"/>
          <w:color w:val="000000"/>
          <w:sz w:val="21"/>
          <w:szCs w:val="21"/>
        </w:rPr>
        <w:t>2022</w:t>
      </w:r>
      <w:r>
        <w:rPr>
          <w:rFonts w:ascii="Arial" w:hAnsi="Arial" w:cs="Arial"/>
          <w:color w:val="000000"/>
          <w:sz w:val="21"/>
          <w:szCs w:val="21"/>
        </w:rPr>
        <w:t>年年末，北京市常住人口为</w:t>
      </w:r>
      <w:r>
        <w:rPr>
          <w:rFonts w:ascii="Arial" w:hAnsi="Arial" w:cs="Arial"/>
          <w:color w:val="000000"/>
          <w:sz w:val="21"/>
          <w:szCs w:val="21"/>
        </w:rPr>
        <w:t>2184.3</w:t>
      </w:r>
      <w:r>
        <w:rPr>
          <w:rFonts w:ascii="Arial" w:hAnsi="Arial" w:cs="Arial"/>
          <w:color w:val="000000"/>
          <w:sz w:val="21"/>
          <w:szCs w:val="21"/>
        </w:rPr>
        <w:t>万人，从年龄构成看，</w:t>
      </w:r>
      <w:r>
        <w:rPr>
          <w:rFonts w:ascii="Arial" w:hAnsi="Arial" w:cs="Arial"/>
          <w:color w:val="000000"/>
          <w:sz w:val="21"/>
          <w:szCs w:val="21"/>
        </w:rPr>
        <w:t>0-14</w:t>
      </w:r>
      <w:r>
        <w:rPr>
          <w:rFonts w:ascii="Arial" w:hAnsi="Arial" w:cs="Arial"/>
          <w:color w:val="000000"/>
          <w:sz w:val="21"/>
          <w:szCs w:val="21"/>
        </w:rPr>
        <w:t>岁常住人口</w:t>
      </w:r>
      <w:r>
        <w:rPr>
          <w:rFonts w:ascii="Arial" w:hAnsi="Arial" w:cs="Arial"/>
          <w:color w:val="000000"/>
          <w:sz w:val="21"/>
          <w:szCs w:val="21"/>
        </w:rPr>
        <w:t>264</w:t>
      </w:r>
      <w:r>
        <w:rPr>
          <w:rFonts w:ascii="Arial" w:hAnsi="Arial" w:cs="Arial"/>
          <w:color w:val="000000"/>
          <w:sz w:val="21"/>
          <w:szCs w:val="21"/>
        </w:rPr>
        <w:t>万人，占全市常住人口的比重为</w:t>
      </w:r>
      <w:r>
        <w:rPr>
          <w:rFonts w:ascii="Arial" w:hAnsi="Arial" w:cs="Arial"/>
          <w:color w:val="000000"/>
          <w:sz w:val="21"/>
          <w:szCs w:val="21"/>
        </w:rPr>
        <w:t>12.1%</w:t>
      </w:r>
      <w:r>
        <w:rPr>
          <w:rFonts w:ascii="Arial" w:hAnsi="Arial" w:cs="Arial"/>
          <w:color w:val="000000"/>
          <w:sz w:val="21"/>
          <w:szCs w:val="21"/>
        </w:rPr>
        <w:t>；</w:t>
      </w:r>
      <w:r>
        <w:rPr>
          <w:rFonts w:ascii="Arial" w:hAnsi="Arial" w:cs="Arial"/>
          <w:color w:val="000000"/>
          <w:sz w:val="21"/>
          <w:szCs w:val="21"/>
        </w:rPr>
        <w:t>15-59</w:t>
      </w:r>
      <w:r>
        <w:rPr>
          <w:rFonts w:ascii="Arial" w:hAnsi="Arial" w:cs="Arial"/>
          <w:color w:val="000000"/>
          <w:sz w:val="21"/>
          <w:szCs w:val="21"/>
        </w:rPr>
        <w:t>岁常住人口</w:t>
      </w:r>
      <w:r>
        <w:rPr>
          <w:rFonts w:ascii="Arial" w:hAnsi="Arial" w:cs="Arial"/>
          <w:color w:val="000000"/>
          <w:sz w:val="21"/>
          <w:szCs w:val="21"/>
        </w:rPr>
        <w:t>1455.2</w:t>
      </w:r>
      <w:r>
        <w:rPr>
          <w:rFonts w:ascii="Arial" w:hAnsi="Arial" w:cs="Arial"/>
          <w:color w:val="000000"/>
          <w:sz w:val="21"/>
          <w:szCs w:val="21"/>
        </w:rPr>
        <w:t>万人，占</w:t>
      </w:r>
      <w:r>
        <w:rPr>
          <w:rFonts w:ascii="Arial" w:hAnsi="Arial" w:cs="Arial"/>
          <w:color w:val="000000"/>
          <w:sz w:val="21"/>
          <w:szCs w:val="21"/>
        </w:rPr>
        <w:t>66.6%</w:t>
      </w:r>
      <w:r>
        <w:rPr>
          <w:rFonts w:ascii="Arial" w:hAnsi="Arial" w:cs="Arial"/>
          <w:color w:val="000000"/>
          <w:sz w:val="21"/>
          <w:szCs w:val="21"/>
        </w:rPr>
        <w:t>；</w:t>
      </w:r>
      <w:r>
        <w:rPr>
          <w:rFonts w:ascii="Arial" w:hAnsi="Arial" w:cs="Arial"/>
          <w:color w:val="000000"/>
          <w:sz w:val="21"/>
          <w:szCs w:val="21"/>
        </w:rPr>
        <w:t>60</w:t>
      </w:r>
      <w:r>
        <w:rPr>
          <w:rFonts w:ascii="Arial" w:hAnsi="Arial" w:cs="Arial"/>
          <w:color w:val="000000"/>
          <w:sz w:val="21"/>
          <w:szCs w:val="21"/>
        </w:rPr>
        <w:t>岁及以上常住人口</w:t>
      </w:r>
      <w:r>
        <w:rPr>
          <w:rFonts w:ascii="Arial" w:hAnsi="Arial" w:cs="Arial"/>
          <w:color w:val="000000"/>
          <w:sz w:val="21"/>
          <w:szCs w:val="21"/>
        </w:rPr>
        <w:t>465.1</w:t>
      </w:r>
      <w:r>
        <w:rPr>
          <w:rFonts w:ascii="Arial" w:hAnsi="Arial" w:cs="Arial"/>
          <w:color w:val="000000"/>
          <w:sz w:val="21"/>
          <w:szCs w:val="21"/>
        </w:rPr>
        <w:t>万人，占</w:t>
      </w:r>
      <w:r>
        <w:rPr>
          <w:rFonts w:ascii="Arial" w:hAnsi="Arial" w:cs="Arial"/>
          <w:color w:val="000000"/>
          <w:sz w:val="21"/>
          <w:szCs w:val="21"/>
        </w:rPr>
        <w:t>21.3%</w:t>
      </w:r>
      <w:r>
        <w:rPr>
          <w:rFonts w:ascii="Arial" w:hAnsi="Arial" w:cs="Arial"/>
          <w:color w:val="000000"/>
          <w:sz w:val="21"/>
          <w:szCs w:val="21"/>
        </w:rPr>
        <w:t>。</w:t>
      </w:r>
    </w:p>
    <w:p w14:paraId="3CD381EE" w14:textId="77777777" w:rsidR="00771ECA" w:rsidRDefault="00000000">
      <w:pPr>
        <w:overflowPunct w:val="0"/>
        <w:spacing w:line="240" w:lineRule="auto"/>
        <w:jc w:val="center"/>
        <w:rPr>
          <w:rFonts w:ascii="Arial" w:eastAsia="方正黑体简体" w:hAnsi="Arial" w:cs="Arial"/>
          <w:bCs/>
          <w:color w:val="000000"/>
          <w:szCs w:val="24"/>
        </w:rPr>
      </w:pPr>
      <w:r>
        <w:rPr>
          <w:rFonts w:ascii="Arial" w:eastAsia="方正黑体简体" w:hAnsi="Arial" w:cs="Arial"/>
          <w:bCs/>
          <w:color w:val="000000"/>
          <w:szCs w:val="24"/>
        </w:rPr>
        <w:t>2018-2022</w:t>
      </w:r>
      <w:r>
        <w:rPr>
          <w:rFonts w:ascii="Arial" w:eastAsia="方正黑体简体" w:hAnsi="Arial" w:cs="Arial"/>
          <w:bCs/>
          <w:color w:val="000000"/>
          <w:szCs w:val="24"/>
        </w:rPr>
        <w:t>年常住人口增量及增长速度</w:t>
      </w:r>
    </w:p>
    <w:p w14:paraId="192C608E" w14:textId="77777777" w:rsidR="00771ECA" w:rsidRDefault="00000000">
      <w:pPr>
        <w:widowControl/>
        <w:spacing w:line="480" w:lineRule="auto"/>
        <w:jc w:val="both"/>
        <w:textAlignment w:val="auto"/>
        <w:rPr>
          <w:rFonts w:ascii="Arial" w:hAnsi="Arial" w:cs="Arial"/>
          <w:color w:val="000000"/>
          <w:sz w:val="21"/>
          <w:szCs w:val="21"/>
        </w:rPr>
      </w:pPr>
      <w:r>
        <w:rPr>
          <w:noProof/>
          <w:lang w:val="zh-CN"/>
        </w:rPr>
        <w:lastRenderedPageBreak/>
        <w:drawing>
          <wp:inline distT="0" distB="0" distL="0" distR="0" wp14:anchorId="3B5FB5B4" wp14:editId="61CA8E15">
            <wp:extent cx="5902960" cy="2541905"/>
            <wp:effectExtent l="0" t="0" r="0" b="0"/>
            <wp:docPr id="11"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表 1"/>
                    <pic:cNvPicPr>
                      <a:picLocks noChangeAspect="1" noChangeArrowheads="1"/>
                    </pic:cNvPicPr>
                  </pic:nvPicPr>
                  <pic:blipFill>
                    <a:blip r:embed="rId30"/>
                    <a:srcRect l="-6" t="-14" r="-6" b="-14"/>
                    <a:stretch>
                      <a:fillRect/>
                    </a:stretch>
                  </pic:blipFill>
                  <pic:spPr bwMode="auto">
                    <a:xfrm>
                      <a:off x="0" y="0"/>
                      <a:ext cx="5902960" cy="2541905"/>
                    </a:xfrm>
                    <a:prstGeom prst="rect">
                      <a:avLst/>
                    </a:prstGeom>
                  </pic:spPr>
                </pic:pic>
              </a:graphicData>
            </a:graphic>
          </wp:inline>
        </w:drawing>
      </w:r>
    </w:p>
    <w:p w14:paraId="5680D9F0" w14:textId="77777777" w:rsidR="00771ECA" w:rsidRDefault="00000000">
      <w:pPr>
        <w:widowControl/>
        <w:spacing w:line="480" w:lineRule="auto"/>
        <w:ind w:firstLine="525"/>
        <w:jc w:val="both"/>
        <w:textAlignment w:val="auto"/>
        <w:rPr>
          <w:rFonts w:ascii="Arial" w:hAnsi="Arial" w:cs="Arial"/>
          <w:color w:val="000000"/>
          <w:sz w:val="21"/>
          <w:szCs w:val="21"/>
        </w:rPr>
      </w:pPr>
      <w:bookmarkStart w:id="39" w:name="OLE_LINK34"/>
      <w:bookmarkStart w:id="40" w:name="OLE_LINK33"/>
      <w:bookmarkEnd w:id="39"/>
      <w:bookmarkEnd w:id="40"/>
      <w:r>
        <w:rPr>
          <w:rFonts w:ascii="Arial" w:hAnsi="Arial" w:cs="Arial"/>
          <w:color w:val="000000"/>
          <w:sz w:val="21"/>
          <w:szCs w:val="21"/>
        </w:rPr>
        <w:t>根据北京市统计局地区生产总值统一核算结果，</w:t>
      </w:r>
      <w:r>
        <w:rPr>
          <w:rFonts w:ascii="Arial" w:hAnsi="Arial" w:cs="Arial"/>
          <w:color w:val="000000"/>
          <w:sz w:val="21"/>
          <w:szCs w:val="21"/>
        </w:rPr>
        <w:t>2023</w:t>
      </w:r>
      <w:r>
        <w:rPr>
          <w:rFonts w:ascii="Arial" w:hAnsi="Arial" w:cs="Arial"/>
          <w:color w:val="000000"/>
          <w:sz w:val="21"/>
          <w:szCs w:val="21"/>
        </w:rPr>
        <w:t>年前三季度，北京市实现地区生产总值</w:t>
      </w:r>
      <w:r>
        <w:rPr>
          <w:rFonts w:ascii="Arial" w:hAnsi="Arial" w:cs="Arial"/>
          <w:color w:val="000000"/>
          <w:sz w:val="21"/>
          <w:szCs w:val="21"/>
        </w:rPr>
        <w:t>31723.1</w:t>
      </w:r>
      <w:r>
        <w:rPr>
          <w:rFonts w:ascii="Arial" w:hAnsi="Arial" w:cs="Arial"/>
          <w:color w:val="000000"/>
          <w:sz w:val="21"/>
          <w:szCs w:val="21"/>
        </w:rPr>
        <w:t>亿元，按不变价格计算，同比增长</w:t>
      </w:r>
      <w:r>
        <w:rPr>
          <w:rFonts w:ascii="Arial" w:hAnsi="Arial" w:cs="Arial"/>
          <w:color w:val="000000"/>
          <w:sz w:val="21"/>
          <w:szCs w:val="21"/>
        </w:rPr>
        <w:t>5.1%</w:t>
      </w:r>
      <w:r>
        <w:rPr>
          <w:rFonts w:ascii="Arial" w:hAnsi="Arial" w:cs="Arial"/>
          <w:color w:val="000000"/>
          <w:sz w:val="21"/>
          <w:szCs w:val="21"/>
        </w:rPr>
        <w:t>，比上半年回落</w:t>
      </w:r>
      <w:r>
        <w:rPr>
          <w:rFonts w:ascii="Arial" w:hAnsi="Arial" w:cs="Arial"/>
          <w:color w:val="000000"/>
          <w:sz w:val="21"/>
          <w:szCs w:val="21"/>
        </w:rPr>
        <w:t>0.4</w:t>
      </w:r>
      <w:r>
        <w:rPr>
          <w:rFonts w:ascii="Arial" w:hAnsi="Arial" w:cs="Arial"/>
          <w:color w:val="000000"/>
          <w:sz w:val="21"/>
          <w:szCs w:val="21"/>
        </w:rPr>
        <w:t>个百分点。分产业看，第一产业实现增加值</w:t>
      </w:r>
      <w:r>
        <w:rPr>
          <w:rFonts w:ascii="Arial" w:hAnsi="Arial" w:cs="Arial"/>
          <w:color w:val="000000"/>
          <w:sz w:val="21"/>
          <w:szCs w:val="21"/>
        </w:rPr>
        <w:t>71.4</w:t>
      </w:r>
      <w:r>
        <w:rPr>
          <w:rFonts w:ascii="Arial" w:hAnsi="Arial" w:cs="Arial"/>
          <w:color w:val="000000"/>
          <w:sz w:val="21"/>
          <w:szCs w:val="21"/>
        </w:rPr>
        <w:t>亿元，下降</w:t>
      </w:r>
      <w:r>
        <w:rPr>
          <w:rFonts w:ascii="Arial" w:hAnsi="Arial" w:cs="Arial"/>
          <w:color w:val="000000"/>
          <w:sz w:val="21"/>
          <w:szCs w:val="21"/>
        </w:rPr>
        <w:t>4.2%</w:t>
      </w:r>
      <w:r>
        <w:rPr>
          <w:rFonts w:ascii="Arial" w:hAnsi="Arial" w:cs="Arial"/>
          <w:color w:val="000000"/>
          <w:sz w:val="21"/>
          <w:szCs w:val="21"/>
        </w:rPr>
        <w:t>；第二产业实现增加值</w:t>
      </w:r>
      <w:r>
        <w:rPr>
          <w:rFonts w:ascii="Arial" w:hAnsi="Arial" w:cs="Arial"/>
          <w:color w:val="000000"/>
          <w:sz w:val="21"/>
          <w:szCs w:val="21"/>
        </w:rPr>
        <w:t>4529.1</w:t>
      </w:r>
      <w:r>
        <w:rPr>
          <w:rFonts w:ascii="Arial" w:hAnsi="Arial" w:cs="Arial"/>
          <w:color w:val="000000"/>
          <w:sz w:val="21"/>
          <w:szCs w:val="21"/>
        </w:rPr>
        <w:t>亿元，下降</w:t>
      </w:r>
      <w:r>
        <w:rPr>
          <w:rFonts w:ascii="Arial" w:hAnsi="Arial" w:cs="Arial"/>
          <w:color w:val="000000"/>
          <w:sz w:val="21"/>
          <w:szCs w:val="21"/>
        </w:rPr>
        <w:t>0.1%</w:t>
      </w:r>
      <w:r>
        <w:rPr>
          <w:rFonts w:ascii="Arial" w:hAnsi="Arial" w:cs="Arial"/>
          <w:color w:val="000000"/>
          <w:sz w:val="21"/>
          <w:szCs w:val="21"/>
        </w:rPr>
        <w:t>；第三产业实现增加值</w:t>
      </w:r>
      <w:r>
        <w:rPr>
          <w:rFonts w:ascii="Arial" w:hAnsi="Arial" w:cs="Arial"/>
          <w:color w:val="000000"/>
          <w:sz w:val="21"/>
          <w:szCs w:val="21"/>
        </w:rPr>
        <w:t>27122.7</w:t>
      </w:r>
      <w:r>
        <w:rPr>
          <w:rFonts w:ascii="Arial" w:hAnsi="Arial" w:cs="Arial"/>
          <w:color w:val="000000"/>
          <w:sz w:val="21"/>
          <w:szCs w:val="21"/>
        </w:rPr>
        <w:t>亿元，增长</w:t>
      </w:r>
      <w:r>
        <w:rPr>
          <w:rFonts w:ascii="Arial" w:hAnsi="Arial" w:cs="Arial"/>
          <w:color w:val="000000"/>
          <w:sz w:val="21"/>
          <w:szCs w:val="21"/>
        </w:rPr>
        <w:t>6.1%</w:t>
      </w:r>
      <w:r>
        <w:rPr>
          <w:rFonts w:ascii="Arial" w:hAnsi="Arial" w:cs="Arial"/>
          <w:color w:val="000000"/>
          <w:sz w:val="21"/>
          <w:szCs w:val="21"/>
        </w:rPr>
        <w:t>。</w:t>
      </w:r>
    </w:p>
    <w:p w14:paraId="2835A86D" w14:textId="77777777" w:rsidR="00771ECA" w:rsidRDefault="00000000">
      <w:pPr>
        <w:widowControl/>
        <w:spacing w:line="480" w:lineRule="auto"/>
        <w:ind w:firstLine="525"/>
        <w:jc w:val="both"/>
        <w:textAlignment w:val="auto"/>
        <w:rPr>
          <w:rFonts w:ascii="Arial" w:hAnsi="Arial" w:cs="Arial"/>
          <w:color w:val="000000"/>
          <w:sz w:val="21"/>
          <w:szCs w:val="21"/>
        </w:rPr>
      </w:pPr>
      <w:r>
        <w:rPr>
          <w:rFonts w:ascii="Arial" w:hAnsi="Arial" w:cs="Arial"/>
          <w:color w:val="000000"/>
          <w:sz w:val="21"/>
          <w:szCs w:val="21"/>
        </w:rPr>
        <w:t>前三季度，北京市固定资产投资（不含农户）同比增长</w:t>
      </w:r>
      <w:r>
        <w:rPr>
          <w:rFonts w:ascii="Arial" w:hAnsi="Arial" w:cs="Arial"/>
          <w:color w:val="000000"/>
          <w:sz w:val="21"/>
          <w:szCs w:val="21"/>
        </w:rPr>
        <w:t>5.9%</w:t>
      </w:r>
      <w:r>
        <w:rPr>
          <w:rFonts w:ascii="Arial" w:hAnsi="Arial" w:cs="Arial"/>
          <w:color w:val="000000"/>
          <w:sz w:val="21"/>
          <w:szCs w:val="21"/>
        </w:rPr>
        <w:t>。其中，基础设施投资下降</w:t>
      </w:r>
      <w:r>
        <w:rPr>
          <w:rFonts w:ascii="Arial" w:hAnsi="Arial" w:cs="Arial"/>
          <w:color w:val="000000"/>
          <w:sz w:val="21"/>
          <w:szCs w:val="21"/>
        </w:rPr>
        <w:t>0.1%</w:t>
      </w:r>
      <w:r>
        <w:rPr>
          <w:rFonts w:ascii="Arial" w:hAnsi="Arial" w:cs="Arial"/>
          <w:color w:val="000000"/>
          <w:sz w:val="21"/>
          <w:szCs w:val="21"/>
        </w:rPr>
        <w:t>，房地产开发投资增长</w:t>
      </w:r>
      <w:r>
        <w:rPr>
          <w:rFonts w:ascii="Arial" w:hAnsi="Arial" w:cs="Arial"/>
          <w:color w:val="000000"/>
          <w:sz w:val="21"/>
          <w:szCs w:val="21"/>
        </w:rPr>
        <w:t>2.6%</w:t>
      </w:r>
      <w:r>
        <w:rPr>
          <w:rFonts w:ascii="Arial" w:hAnsi="Arial" w:cs="Arial"/>
          <w:color w:val="000000"/>
          <w:sz w:val="21"/>
          <w:szCs w:val="21"/>
        </w:rPr>
        <w:t>，反映企业扩大生产能力的设备购置投资增长</w:t>
      </w:r>
      <w:r>
        <w:rPr>
          <w:rFonts w:ascii="Arial" w:hAnsi="Arial" w:cs="Arial"/>
          <w:color w:val="000000"/>
          <w:sz w:val="21"/>
          <w:szCs w:val="21"/>
        </w:rPr>
        <w:t>26.5%</w:t>
      </w:r>
      <w:r>
        <w:rPr>
          <w:rFonts w:ascii="Arial" w:hAnsi="Arial" w:cs="Arial"/>
          <w:color w:val="000000"/>
          <w:sz w:val="21"/>
          <w:szCs w:val="21"/>
        </w:rPr>
        <w:t>。分产业看，第一产业投资下降</w:t>
      </w:r>
      <w:r>
        <w:rPr>
          <w:rFonts w:ascii="Arial" w:hAnsi="Arial" w:cs="Arial"/>
          <w:color w:val="000000"/>
          <w:sz w:val="21"/>
          <w:szCs w:val="21"/>
        </w:rPr>
        <w:t>51.7%</w:t>
      </w:r>
      <w:r>
        <w:rPr>
          <w:rFonts w:ascii="Arial" w:hAnsi="Arial" w:cs="Arial"/>
          <w:color w:val="000000"/>
          <w:sz w:val="21"/>
          <w:szCs w:val="21"/>
        </w:rPr>
        <w:t>，第二产业投资下降</w:t>
      </w:r>
      <w:r>
        <w:rPr>
          <w:rFonts w:ascii="Arial" w:hAnsi="Arial" w:cs="Arial"/>
          <w:color w:val="000000"/>
          <w:sz w:val="21"/>
          <w:szCs w:val="21"/>
        </w:rPr>
        <w:t>12.0%</w:t>
      </w:r>
      <w:r>
        <w:rPr>
          <w:rFonts w:ascii="Arial" w:hAnsi="Arial" w:cs="Arial"/>
          <w:color w:val="000000"/>
          <w:sz w:val="21"/>
          <w:szCs w:val="21"/>
        </w:rPr>
        <w:t>，第三产业投资增长</w:t>
      </w:r>
      <w:r>
        <w:rPr>
          <w:rFonts w:ascii="Arial" w:hAnsi="Arial" w:cs="Arial"/>
          <w:color w:val="000000"/>
          <w:sz w:val="21"/>
          <w:szCs w:val="21"/>
        </w:rPr>
        <w:t>8.4%</w:t>
      </w:r>
      <w:r>
        <w:rPr>
          <w:rFonts w:ascii="Arial" w:hAnsi="Arial" w:cs="Arial"/>
          <w:color w:val="000000"/>
          <w:sz w:val="21"/>
          <w:szCs w:val="21"/>
        </w:rPr>
        <w:t>。其中，科学研究和技术服务业，信息传输、软件和信息技术服务业投资分别增长</w:t>
      </w:r>
      <w:r>
        <w:rPr>
          <w:rFonts w:ascii="Arial" w:hAnsi="Arial" w:cs="Arial"/>
          <w:color w:val="000000"/>
          <w:sz w:val="21"/>
          <w:szCs w:val="21"/>
        </w:rPr>
        <w:t>49.7%</w:t>
      </w:r>
      <w:r>
        <w:rPr>
          <w:rFonts w:ascii="Arial" w:hAnsi="Arial" w:cs="Arial"/>
          <w:color w:val="000000"/>
          <w:sz w:val="21"/>
          <w:szCs w:val="21"/>
        </w:rPr>
        <w:t>和</w:t>
      </w:r>
      <w:r>
        <w:rPr>
          <w:rFonts w:ascii="Arial" w:hAnsi="Arial" w:cs="Arial"/>
          <w:color w:val="000000"/>
          <w:sz w:val="21"/>
          <w:szCs w:val="21"/>
        </w:rPr>
        <w:t>47.2%</w:t>
      </w:r>
      <w:r>
        <w:rPr>
          <w:rFonts w:ascii="Arial" w:hAnsi="Arial" w:cs="Arial"/>
          <w:color w:val="000000"/>
          <w:sz w:val="21"/>
          <w:szCs w:val="21"/>
        </w:rPr>
        <w:t>，租赁和商务服务业，交通运输、仓储和邮政业投资分别增长</w:t>
      </w:r>
      <w:r>
        <w:rPr>
          <w:rFonts w:ascii="Arial" w:hAnsi="Arial" w:cs="Arial"/>
          <w:color w:val="000000"/>
          <w:sz w:val="21"/>
          <w:szCs w:val="21"/>
        </w:rPr>
        <w:t>20.2%</w:t>
      </w:r>
      <w:r>
        <w:rPr>
          <w:rFonts w:ascii="Arial" w:hAnsi="Arial" w:cs="Arial"/>
          <w:color w:val="000000"/>
          <w:sz w:val="21"/>
          <w:szCs w:val="21"/>
        </w:rPr>
        <w:t>和</w:t>
      </w:r>
      <w:r>
        <w:rPr>
          <w:rFonts w:ascii="Arial" w:hAnsi="Arial" w:cs="Arial"/>
          <w:color w:val="000000"/>
          <w:sz w:val="21"/>
          <w:szCs w:val="21"/>
        </w:rPr>
        <w:t>14.1%</w:t>
      </w:r>
      <w:r>
        <w:rPr>
          <w:rFonts w:ascii="Arial" w:hAnsi="Arial" w:cs="Arial"/>
          <w:color w:val="000000"/>
          <w:sz w:val="21"/>
          <w:szCs w:val="21"/>
        </w:rPr>
        <w:t>。高技术产业投资增长</w:t>
      </w:r>
      <w:r>
        <w:rPr>
          <w:rFonts w:ascii="Arial" w:hAnsi="Arial" w:cs="Arial"/>
          <w:color w:val="000000"/>
          <w:sz w:val="21"/>
          <w:szCs w:val="21"/>
        </w:rPr>
        <w:t>18.2%</w:t>
      </w:r>
      <w:r>
        <w:rPr>
          <w:rFonts w:ascii="Arial" w:hAnsi="Arial" w:cs="Arial"/>
          <w:color w:val="000000"/>
          <w:sz w:val="21"/>
          <w:szCs w:val="21"/>
        </w:rPr>
        <w:t>，其中高技术服务业投资增长</w:t>
      </w:r>
      <w:r>
        <w:rPr>
          <w:rFonts w:ascii="Arial" w:hAnsi="Arial" w:cs="Arial"/>
          <w:color w:val="000000"/>
          <w:sz w:val="21"/>
          <w:szCs w:val="21"/>
        </w:rPr>
        <w:t>50.6%</w:t>
      </w:r>
      <w:r>
        <w:rPr>
          <w:rFonts w:ascii="Arial" w:hAnsi="Arial" w:cs="Arial"/>
          <w:color w:val="000000"/>
          <w:sz w:val="21"/>
          <w:szCs w:val="21"/>
        </w:rPr>
        <w:t>。</w:t>
      </w:r>
    </w:p>
    <w:p w14:paraId="2D8B2814" w14:textId="77777777" w:rsidR="00771ECA" w:rsidRDefault="00000000">
      <w:pPr>
        <w:widowControl/>
        <w:spacing w:line="480" w:lineRule="auto"/>
        <w:ind w:firstLine="525"/>
        <w:jc w:val="both"/>
        <w:textAlignment w:val="auto"/>
      </w:pPr>
      <w:r>
        <w:rPr>
          <w:rFonts w:ascii="Arial" w:hAnsi="Arial" w:cs="Arial"/>
          <w:color w:val="000000"/>
          <w:sz w:val="21"/>
          <w:szCs w:val="21"/>
        </w:rPr>
        <w:t>1-9</w:t>
      </w:r>
      <w:r>
        <w:rPr>
          <w:rFonts w:ascii="Arial" w:hAnsi="Arial" w:cs="Arial"/>
          <w:color w:val="000000"/>
          <w:sz w:val="21"/>
          <w:szCs w:val="21"/>
        </w:rPr>
        <w:t>月，北京市房地产开发企业房屋新开工面积为</w:t>
      </w:r>
      <w:r>
        <w:rPr>
          <w:rFonts w:ascii="Arial" w:hAnsi="Arial" w:cs="Arial"/>
          <w:color w:val="000000"/>
          <w:sz w:val="21"/>
          <w:szCs w:val="21"/>
        </w:rPr>
        <w:t xml:space="preserve">893.3 </w:t>
      </w:r>
      <w:r>
        <w:rPr>
          <w:rFonts w:ascii="Arial" w:hAnsi="Arial" w:cs="Arial"/>
          <w:color w:val="000000"/>
          <w:sz w:val="21"/>
          <w:szCs w:val="21"/>
        </w:rPr>
        <w:t>万平方米，同比下降</w:t>
      </w:r>
      <w:r>
        <w:rPr>
          <w:rFonts w:ascii="Arial" w:hAnsi="Arial" w:cs="Arial"/>
          <w:color w:val="000000"/>
          <w:sz w:val="21"/>
          <w:szCs w:val="21"/>
        </w:rPr>
        <w:t>28.1%</w:t>
      </w:r>
      <w:r>
        <w:rPr>
          <w:rFonts w:ascii="Arial" w:hAnsi="Arial" w:cs="Arial"/>
          <w:color w:val="000000"/>
          <w:sz w:val="21"/>
          <w:szCs w:val="21"/>
        </w:rPr>
        <w:t>。其中，住宅新开工面积为</w:t>
      </w:r>
      <w:r>
        <w:rPr>
          <w:rFonts w:ascii="Arial" w:hAnsi="Arial" w:cs="Arial"/>
          <w:color w:val="000000"/>
          <w:sz w:val="21"/>
          <w:szCs w:val="21"/>
        </w:rPr>
        <w:t>507.6</w:t>
      </w:r>
      <w:r>
        <w:rPr>
          <w:rFonts w:ascii="Arial" w:hAnsi="Arial" w:cs="Arial"/>
          <w:color w:val="000000"/>
          <w:sz w:val="21"/>
          <w:szCs w:val="21"/>
        </w:rPr>
        <w:t>万平方米，下降</w:t>
      </w:r>
      <w:r>
        <w:rPr>
          <w:rFonts w:ascii="Arial" w:hAnsi="Arial" w:cs="Arial"/>
          <w:color w:val="000000"/>
          <w:sz w:val="21"/>
          <w:szCs w:val="21"/>
        </w:rPr>
        <w:t>24.9%</w:t>
      </w:r>
      <w:r>
        <w:rPr>
          <w:rFonts w:ascii="Arial" w:hAnsi="Arial" w:cs="Arial"/>
          <w:color w:val="000000"/>
          <w:sz w:val="21"/>
          <w:szCs w:val="21"/>
        </w:rPr>
        <w:t>；办公楼为</w:t>
      </w:r>
      <w:r>
        <w:rPr>
          <w:rFonts w:ascii="Arial" w:hAnsi="Arial" w:cs="Arial"/>
          <w:color w:val="000000"/>
          <w:sz w:val="21"/>
          <w:szCs w:val="21"/>
        </w:rPr>
        <w:t>35.8</w:t>
      </w:r>
      <w:r>
        <w:rPr>
          <w:rFonts w:ascii="Arial" w:hAnsi="Arial" w:cs="Arial"/>
          <w:color w:val="000000"/>
          <w:sz w:val="21"/>
          <w:szCs w:val="21"/>
        </w:rPr>
        <w:t>万平方米，下降</w:t>
      </w:r>
      <w:r>
        <w:rPr>
          <w:rFonts w:ascii="Arial" w:hAnsi="Arial" w:cs="Arial"/>
          <w:color w:val="000000"/>
          <w:sz w:val="21"/>
          <w:szCs w:val="21"/>
        </w:rPr>
        <w:t>39.9%</w:t>
      </w:r>
      <w:r>
        <w:rPr>
          <w:rFonts w:ascii="Arial" w:hAnsi="Arial" w:cs="Arial"/>
          <w:color w:val="000000"/>
          <w:sz w:val="21"/>
          <w:szCs w:val="21"/>
        </w:rPr>
        <w:t>；商业营业用房为</w:t>
      </w:r>
      <w:r>
        <w:rPr>
          <w:rFonts w:ascii="Arial" w:hAnsi="Arial" w:cs="Arial"/>
          <w:color w:val="000000"/>
          <w:sz w:val="21"/>
          <w:szCs w:val="21"/>
        </w:rPr>
        <w:t>32.7</w:t>
      </w:r>
      <w:r>
        <w:rPr>
          <w:rFonts w:ascii="Arial" w:hAnsi="Arial" w:cs="Arial"/>
          <w:color w:val="000000"/>
          <w:sz w:val="21"/>
          <w:szCs w:val="21"/>
        </w:rPr>
        <w:t>万平方米，下降</w:t>
      </w:r>
      <w:r>
        <w:rPr>
          <w:rFonts w:ascii="Arial" w:hAnsi="Arial" w:cs="Arial"/>
          <w:color w:val="000000"/>
          <w:sz w:val="21"/>
          <w:szCs w:val="21"/>
        </w:rPr>
        <w:t>31.8%</w:t>
      </w:r>
      <w:r>
        <w:rPr>
          <w:rFonts w:ascii="Arial" w:hAnsi="Arial" w:cs="Arial"/>
          <w:color w:val="000000"/>
          <w:sz w:val="21"/>
          <w:szCs w:val="21"/>
        </w:rPr>
        <w:t>。房屋竣工面积</w:t>
      </w:r>
      <w:r>
        <w:rPr>
          <w:rFonts w:ascii="Arial" w:hAnsi="Arial" w:cs="Arial"/>
          <w:color w:val="000000"/>
          <w:sz w:val="21"/>
          <w:szCs w:val="21"/>
        </w:rPr>
        <w:t>908.7</w:t>
      </w:r>
      <w:r>
        <w:rPr>
          <w:rFonts w:ascii="Arial" w:hAnsi="Arial" w:cs="Arial"/>
          <w:color w:val="000000"/>
          <w:sz w:val="21"/>
          <w:szCs w:val="21"/>
        </w:rPr>
        <w:t>万平方米，同比增长</w:t>
      </w:r>
      <w:r>
        <w:rPr>
          <w:rFonts w:ascii="Arial" w:hAnsi="Arial" w:cs="Arial"/>
          <w:color w:val="000000"/>
          <w:sz w:val="21"/>
          <w:szCs w:val="21"/>
        </w:rPr>
        <w:t>8.8%</w:t>
      </w:r>
      <w:r>
        <w:rPr>
          <w:rFonts w:ascii="Arial" w:hAnsi="Arial" w:cs="Arial"/>
          <w:color w:val="000000"/>
          <w:sz w:val="21"/>
          <w:szCs w:val="21"/>
        </w:rPr>
        <w:t>。其中，住宅竣工面积为</w:t>
      </w:r>
      <w:r>
        <w:rPr>
          <w:rFonts w:ascii="Arial" w:hAnsi="Arial" w:cs="Arial"/>
          <w:color w:val="000000"/>
          <w:sz w:val="21"/>
          <w:szCs w:val="21"/>
        </w:rPr>
        <w:t>476.9</w:t>
      </w:r>
      <w:r>
        <w:rPr>
          <w:rFonts w:ascii="Arial" w:hAnsi="Arial" w:cs="Arial"/>
          <w:color w:val="000000"/>
          <w:sz w:val="21"/>
          <w:szCs w:val="21"/>
        </w:rPr>
        <w:t>万平方米，增长</w:t>
      </w:r>
      <w:r>
        <w:rPr>
          <w:rFonts w:ascii="Arial" w:hAnsi="Arial" w:cs="Arial"/>
          <w:color w:val="000000"/>
          <w:sz w:val="21"/>
          <w:szCs w:val="21"/>
        </w:rPr>
        <w:t>2.3%</w:t>
      </w:r>
      <w:r>
        <w:rPr>
          <w:rFonts w:ascii="Arial" w:hAnsi="Arial" w:cs="Arial"/>
          <w:color w:val="000000"/>
          <w:sz w:val="21"/>
          <w:szCs w:val="21"/>
        </w:rPr>
        <w:t>；办公楼为</w:t>
      </w:r>
      <w:r>
        <w:rPr>
          <w:rFonts w:ascii="Arial" w:hAnsi="Arial" w:cs="Arial"/>
          <w:color w:val="000000"/>
          <w:sz w:val="21"/>
          <w:szCs w:val="21"/>
        </w:rPr>
        <w:t>85.1</w:t>
      </w:r>
      <w:r>
        <w:rPr>
          <w:rFonts w:ascii="Arial" w:hAnsi="Arial" w:cs="Arial"/>
          <w:color w:val="000000"/>
          <w:sz w:val="21"/>
          <w:szCs w:val="21"/>
        </w:rPr>
        <w:t>万平方米，下降</w:t>
      </w:r>
      <w:r>
        <w:rPr>
          <w:rFonts w:ascii="Arial" w:hAnsi="Arial" w:cs="Arial"/>
          <w:color w:val="000000"/>
          <w:sz w:val="21"/>
          <w:szCs w:val="21"/>
        </w:rPr>
        <w:t>29.8%</w:t>
      </w:r>
      <w:r>
        <w:rPr>
          <w:rFonts w:ascii="Arial" w:hAnsi="Arial" w:cs="Arial"/>
          <w:color w:val="000000"/>
          <w:sz w:val="21"/>
          <w:szCs w:val="21"/>
        </w:rPr>
        <w:t>；商业营业用房为</w:t>
      </w:r>
      <w:r>
        <w:rPr>
          <w:rFonts w:ascii="Arial" w:hAnsi="Arial" w:cs="Arial"/>
          <w:color w:val="000000"/>
          <w:sz w:val="21"/>
          <w:szCs w:val="21"/>
        </w:rPr>
        <w:t>34.5</w:t>
      </w:r>
      <w:r>
        <w:rPr>
          <w:rFonts w:ascii="Arial" w:hAnsi="Arial" w:cs="Arial"/>
          <w:color w:val="000000"/>
          <w:sz w:val="21"/>
          <w:szCs w:val="21"/>
        </w:rPr>
        <w:t>万平方米，增长</w:t>
      </w:r>
      <w:r>
        <w:rPr>
          <w:rFonts w:ascii="Arial" w:hAnsi="Arial" w:cs="Arial"/>
          <w:color w:val="000000"/>
          <w:sz w:val="21"/>
          <w:szCs w:val="21"/>
        </w:rPr>
        <w:t>22.6%</w:t>
      </w:r>
      <w:r>
        <w:rPr>
          <w:rFonts w:ascii="Arial" w:hAnsi="Arial" w:cs="Arial"/>
          <w:color w:val="000000"/>
          <w:sz w:val="21"/>
          <w:szCs w:val="21"/>
        </w:rPr>
        <w:t>。新建商品房销售面积为</w:t>
      </w:r>
      <w:r>
        <w:rPr>
          <w:rFonts w:ascii="Arial" w:hAnsi="Arial" w:cs="Arial"/>
          <w:color w:val="000000"/>
          <w:sz w:val="21"/>
          <w:szCs w:val="21"/>
        </w:rPr>
        <w:t>785.1</w:t>
      </w:r>
      <w:r>
        <w:rPr>
          <w:rFonts w:ascii="Arial" w:hAnsi="Arial" w:cs="Arial"/>
          <w:color w:val="000000"/>
          <w:sz w:val="21"/>
          <w:szCs w:val="21"/>
        </w:rPr>
        <w:t>万平方米，同比增长</w:t>
      </w:r>
      <w:r>
        <w:rPr>
          <w:rFonts w:ascii="Arial" w:hAnsi="Arial" w:cs="Arial"/>
          <w:color w:val="000000"/>
          <w:sz w:val="21"/>
          <w:szCs w:val="21"/>
        </w:rPr>
        <w:t>6.4%</w:t>
      </w:r>
      <w:r>
        <w:rPr>
          <w:rFonts w:ascii="Arial" w:hAnsi="Arial" w:cs="Arial"/>
          <w:color w:val="000000"/>
          <w:sz w:val="21"/>
          <w:szCs w:val="21"/>
        </w:rPr>
        <w:t>。其中，住宅销售面积为</w:t>
      </w:r>
      <w:r>
        <w:rPr>
          <w:rFonts w:ascii="Arial" w:hAnsi="Arial" w:cs="Arial"/>
          <w:color w:val="000000"/>
          <w:sz w:val="21"/>
          <w:szCs w:val="21"/>
        </w:rPr>
        <w:t>573.8</w:t>
      </w:r>
      <w:r>
        <w:rPr>
          <w:rFonts w:ascii="Arial" w:hAnsi="Arial" w:cs="Arial"/>
          <w:color w:val="000000"/>
          <w:sz w:val="21"/>
          <w:szCs w:val="21"/>
        </w:rPr>
        <w:t>万平方米，增长</w:t>
      </w:r>
      <w:r>
        <w:rPr>
          <w:rFonts w:ascii="Arial" w:hAnsi="Arial" w:cs="Arial"/>
          <w:color w:val="000000"/>
          <w:sz w:val="21"/>
          <w:szCs w:val="21"/>
        </w:rPr>
        <w:t>6.2%</w:t>
      </w:r>
      <w:r>
        <w:rPr>
          <w:rFonts w:ascii="Arial" w:hAnsi="Arial" w:cs="Arial"/>
          <w:color w:val="000000"/>
          <w:sz w:val="21"/>
          <w:szCs w:val="21"/>
        </w:rPr>
        <w:t>；办公楼为</w:t>
      </w:r>
      <w:r>
        <w:rPr>
          <w:rFonts w:ascii="Arial" w:hAnsi="Arial" w:cs="Arial"/>
          <w:color w:val="000000"/>
          <w:sz w:val="21"/>
          <w:szCs w:val="21"/>
        </w:rPr>
        <w:t>52.8</w:t>
      </w:r>
      <w:r>
        <w:rPr>
          <w:rFonts w:ascii="Arial" w:hAnsi="Arial" w:cs="Arial"/>
          <w:color w:val="000000"/>
          <w:sz w:val="21"/>
          <w:szCs w:val="21"/>
        </w:rPr>
        <w:t>万平方米，增长</w:t>
      </w:r>
      <w:r>
        <w:rPr>
          <w:rFonts w:ascii="Arial" w:hAnsi="Arial" w:cs="Arial"/>
          <w:color w:val="000000"/>
          <w:sz w:val="21"/>
          <w:szCs w:val="21"/>
        </w:rPr>
        <w:t>15.9%</w:t>
      </w:r>
      <w:r>
        <w:rPr>
          <w:rFonts w:ascii="Arial" w:hAnsi="Arial" w:cs="Arial"/>
          <w:color w:val="000000"/>
          <w:sz w:val="21"/>
          <w:szCs w:val="21"/>
        </w:rPr>
        <w:t>；商业营业用房为</w:t>
      </w:r>
      <w:r>
        <w:rPr>
          <w:rFonts w:ascii="Arial" w:hAnsi="Arial" w:cs="Arial"/>
          <w:color w:val="000000"/>
          <w:sz w:val="21"/>
          <w:szCs w:val="21"/>
        </w:rPr>
        <w:t>40.2</w:t>
      </w:r>
      <w:r>
        <w:rPr>
          <w:rFonts w:ascii="Arial" w:hAnsi="Arial" w:cs="Arial"/>
          <w:color w:val="000000"/>
          <w:sz w:val="21"/>
          <w:szCs w:val="21"/>
        </w:rPr>
        <w:t>万平方米，下降</w:t>
      </w:r>
      <w:r>
        <w:rPr>
          <w:rFonts w:ascii="Arial" w:hAnsi="Arial" w:cs="Arial"/>
          <w:color w:val="000000"/>
          <w:sz w:val="21"/>
          <w:szCs w:val="21"/>
        </w:rPr>
        <w:t>4.5%</w:t>
      </w:r>
      <w:r>
        <w:rPr>
          <w:rFonts w:ascii="Arial" w:hAnsi="Arial" w:cs="Arial"/>
          <w:color w:val="000000"/>
          <w:sz w:val="21"/>
          <w:szCs w:val="21"/>
        </w:rPr>
        <w:t>。</w:t>
      </w:r>
    </w:p>
    <w:p w14:paraId="4E8D4FDF" w14:textId="77777777" w:rsidR="00771ECA" w:rsidRDefault="00000000">
      <w:pPr>
        <w:widowControl/>
        <w:spacing w:line="480" w:lineRule="auto"/>
        <w:ind w:firstLine="525"/>
        <w:jc w:val="both"/>
        <w:textAlignment w:val="auto"/>
        <w:rPr>
          <w:rFonts w:ascii="Arial" w:hAnsi="Arial" w:cs="Arial"/>
          <w:color w:val="000000"/>
          <w:sz w:val="21"/>
          <w:szCs w:val="21"/>
        </w:rPr>
      </w:pPr>
      <w:bookmarkStart w:id="41" w:name="OLE_LINK39"/>
      <w:bookmarkEnd w:id="41"/>
      <w:r>
        <w:rPr>
          <w:rFonts w:ascii="Arial" w:hAnsi="Arial" w:cs="Arial"/>
          <w:color w:val="000000"/>
          <w:sz w:val="21"/>
          <w:szCs w:val="21"/>
        </w:rPr>
        <w:lastRenderedPageBreak/>
        <w:t>总的来看，前三季度北京市生产需求稳步恢复，就业物价保持稳定，居民收入继续增加，总体经济延续恢复态势，发展质量继续提高。</w:t>
      </w:r>
    </w:p>
    <w:p w14:paraId="1E3DF83A" w14:textId="77777777" w:rsidR="00771ECA" w:rsidRDefault="00000000">
      <w:pPr>
        <w:widowControl/>
        <w:overflowPunct w:val="0"/>
        <w:spacing w:line="480" w:lineRule="auto"/>
        <w:ind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土地市场</w:t>
      </w:r>
    </w:p>
    <w:p w14:paraId="4A689738" w14:textId="77777777" w:rsidR="00771ECA" w:rsidRDefault="00000000">
      <w:pPr>
        <w:widowControl/>
        <w:overflowPunct w:val="0"/>
        <w:spacing w:line="480" w:lineRule="auto"/>
        <w:ind w:firstLine="420"/>
        <w:jc w:val="both"/>
        <w:textAlignment w:val="auto"/>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）土地供求情况</w:t>
      </w:r>
    </w:p>
    <w:p w14:paraId="297E2A7E" w14:textId="77777777" w:rsidR="00771ECA" w:rsidRDefault="00000000">
      <w:pPr>
        <w:widowControl/>
        <w:overflowPunct w:val="0"/>
        <w:spacing w:line="480" w:lineRule="auto"/>
        <w:ind w:firstLine="420"/>
        <w:jc w:val="both"/>
        <w:textAlignment w:val="auto"/>
        <w:rPr>
          <w:rFonts w:ascii="Arial" w:hAnsi="Arial" w:cs="Arial"/>
          <w:sz w:val="21"/>
          <w:szCs w:val="21"/>
        </w:rPr>
      </w:pPr>
      <w:r>
        <w:rPr>
          <w:rFonts w:ascii="Arial" w:hAnsi="Arial" w:cs="Arial"/>
          <w:sz w:val="21"/>
          <w:szCs w:val="21"/>
        </w:rPr>
        <w:t>2023</w:t>
      </w:r>
      <w:r>
        <w:rPr>
          <w:rFonts w:ascii="Arial" w:hAnsi="Arial" w:cs="Arial"/>
          <w:sz w:val="21"/>
          <w:szCs w:val="21"/>
        </w:rPr>
        <w:t>年三季度北京商品住宅用地共推出</w:t>
      </w:r>
      <w:r>
        <w:rPr>
          <w:rFonts w:ascii="Arial" w:hAnsi="Arial" w:cs="Arial"/>
          <w:sz w:val="21"/>
          <w:szCs w:val="21"/>
        </w:rPr>
        <w:t>14</w:t>
      </w:r>
      <w:r>
        <w:rPr>
          <w:rFonts w:ascii="Arial" w:hAnsi="Arial" w:cs="Arial"/>
          <w:sz w:val="21"/>
          <w:szCs w:val="21"/>
        </w:rPr>
        <w:t>宗，累计供应规划建面</w:t>
      </w:r>
      <w:r>
        <w:rPr>
          <w:rFonts w:ascii="Arial" w:hAnsi="Arial" w:cs="Arial"/>
          <w:sz w:val="21"/>
          <w:szCs w:val="21"/>
        </w:rPr>
        <w:t>152.52</w:t>
      </w:r>
      <w:r>
        <w:rPr>
          <w:rFonts w:ascii="Arial" w:hAnsi="Arial" w:cs="Arial"/>
          <w:sz w:val="21"/>
          <w:szCs w:val="21"/>
        </w:rPr>
        <w:t>万㎡，同比增长</w:t>
      </w:r>
      <w:r>
        <w:rPr>
          <w:rFonts w:ascii="Arial" w:hAnsi="Arial" w:cs="Arial"/>
          <w:sz w:val="21"/>
          <w:szCs w:val="21"/>
        </w:rPr>
        <w:t>3%</w:t>
      </w:r>
      <w:r>
        <w:rPr>
          <w:rFonts w:ascii="Arial" w:hAnsi="Arial" w:cs="Arial"/>
          <w:sz w:val="21"/>
          <w:szCs w:val="21"/>
        </w:rPr>
        <w:t>。三季度，北京累计成交</w:t>
      </w:r>
      <w:r>
        <w:rPr>
          <w:rFonts w:ascii="Arial" w:hAnsi="Arial" w:cs="Arial"/>
          <w:sz w:val="21"/>
          <w:szCs w:val="21"/>
        </w:rPr>
        <w:t>12</w:t>
      </w:r>
      <w:r>
        <w:rPr>
          <w:rFonts w:ascii="Arial" w:hAnsi="Arial" w:cs="Arial"/>
          <w:sz w:val="21"/>
          <w:szCs w:val="21"/>
        </w:rPr>
        <w:t>宗商品住宅用地，成交规划建面</w:t>
      </w:r>
      <w:r>
        <w:rPr>
          <w:rFonts w:ascii="Arial" w:hAnsi="Arial" w:cs="Arial"/>
          <w:sz w:val="21"/>
          <w:szCs w:val="21"/>
        </w:rPr>
        <w:t>140.97</w:t>
      </w:r>
      <w:r>
        <w:rPr>
          <w:rFonts w:ascii="Arial" w:hAnsi="Arial" w:cs="Arial"/>
          <w:sz w:val="21"/>
          <w:szCs w:val="21"/>
        </w:rPr>
        <w:t>万㎡，同比下降</w:t>
      </w:r>
      <w:r>
        <w:rPr>
          <w:rFonts w:ascii="Arial" w:hAnsi="Arial" w:cs="Arial"/>
          <w:sz w:val="21"/>
          <w:szCs w:val="21"/>
        </w:rPr>
        <w:t>4%</w:t>
      </w:r>
      <w:r>
        <w:rPr>
          <w:rFonts w:ascii="Arial" w:hAnsi="Arial" w:cs="Arial"/>
          <w:sz w:val="21"/>
          <w:szCs w:val="21"/>
        </w:rPr>
        <w:t>。整体来看，</w:t>
      </w:r>
      <w:r>
        <w:rPr>
          <w:rFonts w:ascii="Arial" w:hAnsi="Arial" w:cs="Arial"/>
          <w:sz w:val="21"/>
          <w:szCs w:val="21"/>
        </w:rPr>
        <w:t>2023</w:t>
      </w:r>
      <w:r>
        <w:rPr>
          <w:rFonts w:ascii="Arial" w:hAnsi="Arial" w:cs="Arial"/>
          <w:sz w:val="21"/>
          <w:szCs w:val="21"/>
        </w:rPr>
        <w:t>年北京第二批次宅地延续缓慢入市节奏，三季度仅成交</w:t>
      </w:r>
      <w:r>
        <w:rPr>
          <w:rFonts w:ascii="Arial" w:hAnsi="Arial" w:cs="Arial"/>
          <w:sz w:val="21"/>
          <w:szCs w:val="21"/>
        </w:rPr>
        <w:t>12</w:t>
      </w:r>
      <w:r>
        <w:rPr>
          <w:rFonts w:ascii="Arial" w:hAnsi="Arial" w:cs="Arial"/>
          <w:sz w:val="21"/>
          <w:szCs w:val="21"/>
        </w:rPr>
        <w:t>宗宅地；截止到</w:t>
      </w:r>
      <w:r>
        <w:rPr>
          <w:rFonts w:ascii="Arial" w:hAnsi="Arial" w:cs="Arial"/>
          <w:sz w:val="21"/>
          <w:szCs w:val="21"/>
        </w:rPr>
        <w:t>9</w:t>
      </w:r>
      <w:r>
        <w:rPr>
          <w:rFonts w:ascii="Arial" w:hAnsi="Arial" w:cs="Arial"/>
          <w:sz w:val="21"/>
          <w:szCs w:val="21"/>
        </w:rPr>
        <w:t>月底，北京第二轮次拟供应宅地共计成交</w:t>
      </w:r>
      <w:r>
        <w:rPr>
          <w:rFonts w:ascii="Arial" w:hAnsi="Arial" w:cs="Arial"/>
          <w:sz w:val="21"/>
          <w:szCs w:val="21"/>
        </w:rPr>
        <w:t>14</w:t>
      </w:r>
      <w:r>
        <w:rPr>
          <w:rFonts w:ascii="Arial" w:hAnsi="Arial" w:cs="Arial"/>
          <w:sz w:val="21"/>
          <w:szCs w:val="21"/>
        </w:rPr>
        <w:t>宗，另外房山长阳镇</w:t>
      </w:r>
      <w:r>
        <w:rPr>
          <w:rFonts w:ascii="Arial" w:hAnsi="Arial" w:cs="Arial"/>
          <w:sz w:val="21"/>
          <w:szCs w:val="21"/>
        </w:rPr>
        <w:t>FS00-0101-0002</w:t>
      </w:r>
      <w:r>
        <w:rPr>
          <w:rFonts w:ascii="Arial" w:hAnsi="Arial" w:cs="Arial"/>
          <w:sz w:val="21"/>
          <w:szCs w:val="21"/>
        </w:rPr>
        <w:t>、</w:t>
      </w:r>
      <w:r>
        <w:rPr>
          <w:rFonts w:ascii="Arial" w:hAnsi="Arial" w:cs="Arial"/>
          <w:sz w:val="21"/>
          <w:szCs w:val="21"/>
        </w:rPr>
        <w:t>0003</w:t>
      </w:r>
      <w:r>
        <w:rPr>
          <w:rFonts w:ascii="Arial" w:hAnsi="Arial" w:cs="Arial"/>
          <w:sz w:val="21"/>
          <w:szCs w:val="21"/>
        </w:rPr>
        <w:t>地块暂停出让。</w:t>
      </w:r>
    </w:p>
    <w:p w14:paraId="6830F3DF" w14:textId="77777777" w:rsidR="00771ECA" w:rsidRDefault="00000000">
      <w:pPr>
        <w:widowControl/>
        <w:overflowPunct w:val="0"/>
        <w:spacing w:line="480" w:lineRule="auto"/>
        <w:jc w:val="center"/>
        <w:textAlignment w:val="auto"/>
        <w:rPr>
          <w:lang w:val="zh-CN"/>
        </w:rPr>
      </w:pPr>
      <w:r>
        <w:rPr>
          <w:noProof/>
          <w:lang w:val="zh-CN"/>
        </w:rPr>
        <w:drawing>
          <wp:inline distT="0" distB="0" distL="0" distR="0" wp14:anchorId="32B9B7B6" wp14:editId="19C9932B">
            <wp:extent cx="5905500" cy="3400425"/>
            <wp:effectExtent l="0" t="0" r="0" b="0"/>
            <wp:docPr id="12"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像1"/>
                    <pic:cNvPicPr>
                      <a:picLocks noChangeAspect="1" noChangeArrowheads="1"/>
                    </pic:cNvPicPr>
                  </pic:nvPicPr>
                  <pic:blipFill>
                    <a:blip r:embed="rId31"/>
                    <a:srcRect l="-6" t="-10" r="-6" b="-10"/>
                    <a:stretch>
                      <a:fillRect/>
                    </a:stretch>
                  </pic:blipFill>
                  <pic:spPr bwMode="auto">
                    <a:xfrm>
                      <a:off x="0" y="0"/>
                      <a:ext cx="5905500" cy="3400425"/>
                    </a:xfrm>
                    <a:prstGeom prst="rect">
                      <a:avLst/>
                    </a:prstGeom>
                  </pic:spPr>
                </pic:pic>
              </a:graphicData>
            </a:graphic>
          </wp:inline>
        </w:drawing>
      </w:r>
    </w:p>
    <w:p w14:paraId="39089285" w14:textId="77777777" w:rsidR="00771ECA" w:rsidRDefault="00000000">
      <w:pPr>
        <w:widowControl/>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2</w:t>
      </w:r>
      <w:r>
        <w:rPr>
          <w:rFonts w:ascii="Arial" w:hAnsi="Arial" w:cs="Arial"/>
          <w:sz w:val="21"/>
          <w:szCs w:val="21"/>
        </w:rPr>
        <w:t>）土地成交情况</w:t>
      </w:r>
    </w:p>
    <w:p w14:paraId="18E9D05C" w14:textId="77777777" w:rsidR="00771ECA" w:rsidRDefault="00000000">
      <w:pPr>
        <w:widowControl/>
        <w:overflowPunct w:val="0"/>
        <w:spacing w:line="480" w:lineRule="auto"/>
        <w:ind w:firstLine="420"/>
        <w:jc w:val="both"/>
        <w:textAlignment w:val="auto"/>
      </w:pPr>
      <w:r>
        <w:rPr>
          <w:rFonts w:ascii="Arial" w:hAnsi="Arial" w:cs="Arial"/>
          <w:sz w:val="21"/>
          <w:szCs w:val="21"/>
        </w:rPr>
        <w:t>2023</w:t>
      </w:r>
      <w:r>
        <w:rPr>
          <w:rFonts w:ascii="Arial" w:hAnsi="Arial" w:cs="Arial"/>
          <w:sz w:val="21"/>
          <w:szCs w:val="21"/>
        </w:rPr>
        <w:t>年三季度，北京市中心城区仅朝阳和石景山各成交</w:t>
      </w:r>
      <w:r>
        <w:rPr>
          <w:rFonts w:ascii="Arial" w:hAnsi="Arial" w:cs="Arial"/>
          <w:sz w:val="21"/>
          <w:szCs w:val="21"/>
        </w:rPr>
        <w:t>1</w:t>
      </w:r>
      <w:r>
        <w:rPr>
          <w:rFonts w:ascii="Arial" w:hAnsi="Arial" w:cs="Arial"/>
          <w:sz w:val="21"/>
          <w:szCs w:val="21"/>
        </w:rPr>
        <w:t>宗宅地，累计成交规划建面</w:t>
      </w:r>
      <w:r>
        <w:rPr>
          <w:rFonts w:ascii="Arial" w:hAnsi="Arial" w:cs="Arial"/>
          <w:sz w:val="21"/>
          <w:szCs w:val="21"/>
        </w:rPr>
        <w:t>24.68</w:t>
      </w:r>
      <w:r>
        <w:rPr>
          <w:rFonts w:ascii="Arial" w:hAnsi="Arial" w:cs="Arial"/>
          <w:sz w:val="21"/>
          <w:szCs w:val="21"/>
        </w:rPr>
        <w:t>万㎡，占比</w:t>
      </w:r>
      <w:r>
        <w:rPr>
          <w:rFonts w:ascii="Arial" w:hAnsi="Arial" w:cs="Arial"/>
          <w:sz w:val="21"/>
          <w:szCs w:val="21"/>
        </w:rPr>
        <w:t>18%</w:t>
      </w:r>
      <w:r>
        <w:rPr>
          <w:rFonts w:ascii="Arial" w:hAnsi="Arial" w:cs="Arial"/>
          <w:sz w:val="21"/>
          <w:szCs w:val="21"/>
        </w:rPr>
        <w:t>，较上年同期下降</w:t>
      </w:r>
      <w:r>
        <w:rPr>
          <w:rFonts w:ascii="Arial" w:hAnsi="Arial" w:cs="Arial"/>
          <w:sz w:val="21"/>
          <w:szCs w:val="21"/>
        </w:rPr>
        <w:t>29</w:t>
      </w:r>
      <w:r>
        <w:rPr>
          <w:rFonts w:ascii="Arial" w:hAnsi="Arial" w:cs="Arial"/>
          <w:sz w:val="21"/>
          <w:szCs w:val="21"/>
        </w:rPr>
        <w:t>个百分点。近郊依然为宅地供求的主要区域，累计成交</w:t>
      </w:r>
      <w:r>
        <w:rPr>
          <w:rFonts w:ascii="Arial" w:hAnsi="Arial" w:cs="Arial"/>
          <w:sz w:val="21"/>
          <w:szCs w:val="21"/>
        </w:rPr>
        <w:t>112.21</w:t>
      </w:r>
      <w:r>
        <w:rPr>
          <w:rFonts w:ascii="Arial" w:hAnsi="Arial" w:cs="Arial"/>
          <w:sz w:val="21"/>
          <w:szCs w:val="21"/>
        </w:rPr>
        <w:t>万㎡，占比为</w:t>
      </w:r>
      <w:r>
        <w:rPr>
          <w:rFonts w:ascii="Arial" w:hAnsi="Arial" w:cs="Arial"/>
          <w:sz w:val="21"/>
          <w:szCs w:val="21"/>
        </w:rPr>
        <w:t>80%</w:t>
      </w:r>
      <w:r>
        <w:rPr>
          <w:rFonts w:ascii="Arial" w:hAnsi="Arial" w:cs="Arial"/>
          <w:sz w:val="21"/>
          <w:szCs w:val="21"/>
        </w:rPr>
        <w:t>，较去年同期提升</w:t>
      </w:r>
      <w:r>
        <w:rPr>
          <w:rFonts w:ascii="Arial" w:hAnsi="Arial" w:cs="Arial"/>
          <w:sz w:val="21"/>
          <w:szCs w:val="21"/>
        </w:rPr>
        <w:t>26</w:t>
      </w:r>
      <w:r>
        <w:rPr>
          <w:rFonts w:ascii="Arial" w:hAnsi="Arial" w:cs="Arial"/>
          <w:sz w:val="21"/>
          <w:szCs w:val="21"/>
        </w:rPr>
        <w:t>个百分点；其中昌平、大兴为主力成交区域，成交规模分别为</w:t>
      </w:r>
      <w:r>
        <w:rPr>
          <w:rFonts w:ascii="Arial" w:hAnsi="Arial" w:cs="Arial"/>
          <w:sz w:val="21"/>
          <w:szCs w:val="21"/>
        </w:rPr>
        <w:t>48.02</w:t>
      </w:r>
      <w:r>
        <w:rPr>
          <w:rFonts w:ascii="Arial" w:hAnsi="Arial" w:cs="Arial"/>
          <w:sz w:val="21"/>
          <w:szCs w:val="21"/>
        </w:rPr>
        <w:t>万㎡和</w:t>
      </w:r>
      <w:r>
        <w:rPr>
          <w:rFonts w:ascii="Arial" w:hAnsi="Arial" w:cs="Arial"/>
          <w:sz w:val="21"/>
          <w:szCs w:val="21"/>
        </w:rPr>
        <w:t>35.08</w:t>
      </w:r>
      <w:r>
        <w:rPr>
          <w:rFonts w:ascii="Arial" w:hAnsi="Arial" w:cs="Arial"/>
          <w:sz w:val="21"/>
          <w:szCs w:val="21"/>
        </w:rPr>
        <w:t>万㎡，成交规模占比分别为</w:t>
      </w:r>
      <w:r>
        <w:rPr>
          <w:rFonts w:ascii="Arial" w:hAnsi="Arial" w:cs="Arial"/>
          <w:sz w:val="21"/>
          <w:szCs w:val="21"/>
        </w:rPr>
        <w:t>34%</w:t>
      </w:r>
      <w:r>
        <w:rPr>
          <w:rFonts w:ascii="Arial" w:hAnsi="Arial" w:cs="Arial"/>
          <w:sz w:val="21"/>
          <w:szCs w:val="21"/>
        </w:rPr>
        <w:t>和</w:t>
      </w:r>
      <w:r>
        <w:rPr>
          <w:rFonts w:ascii="Arial" w:hAnsi="Arial" w:cs="Arial"/>
          <w:sz w:val="21"/>
          <w:szCs w:val="21"/>
        </w:rPr>
        <w:t>25%</w:t>
      </w:r>
      <w:r>
        <w:rPr>
          <w:rFonts w:ascii="Arial" w:hAnsi="Arial" w:cs="Arial"/>
          <w:sz w:val="21"/>
          <w:szCs w:val="21"/>
        </w:rPr>
        <w:t>。</w:t>
      </w:r>
    </w:p>
    <w:p w14:paraId="5CEB1D4E" w14:textId="77777777" w:rsidR="00771ECA" w:rsidRDefault="00000000">
      <w:pPr>
        <w:widowControl/>
        <w:overflowPunct w:val="0"/>
        <w:spacing w:line="480" w:lineRule="auto"/>
        <w:ind w:firstLine="420"/>
        <w:jc w:val="both"/>
        <w:textAlignment w:val="auto"/>
        <w:rPr>
          <w:rFonts w:ascii="Arial" w:hAnsi="Arial" w:cs="Arial"/>
          <w:sz w:val="21"/>
          <w:szCs w:val="21"/>
        </w:rPr>
      </w:pPr>
      <w:r>
        <w:rPr>
          <w:rFonts w:ascii="Arial" w:hAnsi="Arial" w:cs="Arial"/>
          <w:sz w:val="21"/>
          <w:szCs w:val="21"/>
        </w:rPr>
        <w:lastRenderedPageBreak/>
        <w:t>从不同区域来看，近郊区成交规模显著增长，其中昌平、大兴成交规模同比分别增长</w:t>
      </w:r>
      <w:r>
        <w:rPr>
          <w:rFonts w:ascii="Arial" w:hAnsi="Arial" w:cs="Arial"/>
          <w:sz w:val="21"/>
          <w:szCs w:val="21"/>
        </w:rPr>
        <w:t>429%</w:t>
      </w:r>
      <w:r>
        <w:rPr>
          <w:rFonts w:ascii="Arial" w:hAnsi="Arial" w:cs="Arial"/>
          <w:sz w:val="21"/>
          <w:szCs w:val="21"/>
        </w:rPr>
        <w:t>和</w:t>
      </w:r>
      <w:r>
        <w:rPr>
          <w:rFonts w:ascii="Arial" w:hAnsi="Arial" w:cs="Arial"/>
          <w:sz w:val="21"/>
          <w:szCs w:val="21"/>
        </w:rPr>
        <w:t>211%</w:t>
      </w:r>
      <w:r>
        <w:rPr>
          <w:rFonts w:ascii="Arial" w:hAnsi="Arial" w:cs="Arial"/>
          <w:sz w:val="21"/>
          <w:szCs w:val="21"/>
        </w:rPr>
        <w:t>，顺义、房山同比下滑；中心城区成交规模下降</w:t>
      </w:r>
      <w:r>
        <w:rPr>
          <w:rFonts w:ascii="Arial" w:hAnsi="Arial" w:cs="Arial"/>
          <w:sz w:val="21"/>
          <w:szCs w:val="21"/>
        </w:rPr>
        <w:t>64%</w:t>
      </w:r>
      <w:r>
        <w:rPr>
          <w:rFonts w:ascii="Arial" w:hAnsi="Arial" w:cs="Arial"/>
          <w:sz w:val="21"/>
          <w:szCs w:val="21"/>
        </w:rPr>
        <w:t>，石景山、朝阳同比增长，丰台、海淀本季度无宅地成交；远郊区仅延庆成交</w:t>
      </w:r>
      <w:r>
        <w:rPr>
          <w:rFonts w:ascii="Arial" w:hAnsi="Arial" w:cs="Arial"/>
          <w:sz w:val="21"/>
          <w:szCs w:val="21"/>
        </w:rPr>
        <w:t>1</w:t>
      </w:r>
      <w:r>
        <w:rPr>
          <w:rFonts w:ascii="Arial" w:hAnsi="Arial" w:cs="Arial"/>
          <w:sz w:val="21"/>
          <w:szCs w:val="21"/>
        </w:rPr>
        <w:t>宗宅地，同比降幅为</w:t>
      </w:r>
      <w:r>
        <w:rPr>
          <w:rFonts w:ascii="Arial" w:hAnsi="Arial" w:cs="Arial"/>
          <w:sz w:val="21"/>
          <w:szCs w:val="21"/>
        </w:rPr>
        <w:t>71%</w:t>
      </w:r>
      <w:r>
        <w:rPr>
          <w:rFonts w:ascii="Arial" w:hAnsi="Arial" w:cs="Arial"/>
          <w:sz w:val="21"/>
          <w:szCs w:val="21"/>
        </w:rPr>
        <w:t>。</w:t>
      </w:r>
    </w:p>
    <w:p w14:paraId="42D028E8" w14:textId="77777777" w:rsidR="00771ECA" w:rsidRDefault="00000000">
      <w:pPr>
        <w:widowControl/>
        <w:overflowPunct w:val="0"/>
        <w:spacing w:line="480" w:lineRule="auto"/>
        <w:jc w:val="both"/>
        <w:textAlignment w:val="auto"/>
        <w:rPr>
          <w:rFonts w:ascii="Arial" w:hAnsi="Arial" w:cs="Arial"/>
          <w:sz w:val="21"/>
          <w:szCs w:val="21"/>
        </w:rPr>
      </w:pPr>
      <w:r>
        <w:rPr>
          <w:noProof/>
          <w:lang w:val="zh-CN"/>
        </w:rPr>
        <w:drawing>
          <wp:inline distT="0" distB="0" distL="0" distR="0" wp14:anchorId="651F8820" wp14:editId="05B6139D">
            <wp:extent cx="5900420" cy="1873885"/>
            <wp:effectExtent l="0" t="0" r="0" b="0"/>
            <wp:docPr id="13"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像2"/>
                    <pic:cNvPicPr>
                      <a:picLocks noChangeAspect="1" noChangeArrowheads="1"/>
                    </pic:cNvPicPr>
                  </pic:nvPicPr>
                  <pic:blipFill>
                    <a:blip r:embed="rId32"/>
                    <a:srcRect l="-3" t="-12" r="-3" b="-12"/>
                    <a:stretch>
                      <a:fillRect/>
                    </a:stretch>
                  </pic:blipFill>
                  <pic:spPr bwMode="auto">
                    <a:xfrm>
                      <a:off x="0" y="0"/>
                      <a:ext cx="5900420" cy="1873885"/>
                    </a:xfrm>
                    <a:prstGeom prst="rect">
                      <a:avLst/>
                    </a:prstGeom>
                  </pic:spPr>
                </pic:pic>
              </a:graphicData>
            </a:graphic>
          </wp:inline>
        </w:drawing>
      </w:r>
    </w:p>
    <w:p w14:paraId="46BE1184" w14:textId="77777777" w:rsidR="00771ECA" w:rsidRDefault="00000000">
      <w:pPr>
        <w:overflowPunct w:val="0"/>
        <w:spacing w:line="480" w:lineRule="auto"/>
        <w:ind w:firstLine="420"/>
        <w:jc w:val="both"/>
        <w:textAlignment w:val="auto"/>
      </w:pPr>
      <w:r>
        <w:rPr>
          <w:rFonts w:ascii="Arial" w:hAnsi="Arial" w:cs="宋体;SimSun"/>
          <w:sz w:val="21"/>
          <w:szCs w:val="21"/>
        </w:rPr>
        <w:t>（</w:t>
      </w:r>
      <w:r>
        <w:rPr>
          <w:rFonts w:ascii="Arial" w:hAnsi="Arial" w:cs="Arial"/>
          <w:sz w:val="21"/>
        </w:rPr>
        <w:t>3</w:t>
      </w:r>
      <w:r>
        <w:rPr>
          <w:rFonts w:ascii="Arial" w:hAnsi="Arial" w:cs="宋体;SimSun"/>
          <w:sz w:val="21"/>
          <w:szCs w:val="21"/>
        </w:rPr>
        <w:t>）土地成交价格</w:t>
      </w:r>
    </w:p>
    <w:p w14:paraId="04B2C881" w14:textId="77777777" w:rsidR="00771ECA" w:rsidRDefault="00000000">
      <w:pPr>
        <w:overflowPunct w:val="0"/>
        <w:spacing w:line="480" w:lineRule="auto"/>
        <w:ind w:firstLine="420"/>
        <w:jc w:val="both"/>
        <w:textAlignment w:val="auto"/>
        <w:rPr>
          <w:rFonts w:ascii="Arial" w:hAnsi="Arial" w:cs="Arial"/>
          <w:sz w:val="21"/>
          <w:szCs w:val="28"/>
        </w:rPr>
      </w:pPr>
      <w:r>
        <w:rPr>
          <w:rFonts w:ascii="Arial" w:hAnsi="Arial" w:cs="Arial"/>
          <w:sz w:val="21"/>
          <w:szCs w:val="28"/>
        </w:rPr>
        <w:t>2023</w:t>
      </w:r>
      <w:r>
        <w:rPr>
          <w:rFonts w:ascii="Arial" w:hAnsi="Arial" w:cs="Arial"/>
          <w:sz w:val="21"/>
          <w:szCs w:val="28"/>
        </w:rPr>
        <w:t>年三季度，北京宅地整体成交楼面均价</w:t>
      </w:r>
      <w:r>
        <w:rPr>
          <w:rFonts w:ascii="Arial" w:hAnsi="Arial" w:cs="Arial"/>
          <w:sz w:val="21"/>
          <w:szCs w:val="28"/>
        </w:rPr>
        <w:t>27153</w:t>
      </w:r>
      <w:r>
        <w:rPr>
          <w:rFonts w:ascii="Arial" w:hAnsi="Arial" w:cs="Arial"/>
          <w:sz w:val="21"/>
          <w:szCs w:val="28"/>
        </w:rPr>
        <w:t>元</w:t>
      </w:r>
      <w:r>
        <w:rPr>
          <w:rFonts w:ascii="Arial" w:hAnsi="Arial" w:cs="Arial"/>
          <w:sz w:val="21"/>
          <w:szCs w:val="28"/>
        </w:rPr>
        <w:t>/</w:t>
      </w:r>
      <w:r>
        <w:rPr>
          <w:rFonts w:ascii="Arial" w:hAnsi="Arial" w:cs="Arial"/>
          <w:sz w:val="21"/>
          <w:szCs w:val="28"/>
        </w:rPr>
        <w:t>㎡，受去年同期丰台、海淀等地块高楼面价基数影响，同比结构下降</w:t>
      </w:r>
      <w:r>
        <w:rPr>
          <w:rFonts w:ascii="Arial" w:hAnsi="Arial" w:cs="Arial"/>
          <w:sz w:val="21"/>
          <w:szCs w:val="28"/>
        </w:rPr>
        <w:t>20%</w:t>
      </w:r>
      <w:r>
        <w:rPr>
          <w:rFonts w:ascii="Arial" w:hAnsi="Arial" w:cs="Arial"/>
          <w:sz w:val="21"/>
          <w:szCs w:val="28"/>
        </w:rPr>
        <w:t>。溢价率方面，受朝阳十八里店、大兴三合庄、大兴西红门、大兴新城以及昌平沙河高教地块高溢价带动，北京三季度宅地成交溢价率</w:t>
      </w:r>
      <w:r>
        <w:rPr>
          <w:rFonts w:ascii="Arial" w:hAnsi="Arial" w:cs="Arial"/>
          <w:sz w:val="21"/>
          <w:szCs w:val="28"/>
        </w:rPr>
        <w:t>8.0%</w:t>
      </w:r>
      <w:r>
        <w:rPr>
          <w:rFonts w:ascii="Arial" w:hAnsi="Arial" w:cs="Arial"/>
          <w:sz w:val="21"/>
          <w:szCs w:val="28"/>
        </w:rPr>
        <w:t>，同比提高</w:t>
      </w:r>
      <w:r>
        <w:rPr>
          <w:rFonts w:ascii="Arial" w:hAnsi="Arial" w:cs="Arial"/>
          <w:sz w:val="21"/>
          <w:szCs w:val="28"/>
        </w:rPr>
        <w:t>1.9</w:t>
      </w:r>
      <w:r>
        <w:rPr>
          <w:rFonts w:ascii="Arial" w:hAnsi="Arial" w:cs="Arial"/>
          <w:sz w:val="21"/>
          <w:szCs w:val="28"/>
        </w:rPr>
        <w:t>个百分点。但整体来看市场热度依然分化明显，成交的</w:t>
      </w:r>
      <w:r>
        <w:rPr>
          <w:rFonts w:ascii="Arial" w:hAnsi="Arial" w:cs="Arial"/>
          <w:sz w:val="21"/>
          <w:szCs w:val="28"/>
        </w:rPr>
        <w:t>12</w:t>
      </w:r>
      <w:r>
        <w:rPr>
          <w:rFonts w:ascii="Arial" w:hAnsi="Arial" w:cs="Arial"/>
          <w:sz w:val="21"/>
          <w:szCs w:val="28"/>
        </w:rPr>
        <w:t>宗地块中，</w:t>
      </w:r>
      <w:r>
        <w:rPr>
          <w:rFonts w:ascii="Arial" w:hAnsi="Arial" w:cs="Arial"/>
          <w:sz w:val="21"/>
          <w:szCs w:val="28"/>
        </w:rPr>
        <w:t>5</w:t>
      </w:r>
      <w:r>
        <w:rPr>
          <w:rFonts w:ascii="Arial" w:hAnsi="Arial" w:cs="Arial"/>
          <w:sz w:val="21"/>
          <w:szCs w:val="28"/>
        </w:rPr>
        <w:t>宗地块触及地价上限，溢价率</w:t>
      </w:r>
      <w:r>
        <w:rPr>
          <w:rFonts w:ascii="Arial" w:hAnsi="Arial" w:cs="Arial"/>
          <w:sz w:val="21"/>
          <w:szCs w:val="28"/>
        </w:rPr>
        <w:t>15%</w:t>
      </w:r>
      <w:r>
        <w:rPr>
          <w:rFonts w:ascii="Arial" w:hAnsi="Arial" w:cs="Arial"/>
          <w:sz w:val="21"/>
          <w:szCs w:val="28"/>
        </w:rPr>
        <w:t>，其中朝阳十八里店</w:t>
      </w:r>
      <w:r>
        <w:rPr>
          <w:rFonts w:ascii="Arial" w:hAnsi="Arial" w:cs="Arial"/>
          <w:sz w:val="21"/>
          <w:szCs w:val="28"/>
        </w:rPr>
        <w:t>678</w:t>
      </w:r>
      <w:r>
        <w:rPr>
          <w:rFonts w:ascii="Arial" w:hAnsi="Arial" w:cs="Arial"/>
          <w:sz w:val="21"/>
          <w:szCs w:val="28"/>
        </w:rPr>
        <w:t>地块，共吸引</w:t>
      </w:r>
      <w:r>
        <w:rPr>
          <w:rFonts w:ascii="Arial" w:hAnsi="Arial" w:cs="Arial"/>
          <w:sz w:val="21"/>
          <w:szCs w:val="28"/>
        </w:rPr>
        <w:t>34</w:t>
      </w:r>
      <w:r>
        <w:rPr>
          <w:rFonts w:ascii="Arial" w:hAnsi="Arial" w:cs="Arial"/>
          <w:sz w:val="21"/>
          <w:szCs w:val="28"/>
        </w:rPr>
        <w:t>家房企参与竞拍；而延庆、房山阎村、石景山新首钢国际人才社区等</w:t>
      </w:r>
      <w:r>
        <w:rPr>
          <w:rFonts w:ascii="Arial" w:hAnsi="Arial" w:cs="Arial"/>
          <w:sz w:val="21"/>
          <w:szCs w:val="28"/>
        </w:rPr>
        <w:t>4</w:t>
      </w:r>
      <w:r>
        <w:rPr>
          <w:rFonts w:ascii="Arial" w:hAnsi="Arial" w:cs="Arial"/>
          <w:sz w:val="21"/>
          <w:szCs w:val="28"/>
        </w:rPr>
        <w:t>宗地块均以底价成交。</w:t>
      </w:r>
    </w:p>
    <w:p w14:paraId="59C29E48" w14:textId="77777777" w:rsidR="00771ECA" w:rsidRDefault="00000000">
      <w:pPr>
        <w:overflowPunct w:val="0"/>
        <w:spacing w:line="480" w:lineRule="auto"/>
        <w:ind w:firstLine="420"/>
        <w:jc w:val="both"/>
        <w:textAlignment w:val="auto"/>
      </w:pPr>
      <w:r>
        <w:rPr>
          <w:rFonts w:ascii="Arial" w:hAnsi="Arial" w:cs="Arial"/>
          <w:sz w:val="21"/>
          <w:szCs w:val="28"/>
        </w:rPr>
        <w:t>分区域来看，中心城区楼面均价相对较高，朝阳成交楼面均价</w:t>
      </w:r>
      <w:r>
        <w:rPr>
          <w:rFonts w:ascii="Arial" w:hAnsi="Arial" w:cs="Arial"/>
          <w:sz w:val="21"/>
          <w:szCs w:val="28"/>
        </w:rPr>
        <w:t>5.2</w:t>
      </w:r>
      <w:r>
        <w:rPr>
          <w:rFonts w:ascii="Arial" w:hAnsi="Arial" w:cs="Arial"/>
          <w:sz w:val="21"/>
          <w:szCs w:val="28"/>
        </w:rPr>
        <w:t>万元</w:t>
      </w:r>
      <w:r>
        <w:rPr>
          <w:rFonts w:ascii="Arial" w:hAnsi="Arial" w:cs="Arial"/>
          <w:sz w:val="21"/>
          <w:szCs w:val="28"/>
        </w:rPr>
        <w:t>/</w:t>
      </w:r>
      <w:r>
        <w:rPr>
          <w:rFonts w:ascii="Arial" w:hAnsi="Arial" w:cs="Arial"/>
          <w:sz w:val="21"/>
          <w:szCs w:val="28"/>
        </w:rPr>
        <w:t>㎡以上；近郊区域成交楼面价多介于</w:t>
      </w:r>
      <w:r>
        <w:rPr>
          <w:rFonts w:ascii="Arial" w:hAnsi="Arial" w:cs="Arial"/>
          <w:sz w:val="21"/>
          <w:szCs w:val="28"/>
        </w:rPr>
        <w:t>1.5-3.5</w:t>
      </w:r>
      <w:r>
        <w:rPr>
          <w:rFonts w:ascii="Arial" w:hAnsi="Arial" w:cs="Arial"/>
          <w:sz w:val="21"/>
          <w:szCs w:val="28"/>
        </w:rPr>
        <w:t>万</w:t>
      </w:r>
      <w:r>
        <w:rPr>
          <w:rFonts w:ascii="Arial" w:hAnsi="Arial" w:cs="Arial"/>
          <w:sz w:val="21"/>
          <w:szCs w:val="28"/>
        </w:rPr>
        <w:t>/</w:t>
      </w:r>
      <w:r>
        <w:rPr>
          <w:rFonts w:ascii="Arial" w:hAnsi="Arial" w:cs="Arial"/>
          <w:sz w:val="21"/>
          <w:szCs w:val="28"/>
        </w:rPr>
        <w:t>㎡之间，其中大兴、通州地价相对较高，均超</w:t>
      </w:r>
      <w:r>
        <w:rPr>
          <w:rFonts w:ascii="Arial" w:hAnsi="Arial" w:cs="Arial"/>
          <w:sz w:val="21"/>
          <w:szCs w:val="28"/>
        </w:rPr>
        <w:t>3.4</w:t>
      </w:r>
      <w:r>
        <w:rPr>
          <w:rFonts w:ascii="Arial" w:hAnsi="Arial" w:cs="Arial"/>
          <w:sz w:val="21"/>
          <w:szCs w:val="28"/>
        </w:rPr>
        <w:t>万元</w:t>
      </w:r>
      <w:r>
        <w:rPr>
          <w:rFonts w:ascii="Arial" w:hAnsi="Arial" w:cs="Arial"/>
          <w:sz w:val="21"/>
          <w:szCs w:val="28"/>
        </w:rPr>
        <w:t>/</w:t>
      </w:r>
      <w:r>
        <w:rPr>
          <w:rFonts w:ascii="Arial" w:hAnsi="Arial" w:cs="Arial"/>
          <w:sz w:val="21"/>
          <w:szCs w:val="28"/>
        </w:rPr>
        <w:t>㎡，昌平、顺义成交楼面价超</w:t>
      </w:r>
      <w:r>
        <w:rPr>
          <w:rFonts w:ascii="Arial" w:hAnsi="Arial" w:cs="Arial"/>
          <w:sz w:val="21"/>
          <w:szCs w:val="28"/>
        </w:rPr>
        <w:t>2.1</w:t>
      </w:r>
      <w:r>
        <w:rPr>
          <w:rFonts w:ascii="Arial" w:hAnsi="Arial" w:cs="Arial"/>
          <w:sz w:val="21"/>
          <w:szCs w:val="28"/>
        </w:rPr>
        <w:t>万元</w:t>
      </w:r>
      <w:r>
        <w:rPr>
          <w:rFonts w:ascii="Arial" w:hAnsi="Arial" w:cs="Arial"/>
          <w:sz w:val="21"/>
          <w:szCs w:val="28"/>
        </w:rPr>
        <w:t>/</w:t>
      </w:r>
      <w:r>
        <w:rPr>
          <w:rFonts w:ascii="Arial" w:hAnsi="Arial" w:cs="Arial"/>
          <w:sz w:val="21"/>
          <w:szCs w:val="28"/>
        </w:rPr>
        <w:t>㎡。从同比变化来看，顺义、石景山、通州成交楼面价同比上涨，昌平、房山、大兴成交楼面价同比略下跌。</w:t>
      </w:r>
    </w:p>
    <w:p w14:paraId="1A3F0A73" w14:textId="77777777" w:rsidR="00771ECA" w:rsidRDefault="00000000">
      <w:pPr>
        <w:overflowPunct w:val="0"/>
        <w:spacing w:line="480" w:lineRule="auto"/>
        <w:ind w:firstLine="420"/>
        <w:jc w:val="both"/>
        <w:textAlignment w:val="auto"/>
        <w:rPr>
          <w:rFonts w:ascii="Arial" w:hAnsi="Arial" w:cs="Arial"/>
          <w:sz w:val="21"/>
        </w:rPr>
      </w:pPr>
      <w:r>
        <w:rPr>
          <w:rFonts w:ascii="Arial" w:hAnsi="Arial" w:cs="Arial"/>
          <w:sz w:val="21"/>
          <w:szCs w:val="28"/>
        </w:rPr>
        <w:t>从各个区域宅地竞拍情况来看，朝阳、大兴地块竞争较为激烈，均触达地价上限；昌平、通州部分地块竞争也较激烈；而石景山、房山、延庆地块均以底价成交</w:t>
      </w:r>
      <w:r>
        <w:rPr>
          <w:rFonts w:ascii="Arial" w:hAnsi="Arial" w:cs="宋体;SimSun"/>
          <w:sz w:val="21"/>
          <w:szCs w:val="21"/>
        </w:rPr>
        <w:t>。</w:t>
      </w:r>
    </w:p>
    <w:p w14:paraId="7F808C87" w14:textId="77777777" w:rsidR="00771ECA" w:rsidRPr="00FB167A" w:rsidRDefault="00000000">
      <w:pPr>
        <w:spacing w:line="480" w:lineRule="auto"/>
        <w:jc w:val="center"/>
        <w:rPr>
          <w:rFonts w:ascii="Arial" w:hAnsi="Arial" w:cs="Arial"/>
          <w:sz w:val="21"/>
          <w:szCs w:val="21"/>
          <w:highlight w:val="lightGray"/>
        </w:rPr>
      </w:pPr>
      <w:r>
        <w:rPr>
          <w:noProof/>
          <w:lang w:val="zh-CN"/>
        </w:rPr>
        <w:lastRenderedPageBreak/>
        <w:drawing>
          <wp:inline distT="0" distB="0" distL="0" distR="0" wp14:anchorId="351B154C" wp14:editId="6B0CE557">
            <wp:extent cx="5904865" cy="1731645"/>
            <wp:effectExtent l="0" t="0" r="0" b="0"/>
            <wp:docPr id="14"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像3"/>
                    <pic:cNvPicPr>
                      <a:picLocks noChangeAspect="1" noChangeArrowheads="1"/>
                    </pic:cNvPicPr>
                  </pic:nvPicPr>
                  <pic:blipFill>
                    <a:blip r:embed="rId33"/>
                    <a:srcRect l="-3" t="-12" r="-3" b="-12"/>
                    <a:stretch>
                      <a:fillRect/>
                    </a:stretch>
                  </pic:blipFill>
                  <pic:spPr bwMode="auto">
                    <a:xfrm>
                      <a:off x="0" y="0"/>
                      <a:ext cx="5904865" cy="1731645"/>
                    </a:xfrm>
                    <a:prstGeom prst="rect">
                      <a:avLst/>
                    </a:prstGeom>
                  </pic:spPr>
                </pic:pic>
              </a:graphicData>
            </a:graphic>
          </wp:inline>
        </w:drawing>
      </w:r>
    </w:p>
    <w:p w14:paraId="019C2470" w14:textId="77777777" w:rsidR="00771ECA" w:rsidRDefault="00000000">
      <w:pPr>
        <w:overflowPunct w:val="0"/>
        <w:spacing w:line="480" w:lineRule="auto"/>
        <w:ind w:firstLine="420"/>
        <w:jc w:val="both"/>
        <w:textAlignment w:val="auto"/>
      </w:pPr>
      <w:r>
        <w:rPr>
          <w:rFonts w:ascii="Arial" w:hAnsi="Arial" w:cs="Arial"/>
          <w:sz w:val="21"/>
          <w:szCs w:val="28"/>
        </w:rPr>
        <w:t>（</w:t>
      </w:r>
      <w:r>
        <w:rPr>
          <w:rFonts w:ascii="Arial" w:hAnsi="Arial" w:cs="Arial"/>
          <w:sz w:val="21"/>
          <w:szCs w:val="28"/>
        </w:rPr>
        <w:t>4</w:t>
      </w:r>
      <w:r>
        <w:rPr>
          <w:rFonts w:ascii="Arial" w:hAnsi="Arial" w:cs="Arial"/>
          <w:sz w:val="21"/>
          <w:szCs w:val="28"/>
        </w:rPr>
        <w:t>）供应计划</w:t>
      </w:r>
    </w:p>
    <w:p w14:paraId="5E2E86DF" w14:textId="77777777" w:rsidR="00771ECA" w:rsidRDefault="00000000">
      <w:pPr>
        <w:overflowPunct w:val="0"/>
        <w:spacing w:line="480" w:lineRule="auto"/>
        <w:ind w:firstLine="420"/>
        <w:jc w:val="both"/>
        <w:textAlignment w:val="auto"/>
        <w:rPr>
          <w:rFonts w:ascii="Arial" w:hAnsi="Arial" w:cs="Arial"/>
          <w:sz w:val="21"/>
          <w:szCs w:val="28"/>
        </w:rPr>
      </w:pPr>
      <w:r>
        <w:rPr>
          <w:rFonts w:ascii="Arial" w:hAnsi="Arial" w:cs="Arial"/>
          <w:sz w:val="21"/>
          <w:szCs w:val="28"/>
        </w:rPr>
        <w:t>2</w:t>
      </w:r>
      <w:r>
        <w:rPr>
          <w:rFonts w:ascii="Arial" w:hAnsi="Arial" w:cs="Arial"/>
          <w:sz w:val="21"/>
          <w:szCs w:val="28"/>
        </w:rPr>
        <w:t>月</w:t>
      </w:r>
      <w:r>
        <w:rPr>
          <w:rFonts w:ascii="Arial" w:hAnsi="Arial" w:cs="Arial"/>
          <w:sz w:val="21"/>
          <w:szCs w:val="28"/>
        </w:rPr>
        <w:t>22</w:t>
      </w:r>
      <w:r>
        <w:rPr>
          <w:rFonts w:ascii="Arial" w:hAnsi="Arial" w:cs="Arial"/>
          <w:sz w:val="21"/>
          <w:szCs w:val="28"/>
        </w:rPr>
        <w:t>日，北京规自委、北京发改委联合发布《北京市</w:t>
      </w:r>
      <w:r>
        <w:rPr>
          <w:rFonts w:ascii="Arial" w:hAnsi="Arial" w:cs="Arial"/>
          <w:sz w:val="21"/>
          <w:szCs w:val="28"/>
        </w:rPr>
        <w:t>2023</w:t>
      </w:r>
      <w:r>
        <w:rPr>
          <w:rFonts w:ascii="Arial" w:hAnsi="Arial" w:cs="Arial"/>
          <w:sz w:val="21"/>
          <w:szCs w:val="28"/>
        </w:rPr>
        <w:t>年度建设用地供应计划》。计划安排建设用地供应总量</w:t>
      </w:r>
      <w:r>
        <w:rPr>
          <w:rFonts w:ascii="Arial" w:hAnsi="Arial" w:cs="Arial"/>
          <w:sz w:val="21"/>
          <w:szCs w:val="28"/>
        </w:rPr>
        <w:t>3190-3630</w:t>
      </w:r>
      <w:r>
        <w:rPr>
          <w:rFonts w:ascii="Arial" w:hAnsi="Arial" w:cs="Arial"/>
          <w:sz w:val="21"/>
          <w:szCs w:val="28"/>
        </w:rPr>
        <w:t>公顷，与</w:t>
      </w:r>
      <w:r>
        <w:rPr>
          <w:rFonts w:ascii="Arial" w:hAnsi="Arial" w:cs="Arial"/>
          <w:sz w:val="21"/>
          <w:szCs w:val="28"/>
        </w:rPr>
        <w:t>2022</w:t>
      </w:r>
      <w:r>
        <w:rPr>
          <w:rFonts w:ascii="Arial" w:hAnsi="Arial" w:cs="Arial"/>
          <w:sz w:val="21"/>
          <w:szCs w:val="28"/>
        </w:rPr>
        <w:t>年基本持平。其中，住宅用地</w:t>
      </w:r>
      <w:r>
        <w:rPr>
          <w:rFonts w:ascii="Arial" w:hAnsi="Arial" w:cs="Arial"/>
          <w:sz w:val="21"/>
          <w:szCs w:val="28"/>
        </w:rPr>
        <w:t>1060</w:t>
      </w:r>
      <w:r>
        <w:rPr>
          <w:rFonts w:ascii="Arial" w:hAnsi="Arial" w:cs="Arial"/>
          <w:sz w:val="21"/>
          <w:szCs w:val="28"/>
        </w:rPr>
        <w:t>公顷（产权住宅用地</w:t>
      </w:r>
      <w:r>
        <w:rPr>
          <w:rFonts w:ascii="Arial" w:hAnsi="Arial" w:cs="Arial"/>
          <w:sz w:val="21"/>
          <w:szCs w:val="28"/>
        </w:rPr>
        <w:t>800</w:t>
      </w:r>
      <w:r>
        <w:rPr>
          <w:rFonts w:ascii="Arial" w:hAnsi="Arial" w:cs="Arial"/>
          <w:sz w:val="21"/>
          <w:szCs w:val="28"/>
        </w:rPr>
        <w:t>公顷，租赁住宅用地</w:t>
      </w:r>
      <w:r>
        <w:rPr>
          <w:rFonts w:ascii="Arial" w:hAnsi="Arial" w:cs="Arial"/>
          <w:sz w:val="21"/>
          <w:szCs w:val="28"/>
        </w:rPr>
        <w:t>260</w:t>
      </w:r>
      <w:r>
        <w:rPr>
          <w:rFonts w:ascii="Arial" w:hAnsi="Arial" w:cs="Arial"/>
          <w:sz w:val="21"/>
          <w:szCs w:val="28"/>
        </w:rPr>
        <w:t>公顷）。从各区供应计划来看，供地重点向城市副中心和多点地区倾斜，促进土地资源合理配置。中心城区、生态涵养区的供应比例均保持在</w:t>
      </w:r>
      <w:r>
        <w:rPr>
          <w:rFonts w:ascii="Arial" w:hAnsi="Arial" w:cs="Arial"/>
          <w:sz w:val="21"/>
          <w:szCs w:val="28"/>
        </w:rPr>
        <w:t>20%</w:t>
      </w:r>
      <w:r>
        <w:rPr>
          <w:rFonts w:ascii="Arial" w:hAnsi="Arial" w:cs="Arial"/>
          <w:sz w:val="21"/>
          <w:szCs w:val="28"/>
        </w:rPr>
        <w:t>左右，城市副中心和多点地区供应比率稳定在</w:t>
      </w:r>
      <w:r>
        <w:rPr>
          <w:rFonts w:ascii="Arial" w:hAnsi="Arial" w:cs="Arial"/>
          <w:sz w:val="21"/>
          <w:szCs w:val="28"/>
        </w:rPr>
        <w:t>60%</w:t>
      </w:r>
      <w:r>
        <w:rPr>
          <w:rFonts w:ascii="Arial" w:hAnsi="Arial" w:cs="Arial"/>
          <w:sz w:val="21"/>
          <w:szCs w:val="28"/>
        </w:rPr>
        <w:t>左右。</w:t>
      </w:r>
    </w:p>
    <w:p w14:paraId="39F8FCF8" w14:textId="77777777" w:rsidR="00771ECA" w:rsidRDefault="00000000">
      <w:pPr>
        <w:overflowPunct w:val="0"/>
        <w:spacing w:line="480" w:lineRule="auto"/>
        <w:ind w:firstLine="420"/>
        <w:jc w:val="both"/>
        <w:textAlignment w:val="auto"/>
        <w:rPr>
          <w:rFonts w:ascii="Arial" w:hAnsi="Arial" w:cs="Arial"/>
          <w:sz w:val="21"/>
          <w:szCs w:val="28"/>
        </w:rPr>
      </w:pPr>
      <w:r>
        <w:rPr>
          <w:rFonts w:ascii="Arial" w:hAnsi="Arial" w:cs="Arial"/>
          <w:sz w:val="21"/>
          <w:szCs w:val="28"/>
        </w:rPr>
        <w:t>3.</w:t>
      </w:r>
      <w:r>
        <w:rPr>
          <w:rFonts w:ascii="Arial" w:hAnsi="Arial" w:cs="Arial"/>
          <w:sz w:val="21"/>
          <w:szCs w:val="28"/>
        </w:rPr>
        <w:t>商品房住宅市场</w:t>
      </w:r>
    </w:p>
    <w:p w14:paraId="200D80E0" w14:textId="77777777" w:rsidR="00771ECA" w:rsidRDefault="00000000">
      <w:pPr>
        <w:overflowPunct w:val="0"/>
        <w:spacing w:line="480" w:lineRule="auto"/>
        <w:ind w:firstLine="420"/>
        <w:jc w:val="both"/>
        <w:textAlignment w:val="auto"/>
        <w:rPr>
          <w:rFonts w:ascii="Arial" w:hAnsi="Arial" w:cs="Arial"/>
          <w:sz w:val="21"/>
          <w:szCs w:val="28"/>
        </w:rPr>
      </w:pPr>
      <w:r>
        <w:rPr>
          <w:rFonts w:ascii="Arial" w:hAnsi="Arial" w:cs="Arial"/>
          <w:sz w:val="21"/>
          <w:szCs w:val="28"/>
        </w:rPr>
        <w:t>（</w:t>
      </w:r>
      <w:r>
        <w:rPr>
          <w:rFonts w:ascii="Arial" w:hAnsi="Arial" w:cs="Arial"/>
          <w:sz w:val="21"/>
          <w:szCs w:val="28"/>
        </w:rPr>
        <w:t>1</w:t>
      </w:r>
      <w:r>
        <w:rPr>
          <w:rFonts w:ascii="Arial" w:hAnsi="Arial" w:cs="Arial"/>
          <w:sz w:val="21"/>
          <w:szCs w:val="28"/>
        </w:rPr>
        <w:t>）商品住宅供给状况</w:t>
      </w:r>
    </w:p>
    <w:p w14:paraId="4115CF7E" w14:textId="77777777" w:rsidR="00771ECA" w:rsidRDefault="00000000">
      <w:pPr>
        <w:overflowPunct w:val="0"/>
        <w:spacing w:line="480" w:lineRule="auto"/>
        <w:ind w:firstLine="420"/>
        <w:jc w:val="both"/>
        <w:textAlignment w:val="auto"/>
      </w:pPr>
      <w:r>
        <w:rPr>
          <w:rFonts w:ascii="Arial" w:hAnsi="Arial" w:cs="Arial"/>
          <w:sz w:val="21"/>
          <w:szCs w:val="28"/>
        </w:rPr>
        <w:t>2023</w:t>
      </w:r>
      <w:r>
        <w:rPr>
          <w:rFonts w:ascii="Arial" w:hAnsi="Arial" w:cs="Arial"/>
          <w:sz w:val="21"/>
          <w:szCs w:val="28"/>
        </w:rPr>
        <w:t>年三季度北京商品住宅（不含保障房）供应止跌回升，供应节奏有所加快，累计供应</w:t>
      </w:r>
      <w:r>
        <w:rPr>
          <w:rFonts w:ascii="Arial" w:hAnsi="Arial" w:cs="Arial"/>
          <w:sz w:val="21"/>
          <w:szCs w:val="28"/>
        </w:rPr>
        <w:t>134</w:t>
      </w:r>
      <w:r>
        <w:rPr>
          <w:rFonts w:ascii="Arial" w:hAnsi="Arial" w:cs="Arial"/>
          <w:sz w:val="21"/>
          <w:szCs w:val="28"/>
        </w:rPr>
        <w:t>万㎡，同比下降</w:t>
      </w:r>
      <w:r>
        <w:rPr>
          <w:rFonts w:ascii="Arial" w:hAnsi="Arial" w:cs="Arial"/>
          <w:sz w:val="21"/>
          <w:szCs w:val="28"/>
        </w:rPr>
        <w:t>31%</w:t>
      </w:r>
      <w:r>
        <w:rPr>
          <w:rFonts w:ascii="Arial" w:hAnsi="Arial" w:cs="Arial"/>
          <w:sz w:val="21"/>
          <w:szCs w:val="28"/>
        </w:rPr>
        <w:t>，整体供应规模仍相对较低。分月度来看，</w:t>
      </w:r>
      <w:r>
        <w:rPr>
          <w:rFonts w:ascii="Arial" w:hAnsi="Arial" w:cs="Arial"/>
          <w:sz w:val="21"/>
          <w:szCs w:val="28"/>
        </w:rPr>
        <w:t>7/8</w:t>
      </w:r>
      <w:r>
        <w:rPr>
          <w:rFonts w:ascii="Arial" w:hAnsi="Arial" w:cs="Arial"/>
          <w:sz w:val="21"/>
          <w:szCs w:val="28"/>
        </w:rPr>
        <w:t>月北京新房入市节奏放缓，供应规模持续低位；</w:t>
      </w:r>
      <w:r>
        <w:rPr>
          <w:rFonts w:ascii="Arial" w:hAnsi="Arial" w:cs="Arial"/>
          <w:sz w:val="21"/>
          <w:szCs w:val="28"/>
        </w:rPr>
        <w:t>9</w:t>
      </w:r>
      <w:r>
        <w:rPr>
          <w:rFonts w:ascii="Arial" w:hAnsi="Arial" w:cs="Arial"/>
          <w:sz w:val="21"/>
          <w:szCs w:val="28"/>
        </w:rPr>
        <w:t>月进入传统营销周期，叠加新政利好，新房供应节奏明显加快。整体来看，</w:t>
      </w:r>
      <w:r>
        <w:rPr>
          <w:rFonts w:ascii="Arial" w:hAnsi="Arial" w:cs="Arial"/>
          <w:sz w:val="21"/>
          <w:szCs w:val="28"/>
        </w:rPr>
        <w:t>2023</w:t>
      </w:r>
      <w:r>
        <w:rPr>
          <w:rFonts w:ascii="Arial" w:hAnsi="Arial" w:cs="Arial"/>
          <w:sz w:val="21"/>
          <w:szCs w:val="28"/>
        </w:rPr>
        <w:t>年前三季度，北京宅地供求缓慢，影响新房入市节奏，新房供应整体相对疲软。</w:t>
      </w:r>
    </w:p>
    <w:p w14:paraId="7CC5DE80" w14:textId="77777777" w:rsidR="00771ECA" w:rsidRDefault="00000000">
      <w:pPr>
        <w:overflowPunct w:val="0"/>
        <w:spacing w:line="480" w:lineRule="auto"/>
        <w:ind w:firstLine="420"/>
        <w:jc w:val="both"/>
        <w:textAlignment w:val="auto"/>
        <w:rPr>
          <w:rFonts w:ascii="Arial" w:hAnsi="Arial" w:cs="Arial"/>
          <w:sz w:val="21"/>
        </w:rPr>
      </w:pPr>
      <w:r>
        <w:rPr>
          <w:rFonts w:ascii="Arial" w:hAnsi="Arial" w:cs="Arial"/>
          <w:sz w:val="21"/>
          <w:szCs w:val="28"/>
        </w:rPr>
        <w:t>供求关系方面，</w:t>
      </w:r>
      <w:r>
        <w:rPr>
          <w:rFonts w:ascii="Arial" w:hAnsi="Arial" w:cs="Arial"/>
          <w:sz w:val="21"/>
          <w:szCs w:val="28"/>
        </w:rPr>
        <w:t>2023</w:t>
      </w:r>
      <w:r>
        <w:rPr>
          <w:rFonts w:ascii="Arial" w:hAnsi="Arial" w:cs="Arial"/>
          <w:sz w:val="21"/>
          <w:szCs w:val="28"/>
        </w:rPr>
        <w:t>年三季度商品住宅市场销供比为</w:t>
      </w:r>
      <w:r>
        <w:rPr>
          <w:rFonts w:ascii="Arial" w:hAnsi="Arial" w:cs="Arial"/>
          <w:sz w:val="21"/>
          <w:szCs w:val="28"/>
        </w:rPr>
        <w:t>1.17</w:t>
      </w:r>
      <w:r>
        <w:rPr>
          <w:rFonts w:ascii="Arial" w:hAnsi="Arial" w:cs="Arial"/>
          <w:sz w:val="21"/>
          <w:szCs w:val="28"/>
        </w:rPr>
        <w:t>，整体处于供求弱平衡状态，已经连续四个季度呈现供不应求态势。预计随着</w:t>
      </w:r>
      <w:r>
        <w:rPr>
          <w:rFonts w:ascii="Arial" w:hAnsi="Arial" w:cs="Arial"/>
          <w:sz w:val="21"/>
          <w:szCs w:val="28"/>
        </w:rPr>
        <w:t>1/2</w:t>
      </w:r>
      <w:r>
        <w:rPr>
          <w:rFonts w:ascii="Arial" w:hAnsi="Arial" w:cs="Arial"/>
          <w:sz w:val="21"/>
          <w:szCs w:val="28"/>
        </w:rPr>
        <w:t>批次成交地块的逐步入市，四季度北京新房供应有望持续增长</w:t>
      </w:r>
      <w:r>
        <w:rPr>
          <w:rFonts w:ascii="Arial" w:hAnsi="Arial" w:cs="Arial"/>
          <w:sz w:val="21"/>
        </w:rPr>
        <w:t>。</w:t>
      </w:r>
    </w:p>
    <w:p w14:paraId="4DF5CA83" w14:textId="77777777" w:rsidR="00771ECA" w:rsidRPr="00FB167A" w:rsidRDefault="00000000">
      <w:pPr>
        <w:overflowPunct w:val="0"/>
        <w:spacing w:line="480" w:lineRule="auto"/>
        <w:jc w:val="center"/>
        <w:textAlignment w:val="auto"/>
        <w:rPr>
          <w:rFonts w:ascii="Arial" w:hAnsi="Arial" w:cs="Arial"/>
          <w:sz w:val="21"/>
          <w:highlight w:val="lightGray"/>
        </w:rPr>
      </w:pPr>
      <w:r>
        <w:rPr>
          <w:noProof/>
          <w:lang w:val="zh-CN"/>
        </w:rPr>
        <w:lastRenderedPageBreak/>
        <w:drawing>
          <wp:inline distT="0" distB="0" distL="0" distR="0" wp14:anchorId="68C7278D" wp14:editId="3B452A42">
            <wp:extent cx="5899150" cy="1801495"/>
            <wp:effectExtent l="0" t="0" r="0" b="0"/>
            <wp:docPr id="15" name="图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像4"/>
                    <pic:cNvPicPr>
                      <a:picLocks noChangeAspect="1" noChangeArrowheads="1"/>
                    </pic:cNvPicPr>
                  </pic:nvPicPr>
                  <pic:blipFill>
                    <a:blip r:embed="rId34"/>
                    <a:srcRect l="-3" t="-11" r="-3" b="-11"/>
                    <a:stretch>
                      <a:fillRect/>
                    </a:stretch>
                  </pic:blipFill>
                  <pic:spPr bwMode="auto">
                    <a:xfrm>
                      <a:off x="0" y="0"/>
                      <a:ext cx="5899150" cy="1801495"/>
                    </a:xfrm>
                    <a:prstGeom prst="rect">
                      <a:avLst/>
                    </a:prstGeom>
                  </pic:spPr>
                </pic:pic>
              </a:graphicData>
            </a:graphic>
          </wp:inline>
        </w:drawing>
      </w:r>
    </w:p>
    <w:p w14:paraId="6966E0B9" w14:textId="77777777" w:rsidR="00771ECA" w:rsidRDefault="00000000">
      <w:pPr>
        <w:overflowPunct w:val="0"/>
        <w:spacing w:line="480" w:lineRule="auto"/>
        <w:ind w:firstLine="420"/>
        <w:jc w:val="both"/>
        <w:textAlignment w:val="auto"/>
        <w:rPr>
          <w:rFonts w:ascii="Arial" w:hAnsi="Arial" w:cs="Arial"/>
          <w:sz w:val="21"/>
          <w:szCs w:val="28"/>
        </w:rPr>
      </w:pPr>
      <w:r>
        <w:rPr>
          <w:rFonts w:ascii="Arial" w:hAnsi="Arial" w:cs="Arial"/>
          <w:sz w:val="21"/>
          <w:szCs w:val="28"/>
        </w:rPr>
        <w:t>截至</w:t>
      </w:r>
      <w:r>
        <w:rPr>
          <w:rFonts w:ascii="Arial" w:hAnsi="Arial" w:cs="Arial"/>
          <w:sz w:val="21"/>
          <w:szCs w:val="28"/>
        </w:rPr>
        <w:t>9</w:t>
      </w:r>
      <w:r>
        <w:rPr>
          <w:rFonts w:ascii="Arial" w:hAnsi="Arial" w:cs="Arial"/>
          <w:sz w:val="21"/>
          <w:szCs w:val="28"/>
        </w:rPr>
        <w:t>月底，北京商品住宅（不含保障房）库存量为</w:t>
      </w:r>
      <w:r>
        <w:rPr>
          <w:rFonts w:ascii="Arial" w:hAnsi="Arial" w:cs="Arial"/>
          <w:sz w:val="21"/>
          <w:szCs w:val="28"/>
        </w:rPr>
        <w:t>1076</w:t>
      </w:r>
      <w:r>
        <w:rPr>
          <w:rFonts w:ascii="Arial" w:hAnsi="Arial" w:cs="Arial"/>
          <w:sz w:val="21"/>
          <w:szCs w:val="28"/>
        </w:rPr>
        <w:t>万㎡，较二季度末和去年同期分别下降</w:t>
      </w:r>
      <w:r>
        <w:rPr>
          <w:rFonts w:ascii="Arial" w:hAnsi="Arial" w:cs="Arial"/>
          <w:sz w:val="21"/>
          <w:szCs w:val="28"/>
        </w:rPr>
        <w:t>0.7%</w:t>
      </w:r>
      <w:r>
        <w:rPr>
          <w:rFonts w:ascii="Arial" w:hAnsi="Arial" w:cs="Arial"/>
          <w:sz w:val="21"/>
          <w:szCs w:val="28"/>
        </w:rPr>
        <w:t>和</w:t>
      </w:r>
      <w:r>
        <w:rPr>
          <w:rFonts w:ascii="Arial" w:hAnsi="Arial" w:cs="Arial"/>
          <w:sz w:val="21"/>
          <w:szCs w:val="28"/>
        </w:rPr>
        <w:t>15.7%</w:t>
      </w:r>
      <w:r>
        <w:rPr>
          <w:rFonts w:ascii="Arial" w:hAnsi="Arial" w:cs="Arial"/>
          <w:sz w:val="21"/>
          <w:szCs w:val="28"/>
        </w:rPr>
        <w:t>，库存规模进一步回落；出清周期方面，</w:t>
      </w:r>
      <w:r>
        <w:rPr>
          <w:rFonts w:ascii="Arial" w:hAnsi="Arial" w:cs="Arial"/>
          <w:sz w:val="21"/>
          <w:szCs w:val="28"/>
        </w:rPr>
        <w:t>2023</w:t>
      </w:r>
      <w:r>
        <w:rPr>
          <w:rFonts w:ascii="Arial" w:hAnsi="Arial" w:cs="Arial"/>
          <w:sz w:val="21"/>
          <w:szCs w:val="28"/>
        </w:rPr>
        <w:t>年</w:t>
      </w:r>
      <w:r>
        <w:rPr>
          <w:rFonts w:ascii="Arial" w:hAnsi="Arial" w:cs="Arial"/>
          <w:sz w:val="21"/>
          <w:szCs w:val="28"/>
        </w:rPr>
        <w:t>9</w:t>
      </w:r>
      <w:r>
        <w:rPr>
          <w:rFonts w:ascii="Arial" w:hAnsi="Arial" w:cs="Arial"/>
          <w:sz w:val="21"/>
          <w:szCs w:val="28"/>
        </w:rPr>
        <w:t>月，北京商品住宅（不含保障房）出清周期为</w:t>
      </w:r>
      <w:r>
        <w:rPr>
          <w:rFonts w:ascii="Arial" w:hAnsi="Arial" w:cs="Arial"/>
          <w:sz w:val="21"/>
          <w:szCs w:val="28"/>
        </w:rPr>
        <w:t>17.8</w:t>
      </w:r>
      <w:r>
        <w:rPr>
          <w:rFonts w:ascii="Arial" w:hAnsi="Arial" w:cs="Arial"/>
          <w:sz w:val="21"/>
          <w:szCs w:val="28"/>
        </w:rPr>
        <w:t>个月，较二季度末下降</w:t>
      </w:r>
      <w:r>
        <w:rPr>
          <w:rFonts w:ascii="Arial" w:hAnsi="Arial" w:cs="Arial"/>
          <w:sz w:val="21"/>
          <w:szCs w:val="28"/>
        </w:rPr>
        <w:t>0.3</w:t>
      </w:r>
      <w:r>
        <w:rPr>
          <w:rFonts w:ascii="Arial" w:hAnsi="Arial" w:cs="Arial"/>
          <w:sz w:val="21"/>
          <w:szCs w:val="28"/>
        </w:rPr>
        <w:t>个月，但仍需警惕结构性库存风险。</w:t>
      </w:r>
    </w:p>
    <w:p w14:paraId="2AC810F2" w14:textId="77777777" w:rsidR="00771ECA" w:rsidRPr="00FB167A" w:rsidRDefault="00000000">
      <w:pPr>
        <w:overflowPunct w:val="0"/>
        <w:spacing w:line="480" w:lineRule="auto"/>
        <w:jc w:val="center"/>
        <w:textAlignment w:val="auto"/>
        <w:rPr>
          <w:rFonts w:ascii="Arial" w:hAnsi="Arial" w:cs="Arial"/>
          <w:sz w:val="21"/>
          <w:szCs w:val="28"/>
          <w:highlight w:val="lightGray"/>
        </w:rPr>
      </w:pPr>
      <w:r>
        <w:rPr>
          <w:noProof/>
          <w:lang w:val="zh-CN"/>
        </w:rPr>
        <w:drawing>
          <wp:inline distT="0" distB="0" distL="0" distR="0" wp14:anchorId="6772FE3D" wp14:editId="41906950">
            <wp:extent cx="5898515" cy="1947545"/>
            <wp:effectExtent l="0" t="0" r="0" b="0"/>
            <wp:docPr id="16" name="图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像5"/>
                    <pic:cNvPicPr>
                      <a:picLocks noChangeAspect="1" noChangeArrowheads="1"/>
                    </pic:cNvPicPr>
                  </pic:nvPicPr>
                  <pic:blipFill>
                    <a:blip r:embed="rId35"/>
                    <a:srcRect l="-3" t="-9" r="-3" b="-9"/>
                    <a:stretch>
                      <a:fillRect/>
                    </a:stretch>
                  </pic:blipFill>
                  <pic:spPr bwMode="auto">
                    <a:xfrm>
                      <a:off x="0" y="0"/>
                      <a:ext cx="5898515" cy="1947545"/>
                    </a:xfrm>
                    <a:prstGeom prst="rect">
                      <a:avLst/>
                    </a:prstGeom>
                  </pic:spPr>
                </pic:pic>
              </a:graphicData>
            </a:graphic>
          </wp:inline>
        </w:drawing>
      </w:r>
    </w:p>
    <w:p w14:paraId="583ED16E" w14:textId="77777777" w:rsidR="00771ECA" w:rsidRDefault="00000000">
      <w:pPr>
        <w:overflowPunct w:val="0"/>
        <w:spacing w:line="480" w:lineRule="auto"/>
        <w:ind w:firstLine="420"/>
        <w:jc w:val="both"/>
        <w:textAlignment w:val="auto"/>
        <w:rPr>
          <w:rFonts w:ascii="Arial" w:hAnsi="Arial" w:cs="Arial"/>
          <w:bCs/>
          <w:sz w:val="21"/>
          <w:szCs w:val="28"/>
        </w:rPr>
      </w:pPr>
      <w:r>
        <w:rPr>
          <w:rFonts w:ascii="Arial" w:hAnsi="Arial" w:cs="Arial"/>
          <w:sz w:val="21"/>
          <w:szCs w:val="28"/>
        </w:rPr>
        <w:t>（</w:t>
      </w:r>
      <w:r>
        <w:rPr>
          <w:rFonts w:ascii="Arial" w:hAnsi="Arial" w:cs="Arial"/>
          <w:sz w:val="21"/>
          <w:szCs w:val="28"/>
        </w:rPr>
        <w:t>2</w:t>
      </w:r>
      <w:r>
        <w:rPr>
          <w:rFonts w:ascii="Arial" w:hAnsi="Arial" w:cs="Arial"/>
          <w:sz w:val="21"/>
          <w:szCs w:val="28"/>
        </w:rPr>
        <w:t>）商品</w:t>
      </w:r>
      <w:r>
        <w:rPr>
          <w:rFonts w:ascii="Arial" w:hAnsi="Arial" w:cs="Arial"/>
          <w:bCs/>
          <w:sz w:val="21"/>
          <w:szCs w:val="28"/>
        </w:rPr>
        <w:t>住宅成交情况</w:t>
      </w:r>
    </w:p>
    <w:p w14:paraId="7CF547AB" w14:textId="77777777" w:rsidR="00771ECA" w:rsidRDefault="00000000">
      <w:pPr>
        <w:tabs>
          <w:tab w:val="left" w:pos="426"/>
        </w:tabs>
        <w:overflowPunct w:val="0"/>
        <w:spacing w:line="480" w:lineRule="auto"/>
        <w:ind w:firstLine="420"/>
        <w:jc w:val="both"/>
        <w:textAlignment w:val="auto"/>
        <w:rPr>
          <w:rFonts w:ascii="Arial" w:hAnsi="Arial" w:cs="Arial"/>
          <w:sz w:val="21"/>
        </w:rPr>
      </w:pPr>
      <w:r>
        <w:rPr>
          <w:rFonts w:ascii="Arial" w:hAnsi="Arial" w:cs="Arial"/>
          <w:sz w:val="21"/>
        </w:rPr>
        <w:t>1</w:t>
      </w:r>
      <w:r>
        <w:rPr>
          <w:rFonts w:ascii="Arial" w:hAnsi="Arial" w:cs="Arial"/>
          <w:sz w:val="21"/>
        </w:rPr>
        <w:t>）成交量</w:t>
      </w:r>
    </w:p>
    <w:p w14:paraId="68CB5BBC" w14:textId="77777777" w:rsidR="00771ECA" w:rsidRDefault="00000000">
      <w:pPr>
        <w:tabs>
          <w:tab w:val="left" w:pos="426"/>
        </w:tabs>
        <w:overflowPunct w:val="0"/>
        <w:spacing w:line="480" w:lineRule="auto"/>
        <w:ind w:firstLine="420"/>
        <w:jc w:val="both"/>
        <w:textAlignment w:val="auto"/>
        <w:rPr>
          <w:rFonts w:ascii="Arial" w:hAnsi="Arial" w:cs="Arial"/>
          <w:sz w:val="21"/>
        </w:rPr>
      </w:pPr>
      <w:r>
        <w:rPr>
          <w:rFonts w:ascii="Arial" w:hAnsi="Arial" w:cs="Arial"/>
          <w:sz w:val="21"/>
          <w:szCs w:val="28"/>
        </w:rPr>
        <w:t>2023</w:t>
      </w:r>
      <w:r>
        <w:rPr>
          <w:rFonts w:ascii="Arial" w:hAnsi="Arial" w:cs="Arial"/>
          <w:sz w:val="21"/>
          <w:szCs w:val="28"/>
        </w:rPr>
        <w:t>年三季度北京商品住宅成交规模同环比均回落，新政落地后，市场热度短期明显升高。受行业整体延续低迷影响，叠加供应相对疲软，三季度北京新房市场表现相对一般，累计成交规模为</w:t>
      </w:r>
      <w:r>
        <w:rPr>
          <w:rFonts w:ascii="Arial" w:hAnsi="Arial" w:cs="Arial"/>
          <w:sz w:val="21"/>
          <w:szCs w:val="28"/>
        </w:rPr>
        <w:t>158</w:t>
      </w:r>
      <w:r>
        <w:rPr>
          <w:rFonts w:ascii="Arial" w:hAnsi="Arial" w:cs="Arial"/>
          <w:sz w:val="21"/>
          <w:szCs w:val="28"/>
        </w:rPr>
        <w:t>万㎡，同比下降</w:t>
      </w:r>
      <w:r>
        <w:rPr>
          <w:rFonts w:ascii="Arial" w:hAnsi="Arial" w:cs="Arial"/>
          <w:sz w:val="21"/>
          <w:szCs w:val="28"/>
        </w:rPr>
        <w:t>5%</w:t>
      </w:r>
      <w:r>
        <w:rPr>
          <w:rFonts w:ascii="Arial" w:hAnsi="Arial" w:cs="Arial"/>
          <w:sz w:val="21"/>
          <w:szCs w:val="28"/>
        </w:rPr>
        <w:t>，环比下降</w:t>
      </w:r>
      <w:r>
        <w:rPr>
          <w:rFonts w:ascii="Arial" w:hAnsi="Arial" w:cs="Arial"/>
          <w:sz w:val="21"/>
          <w:szCs w:val="28"/>
        </w:rPr>
        <w:t>13%</w:t>
      </w:r>
      <w:r>
        <w:rPr>
          <w:rFonts w:ascii="Arial" w:hAnsi="Arial" w:cs="Arial"/>
          <w:sz w:val="21"/>
          <w:szCs w:val="28"/>
        </w:rPr>
        <w:t>；分月度来看，</w:t>
      </w:r>
      <w:r>
        <w:rPr>
          <w:rFonts w:ascii="Arial" w:hAnsi="Arial" w:cs="Arial"/>
          <w:sz w:val="21"/>
          <w:szCs w:val="28"/>
        </w:rPr>
        <w:t>7/8</w:t>
      </w:r>
      <w:r>
        <w:rPr>
          <w:rFonts w:ascii="Arial" w:hAnsi="Arial" w:cs="Arial"/>
          <w:sz w:val="21"/>
          <w:szCs w:val="28"/>
        </w:rPr>
        <w:t>月市场持续低温运行，成交规模持续下滑；</w:t>
      </w:r>
      <w:r>
        <w:rPr>
          <w:rFonts w:ascii="Arial" w:hAnsi="Arial" w:cs="Arial"/>
          <w:sz w:val="21"/>
          <w:szCs w:val="28"/>
        </w:rPr>
        <w:t>9</w:t>
      </w:r>
      <w:r>
        <w:rPr>
          <w:rFonts w:ascii="Arial" w:hAnsi="Arial" w:cs="Arial"/>
          <w:sz w:val="21"/>
          <w:szCs w:val="28"/>
        </w:rPr>
        <w:t>月初，</w:t>
      </w:r>
      <w:r>
        <w:rPr>
          <w:rFonts w:ascii="Arial" w:hAnsi="Arial" w:cs="Arial"/>
          <w:sz w:val="21"/>
          <w:szCs w:val="28"/>
        </w:rPr>
        <w:t>“</w:t>
      </w:r>
      <w:r>
        <w:rPr>
          <w:rFonts w:ascii="Arial" w:hAnsi="Arial" w:cs="Arial"/>
          <w:sz w:val="21"/>
          <w:szCs w:val="28"/>
        </w:rPr>
        <w:t>认房不认贷</w:t>
      </w:r>
      <w:r>
        <w:rPr>
          <w:rFonts w:ascii="Arial" w:hAnsi="Arial" w:cs="Arial"/>
          <w:sz w:val="21"/>
          <w:szCs w:val="28"/>
        </w:rPr>
        <w:t>”</w:t>
      </w:r>
      <w:r>
        <w:rPr>
          <w:rFonts w:ascii="Arial" w:hAnsi="Arial" w:cs="Arial"/>
          <w:sz w:val="21"/>
          <w:szCs w:val="28"/>
        </w:rPr>
        <w:t>新政超预期落地，市场短期反应热度较高，带动成交规模低位回升。但随着需求释放动能减弱，</w:t>
      </w:r>
      <w:r>
        <w:rPr>
          <w:rFonts w:ascii="Arial" w:hAnsi="Arial" w:cs="Arial"/>
          <w:sz w:val="21"/>
          <w:szCs w:val="28"/>
        </w:rPr>
        <w:t>9</w:t>
      </w:r>
      <w:r>
        <w:rPr>
          <w:rFonts w:ascii="Arial" w:hAnsi="Arial" w:cs="Arial"/>
          <w:sz w:val="21"/>
          <w:szCs w:val="28"/>
        </w:rPr>
        <w:t>月下旬北京新房市场热度回落，多数项目到访和认购量均明显下滑，市场逐渐趋于平稳</w:t>
      </w:r>
      <w:r>
        <w:rPr>
          <w:rFonts w:ascii="Arial" w:hAnsi="Arial" w:cs="Arial"/>
          <w:sz w:val="21"/>
        </w:rPr>
        <w:t>。</w:t>
      </w:r>
    </w:p>
    <w:p w14:paraId="5C8B3BCC" w14:textId="77777777" w:rsidR="00771ECA" w:rsidRPr="00FB167A" w:rsidRDefault="00000000">
      <w:pPr>
        <w:tabs>
          <w:tab w:val="left" w:pos="426"/>
        </w:tabs>
        <w:overflowPunct w:val="0"/>
        <w:spacing w:line="480" w:lineRule="auto"/>
        <w:jc w:val="center"/>
        <w:textAlignment w:val="auto"/>
        <w:rPr>
          <w:rFonts w:ascii="Arial" w:hAnsi="Arial" w:cs="Arial"/>
          <w:sz w:val="21"/>
          <w:highlight w:val="lightGray"/>
        </w:rPr>
      </w:pPr>
      <w:r>
        <w:rPr>
          <w:noProof/>
          <w:lang w:val="zh-CN"/>
        </w:rPr>
        <w:lastRenderedPageBreak/>
        <w:drawing>
          <wp:inline distT="0" distB="0" distL="0" distR="0" wp14:anchorId="5C250544" wp14:editId="1347EE6D">
            <wp:extent cx="5908040" cy="1835785"/>
            <wp:effectExtent l="0" t="0" r="0" b="0"/>
            <wp:docPr id="17"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像6"/>
                    <pic:cNvPicPr>
                      <a:picLocks noChangeAspect="1" noChangeArrowheads="1"/>
                    </pic:cNvPicPr>
                  </pic:nvPicPr>
                  <pic:blipFill>
                    <a:blip r:embed="rId36"/>
                    <a:srcRect l="-3" t="-10" r="-3" b="-10"/>
                    <a:stretch>
                      <a:fillRect/>
                    </a:stretch>
                  </pic:blipFill>
                  <pic:spPr bwMode="auto">
                    <a:xfrm>
                      <a:off x="0" y="0"/>
                      <a:ext cx="5908040" cy="1835785"/>
                    </a:xfrm>
                    <a:prstGeom prst="rect">
                      <a:avLst/>
                    </a:prstGeom>
                  </pic:spPr>
                </pic:pic>
              </a:graphicData>
            </a:graphic>
          </wp:inline>
        </w:drawing>
      </w:r>
    </w:p>
    <w:p w14:paraId="6481EEA7" w14:textId="77777777" w:rsidR="00771ECA" w:rsidRDefault="00000000">
      <w:pPr>
        <w:overflowPunct w:val="0"/>
        <w:spacing w:line="480" w:lineRule="auto"/>
        <w:ind w:firstLine="420"/>
        <w:textAlignment w:val="auto"/>
        <w:rPr>
          <w:rFonts w:ascii="Arial" w:hAnsi="Arial" w:cs="Arial"/>
          <w:sz w:val="21"/>
        </w:rPr>
      </w:pPr>
      <w:r>
        <w:rPr>
          <w:rFonts w:ascii="Arial" w:hAnsi="Arial" w:cs="Arial"/>
          <w:sz w:val="21"/>
        </w:rPr>
        <w:t>2</w:t>
      </w:r>
      <w:r>
        <w:rPr>
          <w:rFonts w:ascii="Arial" w:hAnsi="Arial" w:cs="Arial"/>
          <w:sz w:val="21"/>
        </w:rPr>
        <w:t>）成交价格</w:t>
      </w:r>
    </w:p>
    <w:p w14:paraId="67AD6BEF" w14:textId="77777777" w:rsidR="00771ECA" w:rsidRDefault="00000000">
      <w:pPr>
        <w:overflowPunct w:val="0"/>
        <w:spacing w:line="480" w:lineRule="auto"/>
        <w:ind w:firstLine="420"/>
        <w:textAlignment w:val="auto"/>
        <w:rPr>
          <w:rFonts w:ascii="Arial" w:hAnsi="Arial" w:cs="Arial"/>
          <w:sz w:val="21"/>
          <w:szCs w:val="28"/>
        </w:rPr>
      </w:pPr>
      <w:r>
        <w:rPr>
          <w:rFonts w:ascii="Arial" w:hAnsi="Arial" w:cs="Arial"/>
          <w:sz w:val="21"/>
          <w:szCs w:val="28"/>
        </w:rPr>
        <w:t>A.</w:t>
      </w:r>
      <w:r>
        <w:rPr>
          <w:rFonts w:ascii="Arial" w:hAnsi="Arial" w:cs="Arial"/>
          <w:sz w:val="21"/>
          <w:szCs w:val="28"/>
        </w:rPr>
        <w:t>成交价格</w:t>
      </w:r>
    </w:p>
    <w:p w14:paraId="0312A5EA" w14:textId="77777777" w:rsidR="00771ECA" w:rsidRDefault="00000000">
      <w:pPr>
        <w:tabs>
          <w:tab w:val="left" w:pos="426"/>
        </w:tabs>
        <w:overflowPunct w:val="0"/>
        <w:spacing w:line="480" w:lineRule="auto"/>
        <w:ind w:firstLine="420"/>
        <w:jc w:val="both"/>
        <w:textAlignment w:val="auto"/>
        <w:rPr>
          <w:rFonts w:ascii="Arial" w:hAnsi="Arial" w:cs="Arial"/>
          <w:sz w:val="21"/>
          <w:szCs w:val="28"/>
        </w:rPr>
      </w:pPr>
      <w:r>
        <w:rPr>
          <w:rFonts w:ascii="Arial" w:hAnsi="Arial" w:cs="Arial"/>
          <w:sz w:val="21"/>
          <w:szCs w:val="28"/>
        </w:rPr>
        <w:t>2023</w:t>
      </w:r>
      <w:r>
        <w:rPr>
          <w:rFonts w:ascii="Arial" w:hAnsi="Arial" w:cs="Arial"/>
          <w:sz w:val="21"/>
          <w:szCs w:val="28"/>
        </w:rPr>
        <w:t>年三季度北京商品住宅成交价格同比涨幅持续低位，累计涨幅低于去年同期。伴随改善型项目持续入市、中高端产品成交增加，新建商品住宅价格结构性小幅上涨。整体来看，三季度北京新建商品住宅价格为</w:t>
      </w:r>
      <w:r>
        <w:rPr>
          <w:rFonts w:ascii="Arial" w:hAnsi="Arial" w:cs="Arial"/>
          <w:sz w:val="21"/>
          <w:szCs w:val="28"/>
        </w:rPr>
        <w:t>44837</w:t>
      </w:r>
      <w:r>
        <w:rPr>
          <w:rFonts w:ascii="Arial" w:hAnsi="Arial" w:cs="Arial"/>
          <w:sz w:val="21"/>
          <w:szCs w:val="28"/>
        </w:rPr>
        <w:t>元</w:t>
      </w:r>
      <w:r>
        <w:rPr>
          <w:rFonts w:ascii="Arial" w:hAnsi="Arial" w:cs="Arial"/>
          <w:sz w:val="21"/>
          <w:szCs w:val="28"/>
        </w:rPr>
        <w:t>/</w:t>
      </w:r>
      <w:r>
        <w:rPr>
          <w:rFonts w:ascii="Arial" w:hAnsi="Arial" w:cs="Arial"/>
          <w:sz w:val="21"/>
          <w:szCs w:val="28"/>
        </w:rPr>
        <w:t>㎡，同比上涨</w:t>
      </w:r>
      <w:r>
        <w:rPr>
          <w:rFonts w:ascii="Arial" w:hAnsi="Arial" w:cs="Arial"/>
          <w:sz w:val="21"/>
          <w:szCs w:val="28"/>
        </w:rPr>
        <w:t>0.4%</w:t>
      </w:r>
      <w:r>
        <w:rPr>
          <w:rFonts w:ascii="Arial" w:hAnsi="Arial" w:cs="Arial"/>
          <w:sz w:val="21"/>
          <w:szCs w:val="28"/>
        </w:rPr>
        <w:t>，涨幅处于</w:t>
      </w:r>
      <w:r>
        <w:rPr>
          <w:rFonts w:ascii="Arial" w:hAnsi="Arial" w:cs="Arial"/>
          <w:sz w:val="21"/>
          <w:szCs w:val="28"/>
        </w:rPr>
        <w:t>2021</w:t>
      </w:r>
      <w:r>
        <w:rPr>
          <w:rFonts w:ascii="Arial" w:hAnsi="Arial" w:cs="Arial"/>
          <w:sz w:val="21"/>
          <w:szCs w:val="28"/>
        </w:rPr>
        <w:t>年以来低位水平；累计来看，三季度商品住房价格累计上涨</w:t>
      </w:r>
      <w:r>
        <w:rPr>
          <w:rFonts w:ascii="Arial" w:hAnsi="Arial" w:cs="Arial"/>
          <w:sz w:val="21"/>
          <w:szCs w:val="28"/>
        </w:rPr>
        <w:t>0.20%</w:t>
      </w:r>
      <w:r>
        <w:rPr>
          <w:rFonts w:ascii="Arial" w:hAnsi="Arial" w:cs="Arial"/>
          <w:sz w:val="21"/>
          <w:szCs w:val="28"/>
        </w:rPr>
        <w:t>，涨幅继续收窄，较去年同期收窄</w:t>
      </w:r>
      <w:r>
        <w:rPr>
          <w:rFonts w:ascii="Arial" w:hAnsi="Arial" w:cs="Arial"/>
          <w:sz w:val="21"/>
          <w:szCs w:val="28"/>
        </w:rPr>
        <w:t>0.21</w:t>
      </w:r>
      <w:r>
        <w:rPr>
          <w:rFonts w:ascii="Arial" w:hAnsi="Arial" w:cs="Arial"/>
          <w:sz w:val="21"/>
          <w:szCs w:val="28"/>
        </w:rPr>
        <w:t>个百分点。</w:t>
      </w:r>
    </w:p>
    <w:p w14:paraId="7D73BFAC" w14:textId="77777777" w:rsidR="00771ECA" w:rsidRPr="00FB167A" w:rsidRDefault="00000000">
      <w:pPr>
        <w:overflowPunct w:val="0"/>
        <w:spacing w:line="480" w:lineRule="auto"/>
        <w:jc w:val="center"/>
        <w:textAlignment w:val="auto"/>
        <w:rPr>
          <w:rFonts w:ascii="Arial" w:hAnsi="Arial" w:cs="Arial"/>
          <w:sz w:val="21"/>
          <w:szCs w:val="28"/>
          <w:highlight w:val="lightGray"/>
        </w:rPr>
      </w:pPr>
      <w:r>
        <w:rPr>
          <w:noProof/>
          <w:lang w:val="zh-CN"/>
        </w:rPr>
        <w:drawing>
          <wp:inline distT="0" distB="0" distL="0" distR="0" wp14:anchorId="49929494" wp14:editId="175AC876">
            <wp:extent cx="5904865" cy="1934210"/>
            <wp:effectExtent l="0" t="0" r="0" b="0"/>
            <wp:docPr id="18" name="图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像7"/>
                    <pic:cNvPicPr>
                      <a:picLocks noChangeAspect="1" noChangeArrowheads="1"/>
                    </pic:cNvPicPr>
                  </pic:nvPicPr>
                  <pic:blipFill>
                    <a:blip r:embed="rId37"/>
                    <a:srcRect l="-3" t="-9" r="-3" b="-9"/>
                    <a:stretch>
                      <a:fillRect/>
                    </a:stretch>
                  </pic:blipFill>
                  <pic:spPr bwMode="auto">
                    <a:xfrm>
                      <a:off x="0" y="0"/>
                      <a:ext cx="5904865" cy="1934210"/>
                    </a:xfrm>
                    <a:prstGeom prst="rect">
                      <a:avLst/>
                    </a:prstGeom>
                  </pic:spPr>
                </pic:pic>
              </a:graphicData>
            </a:graphic>
          </wp:inline>
        </w:drawing>
      </w:r>
    </w:p>
    <w:p w14:paraId="5C8D1622" w14:textId="77777777" w:rsidR="00771ECA" w:rsidRDefault="00000000">
      <w:pPr>
        <w:overflowPunct w:val="0"/>
        <w:spacing w:line="480" w:lineRule="auto"/>
        <w:ind w:firstLine="420"/>
        <w:textAlignment w:val="auto"/>
        <w:rPr>
          <w:rFonts w:ascii="Arial" w:hAnsi="Arial" w:cs="Arial"/>
          <w:sz w:val="21"/>
          <w:szCs w:val="28"/>
        </w:rPr>
      </w:pPr>
      <w:r>
        <w:rPr>
          <w:rFonts w:ascii="Arial" w:hAnsi="Arial" w:cs="Arial"/>
          <w:sz w:val="21"/>
          <w:szCs w:val="28"/>
        </w:rPr>
        <w:t>B.</w:t>
      </w:r>
      <w:r>
        <w:t xml:space="preserve"> </w:t>
      </w:r>
      <w:r>
        <w:rPr>
          <w:rFonts w:ascii="Arial" w:hAnsi="Arial" w:cs="Arial"/>
          <w:sz w:val="21"/>
          <w:szCs w:val="28"/>
        </w:rPr>
        <w:t>成交结构</w:t>
      </w:r>
    </w:p>
    <w:p w14:paraId="2B96EF71" w14:textId="77777777" w:rsidR="00771ECA" w:rsidRDefault="00000000">
      <w:pPr>
        <w:tabs>
          <w:tab w:val="left" w:pos="426"/>
        </w:tabs>
        <w:overflowPunct w:val="0"/>
        <w:spacing w:line="480" w:lineRule="auto"/>
        <w:ind w:firstLine="420"/>
        <w:jc w:val="both"/>
        <w:textAlignment w:val="auto"/>
        <w:rPr>
          <w:rFonts w:ascii="Arial" w:hAnsi="Arial" w:cs="Arial"/>
          <w:sz w:val="21"/>
          <w:szCs w:val="28"/>
        </w:rPr>
      </w:pPr>
      <w:r>
        <w:rPr>
          <w:rFonts w:ascii="Arial" w:hAnsi="Arial" w:cs="Arial"/>
          <w:sz w:val="21"/>
          <w:szCs w:val="28"/>
        </w:rPr>
        <w:t>2023</w:t>
      </w:r>
      <w:r>
        <w:rPr>
          <w:rFonts w:ascii="Arial" w:hAnsi="Arial" w:cs="Arial"/>
          <w:sz w:val="21"/>
          <w:szCs w:val="28"/>
        </w:rPr>
        <w:t>年三季度，</w:t>
      </w:r>
      <w:r>
        <w:rPr>
          <w:rFonts w:ascii="Arial" w:hAnsi="Arial" w:cs="Arial"/>
          <w:sz w:val="21"/>
          <w:szCs w:val="28"/>
        </w:rPr>
        <w:t>90-200</w:t>
      </w:r>
      <w:r>
        <w:rPr>
          <w:rFonts w:ascii="Arial" w:hAnsi="Arial" w:cs="Arial"/>
          <w:sz w:val="21"/>
          <w:szCs w:val="28"/>
        </w:rPr>
        <w:t>平米面积段的刚改和改善型产品为市场成交主力，成交套数占比达</w:t>
      </w:r>
      <w:r>
        <w:rPr>
          <w:rFonts w:ascii="Arial" w:hAnsi="Arial" w:cs="Arial"/>
          <w:sz w:val="21"/>
          <w:szCs w:val="28"/>
        </w:rPr>
        <w:t>58.3%</w:t>
      </w:r>
      <w:r>
        <w:rPr>
          <w:rFonts w:ascii="Arial" w:hAnsi="Arial" w:cs="Arial"/>
          <w:sz w:val="21"/>
          <w:szCs w:val="28"/>
        </w:rPr>
        <w:t>，占比提升</w:t>
      </w:r>
      <w:r>
        <w:rPr>
          <w:rFonts w:ascii="Arial" w:hAnsi="Arial" w:cs="Arial"/>
          <w:sz w:val="21"/>
          <w:szCs w:val="28"/>
        </w:rPr>
        <w:t>7.1</w:t>
      </w:r>
      <w:r>
        <w:rPr>
          <w:rFonts w:ascii="Arial" w:hAnsi="Arial" w:cs="Arial"/>
          <w:sz w:val="21"/>
          <w:szCs w:val="28"/>
        </w:rPr>
        <w:t>个百分点，增幅显著；成交总价段主要集中在</w:t>
      </w:r>
      <w:r>
        <w:rPr>
          <w:rFonts w:ascii="Arial" w:hAnsi="Arial" w:cs="Arial"/>
          <w:sz w:val="21"/>
          <w:szCs w:val="28"/>
        </w:rPr>
        <w:t>800</w:t>
      </w:r>
      <w:r>
        <w:rPr>
          <w:rFonts w:ascii="Arial" w:hAnsi="Arial" w:cs="Arial"/>
          <w:sz w:val="21"/>
          <w:szCs w:val="28"/>
        </w:rPr>
        <w:t>万以下的中低</w:t>
      </w:r>
      <w:r>
        <w:rPr>
          <w:rFonts w:ascii="Arial" w:hAnsi="Arial" w:cs="Arial"/>
          <w:sz w:val="21"/>
          <w:szCs w:val="28"/>
        </w:rPr>
        <w:t>/</w:t>
      </w:r>
      <w:r>
        <w:rPr>
          <w:rFonts w:ascii="Arial" w:hAnsi="Arial" w:cs="Arial"/>
          <w:sz w:val="21"/>
          <w:szCs w:val="28"/>
        </w:rPr>
        <w:t>中高价位，其中</w:t>
      </w:r>
      <w:r>
        <w:rPr>
          <w:rFonts w:ascii="Arial" w:hAnsi="Arial" w:cs="Arial"/>
          <w:sz w:val="21"/>
          <w:szCs w:val="28"/>
        </w:rPr>
        <w:t>500</w:t>
      </w:r>
      <w:r>
        <w:rPr>
          <w:rFonts w:ascii="Arial" w:hAnsi="Arial" w:cs="Arial"/>
          <w:sz w:val="21"/>
          <w:szCs w:val="28"/>
        </w:rPr>
        <w:t>万元以下中低价位产品同比减少</w:t>
      </w:r>
      <w:r>
        <w:rPr>
          <w:rFonts w:ascii="Arial" w:hAnsi="Arial" w:cs="Arial"/>
          <w:sz w:val="21"/>
          <w:szCs w:val="28"/>
        </w:rPr>
        <w:t>5.0</w:t>
      </w:r>
      <w:r>
        <w:rPr>
          <w:rFonts w:ascii="Arial" w:hAnsi="Arial" w:cs="Arial"/>
          <w:sz w:val="21"/>
          <w:szCs w:val="28"/>
        </w:rPr>
        <w:t>个百分点，但仍为成交主力，成交套数占比达</w:t>
      </w:r>
      <w:r>
        <w:rPr>
          <w:rFonts w:ascii="Arial" w:hAnsi="Arial" w:cs="Arial"/>
          <w:sz w:val="21"/>
          <w:szCs w:val="28"/>
        </w:rPr>
        <w:t>46.6%</w:t>
      </w:r>
      <w:r>
        <w:rPr>
          <w:rFonts w:ascii="Arial" w:hAnsi="Arial" w:cs="Arial"/>
          <w:sz w:val="21"/>
          <w:szCs w:val="28"/>
        </w:rPr>
        <w:t>；</w:t>
      </w:r>
      <w:r>
        <w:rPr>
          <w:rFonts w:ascii="Arial" w:hAnsi="Arial" w:cs="Arial"/>
          <w:sz w:val="21"/>
          <w:szCs w:val="28"/>
        </w:rPr>
        <w:t>500-1000</w:t>
      </w:r>
      <w:r>
        <w:rPr>
          <w:rFonts w:ascii="Arial" w:hAnsi="Arial" w:cs="Arial"/>
          <w:sz w:val="21"/>
          <w:szCs w:val="28"/>
        </w:rPr>
        <w:t>万元的中高价段成交占比增加</w:t>
      </w:r>
      <w:r>
        <w:rPr>
          <w:rFonts w:ascii="Arial" w:hAnsi="Arial" w:cs="Arial"/>
          <w:sz w:val="21"/>
          <w:szCs w:val="28"/>
        </w:rPr>
        <w:t>5.5</w:t>
      </w:r>
      <w:r>
        <w:rPr>
          <w:rFonts w:ascii="Arial" w:hAnsi="Arial" w:cs="Arial"/>
          <w:sz w:val="21"/>
          <w:szCs w:val="28"/>
        </w:rPr>
        <w:t>个百分点至</w:t>
      </w:r>
      <w:r>
        <w:rPr>
          <w:rFonts w:ascii="Arial" w:hAnsi="Arial" w:cs="Arial"/>
          <w:sz w:val="21"/>
          <w:szCs w:val="28"/>
        </w:rPr>
        <w:t>36.1%</w:t>
      </w:r>
      <w:r>
        <w:rPr>
          <w:rFonts w:ascii="Arial" w:hAnsi="Arial" w:cs="Arial"/>
          <w:sz w:val="21"/>
          <w:szCs w:val="28"/>
        </w:rPr>
        <w:t>。</w:t>
      </w:r>
    </w:p>
    <w:p w14:paraId="586C9AC4" w14:textId="77777777" w:rsidR="00771ECA" w:rsidRDefault="00000000">
      <w:pPr>
        <w:tabs>
          <w:tab w:val="left" w:pos="426"/>
        </w:tabs>
        <w:overflowPunct w:val="0"/>
        <w:spacing w:line="480" w:lineRule="auto"/>
        <w:ind w:firstLine="420"/>
        <w:jc w:val="both"/>
        <w:textAlignment w:val="auto"/>
        <w:rPr>
          <w:rFonts w:ascii="Arial" w:hAnsi="Arial" w:cs="Arial"/>
          <w:sz w:val="21"/>
          <w:szCs w:val="28"/>
        </w:rPr>
      </w:pPr>
      <w:r>
        <w:rPr>
          <w:rFonts w:ascii="Arial" w:hAnsi="Arial" w:cs="Arial"/>
          <w:sz w:val="21"/>
          <w:szCs w:val="28"/>
        </w:rPr>
        <w:t>改善型需求逐步释放，在中高端产品供应提供带动下，新房成交逐步由中低面积段向中高面积段转移，成交总价段逐步由中低价位向中高价位产品转移，而高面积段和高价格段产品同比变化幅度较小。</w:t>
      </w:r>
    </w:p>
    <w:p w14:paraId="597A2D70" w14:textId="77777777" w:rsidR="00771ECA" w:rsidRPr="00FB167A" w:rsidRDefault="00000000">
      <w:pPr>
        <w:tabs>
          <w:tab w:val="left" w:pos="426"/>
        </w:tabs>
        <w:overflowPunct w:val="0"/>
        <w:spacing w:line="480" w:lineRule="auto"/>
        <w:jc w:val="center"/>
        <w:textAlignment w:val="auto"/>
        <w:rPr>
          <w:rFonts w:ascii="Arial" w:hAnsi="Arial" w:cs="Arial"/>
          <w:sz w:val="21"/>
          <w:highlight w:val="lightGray"/>
        </w:rPr>
      </w:pPr>
      <w:r>
        <w:rPr>
          <w:noProof/>
          <w:lang w:val="zh-CN"/>
        </w:rPr>
        <w:lastRenderedPageBreak/>
        <w:drawing>
          <wp:inline distT="0" distB="0" distL="0" distR="0" wp14:anchorId="10C9106A" wp14:editId="0C87792B">
            <wp:extent cx="5906770" cy="1893570"/>
            <wp:effectExtent l="0" t="0" r="0" b="0"/>
            <wp:docPr id="19" name="图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像8"/>
                    <pic:cNvPicPr>
                      <a:picLocks noChangeAspect="1" noChangeArrowheads="1"/>
                    </pic:cNvPicPr>
                  </pic:nvPicPr>
                  <pic:blipFill>
                    <a:blip r:embed="rId38"/>
                    <a:srcRect l="-3" t="-10" r="-3" b="-10"/>
                    <a:stretch>
                      <a:fillRect/>
                    </a:stretch>
                  </pic:blipFill>
                  <pic:spPr bwMode="auto">
                    <a:xfrm>
                      <a:off x="0" y="0"/>
                      <a:ext cx="5906770" cy="1893570"/>
                    </a:xfrm>
                    <a:prstGeom prst="rect">
                      <a:avLst/>
                    </a:prstGeom>
                  </pic:spPr>
                </pic:pic>
              </a:graphicData>
            </a:graphic>
          </wp:inline>
        </w:drawing>
      </w:r>
    </w:p>
    <w:p w14:paraId="3F2E1288" w14:textId="77777777" w:rsidR="00771ECA" w:rsidRDefault="00000000">
      <w:pPr>
        <w:overflowPunct w:val="0"/>
        <w:spacing w:line="480" w:lineRule="auto"/>
        <w:ind w:firstLine="420"/>
        <w:textAlignment w:val="auto"/>
        <w:rPr>
          <w:rFonts w:ascii="Arial" w:hAnsi="Arial" w:cs="Arial"/>
          <w:sz w:val="21"/>
        </w:rPr>
      </w:pPr>
      <w:r>
        <w:rPr>
          <w:rFonts w:ascii="Arial" w:hAnsi="Arial" w:cs="Arial"/>
          <w:sz w:val="21"/>
        </w:rPr>
        <w:t>3</w:t>
      </w:r>
      <w:r>
        <w:rPr>
          <w:rFonts w:ascii="Arial" w:hAnsi="Arial" w:cs="Arial"/>
          <w:sz w:val="21"/>
        </w:rPr>
        <w:t>）区域成交</w:t>
      </w:r>
    </w:p>
    <w:p w14:paraId="6589B403" w14:textId="77777777" w:rsidR="00771ECA" w:rsidRDefault="00000000">
      <w:pPr>
        <w:widowControl/>
        <w:overflowPunct w:val="0"/>
        <w:spacing w:line="480" w:lineRule="auto"/>
        <w:ind w:firstLine="420"/>
        <w:jc w:val="both"/>
        <w:textAlignment w:val="auto"/>
      </w:pPr>
      <w:r>
        <w:rPr>
          <w:rFonts w:ascii="Arial" w:hAnsi="Arial" w:cs="Arial"/>
          <w:bCs/>
          <w:sz w:val="21"/>
          <w:szCs w:val="28"/>
        </w:rPr>
        <w:t>从区域成交规模来看，近郊六区为北京商品住宅（不含保障房）成交主力区域。</w:t>
      </w:r>
      <w:r>
        <w:rPr>
          <w:rFonts w:ascii="Arial" w:hAnsi="Arial" w:cs="Arial"/>
          <w:bCs/>
          <w:sz w:val="21"/>
          <w:szCs w:val="28"/>
        </w:rPr>
        <w:t>2023</w:t>
      </w:r>
      <w:r>
        <w:rPr>
          <w:rFonts w:ascii="Arial" w:hAnsi="Arial" w:cs="Arial"/>
          <w:bCs/>
          <w:sz w:val="21"/>
          <w:szCs w:val="28"/>
        </w:rPr>
        <w:t>年三季度近郊六区成交</w:t>
      </w:r>
      <w:r>
        <w:rPr>
          <w:rFonts w:ascii="Arial" w:hAnsi="Arial" w:cs="Arial"/>
          <w:bCs/>
          <w:sz w:val="21"/>
          <w:szCs w:val="28"/>
        </w:rPr>
        <w:t>81.918</w:t>
      </w:r>
      <w:r>
        <w:rPr>
          <w:rFonts w:ascii="Arial" w:hAnsi="Arial" w:cs="Arial"/>
          <w:bCs/>
          <w:sz w:val="21"/>
          <w:szCs w:val="28"/>
        </w:rPr>
        <w:t>万㎡，占比达</w:t>
      </w:r>
      <w:r>
        <w:rPr>
          <w:rFonts w:ascii="Arial" w:hAnsi="Arial" w:cs="Arial"/>
          <w:bCs/>
          <w:sz w:val="21"/>
          <w:szCs w:val="28"/>
        </w:rPr>
        <w:t>52.0%</w:t>
      </w:r>
      <w:r>
        <w:rPr>
          <w:rFonts w:ascii="Arial" w:hAnsi="Arial" w:cs="Arial"/>
          <w:bCs/>
          <w:sz w:val="21"/>
          <w:szCs w:val="28"/>
        </w:rPr>
        <w:t>，其中，顺义、昌平区域累计成交均超</w:t>
      </w:r>
      <w:r>
        <w:rPr>
          <w:rFonts w:ascii="Arial" w:hAnsi="Arial" w:cs="Arial"/>
          <w:bCs/>
          <w:sz w:val="21"/>
          <w:szCs w:val="28"/>
        </w:rPr>
        <w:t>20</w:t>
      </w:r>
      <w:r>
        <w:rPr>
          <w:rFonts w:ascii="Arial" w:hAnsi="Arial" w:cs="Arial"/>
          <w:bCs/>
          <w:sz w:val="21"/>
          <w:szCs w:val="28"/>
        </w:rPr>
        <w:t>万㎡，分居北京各区销售规模前两位；中心城区中丰台、朝阳表现较好，成交规模超</w:t>
      </w:r>
      <w:r>
        <w:rPr>
          <w:rFonts w:ascii="Arial" w:hAnsi="Arial" w:cs="Arial"/>
          <w:bCs/>
          <w:sz w:val="21"/>
          <w:szCs w:val="28"/>
        </w:rPr>
        <w:t>17</w:t>
      </w:r>
      <w:r>
        <w:rPr>
          <w:rFonts w:ascii="Arial" w:hAnsi="Arial" w:cs="Arial"/>
          <w:bCs/>
          <w:sz w:val="21"/>
          <w:szCs w:val="28"/>
        </w:rPr>
        <w:t>万㎡。</w:t>
      </w:r>
    </w:p>
    <w:p w14:paraId="6ECBB14D" w14:textId="77777777" w:rsidR="00771ECA" w:rsidRDefault="00000000">
      <w:pPr>
        <w:widowControl/>
        <w:overflowPunct w:val="0"/>
        <w:spacing w:line="480" w:lineRule="auto"/>
        <w:ind w:firstLine="420"/>
        <w:jc w:val="both"/>
        <w:textAlignment w:val="auto"/>
        <w:rPr>
          <w:rFonts w:ascii="Arial" w:hAnsi="Arial" w:cs="Arial"/>
          <w:sz w:val="21"/>
        </w:rPr>
      </w:pPr>
      <w:r>
        <w:rPr>
          <w:rFonts w:ascii="Arial" w:hAnsi="Arial" w:cs="Arial"/>
          <w:bCs/>
          <w:sz w:val="21"/>
          <w:szCs w:val="28"/>
        </w:rPr>
        <w:t>从区域成交变化来看，中心成交规模同比增长，其中在中信国安府成交带动下，西城区成交规模同比增长</w:t>
      </w:r>
      <w:r>
        <w:rPr>
          <w:rFonts w:ascii="Arial" w:hAnsi="Arial" w:cs="Arial"/>
          <w:bCs/>
          <w:sz w:val="21"/>
          <w:szCs w:val="28"/>
        </w:rPr>
        <w:t>35</w:t>
      </w:r>
      <w:r>
        <w:rPr>
          <w:rFonts w:ascii="Arial" w:hAnsi="Arial" w:cs="Arial"/>
          <w:bCs/>
          <w:sz w:val="21"/>
          <w:szCs w:val="28"/>
        </w:rPr>
        <w:t>倍，朝阳、丰台同比增幅均超</w:t>
      </w:r>
      <w:r>
        <w:rPr>
          <w:rFonts w:ascii="Arial" w:hAnsi="Arial" w:cs="Arial"/>
          <w:bCs/>
          <w:sz w:val="21"/>
          <w:szCs w:val="28"/>
        </w:rPr>
        <w:t>10%</w:t>
      </w:r>
      <w:r>
        <w:rPr>
          <w:rFonts w:ascii="Arial" w:hAnsi="Arial" w:cs="Arial"/>
          <w:bCs/>
          <w:sz w:val="21"/>
          <w:szCs w:val="28"/>
        </w:rPr>
        <w:t>，而海淀、石景山成交规模同比降幅较大。近郊和远郊区域的成交规模同比均不同程度的回落，近郊区成交规模同比下降</w:t>
      </w:r>
      <w:r>
        <w:rPr>
          <w:rFonts w:ascii="Arial" w:hAnsi="Arial" w:cs="Arial"/>
          <w:bCs/>
          <w:sz w:val="21"/>
          <w:szCs w:val="28"/>
        </w:rPr>
        <w:t>25%</w:t>
      </w:r>
      <w:r>
        <w:rPr>
          <w:rFonts w:ascii="Arial" w:hAnsi="Arial" w:cs="Arial"/>
          <w:bCs/>
          <w:sz w:val="21"/>
          <w:szCs w:val="28"/>
        </w:rPr>
        <w:t>，其中大兴、门头沟同比降幅均超五成，顺义、昌平成交同比小幅增长；远郊区成交规模同比下降</w:t>
      </w:r>
      <w:r>
        <w:rPr>
          <w:rFonts w:ascii="Arial" w:hAnsi="Arial" w:cs="Arial"/>
          <w:bCs/>
          <w:sz w:val="21"/>
          <w:szCs w:val="28"/>
        </w:rPr>
        <w:t>28%</w:t>
      </w:r>
      <w:r>
        <w:rPr>
          <w:rFonts w:ascii="Arial" w:hAnsi="Arial" w:cs="Arial"/>
          <w:bCs/>
          <w:sz w:val="21"/>
          <w:szCs w:val="28"/>
        </w:rPr>
        <w:t>，降幅最大，其中密云、延庆降幅均超四成</w:t>
      </w:r>
      <w:r>
        <w:rPr>
          <w:rFonts w:ascii="Arial" w:hAnsi="Arial" w:cs="Arial"/>
          <w:sz w:val="21"/>
        </w:rPr>
        <w:t>。</w:t>
      </w:r>
    </w:p>
    <w:p w14:paraId="175DCB7D" w14:textId="77777777" w:rsidR="00771ECA" w:rsidRDefault="00000000">
      <w:pPr>
        <w:overflowPunct w:val="0"/>
        <w:spacing w:line="480" w:lineRule="auto"/>
        <w:jc w:val="center"/>
        <w:textAlignment w:val="auto"/>
        <w:rPr>
          <w:rFonts w:ascii="Arial" w:hAnsi="Arial" w:cs="Arial"/>
          <w:sz w:val="21"/>
        </w:rPr>
      </w:pPr>
      <w:r>
        <w:rPr>
          <w:noProof/>
          <w:lang w:val="zh-CN"/>
        </w:rPr>
        <w:drawing>
          <wp:inline distT="0" distB="0" distL="0" distR="0" wp14:anchorId="4440251D" wp14:editId="6BDC8FBE">
            <wp:extent cx="5904865" cy="2219325"/>
            <wp:effectExtent l="0" t="0" r="0" b="0"/>
            <wp:docPr id="20" name="图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9"/>
                    <pic:cNvPicPr>
                      <a:picLocks noChangeAspect="1" noChangeArrowheads="1"/>
                    </pic:cNvPicPr>
                  </pic:nvPicPr>
                  <pic:blipFill>
                    <a:blip r:embed="rId39"/>
                    <a:srcRect l="-3" t="-9" r="-3" b="-9"/>
                    <a:stretch>
                      <a:fillRect/>
                    </a:stretch>
                  </pic:blipFill>
                  <pic:spPr bwMode="auto">
                    <a:xfrm>
                      <a:off x="0" y="0"/>
                      <a:ext cx="5904865" cy="2219325"/>
                    </a:xfrm>
                    <a:prstGeom prst="rect">
                      <a:avLst/>
                    </a:prstGeom>
                  </pic:spPr>
                </pic:pic>
              </a:graphicData>
            </a:graphic>
          </wp:inline>
        </w:drawing>
      </w:r>
    </w:p>
    <w:p w14:paraId="04543F46" w14:textId="77777777" w:rsidR="00771ECA" w:rsidRDefault="00000000">
      <w:pPr>
        <w:widowControl/>
        <w:overflowPunct w:val="0"/>
        <w:spacing w:line="480" w:lineRule="auto"/>
        <w:ind w:firstLine="420"/>
        <w:jc w:val="both"/>
        <w:textAlignment w:val="auto"/>
      </w:pPr>
      <w:r>
        <w:rPr>
          <w:rFonts w:ascii="Arial" w:hAnsi="Arial" w:cs="Arial"/>
          <w:bCs/>
          <w:sz w:val="21"/>
          <w:szCs w:val="28"/>
        </w:rPr>
        <w:t>从成交价格来看，</w:t>
      </w:r>
      <w:r>
        <w:rPr>
          <w:rFonts w:ascii="Arial" w:hAnsi="Arial" w:cs="Arial"/>
          <w:bCs/>
          <w:sz w:val="21"/>
          <w:szCs w:val="28"/>
        </w:rPr>
        <w:t>2023</w:t>
      </w:r>
      <w:r>
        <w:rPr>
          <w:rFonts w:ascii="Arial" w:hAnsi="Arial" w:cs="Arial"/>
          <w:bCs/>
          <w:sz w:val="21"/>
          <w:szCs w:val="28"/>
        </w:rPr>
        <w:t>年三季度中心城区商品住宅（不含保障房）成交均价最高，整体均价超</w:t>
      </w:r>
      <w:r>
        <w:rPr>
          <w:rFonts w:ascii="Arial" w:hAnsi="Arial" w:cs="Arial"/>
          <w:bCs/>
          <w:sz w:val="21"/>
          <w:szCs w:val="28"/>
        </w:rPr>
        <w:t>9</w:t>
      </w:r>
      <w:r>
        <w:rPr>
          <w:rFonts w:ascii="Arial" w:hAnsi="Arial" w:cs="Arial"/>
          <w:bCs/>
          <w:sz w:val="21"/>
          <w:szCs w:val="28"/>
        </w:rPr>
        <w:t>万</w:t>
      </w:r>
      <w:r>
        <w:rPr>
          <w:rFonts w:ascii="Arial" w:hAnsi="Arial" w:cs="Arial"/>
          <w:bCs/>
          <w:sz w:val="21"/>
          <w:szCs w:val="28"/>
        </w:rPr>
        <w:t>/</w:t>
      </w:r>
      <w:r>
        <w:rPr>
          <w:rFonts w:ascii="Arial" w:hAnsi="Arial" w:cs="Arial"/>
          <w:bCs/>
          <w:sz w:val="21"/>
          <w:szCs w:val="28"/>
        </w:rPr>
        <w:t>平，其中东、西城成交均价均超</w:t>
      </w:r>
      <w:r>
        <w:rPr>
          <w:rFonts w:ascii="Arial" w:hAnsi="Arial" w:cs="Arial"/>
          <w:bCs/>
          <w:sz w:val="21"/>
          <w:szCs w:val="28"/>
        </w:rPr>
        <w:t>11</w:t>
      </w:r>
      <w:r>
        <w:rPr>
          <w:rFonts w:ascii="Arial" w:hAnsi="Arial" w:cs="Arial"/>
          <w:bCs/>
          <w:sz w:val="21"/>
          <w:szCs w:val="28"/>
        </w:rPr>
        <w:t>万元</w:t>
      </w:r>
      <w:r>
        <w:rPr>
          <w:rFonts w:ascii="Arial" w:hAnsi="Arial" w:cs="Arial"/>
          <w:bCs/>
          <w:sz w:val="21"/>
          <w:szCs w:val="28"/>
        </w:rPr>
        <w:t>/</w:t>
      </w:r>
      <w:r>
        <w:rPr>
          <w:rFonts w:ascii="Arial" w:hAnsi="Arial" w:cs="Arial"/>
          <w:bCs/>
          <w:sz w:val="21"/>
          <w:szCs w:val="28"/>
        </w:rPr>
        <w:t>平，远郊区整体成交均价最低，整体均价不足</w:t>
      </w:r>
      <w:r>
        <w:rPr>
          <w:rFonts w:ascii="Arial" w:hAnsi="Arial" w:cs="Arial"/>
          <w:bCs/>
          <w:sz w:val="21"/>
          <w:szCs w:val="28"/>
        </w:rPr>
        <w:t>3</w:t>
      </w:r>
      <w:r>
        <w:rPr>
          <w:rFonts w:ascii="Arial" w:hAnsi="Arial" w:cs="Arial"/>
          <w:bCs/>
          <w:sz w:val="21"/>
          <w:szCs w:val="28"/>
        </w:rPr>
        <w:t>万</w:t>
      </w:r>
      <w:r>
        <w:rPr>
          <w:rFonts w:ascii="Arial" w:hAnsi="Arial" w:cs="Arial"/>
          <w:bCs/>
          <w:sz w:val="21"/>
          <w:szCs w:val="28"/>
        </w:rPr>
        <w:t>/</w:t>
      </w:r>
      <w:r>
        <w:rPr>
          <w:rFonts w:ascii="Arial" w:hAnsi="Arial" w:cs="Arial"/>
          <w:bCs/>
          <w:sz w:val="21"/>
          <w:szCs w:val="28"/>
        </w:rPr>
        <w:t>平，其中延庆成交均价最低，成交均价为</w:t>
      </w:r>
      <w:r>
        <w:rPr>
          <w:rFonts w:ascii="Arial" w:hAnsi="Arial" w:cs="Arial"/>
          <w:bCs/>
          <w:sz w:val="21"/>
          <w:szCs w:val="28"/>
        </w:rPr>
        <w:t>25792</w:t>
      </w:r>
      <w:r>
        <w:rPr>
          <w:rFonts w:ascii="Arial" w:hAnsi="Arial" w:cs="Arial"/>
          <w:bCs/>
          <w:sz w:val="21"/>
          <w:szCs w:val="28"/>
        </w:rPr>
        <w:t>元</w:t>
      </w:r>
      <w:r>
        <w:rPr>
          <w:rFonts w:ascii="Arial" w:hAnsi="Arial" w:cs="Arial"/>
          <w:bCs/>
          <w:sz w:val="21"/>
          <w:szCs w:val="28"/>
        </w:rPr>
        <w:t>/</w:t>
      </w:r>
      <w:r>
        <w:rPr>
          <w:rFonts w:ascii="Arial" w:hAnsi="Arial" w:cs="Arial"/>
          <w:bCs/>
          <w:sz w:val="21"/>
          <w:szCs w:val="28"/>
        </w:rPr>
        <w:t>平方米。</w:t>
      </w:r>
    </w:p>
    <w:p w14:paraId="2F0C1122" w14:textId="77777777" w:rsidR="00771ECA" w:rsidRDefault="00000000">
      <w:pPr>
        <w:widowControl/>
        <w:overflowPunct w:val="0"/>
        <w:spacing w:line="480" w:lineRule="auto"/>
        <w:ind w:firstLine="420"/>
        <w:jc w:val="both"/>
        <w:textAlignment w:val="auto"/>
        <w:rPr>
          <w:rFonts w:ascii="Arial" w:hAnsi="Arial" w:cs="Arial"/>
          <w:bCs/>
          <w:sz w:val="21"/>
          <w:szCs w:val="28"/>
        </w:rPr>
      </w:pPr>
      <w:r>
        <w:rPr>
          <w:rFonts w:ascii="Arial" w:hAnsi="Arial" w:cs="Arial"/>
          <w:bCs/>
          <w:sz w:val="21"/>
          <w:szCs w:val="28"/>
        </w:rPr>
        <w:lastRenderedPageBreak/>
        <w:t>从价格变化来看，</w:t>
      </w:r>
      <w:r>
        <w:rPr>
          <w:rFonts w:ascii="Arial" w:hAnsi="Arial" w:cs="Arial"/>
          <w:bCs/>
          <w:sz w:val="21"/>
          <w:szCs w:val="28"/>
        </w:rPr>
        <w:t>2023</w:t>
      </w:r>
      <w:r>
        <w:rPr>
          <w:rFonts w:ascii="Arial" w:hAnsi="Arial" w:cs="Arial"/>
          <w:bCs/>
          <w:sz w:val="21"/>
          <w:szCs w:val="28"/>
        </w:rPr>
        <w:t>年三季度，中心城区、近郊区、远郊区房价全面上涨，西城、门头沟成交价格同比结构性涨幅超两成；通州、密云、延庆成交均价同比涨幅超</w:t>
      </w:r>
      <w:r>
        <w:rPr>
          <w:rFonts w:ascii="Arial" w:hAnsi="Arial" w:cs="Arial"/>
          <w:bCs/>
          <w:sz w:val="21"/>
          <w:szCs w:val="28"/>
        </w:rPr>
        <w:t>10%</w:t>
      </w:r>
      <w:r>
        <w:rPr>
          <w:rFonts w:ascii="Arial" w:hAnsi="Arial" w:cs="Arial"/>
          <w:bCs/>
          <w:sz w:val="21"/>
          <w:szCs w:val="28"/>
        </w:rPr>
        <w:t>；而昌平、海淀、东城、怀柔、丰台房价均下跌。</w:t>
      </w:r>
    </w:p>
    <w:p w14:paraId="7CFA21BC" w14:textId="77777777" w:rsidR="00771ECA" w:rsidRDefault="00000000">
      <w:pPr>
        <w:widowControl/>
        <w:overflowPunct w:val="0"/>
        <w:spacing w:line="480" w:lineRule="auto"/>
        <w:jc w:val="both"/>
        <w:textAlignment w:val="auto"/>
        <w:rPr>
          <w:rFonts w:ascii="Arial" w:hAnsi="Arial" w:cs="Arial"/>
          <w:bCs/>
          <w:sz w:val="21"/>
          <w:szCs w:val="28"/>
        </w:rPr>
      </w:pPr>
      <w:r>
        <w:rPr>
          <w:noProof/>
          <w:lang w:val="zh-CN"/>
        </w:rPr>
        <w:drawing>
          <wp:inline distT="0" distB="0" distL="0" distR="0" wp14:anchorId="07834D6F" wp14:editId="533E53E5">
            <wp:extent cx="5899150" cy="2098040"/>
            <wp:effectExtent l="0" t="0" r="0" b="0"/>
            <wp:docPr id="21" name="图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0"/>
                    <pic:cNvPicPr>
                      <a:picLocks noChangeAspect="1" noChangeArrowheads="1"/>
                    </pic:cNvPicPr>
                  </pic:nvPicPr>
                  <pic:blipFill>
                    <a:blip r:embed="rId40"/>
                    <a:srcRect l="-3" t="-9" r="-3" b="-9"/>
                    <a:stretch>
                      <a:fillRect/>
                    </a:stretch>
                  </pic:blipFill>
                  <pic:spPr bwMode="auto">
                    <a:xfrm>
                      <a:off x="0" y="0"/>
                      <a:ext cx="5899150" cy="2098040"/>
                    </a:xfrm>
                    <a:prstGeom prst="rect">
                      <a:avLst/>
                    </a:prstGeom>
                  </pic:spPr>
                </pic:pic>
              </a:graphicData>
            </a:graphic>
          </wp:inline>
        </w:drawing>
      </w:r>
    </w:p>
    <w:p w14:paraId="22ED2814" w14:textId="77777777" w:rsidR="00771ECA" w:rsidRDefault="00000000">
      <w:pPr>
        <w:widowControl/>
        <w:overflowPunct w:val="0"/>
        <w:spacing w:line="480" w:lineRule="auto"/>
        <w:ind w:firstLine="420"/>
        <w:jc w:val="both"/>
        <w:textAlignment w:val="auto"/>
        <w:rPr>
          <w:rFonts w:ascii="Arial" w:hAnsi="Arial" w:cs="Arial"/>
          <w:bCs/>
          <w:sz w:val="21"/>
          <w:szCs w:val="28"/>
        </w:rPr>
      </w:pPr>
      <w:r>
        <w:rPr>
          <w:rFonts w:ascii="Arial" w:hAnsi="Arial" w:cs="Arial"/>
          <w:bCs/>
          <w:sz w:val="21"/>
          <w:szCs w:val="28"/>
        </w:rPr>
        <w:t>（</w:t>
      </w:r>
      <w:r>
        <w:rPr>
          <w:rFonts w:ascii="Arial" w:hAnsi="Arial" w:cs="Arial"/>
          <w:bCs/>
          <w:sz w:val="21"/>
          <w:szCs w:val="28"/>
        </w:rPr>
        <w:t>3</w:t>
      </w:r>
      <w:r>
        <w:rPr>
          <w:rFonts w:ascii="Arial" w:hAnsi="Arial" w:cs="Arial"/>
          <w:bCs/>
          <w:sz w:val="21"/>
          <w:szCs w:val="28"/>
        </w:rPr>
        <w:t>）存量房住宅市场</w:t>
      </w:r>
    </w:p>
    <w:p w14:paraId="7F2747A0" w14:textId="77777777" w:rsidR="00771ECA" w:rsidRDefault="00000000">
      <w:pPr>
        <w:overflowPunct w:val="0"/>
        <w:spacing w:line="480" w:lineRule="auto"/>
        <w:ind w:firstLine="420"/>
        <w:jc w:val="both"/>
        <w:textAlignment w:val="auto"/>
        <w:rPr>
          <w:rFonts w:ascii="Arial" w:hAnsi="Arial" w:cs="Arial"/>
          <w:sz w:val="21"/>
        </w:rPr>
      </w:pPr>
      <w:r>
        <w:rPr>
          <w:rFonts w:ascii="Arial" w:hAnsi="Arial" w:cs="Arial"/>
          <w:sz w:val="21"/>
        </w:rPr>
        <w:t>1</w:t>
      </w:r>
      <w:r>
        <w:rPr>
          <w:rFonts w:ascii="Arial" w:hAnsi="Arial" w:cs="Arial"/>
          <w:sz w:val="21"/>
        </w:rPr>
        <w:t>）市场运行状况</w:t>
      </w:r>
    </w:p>
    <w:p w14:paraId="20F3C674" w14:textId="77777777" w:rsidR="00771ECA" w:rsidRDefault="00000000">
      <w:pPr>
        <w:widowControl/>
        <w:overflowPunct w:val="0"/>
        <w:spacing w:line="480" w:lineRule="auto"/>
        <w:ind w:firstLine="420"/>
        <w:jc w:val="both"/>
        <w:textAlignment w:val="auto"/>
      </w:pPr>
      <w:r>
        <w:rPr>
          <w:rFonts w:ascii="Arial" w:hAnsi="Arial" w:cs="Arial"/>
          <w:bCs/>
          <w:sz w:val="21"/>
          <w:szCs w:val="28"/>
        </w:rPr>
        <w:t>三季度北京存量房市场成交规模不及去年同期，但呈上升趋势。三季度北京存量房市场累计成交</w:t>
      </w:r>
      <w:r>
        <w:rPr>
          <w:rFonts w:ascii="Arial" w:hAnsi="Arial" w:cs="Arial"/>
          <w:bCs/>
          <w:sz w:val="21"/>
          <w:szCs w:val="28"/>
        </w:rPr>
        <w:t>3.39</w:t>
      </w:r>
      <w:r>
        <w:rPr>
          <w:rFonts w:ascii="Arial" w:hAnsi="Arial" w:cs="Arial"/>
          <w:bCs/>
          <w:sz w:val="21"/>
          <w:szCs w:val="28"/>
        </w:rPr>
        <w:t>万套，持续下滑，环比下降</w:t>
      </w:r>
      <w:r>
        <w:rPr>
          <w:rFonts w:ascii="Arial" w:hAnsi="Arial" w:cs="Arial"/>
          <w:bCs/>
          <w:sz w:val="21"/>
          <w:szCs w:val="28"/>
        </w:rPr>
        <w:t>12%</w:t>
      </w:r>
      <w:r>
        <w:rPr>
          <w:rFonts w:ascii="Arial" w:hAnsi="Arial" w:cs="Arial"/>
          <w:bCs/>
          <w:sz w:val="21"/>
          <w:szCs w:val="28"/>
        </w:rPr>
        <w:t>，同比下降</w:t>
      </w:r>
      <w:r>
        <w:rPr>
          <w:rFonts w:ascii="Arial" w:hAnsi="Arial" w:cs="Arial"/>
          <w:bCs/>
          <w:sz w:val="21"/>
          <w:szCs w:val="28"/>
        </w:rPr>
        <w:t>15%</w:t>
      </w:r>
      <w:r>
        <w:rPr>
          <w:rFonts w:ascii="Arial" w:hAnsi="Arial" w:cs="Arial"/>
          <w:bCs/>
          <w:sz w:val="21"/>
          <w:szCs w:val="28"/>
        </w:rPr>
        <w:t>。从月度趋势来看，存量房网签自</w:t>
      </w:r>
      <w:r>
        <w:rPr>
          <w:rFonts w:ascii="Arial" w:hAnsi="Arial" w:cs="Arial"/>
          <w:bCs/>
          <w:sz w:val="21"/>
          <w:szCs w:val="28"/>
        </w:rPr>
        <w:t>4</w:t>
      </w:r>
      <w:r>
        <w:rPr>
          <w:rFonts w:ascii="Arial" w:hAnsi="Arial" w:cs="Arial"/>
          <w:bCs/>
          <w:sz w:val="21"/>
          <w:szCs w:val="28"/>
        </w:rPr>
        <w:t>月份后成交量逐步下探，在</w:t>
      </w:r>
      <w:r>
        <w:rPr>
          <w:rFonts w:ascii="Arial" w:hAnsi="Arial" w:cs="Arial"/>
          <w:bCs/>
          <w:sz w:val="21"/>
          <w:szCs w:val="28"/>
        </w:rPr>
        <w:t>8</w:t>
      </w:r>
      <w:r>
        <w:rPr>
          <w:rFonts w:ascii="Arial" w:hAnsi="Arial" w:cs="Arial"/>
          <w:bCs/>
          <w:sz w:val="21"/>
          <w:szCs w:val="28"/>
        </w:rPr>
        <w:t>月止跌回升，环比增幅</w:t>
      </w:r>
      <w:r>
        <w:rPr>
          <w:rFonts w:ascii="Arial" w:hAnsi="Arial" w:cs="Arial"/>
          <w:bCs/>
          <w:sz w:val="21"/>
          <w:szCs w:val="28"/>
        </w:rPr>
        <w:t>4%</w:t>
      </w:r>
      <w:r>
        <w:rPr>
          <w:rFonts w:ascii="Arial" w:hAnsi="Arial" w:cs="Arial"/>
          <w:bCs/>
          <w:sz w:val="21"/>
          <w:szCs w:val="28"/>
        </w:rPr>
        <w:t>。</w:t>
      </w:r>
      <w:r>
        <w:rPr>
          <w:rFonts w:ascii="Arial" w:hAnsi="Arial" w:cs="Arial"/>
          <w:bCs/>
          <w:sz w:val="21"/>
          <w:szCs w:val="28"/>
        </w:rPr>
        <w:t>9</w:t>
      </w:r>
      <w:r>
        <w:rPr>
          <w:rFonts w:ascii="Arial" w:hAnsi="Arial" w:cs="Arial"/>
          <w:bCs/>
          <w:sz w:val="21"/>
          <w:szCs w:val="28"/>
        </w:rPr>
        <w:t>月，受</w:t>
      </w:r>
      <w:r>
        <w:rPr>
          <w:rFonts w:ascii="Arial" w:hAnsi="Arial" w:cs="Arial"/>
          <w:bCs/>
          <w:sz w:val="21"/>
          <w:szCs w:val="28"/>
        </w:rPr>
        <w:t>“</w:t>
      </w:r>
      <w:r>
        <w:rPr>
          <w:rFonts w:ascii="Arial" w:hAnsi="Arial" w:cs="Arial"/>
          <w:bCs/>
          <w:sz w:val="21"/>
          <w:szCs w:val="28"/>
        </w:rPr>
        <w:t>认房不认贷</w:t>
      </w:r>
      <w:r>
        <w:rPr>
          <w:rFonts w:ascii="Arial" w:hAnsi="Arial" w:cs="Arial"/>
          <w:bCs/>
          <w:sz w:val="21"/>
          <w:szCs w:val="28"/>
        </w:rPr>
        <w:t>”</w:t>
      </w:r>
      <w:r>
        <w:rPr>
          <w:rFonts w:ascii="Arial" w:hAnsi="Arial" w:cs="Arial"/>
          <w:bCs/>
          <w:sz w:val="21"/>
          <w:szCs w:val="28"/>
        </w:rPr>
        <w:t>政策影响，存量房整体市场逐步回温，存量房挂牌量增加，环比增幅高达</w:t>
      </w:r>
      <w:r>
        <w:rPr>
          <w:rFonts w:ascii="Arial" w:hAnsi="Arial" w:cs="Arial"/>
          <w:bCs/>
          <w:sz w:val="21"/>
          <w:szCs w:val="28"/>
        </w:rPr>
        <w:t>40%</w:t>
      </w:r>
      <w:r>
        <w:rPr>
          <w:rFonts w:ascii="Arial" w:hAnsi="Arial" w:cs="Arial"/>
          <w:bCs/>
          <w:sz w:val="21"/>
          <w:szCs w:val="28"/>
        </w:rPr>
        <w:t>，带动成交规模大幅回升，在积压需求逐渐释放后，预计未来市场活跃度或将有所回落。</w:t>
      </w:r>
    </w:p>
    <w:p w14:paraId="43111766" w14:textId="77777777" w:rsidR="00771ECA" w:rsidRDefault="00000000">
      <w:pPr>
        <w:widowControl/>
        <w:overflowPunct w:val="0"/>
        <w:spacing w:line="480" w:lineRule="auto"/>
        <w:ind w:firstLine="420"/>
        <w:jc w:val="both"/>
        <w:textAlignment w:val="auto"/>
        <w:rPr>
          <w:rFonts w:ascii="Arial" w:hAnsi="Arial" w:cs="Arial"/>
          <w:bCs/>
          <w:sz w:val="21"/>
          <w:szCs w:val="28"/>
        </w:rPr>
      </w:pPr>
      <w:r>
        <w:rPr>
          <w:rFonts w:ascii="Arial" w:hAnsi="Arial" w:cs="Arial"/>
          <w:bCs/>
          <w:sz w:val="21"/>
          <w:szCs w:val="28"/>
        </w:rPr>
        <w:t>三季度北京存量房成交均价约为</w:t>
      </w:r>
      <w:r>
        <w:rPr>
          <w:rFonts w:ascii="Arial" w:hAnsi="Arial" w:cs="Arial"/>
          <w:bCs/>
          <w:sz w:val="21"/>
          <w:szCs w:val="28"/>
        </w:rPr>
        <w:t>61185</w:t>
      </w:r>
      <w:r>
        <w:rPr>
          <w:rFonts w:ascii="Arial" w:hAnsi="Arial" w:cs="Arial"/>
          <w:bCs/>
          <w:sz w:val="21"/>
          <w:szCs w:val="28"/>
        </w:rPr>
        <w:t>元</w:t>
      </w:r>
      <w:r>
        <w:rPr>
          <w:rFonts w:ascii="Arial" w:hAnsi="Arial" w:cs="Arial"/>
          <w:bCs/>
          <w:sz w:val="21"/>
          <w:szCs w:val="28"/>
        </w:rPr>
        <w:t>/</w:t>
      </w:r>
      <w:r>
        <w:rPr>
          <w:rFonts w:ascii="Arial" w:hAnsi="Arial" w:cs="Arial"/>
          <w:bCs/>
          <w:sz w:val="21"/>
          <w:szCs w:val="28"/>
        </w:rPr>
        <w:t>㎡，同比持平，环比跌</w:t>
      </w:r>
      <w:r>
        <w:rPr>
          <w:rFonts w:ascii="Arial" w:hAnsi="Arial" w:cs="Arial"/>
          <w:bCs/>
          <w:sz w:val="21"/>
          <w:szCs w:val="28"/>
        </w:rPr>
        <w:t>1%</w:t>
      </w:r>
      <w:r>
        <w:rPr>
          <w:rFonts w:ascii="Arial" w:hAnsi="Arial" w:cs="Arial"/>
          <w:bCs/>
          <w:sz w:val="21"/>
          <w:szCs w:val="28"/>
        </w:rPr>
        <w:t>。从月度趋势来看，受新政影响，北京存量房市场有回暖趋势，成交规模止跌，业主对后市预期提升，整体房价相对坚挺，月度呈现小幅波动态势。</w:t>
      </w:r>
    </w:p>
    <w:p w14:paraId="01BB73EF" w14:textId="77777777" w:rsidR="00771ECA" w:rsidRDefault="00000000">
      <w:pPr>
        <w:tabs>
          <w:tab w:val="left" w:pos="426"/>
        </w:tabs>
        <w:overflowPunct w:val="0"/>
        <w:spacing w:line="480" w:lineRule="auto"/>
        <w:jc w:val="center"/>
        <w:textAlignment w:val="auto"/>
        <w:rPr>
          <w:rFonts w:ascii="Arial" w:hAnsi="Arial" w:cs="Arial"/>
          <w:sz w:val="21"/>
        </w:rPr>
      </w:pPr>
      <w:r>
        <w:rPr>
          <w:noProof/>
          <w:lang w:val="zh-CN"/>
        </w:rPr>
        <w:drawing>
          <wp:inline distT="0" distB="0" distL="0" distR="0" wp14:anchorId="1925575A" wp14:editId="4894E565">
            <wp:extent cx="5899150" cy="1678305"/>
            <wp:effectExtent l="0" t="0" r="0" b="0"/>
            <wp:docPr id="22" name="图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11"/>
                    <pic:cNvPicPr>
                      <a:picLocks noChangeAspect="1" noChangeArrowheads="1"/>
                    </pic:cNvPicPr>
                  </pic:nvPicPr>
                  <pic:blipFill>
                    <a:blip r:embed="rId41"/>
                    <a:srcRect l="-3" t="-11" r="-3" b="-11"/>
                    <a:stretch>
                      <a:fillRect/>
                    </a:stretch>
                  </pic:blipFill>
                  <pic:spPr bwMode="auto">
                    <a:xfrm>
                      <a:off x="0" y="0"/>
                      <a:ext cx="5899150" cy="1678305"/>
                    </a:xfrm>
                    <a:prstGeom prst="rect">
                      <a:avLst/>
                    </a:prstGeom>
                  </pic:spPr>
                </pic:pic>
              </a:graphicData>
            </a:graphic>
          </wp:inline>
        </w:drawing>
      </w:r>
    </w:p>
    <w:p w14:paraId="0F5B3D11" w14:textId="77777777" w:rsidR="00771ECA" w:rsidRDefault="00000000">
      <w:pPr>
        <w:overflowPunct w:val="0"/>
        <w:spacing w:line="480" w:lineRule="auto"/>
        <w:ind w:firstLine="420"/>
        <w:jc w:val="both"/>
        <w:textAlignment w:val="auto"/>
        <w:rPr>
          <w:rFonts w:ascii="Arial" w:hAnsi="Arial" w:cs="Arial"/>
          <w:sz w:val="21"/>
        </w:rPr>
      </w:pPr>
      <w:r>
        <w:rPr>
          <w:rFonts w:ascii="Arial" w:hAnsi="Arial" w:cs="Arial"/>
          <w:sz w:val="21"/>
        </w:rPr>
        <w:t>2</w:t>
      </w:r>
      <w:r>
        <w:rPr>
          <w:rFonts w:ascii="Arial" w:hAnsi="Arial" w:cs="Arial"/>
          <w:sz w:val="21"/>
        </w:rPr>
        <w:t>）各区县统计</w:t>
      </w:r>
    </w:p>
    <w:p w14:paraId="3A427338" w14:textId="77777777" w:rsidR="00771ECA" w:rsidRDefault="00000000">
      <w:pPr>
        <w:widowControl/>
        <w:overflowPunct w:val="0"/>
        <w:spacing w:line="480" w:lineRule="auto"/>
        <w:ind w:firstLine="420"/>
        <w:jc w:val="both"/>
        <w:textAlignment w:val="auto"/>
      </w:pPr>
      <w:r>
        <w:rPr>
          <w:rFonts w:ascii="Arial" w:hAnsi="Arial" w:cs="Arial"/>
          <w:bCs/>
          <w:sz w:val="21"/>
          <w:szCs w:val="28"/>
        </w:rPr>
        <w:lastRenderedPageBreak/>
        <w:t>分区域来看，三季度朝阳存量房成交规模较大，成交规模达</w:t>
      </w:r>
      <w:r>
        <w:rPr>
          <w:rFonts w:ascii="Arial" w:hAnsi="Arial" w:cs="Arial"/>
          <w:bCs/>
          <w:sz w:val="21"/>
          <w:szCs w:val="28"/>
        </w:rPr>
        <w:t>71.55</w:t>
      </w:r>
      <w:r>
        <w:rPr>
          <w:rFonts w:ascii="Arial" w:hAnsi="Arial" w:cs="Arial"/>
          <w:bCs/>
          <w:sz w:val="21"/>
          <w:szCs w:val="28"/>
        </w:rPr>
        <w:t>万平，居各区第一位；海淀、丰台、昌平成交面积均超过</w:t>
      </w:r>
      <w:r>
        <w:rPr>
          <w:rFonts w:ascii="Arial" w:hAnsi="Arial" w:cs="Arial"/>
          <w:bCs/>
          <w:sz w:val="21"/>
          <w:szCs w:val="28"/>
        </w:rPr>
        <w:t>30</w:t>
      </w:r>
      <w:r>
        <w:rPr>
          <w:rFonts w:ascii="Arial" w:hAnsi="Arial" w:cs="Arial"/>
          <w:bCs/>
          <w:sz w:val="21"/>
          <w:szCs w:val="28"/>
        </w:rPr>
        <w:t>万平，成交规模居第二梯队；另外，远郊的密云、平谷、怀柔、延庆以及近郊的门头沟存量房市场活跃度相对较低，成交规模均不足</w:t>
      </w:r>
      <w:r>
        <w:rPr>
          <w:rFonts w:ascii="Arial" w:hAnsi="Arial" w:cs="Arial"/>
          <w:bCs/>
          <w:sz w:val="21"/>
          <w:szCs w:val="28"/>
        </w:rPr>
        <w:t>10</w:t>
      </w:r>
      <w:r>
        <w:rPr>
          <w:rFonts w:ascii="Arial" w:hAnsi="Arial" w:cs="Arial"/>
          <w:bCs/>
          <w:sz w:val="21"/>
          <w:szCs w:val="28"/>
        </w:rPr>
        <w:t>万平。从同比变化来看，三季度，除密云和怀柔，其他各区存量房成交规模同比均有所下降。其中，门头沟、东城、大兴、通州、房山同比跌幅均超</w:t>
      </w:r>
      <w:r>
        <w:rPr>
          <w:rFonts w:ascii="Arial" w:hAnsi="Arial" w:cs="Arial"/>
          <w:bCs/>
          <w:sz w:val="21"/>
          <w:szCs w:val="28"/>
        </w:rPr>
        <w:t>20%</w:t>
      </w:r>
      <w:r>
        <w:rPr>
          <w:rFonts w:ascii="Arial" w:hAnsi="Arial" w:cs="Arial"/>
          <w:bCs/>
          <w:sz w:val="21"/>
          <w:szCs w:val="28"/>
        </w:rPr>
        <w:t>。</w:t>
      </w:r>
    </w:p>
    <w:p w14:paraId="224B051C" w14:textId="77777777" w:rsidR="00771ECA" w:rsidRDefault="00000000">
      <w:pPr>
        <w:widowControl/>
        <w:overflowPunct w:val="0"/>
        <w:spacing w:line="480" w:lineRule="auto"/>
        <w:ind w:firstLine="420"/>
        <w:jc w:val="both"/>
        <w:textAlignment w:val="auto"/>
        <w:rPr>
          <w:rFonts w:ascii="Arial" w:hAnsi="Arial" w:cs="Arial"/>
          <w:bCs/>
          <w:sz w:val="21"/>
          <w:szCs w:val="28"/>
        </w:rPr>
      </w:pPr>
      <w:r>
        <w:rPr>
          <w:rFonts w:ascii="Arial" w:hAnsi="Arial" w:cs="Arial"/>
          <w:bCs/>
          <w:sz w:val="21"/>
          <w:szCs w:val="28"/>
        </w:rPr>
        <w:t>成交价格方面，三季度西城区成交价格最高，达</w:t>
      </w:r>
      <w:r>
        <w:rPr>
          <w:rFonts w:ascii="Arial" w:hAnsi="Arial" w:cs="Arial"/>
          <w:bCs/>
          <w:sz w:val="21"/>
          <w:szCs w:val="28"/>
        </w:rPr>
        <w:t>122128</w:t>
      </w:r>
      <w:r>
        <w:rPr>
          <w:rFonts w:ascii="Arial" w:hAnsi="Arial" w:cs="Arial"/>
          <w:bCs/>
          <w:sz w:val="21"/>
          <w:szCs w:val="28"/>
        </w:rPr>
        <w:t>元</w:t>
      </w:r>
      <w:r>
        <w:rPr>
          <w:rFonts w:ascii="Arial" w:hAnsi="Arial" w:cs="Arial"/>
          <w:bCs/>
          <w:sz w:val="21"/>
          <w:szCs w:val="28"/>
        </w:rPr>
        <w:t>/</w:t>
      </w:r>
      <w:r>
        <w:rPr>
          <w:rFonts w:ascii="Arial" w:hAnsi="Arial" w:cs="Arial"/>
          <w:bCs/>
          <w:sz w:val="21"/>
          <w:szCs w:val="28"/>
        </w:rPr>
        <w:t>㎡；其次为东城区，为</w:t>
      </w:r>
      <w:r>
        <w:rPr>
          <w:rFonts w:ascii="Arial" w:hAnsi="Arial" w:cs="Arial"/>
          <w:bCs/>
          <w:sz w:val="21"/>
          <w:szCs w:val="28"/>
        </w:rPr>
        <w:t>111007</w:t>
      </w:r>
      <w:r>
        <w:rPr>
          <w:rFonts w:ascii="Arial" w:hAnsi="Arial" w:cs="Arial"/>
          <w:bCs/>
          <w:sz w:val="21"/>
          <w:szCs w:val="28"/>
        </w:rPr>
        <w:t>元</w:t>
      </w:r>
      <w:r>
        <w:rPr>
          <w:rFonts w:ascii="Arial" w:hAnsi="Arial" w:cs="Arial"/>
          <w:bCs/>
          <w:sz w:val="21"/>
          <w:szCs w:val="28"/>
        </w:rPr>
        <w:t>/</w:t>
      </w:r>
      <w:r>
        <w:rPr>
          <w:rFonts w:ascii="Arial" w:hAnsi="Arial" w:cs="Arial"/>
          <w:bCs/>
          <w:sz w:val="21"/>
          <w:szCs w:val="28"/>
        </w:rPr>
        <w:t>㎡。</w:t>
      </w:r>
    </w:p>
    <w:p w14:paraId="330FCDE0" w14:textId="77777777" w:rsidR="00771ECA" w:rsidRPr="00FB167A" w:rsidRDefault="00000000">
      <w:pPr>
        <w:tabs>
          <w:tab w:val="left" w:pos="426"/>
        </w:tabs>
        <w:overflowPunct w:val="0"/>
        <w:spacing w:line="480" w:lineRule="auto"/>
        <w:jc w:val="center"/>
        <w:textAlignment w:val="auto"/>
        <w:rPr>
          <w:rFonts w:ascii="Arial" w:hAnsi="Arial" w:cs="Arial"/>
          <w:sz w:val="21"/>
          <w:highlight w:val="lightGray"/>
        </w:rPr>
      </w:pPr>
      <w:r>
        <w:rPr>
          <w:noProof/>
          <w:lang w:val="zh-CN"/>
        </w:rPr>
        <w:drawing>
          <wp:inline distT="0" distB="0" distL="0" distR="0" wp14:anchorId="13313B65" wp14:editId="62C05427">
            <wp:extent cx="5903595" cy="2112645"/>
            <wp:effectExtent l="0" t="0" r="0" b="0"/>
            <wp:docPr id="23" name="图像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12"/>
                    <pic:cNvPicPr>
                      <a:picLocks noChangeAspect="1" noChangeArrowheads="1"/>
                    </pic:cNvPicPr>
                  </pic:nvPicPr>
                  <pic:blipFill>
                    <a:blip r:embed="rId42"/>
                    <a:srcRect l="-3" t="-9" r="-3" b="-9"/>
                    <a:stretch>
                      <a:fillRect/>
                    </a:stretch>
                  </pic:blipFill>
                  <pic:spPr bwMode="auto">
                    <a:xfrm>
                      <a:off x="0" y="0"/>
                      <a:ext cx="5903595" cy="2112645"/>
                    </a:xfrm>
                    <a:prstGeom prst="rect">
                      <a:avLst/>
                    </a:prstGeom>
                  </pic:spPr>
                </pic:pic>
              </a:graphicData>
            </a:graphic>
          </wp:inline>
        </w:drawing>
      </w:r>
    </w:p>
    <w:p w14:paraId="0059E7E4" w14:textId="77777777" w:rsidR="00771ECA" w:rsidRDefault="00000000">
      <w:pPr>
        <w:overflowPunct w:val="0"/>
        <w:spacing w:line="480" w:lineRule="auto"/>
        <w:ind w:firstLine="420"/>
        <w:jc w:val="both"/>
        <w:textAlignment w:val="auto"/>
      </w:pPr>
      <w:r>
        <w:rPr>
          <w:rFonts w:ascii="Arial" w:hAnsi="Arial" w:cs="Arial"/>
          <w:color w:val="000000"/>
          <w:sz w:val="21"/>
        </w:rPr>
        <w:t>整体来看，三季度北京存量房市场成交规模持续下滑，但</w:t>
      </w:r>
      <w:r>
        <w:rPr>
          <w:rFonts w:ascii="Arial" w:hAnsi="Arial" w:cs="Arial"/>
          <w:color w:val="000000"/>
          <w:sz w:val="21"/>
        </w:rPr>
        <w:t>9</w:t>
      </w:r>
      <w:r>
        <w:rPr>
          <w:rFonts w:ascii="Arial" w:hAnsi="Arial" w:cs="Arial"/>
          <w:color w:val="000000"/>
          <w:sz w:val="21"/>
        </w:rPr>
        <w:t>月份有回暖趋势，挂牌量持续增加，主要是因为</w:t>
      </w:r>
      <w:r>
        <w:rPr>
          <w:rFonts w:ascii="Arial" w:hAnsi="Arial" w:cs="Arial"/>
          <w:color w:val="000000"/>
          <w:sz w:val="21"/>
        </w:rPr>
        <w:t>9</w:t>
      </w:r>
      <w:r>
        <w:rPr>
          <w:rFonts w:ascii="Arial" w:hAnsi="Arial" w:cs="Arial"/>
          <w:color w:val="000000"/>
          <w:sz w:val="21"/>
        </w:rPr>
        <w:t>月份，北京</w:t>
      </w:r>
      <w:r>
        <w:rPr>
          <w:rFonts w:ascii="Arial" w:hAnsi="Arial" w:cs="Arial"/>
          <w:color w:val="000000"/>
          <w:sz w:val="21"/>
        </w:rPr>
        <w:t>“</w:t>
      </w:r>
      <w:r>
        <w:rPr>
          <w:rFonts w:ascii="Arial" w:hAnsi="Arial" w:cs="Arial"/>
          <w:color w:val="000000"/>
          <w:sz w:val="21"/>
        </w:rPr>
        <w:t>认房不认贷</w:t>
      </w:r>
      <w:r>
        <w:rPr>
          <w:rFonts w:ascii="Arial" w:hAnsi="Arial" w:cs="Arial"/>
          <w:color w:val="000000"/>
          <w:sz w:val="21"/>
        </w:rPr>
        <w:t>”</w:t>
      </w:r>
      <w:r>
        <w:rPr>
          <w:rFonts w:ascii="Arial" w:hAnsi="Arial" w:cs="Arial"/>
          <w:color w:val="000000"/>
          <w:sz w:val="21"/>
        </w:rPr>
        <w:t>落地后，市场情绪升温，购房者入市积极性高涨，存量房成交步伐加快。</w:t>
      </w:r>
      <w:r>
        <w:rPr>
          <w:rFonts w:ascii="Arial" w:hAnsi="Arial" w:cs="Arial"/>
          <w:color w:val="000000"/>
          <w:sz w:val="21"/>
        </w:rPr>
        <w:t>2023</w:t>
      </w:r>
      <w:r>
        <w:rPr>
          <w:rFonts w:ascii="Arial" w:hAnsi="Arial" w:cs="Arial"/>
          <w:color w:val="000000"/>
          <w:sz w:val="21"/>
        </w:rPr>
        <w:t>年三季度，存量房市场热度率先升温，但新房市场依然处于低位徘徊水平，保持较低交易量，存量房市场成交占比回升。存量房与新房成交套数比值达</w:t>
      </w:r>
      <w:r>
        <w:rPr>
          <w:rFonts w:ascii="Arial" w:hAnsi="Arial" w:cs="Arial"/>
          <w:color w:val="000000"/>
          <w:sz w:val="21"/>
        </w:rPr>
        <w:t>2.80</w:t>
      </w:r>
      <w:r>
        <w:rPr>
          <w:rFonts w:ascii="Arial" w:hAnsi="Arial" w:cs="Arial"/>
          <w:color w:val="000000"/>
          <w:sz w:val="21"/>
        </w:rPr>
        <w:t>，去年同期此数值为</w:t>
      </w:r>
      <w:r>
        <w:rPr>
          <w:rFonts w:ascii="Arial" w:hAnsi="Arial" w:cs="Arial"/>
          <w:color w:val="000000"/>
          <w:sz w:val="21"/>
        </w:rPr>
        <w:t>2.34</w:t>
      </w:r>
      <w:r>
        <w:rPr>
          <w:rFonts w:ascii="Arial" w:hAnsi="Arial" w:cs="Arial"/>
          <w:color w:val="000000"/>
          <w:sz w:val="21"/>
        </w:rPr>
        <w:t>；存量房成交套数占比达</w:t>
      </w:r>
      <w:r>
        <w:rPr>
          <w:rFonts w:ascii="Arial" w:hAnsi="Arial" w:cs="Arial"/>
          <w:color w:val="000000"/>
          <w:sz w:val="21"/>
        </w:rPr>
        <w:t>74%</w:t>
      </w:r>
      <w:r>
        <w:rPr>
          <w:rFonts w:ascii="Arial" w:hAnsi="Arial" w:cs="Arial"/>
          <w:color w:val="000000"/>
          <w:sz w:val="21"/>
        </w:rPr>
        <w:t>，较二季度有所提升；新房成交占比为</w:t>
      </w:r>
      <w:r>
        <w:rPr>
          <w:rFonts w:ascii="Arial" w:hAnsi="Arial" w:cs="Arial"/>
          <w:color w:val="000000"/>
          <w:sz w:val="21"/>
        </w:rPr>
        <w:t>26%</w:t>
      </w:r>
      <w:r>
        <w:rPr>
          <w:rFonts w:ascii="Arial" w:hAnsi="Arial" w:cs="Arial"/>
          <w:color w:val="000000"/>
          <w:sz w:val="21"/>
        </w:rPr>
        <w:t>，较去年同期回落</w:t>
      </w:r>
      <w:r>
        <w:rPr>
          <w:rFonts w:ascii="Arial" w:hAnsi="Arial" w:cs="Arial"/>
          <w:color w:val="000000"/>
          <w:sz w:val="21"/>
        </w:rPr>
        <w:t>4</w:t>
      </w:r>
      <w:r>
        <w:rPr>
          <w:rFonts w:ascii="Arial" w:hAnsi="Arial" w:cs="Arial"/>
          <w:color w:val="000000"/>
          <w:sz w:val="21"/>
        </w:rPr>
        <w:t>个百分点。</w:t>
      </w:r>
    </w:p>
    <w:p w14:paraId="1421BD51" w14:textId="77777777" w:rsidR="00771ECA" w:rsidRDefault="00000000">
      <w:pPr>
        <w:overflowPunct w:val="0"/>
        <w:spacing w:line="480" w:lineRule="auto"/>
        <w:ind w:firstLine="420"/>
        <w:jc w:val="both"/>
        <w:textAlignment w:val="auto"/>
        <w:rPr>
          <w:rFonts w:ascii="Arial" w:hAnsi="Arial" w:cs="Arial"/>
          <w:color w:val="000000"/>
          <w:sz w:val="21"/>
          <w:szCs w:val="28"/>
        </w:rPr>
      </w:pPr>
      <w:r>
        <w:rPr>
          <w:rFonts w:ascii="Arial" w:hAnsi="Arial" w:cs="Arial"/>
          <w:color w:val="000000"/>
          <w:sz w:val="21"/>
          <w:szCs w:val="28"/>
        </w:rPr>
        <w:t>4.</w:t>
      </w:r>
      <w:r>
        <w:rPr>
          <w:rFonts w:ascii="Arial" w:hAnsi="Arial" w:cs="Arial"/>
          <w:color w:val="000000"/>
          <w:sz w:val="21"/>
          <w:szCs w:val="28"/>
        </w:rPr>
        <w:t>产业政策</w:t>
      </w:r>
    </w:p>
    <w:p w14:paraId="6D689BB3" w14:textId="77777777" w:rsidR="00771ECA" w:rsidRDefault="00000000">
      <w:pPr>
        <w:overflowPunct w:val="0"/>
        <w:spacing w:line="480" w:lineRule="auto"/>
        <w:ind w:firstLine="420"/>
        <w:jc w:val="both"/>
        <w:textAlignment w:val="auto"/>
        <w:rPr>
          <w:rFonts w:ascii="Arial" w:hAnsi="Arial" w:cs="Arial"/>
          <w:b/>
          <w:color w:val="000000"/>
          <w:sz w:val="21"/>
        </w:rPr>
      </w:pPr>
      <w:r>
        <w:rPr>
          <w:rFonts w:ascii="Arial" w:hAnsi="Arial" w:cs="Arial"/>
          <w:b/>
          <w:color w:val="000000"/>
          <w:sz w:val="21"/>
        </w:rPr>
        <w:t>全国：</w:t>
      </w:r>
    </w:p>
    <w:p w14:paraId="612A10FA"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1</w:t>
      </w:r>
      <w:r>
        <w:rPr>
          <w:rFonts w:ascii="Arial" w:hAnsi="Arial" w:cs="Arial"/>
          <w:color w:val="000000"/>
          <w:sz w:val="21"/>
        </w:rPr>
        <w:t>月</w:t>
      </w:r>
      <w:r>
        <w:rPr>
          <w:rFonts w:ascii="Arial" w:hAnsi="Arial" w:cs="Arial"/>
          <w:color w:val="000000"/>
          <w:sz w:val="21"/>
        </w:rPr>
        <w:t>17</w:t>
      </w:r>
      <w:r>
        <w:rPr>
          <w:rFonts w:ascii="Arial" w:hAnsi="Arial" w:cs="Arial"/>
          <w:color w:val="000000"/>
          <w:sz w:val="21"/>
        </w:rPr>
        <w:t>日，全国住房和城乡建设工作会议在北京以视频形式召开。会议强调，</w:t>
      </w:r>
      <w:r>
        <w:rPr>
          <w:rFonts w:ascii="Arial" w:hAnsi="Arial" w:cs="Arial"/>
          <w:color w:val="000000"/>
          <w:sz w:val="21"/>
        </w:rPr>
        <w:t>2023</w:t>
      </w:r>
      <w:r>
        <w:rPr>
          <w:rFonts w:ascii="Arial" w:hAnsi="Arial" w:cs="Arial"/>
          <w:color w:val="000000"/>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w:t>
      </w:r>
      <w:r>
        <w:rPr>
          <w:rFonts w:ascii="Arial" w:hAnsi="Arial" w:cs="Arial"/>
          <w:color w:val="000000"/>
          <w:sz w:val="21"/>
        </w:rPr>
        <w:lastRenderedPageBreak/>
        <w:t>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25DA28E7"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3</w:t>
      </w:r>
      <w:r>
        <w:rPr>
          <w:rFonts w:ascii="Arial" w:hAnsi="Arial" w:cs="Arial"/>
          <w:color w:val="000000"/>
          <w:sz w:val="21"/>
        </w:rPr>
        <w:t>月</w:t>
      </w:r>
      <w:r>
        <w:rPr>
          <w:rFonts w:ascii="Arial" w:hAnsi="Arial" w:cs="Arial"/>
          <w:color w:val="000000"/>
          <w:sz w:val="21"/>
        </w:rPr>
        <w:t>5</w:t>
      </w:r>
      <w:r>
        <w:rPr>
          <w:rFonts w:ascii="Arial" w:hAnsi="Arial" w:cs="Arial"/>
          <w:color w:val="000000"/>
          <w:sz w:val="21"/>
        </w:rPr>
        <w:t>日全国两会召开。有关房地产业，两会政府报告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p>
    <w:p w14:paraId="3D5FF6D7"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7</w:t>
      </w:r>
      <w:r>
        <w:rPr>
          <w:rFonts w:ascii="Arial" w:hAnsi="Arial" w:cs="Arial"/>
          <w:color w:val="000000"/>
          <w:sz w:val="21"/>
        </w:rPr>
        <w:t>月</w:t>
      </w:r>
      <w:r>
        <w:rPr>
          <w:rFonts w:ascii="Arial" w:hAnsi="Arial" w:cs="Arial"/>
          <w:color w:val="000000"/>
          <w:sz w:val="21"/>
        </w:rPr>
        <w:t>21</w:t>
      </w:r>
      <w:r>
        <w:rPr>
          <w:rFonts w:ascii="Arial" w:hAnsi="Arial" w:cs="Arial"/>
          <w:color w:val="000000"/>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258D768A"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7</w:t>
      </w:r>
      <w:r>
        <w:rPr>
          <w:rFonts w:ascii="Arial" w:hAnsi="Arial" w:cs="Arial"/>
          <w:color w:val="000000"/>
          <w:sz w:val="21"/>
        </w:rPr>
        <w:t>月</w:t>
      </w:r>
      <w:r>
        <w:rPr>
          <w:rFonts w:ascii="Arial" w:hAnsi="Arial" w:cs="Arial"/>
          <w:color w:val="000000"/>
          <w:sz w:val="21"/>
        </w:rPr>
        <w:t>24</w:t>
      </w:r>
      <w:r>
        <w:rPr>
          <w:rFonts w:ascii="Arial" w:hAnsi="Arial" w:cs="Arial"/>
          <w:color w:val="000000"/>
          <w:sz w:val="21"/>
        </w:rPr>
        <w:t>日，中共中央政治局召开会议，分析研究了当前经济形势和经济工作，并向市场释放出积极信号。会议强调</w:t>
      </w:r>
      <w:r>
        <w:rPr>
          <w:rFonts w:ascii="Arial" w:hAnsi="Arial" w:cs="Arial"/>
          <w:color w:val="000000"/>
          <w:sz w:val="21"/>
        </w:rPr>
        <w:t>“</w:t>
      </w:r>
      <w:r>
        <w:rPr>
          <w:rFonts w:ascii="Arial" w:hAnsi="Arial" w:cs="Arial"/>
          <w:color w:val="000000"/>
          <w:sz w:val="21"/>
        </w:rPr>
        <w:t>要切实防范化解重点领域风险，适应我国房地产市场供求关系发生重大</w:t>
      </w:r>
      <w:r>
        <w:rPr>
          <w:rFonts w:ascii="Arial" w:hAnsi="Arial" w:cs="Arial"/>
          <w:color w:val="000000"/>
          <w:sz w:val="21"/>
        </w:rPr>
        <w:lastRenderedPageBreak/>
        <w:t>变化的新形势，适时调整优化房地产政策，因城施策用好政策工具箱，更好满足居民刚性和改善性住房需求，促进房地产市场平稳健康发展。要加大保障性住房建设和供给，积极推动城中村改造和</w:t>
      </w:r>
      <w:r>
        <w:rPr>
          <w:rFonts w:ascii="Arial" w:hAnsi="Arial" w:cs="Arial"/>
          <w:color w:val="000000"/>
          <w:sz w:val="21"/>
        </w:rPr>
        <w:t>‘</w:t>
      </w:r>
      <w:r>
        <w:rPr>
          <w:rFonts w:ascii="Arial" w:hAnsi="Arial" w:cs="Arial"/>
          <w:color w:val="000000"/>
          <w:sz w:val="21"/>
        </w:rPr>
        <w:t>平急两用</w:t>
      </w:r>
      <w:r>
        <w:rPr>
          <w:rFonts w:ascii="Arial" w:hAnsi="Arial" w:cs="Arial"/>
          <w:color w:val="000000"/>
          <w:sz w:val="21"/>
        </w:rPr>
        <w:t>’</w:t>
      </w:r>
      <w:r>
        <w:rPr>
          <w:rFonts w:ascii="Arial" w:hAnsi="Arial" w:cs="Arial"/>
          <w:color w:val="000000"/>
          <w:sz w:val="21"/>
        </w:rPr>
        <w:t>公共基础设施建设，盘活改造各类闲置房产</w:t>
      </w:r>
      <w:r>
        <w:rPr>
          <w:rFonts w:ascii="Arial" w:hAnsi="Arial" w:cs="Arial"/>
          <w:color w:val="000000"/>
          <w:sz w:val="21"/>
        </w:rPr>
        <w:t>”</w:t>
      </w:r>
      <w:r>
        <w:rPr>
          <w:rFonts w:ascii="Arial" w:hAnsi="Arial" w:cs="Arial"/>
          <w:color w:val="000000"/>
          <w:sz w:val="21"/>
        </w:rPr>
        <w:t>。这是首次在政治局会议层面对房地产供求新形势进行定调，客观判断行业所处阶段是进行政策调整的开端，为市场注入信心的同时也为下半年政策优化打开空间。</w:t>
      </w:r>
    </w:p>
    <w:p w14:paraId="3F095D35" w14:textId="77777777" w:rsidR="00771ECA" w:rsidRDefault="00000000">
      <w:pPr>
        <w:overflowPunct w:val="0"/>
        <w:spacing w:line="480" w:lineRule="auto"/>
        <w:ind w:firstLine="420"/>
        <w:jc w:val="both"/>
        <w:textAlignment w:val="auto"/>
        <w:rPr>
          <w:rFonts w:ascii="Arial" w:hAnsi="Arial" w:cs="Arial"/>
          <w:b/>
          <w:color w:val="000000"/>
          <w:sz w:val="21"/>
        </w:rPr>
      </w:pPr>
      <w:r>
        <w:rPr>
          <w:rFonts w:ascii="Arial" w:hAnsi="Arial" w:cs="Arial"/>
          <w:b/>
          <w:color w:val="000000"/>
          <w:sz w:val="21"/>
        </w:rPr>
        <w:t>北京：</w:t>
      </w:r>
    </w:p>
    <w:p w14:paraId="65498242"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2022</w:t>
      </w:r>
      <w:r>
        <w:rPr>
          <w:rFonts w:ascii="Arial" w:hAnsi="Arial" w:cs="Arial"/>
          <w:color w:val="000000"/>
          <w:sz w:val="21"/>
        </w:rPr>
        <w:t>年</w:t>
      </w:r>
      <w:r>
        <w:rPr>
          <w:rFonts w:ascii="Arial" w:hAnsi="Arial" w:cs="Arial"/>
          <w:color w:val="000000"/>
          <w:sz w:val="21"/>
        </w:rPr>
        <w:t>9</w:t>
      </w:r>
      <w:r>
        <w:rPr>
          <w:rFonts w:ascii="Arial" w:hAnsi="Arial" w:cs="Arial"/>
          <w:color w:val="000000"/>
          <w:sz w:val="21"/>
        </w:rPr>
        <w:t>月</w:t>
      </w:r>
      <w:r>
        <w:rPr>
          <w:rFonts w:ascii="Arial" w:hAnsi="Arial" w:cs="Arial"/>
          <w:color w:val="000000"/>
          <w:sz w:val="21"/>
        </w:rPr>
        <w:t>23</w:t>
      </w:r>
      <w:r>
        <w:rPr>
          <w:rFonts w:ascii="Arial" w:hAnsi="Arial" w:cs="Arial"/>
          <w:color w:val="000000"/>
          <w:sz w:val="21"/>
        </w:rPr>
        <w:t>日，北京市住建委和市规自委联合发布关于试行存量房交易</w:t>
      </w:r>
      <w:r>
        <w:rPr>
          <w:rFonts w:ascii="Arial" w:hAnsi="Arial" w:cs="Arial"/>
          <w:color w:val="000000"/>
          <w:sz w:val="21"/>
        </w:rPr>
        <w:t>“</w:t>
      </w:r>
      <w:r>
        <w:rPr>
          <w:rFonts w:ascii="Arial" w:hAnsi="Arial" w:cs="Arial"/>
          <w:color w:val="000000"/>
          <w:sz w:val="21"/>
        </w:rPr>
        <w:t>连环单</w:t>
      </w:r>
      <w:r>
        <w:rPr>
          <w:rFonts w:ascii="Arial" w:hAnsi="Arial" w:cs="Arial"/>
          <w:color w:val="000000"/>
          <w:sz w:val="21"/>
        </w:rPr>
        <w:t>”</w:t>
      </w:r>
      <w:r>
        <w:rPr>
          <w:rFonts w:ascii="Arial" w:hAnsi="Arial" w:cs="Arial"/>
          <w:color w:val="000000"/>
          <w:sz w:val="21"/>
        </w:rPr>
        <w:t>业务并行办理的通知，提高存量房屋交易效率，支持购房家庭合理住房需求。</w:t>
      </w:r>
    </w:p>
    <w:p w14:paraId="50170D2B"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2022</w:t>
      </w:r>
      <w:r>
        <w:rPr>
          <w:rFonts w:ascii="Arial" w:hAnsi="Arial" w:cs="Arial"/>
          <w:color w:val="000000"/>
          <w:sz w:val="21"/>
        </w:rPr>
        <w:t>年</w:t>
      </w:r>
      <w:r>
        <w:rPr>
          <w:rFonts w:ascii="Arial" w:hAnsi="Arial" w:cs="Arial"/>
          <w:color w:val="000000"/>
          <w:sz w:val="21"/>
        </w:rPr>
        <w:t>9</w:t>
      </w:r>
      <w:r>
        <w:rPr>
          <w:rFonts w:ascii="Arial" w:hAnsi="Arial" w:cs="Arial"/>
          <w:color w:val="000000"/>
          <w:sz w:val="21"/>
        </w:rPr>
        <w:t>月</w:t>
      </w:r>
      <w:r>
        <w:rPr>
          <w:rFonts w:ascii="Arial" w:hAnsi="Arial" w:cs="Arial"/>
          <w:color w:val="000000"/>
          <w:sz w:val="21"/>
        </w:rPr>
        <w:t>30</w:t>
      </w:r>
      <w:r>
        <w:rPr>
          <w:rFonts w:ascii="Arial" w:hAnsi="Arial" w:cs="Arial"/>
          <w:color w:val="000000"/>
          <w:sz w:val="21"/>
        </w:rPr>
        <w:t>日，北京市人民政府印发《关于存量国有建设用地盘活利用的指导意见（试行）》，创新提出</w:t>
      </w:r>
      <w:r>
        <w:rPr>
          <w:rFonts w:ascii="Arial" w:hAnsi="Arial" w:cs="Arial"/>
          <w:color w:val="000000"/>
          <w:sz w:val="21"/>
        </w:rPr>
        <w:t>8</w:t>
      </w:r>
      <w:r>
        <w:rPr>
          <w:rFonts w:ascii="Arial" w:hAnsi="Arial" w:cs="Arial"/>
          <w:color w:val="000000"/>
          <w:sz w:val="21"/>
        </w:rPr>
        <w:t>项支持政策，明确在重点功能区及现状轨道站点周边，鼓励利用现状建筑改建保障性租赁住房。</w:t>
      </w:r>
    </w:p>
    <w:p w14:paraId="1F6119BE"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2022</w:t>
      </w:r>
      <w:r>
        <w:rPr>
          <w:rFonts w:ascii="Arial" w:hAnsi="Arial" w:cs="Arial"/>
          <w:color w:val="000000"/>
          <w:sz w:val="21"/>
        </w:rPr>
        <w:t>年</w:t>
      </w:r>
      <w:r>
        <w:rPr>
          <w:rFonts w:ascii="Arial" w:hAnsi="Arial" w:cs="Arial"/>
          <w:color w:val="000000"/>
          <w:sz w:val="21"/>
        </w:rPr>
        <w:t>11</w:t>
      </w:r>
      <w:r>
        <w:rPr>
          <w:rFonts w:ascii="Arial" w:hAnsi="Arial" w:cs="Arial"/>
          <w:color w:val="000000"/>
          <w:sz w:val="21"/>
        </w:rPr>
        <w:t>月</w:t>
      </w:r>
      <w:r>
        <w:rPr>
          <w:rFonts w:ascii="Arial" w:hAnsi="Arial" w:cs="Arial"/>
          <w:color w:val="000000"/>
          <w:sz w:val="21"/>
        </w:rPr>
        <w:t>8</w:t>
      </w:r>
      <w:r>
        <w:rPr>
          <w:rFonts w:ascii="Arial" w:hAnsi="Arial" w:cs="Arial"/>
          <w:color w:val="000000"/>
          <w:sz w:val="21"/>
        </w:rPr>
        <w:t>日，北京市住建委、经开区管委、通州区政府联合发布通知，亦庄经开区管理的台湖、马驹桥地区不再执行</w:t>
      </w:r>
      <w:r>
        <w:rPr>
          <w:rFonts w:ascii="Arial" w:hAnsi="Arial" w:cs="Arial"/>
          <w:color w:val="000000"/>
          <w:sz w:val="21"/>
        </w:rPr>
        <w:t>“</w:t>
      </w:r>
      <w:r>
        <w:rPr>
          <w:rFonts w:ascii="Arial" w:hAnsi="Arial" w:cs="Arial"/>
          <w:color w:val="000000"/>
          <w:sz w:val="21"/>
        </w:rPr>
        <w:t>双限</w:t>
      </w:r>
      <w:r>
        <w:rPr>
          <w:rFonts w:ascii="Arial" w:hAnsi="Arial" w:cs="Arial"/>
          <w:color w:val="000000"/>
          <w:sz w:val="21"/>
        </w:rPr>
        <w:t>”</w:t>
      </w:r>
      <w:r>
        <w:rPr>
          <w:rFonts w:ascii="Arial" w:hAnsi="Arial" w:cs="Arial"/>
          <w:color w:val="000000"/>
          <w:sz w:val="21"/>
        </w:rPr>
        <w:t>政策，仅执行北京其他区域的购房政策。</w:t>
      </w:r>
    </w:p>
    <w:p w14:paraId="6B254FCF"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1</w:t>
      </w:r>
      <w:r>
        <w:rPr>
          <w:rFonts w:ascii="Arial" w:hAnsi="Arial" w:cs="Arial"/>
          <w:color w:val="000000"/>
          <w:sz w:val="21"/>
        </w:rPr>
        <w:t>月</w:t>
      </w:r>
      <w:r>
        <w:rPr>
          <w:rFonts w:ascii="Arial" w:hAnsi="Arial" w:cs="Arial"/>
          <w:color w:val="000000"/>
          <w:sz w:val="21"/>
        </w:rPr>
        <w:t>1</w:t>
      </w:r>
      <w:r>
        <w:rPr>
          <w:rFonts w:ascii="Arial" w:hAnsi="Arial" w:cs="Arial"/>
          <w:color w:val="000000"/>
          <w:sz w:val="21"/>
        </w:rPr>
        <w:t>日，北京住房公积金管理中心发布《关于进一步优化住房公积金提取业务的通知》，为支持职工合理住房需求，解决新市民、青年人等全体住房困难，北京进一步优化提取业务办理。</w:t>
      </w:r>
    </w:p>
    <w:p w14:paraId="1173A479"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4</w:t>
      </w:r>
      <w:r>
        <w:rPr>
          <w:rFonts w:ascii="Arial" w:hAnsi="Arial" w:cs="Arial"/>
          <w:color w:val="000000"/>
          <w:sz w:val="21"/>
        </w:rPr>
        <w:t>月</w:t>
      </w:r>
      <w:r>
        <w:rPr>
          <w:rFonts w:ascii="Arial" w:hAnsi="Arial" w:cs="Arial"/>
          <w:color w:val="000000"/>
          <w:sz w:val="21"/>
        </w:rPr>
        <w:t>10</w:t>
      </w:r>
      <w:r>
        <w:rPr>
          <w:rFonts w:ascii="Arial" w:hAnsi="Arial" w:cs="Arial"/>
          <w:color w:val="000000"/>
          <w:sz w:val="21"/>
        </w:rPr>
        <w:t>日，北京市住建委官网发布《</w:t>
      </w:r>
      <w:r>
        <w:rPr>
          <w:rFonts w:ascii="Arial" w:hAnsi="Arial" w:cs="Arial"/>
          <w:color w:val="000000"/>
          <w:sz w:val="21"/>
        </w:rPr>
        <w:t>2023</w:t>
      </w:r>
      <w:r>
        <w:rPr>
          <w:rFonts w:ascii="Arial" w:hAnsi="Arial" w:cs="Arial"/>
          <w:color w:val="000000"/>
          <w:sz w:val="21"/>
        </w:rPr>
        <w:t>年市政府工作报告重点任务清单及实事事项一季度工作进展情况》，其中提到，多子女家庭和职住平衡家庭购房支持政策按照</w:t>
      </w:r>
      <w:r>
        <w:rPr>
          <w:rFonts w:ascii="Arial" w:hAnsi="Arial" w:cs="Arial"/>
          <w:color w:val="000000"/>
          <w:sz w:val="21"/>
        </w:rPr>
        <w:t>“</w:t>
      </w:r>
      <w:r>
        <w:rPr>
          <w:rFonts w:ascii="Arial" w:hAnsi="Arial" w:cs="Arial"/>
          <w:color w:val="000000"/>
          <w:sz w:val="21"/>
        </w:rPr>
        <w:t>一区一策</w:t>
      </w:r>
      <w:r>
        <w:rPr>
          <w:rFonts w:ascii="Arial" w:hAnsi="Arial" w:cs="Arial"/>
          <w:color w:val="000000"/>
          <w:sz w:val="21"/>
        </w:rPr>
        <w:t>”</w:t>
      </w:r>
      <w:r>
        <w:rPr>
          <w:rFonts w:ascii="Arial" w:hAnsi="Arial" w:cs="Arial"/>
          <w:color w:val="000000"/>
          <w:sz w:val="21"/>
        </w:rPr>
        <w:t>的方式由房山区试点。</w:t>
      </w:r>
      <w:r>
        <w:rPr>
          <w:rFonts w:ascii="Arial" w:hAnsi="Arial" w:cs="Arial"/>
          <w:color w:val="000000"/>
          <w:sz w:val="21"/>
        </w:rPr>
        <w:t>4</w:t>
      </w:r>
      <w:r>
        <w:rPr>
          <w:rFonts w:ascii="Arial" w:hAnsi="Arial" w:cs="Arial"/>
          <w:color w:val="000000"/>
          <w:sz w:val="21"/>
        </w:rPr>
        <w:t>月</w:t>
      </w:r>
      <w:r>
        <w:rPr>
          <w:rFonts w:ascii="Arial" w:hAnsi="Arial" w:cs="Arial"/>
          <w:color w:val="000000"/>
          <w:sz w:val="21"/>
        </w:rPr>
        <w:t>20</w:t>
      </w:r>
      <w:r>
        <w:rPr>
          <w:rFonts w:ascii="Arial" w:hAnsi="Arial" w:cs="Arial"/>
          <w:color w:val="000000"/>
          <w:sz w:val="21"/>
        </w:rPr>
        <w:t>日，房山区正式发布了《房山区实施</w:t>
      </w:r>
      <w:r>
        <w:rPr>
          <w:rFonts w:ascii="Arial" w:hAnsi="Arial" w:cs="Arial"/>
          <w:color w:val="000000"/>
          <w:sz w:val="21"/>
        </w:rPr>
        <w:t>“</w:t>
      </w:r>
      <w:r>
        <w:rPr>
          <w:rFonts w:ascii="Arial" w:hAnsi="Arial" w:cs="Arial"/>
          <w:color w:val="000000"/>
          <w:sz w:val="21"/>
        </w:rPr>
        <w:t>聚源计划</w:t>
      </w:r>
      <w:r>
        <w:rPr>
          <w:rFonts w:ascii="Arial" w:hAnsi="Arial" w:cs="Arial"/>
          <w:color w:val="000000"/>
          <w:sz w:val="21"/>
        </w:rPr>
        <w:t>”</w:t>
      </w:r>
      <w:r>
        <w:rPr>
          <w:rFonts w:ascii="Arial" w:hAnsi="Arial" w:cs="Arial"/>
          <w:color w:val="000000"/>
          <w:sz w:val="21"/>
        </w:rPr>
        <w:t>引才聚才支持办法》，推出</w:t>
      </w:r>
      <w:r>
        <w:rPr>
          <w:rFonts w:ascii="Arial" w:hAnsi="Arial" w:cs="Arial"/>
          <w:color w:val="000000"/>
          <w:sz w:val="21"/>
        </w:rPr>
        <w:t>“</w:t>
      </w:r>
      <w:r>
        <w:rPr>
          <w:rFonts w:ascii="Arial" w:hAnsi="Arial" w:cs="Arial"/>
          <w:color w:val="000000"/>
          <w:sz w:val="21"/>
        </w:rPr>
        <w:t>房山聚源计划</w:t>
      </w:r>
      <w:r>
        <w:rPr>
          <w:rFonts w:ascii="Arial" w:hAnsi="Arial" w:cs="Arial"/>
          <w:color w:val="000000"/>
          <w:sz w:val="21"/>
        </w:rPr>
        <w:t>”</w:t>
      </w:r>
      <w:r>
        <w:rPr>
          <w:rFonts w:ascii="Arial" w:hAnsi="Arial" w:cs="Arial"/>
          <w:color w:val="000000"/>
          <w:sz w:val="21"/>
        </w:rPr>
        <w:t>引才聚才十一条，涵盖资金奖励、引进落户、住房保障、子女教育、医疗健康等</w:t>
      </w:r>
      <w:r>
        <w:rPr>
          <w:rFonts w:ascii="Arial" w:hAnsi="Arial" w:cs="Arial"/>
          <w:color w:val="000000"/>
          <w:sz w:val="21"/>
        </w:rPr>
        <w:t>11</w:t>
      </w:r>
      <w:r>
        <w:rPr>
          <w:rFonts w:ascii="Arial" w:hAnsi="Arial" w:cs="Arial"/>
          <w:color w:val="000000"/>
          <w:sz w:val="21"/>
        </w:rPr>
        <w:t>个方面的利好举措。其中，针对战略人才和领军人才将最高一次性给予</w:t>
      </w:r>
      <w:r>
        <w:rPr>
          <w:rFonts w:ascii="Arial" w:hAnsi="Arial" w:cs="Arial"/>
          <w:color w:val="000000"/>
          <w:sz w:val="21"/>
        </w:rPr>
        <w:t>100</w:t>
      </w:r>
      <w:r>
        <w:rPr>
          <w:rFonts w:ascii="Arial" w:hAnsi="Arial" w:cs="Arial"/>
          <w:color w:val="000000"/>
          <w:sz w:val="21"/>
        </w:rPr>
        <w:t>万元和</w:t>
      </w:r>
      <w:r>
        <w:rPr>
          <w:rFonts w:ascii="Arial" w:hAnsi="Arial" w:cs="Arial"/>
          <w:color w:val="000000"/>
          <w:sz w:val="21"/>
        </w:rPr>
        <w:t>50</w:t>
      </w:r>
      <w:r>
        <w:rPr>
          <w:rFonts w:ascii="Arial" w:hAnsi="Arial" w:cs="Arial"/>
          <w:color w:val="000000"/>
          <w:sz w:val="21"/>
        </w:rPr>
        <w:t>万元资金奖励，提供最高</w:t>
      </w:r>
      <w:r>
        <w:rPr>
          <w:rFonts w:ascii="Arial" w:hAnsi="Arial" w:cs="Arial"/>
          <w:color w:val="000000"/>
          <w:sz w:val="21"/>
        </w:rPr>
        <w:t>100</w:t>
      </w:r>
      <w:r>
        <w:rPr>
          <w:rFonts w:ascii="Arial" w:hAnsi="Arial" w:cs="Arial"/>
          <w:color w:val="000000"/>
          <w:sz w:val="21"/>
        </w:rPr>
        <w:t>万元和</w:t>
      </w:r>
      <w:r>
        <w:rPr>
          <w:rFonts w:ascii="Arial" w:hAnsi="Arial" w:cs="Arial"/>
          <w:color w:val="000000"/>
          <w:sz w:val="21"/>
        </w:rPr>
        <w:t>50</w:t>
      </w:r>
      <w:r>
        <w:rPr>
          <w:rFonts w:ascii="Arial" w:hAnsi="Arial" w:cs="Arial"/>
          <w:color w:val="000000"/>
          <w:sz w:val="21"/>
        </w:rPr>
        <w:t>万元购房补贴或最高</w:t>
      </w:r>
      <w:r>
        <w:rPr>
          <w:rFonts w:ascii="Arial" w:hAnsi="Arial" w:cs="Arial"/>
          <w:color w:val="000000"/>
          <w:sz w:val="21"/>
        </w:rPr>
        <w:t>100%</w:t>
      </w:r>
      <w:r>
        <w:rPr>
          <w:rFonts w:ascii="Arial" w:hAnsi="Arial" w:cs="Arial"/>
          <w:color w:val="000000"/>
          <w:sz w:val="21"/>
        </w:rPr>
        <w:t>、</w:t>
      </w:r>
      <w:r>
        <w:rPr>
          <w:rFonts w:ascii="Arial" w:hAnsi="Arial" w:cs="Arial"/>
          <w:color w:val="000000"/>
          <w:sz w:val="21"/>
        </w:rPr>
        <w:t>50%</w:t>
      </w:r>
      <w:r>
        <w:rPr>
          <w:rFonts w:ascii="Arial" w:hAnsi="Arial" w:cs="Arial"/>
          <w:color w:val="000000"/>
          <w:sz w:val="21"/>
        </w:rPr>
        <w:t>租金补贴，优先推荐办理北京市户口，并提供子女教育、医疗健康、出入境便利及机场服务等。</w:t>
      </w:r>
    </w:p>
    <w:p w14:paraId="1C797B91"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6</w:t>
      </w:r>
      <w:r>
        <w:rPr>
          <w:rFonts w:ascii="Arial" w:hAnsi="Arial" w:cs="Arial"/>
          <w:color w:val="000000"/>
          <w:sz w:val="21"/>
        </w:rPr>
        <w:t>月</w:t>
      </w:r>
      <w:r>
        <w:rPr>
          <w:rFonts w:ascii="Arial" w:hAnsi="Arial" w:cs="Arial"/>
          <w:color w:val="000000"/>
          <w:sz w:val="21"/>
        </w:rPr>
        <w:t>5</w:t>
      </w:r>
      <w:r>
        <w:rPr>
          <w:rFonts w:ascii="Arial" w:hAnsi="Arial" w:cs="Arial"/>
          <w:color w:val="000000"/>
          <w:sz w:val="21"/>
        </w:rPr>
        <w:t>日，北京住房公积金管理中心发布《关于进一步优化租房提取业务的通知》表示，租住北京市商品住房，未提供租房发票的，经告知承诺后，每人每月提取额度由</w:t>
      </w:r>
      <w:r>
        <w:rPr>
          <w:rFonts w:ascii="Arial" w:hAnsi="Arial" w:cs="Arial"/>
          <w:color w:val="000000"/>
          <w:sz w:val="21"/>
        </w:rPr>
        <w:t>1500</w:t>
      </w:r>
      <w:r>
        <w:rPr>
          <w:rFonts w:ascii="Arial" w:hAnsi="Arial" w:cs="Arial"/>
          <w:color w:val="000000"/>
          <w:sz w:val="21"/>
        </w:rPr>
        <w:t>元调整为</w:t>
      </w:r>
      <w:r>
        <w:rPr>
          <w:rFonts w:ascii="Arial" w:hAnsi="Arial" w:cs="Arial"/>
          <w:color w:val="000000"/>
          <w:sz w:val="21"/>
        </w:rPr>
        <w:lastRenderedPageBreak/>
        <w:t>2000</w:t>
      </w:r>
      <w:r>
        <w:rPr>
          <w:rFonts w:ascii="Arial" w:hAnsi="Arial" w:cs="Arial"/>
          <w:color w:val="000000"/>
          <w:sz w:val="21"/>
        </w:rPr>
        <w:t>元。其中，存在多子女家庭、租住公共租赁住房或保障性租赁住房等情况的，可按照实际月租金提取，不受月缴存额限制。</w:t>
      </w:r>
    </w:p>
    <w:p w14:paraId="7B8639B2"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7</w:t>
      </w:r>
      <w:r>
        <w:rPr>
          <w:rFonts w:ascii="Arial" w:hAnsi="Arial" w:cs="Arial"/>
          <w:color w:val="000000"/>
          <w:sz w:val="21"/>
        </w:rPr>
        <w:t>月</w:t>
      </w:r>
      <w:r>
        <w:rPr>
          <w:rFonts w:ascii="Arial" w:hAnsi="Arial" w:cs="Arial"/>
          <w:color w:val="000000"/>
          <w:sz w:val="21"/>
        </w:rPr>
        <w:t>10</w:t>
      </w:r>
      <w:r>
        <w:rPr>
          <w:rFonts w:ascii="Arial" w:hAnsi="Arial" w:cs="Arial"/>
          <w:color w:val="000000"/>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67606191"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9</w:t>
      </w:r>
      <w:r>
        <w:rPr>
          <w:rFonts w:ascii="Arial" w:hAnsi="Arial" w:cs="Arial"/>
          <w:color w:val="000000"/>
          <w:sz w:val="21"/>
        </w:rPr>
        <w:t>月</w:t>
      </w:r>
      <w:r>
        <w:rPr>
          <w:rFonts w:ascii="Arial" w:hAnsi="Arial" w:cs="Arial"/>
          <w:color w:val="000000"/>
          <w:sz w:val="21"/>
        </w:rPr>
        <w:t>1</w:t>
      </w:r>
      <w:r>
        <w:rPr>
          <w:rFonts w:ascii="Arial" w:hAnsi="Arial" w:cs="Arial"/>
          <w:color w:val="000000"/>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w:t>
      </w:r>
      <w:r>
        <w:rPr>
          <w:rFonts w:ascii="Arial" w:hAnsi="Arial" w:cs="Arial"/>
          <w:color w:val="000000"/>
          <w:sz w:val="21"/>
        </w:rPr>
        <w:t>“</w:t>
      </w:r>
      <w:r>
        <w:rPr>
          <w:rFonts w:ascii="Arial" w:hAnsi="Arial" w:cs="Arial"/>
          <w:color w:val="000000"/>
          <w:sz w:val="21"/>
        </w:rPr>
        <w:t>认房不认贷</w:t>
      </w:r>
      <w:r>
        <w:rPr>
          <w:rFonts w:ascii="Arial" w:hAnsi="Arial" w:cs="Arial"/>
          <w:color w:val="000000"/>
          <w:sz w:val="21"/>
        </w:rPr>
        <w:t>”</w:t>
      </w:r>
      <w:r>
        <w:rPr>
          <w:rFonts w:ascii="Arial" w:hAnsi="Arial" w:cs="Arial"/>
          <w:color w:val="000000"/>
          <w:sz w:val="21"/>
        </w:rPr>
        <w:t>的新政，支持了居民合理的住房需求，对于有置换、改善类住房需求的家庭，将带来切实的作用，是支持合理住房需求、保障房地产市场稳定健康发展的重要举措，符合市场期待。</w:t>
      </w:r>
    </w:p>
    <w:p w14:paraId="778BD3E9" w14:textId="77777777" w:rsidR="00771ECA" w:rsidRDefault="00000000">
      <w:pPr>
        <w:overflowPunct w:val="0"/>
        <w:spacing w:line="480" w:lineRule="auto"/>
        <w:ind w:firstLine="420"/>
        <w:jc w:val="both"/>
        <w:textAlignment w:val="auto"/>
        <w:rPr>
          <w:rFonts w:ascii="Arial" w:hAnsi="Arial" w:cs="Arial"/>
          <w:color w:val="000000"/>
          <w:sz w:val="21"/>
        </w:rPr>
      </w:pPr>
      <w:bookmarkStart w:id="42" w:name="OLE_LINK9"/>
      <w:bookmarkStart w:id="43" w:name="OLE_LINK8"/>
      <w:bookmarkEnd w:id="42"/>
      <w:bookmarkEnd w:id="43"/>
      <w:r>
        <w:rPr>
          <w:rFonts w:ascii="Arial" w:hAnsi="Arial" w:cs="Arial"/>
          <w:color w:val="000000"/>
          <w:sz w:val="21"/>
        </w:rPr>
        <w:t>5.</w:t>
      </w:r>
      <w:r>
        <w:rPr>
          <w:rFonts w:ascii="Arial" w:hAnsi="Arial" w:cs="Arial"/>
          <w:color w:val="000000"/>
          <w:sz w:val="21"/>
        </w:rPr>
        <w:t>未来市场预期</w:t>
      </w:r>
    </w:p>
    <w:p w14:paraId="4A4D827C"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整体来看当前北京市场信心有一定改善，存量房市场率先回暖。随着推动</w:t>
      </w:r>
      <w:r>
        <w:rPr>
          <w:rFonts w:ascii="Arial" w:hAnsi="Arial" w:cs="Arial"/>
          <w:color w:val="000000"/>
          <w:sz w:val="21"/>
        </w:rPr>
        <w:t>“</w:t>
      </w:r>
      <w:r>
        <w:rPr>
          <w:rFonts w:ascii="Arial" w:hAnsi="Arial" w:cs="Arial"/>
          <w:color w:val="000000"/>
          <w:sz w:val="21"/>
        </w:rPr>
        <w:t>认房不认贷</w:t>
      </w:r>
      <w:r>
        <w:rPr>
          <w:rFonts w:ascii="Arial" w:hAnsi="Arial" w:cs="Arial"/>
          <w:color w:val="000000"/>
          <w:sz w:val="21"/>
        </w:rPr>
        <w:t>”</w:t>
      </w:r>
      <w:r>
        <w:rPr>
          <w:rFonts w:ascii="Arial" w:hAnsi="Arial" w:cs="Arial"/>
          <w:color w:val="000000"/>
          <w:sz w:val="21"/>
        </w:rPr>
        <w:t>、取消二手房指导价等政策逐步落地，</w:t>
      </w:r>
      <w:r>
        <w:rPr>
          <w:rFonts w:ascii="Arial" w:hAnsi="Arial" w:cs="Arial"/>
          <w:color w:val="000000"/>
          <w:sz w:val="21"/>
        </w:rPr>
        <w:t>“</w:t>
      </w:r>
      <w:r>
        <w:rPr>
          <w:rFonts w:ascii="Arial" w:hAnsi="Arial" w:cs="Arial"/>
          <w:color w:val="000000"/>
          <w:sz w:val="21"/>
        </w:rPr>
        <w:t>限购放松</w:t>
      </w:r>
      <w:r>
        <w:rPr>
          <w:rFonts w:ascii="Arial" w:hAnsi="Arial" w:cs="Arial"/>
          <w:color w:val="000000"/>
          <w:sz w:val="21"/>
        </w:rPr>
        <w:t>”</w:t>
      </w:r>
      <w:r>
        <w:rPr>
          <w:rFonts w:ascii="Arial" w:hAnsi="Arial" w:cs="Arial"/>
          <w:color w:val="000000"/>
          <w:sz w:val="21"/>
        </w:rPr>
        <w:t>预期落空，政策端仍然具备优化空间。随之而来，未来购房者对北京继续优化调控政策的预期较强，或造成观望情绪延续。</w:t>
      </w:r>
    </w:p>
    <w:p w14:paraId="1A93BE2B" w14:textId="77777777" w:rsidR="00771ECA" w:rsidRDefault="00000000">
      <w:pPr>
        <w:spacing w:line="360" w:lineRule="auto"/>
        <w:rPr>
          <w:rFonts w:ascii="Arial" w:hAnsi="Arial" w:cs="Arial"/>
          <w:b/>
          <w:color w:val="000000"/>
          <w:kern w:val="2"/>
          <w:sz w:val="21"/>
          <w:szCs w:val="21"/>
        </w:rPr>
      </w:pPr>
      <w:r>
        <w:rPr>
          <w:rFonts w:ascii="Arial" w:hAnsi="Arial" w:cs="Arial"/>
          <w:b/>
          <w:color w:val="000000"/>
          <w:kern w:val="2"/>
          <w:sz w:val="21"/>
          <w:szCs w:val="21"/>
        </w:rPr>
        <w:t>（二）估价对象所在区域相应用途房地产市场状况</w:t>
      </w:r>
    </w:p>
    <w:p w14:paraId="30F33969" w14:textId="77777777" w:rsidR="00771ECA" w:rsidRDefault="00000000">
      <w:pPr>
        <w:widowControl/>
        <w:overflowPunct w:val="0"/>
        <w:spacing w:line="480" w:lineRule="auto"/>
        <w:ind w:firstLine="420"/>
        <w:jc w:val="both"/>
        <w:textAlignment w:val="auto"/>
        <w:rPr>
          <w:rFonts w:ascii="Arial" w:hAnsi="Arial" w:cs="Arial"/>
          <w:sz w:val="21"/>
          <w:szCs w:val="28"/>
        </w:rPr>
      </w:pPr>
      <w:r>
        <w:rPr>
          <w:rFonts w:ascii="Arial" w:hAnsi="Arial" w:cs="Arial"/>
          <w:sz w:val="21"/>
          <w:szCs w:val="28"/>
        </w:rPr>
        <w:t>1.</w:t>
      </w:r>
      <w:r>
        <w:rPr>
          <w:rFonts w:ascii="Arial" w:hAnsi="Arial" w:cs="Arial"/>
          <w:sz w:val="21"/>
          <w:szCs w:val="28"/>
        </w:rPr>
        <w:t>区域概况</w:t>
      </w:r>
    </w:p>
    <w:p w14:paraId="7DEE370D"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北京经济技术开发区位于北京市东南部，北临南五环，京沪高速穿区而过，距离首都机场</w:t>
      </w:r>
      <w:r>
        <w:rPr>
          <w:rFonts w:ascii="Arial" w:hAnsi="Arial" w:cs="Arial"/>
          <w:kern w:val="2"/>
          <w:sz w:val="21"/>
          <w:szCs w:val="21"/>
        </w:rPr>
        <w:t>25</w:t>
      </w:r>
      <w:r>
        <w:rPr>
          <w:rFonts w:ascii="Arial" w:hAnsi="Arial" w:cs="Arial"/>
          <w:kern w:val="2"/>
          <w:sz w:val="21"/>
          <w:szCs w:val="21"/>
        </w:rPr>
        <w:t>公</w:t>
      </w:r>
      <w:r>
        <w:rPr>
          <w:rFonts w:ascii="Arial" w:hAnsi="Arial" w:cs="Arial"/>
          <w:kern w:val="2"/>
          <w:sz w:val="21"/>
          <w:szCs w:val="21"/>
        </w:rPr>
        <w:lastRenderedPageBreak/>
        <w:t>里，距离天津港</w:t>
      </w:r>
      <w:r>
        <w:rPr>
          <w:rFonts w:ascii="Arial" w:hAnsi="Arial" w:cs="Arial"/>
          <w:kern w:val="2"/>
          <w:sz w:val="21"/>
          <w:szCs w:val="21"/>
        </w:rPr>
        <w:t>140</w:t>
      </w:r>
      <w:r>
        <w:rPr>
          <w:rFonts w:ascii="Arial" w:hAnsi="Arial" w:cs="Arial"/>
          <w:kern w:val="2"/>
          <w:sz w:val="21"/>
          <w:szCs w:val="21"/>
        </w:rPr>
        <w:t>公里，距离北京大兴国际机场</w:t>
      </w:r>
      <w:r>
        <w:rPr>
          <w:rFonts w:ascii="Arial" w:hAnsi="Arial" w:cs="Arial"/>
          <w:kern w:val="2"/>
          <w:sz w:val="21"/>
          <w:szCs w:val="21"/>
        </w:rPr>
        <w:t>35</w:t>
      </w:r>
      <w:r>
        <w:rPr>
          <w:rFonts w:ascii="Arial" w:hAnsi="Arial" w:cs="Arial"/>
          <w:kern w:val="2"/>
          <w:sz w:val="21"/>
          <w:szCs w:val="21"/>
        </w:rPr>
        <w:t>公里，距离雄安新区</w:t>
      </w:r>
      <w:r>
        <w:rPr>
          <w:rFonts w:ascii="Arial" w:hAnsi="Arial" w:cs="Arial"/>
          <w:kern w:val="2"/>
          <w:sz w:val="21"/>
          <w:szCs w:val="21"/>
        </w:rPr>
        <w:t>110</w:t>
      </w:r>
      <w:r>
        <w:rPr>
          <w:rFonts w:ascii="Arial" w:hAnsi="Arial" w:cs="Arial"/>
          <w:kern w:val="2"/>
          <w:sz w:val="21"/>
          <w:szCs w:val="21"/>
        </w:rPr>
        <w:t>公里，处在首都经济圈核心位置，是京津城市轴的支点。亦庄新城规划范围包括现阶段开发区范围、综合配套服务区（旧宫镇、瀛海地区、亦庄地区）、台湖高端总部基地、光机电一体化基地、马驹桥镇区、物流基地、金桥科技产业基地和两块预留地，以及长子营、青云店、采育功镇工业园，其中现阶段开发区面积约</w:t>
      </w:r>
      <w:r>
        <w:rPr>
          <w:rFonts w:ascii="Arial" w:hAnsi="Arial" w:cs="Arial"/>
          <w:kern w:val="2"/>
          <w:sz w:val="21"/>
          <w:szCs w:val="21"/>
        </w:rPr>
        <w:t>66</w:t>
      </w:r>
      <w:r>
        <w:rPr>
          <w:rFonts w:ascii="Arial" w:hAnsi="Arial" w:cs="Arial"/>
          <w:kern w:val="2"/>
          <w:sz w:val="21"/>
          <w:szCs w:val="21"/>
        </w:rPr>
        <w:t>平方公里（功能区范围约</w:t>
      </w:r>
      <w:r>
        <w:rPr>
          <w:rFonts w:ascii="Arial" w:hAnsi="Arial" w:cs="Arial"/>
          <w:kern w:val="2"/>
          <w:sz w:val="21"/>
          <w:szCs w:val="21"/>
        </w:rPr>
        <w:t>60</w:t>
      </w:r>
      <w:r>
        <w:rPr>
          <w:rFonts w:ascii="Arial" w:hAnsi="Arial" w:cs="Arial"/>
          <w:kern w:val="2"/>
          <w:sz w:val="21"/>
          <w:szCs w:val="21"/>
        </w:rPr>
        <w:t>平方公里），开发区外大兴部分面积约</w:t>
      </w:r>
      <w:r>
        <w:rPr>
          <w:rFonts w:ascii="Arial" w:hAnsi="Arial" w:cs="Arial"/>
          <w:kern w:val="2"/>
          <w:sz w:val="21"/>
          <w:szCs w:val="21"/>
        </w:rPr>
        <w:t>83</w:t>
      </w:r>
      <w:r>
        <w:rPr>
          <w:rFonts w:ascii="Arial" w:hAnsi="Arial" w:cs="Arial"/>
          <w:kern w:val="2"/>
          <w:sz w:val="21"/>
          <w:szCs w:val="21"/>
        </w:rPr>
        <w:t>平方公里，开发区外通州部分面积约</w:t>
      </w:r>
      <w:r>
        <w:rPr>
          <w:rFonts w:ascii="Arial" w:hAnsi="Arial" w:cs="Arial"/>
          <w:kern w:val="2"/>
          <w:sz w:val="21"/>
          <w:szCs w:val="21"/>
        </w:rPr>
        <w:t>76</w:t>
      </w:r>
      <w:r>
        <w:rPr>
          <w:rFonts w:ascii="Arial" w:hAnsi="Arial" w:cs="Arial"/>
          <w:kern w:val="2"/>
          <w:sz w:val="21"/>
          <w:szCs w:val="21"/>
        </w:rPr>
        <w:t>平方公里。按照行政辖区划分，大兴部分面积约</w:t>
      </w:r>
      <w:r>
        <w:rPr>
          <w:rFonts w:ascii="Arial" w:hAnsi="Arial" w:cs="Arial"/>
          <w:kern w:val="2"/>
          <w:sz w:val="21"/>
          <w:szCs w:val="21"/>
        </w:rPr>
        <w:t>131.5</w:t>
      </w:r>
      <w:r>
        <w:rPr>
          <w:rFonts w:ascii="Arial" w:hAnsi="Arial" w:cs="Arial"/>
          <w:kern w:val="2"/>
          <w:sz w:val="21"/>
          <w:szCs w:val="21"/>
        </w:rPr>
        <w:t>平方公里，通州部分面积约</w:t>
      </w:r>
      <w:r>
        <w:rPr>
          <w:rFonts w:ascii="Arial" w:hAnsi="Arial" w:cs="Arial"/>
          <w:kern w:val="2"/>
          <w:sz w:val="21"/>
          <w:szCs w:val="21"/>
        </w:rPr>
        <w:t>93.5</w:t>
      </w:r>
      <w:r>
        <w:rPr>
          <w:rFonts w:ascii="Arial" w:hAnsi="Arial" w:cs="Arial"/>
          <w:kern w:val="2"/>
          <w:sz w:val="21"/>
          <w:szCs w:val="21"/>
        </w:rPr>
        <w:t>平方公里。</w:t>
      </w:r>
      <w:r>
        <w:rPr>
          <w:rFonts w:ascii="Arial" w:hAnsi="Arial" w:cs="Arial"/>
          <w:kern w:val="2"/>
          <w:sz w:val="21"/>
          <w:szCs w:val="21"/>
        </w:rPr>
        <w:t>2022</w:t>
      </w:r>
      <w:r>
        <w:rPr>
          <w:rFonts w:ascii="Arial" w:hAnsi="Arial" w:cs="Arial"/>
          <w:kern w:val="2"/>
          <w:sz w:val="21"/>
          <w:szCs w:val="21"/>
        </w:rPr>
        <w:t>年，全年完成地区生产总值</w:t>
      </w:r>
      <w:r>
        <w:rPr>
          <w:rFonts w:ascii="Arial" w:hAnsi="Arial" w:cs="Arial"/>
          <w:kern w:val="2"/>
          <w:sz w:val="21"/>
          <w:szCs w:val="21"/>
        </w:rPr>
        <w:t>2456.4</w:t>
      </w:r>
      <w:r>
        <w:rPr>
          <w:rFonts w:ascii="Arial" w:hAnsi="Arial" w:cs="Arial"/>
          <w:kern w:val="2"/>
          <w:sz w:val="21"/>
          <w:szCs w:val="21"/>
        </w:rPr>
        <w:t>亿元，增长</w:t>
      </w:r>
      <w:r>
        <w:rPr>
          <w:rFonts w:ascii="Arial" w:hAnsi="Arial" w:cs="Arial"/>
          <w:kern w:val="2"/>
          <w:sz w:val="21"/>
          <w:szCs w:val="21"/>
        </w:rPr>
        <w:t>6%</w:t>
      </w:r>
      <w:r>
        <w:rPr>
          <w:rFonts w:ascii="Arial" w:hAnsi="Arial" w:cs="Arial"/>
          <w:kern w:val="2"/>
          <w:sz w:val="21"/>
          <w:szCs w:val="21"/>
        </w:rPr>
        <w:t>；完成工业产值</w:t>
      </w:r>
      <w:r>
        <w:rPr>
          <w:rFonts w:ascii="Arial" w:hAnsi="Arial" w:cs="Arial"/>
          <w:kern w:val="2"/>
          <w:sz w:val="21"/>
          <w:szCs w:val="21"/>
        </w:rPr>
        <w:t>5371.2</w:t>
      </w:r>
      <w:r>
        <w:rPr>
          <w:rFonts w:ascii="Arial" w:hAnsi="Arial" w:cs="Arial"/>
          <w:kern w:val="2"/>
          <w:sz w:val="21"/>
          <w:szCs w:val="21"/>
        </w:rPr>
        <w:t>亿元，增长</w:t>
      </w:r>
      <w:r>
        <w:rPr>
          <w:rFonts w:ascii="Arial" w:hAnsi="Arial" w:cs="Arial"/>
          <w:kern w:val="2"/>
          <w:sz w:val="21"/>
          <w:szCs w:val="21"/>
        </w:rPr>
        <w:t>5.7%</w:t>
      </w:r>
      <w:r>
        <w:rPr>
          <w:rFonts w:ascii="Arial" w:hAnsi="Arial" w:cs="Arial"/>
          <w:kern w:val="2"/>
          <w:sz w:val="21"/>
          <w:szCs w:val="21"/>
        </w:rPr>
        <w:t>；完成固定资产投资</w:t>
      </w:r>
      <w:r>
        <w:rPr>
          <w:rFonts w:ascii="Arial" w:hAnsi="Arial" w:cs="Arial"/>
          <w:kern w:val="2"/>
          <w:sz w:val="21"/>
          <w:szCs w:val="21"/>
        </w:rPr>
        <w:t>980</w:t>
      </w:r>
      <w:r>
        <w:rPr>
          <w:rFonts w:ascii="Arial" w:hAnsi="Arial" w:cs="Arial"/>
          <w:kern w:val="2"/>
          <w:sz w:val="21"/>
          <w:szCs w:val="21"/>
        </w:rPr>
        <w:t>亿元，同比增长</w:t>
      </w:r>
      <w:r>
        <w:rPr>
          <w:rFonts w:ascii="Arial" w:hAnsi="Arial" w:cs="Arial"/>
          <w:kern w:val="2"/>
          <w:sz w:val="21"/>
          <w:szCs w:val="21"/>
        </w:rPr>
        <w:t>9.2%</w:t>
      </w:r>
      <w:r>
        <w:rPr>
          <w:rFonts w:ascii="Arial" w:hAnsi="Arial" w:cs="Arial"/>
          <w:kern w:val="2"/>
          <w:sz w:val="21"/>
          <w:szCs w:val="21"/>
        </w:rPr>
        <w:t>；完成地方级收入</w:t>
      </w:r>
      <w:r>
        <w:rPr>
          <w:rFonts w:ascii="Arial" w:hAnsi="Arial" w:cs="Arial"/>
          <w:kern w:val="2"/>
          <w:sz w:val="21"/>
          <w:szCs w:val="21"/>
        </w:rPr>
        <w:t>372.4</w:t>
      </w:r>
      <w:r>
        <w:rPr>
          <w:rFonts w:ascii="Arial" w:hAnsi="Arial" w:cs="Arial"/>
          <w:kern w:val="2"/>
          <w:sz w:val="21"/>
          <w:szCs w:val="21"/>
        </w:rPr>
        <w:t>亿元，同比增长</w:t>
      </w:r>
      <w:r>
        <w:rPr>
          <w:rFonts w:ascii="Arial" w:hAnsi="Arial" w:cs="Arial"/>
          <w:kern w:val="2"/>
          <w:sz w:val="21"/>
          <w:szCs w:val="21"/>
        </w:rPr>
        <w:t>2.7%</w:t>
      </w:r>
      <w:r>
        <w:rPr>
          <w:rFonts w:ascii="Arial" w:hAnsi="Arial" w:cs="Arial"/>
          <w:kern w:val="2"/>
          <w:sz w:val="21"/>
          <w:szCs w:val="21"/>
        </w:rPr>
        <w:t>，同口径增长</w:t>
      </w:r>
      <w:r>
        <w:rPr>
          <w:rFonts w:ascii="Arial" w:hAnsi="Arial" w:cs="Arial"/>
          <w:kern w:val="2"/>
          <w:sz w:val="21"/>
          <w:szCs w:val="21"/>
        </w:rPr>
        <w:t>9.4%</w:t>
      </w:r>
      <w:r>
        <w:rPr>
          <w:rFonts w:ascii="Arial" w:hAnsi="Arial" w:cs="Arial"/>
          <w:kern w:val="2"/>
          <w:sz w:val="21"/>
          <w:szCs w:val="21"/>
        </w:rPr>
        <w:t>。四大主导产业保持全市引领地位，</w:t>
      </w:r>
      <w:r>
        <w:rPr>
          <w:rFonts w:ascii="Arial" w:hAnsi="Arial" w:cs="Arial"/>
          <w:kern w:val="2"/>
          <w:sz w:val="21"/>
          <w:szCs w:val="21"/>
        </w:rPr>
        <w:t>2022</w:t>
      </w:r>
      <w:r>
        <w:rPr>
          <w:rFonts w:ascii="Arial" w:hAnsi="Arial" w:cs="Arial"/>
          <w:kern w:val="2"/>
          <w:sz w:val="21"/>
          <w:szCs w:val="21"/>
        </w:rPr>
        <w:t>年，新一代信息技术产业全市占比</w:t>
      </w:r>
      <w:r>
        <w:rPr>
          <w:rFonts w:ascii="Arial" w:hAnsi="Arial" w:cs="Arial"/>
          <w:kern w:val="2"/>
          <w:sz w:val="21"/>
          <w:szCs w:val="21"/>
        </w:rPr>
        <w:t>32.6%</w:t>
      </w:r>
      <w:r>
        <w:rPr>
          <w:rFonts w:ascii="Arial" w:hAnsi="Arial" w:cs="Arial"/>
          <w:kern w:val="2"/>
          <w:sz w:val="21"/>
          <w:szCs w:val="21"/>
        </w:rPr>
        <w:t>、高端和智能网联汽车产业全市占比</w:t>
      </w:r>
      <w:r>
        <w:rPr>
          <w:rFonts w:ascii="Arial" w:hAnsi="Arial" w:cs="Arial"/>
          <w:kern w:val="2"/>
          <w:sz w:val="21"/>
          <w:szCs w:val="21"/>
        </w:rPr>
        <w:t>63.2%</w:t>
      </w:r>
      <w:r>
        <w:rPr>
          <w:rFonts w:ascii="Arial" w:hAnsi="Arial" w:cs="Arial"/>
          <w:kern w:val="2"/>
          <w:sz w:val="21"/>
          <w:szCs w:val="21"/>
        </w:rPr>
        <w:t>、生物医药和大健康产业全市占比</w:t>
      </w:r>
      <w:r>
        <w:rPr>
          <w:rFonts w:ascii="Arial" w:hAnsi="Arial" w:cs="Arial"/>
          <w:kern w:val="2"/>
          <w:sz w:val="21"/>
          <w:szCs w:val="21"/>
        </w:rPr>
        <w:t>47.9%</w:t>
      </w:r>
      <w:r>
        <w:rPr>
          <w:rFonts w:ascii="Arial" w:hAnsi="Arial" w:cs="Arial"/>
          <w:kern w:val="2"/>
          <w:sz w:val="21"/>
          <w:szCs w:val="21"/>
        </w:rPr>
        <w:t>、机器人和智能装备产业全市占比</w:t>
      </w:r>
      <w:r>
        <w:rPr>
          <w:rFonts w:ascii="Arial" w:hAnsi="Arial" w:cs="Arial"/>
          <w:kern w:val="2"/>
          <w:sz w:val="21"/>
          <w:szCs w:val="21"/>
        </w:rPr>
        <w:t>23.9%</w:t>
      </w:r>
      <w:r>
        <w:rPr>
          <w:rFonts w:ascii="Arial" w:hAnsi="Arial" w:cs="Arial"/>
          <w:kern w:val="2"/>
          <w:sz w:val="21"/>
          <w:szCs w:val="21"/>
        </w:rPr>
        <w:t>。主要指标均好于预期，增速均高于全国平均水平，在全市处于领先位置，有力服务全市经济稳增长大局。</w:t>
      </w:r>
    </w:p>
    <w:p w14:paraId="36C2D99F" w14:textId="77777777" w:rsidR="00771ECA" w:rsidRDefault="00000000">
      <w:pPr>
        <w:spacing w:line="480" w:lineRule="auto"/>
        <w:ind w:firstLine="420"/>
        <w:jc w:val="both"/>
        <w:rPr>
          <w:rFonts w:ascii="Arial" w:hAnsi="Arial" w:cs="Arial"/>
          <w:sz w:val="21"/>
          <w:szCs w:val="28"/>
        </w:rPr>
      </w:pPr>
      <w:r>
        <w:rPr>
          <w:rFonts w:ascii="Arial" w:hAnsi="Arial" w:cs="Arial"/>
          <w:sz w:val="21"/>
          <w:szCs w:val="28"/>
        </w:rPr>
        <w:t>2.</w:t>
      </w:r>
      <w:r>
        <w:rPr>
          <w:rFonts w:ascii="Arial" w:hAnsi="Arial" w:cs="Arial"/>
          <w:sz w:val="21"/>
          <w:szCs w:val="28"/>
        </w:rPr>
        <w:t>区域住宅用房房地产市场状况</w:t>
      </w:r>
    </w:p>
    <w:p w14:paraId="6C2371D0" w14:textId="77777777" w:rsidR="00771ECA" w:rsidRDefault="00000000">
      <w:pPr>
        <w:widowControl/>
        <w:overflowPunct w:val="0"/>
        <w:spacing w:line="480" w:lineRule="auto"/>
        <w:ind w:firstLine="420"/>
        <w:jc w:val="both"/>
        <w:textAlignment w:val="auto"/>
      </w:pPr>
      <w:r>
        <w:rPr>
          <w:rFonts w:ascii="Arial" w:hAnsi="Arial" w:cs="Arial"/>
          <w:sz w:val="21"/>
          <w:szCs w:val="28"/>
        </w:rPr>
        <w:t>估价对象位于</w:t>
      </w:r>
      <w:r>
        <w:rPr>
          <w:rFonts w:ascii="Arial" w:hAnsi="Arial" w:cs="Arial"/>
          <w:bCs/>
          <w:sz w:val="21"/>
        </w:rPr>
        <w:t>北京市北京经济技术开发区科创十一街</w:t>
      </w:r>
      <w:r>
        <w:rPr>
          <w:rFonts w:ascii="Arial" w:hAnsi="Arial" w:cs="Arial"/>
          <w:bCs/>
          <w:sz w:val="21"/>
        </w:rPr>
        <w:t>4</w:t>
      </w:r>
      <w:r>
        <w:rPr>
          <w:rFonts w:ascii="Arial" w:hAnsi="Arial" w:cs="Arial"/>
          <w:bCs/>
          <w:sz w:val="21"/>
        </w:rPr>
        <w:t>号院</w:t>
      </w:r>
      <w:r>
        <w:rPr>
          <w:rFonts w:ascii="Arial" w:hAnsi="Arial" w:cs="Arial"/>
          <w:sz w:val="21"/>
          <w:szCs w:val="28"/>
        </w:rPr>
        <w:t>，</w:t>
      </w:r>
      <w:r>
        <w:rPr>
          <w:rFonts w:ascii="Arial" w:hAnsi="Arial" w:cs="Arial"/>
          <w:bCs/>
          <w:sz w:val="21"/>
        </w:rPr>
        <w:t>周边有禧瑞天著、次渠家园、玉江佳园、定海园等居住小区，居住小区规模较大，入住率较高，综合评价居住社区成熟度较好。</w:t>
      </w:r>
      <w:r>
        <w:rPr>
          <w:rFonts w:ascii="Arial" w:hAnsi="Arial" w:cs="Arial"/>
          <w:sz w:val="21"/>
          <w:szCs w:val="28"/>
        </w:rPr>
        <w:t>据调查，估价对象周边普通商品住宅租金约为</w:t>
      </w:r>
      <w:r>
        <w:rPr>
          <w:rFonts w:ascii="Arial" w:hAnsi="Arial" w:cs="Arial"/>
          <w:sz w:val="21"/>
          <w:szCs w:val="28"/>
        </w:rPr>
        <w:t>45-70</w:t>
      </w:r>
      <w:r>
        <w:rPr>
          <w:rFonts w:ascii="Arial" w:hAnsi="Arial" w:cs="Arial"/>
          <w:sz w:val="21"/>
          <w:szCs w:val="28"/>
        </w:rPr>
        <w:t>元</w:t>
      </w:r>
      <w:r>
        <w:rPr>
          <w:rFonts w:ascii="Arial" w:hAnsi="Arial" w:cs="Arial"/>
          <w:sz w:val="21"/>
          <w:szCs w:val="28"/>
        </w:rPr>
        <w:t>/</w:t>
      </w:r>
      <w:r>
        <w:rPr>
          <w:rFonts w:ascii="Arial" w:hAnsi="Arial" w:cs="Arial"/>
          <w:sz w:val="21"/>
          <w:szCs w:val="28"/>
        </w:rPr>
        <w:t>建筑面积平方米</w:t>
      </w:r>
      <w:r>
        <w:rPr>
          <w:rFonts w:ascii="Arial" w:hAnsi="Arial" w:cs="Arial"/>
          <w:sz w:val="21"/>
          <w:szCs w:val="28"/>
        </w:rPr>
        <w:t>·</w:t>
      </w:r>
      <w:r>
        <w:rPr>
          <w:rFonts w:ascii="Arial" w:hAnsi="Arial" w:cs="Arial"/>
          <w:sz w:val="21"/>
          <w:szCs w:val="28"/>
        </w:rPr>
        <w:t>天。</w:t>
      </w:r>
    </w:p>
    <w:p w14:paraId="26D23C97" w14:textId="77777777" w:rsidR="00771ECA" w:rsidRDefault="00000000">
      <w:pPr>
        <w:pStyle w:val="2"/>
        <w:numPr>
          <w:ilvl w:val="0"/>
          <w:numId w:val="0"/>
        </w:numPr>
        <w:tabs>
          <w:tab w:val="left" w:pos="360"/>
        </w:tabs>
        <w:spacing w:line="480" w:lineRule="auto"/>
        <w:ind w:left="357" w:hanging="357"/>
        <w:jc w:val="both"/>
        <w:rPr>
          <w:rFonts w:eastAsia="宋体;SimSun"/>
          <w:kern w:val="2"/>
          <w:sz w:val="21"/>
          <w:szCs w:val="21"/>
        </w:rPr>
      </w:pPr>
      <w:bookmarkStart w:id="44" w:name="__RefHeading___Toc525655438"/>
      <w:r>
        <w:rPr>
          <w:rFonts w:eastAsia="宋体;SimSun"/>
          <w:kern w:val="2"/>
          <w:sz w:val="21"/>
          <w:szCs w:val="21"/>
        </w:rPr>
        <w:t>三、最高最佳利用分析</w:t>
      </w:r>
      <w:bookmarkEnd w:id="44"/>
    </w:p>
    <w:p w14:paraId="6A6B226D" w14:textId="77777777" w:rsidR="00771ECA"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sz w:val="21"/>
          <w:szCs w:val="21"/>
        </w:rPr>
        <w:t>:</w:t>
      </w:r>
    </w:p>
    <w:p w14:paraId="2B14AAEE" w14:textId="77777777" w:rsidR="00771ECA" w:rsidRDefault="00000000">
      <w:pPr>
        <w:pStyle w:val="LO-Normal"/>
        <w:autoSpaceDE w:val="0"/>
        <w:spacing w:line="480" w:lineRule="auto"/>
        <w:ind w:right="140"/>
        <w:jc w:val="both"/>
        <w:textAlignment w:val="bottom"/>
      </w:pPr>
      <w:r>
        <w:rPr>
          <w:rFonts w:ascii="Arial" w:hAnsi="Arial" w:cs="Arial"/>
          <w:b/>
          <w:sz w:val="21"/>
          <w:szCs w:val="21"/>
        </w:rPr>
        <w:t>（一）法律上允许（规划及相关政策法规许可）</w:t>
      </w:r>
    </w:p>
    <w:p w14:paraId="52EE458D" w14:textId="77777777" w:rsidR="00771ECA"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19EF0AF1" w14:textId="77777777" w:rsidR="00771ECA"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估价对象土地规划用途为住宅，房屋规划用途为住宅，实际拟用作租赁住房，法律上允许。</w:t>
      </w:r>
    </w:p>
    <w:p w14:paraId="0283756E" w14:textId="77777777" w:rsidR="00771ECA" w:rsidRDefault="00000000">
      <w:pPr>
        <w:pStyle w:val="LO-Normal"/>
        <w:autoSpaceDE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083CA115" w14:textId="77777777" w:rsidR="00771ECA" w:rsidRDefault="00000000">
      <w:pPr>
        <w:pStyle w:val="LO-Normal"/>
        <w:autoSpaceDE w:val="0"/>
        <w:spacing w:line="480" w:lineRule="auto"/>
        <w:ind w:right="142" w:firstLine="420"/>
        <w:jc w:val="both"/>
        <w:textAlignment w:val="bottom"/>
        <w:rPr>
          <w:rFonts w:ascii="Arial" w:hAnsi="Arial" w:cs="Arial"/>
          <w:sz w:val="21"/>
          <w:szCs w:val="21"/>
        </w:rPr>
      </w:pPr>
      <w:r>
        <w:rPr>
          <w:rFonts w:ascii="Arial" w:hAnsi="Arial" w:cs="Arial"/>
          <w:sz w:val="21"/>
          <w:szCs w:val="21"/>
        </w:rPr>
        <w:lastRenderedPageBreak/>
        <w:t>技术上可能即不能把技术上无法做到的使用当作最高最佳使用，要按照房屋建筑工程方面的技术要求进行估价。</w:t>
      </w:r>
    </w:p>
    <w:p w14:paraId="18FC44E0" w14:textId="77777777" w:rsidR="00771ECA" w:rsidRDefault="00000000">
      <w:pPr>
        <w:pStyle w:val="LO-Normal"/>
        <w:autoSpaceDE w:val="0"/>
        <w:spacing w:line="480" w:lineRule="auto"/>
        <w:ind w:right="142" w:firstLine="420"/>
        <w:jc w:val="both"/>
        <w:textAlignment w:val="bottom"/>
      </w:pPr>
      <w:r>
        <w:rPr>
          <w:rFonts w:ascii="Arial" w:hAnsi="Arial" w:cs="Arial"/>
          <w:sz w:val="21"/>
          <w:szCs w:val="21"/>
        </w:rPr>
        <w:t>估价对象为</w:t>
      </w:r>
      <w:r>
        <w:rPr>
          <w:rFonts w:ascii="Arial" w:hAnsi="Arial" w:cs="Arial"/>
          <w:kern w:val="2"/>
          <w:sz w:val="21"/>
          <w:szCs w:val="21"/>
        </w:rPr>
        <w:t>钢混</w:t>
      </w:r>
      <w:r>
        <w:rPr>
          <w:rFonts w:ascii="Arial" w:hAnsi="Arial" w:cs="Arial"/>
          <w:sz w:val="21"/>
          <w:szCs w:val="21"/>
        </w:rPr>
        <w:t>结构的高层建筑物。估价对象建筑结构、功能、造型、立面效果、建筑材料和设备选用、施工技术等方面，在目前的施工技术上均能满足要求。</w:t>
      </w:r>
    </w:p>
    <w:p w14:paraId="20EB1039" w14:textId="77777777" w:rsidR="00771ECA" w:rsidRDefault="00000000">
      <w:pPr>
        <w:pStyle w:val="LO-Normal"/>
        <w:autoSpaceDE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74DA108A" w14:textId="77777777" w:rsidR="00771ECA" w:rsidRDefault="00000000">
      <w:pPr>
        <w:pStyle w:val="LO-Normal"/>
        <w:autoSpaceDE w:val="0"/>
        <w:spacing w:line="480" w:lineRule="auto"/>
        <w:ind w:right="142" w:firstLine="420"/>
        <w:jc w:val="both"/>
        <w:textAlignment w:val="bottom"/>
      </w:pPr>
      <w:r>
        <w:rPr>
          <w:rFonts w:ascii="Arial" w:hAnsi="Arial" w:cs="Arial"/>
          <w:sz w:val="21"/>
          <w:szCs w:val="21"/>
        </w:rPr>
        <w:t>经济上可行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CB97EAB" w14:textId="77777777" w:rsidR="00771ECA" w:rsidRDefault="00000000">
      <w:pPr>
        <w:pStyle w:val="LO-Normal"/>
        <w:autoSpaceDE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233D6A5F" w14:textId="77777777" w:rsidR="00771ECA" w:rsidRDefault="00000000">
      <w:pPr>
        <w:pStyle w:val="LO-Normal"/>
        <w:autoSpaceDE w:val="0"/>
        <w:spacing w:line="480" w:lineRule="auto"/>
        <w:ind w:right="140" w:firstLine="420"/>
        <w:jc w:val="both"/>
        <w:textAlignment w:val="bottom"/>
      </w:pPr>
      <w:r>
        <w:rPr>
          <w:rFonts w:ascii="Arial" w:hAnsi="Arial" w:cs="Arial"/>
          <w:sz w:val="21"/>
          <w:szCs w:val="21"/>
        </w:rPr>
        <w:t>价值最大化即在所有具有经济可行性的使用方式中，能使估价对象价值达到最大的使用方式，才是最高最佳的使用方式。估价对象土地规划用途为住宅，房屋规划用途为住宅，实际拟用作租赁住房，</w:t>
      </w:r>
      <w:r>
        <w:rPr>
          <w:rFonts w:ascii="Arial" w:hAnsi="Arial" w:cs="Arial"/>
          <w:sz w:val="21"/>
          <w:szCs w:val="21"/>
        </w:rPr>
        <w:t>,</w:t>
      </w:r>
      <w:r>
        <w:rPr>
          <w:rFonts w:ascii="Arial" w:hAnsi="Arial" w:cs="Arial"/>
          <w:sz w:val="21"/>
          <w:szCs w:val="21"/>
        </w:rPr>
        <w:t>其使用方式以满足法律上许可、技术上可能、经济上可行为前提条件，经过论证可使估价对象价值得到最大化。</w:t>
      </w:r>
    </w:p>
    <w:p w14:paraId="062688EB" w14:textId="77777777" w:rsidR="00771ECA" w:rsidRDefault="00000000">
      <w:pPr>
        <w:pStyle w:val="LO-Normal"/>
        <w:autoSpaceDE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0F5F6103" w14:textId="77777777" w:rsidR="00771ECA"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5919680F"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t>综上所述，我们认为估价对象用途为住宅为其最高最佳使用途径。</w:t>
      </w:r>
    </w:p>
    <w:p w14:paraId="3EB9FB97" w14:textId="77777777" w:rsidR="00771ECA" w:rsidRDefault="00771ECA">
      <w:pPr>
        <w:spacing w:line="480" w:lineRule="auto"/>
        <w:ind w:firstLine="420"/>
        <w:jc w:val="both"/>
        <w:rPr>
          <w:rFonts w:ascii="Arial" w:hAnsi="Arial" w:cs="Arial"/>
          <w:sz w:val="21"/>
          <w:szCs w:val="21"/>
        </w:rPr>
      </w:pPr>
    </w:p>
    <w:p w14:paraId="7FF59828" w14:textId="77777777" w:rsidR="00771ECA" w:rsidRDefault="00000000">
      <w:pPr>
        <w:pStyle w:val="2"/>
        <w:numPr>
          <w:ilvl w:val="0"/>
          <w:numId w:val="2"/>
        </w:numPr>
        <w:tabs>
          <w:tab w:val="left" w:pos="360"/>
        </w:tabs>
        <w:spacing w:line="480" w:lineRule="auto"/>
        <w:jc w:val="both"/>
        <w:rPr>
          <w:rFonts w:eastAsia="宋体;SimSun"/>
          <w:kern w:val="2"/>
          <w:sz w:val="21"/>
          <w:szCs w:val="21"/>
        </w:rPr>
      </w:pPr>
      <w:bookmarkStart w:id="45" w:name="__RefHeading___Toc525655439"/>
      <w:bookmarkEnd w:id="45"/>
      <w:r>
        <w:rPr>
          <w:rFonts w:eastAsia="宋体;SimSun"/>
          <w:kern w:val="2"/>
          <w:sz w:val="21"/>
          <w:szCs w:val="21"/>
        </w:rPr>
        <w:t>估价方法适用性分析</w:t>
      </w:r>
    </w:p>
    <w:p w14:paraId="0BDB419A" w14:textId="77777777" w:rsidR="00771ECA" w:rsidRDefault="00000000">
      <w:pPr>
        <w:overflowPunct w:val="0"/>
        <w:spacing w:line="480" w:lineRule="auto"/>
        <w:ind w:firstLine="420"/>
        <w:jc w:val="both"/>
        <w:textAlignment w:val="auto"/>
        <w:rPr>
          <w:rFonts w:ascii="Arial" w:hAnsi="Arial" w:cs="Arial"/>
          <w:bCs/>
          <w:spacing w:val="10"/>
          <w:sz w:val="21"/>
          <w:szCs w:val="21"/>
        </w:rPr>
      </w:pPr>
      <w:r>
        <w:rPr>
          <w:rFonts w:ascii="Arial" w:hAnsi="Arial" w:cs="Arial"/>
          <w:sz w:val="21"/>
          <w:szCs w:val="21"/>
        </w:rPr>
        <w:t>由于本次评估是为估价委托人了解估价对象房地产市场租金水平提供参考依据，因此我们在认真分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sz w:val="21"/>
          <w:szCs w:val="21"/>
        </w:rPr>
        <w:t>GB/T 50291-2015</w:t>
      </w:r>
      <w:r>
        <w:rPr>
          <w:rFonts w:ascii="Arial" w:hAnsi="Arial" w:cs="Arial"/>
          <w:sz w:val="21"/>
          <w:szCs w:val="21"/>
        </w:rPr>
        <w:t>）的估价程序，选用比较法为主方法进行估价，进而确定估价对象市场平均租金价格水平。</w:t>
      </w:r>
    </w:p>
    <w:p w14:paraId="75706937" w14:textId="77777777" w:rsidR="00771ECA" w:rsidRDefault="00000000">
      <w:pPr>
        <w:pStyle w:val="LO-Normal"/>
        <w:autoSpaceDE w:val="0"/>
        <w:spacing w:line="480" w:lineRule="auto"/>
        <w:ind w:right="140"/>
        <w:jc w:val="both"/>
        <w:textAlignment w:val="bottom"/>
      </w:pPr>
      <w:r>
        <w:rPr>
          <w:rFonts w:ascii="Arial" w:hAnsi="Arial" w:cs="Arial"/>
          <w:b/>
          <w:sz w:val="21"/>
          <w:szCs w:val="21"/>
        </w:rPr>
        <w:lastRenderedPageBreak/>
        <w:t>（一）估价思路</w:t>
      </w:r>
      <w:r>
        <w:rPr>
          <w:rFonts w:ascii="Arial" w:eastAsia="Arial" w:hAnsi="Arial" w:cs="Arial"/>
          <w:b/>
          <w:sz w:val="21"/>
          <w:szCs w:val="21"/>
        </w:rPr>
        <w:t xml:space="preserve"> </w:t>
      </w:r>
    </w:p>
    <w:p w14:paraId="74814CA0"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1F659AD3"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首先确认估价对象标准房。标准房设定如下：</w:t>
      </w:r>
    </w:p>
    <w:p w14:paraId="17F15E81" w14:textId="77777777" w:rsidR="00771ECA" w:rsidRDefault="00000000">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有两种户型，分别为一居室、两居室。其中，一居室共</w:t>
      </w:r>
      <w:r>
        <w:rPr>
          <w:rFonts w:ascii="Arial" w:hAnsi="Arial" w:cs="Arial"/>
          <w:sz w:val="21"/>
          <w:szCs w:val="21"/>
        </w:rPr>
        <w:t>102</w:t>
      </w:r>
      <w:r>
        <w:rPr>
          <w:rFonts w:ascii="Arial" w:hAnsi="Arial" w:cs="Arial"/>
          <w:sz w:val="21"/>
          <w:szCs w:val="21"/>
        </w:rPr>
        <w:t>套，面积控制在</w:t>
      </w:r>
      <w:r>
        <w:rPr>
          <w:rFonts w:ascii="Arial" w:hAnsi="Arial" w:cs="Arial"/>
          <w:sz w:val="21"/>
          <w:szCs w:val="21"/>
        </w:rPr>
        <w:t>69-70</w:t>
      </w:r>
      <w:r>
        <w:rPr>
          <w:rFonts w:ascii="Arial" w:hAnsi="Arial" w:cs="Arial"/>
          <w:sz w:val="21"/>
          <w:szCs w:val="21"/>
        </w:rPr>
        <w:t>平方米；二居室共</w:t>
      </w:r>
      <w:r>
        <w:rPr>
          <w:rFonts w:ascii="Arial" w:hAnsi="Arial" w:cs="Arial"/>
          <w:sz w:val="21"/>
          <w:szCs w:val="21"/>
        </w:rPr>
        <w:t>411</w:t>
      </w:r>
      <w:r>
        <w:rPr>
          <w:rFonts w:ascii="Arial" w:hAnsi="Arial" w:cs="Arial"/>
          <w:sz w:val="21"/>
          <w:szCs w:val="21"/>
        </w:rPr>
        <w:t>套，面积控制在</w:t>
      </w:r>
      <w:r>
        <w:rPr>
          <w:rFonts w:ascii="Arial" w:hAnsi="Arial" w:cs="Arial"/>
          <w:sz w:val="21"/>
          <w:szCs w:val="21"/>
        </w:rPr>
        <w:t>88-93</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标准房户型为二居室，面积为</w:t>
      </w:r>
      <w:r>
        <w:rPr>
          <w:rFonts w:ascii="Arial" w:hAnsi="Arial" w:cs="Arial"/>
          <w:kern w:val="2"/>
          <w:sz w:val="21"/>
          <w:szCs w:val="21"/>
        </w:rPr>
        <w:t>88-93</w:t>
      </w:r>
      <w:r>
        <w:rPr>
          <w:rFonts w:ascii="Arial" w:hAnsi="Arial" w:cs="Arial"/>
          <w:kern w:val="2"/>
          <w:sz w:val="21"/>
          <w:szCs w:val="21"/>
        </w:rPr>
        <w:t>平方米，朝向为南，装修情况为简单装修。</w:t>
      </w:r>
    </w:p>
    <w:p w14:paraId="21C34A24"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在估价对象周边区域选取适当数量住宅小区，结合估价机构监测数据、估价机构市场调查两个方面的批量数据，选取可比小区。</w:t>
      </w:r>
    </w:p>
    <w:p w14:paraId="5C00014C"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3.</w:t>
      </w:r>
      <w:r>
        <w:rPr>
          <w:rFonts w:ascii="Arial" w:hAnsi="Arial" w:cs="Arial"/>
          <w:color w:val="000000"/>
          <w:sz w:val="21"/>
          <w:szCs w:val="21"/>
        </w:rPr>
        <w:t>将所选可比小区与评估对象标准房进行比较，进行区位状况调整和实物状况调整，计算各可比实例比准租金，得到估价对象租金水平。</w:t>
      </w:r>
    </w:p>
    <w:p w14:paraId="073E9F9F" w14:textId="77777777" w:rsidR="00771ECA" w:rsidRDefault="00000000">
      <w:pPr>
        <w:pStyle w:val="LO-Normal"/>
        <w:overflowPunct w:val="0"/>
        <w:autoSpaceDE w:val="0"/>
        <w:spacing w:line="480" w:lineRule="auto"/>
        <w:ind w:right="140"/>
        <w:jc w:val="both"/>
        <w:textAlignment w:val="auto"/>
      </w:pPr>
      <w:r>
        <w:rPr>
          <w:rFonts w:ascii="Arial" w:hAnsi="Arial" w:cs="Arial"/>
          <w:b/>
          <w:sz w:val="21"/>
          <w:szCs w:val="21"/>
        </w:rPr>
        <w:t>（二）</w:t>
      </w:r>
      <w:r>
        <w:rPr>
          <w:rFonts w:ascii="Arial" w:hAnsi="Arial" w:cs="Arial"/>
          <w:b/>
          <w:color w:val="000000"/>
          <w:sz w:val="21"/>
          <w:szCs w:val="21"/>
        </w:rPr>
        <w:t>估价方法</w:t>
      </w:r>
      <w:r>
        <w:rPr>
          <w:rFonts w:ascii="Arial" w:eastAsia="Arial" w:hAnsi="Arial" w:cs="Arial"/>
          <w:b/>
          <w:color w:val="000000"/>
          <w:sz w:val="21"/>
          <w:szCs w:val="21"/>
        </w:rPr>
        <w:t xml:space="preserve"> </w:t>
      </w:r>
    </w:p>
    <w:p w14:paraId="087E5688"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市场租金水平时，根据替代原则，将估价对象与在较近时期内已发生交易的类似房地产交易实例进行对期日、区域及实物状况的差别，修正得出估价对象房地产市场租金水平的方法。本次估价采用比较法照比较，并依据后者已知的价格，参照该房地产的交易情况、思路评估租金价格水平。同时，通过区域因素修正得出估价对象相邻或相似区域住宅租赁价格水平。</w:t>
      </w:r>
    </w:p>
    <w:p w14:paraId="71CA429F"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采用比较法的理由：</w:t>
      </w:r>
    </w:p>
    <w:p w14:paraId="776AB5D6" w14:textId="77777777" w:rsidR="00771ECA" w:rsidRDefault="00000000">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eastAsia="Arial" w:hAnsi="Arial" w:cs="Arial"/>
          <w:color w:val="000000"/>
          <w:sz w:val="21"/>
          <w:szCs w:val="21"/>
        </w:rPr>
        <w:t xml:space="preserve"> </w:t>
      </w:r>
    </w:p>
    <w:p w14:paraId="53CEB81F"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不采用成本法、假设开发法、收益法的理由：</w:t>
      </w:r>
    </w:p>
    <w:p w14:paraId="3C7A4DF6" w14:textId="77777777" w:rsidR="00771ECA" w:rsidRDefault="00000000">
      <w:pPr>
        <w:pStyle w:val="LO-Normal"/>
        <w:overflowPunct w:val="0"/>
        <w:autoSpaceDE w:val="0"/>
        <w:spacing w:line="480" w:lineRule="auto"/>
        <w:ind w:firstLine="420"/>
        <w:jc w:val="both"/>
        <w:textAlignment w:val="auto"/>
        <w:rPr>
          <w:rFonts w:ascii="Arial" w:hAnsi="Arial" w:cs="Arial"/>
          <w:sz w:val="21"/>
          <w:szCs w:val="21"/>
        </w:rPr>
      </w:pPr>
      <w:bookmarkStart w:id="46" w:name="_Hlk155267600"/>
      <w:r>
        <w:rPr>
          <w:rFonts w:cs="Arial"/>
          <w:sz w:val="21"/>
          <w:szCs w:val="21"/>
        </w:rPr>
        <w:t>（1）估价对象适用比较法，且已优先采用比较法进行评估，故不再采用成本法进行测算。</w:t>
      </w:r>
    </w:p>
    <w:p w14:paraId="3B0DA1E5" w14:textId="77777777" w:rsidR="00771ECA" w:rsidRDefault="00000000">
      <w:pPr>
        <w:pStyle w:val="LO-Normal"/>
        <w:overflowPunct w:val="0"/>
        <w:autoSpaceDE w:val="0"/>
        <w:spacing w:line="480" w:lineRule="auto"/>
        <w:ind w:firstLine="420"/>
        <w:jc w:val="both"/>
        <w:textAlignment w:val="auto"/>
      </w:pPr>
      <w:r>
        <w:rPr>
          <w:rFonts w:cs="Arial"/>
          <w:sz w:val="21"/>
          <w:szCs w:val="21"/>
        </w:rPr>
        <w:t>（2）假设开发法可评估房地产市场价值，但不适于租赁价格的评估。</w:t>
      </w:r>
    </w:p>
    <w:p w14:paraId="1508ABA1" w14:textId="77777777" w:rsidR="00771ECA" w:rsidRDefault="00000000">
      <w:pPr>
        <w:pStyle w:val="LO-Normal"/>
        <w:autoSpaceDE w:val="0"/>
        <w:spacing w:line="480" w:lineRule="auto"/>
        <w:ind w:firstLine="420"/>
        <w:jc w:val="both"/>
        <w:textAlignment w:val="bottom"/>
      </w:pPr>
      <w:r>
        <w:rPr>
          <w:rFonts w:cs="Arial"/>
          <w:sz w:val="21"/>
          <w:szCs w:val="21"/>
        </w:rPr>
        <w:t>（3）收益法适用于有现实收益或潜在收益的土地或房地产估价。估价对象用途设定为保障性租赁住房，能对外出租，为收益性物业，估价对象虽具有潜在租金收益，租金水平也相对稳定，而由于</w:t>
      </w:r>
      <w:r>
        <w:rPr>
          <w:rFonts w:cs="Arial"/>
          <w:sz w:val="21"/>
          <w:szCs w:val="21"/>
        </w:rPr>
        <w:lastRenderedPageBreak/>
        <w:t>受到国人传统的购房理念以及固定资产投资、保值需求等的影响，目前估价对象所在区域同类商品房公寓业态租售比差距较大， 采用房屋交易价格测算出的房屋租金不能反映正常的市场租金水平，故未采用收益法</w:t>
      </w:r>
      <w:bookmarkEnd w:id="46"/>
      <w:r>
        <w:rPr>
          <w:rFonts w:ascii="Arial" w:hAnsi="Arial" w:cs="Arial"/>
          <w:color w:val="000000"/>
          <w:sz w:val="21"/>
          <w:szCs w:val="21"/>
        </w:rPr>
        <w:t>。</w:t>
      </w:r>
    </w:p>
    <w:p w14:paraId="08AD0660" w14:textId="77777777" w:rsidR="00771ECA" w:rsidRDefault="00000000">
      <w:pPr>
        <w:pStyle w:val="LO-Normal"/>
        <w:overflowPunct w:val="0"/>
        <w:autoSpaceDE w:val="0"/>
        <w:spacing w:line="480" w:lineRule="auto"/>
        <w:ind w:right="140"/>
        <w:jc w:val="both"/>
        <w:textAlignment w:val="auto"/>
      </w:pPr>
      <w:r>
        <w:rPr>
          <w:rFonts w:ascii="Arial" w:hAnsi="Arial" w:cs="Arial"/>
          <w:b/>
          <w:sz w:val="21"/>
          <w:szCs w:val="21"/>
        </w:rPr>
        <w:t>（三）估价方法公式</w:t>
      </w:r>
      <w:r>
        <w:rPr>
          <w:rFonts w:ascii="Arial" w:eastAsia="Arial" w:hAnsi="Arial" w:cs="Arial"/>
          <w:b/>
          <w:color w:val="000000"/>
          <w:sz w:val="21"/>
          <w:szCs w:val="21"/>
        </w:rPr>
        <w:t xml:space="preserve"> </w:t>
      </w:r>
    </w:p>
    <w:p w14:paraId="70DA3DE7" w14:textId="77777777" w:rsidR="00771ECA" w:rsidRDefault="00000000">
      <w:pPr>
        <w:pStyle w:val="LO-Normal"/>
        <w:autoSpaceDE w:val="0"/>
        <w:spacing w:line="480" w:lineRule="auto"/>
        <w:ind w:right="140" w:firstLine="420"/>
        <w:jc w:val="both"/>
        <w:textAlignment w:val="bottom"/>
        <w:rPr>
          <w:rFonts w:ascii="Arial" w:hAnsi="Arial" w:cs="Arial"/>
          <w:color w:val="000000"/>
          <w:sz w:val="21"/>
          <w:szCs w:val="21"/>
        </w:rPr>
      </w:pPr>
      <w:r>
        <w:rPr>
          <w:rFonts w:ascii="Arial" w:hAnsi="Arial" w:cs="Arial"/>
          <w:color w:val="000000"/>
          <w:sz w:val="21"/>
          <w:szCs w:val="21"/>
        </w:rPr>
        <w:t>比较法计算公式为：</w:t>
      </w:r>
    </w:p>
    <w:p w14:paraId="7F85CD7C"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待估房地产租赁价格＝可比实例房地产租赁价格</w:t>
      </w:r>
      <w:r>
        <w:rPr>
          <w:rFonts w:ascii="Arial" w:hAnsi="Arial" w:cs="Arial"/>
          <w:color w:val="000000"/>
          <w:sz w:val="21"/>
          <w:szCs w:val="21"/>
        </w:rPr>
        <w:t>×</w:t>
      </w:r>
      <w:r>
        <w:rPr>
          <w:rFonts w:ascii="Arial" w:hAnsi="Arial" w:cs="Arial"/>
          <w:color w:val="000000"/>
          <w:sz w:val="21"/>
          <w:szCs w:val="21"/>
        </w:rPr>
        <w:t>（待估房地产交易情况指数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（待估房地产交易日期房地产价租赁格指数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（待估房地产区域状况条件指数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（待估房地产实物状况条件指数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（待估房地产宜居状况条件指数</w:t>
      </w:r>
      <w:r>
        <w:rPr>
          <w:rFonts w:ascii="Arial" w:hAnsi="Arial" w:cs="Arial"/>
          <w:color w:val="000000"/>
          <w:sz w:val="21"/>
          <w:szCs w:val="21"/>
        </w:rPr>
        <w:t>/</w:t>
      </w:r>
      <w:r>
        <w:rPr>
          <w:rFonts w:ascii="Arial" w:hAnsi="Arial" w:cs="Arial"/>
          <w:color w:val="000000"/>
          <w:sz w:val="21"/>
          <w:szCs w:val="21"/>
        </w:rPr>
        <w:t>可比实例房地产宜居状况条件指数）</w:t>
      </w:r>
    </w:p>
    <w:p w14:paraId="4B2916F1"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具体步骤如下：</w:t>
      </w:r>
    </w:p>
    <w:p w14:paraId="0261F000" w14:textId="77777777" w:rsidR="00771ECA" w:rsidRDefault="00000000">
      <w:pPr>
        <w:pStyle w:val="LO-Normal"/>
        <w:numPr>
          <w:ilvl w:val="0"/>
          <w:numId w:val="6"/>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选择可比案例</w:t>
      </w:r>
    </w:p>
    <w:p w14:paraId="0240D851"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）选择可比案例</w:t>
      </w:r>
    </w:p>
    <w:p w14:paraId="0CB74444"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选择比较案例时，应符合以下要求（与待估房地产比较）</w:t>
      </w:r>
    </w:p>
    <w:p w14:paraId="6DC2AEF3"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1</w:t>
      </w:r>
      <w:r>
        <w:rPr>
          <w:rFonts w:ascii="Arial" w:hAnsi="Arial" w:cs="Arial"/>
          <w:sz w:val="21"/>
          <w:szCs w:val="21"/>
        </w:rPr>
        <w:t>）用途相同</w:t>
      </w:r>
    </w:p>
    <w:p w14:paraId="60BE9914"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2</w:t>
      </w:r>
      <w:r>
        <w:rPr>
          <w:rFonts w:ascii="Arial" w:hAnsi="Arial" w:cs="Arial"/>
          <w:sz w:val="21"/>
          <w:szCs w:val="21"/>
        </w:rPr>
        <w:t>）属于正常交易</w:t>
      </w:r>
    </w:p>
    <w:p w14:paraId="0B038530"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3</w:t>
      </w:r>
      <w:r>
        <w:rPr>
          <w:rFonts w:ascii="Arial" w:hAnsi="Arial" w:cs="Arial"/>
          <w:sz w:val="21"/>
          <w:szCs w:val="21"/>
        </w:rPr>
        <w:t>）房地产状况各因素相近</w:t>
      </w:r>
    </w:p>
    <w:p w14:paraId="21192BA6"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4</w:t>
      </w:r>
      <w:r>
        <w:rPr>
          <w:rFonts w:ascii="Arial" w:hAnsi="Arial" w:cs="Arial"/>
          <w:sz w:val="21"/>
          <w:szCs w:val="21"/>
        </w:rPr>
        <w:t>）价值时点接近</w:t>
      </w:r>
    </w:p>
    <w:p w14:paraId="5DAC5565"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5</w:t>
      </w:r>
      <w:r>
        <w:rPr>
          <w:rFonts w:ascii="Arial" w:hAnsi="Arial" w:cs="Arial"/>
          <w:sz w:val="21"/>
          <w:szCs w:val="21"/>
        </w:rPr>
        <w:t>）统一价格基础</w:t>
      </w:r>
    </w:p>
    <w:p w14:paraId="3754F895"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）进行交易情况、市场状况、房地产状况（区位、实物）等因素修正和调整</w:t>
      </w:r>
    </w:p>
    <w:p w14:paraId="51D12D64"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）求取估价对象比较价值</w:t>
      </w:r>
    </w:p>
    <w:p w14:paraId="60C7372F" w14:textId="77777777" w:rsidR="00771ECA" w:rsidRDefault="00000000">
      <w:pPr>
        <w:pStyle w:val="LO-Normal"/>
        <w:numPr>
          <w:ilvl w:val="0"/>
          <w:numId w:val="6"/>
        </w:numPr>
        <w:overflowPunct w:val="0"/>
        <w:autoSpaceDE w:val="0"/>
        <w:spacing w:line="480" w:lineRule="auto"/>
        <w:ind w:right="140"/>
        <w:jc w:val="both"/>
        <w:textAlignment w:val="auto"/>
      </w:pPr>
      <w:r>
        <w:rPr>
          <w:rFonts w:ascii="Arial" w:hAnsi="Arial" w:cs="Arial"/>
          <w:color w:val="000000"/>
          <w:sz w:val="21"/>
          <w:szCs w:val="21"/>
        </w:rPr>
        <w:t>进行交易情况、交易日期、房地产状况等因素修正</w:t>
      </w:r>
    </w:p>
    <w:p w14:paraId="559CE874" w14:textId="77777777" w:rsidR="00771ECA" w:rsidRDefault="00000000">
      <w:pPr>
        <w:pStyle w:val="LO-Normal"/>
        <w:numPr>
          <w:ilvl w:val="0"/>
          <w:numId w:val="6"/>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求取估价对象比准价格</w:t>
      </w:r>
    </w:p>
    <w:p w14:paraId="7F8E96EF" w14:textId="77777777" w:rsidR="00771ECA" w:rsidRDefault="00771ECA">
      <w:pPr>
        <w:spacing w:line="480" w:lineRule="auto"/>
        <w:ind w:firstLine="420"/>
        <w:jc w:val="both"/>
        <w:rPr>
          <w:rFonts w:ascii="Arial" w:hAnsi="Arial" w:cs="Arial"/>
          <w:b/>
          <w:color w:val="000000"/>
          <w:kern w:val="2"/>
          <w:sz w:val="21"/>
          <w:szCs w:val="21"/>
        </w:rPr>
      </w:pPr>
    </w:p>
    <w:p w14:paraId="1C414523" w14:textId="77777777" w:rsidR="00771ECA" w:rsidRDefault="00000000">
      <w:pPr>
        <w:pStyle w:val="2"/>
        <w:numPr>
          <w:ilvl w:val="0"/>
          <w:numId w:val="0"/>
        </w:numPr>
        <w:tabs>
          <w:tab w:val="left" w:pos="360"/>
        </w:tabs>
        <w:spacing w:line="480" w:lineRule="auto"/>
        <w:ind w:left="357" w:hanging="357"/>
        <w:jc w:val="both"/>
        <w:rPr>
          <w:rFonts w:eastAsia="宋体;SimSun"/>
          <w:kern w:val="2"/>
          <w:sz w:val="21"/>
          <w:szCs w:val="21"/>
        </w:rPr>
      </w:pPr>
      <w:bookmarkStart w:id="47" w:name="__RefHeading___Toc525655440"/>
      <w:r>
        <w:rPr>
          <w:rFonts w:eastAsia="宋体;SimSun"/>
          <w:kern w:val="2"/>
          <w:sz w:val="21"/>
          <w:szCs w:val="21"/>
        </w:rPr>
        <w:lastRenderedPageBreak/>
        <w:t>五、估价测算过程</w:t>
      </w:r>
      <w:bookmarkEnd w:id="47"/>
      <w:r>
        <w:rPr>
          <w:rFonts w:eastAsia="Arial"/>
          <w:kern w:val="2"/>
          <w:sz w:val="21"/>
          <w:szCs w:val="21"/>
        </w:rPr>
        <w:t xml:space="preserve">  </w:t>
      </w:r>
    </w:p>
    <w:p w14:paraId="0F06225D" w14:textId="77777777" w:rsidR="00771ECA" w:rsidRDefault="00000000">
      <w:pPr>
        <w:pStyle w:val="LO-Normal"/>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（一）标准小区及标准房选取</w:t>
      </w:r>
    </w:p>
    <w:p w14:paraId="79610AAB" w14:textId="77777777" w:rsidR="00771ECA" w:rsidRDefault="00000000">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有两种户型，分别为一居室、两居室。其中，一居室共</w:t>
      </w:r>
      <w:r>
        <w:rPr>
          <w:rFonts w:ascii="Arial" w:hAnsi="Arial" w:cs="Arial"/>
          <w:sz w:val="21"/>
          <w:szCs w:val="21"/>
        </w:rPr>
        <w:t>102</w:t>
      </w:r>
      <w:r>
        <w:rPr>
          <w:rFonts w:ascii="Arial" w:hAnsi="Arial" w:cs="Arial"/>
          <w:sz w:val="21"/>
          <w:szCs w:val="21"/>
        </w:rPr>
        <w:t>套，面积控制在</w:t>
      </w:r>
      <w:r>
        <w:rPr>
          <w:rFonts w:ascii="Arial" w:hAnsi="Arial" w:cs="Arial"/>
          <w:sz w:val="21"/>
          <w:szCs w:val="21"/>
        </w:rPr>
        <w:t>69-70</w:t>
      </w:r>
      <w:r>
        <w:rPr>
          <w:rFonts w:ascii="Arial" w:hAnsi="Arial" w:cs="Arial"/>
          <w:sz w:val="21"/>
          <w:szCs w:val="21"/>
        </w:rPr>
        <w:t>平方米；二居室共</w:t>
      </w:r>
      <w:r>
        <w:rPr>
          <w:rFonts w:ascii="Arial" w:hAnsi="Arial" w:cs="Arial"/>
          <w:sz w:val="21"/>
          <w:szCs w:val="21"/>
        </w:rPr>
        <w:t>411</w:t>
      </w:r>
      <w:r>
        <w:rPr>
          <w:rFonts w:ascii="Arial" w:hAnsi="Arial" w:cs="Arial"/>
          <w:sz w:val="21"/>
          <w:szCs w:val="21"/>
        </w:rPr>
        <w:t>套，面积控制在</w:t>
      </w:r>
      <w:r>
        <w:rPr>
          <w:rFonts w:ascii="Arial" w:hAnsi="Arial" w:cs="Arial"/>
          <w:sz w:val="21"/>
          <w:szCs w:val="21"/>
        </w:rPr>
        <w:t>88-93</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标准房户型为二居室，面积为</w:t>
      </w:r>
      <w:r>
        <w:rPr>
          <w:rFonts w:ascii="Arial" w:hAnsi="Arial" w:cs="Arial"/>
          <w:kern w:val="2"/>
          <w:sz w:val="21"/>
          <w:szCs w:val="21"/>
        </w:rPr>
        <w:t>88-93</w:t>
      </w:r>
      <w:r>
        <w:rPr>
          <w:rFonts w:ascii="Arial" w:hAnsi="Arial" w:cs="Arial"/>
          <w:kern w:val="2"/>
          <w:sz w:val="21"/>
          <w:szCs w:val="21"/>
        </w:rPr>
        <w:t>平方米，朝向为南，装修情况为简单装修。</w:t>
      </w:r>
    </w:p>
    <w:p w14:paraId="1AE34DDD" w14:textId="77777777" w:rsidR="00771ECA" w:rsidRDefault="00000000">
      <w:pPr>
        <w:pStyle w:val="LO-Normal"/>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（二）</w:t>
      </w:r>
      <w:r>
        <w:rPr>
          <w:rFonts w:ascii="Arial" w:hAnsi="Arial" w:cs="Arial"/>
          <w:b/>
          <w:kern w:val="2"/>
          <w:sz w:val="21"/>
          <w:szCs w:val="21"/>
        </w:rPr>
        <w:t>可比案例选取</w:t>
      </w:r>
    </w:p>
    <w:p w14:paraId="1D2EE7FC" w14:textId="77777777" w:rsidR="00771ECA" w:rsidRDefault="00000000">
      <w:pPr>
        <w:pStyle w:val="LO-Normal"/>
        <w:autoSpaceDE w:val="0"/>
        <w:spacing w:line="480" w:lineRule="auto"/>
        <w:ind w:firstLine="420"/>
        <w:jc w:val="both"/>
        <w:textAlignment w:val="bottom"/>
      </w:pPr>
      <w:r>
        <w:rPr>
          <w:rFonts w:ascii="Arial" w:hAnsi="Arial" w:cs="Arial"/>
          <w:color w:val="000000"/>
          <w:sz w:val="21"/>
          <w:szCs w:val="21"/>
        </w:rPr>
        <w:t xml:space="preserve">1. </w:t>
      </w:r>
      <w:r>
        <w:rPr>
          <w:rFonts w:ascii="Arial" w:hAnsi="Arial" w:cs="Arial"/>
          <w:color w:val="000000"/>
          <w:sz w:val="21"/>
          <w:szCs w:val="21"/>
        </w:rPr>
        <w:t>估价机构样本小区数据选取</w:t>
      </w:r>
      <w:r>
        <w:rPr>
          <w:rFonts w:ascii="Arial" w:eastAsia="Arial" w:hAnsi="Arial" w:cs="Arial"/>
          <w:color w:val="000000"/>
          <w:sz w:val="21"/>
          <w:szCs w:val="21"/>
        </w:rPr>
        <w:t xml:space="preserve"> </w:t>
      </w:r>
    </w:p>
    <w:p w14:paraId="2B867A13"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cs="Arial"/>
          <w:color w:val="000000"/>
          <w:sz w:val="21"/>
          <w:szCs w:val="21"/>
        </w:rPr>
        <w:t>（1）</w:t>
      </w:r>
      <w:r>
        <w:rPr>
          <w:rFonts w:ascii="Arial" w:hAnsi="Arial" w:cs="Arial"/>
          <w:color w:val="000000"/>
          <w:sz w:val="21"/>
          <w:szCs w:val="21"/>
        </w:rPr>
        <w:t>样本小区选取</w:t>
      </w:r>
    </w:p>
    <w:p w14:paraId="61060856" w14:textId="77777777" w:rsidR="00771ECA" w:rsidRDefault="00000000">
      <w:pPr>
        <w:pStyle w:val="LO-Normal"/>
        <w:autoSpaceDE w:val="0"/>
        <w:spacing w:line="480" w:lineRule="auto"/>
        <w:ind w:firstLine="420"/>
        <w:jc w:val="both"/>
        <w:textAlignment w:val="bottom"/>
        <w:rPr>
          <w:rFonts w:cs="Arial"/>
        </w:rPr>
      </w:pPr>
      <w:r>
        <w:rPr>
          <w:rFonts w:ascii="Arial" w:hAnsi="Arial" w:cs="Arial"/>
          <w:color w:val="000000"/>
          <w:sz w:val="21"/>
          <w:szCs w:val="21"/>
        </w:rPr>
        <w:t>根据评估专业人员通过现场调查、调档机构内部积累数据以及结合北京市房地产市场管理事务中心提供的数据，估价对象周边</w:t>
      </w:r>
      <w:r>
        <w:rPr>
          <w:rFonts w:ascii="Arial" w:hAnsi="Arial" w:cs="Arial"/>
          <w:color w:val="000000"/>
          <w:sz w:val="21"/>
          <w:szCs w:val="21"/>
        </w:rPr>
        <w:t>2</w:t>
      </w:r>
      <w:r>
        <w:rPr>
          <w:rFonts w:ascii="Arial" w:hAnsi="Arial" w:cs="Arial"/>
          <w:color w:val="000000"/>
          <w:sz w:val="21"/>
          <w:szCs w:val="21"/>
        </w:rPr>
        <w:t>公里内同品质住宅小区有明月听蘭、北京经开</w:t>
      </w:r>
      <w:r>
        <w:rPr>
          <w:rFonts w:ascii="Arial" w:hAnsi="Arial" w:cs="Arial"/>
          <w:color w:val="000000"/>
          <w:sz w:val="21"/>
          <w:szCs w:val="21"/>
        </w:rPr>
        <w:t>·</w:t>
      </w:r>
      <w:r>
        <w:rPr>
          <w:rFonts w:ascii="Arial" w:hAnsi="Arial" w:cs="Arial"/>
          <w:color w:val="000000"/>
          <w:sz w:val="21"/>
          <w:szCs w:val="21"/>
        </w:rPr>
        <w:t>汀塘、通泰国际公馆、次渠南里、次渠锦园、次渠嘉园等</w:t>
      </w:r>
      <w:r>
        <w:rPr>
          <w:rFonts w:ascii="Arial" w:hAnsi="Arial" w:cs="Arial"/>
          <w:color w:val="000000"/>
          <w:sz w:val="21"/>
          <w:szCs w:val="21"/>
        </w:rPr>
        <w:t>6</w:t>
      </w:r>
      <w:r>
        <w:rPr>
          <w:rFonts w:ascii="Arial" w:hAnsi="Arial" w:cs="Arial"/>
          <w:color w:val="000000"/>
          <w:sz w:val="21"/>
          <w:szCs w:val="21"/>
        </w:rPr>
        <w:t>个普通商品房住宅项目。各小区具体情况如下表所示：</w:t>
      </w:r>
    </w:p>
    <w:tbl>
      <w:tblPr>
        <w:tblW w:w="9525" w:type="dxa"/>
        <w:jc w:val="center"/>
        <w:tblLook w:val="04A0" w:firstRow="1" w:lastRow="0" w:firstColumn="1" w:lastColumn="0" w:noHBand="0" w:noVBand="1"/>
      </w:tblPr>
      <w:tblGrid>
        <w:gridCol w:w="703"/>
        <w:gridCol w:w="1741"/>
        <w:gridCol w:w="1082"/>
        <w:gridCol w:w="1095"/>
        <w:gridCol w:w="1753"/>
        <w:gridCol w:w="1583"/>
        <w:gridCol w:w="1568"/>
      </w:tblGrid>
      <w:tr w:rsidR="00771ECA" w14:paraId="620466CE" w14:textId="77777777">
        <w:trPr>
          <w:trHeight w:val="270"/>
          <w:jc w:val="center"/>
        </w:trPr>
        <w:tc>
          <w:tcPr>
            <w:tcW w:w="952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F7AB87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周边市场调查情况表</w:t>
            </w:r>
          </w:p>
        </w:tc>
      </w:tr>
      <w:tr w:rsidR="00771ECA" w14:paraId="344EDCCA" w14:textId="77777777">
        <w:trPr>
          <w:trHeight w:val="270"/>
          <w:jc w:val="center"/>
        </w:trPr>
        <w:tc>
          <w:tcPr>
            <w:tcW w:w="703" w:type="dxa"/>
            <w:tcBorders>
              <w:left w:val="single" w:sz="4" w:space="0" w:color="000000"/>
              <w:bottom w:val="single" w:sz="4" w:space="0" w:color="000000"/>
            </w:tcBorders>
            <w:shd w:val="clear" w:color="auto" w:fill="auto"/>
            <w:vAlign w:val="center"/>
          </w:tcPr>
          <w:p w14:paraId="5DE8CD0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序号</w:t>
            </w:r>
          </w:p>
        </w:tc>
        <w:tc>
          <w:tcPr>
            <w:tcW w:w="1741" w:type="dxa"/>
            <w:tcBorders>
              <w:left w:val="single" w:sz="4" w:space="0" w:color="000000"/>
              <w:bottom w:val="single" w:sz="4" w:space="0" w:color="000000"/>
            </w:tcBorders>
            <w:shd w:val="clear" w:color="auto" w:fill="auto"/>
            <w:vAlign w:val="center"/>
          </w:tcPr>
          <w:p w14:paraId="470F0187"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项目名称</w:t>
            </w:r>
          </w:p>
        </w:tc>
        <w:tc>
          <w:tcPr>
            <w:tcW w:w="1082" w:type="dxa"/>
            <w:tcBorders>
              <w:left w:val="single" w:sz="4" w:space="0" w:color="000000"/>
              <w:bottom w:val="single" w:sz="4" w:space="0" w:color="000000"/>
            </w:tcBorders>
            <w:shd w:val="clear" w:color="auto" w:fill="auto"/>
            <w:vAlign w:val="center"/>
          </w:tcPr>
          <w:p w14:paraId="25BA6C6A"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户型</w:t>
            </w:r>
          </w:p>
        </w:tc>
        <w:tc>
          <w:tcPr>
            <w:tcW w:w="1095" w:type="dxa"/>
            <w:tcBorders>
              <w:left w:val="single" w:sz="4" w:space="0" w:color="000000"/>
              <w:bottom w:val="single" w:sz="4" w:space="0" w:color="000000"/>
            </w:tcBorders>
            <w:shd w:val="clear" w:color="auto" w:fill="auto"/>
            <w:vAlign w:val="center"/>
          </w:tcPr>
          <w:p w14:paraId="7BDDE636"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建筑面积</w:t>
            </w:r>
          </w:p>
          <w:p w14:paraId="0AD59F4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（平方米）</w:t>
            </w:r>
          </w:p>
        </w:tc>
        <w:tc>
          <w:tcPr>
            <w:tcW w:w="1753" w:type="dxa"/>
            <w:tcBorders>
              <w:left w:val="single" w:sz="4" w:space="0" w:color="000000"/>
              <w:bottom w:val="single" w:sz="4" w:space="0" w:color="000000"/>
            </w:tcBorders>
            <w:shd w:val="clear" w:color="auto" w:fill="auto"/>
            <w:vAlign w:val="center"/>
          </w:tcPr>
          <w:p w14:paraId="404D2636"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年均租金</w:t>
            </w:r>
          </w:p>
          <w:p w14:paraId="6ABFCC44"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（元/月•平方米）</w:t>
            </w:r>
          </w:p>
        </w:tc>
        <w:tc>
          <w:tcPr>
            <w:tcW w:w="1583" w:type="dxa"/>
            <w:tcBorders>
              <w:left w:val="single" w:sz="4" w:space="0" w:color="000000"/>
              <w:bottom w:val="single" w:sz="4" w:space="0" w:color="000000"/>
            </w:tcBorders>
            <w:shd w:val="clear" w:color="auto" w:fill="auto"/>
            <w:vAlign w:val="center"/>
          </w:tcPr>
          <w:p w14:paraId="5B0C470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物业费</w:t>
            </w:r>
          </w:p>
          <w:p w14:paraId="010EFC0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（元/月•平方米）</w:t>
            </w:r>
          </w:p>
        </w:tc>
        <w:tc>
          <w:tcPr>
            <w:tcW w:w="1568" w:type="dxa"/>
            <w:tcBorders>
              <w:left w:val="single" w:sz="4" w:space="0" w:color="000000"/>
              <w:bottom w:val="single" w:sz="4" w:space="0" w:color="000000"/>
              <w:right w:val="single" w:sz="4" w:space="0" w:color="000000"/>
            </w:tcBorders>
            <w:shd w:val="clear" w:color="auto" w:fill="auto"/>
          </w:tcPr>
          <w:p w14:paraId="36E7F38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供暖费</w:t>
            </w:r>
          </w:p>
          <w:p w14:paraId="7B778C5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（元/月•平方米）</w:t>
            </w:r>
          </w:p>
        </w:tc>
      </w:tr>
      <w:tr w:rsidR="00771ECA" w14:paraId="1D0D9C4C" w14:textId="77777777">
        <w:trPr>
          <w:trHeight w:val="177"/>
          <w:jc w:val="center"/>
        </w:trPr>
        <w:tc>
          <w:tcPr>
            <w:tcW w:w="703" w:type="dxa"/>
            <w:tcBorders>
              <w:left w:val="single" w:sz="4" w:space="0" w:color="000000"/>
              <w:bottom w:val="single" w:sz="4" w:space="0" w:color="000000"/>
            </w:tcBorders>
            <w:shd w:val="clear" w:color="auto" w:fill="auto"/>
            <w:vAlign w:val="center"/>
          </w:tcPr>
          <w:p w14:paraId="5078F172"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1</w:t>
            </w:r>
          </w:p>
        </w:tc>
        <w:tc>
          <w:tcPr>
            <w:tcW w:w="1741" w:type="dxa"/>
            <w:tcBorders>
              <w:left w:val="single" w:sz="4" w:space="0" w:color="000000"/>
              <w:bottom w:val="single" w:sz="4" w:space="0" w:color="000000"/>
            </w:tcBorders>
            <w:shd w:val="clear" w:color="auto" w:fill="auto"/>
            <w:vAlign w:val="center"/>
          </w:tcPr>
          <w:p w14:paraId="4AD387D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明月听蘭</w:t>
            </w:r>
          </w:p>
        </w:tc>
        <w:tc>
          <w:tcPr>
            <w:tcW w:w="1082" w:type="dxa"/>
            <w:tcBorders>
              <w:left w:val="single" w:sz="4" w:space="0" w:color="000000"/>
              <w:bottom w:val="single" w:sz="4" w:space="0" w:color="000000"/>
            </w:tcBorders>
            <w:shd w:val="clear" w:color="auto" w:fill="auto"/>
            <w:vAlign w:val="center"/>
          </w:tcPr>
          <w:p w14:paraId="3010273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三居</w:t>
            </w:r>
          </w:p>
        </w:tc>
        <w:tc>
          <w:tcPr>
            <w:tcW w:w="1095" w:type="dxa"/>
            <w:tcBorders>
              <w:left w:val="single" w:sz="4" w:space="0" w:color="000000"/>
              <w:bottom w:val="single" w:sz="4" w:space="0" w:color="000000"/>
            </w:tcBorders>
            <w:shd w:val="clear" w:color="auto" w:fill="auto"/>
            <w:vAlign w:val="center"/>
          </w:tcPr>
          <w:p w14:paraId="76BE35F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约100</w:t>
            </w:r>
          </w:p>
        </w:tc>
        <w:tc>
          <w:tcPr>
            <w:tcW w:w="1753" w:type="dxa"/>
            <w:tcBorders>
              <w:left w:val="single" w:sz="4" w:space="0" w:color="000000"/>
              <w:bottom w:val="single" w:sz="4" w:space="0" w:color="000000"/>
            </w:tcBorders>
            <w:shd w:val="clear" w:color="auto" w:fill="auto"/>
            <w:vAlign w:val="center"/>
          </w:tcPr>
          <w:p w14:paraId="7A29004C"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78</w:t>
            </w:r>
          </w:p>
        </w:tc>
        <w:tc>
          <w:tcPr>
            <w:tcW w:w="1583" w:type="dxa"/>
            <w:tcBorders>
              <w:left w:val="single" w:sz="4" w:space="0" w:color="000000"/>
              <w:bottom w:val="single" w:sz="4" w:space="0" w:color="000000"/>
            </w:tcBorders>
            <w:shd w:val="clear" w:color="auto" w:fill="auto"/>
            <w:vAlign w:val="center"/>
          </w:tcPr>
          <w:p w14:paraId="11FD4D0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5.68</w:t>
            </w:r>
          </w:p>
        </w:tc>
        <w:tc>
          <w:tcPr>
            <w:tcW w:w="1568" w:type="dxa"/>
            <w:tcBorders>
              <w:left w:val="single" w:sz="4" w:space="0" w:color="000000"/>
              <w:bottom w:val="single" w:sz="4" w:space="0" w:color="000000"/>
              <w:right w:val="single" w:sz="4" w:space="0" w:color="000000"/>
            </w:tcBorders>
            <w:shd w:val="clear" w:color="auto" w:fill="auto"/>
          </w:tcPr>
          <w:p w14:paraId="3D811BA0" w14:textId="77777777" w:rsidR="00771ECA"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771ECA" w14:paraId="4DB1C5C2" w14:textId="77777777">
        <w:trPr>
          <w:trHeight w:val="270"/>
          <w:jc w:val="center"/>
        </w:trPr>
        <w:tc>
          <w:tcPr>
            <w:tcW w:w="703" w:type="dxa"/>
            <w:tcBorders>
              <w:left w:val="single" w:sz="4" w:space="0" w:color="000000"/>
              <w:bottom w:val="single" w:sz="4" w:space="0" w:color="000000"/>
            </w:tcBorders>
            <w:shd w:val="clear" w:color="auto" w:fill="auto"/>
            <w:vAlign w:val="center"/>
          </w:tcPr>
          <w:p w14:paraId="2E31DAEA"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2</w:t>
            </w:r>
          </w:p>
        </w:tc>
        <w:tc>
          <w:tcPr>
            <w:tcW w:w="1741" w:type="dxa"/>
            <w:tcBorders>
              <w:left w:val="single" w:sz="4" w:space="0" w:color="000000"/>
              <w:bottom w:val="single" w:sz="4" w:space="0" w:color="000000"/>
            </w:tcBorders>
            <w:shd w:val="clear" w:color="auto" w:fill="auto"/>
            <w:vAlign w:val="center"/>
          </w:tcPr>
          <w:p w14:paraId="49A80B8A"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北京经开·汀塘</w:t>
            </w:r>
          </w:p>
        </w:tc>
        <w:tc>
          <w:tcPr>
            <w:tcW w:w="1082" w:type="dxa"/>
            <w:tcBorders>
              <w:left w:val="single" w:sz="4" w:space="0" w:color="000000"/>
              <w:bottom w:val="single" w:sz="4" w:space="0" w:color="000000"/>
            </w:tcBorders>
            <w:shd w:val="clear" w:color="auto" w:fill="auto"/>
            <w:vAlign w:val="center"/>
          </w:tcPr>
          <w:p w14:paraId="4ECF806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shd w:val="clear" w:color="auto" w:fill="auto"/>
            <w:vAlign w:val="center"/>
          </w:tcPr>
          <w:p w14:paraId="097CDB8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约85</w:t>
            </w:r>
          </w:p>
        </w:tc>
        <w:tc>
          <w:tcPr>
            <w:tcW w:w="1753" w:type="dxa"/>
            <w:tcBorders>
              <w:left w:val="single" w:sz="4" w:space="0" w:color="000000"/>
              <w:bottom w:val="single" w:sz="4" w:space="0" w:color="000000"/>
            </w:tcBorders>
            <w:shd w:val="clear" w:color="auto" w:fill="auto"/>
            <w:vAlign w:val="center"/>
          </w:tcPr>
          <w:p w14:paraId="15FDF50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75</w:t>
            </w:r>
          </w:p>
        </w:tc>
        <w:tc>
          <w:tcPr>
            <w:tcW w:w="1583" w:type="dxa"/>
            <w:tcBorders>
              <w:left w:val="single" w:sz="4" w:space="0" w:color="000000"/>
              <w:bottom w:val="single" w:sz="4" w:space="0" w:color="000000"/>
            </w:tcBorders>
            <w:shd w:val="clear" w:color="auto" w:fill="auto"/>
            <w:vAlign w:val="center"/>
          </w:tcPr>
          <w:p w14:paraId="4AACD49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3.8</w:t>
            </w:r>
          </w:p>
        </w:tc>
        <w:tc>
          <w:tcPr>
            <w:tcW w:w="1568" w:type="dxa"/>
            <w:tcBorders>
              <w:left w:val="single" w:sz="4" w:space="0" w:color="000000"/>
              <w:bottom w:val="single" w:sz="4" w:space="0" w:color="000000"/>
              <w:right w:val="single" w:sz="4" w:space="0" w:color="000000"/>
            </w:tcBorders>
            <w:shd w:val="clear" w:color="auto" w:fill="auto"/>
          </w:tcPr>
          <w:p w14:paraId="6365A682" w14:textId="77777777" w:rsidR="00771ECA"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771ECA" w14:paraId="02E61DE2" w14:textId="77777777">
        <w:trPr>
          <w:trHeight w:val="270"/>
          <w:jc w:val="center"/>
        </w:trPr>
        <w:tc>
          <w:tcPr>
            <w:tcW w:w="703" w:type="dxa"/>
            <w:tcBorders>
              <w:left w:val="single" w:sz="4" w:space="0" w:color="000000"/>
              <w:bottom w:val="single" w:sz="4" w:space="0" w:color="000000"/>
            </w:tcBorders>
            <w:shd w:val="clear" w:color="auto" w:fill="auto"/>
            <w:vAlign w:val="center"/>
          </w:tcPr>
          <w:p w14:paraId="37FC78F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3</w:t>
            </w:r>
          </w:p>
        </w:tc>
        <w:tc>
          <w:tcPr>
            <w:tcW w:w="1741" w:type="dxa"/>
            <w:tcBorders>
              <w:left w:val="single" w:sz="4" w:space="0" w:color="000000"/>
              <w:bottom w:val="single" w:sz="4" w:space="0" w:color="000000"/>
            </w:tcBorders>
            <w:shd w:val="clear" w:color="auto" w:fill="auto"/>
            <w:vAlign w:val="center"/>
          </w:tcPr>
          <w:p w14:paraId="6BB9A59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通泰国际公馆</w:t>
            </w:r>
          </w:p>
        </w:tc>
        <w:tc>
          <w:tcPr>
            <w:tcW w:w="1082" w:type="dxa"/>
            <w:tcBorders>
              <w:left w:val="single" w:sz="4" w:space="0" w:color="000000"/>
              <w:bottom w:val="single" w:sz="4" w:space="0" w:color="000000"/>
            </w:tcBorders>
            <w:shd w:val="clear" w:color="auto" w:fill="auto"/>
            <w:vAlign w:val="center"/>
          </w:tcPr>
          <w:p w14:paraId="4C12C0D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shd w:val="clear" w:color="auto" w:fill="auto"/>
            <w:vAlign w:val="center"/>
          </w:tcPr>
          <w:p w14:paraId="067BCA8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约90</w:t>
            </w:r>
          </w:p>
        </w:tc>
        <w:tc>
          <w:tcPr>
            <w:tcW w:w="1753" w:type="dxa"/>
            <w:tcBorders>
              <w:left w:val="single" w:sz="4" w:space="0" w:color="000000"/>
              <w:bottom w:val="single" w:sz="4" w:space="0" w:color="000000"/>
            </w:tcBorders>
            <w:shd w:val="clear" w:color="auto" w:fill="auto"/>
            <w:vAlign w:val="center"/>
          </w:tcPr>
          <w:p w14:paraId="5614494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75</w:t>
            </w:r>
          </w:p>
        </w:tc>
        <w:tc>
          <w:tcPr>
            <w:tcW w:w="1583" w:type="dxa"/>
            <w:tcBorders>
              <w:left w:val="single" w:sz="4" w:space="0" w:color="000000"/>
              <w:bottom w:val="single" w:sz="4" w:space="0" w:color="000000"/>
            </w:tcBorders>
            <w:shd w:val="clear" w:color="auto" w:fill="auto"/>
            <w:vAlign w:val="center"/>
          </w:tcPr>
          <w:p w14:paraId="634CB64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3.28</w:t>
            </w:r>
          </w:p>
        </w:tc>
        <w:tc>
          <w:tcPr>
            <w:tcW w:w="1568" w:type="dxa"/>
            <w:tcBorders>
              <w:left w:val="single" w:sz="4" w:space="0" w:color="000000"/>
              <w:bottom w:val="single" w:sz="4" w:space="0" w:color="000000"/>
              <w:right w:val="single" w:sz="4" w:space="0" w:color="000000"/>
            </w:tcBorders>
            <w:shd w:val="clear" w:color="auto" w:fill="auto"/>
          </w:tcPr>
          <w:p w14:paraId="10FADC67" w14:textId="77777777" w:rsidR="00771ECA"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771ECA" w14:paraId="211E1E4A" w14:textId="77777777">
        <w:trPr>
          <w:trHeight w:val="270"/>
          <w:jc w:val="center"/>
        </w:trPr>
        <w:tc>
          <w:tcPr>
            <w:tcW w:w="703" w:type="dxa"/>
            <w:tcBorders>
              <w:left w:val="single" w:sz="4" w:space="0" w:color="000000"/>
              <w:bottom w:val="single" w:sz="4" w:space="0" w:color="000000"/>
            </w:tcBorders>
            <w:shd w:val="clear" w:color="auto" w:fill="auto"/>
            <w:vAlign w:val="center"/>
          </w:tcPr>
          <w:p w14:paraId="51151EF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4</w:t>
            </w:r>
          </w:p>
        </w:tc>
        <w:tc>
          <w:tcPr>
            <w:tcW w:w="1741" w:type="dxa"/>
            <w:tcBorders>
              <w:left w:val="single" w:sz="4" w:space="0" w:color="000000"/>
              <w:bottom w:val="single" w:sz="4" w:space="0" w:color="000000"/>
            </w:tcBorders>
            <w:shd w:val="clear" w:color="auto" w:fill="auto"/>
            <w:vAlign w:val="center"/>
          </w:tcPr>
          <w:p w14:paraId="325309D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次渠南里</w:t>
            </w:r>
          </w:p>
        </w:tc>
        <w:tc>
          <w:tcPr>
            <w:tcW w:w="1082" w:type="dxa"/>
            <w:tcBorders>
              <w:left w:val="single" w:sz="4" w:space="0" w:color="000000"/>
              <w:bottom w:val="single" w:sz="4" w:space="0" w:color="000000"/>
            </w:tcBorders>
            <w:shd w:val="clear" w:color="auto" w:fill="auto"/>
            <w:vAlign w:val="center"/>
          </w:tcPr>
          <w:p w14:paraId="36AC2DA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shd w:val="clear" w:color="auto" w:fill="auto"/>
            <w:vAlign w:val="center"/>
          </w:tcPr>
          <w:p w14:paraId="065F54C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约110</w:t>
            </w:r>
          </w:p>
        </w:tc>
        <w:tc>
          <w:tcPr>
            <w:tcW w:w="1753" w:type="dxa"/>
            <w:tcBorders>
              <w:left w:val="single" w:sz="4" w:space="0" w:color="000000"/>
              <w:bottom w:val="single" w:sz="4" w:space="0" w:color="000000"/>
            </w:tcBorders>
            <w:shd w:val="clear" w:color="auto" w:fill="auto"/>
            <w:vAlign w:val="center"/>
          </w:tcPr>
          <w:p w14:paraId="12432CBC"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60</w:t>
            </w:r>
          </w:p>
        </w:tc>
        <w:tc>
          <w:tcPr>
            <w:tcW w:w="1583" w:type="dxa"/>
            <w:tcBorders>
              <w:left w:val="single" w:sz="4" w:space="0" w:color="000000"/>
              <w:bottom w:val="single" w:sz="4" w:space="0" w:color="000000"/>
            </w:tcBorders>
            <w:shd w:val="clear" w:color="auto" w:fill="auto"/>
            <w:vAlign w:val="center"/>
          </w:tcPr>
          <w:p w14:paraId="3617D9C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2</w:t>
            </w:r>
          </w:p>
        </w:tc>
        <w:tc>
          <w:tcPr>
            <w:tcW w:w="1568" w:type="dxa"/>
            <w:tcBorders>
              <w:left w:val="single" w:sz="4" w:space="0" w:color="000000"/>
              <w:bottom w:val="single" w:sz="4" w:space="0" w:color="000000"/>
              <w:right w:val="single" w:sz="4" w:space="0" w:color="000000"/>
            </w:tcBorders>
            <w:shd w:val="clear" w:color="auto" w:fill="auto"/>
          </w:tcPr>
          <w:p w14:paraId="4C097018" w14:textId="77777777" w:rsidR="00771ECA"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771ECA" w14:paraId="1DC79E4A" w14:textId="77777777">
        <w:trPr>
          <w:trHeight w:val="270"/>
          <w:jc w:val="center"/>
        </w:trPr>
        <w:tc>
          <w:tcPr>
            <w:tcW w:w="703" w:type="dxa"/>
            <w:tcBorders>
              <w:top w:val="single" w:sz="4" w:space="0" w:color="000000"/>
              <w:left w:val="single" w:sz="4" w:space="0" w:color="000000"/>
              <w:bottom w:val="single" w:sz="4" w:space="0" w:color="000000"/>
            </w:tcBorders>
            <w:shd w:val="clear" w:color="auto" w:fill="auto"/>
            <w:vAlign w:val="center"/>
          </w:tcPr>
          <w:p w14:paraId="1B7CC0F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5</w:t>
            </w:r>
          </w:p>
        </w:tc>
        <w:tc>
          <w:tcPr>
            <w:tcW w:w="1741" w:type="dxa"/>
            <w:tcBorders>
              <w:top w:val="single" w:sz="4" w:space="0" w:color="000000"/>
              <w:left w:val="single" w:sz="4" w:space="0" w:color="000000"/>
              <w:bottom w:val="single" w:sz="4" w:space="0" w:color="000000"/>
            </w:tcBorders>
            <w:shd w:val="clear" w:color="auto" w:fill="auto"/>
            <w:vAlign w:val="center"/>
          </w:tcPr>
          <w:p w14:paraId="1C04AE6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次渠锦园</w:t>
            </w:r>
          </w:p>
        </w:tc>
        <w:tc>
          <w:tcPr>
            <w:tcW w:w="1082" w:type="dxa"/>
            <w:tcBorders>
              <w:top w:val="single" w:sz="4" w:space="0" w:color="000000"/>
              <w:left w:val="single" w:sz="4" w:space="0" w:color="000000"/>
              <w:bottom w:val="single" w:sz="4" w:space="0" w:color="000000"/>
            </w:tcBorders>
            <w:shd w:val="clear" w:color="auto" w:fill="auto"/>
            <w:vAlign w:val="center"/>
          </w:tcPr>
          <w:p w14:paraId="7AA2C4D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一居</w:t>
            </w:r>
          </w:p>
        </w:tc>
        <w:tc>
          <w:tcPr>
            <w:tcW w:w="1095" w:type="dxa"/>
            <w:tcBorders>
              <w:top w:val="single" w:sz="4" w:space="0" w:color="000000"/>
              <w:left w:val="single" w:sz="4" w:space="0" w:color="000000"/>
              <w:bottom w:val="single" w:sz="4" w:space="0" w:color="000000"/>
            </w:tcBorders>
            <w:shd w:val="clear" w:color="auto" w:fill="auto"/>
            <w:vAlign w:val="center"/>
          </w:tcPr>
          <w:p w14:paraId="51661A6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约50</w:t>
            </w:r>
          </w:p>
        </w:tc>
        <w:tc>
          <w:tcPr>
            <w:tcW w:w="1753" w:type="dxa"/>
            <w:tcBorders>
              <w:top w:val="single" w:sz="4" w:space="0" w:color="000000"/>
              <w:left w:val="single" w:sz="4" w:space="0" w:color="000000"/>
              <w:bottom w:val="single" w:sz="4" w:space="0" w:color="000000"/>
            </w:tcBorders>
            <w:shd w:val="clear" w:color="auto" w:fill="auto"/>
            <w:vAlign w:val="center"/>
          </w:tcPr>
          <w:p w14:paraId="551011E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70</w:t>
            </w:r>
          </w:p>
        </w:tc>
        <w:tc>
          <w:tcPr>
            <w:tcW w:w="1583" w:type="dxa"/>
            <w:tcBorders>
              <w:top w:val="single" w:sz="4" w:space="0" w:color="000000"/>
              <w:left w:val="single" w:sz="4" w:space="0" w:color="000000"/>
              <w:bottom w:val="single" w:sz="4" w:space="0" w:color="000000"/>
            </w:tcBorders>
            <w:shd w:val="clear" w:color="auto" w:fill="auto"/>
            <w:vAlign w:val="center"/>
          </w:tcPr>
          <w:p w14:paraId="648A8F2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1</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14:paraId="32A2774D" w14:textId="77777777" w:rsidR="00771ECA"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771ECA" w14:paraId="525ADCA7" w14:textId="77777777">
        <w:trPr>
          <w:trHeight w:val="270"/>
          <w:jc w:val="center"/>
        </w:trPr>
        <w:tc>
          <w:tcPr>
            <w:tcW w:w="703" w:type="dxa"/>
            <w:tcBorders>
              <w:top w:val="single" w:sz="4" w:space="0" w:color="000000"/>
              <w:left w:val="single" w:sz="4" w:space="0" w:color="000000"/>
              <w:bottom w:val="single" w:sz="4" w:space="0" w:color="000000"/>
            </w:tcBorders>
            <w:shd w:val="clear" w:color="auto" w:fill="auto"/>
            <w:vAlign w:val="center"/>
          </w:tcPr>
          <w:p w14:paraId="0E10442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6</w:t>
            </w:r>
          </w:p>
        </w:tc>
        <w:tc>
          <w:tcPr>
            <w:tcW w:w="1741" w:type="dxa"/>
            <w:tcBorders>
              <w:top w:val="single" w:sz="4" w:space="0" w:color="000000"/>
              <w:left w:val="single" w:sz="4" w:space="0" w:color="000000"/>
              <w:bottom w:val="single" w:sz="4" w:space="0" w:color="000000"/>
            </w:tcBorders>
            <w:shd w:val="clear" w:color="auto" w:fill="auto"/>
            <w:vAlign w:val="center"/>
          </w:tcPr>
          <w:p w14:paraId="2112E8F4"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次渠嘉园</w:t>
            </w:r>
          </w:p>
        </w:tc>
        <w:tc>
          <w:tcPr>
            <w:tcW w:w="1082" w:type="dxa"/>
            <w:tcBorders>
              <w:top w:val="single" w:sz="4" w:space="0" w:color="000000"/>
              <w:left w:val="single" w:sz="4" w:space="0" w:color="000000"/>
              <w:bottom w:val="single" w:sz="4" w:space="0" w:color="000000"/>
            </w:tcBorders>
            <w:shd w:val="clear" w:color="auto" w:fill="auto"/>
            <w:vAlign w:val="center"/>
          </w:tcPr>
          <w:p w14:paraId="6D7FA43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top w:val="single" w:sz="4" w:space="0" w:color="000000"/>
              <w:left w:val="single" w:sz="4" w:space="0" w:color="000000"/>
              <w:bottom w:val="single" w:sz="4" w:space="0" w:color="000000"/>
            </w:tcBorders>
            <w:shd w:val="clear" w:color="auto" w:fill="auto"/>
            <w:vAlign w:val="center"/>
          </w:tcPr>
          <w:p w14:paraId="54CCC2E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约70</w:t>
            </w:r>
          </w:p>
        </w:tc>
        <w:tc>
          <w:tcPr>
            <w:tcW w:w="1753" w:type="dxa"/>
            <w:tcBorders>
              <w:top w:val="single" w:sz="4" w:space="0" w:color="000000"/>
              <w:left w:val="single" w:sz="4" w:space="0" w:color="000000"/>
              <w:bottom w:val="single" w:sz="4" w:space="0" w:color="000000"/>
            </w:tcBorders>
            <w:shd w:val="clear" w:color="auto" w:fill="auto"/>
            <w:vAlign w:val="center"/>
          </w:tcPr>
          <w:p w14:paraId="4E5EE73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70</w:t>
            </w:r>
          </w:p>
        </w:tc>
        <w:tc>
          <w:tcPr>
            <w:tcW w:w="1583" w:type="dxa"/>
            <w:tcBorders>
              <w:top w:val="single" w:sz="4" w:space="0" w:color="000000"/>
              <w:left w:val="single" w:sz="4" w:space="0" w:color="000000"/>
              <w:bottom w:val="single" w:sz="4" w:space="0" w:color="000000"/>
            </w:tcBorders>
            <w:shd w:val="clear" w:color="auto" w:fill="auto"/>
            <w:vAlign w:val="center"/>
          </w:tcPr>
          <w:p w14:paraId="29D9497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1</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14:paraId="0FE4AA0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2.5</w:t>
            </w:r>
          </w:p>
        </w:tc>
      </w:tr>
    </w:tbl>
    <w:p w14:paraId="02CFC8EA" w14:textId="77777777" w:rsidR="00771ECA" w:rsidRDefault="00000000">
      <w:pPr>
        <w:pStyle w:val="LO-Normal"/>
        <w:autoSpaceDE w:val="0"/>
        <w:spacing w:before="240" w:line="480" w:lineRule="auto"/>
        <w:ind w:firstLine="420"/>
        <w:jc w:val="both"/>
        <w:textAlignment w:val="bottom"/>
        <w:rPr>
          <w:rFonts w:cs="Arial"/>
        </w:rPr>
      </w:pPr>
      <w:r>
        <w:rPr>
          <w:rFonts w:ascii="Arial" w:hAnsi="Arial" w:cs="Arial"/>
          <w:color w:val="000000"/>
          <w:sz w:val="21"/>
          <w:szCs w:val="21"/>
        </w:rPr>
        <w:t>估价对象周边小区较多，本次采用距离优先原则，综合区位、小区规模、户型结构等因素筛选住房小区作为本次估价对象租金的可比实例，最终选取了明月听蘭、北京经开</w:t>
      </w:r>
      <w:r>
        <w:rPr>
          <w:rFonts w:ascii="Arial" w:hAnsi="Arial" w:cs="Arial"/>
          <w:color w:val="000000"/>
          <w:sz w:val="21"/>
          <w:szCs w:val="21"/>
        </w:rPr>
        <w:t>·</w:t>
      </w:r>
      <w:r>
        <w:rPr>
          <w:rFonts w:ascii="Arial" w:hAnsi="Arial" w:cs="Arial"/>
          <w:color w:val="000000"/>
          <w:sz w:val="21"/>
          <w:szCs w:val="21"/>
        </w:rPr>
        <w:t>汀塘、通泰国际公馆</w:t>
      </w:r>
      <w:r>
        <w:rPr>
          <w:rFonts w:ascii="Arial" w:hAnsi="Arial" w:cs="Arial"/>
          <w:color w:val="000000"/>
          <w:sz w:val="21"/>
          <w:szCs w:val="21"/>
        </w:rPr>
        <w:t>3</w:t>
      </w:r>
      <w:r>
        <w:rPr>
          <w:rFonts w:ascii="Arial" w:hAnsi="Arial" w:cs="Arial"/>
          <w:color w:val="000000"/>
          <w:sz w:val="21"/>
          <w:szCs w:val="21"/>
        </w:rPr>
        <w:t>个普通商品房住宅小区为样本小区，具体如下：</w:t>
      </w:r>
    </w:p>
    <w:tbl>
      <w:tblPr>
        <w:tblW w:w="9525" w:type="dxa"/>
        <w:tblInd w:w="-113" w:type="dxa"/>
        <w:tblLook w:val="04A0" w:firstRow="1" w:lastRow="0" w:firstColumn="1" w:lastColumn="0" w:noHBand="0" w:noVBand="1"/>
      </w:tblPr>
      <w:tblGrid>
        <w:gridCol w:w="1101"/>
        <w:gridCol w:w="2693"/>
        <w:gridCol w:w="2268"/>
        <w:gridCol w:w="3463"/>
      </w:tblGrid>
      <w:tr w:rsidR="00771ECA" w14:paraId="3F8C3248" w14:textId="77777777">
        <w:trPr>
          <w:trHeight w:val="283"/>
        </w:trPr>
        <w:tc>
          <w:tcPr>
            <w:tcW w:w="1101" w:type="dxa"/>
            <w:tcBorders>
              <w:top w:val="single" w:sz="4" w:space="0" w:color="000000"/>
              <w:left w:val="single" w:sz="4" w:space="0" w:color="000000"/>
              <w:bottom w:val="single" w:sz="4" w:space="0" w:color="000000"/>
            </w:tcBorders>
            <w:shd w:val="clear" w:color="auto" w:fill="auto"/>
          </w:tcPr>
          <w:p w14:paraId="785B6F1A" w14:textId="77777777" w:rsidR="00771ECA" w:rsidRDefault="00000000">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序号</w:t>
            </w:r>
          </w:p>
        </w:tc>
        <w:tc>
          <w:tcPr>
            <w:tcW w:w="2693" w:type="dxa"/>
            <w:tcBorders>
              <w:top w:val="single" w:sz="4" w:space="0" w:color="000000"/>
              <w:left w:val="single" w:sz="4" w:space="0" w:color="000000"/>
              <w:bottom w:val="single" w:sz="4" w:space="0" w:color="000000"/>
            </w:tcBorders>
            <w:shd w:val="clear" w:color="auto" w:fill="auto"/>
          </w:tcPr>
          <w:p w14:paraId="66C23E31" w14:textId="77777777" w:rsidR="00771ECA" w:rsidRDefault="00000000">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小区名称</w:t>
            </w:r>
          </w:p>
        </w:tc>
        <w:tc>
          <w:tcPr>
            <w:tcW w:w="2268" w:type="dxa"/>
            <w:tcBorders>
              <w:top w:val="single" w:sz="4" w:space="0" w:color="000000"/>
              <w:left w:val="single" w:sz="4" w:space="0" w:color="000000"/>
              <w:bottom w:val="single" w:sz="4" w:space="0" w:color="000000"/>
            </w:tcBorders>
            <w:shd w:val="clear" w:color="auto" w:fill="auto"/>
          </w:tcPr>
          <w:p w14:paraId="44D8D769" w14:textId="77777777" w:rsidR="00771ECA" w:rsidRDefault="00000000">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建成年代（年）</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14:paraId="4DCCA96A" w14:textId="77777777" w:rsidR="00771ECA" w:rsidRDefault="00000000">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与估价对象直线距离</w:t>
            </w:r>
          </w:p>
        </w:tc>
      </w:tr>
      <w:tr w:rsidR="00771ECA" w14:paraId="4A127D67" w14:textId="77777777">
        <w:trPr>
          <w:trHeight w:val="283"/>
        </w:trPr>
        <w:tc>
          <w:tcPr>
            <w:tcW w:w="1101" w:type="dxa"/>
            <w:tcBorders>
              <w:top w:val="single" w:sz="4" w:space="0" w:color="000000"/>
              <w:left w:val="single" w:sz="4" w:space="0" w:color="000000"/>
              <w:bottom w:val="single" w:sz="4" w:space="0" w:color="000000"/>
            </w:tcBorders>
            <w:shd w:val="clear" w:color="auto" w:fill="auto"/>
          </w:tcPr>
          <w:p w14:paraId="0071C7C8"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1</w:t>
            </w:r>
          </w:p>
        </w:tc>
        <w:tc>
          <w:tcPr>
            <w:tcW w:w="2693" w:type="dxa"/>
            <w:tcBorders>
              <w:top w:val="single" w:sz="4" w:space="0" w:color="000000"/>
              <w:left w:val="single" w:sz="4" w:space="0" w:color="000000"/>
              <w:bottom w:val="single" w:sz="4" w:space="0" w:color="000000"/>
            </w:tcBorders>
            <w:shd w:val="clear" w:color="auto" w:fill="auto"/>
            <w:vAlign w:val="center"/>
          </w:tcPr>
          <w:p w14:paraId="2809EC0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明月听蘭</w:t>
            </w:r>
          </w:p>
        </w:tc>
        <w:tc>
          <w:tcPr>
            <w:tcW w:w="2268" w:type="dxa"/>
            <w:tcBorders>
              <w:top w:val="single" w:sz="4" w:space="0" w:color="000000"/>
              <w:left w:val="single" w:sz="4" w:space="0" w:color="000000"/>
              <w:bottom w:val="single" w:sz="4" w:space="0" w:color="000000"/>
            </w:tcBorders>
            <w:shd w:val="clear" w:color="auto" w:fill="auto"/>
          </w:tcPr>
          <w:p w14:paraId="1FB1382B"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2023</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14:paraId="6CC48440" w14:textId="77777777" w:rsidR="00771ECA" w:rsidRDefault="00000000">
            <w:pPr>
              <w:pStyle w:val="Default"/>
              <w:jc w:val="center"/>
            </w:pPr>
            <w:r>
              <w:rPr>
                <w:rFonts w:ascii="华文细黑" w:eastAsia="华文细黑" w:hAnsi="华文细黑" w:cs="华文细黑"/>
                <w:sz w:val="18"/>
                <w:szCs w:val="18"/>
              </w:rPr>
              <w:t>约2800米</w:t>
            </w:r>
          </w:p>
        </w:tc>
      </w:tr>
      <w:tr w:rsidR="00771ECA" w14:paraId="4832AA1F" w14:textId="77777777">
        <w:trPr>
          <w:trHeight w:val="283"/>
        </w:trPr>
        <w:tc>
          <w:tcPr>
            <w:tcW w:w="1101" w:type="dxa"/>
            <w:tcBorders>
              <w:top w:val="single" w:sz="4" w:space="0" w:color="000000"/>
              <w:left w:val="single" w:sz="4" w:space="0" w:color="000000"/>
              <w:bottom w:val="single" w:sz="4" w:space="0" w:color="000000"/>
            </w:tcBorders>
            <w:shd w:val="clear" w:color="auto" w:fill="auto"/>
          </w:tcPr>
          <w:p w14:paraId="4261BB19"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w:t>
            </w:r>
          </w:p>
        </w:tc>
        <w:tc>
          <w:tcPr>
            <w:tcW w:w="2693" w:type="dxa"/>
            <w:tcBorders>
              <w:top w:val="single" w:sz="4" w:space="0" w:color="000000"/>
              <w:left w:val="single" w:sz="4" w:space="0" w:color="000000"/>
              <w:bottom w:val="single" w:sz="4" w:space="0" w:color="000000"/>
            </w:tcBorders>
            <w:shd w:val="clear" w:color="auto" w:fill="auto"/>
            <w:vAlign w:val="center"/>
          </w:tcPr>
          <w:p w14:paraId="3A53906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北京经开·汀塘</w:t>
            </w:r>
          </w:p>
        </w:tc>
        <w:tc>
          <w:tcPr>
            <w:tcW w:w="2268" w:type="dxa"/>
            <w:tcBorders>
              <w:top w:val="single" w:sz="4" w:space="0" w:color="000000"/>
              <w:left w:val="single" w:sz="4" w:space="0" w:color="000000"/>
              <w:bottom w:val="single" w:sz="4" w:space="0" w:color="000000"/>
            </w:tcBorders>
            <w:shd w:val="clear" w:color="auto" w:fill="auto"/>
          </w:tcPr>
          <w:p w14:paraId="32D70BCB"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2019</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14:paraId="7EEC3ED0" w14:textId="77777777" w:rsidR="00771ECA" w:rsidRDefault="00000000">
            <w:pPr>
              <w:pStyle w:val="Default"/>
              <w:jc w:val="center"/>
            </w:pPr>
            <w:r>
              <w:rPr>
                <w:rFonts w:ascii="华文细黑" w:eastAsia="华文细黑" w:hAnsi="华文细黑" w:cs="华文细黑"/>
                <w:sz w:val="18"/>
                <w:szCs w:val="18"/>
              </w:rPr>
              <w:t>约700米</w:t>
            </w:r>
          </w:p>
        </w:tc>
      </w:tr>
      <w:tr w:rsidR="00771ECA" w14:paraId="33F3863E" w14:textId="77777777">
        <w:trPr>
          <w:trHeight w:val="283"/>
        </w:trPr>
        <w:tc>
          <w:tcPr>
            <w:tcW w:w="1101" w:type="dxa"/>
            <w:tcBorders>
              <w:top w:val="single" w:sz="4" w:space="0" w:color="000000"/>
              <w:left w:val="single" w:sz="4" w:space="0" w:color="000000"/>
              <w:bottom w:val="single" w:sz="4" w:space="0" w:color="000000"/>
            </w:tcBorders>
            <w:shd w:val="clear" w:color="auto" w:fill="auto"/>
          </w:tcPr>
          <w:p w14:paraId="5AB54B24"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3</w:t>
            </w:r>
          </w:p>
        </w:tc>
        <w:tc>
          <w:tcPr>
            <w:tcW w:w="2693" w:type="dxa"/>
            <w:tcBorders>
              <w:top w:val="single" w:sz="4" w:space="0" w:color="000000"/>
              <w:left w:val="single" w:sz="4" w:space="0" w:color="000000"/>
              <w:bottom w:val="single" w:sz="4" w:space="0" w:color="000000"/>
            </w:tcBorders>
            <w:shd w:val="clear" w:color="auto" w:fill="auto"/>
            <w:vAlign w:val="center"/>
          </w:tcPr>
          <w:p w14:paraId="781082C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通泰国际公馆</w:t>
            </w:r>
          </w:p>
        </w:tc>
        <w:tc>
          <w:tcPr>
            <w:tcW w:w="2268" w:type="dxa"/>
            <w:tcBorders>
              <w:top w:val="single" w:sz="4" w:space="0" w:color="000000"/>
              <w:left w:val="single" w:sz="4" w:space="0" w:color="000000"/>
              <w:bottom w:val="single" w:sz="4" w:space="0" w:color="000000"/>
            </w:tcBorders>
            <w:shd w:val="clear" w:color="auto" w:fill="auto"/>
          </w:tcPr>
          <w:p w14:paraId="2C7649A3"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2018</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14:paraId="50F3CC5A" w14:textId="77777777" w:rsidR="00771ECA" w:rsidRDefault="00000000">
            <w:pPr>
              <w:pStyle w:val="Default"/>
              <w:jc w:val="center"/>
            </w:pPr>
            <w:r>
              <w:rPr>
                <w:rFonts w:ascii="华文细黑" w:eastAsia="华文细黑" w:hAnsi="华文细黑" w:cs="华文细黑"/>
                <w:sz w:val="18"/>
                <w:szCs w:val="18"/>
              </w:rPr>
              <w:t>约1400米</w:t>
            </w:r>
          </w:p>
        </w:tc>
      </w:tr>
    </w:tbl>
    <w:p w14:paraId="2071C16E" w14:textId="77777777" w:rsidR="00771ECA" w:rsidRDefault="00000000">
      <w:pPr>
        <w:pStyle w:val="LO-Normal"/>
        <w:overflowPunct w:val="0"/>
        <w:autoSpaceDE w:val="0"/>
        <w:spacing w:before="240" w:line="480" w:lineRule="auto"/>
        <w:ind w:right="142" w:firstLine="420"/>
        <w:jc w:val="both"/>
        <w:textAlignment w:val="auto"/>
        <w:rPr>
          <w:rFonts w:ascii="Arial" w:hAnsi="Arial" w:cs="Arial"/>
          <w:color w:val="000000"/>
          <w:sz w:val="21"/>
          <w:szCs w:val="21"/>
        </w:rPr>
      </w:pPr>
      <w:r>
        <w:rPr>
          <w:rFonts w:ascii="Arial" w:hAnsi="Arial" w:cs="Arial"/>
          <w:color w:val="000000"/>
          <w:sz w:val="21"/>
          <w:szCs w:val="21"/>
        </w:rPr>
        <w:t>样本小区一：明月听蘭</w:t>
      </w:r>
    </w:p>
    <w:p w14:paraId="471668AF" w14:textId="77777777" w:rsidR="00771ECA" w:rsidRDefault="00000000">
      <w:pPr>
        <w:pStyle w:val="LO-Normal"/>
        <w:overflowPunct w:val="0"/>
        <w:autoSpaceDE w:val="0"/>
        <w:spacing w:line="480" w:lineRule="auto"/>
        <w:ind w:right="140" w:firstLine="420"/>
        <w:textAlignment w:val="auto"/>
        <w:rPr>
          <w:rFonts w:ascii="Arial" w:hAnsi="Arial" w:cs="Arial"/>
          <w:color w:val="000000"/>
          <w:sz w:val="21"/>
          <w:szCs w:val="21"/>
        </w:rPr>
      </w:pPr>
      <w:r>
        <w:rPr>
          <w:rFonts w:ascii="Arial" w:hAnsi="Arial" w:cs="Arial"/>
          <w:color w:val="000000"/>
          <w:sz w:val="21"/>
          <w:szCs w:val="21"/>
        </w:rPr>
        <w:t>明月听蘭小区位于通州区台湖新城，建成于</w:t>
      </w:r>
      <w:r>
        <w:rPr>
          <w:rFonts w:ascii="Arial" w:hAnsi="Arial" w:cs="Arial"/>
          <w:color w:val="000000"/>
          <w:sz w:val="21"/>
          <w:szCs w:val="21"/>
        </w:rPr>
        <w:t>2023</w:t>
      </w:r>
      <w:r>
        <w:rPr>
          <w:rFonts w:ascii="Arial" w:hAnsi="Arial" w:cs="Arial"/>
          <w:color w:val="000000"/>
          <w:sz w:val="21"/>
          <w:szCs w:val="21"/>
        </w:rPr>
        <w:t>年，占地面积约为</w:t>
      </w:r>
      <w:r>
        <w:rPr>
          <w:rFonts w:ascii="Arial" w:hAnsi="Arial" w:cs="Arial"/>
          <w:color w:val="000000"/>
          <w:sz w:val="21"/>
          <w:szCs w:val="21"/>
        </w:rPr>
        <w:t>23000</w:t>
      </w:r>
      <w:r>
        <w:rPr>
          <w:rFonts w:ascii="Arial" w:hAnsi="Arial" w:cs="Arial"/>
          <w:color w:val="000000"/>
          <w:sz w:val="21"/>
          <w:szCs w:val="21"/>
        </w:rPr>
        <w:t>平方米，建筑面积约为</w:t>
      </w:r>
      <w:r>
        <w:rPr>
          <w:rFonts w:ascii="Arial" w:hAnsi="Arial" w:cs="Arial"/>
          <w:color w:val="000000"/>
          <w:sz w:val="21"/>
          <w:szCs w:val="21"/>
        </w:rPr>
        <w:t>47000</w:t>
      </w:r>
      <w:r>
        <w:rPr>
          <w:rFonts w:ascii="Arial" w:hAnsi="Arial" w:cs="Arial"/>
          <w:color w:val="000000"/>
          <w:sz w:val="21"/>
          <w:szCs w:val="21"/>
        </w:rPr>
        <w:t>平方米，楼栋总数为</w:t>
      </w:r>
      <w:r>
        <w:rPr>
          <w:rFonts w:ascii="Arial" w:hAnsi="Arial" w:cs="Arial"/>
          <w:color w:val="000000"/>
          <w:sz w:val="21"/>
          <w:szCs w:val="21"/>
        </w:rPr>
        <w:t>7</w:t>
      </w:r>
      <w:r>
        <w:rPr>
          <w:rFonts w:ascii="Arial" w:hAnsi="Arial" w:cs="Arial"/>
          <w:color w:val="000000"/>
          <w:sz w:val="21"/>
          <w:szCs w:val="21"/>
        </w:rPr>
        <w:t>栋，建筑结构为钢混，共</w:t>
      </w:r>
      <w:r>
        <w:rPr>
          <w:rFonts w:ascii="Arial" w:hAnsi="Arial" w:cs="Arial"/>
          <w:color w:val="000000"/>
          <w:sz w:val="21"/>
          <w:szCs w:val="21"/>
        </w:rPr>
        <w:t>380</w:t>
      </w:r>
      <w:r>
        <w:rPr>
          <w:rFonts w:ascii="Arial" w:hAnsi="Arial" w:cs="Arial"/>
          <w:color w:val="000000"/>
          <w:sz w:val="21"/>
          <w:szCs w:val="21"/>
        </w:rPr>
        <w:t>户，建筑密度适中，环境状况较</w:t>
      </w:r>
      <w:r>
        <w:rPr>
          <w:rFonts w:ascii="Arial" w:hAnsi="Arial" w:cs="Arial"/>
          <w:color w:val="000000"/>
          <w:sz w:val="21"/>
          <w:szCs w:val="21"/>
        </w:rPr>
        <w:lastRenderedPageBreak/>
        <w:t>好，物业管理费为</w:t>
      </w:r>
      <w:r>
        <w:rPr>
          <w:rFonts w:ascii="Arial" w:hAnsi="Arial" w:cs="Arial"/>
          <w:color w:val="000000"/>
          <w:sz w:val="21"/>
          <w:szCs w:val="21"/>
        </w:rPr>
        <w:t>5.68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月，主力户型为三居室，距离估价对象约</w:t>
      </w:r>
      <w:r>
        <w:rPr>
          <w:rFonts w:ascii="Arial" w:hAnsi="Arial" w:cs="Arial"/>
          <w:color w:val="000000"/>
          <w:sz w:val="21"/>
          <w:szCs w:val="21"/>
        </w:rPr>
        <w:t>2800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41BAE59B"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样本小区二：北京经开</w:t>
      </w:r>
      <w:r>
        <w:rPr>
          <w:rFonts w:ascii="Arial" w:hAnsi="Arial" w:cs="Arial"/>
          <w:color w:val="000000"/>
          <w:sz w:val="21"/>
          <w:szCs w:val="21"/>
        </w:rPr>
        <w:t>·</w:t>
      </w:r>
      <w:r>
        <w:rPr>
          <w:rFonts w:ascii="Arial" w:hAnsi="Arial" w:cs="Arial"/>
          <w:color w:val="000000"/>
          <w:sz w:val="21"/>
          <w:szCs w:val="21"/>
        </w:rPr>
        <w:t>汀塘</w:t>
      </w:r>
    </w:p>
    <w:p w14:paraId="3A073198"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北京经开</w:t>
      </w:r>
      <w:r>
        <w:rPr>
          <w:rFonts w:ascii="Arial" w:hAnsi="Arial" w:cs="Arial"/>
          <w:color w:val="000000"/>
          <w:sz w:val="21"/>
          <w:szCs w:val="21"/>
        </w:rPr>
        <w:t>·</w:t>
      </w:r>
      <w:r>
        <w:rPr>
          <w:rFonts w:ascii="Arial" w:hAnsi="Arial" w:cs="Arial"/>
          <w:color w:val="000000"/>
          <w:sz w:val="21"/>
          <w:szCs w:val="21"/>
        </w:rPr>
        <w:t>汀塘位于亦庄经济开发区科创十一街与经海九路交汇处，建成于</w:t>
      </w:r>
      <w:r>
        <w:rPr>
          <w:rFonts w:ascii="Arial" w:hAnsi="Arial" w:cs="Arial"/>
          <w:color w:val="000000"/>
          <w:sz w:val="21"/>
          <w:szCs w:val="21"/>
        </w:rPr>
        <w:t>2019</w:t>
      </w:r>
      <w:r>
        <w:rPr>
          <w:rFonts w:ascii="Arial" w:hAnsi="Arial" w:cs="Arial"/>
          <w:color w:val="000000"/>
          <w:sz w:val="21"/>
          <w:szCs w:val="21"/>
        </w:rPr>
        <w:t>年，占地面积约为</w:t>
      </w:r>
      <w:r>
        <w:rPr>
          <w:rFonts w:ascii="Arial" w:hAnsi="Arial" w:cs="Arial"/>
          <w:color w:val="000000"/>
          <w:sz w:val="21"/>
          <w:szCs w:val="21"/>
        </w:rPr>
        <w:t>30000</w:t>
      </w:r>
      <w:r>
        <w:rPr>
          <w:rFonts w:ascii="Arial" w:hAnsi="Arial" w:cs="Arial"/>
          <w:color w:val="000000"/>
          <w:sz w:val="21"/>
          <w:szCs w:val="21"/>
        </w:rPr>
        <w:t>平方米，建筑面积约为</w:t>
      </w:r>
      <w:r>
        <w:rPr>
          <w:rFonts w:ascii="Arial" w:hAnsi="Arial" w:cs="Arial"/>
          <w:color w:val="000000"/>
          <w:sz w:val="21"/>
          <w:szCs w:val="21"/>
        </w:rPr>
        <w:t>60000</w:t>
      </w:r>
      <w:r>
        <w:rPr>
          <w:rFonts w:ascii="Arial" w:hAnsi="Arial" w:cs="Arial"/>
          <w:color w:val="000000"/>
          <w:sz w:val="21"/>
          <w:szCs w:val="21"/>
        </w:rPr>
        <w:t>平方米，楼栋总数为</w:t>
      </w:r>
      <w:r>
        <w:rPr>
          <w:rFonts w:ascii="Arial" w:hAnsi="Arial" w:cs="Arial"/>
          <w:color w:val="000000"/>
          <w:sz w:val="21"/>
          <w:szCs w:val="21"/>
        </w:rPr>
        <w:t>7</w:t>
      </w:r>
      <w:r>
        <w:rPr>
          <w:rFonts w:ascii="Arial" w:hAnsi="Arial" w:cs="Arial"/>
          <w:color w:val="000000"/>
          <w:sz w:val="21"/>
          <w:szCs w:val="21"/>
        </w:rPr>
        <w:t>栋，建筑结构为钢混，共</w:t>
      </w:r>
      <w:r>
        <w:rPr>
          <w:rFonts w:ascii="Arial" w:hAnsi="Arial" w:cs="Arial"/>
          <w:color w:val="000000"/>
          <w:sz w:val="21"/>
          <w:szCs w:val="21"/>
        </w:rPr>
        <w:t>430</w:t>
      </w:r>
      <w:r>
        <w:rPr>
          <w:rFonts w:ascii="Arial" w:hAnsi="Arial" w:cs="Arial"/>
          <w:color w:val="000000"/>
          <w:sz w:val="21"/>
          <w:szCs w:val="21"/>
        </w:rPr>
        <w:t>户，建筑密度适中，环境状况较好，物业管理费为</w:t>
      </w:r>
      <w:r>
        <w:rPr>
          <w:rFonts w:ascii="Arial" w:hAnsi="Arial" w:cs="Arial"/>
          <w:color w:val="000000"/>
          <w:sz w:val="21"/>
          <w:szCs w:val="21"/>
        </w:rPr>
        <w:t>3.8/</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月，主力户型为二居室，距离估价对象约</w:t>
      </w:r>
      <w:r>
        <w:rPr>
          <w:rFonts w:ascii="Arial" w:hAnsi="Arial" w:cs="Arial"/>
          <w:color w:val="000000"/>
          <w:sz w:val="21"/>
          <w:szCs w:val="21"/>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4106563B"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样本小区三：通泰国际公馆</w:t>
      </w:r>
    </w:p>
    <w:p w14:paraId="2B26F040"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通泰国际公馆位于</w:t>
      </w:r>
      <w:r>
        <w:rPr>
          <w:rFonts w:ascii="Roboto" w:hAnsi="Roboto" w:cs="Roboto"/>
          <w:color w:val="1C1B1B"/>
          <w:sz w:val="21"/>
          <w:szCs w:val="21"/>
          <w:shd w:val="clear" w:color="auto" w:fill="FFFFFF"/>
        </w:rPr>
        <w:t>亦庄经济技术开发区科创十三街</w:t>
      </w:r>
      <w:r>
        <w:rPr>
          <w:rFonts w:ascii="Arial" w:hAnsi="Arial" w:cs="Arial"/>
          <w:color w:val="000000"/>
          <w:sz w:val="21"/>
          <w:szCs w:val="21"/>
        </w:rPr>
        <w:t>，建成于</w:t>
      </w:r>
      <w:r>
        <w:rPr>
          <w:rFonts w:ascii="Arial" w:hAnsi="Arial" w:cs="Arial"/>
          <w:color w:val="000000"/>
          <w:sz w:val="21"/>
          <w:szCs w:val="21"/>
        </w:rPr>
        <w:t>2018</w:t>
      </w:r>
      <w:r>
        <w:rPr>
          <w:rFonts w:ascii="Arial" w:hAnsi="Arial" w:cs="Arial"/>
          <w:color w:val="000000"/>
          <w:sz w:val="21"/>
          <w:szCs w:val="21"/>
        </w:rPr>
        <w:t>年，占地面积约为</w:t>
      </w:r>
      <w:r>
        <w:rPr>
          <w:rFonts w:ascii="Arial" w:hAnsi="Arial" w:cs="Arial"/>
          <w:color w:val="000000"/>
          <w:sz w:val="21"/>
          <w:szCs w:val="21"/>
        </w:rPr>
        <w:t>75000</w:t>
      </w:r>
      <w:r>
        <w:rPr>
          <w:rFonts w:ascii="Arial" w:hAnsi="Arial" w:cs="Arial"/>
          <w:color w:val="000000"/>
          <w:sz w:val="21"/>
          <w:szCs w:val="21"/>
        </w:rPr>
        <w:t>平方米，建筑面积约</w:t>
      </w:r>
      <w:r>
        <w:rPr>
          <w:rFonts w:ascii="Arial" w:hAnsi="Arial" w:cs="Arial"/>
          <w:color w:val="000000"/>
          <w:sz w:val="21"/>
          <w:szCs w:val="21"/>
        </w:rPr>
        <w:t>226000</w:t>
      </w:r>
      <w:r>
        <w:rPr>
          <w:rFonts w:ascii="Arial" w:hAnsi="Arial" w:cs="Arial"/>
          <w:color w:val="000000"/>
          <w:sz w:val="21"/>
          <w:szCs w:val="21"/>
        </w:rPr>
        <w:t>平方米，楼栋总数为</w:t>
      </w:r>
      <w:r>
        <w:rPr>
          <w:rFonts w:ascii="Arial" w:hAnsi="Arial" w:cs="Arial"/>
          <w:color w:val="000000"/>
          <w:sz w:val="21"/>
          <w:szCs w:val="21"/>
        </w:rPr>
        <w:t>24</w:t>
      </w:r>
      <w:r>
        <w:rPr>
          <w:rFonts w:ascii="Arial" w:hAnsi="Arial" w:cs="Arial"/>
          <w:color w:val="000000"/>
          <w:sz w:val="21"/>
          <w:szCs w:val="21"/>
        </w:rPr>
        <w:t>栋，建筑结构为钢混，共</w:t>
      </w:r>
      <w:r>
        <w:rPr>
          <w:rFonts w:ascii="Arial" w:hAnsi="Arial" w:cs="Arial"/>
          <w:color w:val="000000"/>
          <w:sz w:val="21"/>
          <w:szCs w:val="21"/>
        </w:rPr>
        <w:t>1131</w:t>
      </w:r>
      <w:r>
        <w:rPr>
          <w:rFonts w:ascii="Arial" w:hAnsi="Arial" w:cs="Arial"/>
          <w:color w:val="000000"/>
          <w:sz w:val="21"/>
          <w:szCs w:val="21"/>
        </w:rPr>
        <w:t>户，建筑密度适中，环境状况较好，物业管理费为</w:t>
      </w:r>
      <w:r>
        <w:rPr>
          <w:rFonts w:ascii="Arial" w:hAnsi="Arial" w:cs="Arial"/>
          <w:color w:val="000000"/>
          <w:sz w:val="21"/>
          <w:szCs w:val="21"/>
        </w:rPr>
        <w:t>3.28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月，主力户型为二居室，距离估价对象约</w:t>
      </w:r>
      <w:r>
        <w:rPr>
          <w:rFonts w:ascii="Arial" w:hAnsi="Arial" w:cs="Arial"/>
          <w:color w:val="000000"/>
          <w:sz w:val="21"/>
          <w:szCs w:val="21"/>
        </w:rPr>
        <w:t>1400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0FDB806C" w14:textId="77777777" w:rsidR="00771ECA" w:rsidRDefault="00000000">
      <w:pPr>
        <w:pStyle w:val="LO-Normal"/>
        <w:autoSpaceDE w:val="0"/>
        <w:spacing w:line="480" w:lineRule="auto"/>
        <w:ind w:firstLine="420"/>
        <w:jc w:val="center"/>
        <w:textAlignment w:val="bottom"/>
      </w:pPr>
      <w:r>
        <w:rPr>
          <w:rFonts w:ascii="Arial" w:hAnsi="Arial" w:cs="Arial"/>
          <w:color w:val="000000"/>
          <w:sz w:val="21"/>
          <w:szCs w:val="21"/>
        </w:rPr>
        <w:t>估价对象及样本小区位置示意图</w:t>
      </w:r>
    </w:p>
    <w:p w14:paraId="72DA7969" w14:textId="77777777" w:rsidR="00771ECA" w:rsidRDefault="00000000">
      <w:pPr>
        <w:pStyle w:val="LO-Normal"/>
        <w:autoSpaceDE w:val="0"/>
        <w:spacing w:line="480" w:lineRule="auto"/>
        <w:jc w:val="center"/>
        <w:textAlignment w:val="bottom"/>
        <w:rPr>
          <w:lang w:val="zh-CN"/>
        </w:rPr>
      </w:pPr>
      <w:r>
        <w:rPr>
          <w:noProof/>
          <w:lang w:val="zh-CN"/>
        </w:rPr>
        <w:lastRenderedPageBreak/>
        <w:drawing>
          <wp:inline distT="0" distB="0" distL="0" distR="0" wp14:anchorId="07693A6E" wp14:editId="6AF354C4">
            <wp:extent cx="5905500" cy="5040630"/>
            <wp:effectExtent l="0" t="0" r="0" b="0"/>
            <wp:docPr id="24"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13"/>
                    <pic:cNvPicPr>
                      <a:picLocks noChangeAspect="1" noChangeArrowheads="1"/>
                    </pic:cNvPicPr>
                  </pic:nvPicPr>
                  <pic:blipFill>
                    <a:blip r:embed="rId43"/>
                    <a:srcRect l="-5" t="-6" r="-5" b="-6"/>
                    <a:stretch>
                      <a:fillRect/>
                    </a:stretch>
                  </pic:blipFill>
                  <pic:spPr bwMode="auto">
                    <a:xfrm>
                      <a:off x="0" y="0"/>
                      <a:ext cx="5905500" cy="5040630"/>
                    </a:xfrm>
                    <a:prstGeom prst="rect">
                      <a:avLst/>
                    </a:prstGeom>
                  </pic:spPr>
                </pic:pic>
              </a:graphicData>
            </a:graphic>
          </wp:inline>
        </w:drawing>
      </w:r>
    </w:p>
    <w:p w14:paraId="4270AA9A" w14:textId="77777777" w:rsidR="00771ECA" w:rsidRDefault="00000000">
      <w:pPr>
        <w:pStyle w:val="LO-Normal"/>
        <w:autoSpaceDE w:val="0"/>
        <w:spacing w:line="480" w:lineRule="auto"/>
        <w:ind w:firstLine="420"/>
        <w:jc w:val="both"/>
        <w:textAlignment w:val="bottom"/>
      </w:pPr>
      <w:r>
        <w:rPr>
          <w:rFonts w:cs="Arial"/>
          <w:color w:val="000000"/>
          <w:sz w:val="21"/>
          <w:szCs w:val="21"/>
        </w:rPr>
        <w:t>（2）</w:t>
      </w:r>
      <w:r>
        <w:rPr>
          <w:rFonts w:ascii="Arial" w:hAnsi="Arial" w:cs="Arial"/>
          <w:color w:val="000000"/>
          <w:sz w:val="21"/>
          <w:szCs w:val="21"/>
        </w:rPr>
        <w:t>样本数据统计分析</w:t>
      </w:r>
    </w:p>
    <w:p w14:paraId="774DC0B7"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本次评估估价对象周边区域住宅小区近一年平均租金水平数据来源为估价机构监测数据、和估价机构市场调查两方面数据，两方面数据情况分别如下：</w:t>
      </w:r>
    </w:p>
    <w:p w14:paraId="7CE72676"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估价机构监测数据</w:t>
      </w:r>
    </w:p>
    <w:p w14:paraId="4ABB71FB" w14:textId="77777777" w:rsidR="00771ECA" w:rsidRDefault="00000000">
      <w:pPr>
        <w:pStyle w:val="LO-Normal"/>
        <w:autoSpaceDE w:val="0"/>
        <w:spacing w:line="480" w:lineRule="auto"/>
        <w:ind w:firstLine="420"/>
        <w:jc w:val="both"/>
        <w:textAlignment w:val="bottom"/>
        <w:rPr>
          <w:rFonts w:cs="Arial"/>
        </w:rPr>
      </w:pPr>
      <w:r>
        <w:rPr>
          <w:rFonts w:ascii="Arial" w:hAnsi="Arial" w:cs="Arial"/>
          <w:color w:val="000000"/>
          <w:sz w:val="21"/>
          <w:szCs w:val="21"/>
        </w:rPr>
        <w:t>样本小区一：明月听蘭</w:t>
      </w:r>
    </w:p>
    <w:tbl>
      <w:tblPr>
        <w:tblW w:w="5000" w:type="pct"/>
        <w:tblInd w:w="-113" w:type="dxa"/>
        <w:tblLook w:val="04A0" w:firstRow="1" w:lastRow="0" w:firstColumn="1" w:lastColumn="0" w:noHBand="0" w:noVBand="1"/>
      </w:tblPr>
      <w:tblGrid>
        <w:gridCol w:w="3358"/>
        <w:gridCol w:w="1741"/>
        <w:gridCol w:w="4189"/>
      </w:tblGrid>
      <w:tr w:rsidR="00771ECA" w14:paraId="1C4775FD" w14:textId="77777777">
        <w:trPr>
          <w:trHeight w:val="285"/>
        </w:trPr>
        <w:tc>
          <w:tcPr>
            <w:tcW w:w="3361" w:type="dxa"/>
            <w:tcBorders>
              <w:top w:val="single" w:sz="4" w:space="0" w:color="000000"/>
              <w:left w:val="single" w:sz="4" w:space="0" w:color="000000"/>
              <w:bottom w:val="single" w:sz="4" w:space="0" w:color="000000"/>
            </w:tcBorders>
            <w:shd w:val="clear" w:color="auto" w:fill="auto"/>
            <w:vAlign w:val="center"/>
          </w:tcPr>
          <w:p w14:paraId="1410806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时间</w:t>
            </w:r>
          </w:p>
        </w:tc>
        <w:tc>
          <w:tcPr>
            <w:tcW w:w="1743" w:type="dxa"/>
            <w:tcBorders>
              <w:top w:val="single" w:sz="4" w:space="0" w:color="000000"/>
              <w:left w:val="single" w:sz="4" w:space="0" w:color="000000"/>
              <w:bottom w:val="single" w:sz="4" w:space="0" w:color="000000"/>
            </w:tcBorders>
            <w:shd w:val="clear" w:color="auto" w:fill="auto"/>
            <w:vAlign w:val="center"/>
          </w:tcPr>
          <w:p w14:paraId="581BB20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样本数量</w:t>
            </w:r>
          </w:p>
        </w:tc>
        <w:tc>
          <w:tcPr>
            <w:tcW w:w="4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AC8D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租金平均单价（元/平方米·月）</w:t>
            </w:r>
          </w:p>
        </w:tc>
      </w:tr>
      <w:tr w:rsidR="00771ECA" w14:paraId="7E1E2F54" w14:textId="77777777">
        <w:trPr>
          <w:trHeight w:val="285"/>
        </w:trPr>
        <w:tc>
          <w:tcPr>
            <w:tcW w:w="3361" w:type="dxa"/>
            <w:tcBorders>
              <w:left w:val="single" w:sz="4" w:space="0" w:color="000000"/>
              <w:bottom w:val="single" w:sz="4" w:space="0" w:color="000000"/>
            </w:tcBorders>
            <w:shd w:val="clear" w:color="auto" w:fill="auto"/>
            <w:vAlign w:val="center"/>
          </w:tcPr>
          <w:p w14:paraId="7C861FE2" w14:textId="77777777" w:rsidR="00771ECA" w:rsidRDefault="00000000">
            <w:pPr>
              <w:widowControl/>
              <w:spacing w:line="240" w:lineRule="auto"/>
              <w:jc w:val="center"/>
              <w:textAlignment w:val="auto"/>
            </w:pP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12</w:t>
            </w:r>
            <w:r>
              <w:rPr>
                <w:rFonts w:ascii="Arial" w:eastAsia="华文细黑" w:hAnsi="Arial" w:cs="Arial"/>
                <w:color w:val="000000"/>
                <w:sz w:val="18"/>
                <w:szCs w:val="18"/>
              </w:rPr>
              <w:t>月）</w:t>
            </w:r>
          </w:p>
        </w:tc>
        <w:tc>
          <w:tcPr>
            <w:tcW w:w="1743" w:type="dxa"/>
            <w:tcBorders>
              <w:left w:val="single" w:sz="4" w:space="0" w:color="000000"/>
              <w:bottom w:val="single" w:sz="4" w:space="0" w:color="000000"/>
            </w:tcBorders>
            <w:shd w:val="clear" w:color="auto" w:fill="auto"/>
            <w:vAlign w:val="center"/>
          </w:tcPr>
          <w:p w14:paraId="40820B0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94" w:type="dxa"/>
            <w:tcBorders>
              <w:left w:val="single" w:sz="4" w:space="0" w:color="000000"/>
              <w:bottom w:val="single" w:sz="4" w:space="0" w:color="000000"/>
              <w:right w:val="single" w:sz="4" w:space="0" w:color="000000"/>
            </w:tcBorders>
            <w:shd w:val="clear" w:color="auto" w:fill="auto"/>
            <w:vAlign w:val="center"/>
          </w:tcPr>
          <w:p w14:paraId="57EEC59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5D1DAAB1" w14:textId="77777777">
        <w:trPr>
          <w:trHeight w:val="285"/>
        </w:trPr>
        <w:tc>
          <w:tcPr>
            <w:tcW w:w="3361" w:type="dxa"/>
            <w:tcBorders>
              <w:left w:val="single" w:sz="4" w:space="0" w:color="000000"/>
              <w:bottom w:val="single" w:sz="4" w:space="0" w:color="000000"/>
            </w:tcBorders>
            <w:shd w:val="clear" w:color="auto" w:fill="auto"/>
            <w:vAlign w:val="center"/>
          </w:tcPr>
          <w:p w14:paraId="670A99AE"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w:t>
            </w:r>
            <w:r>
              <w:rPr>
                <w:rFonts w:ascii="Arial" w:eastAsia="华文细黑" w:hAnsi="Arial" w:cs="Arial"/>
                <w:color w:val="000000"/>
                <w:sz w:val="18"/>
                <w:szCs w:val="18"/>
              </w:rPr>
              <w:t>季度</w:t>
            </w:r>
          </w:p>
        </w:tc>
        <w:tc>
          <w:tcPr>
            <w:tcW w:w="1743" w:type="dxa"/>
            <w:tcBorders>
              <w:left w:val="single" w:sz="4" w:space="0" w:color="000000"/>
              <w:bottom w:val="single" w:sz="4" w:space="0" w:color="000000"/>
            </w:tcBorders>
            <w:shd w:val="clear" w:color="auto" w:fill="auto"/>
          </w:tcPr>
          <w:p w14:paraId="1CB6A54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94" w:type="dxa"/>
            <w:tcBorders>
              <w:left w:val="single" w:sz="4" w:space="0" w:color="000000"/>
              <w:bottom w:val="single" w:sz="4" w:space="0" w:color="000000"/>
              <w:right w:val="single" w:sz="4" w:space="0" w:color="000000"/>
            </w:tcBorders>
            <w:shd w:val="clear" w:color="auto" w:fill="auto"/>
            <w:vAlign w:val="center"/>
          </w:tcPr>
          <w:p w14:paraId="25EF019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282A141D" w14:textId="77777777">
        <w:trPr>
          <w:trHeight w:val="285"/>
        </w:trPr>
        <w:tc>
          <w:tcPr>
            <w:tcW w:w="3361" w:type="dxa"/>
            <w:tcBorders>
              <w:left w:val="single" w:sz="4" w:space="0" w:color="000000"/>
              <w:bottom w:val="single" w:sz="4" w:space="0" w:color="000000"/>
            </w:tcBorders>
            <w:shd w:val="clear" w:color="auto" w:fill="auto"/>
            <w:vAlign w:val="center"/>
          </w:tcPr>
          <w:p w14:paraId="562A2D27"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2</w:t>
            </w:r>
            <w:r>
              <w:rPr>
                <w:rFonts w:ascii="Arial" w:eastAsia="华文细黑" w:hAnsi="Arial" w:cs="Arial"/>
                <w:color w:val="000000"/>
                <w:sz w:val="18"/>
                <w:szCs w:val="18"/>
              </w:rPr>
              <w:t>季度</w:t>
            </w:r>
          </w:p>
        </w:tc>
        <w:tc>
          <w:tcPr>
            <w:tcW w:w="1743" w:type="dxa"/>
            <w:tcBorders>
              <w:left w:val="single" w:sz="4" w:space="0" w:color="000000"/>
              <w:bottom w:val="single" w:sz="4" w:space="0" w:color="000000"/>
            </w:tcBorders>
            <w:shd w:val="clear" w:color="auto" w:fill="auto"/>
          </w:tcPr>
          <w:p w14:paraId="2B131DB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94" w:type="dxa"/>
            <w:tcBorders>
              <w:left w:val="single" w:sz="4" w:space="0" w:color="000000"/>
              <w:bottom w:val="single" w:sz="4" w:space="0" w:color="000000"/>
              <w:right w:val="single" w:sz="4" w:space="0" w:color="000000"/>
            </w:tcBorders>
            <w:shd w:val="clear" w:color="auto" w:fill="auto"/>
            <w:vAlign w:val="center"/>
          </w:tcPr>
          <w:p w14:paraId="1768BD1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5BF14200" w14:textId="77777777">
        <w:trPr>
          <w:trHeight w:val="285"/>
        </w:trPr>
        <w:tc>
          <w:tcPr>
            <w:tcW w:w="3361" w:type="dxa"/>
            <w:tcBorders>
              <w:left w:val="single" w:sz="4" w:space="0" w:color="000000"/>
              <w:bottom w:val="single" w:sz="4" w:space="0" w:color="000000"/>
            </w:tcBorders>
            <w:shd w:val="clear" w:color="auto" w:fill="auto"/>
            <w:vAlign w:val="center"/>
          </w:tcPr>
          <w:p w14:paraId="71525554"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3</w:t>
            </w:r>
            <w:r>
              <w:rPr>
                <w:rFonts w:ascii="Arial" w:eastAsia="华文细黑" w:hAnsi="Arial" w:cs="Arial"/>
                <w:color w:val="000000"/>
                <w:sz w:val="18"/>
                <w:szCs w:val="18"/>
              </w:rPr>
              <w:t>季度</w:t>
            </w:r>
          </w:p>
        </w:tc>
        <w:tc>
          <w:tcPr>
            <w:tcW w:w="1743" w:type="dxa"/>
            <w:tcBorders>
              <w:left w:val="single" w:sz="4" w:space="0" w:color="000000"/>
              <w:bottom w:val="single" w:sz="4" w:space="0" w:color="000000"/>
            </w:tcBorders>
            <w:shd w:val="clear" w:color="auto" w:fill="auto"/>
          </w:tcPr>
          <w:p w14:paraId="7EA06B9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94" w:type="dxa"/>
            <w:tcBorders>
              <w:left w:val="single" w:sz="4" w:space="0" w:color="000000"/>
              <w:bottom w:val="single" w:sz="4" w:space="0" w:color="000000"/>
              <w:right w:val="single" w:sz="4" w:space="0" w:color="000000"/>
            </w:tcBorders>
            <w:shd w:val="clear" w:color="auto" w:fill="auto"/>
            <w:vAlign w:val="center"/>
          </w:tcPr>
          <w:p w14:paraId="6B4BF48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2C8E0AAC" w14:textId="77777777">
        <w:trPr>
          <w:trHeight w:val="285"/>
        </w:trPr>
        <w:tc>
          <w:tcPr>
            <w:tcW w:w="3361" w:type="dxa"/>
            <w:tcBorders>
              <w:left w:val="single" w:sz="4" w:space="0" w:color="000000"/>
              <w:bottom w:val="single" w:sz="4" w:space="0" w:color="000000"/>
            </w:tcBorders>
            <w:shd w:val="clear" w:color="auto" w:fill="auto"/>
            <w:vAlign w:val="center"/>
          </w:tcPr>
          <w:p w14:paraId="517DDB2E"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10-11</w:t>
            </w:r>
            <w:r>
              <w:rPr>
                <w:rFonts w:ascii="Arial" w:eastAsia="华文细黑" w:hAnsi="Arial" w:cs="Arial"/>
                <w:color w:val="000000"/>
                <w:sz w:val="18"/>
                <w:szCs w:val="18"/>
              </w:rPr>
              <w:t>月）</w:t>
            </w:r>
          </w:p>
        </w:tc>
        <w:tc>
          <w:tcPr>
            <w:tcW w:w="1743" w:type="dxa"/>
            <w:tcBorders>
              <w:left w:val="single" w:sz="4" w:space="0" w:color="000000"/>
              <w:bottom w:val="single" w:sz="4" w:space="0" w:color="000000"/>
            </w:tcBorders>
            <w:shd w:val="clear" w:color="auto" w:fill="auto"/>
            <w:vAlign w:val="center"/>
          </w:tcPr>
          <w:p w14:paraId="644E641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w:t>
            </w:r>
          </w:p>
        </w:tc>
        <w:tc>
          <w:tcPr>
            <w:tcW w:w="4194" w:type="dxa"/>
            <w:tcBorders>
              <w:left w:val="single" w:sz="4" w:space="0" w:color="000000"/>
              <w:bottom w:val="single" w:sz="4" w:space="0" w:color="000000"/>
              <w:right w:val="single" w:sz="4" w:space="0" w:color="000000"/>
            </w:tcBorders>
            <w:shd w:val="clear" w:color="auto" w:fill="auto"/>
            <w:vAlign w:val="center"/>
          </w:tcPr>
          <w:p w14:paraId="2E6324F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79.35</w:t>
            </w:r>
          </w:p>
        </w:tc>
      </w:tr>
      <w:tr w:rsidR="00771ECA" w14:paraId="5DDFF761" w14:textId="77777777">
        <w:trPr>
          <w:trHeight w:val="285"/>
        </w:trPr>
        <w:tc>
          <w:tcPr>
            <w:tcW w:w="5104" w:type="dxa"/>
            <w:gridSpan w:val="2"/>
            <w:tcBorders>
              <w:top w:val="single" w:sz="4" w:space="0" w:color="000000"/>
              <w:left w:val="single" w:sz="4" w:space="0" w:color="000000"/>
              <w:bottom w:val="single" w:sz="4" w:space="0" w:color="000000"/>
            </w:tcBorders>
            <w:shd w:val="clear" w:color="auto" w:fill="auto"/>
            <w:vAlign w:val="center"/>
          </w:tcPr>
          <w:p w14:paraId="603C3463" w14:textId="77777777" w:rsidR="00771ECA" w:rsidRDefault="00000000">
            <w:pPr>
              <w:widowControl/>
              <w:spacing w:line="240" w:lineRule="auto"/>
              <w:jc w:val="center"/>
              <w:textAlignment w:val="auto"/>
            </w:pPr>
            <w:r>
              <w:rPr>
                <w:rFonts w:ascii="Arial" w:eastAsia="华文细黑" w:hAnsi="Arial" w:cs="Arial"/>
                <w:color w:val="000000"/>
                <w:sz w:val="18"/>
                <w:szCs w:val="18"/>
              </w:rPr>
              <w:t>平均月租金</w:t>
            </w:r>
          </w:p>
        </w:tc>
        <w:tc>
          <w:tcPr>
            <w:tcW w:w="4194" w:type="dxa"/>
            <w:tcBorders>
              <w:left w:val="single" w:sz="4" w:space="0" w:color="000000"/>
              <w:bottom w:val="single" w:sz="4" w:space="0" w:color="000000"/>
              <w:right w:val="single" w:sz="4" w:space="0" w:color="000000"/>
            </w:tcBorders>
            <w:shd w:val="clear" w:color="auto" w:fill="auto"/>
            <w:vAlign w:val="center"/>
          </w:tcPr>
          <w:p w14:paraId="00B293E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79.35</w:t>
            </w:r>
          </w:p>
        </w:tc>
      </w:tr>
    </w:tbl>
    <w:p w14:paraId="74221981" w14:textId="77777777" w:rsidR="00771ECA" w:rsidRDefault="00000000">
      <w:pPr>
        <w:pStyle w:val="LO-Normal"/>
        <w:autoSpaceDE w:val="0"/>
        <w:spacing w:before="240" w:line="480" w:lineRule="auto"/>
        <w:ind w:firstLine="420"/>
        <w:jc w:val="both"/>
        <w:textAlignment w:val="bottom"/>
        <w:rPr>
          <w:rFonts w:cs="Arial"/>
        </w:rPr>
      </w:pPr>
      <w:r>
        <w:rPr>
          <w:rFonts w:ascii="Arial" w:hAnsi="Arial" w:cs="Arial"/>
          <w:color w:val="000000"/>
          <w:sz w:val="21"/>
          <w:szCs w:val="21"/>
        </w:rPr>
        <w:t>样本小区二：北京经开</w:t>
      </w:r>
      <w:r>
        <w:rPr>
          <w:rFonts w:ascii="Arial" w:hAnsi="Arial" w:cs="Arial"/>
          <w:color w:val="000000"/>
          <w:sz w:val="21"/>
          <w:szCs w:val="21"/>
        </w:rPr>
        <w:t>·</w:t>
      </w:r>
      <w:r>
        <w:rPr>
          <w:rFonts w:ascii="Arial" w:hAnsi="Arial" w:cs="Arial"/>
          <w:color w:val="000000"/>
          <w:sz w:val="21"/>
          <w:szCs w:val="21"/>
        </w:rPr>
        <w:t>汀塘</w:t>
      </w:r>
    </w:p>
    <w:tbl>
      <w:tblPr>
        <w:tblW w:w="5000" w:type="pct"/>
        <w:tblInd w:w="-113" w:type="dxa"/>
        <w:tblLook w:val="04A0" w:firstRow="1" w:lastRow="0" w:firstColumn="1" w:lastColumn="0" w:noHBand="0" w:noVBand="1"/>
      </w:tblPr>
      <w:tblGrid>
        <w:gridCol w:w="3389"/>
        <w:gridCol w:w="1722"/>
        <w:gridCol w:w="4177"/>
      </w:tblGrid>
      <w:tr w:rsidR="00771ECA" w14:paraId="179E5A53" w14:textId="77777777">
        <w:trPr>
          <w:trHeight w:val="285"/>
        </w:trPr>
        <w:tc>
          <w:tcPr>
            <w:tcW w:w="3392" w:type="dxa"/>
            <w:tcBorders>
              <w:top w:val="single" w:sz="4" w:space="0" w:color="000000"/>
              <w:left w:val="single" w:sz="4" w:space="0" w:color="000000"/>
              <w:bottom w:val="single" w:sz="4" w:space="0" w:color="000000"/>
            </w:tcBorders>
            <w:shd w:val="clear" w:color="auto" w:fill="auto"/>
            <w:vAlign w:val="center"/>
          </w:tcPr>
          <w:p w14:paraId="5B396A4A"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lastRenderedPageBreak/>
              <w:t>时间</w:t>
            </w:r>
          </w:p>
        </w:tc>
        <w:tc>
          <w:tcPr>
            <w:tcW w:w="1724" w:type="dxa"/>
            <w:tcBorders>
              <w:top w:val="single" w:sz="4" w:space="0" w:color="000000"/>
              <w:left w:val="single" w:sz="4" w:space="0" w:color="000000"/>
              <w:bottom w:val="single" w:sz="4" w:space="0" w:color="000000"/>
            </w:tcBorders>
            <w:shd w:val="clear" w:color="auto" w:fill="auto"/>
            <w:vAlign w:val="center"/>
          </w:tcPr>
          <w:p w14:paraId="44AF7F9C"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样本数量</w:t>
            </w:r>
          </w:p>
        </w:tc>
        <w:tc>
          <w:tcPr>
            <w:tcW w:w="4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F5EA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租金平均单价（元/平方米·月）</w:t>
            </w:r>
          </w:p>
        </w:tc>
      </w:tr>
      <w:tr w:rsidR="00771ECA" w14:paraId="2639A6E1" w14:textId="77777777">
        <w:trPr>
          <w:trHeight w:val="285"/>
        </w:trPr>
        <w:tc>
          <w:tcPr>
            <w:tcW w:w="3392" w:type="dxa"/>
            <w:tcBorders>
              <w:left w:val="single" w:sz="4" w:space="0" w:color="000000"/>
              <w:bottom w:val="single" w:sz="4" w:space="0" w:color="000000"/>
            </w:tcBorders>
            <w:shd w:val="clear" w:color="auto" w:fill="auto"/>
            <w:vAlign w:val="center"/>
          </w:tcPr>
          <w:p w14:paraId="30FBE417" w14:textId="77777777" w:rsidR="00771ECA" w:rsidRDefault="00000000">
            <w:pPr>
              <w:widowControl/>
              <w:spacing w:line="240" w:lineRule="auto"/>
              <w:jc w:val="center"/>
              <w:textAlignment w:val="auto"/>
            </w:pP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12</w:t>
            </w:r>
            <w:r>
              <w:rPr>
                <w:rFonts w:ascii="Arial" w:eastAsia="华文细黑" w:hAnsi="Arial" w:cs="Arial"/>
                <w:color w:val="000000"/>
                <w:sz w:val="18"/>
                <w:szCs w:val="18"/>
              </w:rPr>
              <w:t>月）</w:t>
            </w:r>
          </w:p>
        </w:tc>
        <w:tc>
          <w:tcPr>
            <w:tcW w:w="1724" w:type="dxa"/>
            <w:tcBorders>
              <w:left w:val="single" w:sz="4" w:space="0" w:color="000000"/>
              <w:bottom w:val="single" w:sz="4" w:space="0" w:color="000000"/>
            </w:tcBorders>
            <w:shd w:val="clear" w:color="auto" w:fill="auto"/>
            <w:vAlign w:val="center"/>
          </w:tcPr>
          <w:p w14:paraId="4A6A1A3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82" w:type="dxa"/>
            <w:tcBorders>
              <w:left w:val="single" w:sz="4" w:space="0" w:color="000000"/>
              <w:bottom w:val="single" w:sz="4" w:space="0" w:color="000000"/>
              <w:right w:val="single" w:sz="4" w:space="0" w:color="000000"/>
            </w:tcBorders>
            <w:shd w:val="clear" w:color="auto" w:fill="auto"/>
            <w:vAlign w:val="center"/>
          </w:tcPr>
          <w:p w14:paraId="637BFA2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45D6C0C6" w14:textId="77777777">
        <w:trPr>
          <w:trHeight w:val="285"/>
        </w:trPr>
        <w:tc>
          <w:tcPr>
            <w:tcW w:w="3392" w:type="dxa"/>
            <w:tcBorders>
              <w:left w:val="single" w:sz="4" w:space="0" w:color="000000"/>
              <w:bottom w:val="single" w:sz="4" w:space="0" w:color="000000"/>
            </w:tcBorders>
            <w:shd w:val="clear" w:color="auto" w:fill="auto"/>
            <w:vAlign w:val="center"/>
          </w:tcPr>
          <w:p w14:paraId="0CC3DC5C"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w:t>
            </w:r>
            <w:r>
              <w:rPr>
                <w:rFonts w:ascii="Arial" w:eastAsia="华文细黑" w:hAnsi="Arial" w:cs="Arial"/>
                <w:color w:val="000000"/>
                <w:sz w:val="18"/>
                <w:szCs w:val="18"/>
              </w:rPr>
              <w:t>季度</w:t>
            </w:r>
          </w:p>
        </w:tc>
        <w:tc>
          <w:tcPr>
            <w:tcW w:w="1724" w:type="dxa"/>
            <w:tcBorders>
              <w:left w:val="single" w:sz="4" w:space="0" w:color="000000"/>
              <w:bottom w:val="single" w:sz="4" w:space="0" w:color="000000"/>
            </w:tcBorders>
            <w:shd w:val="clear" w:color="auto" w:fill="auto"/>
          </w:tcPr>
          <w:p w14:paraId="50E967F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82" w:type="dxa"/>
            <w:tcBorders>
              <w:left w:val="single" w:sz="4" w:space="0" w:color="000000"/>
              <w:bottom w:val="single" w:sz="4" w:space="0" w:color="000000"/>
              <w:right w:val="single" w:sz="4" w:space="0" w:color="000000"/>
            </w:tcBorders>
            <w:shd w:val="clear" w:color="auto" w:fill="auto"/>
            <w:vAlign w:val="center"/>
          </w:tcPr>
          <w:p w14:paraId="254792C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3A5E24DB" w14:textId="77777777">
        <w:trPr>
          <w:trHeight w:val="285"/>
        </w:trPr>
        <w:tc>
          <w:tcPr>
            <w:tcW w:w="3392" w:type="dxa"/>
            <w:tcBorders>
              <w:left w:val="single" w:sz="4" w:space="0" w:color="000000"/>
              <w:bottom w:val="single" w:sz="4" w:space="0" w:color="000000"/>
            </w:tcBorders>
            <w:shd w:val="clear" w:color="auto" w:fill="auto"/>
            <w:vAlign w:val="center"/>
          </w:tcPr>
          <w:p w14:paraId="5AAE35A8"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2</w:t>
            </w:r>
            <w:r>
              <w:rPr>
                <w:rFonts w:ascii="Arial" w:eastAsia="华文细黑" w:hAnsi="Arial" w:cs="Arial"/>
                <w:color w:val="000000"/>
                <w:sz w:val="18"/>
                <w:szCs w:val="18"/>
              </w:rPr>
              <w:t>季度</w:t>
            </w:r>
          </w:p>
        </w:tc>
        <w:tc>
          <w:tcPr>
            <w:tcW w:w="1724" w:type="dxa"/>
            <w:tcBorders>
              <w:left w:val="single" w:sz="4" w:space="0" w:color="000000"/>
              <w:bottom w:val="single" w:sz="4" w:space="0" w:color="000000"/>
            </w:tcBorders>
            <w:shd w:val="clear" w:color="auto" w:fill="auto"/>
          </w:tcPr>
          <w:p w14:paraId="684D640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82" w:type="dxa"/>
            <w:tcBorders>
              <w:left w:val="single" w:sz="4" w:space="0" w:color="000000"/>
              <w:bottom w:val="single" w:sz="4" w:space="0" w:color="000000"/>
              <w:right w:val="single" w:sz="4" w:space="0" w:color="000000"/>
            </w:tcBorders>
            <w:shd w:val="clear" w:color="auto" w:fill="auto"/>
            <w:vAlign w:val="center"/>
          </w:tcPr>
          <w:p w14:paraId="7C03D70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7A65C760" w14:textId="77777777">
        <w:trPr>
          <w:trHeight w:val="285"/>
        </w:trPr>
        <w:tc>
          <w:tcPr>
            <w:tcW w:w="3392" w:type="dxa"/>
            <w:tcBorders>
              <w:left w:val="single" w:sz="4" w:space="0" w:color="000000"/>
              <w:bottom w:val="single" w:sz="4" w:space="0" w:color="000000"/>
            </w:tcBorders>
            <w:shd w:val="clear" w:color="auto" w:fill="auto"/>
            <w:vAlign w:val="center"/>
          </w:tcPr>
          <w:p w14:paraId="48B8A745"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3</w:t>
            </w:r>
            <w:r>
              <w:rPr>
                <w:rFonts w:ascii="Arial" w:eastAsia="华文细黑" w:hAnsi="Arial" w:cs="Arial"/>
                <w:color w:val="000000"/>
                <w:sz w:val="18"/>
                <w:szCs w:val="18"/>
              </w:rPr>
              <w:t>季度</w:t>
            </w:r>
          </w:p>
        </w:tc>
        <w:tc>
          <w:tcPr>
            <w:tcW w:w="1724" w:type="dxa"/>
            <w:tcBorders>
              <w:left w:val="single" w:sz="4" w:space="0" w:color="000000"/>
              <w:bottom w:val="single" w:sz="4" w:space="0" w:color="000000"/>
            </w:tcBorders>
            <w:shd w:val="clear" w:color="auto" w:fill="auto"/>
          </w:tcPr>
          <w:p w14:paraId="6EF5E75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82" w:type="dxa"/>
            <w:tcBorders>
              <w:left w:val="single" w:sz="4" w:space="0" w:color="000000"/>
              <w:bottom w:val="single" w:sz="4" w:space="0" w:color="000000"/>
              <w:right w:val="single" w:sz="4" w:space="0" w:color="000000"/>
            </w:tcBorders>
            <w:shd w:val="clear" w:color="auto" w:fill="auto"/>
            <w:vAlign w:val="center"/>
          </w:tcPr>
          <w:p w14:paraId="6AB9F12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569E84AF" w14:textId="77777777">
        <w:trPr>
          <w:trHeight w:val="285"/>
        </w:trPr>
        <w:tc>
          <w:tcPr>
            <w:tcW w:w="3392" w:type="dxa"/>
            <w:tcBorders>
              <w:left w:val="single" w:sz="4" w:space="0" w:color="000000"/>
              <w:bottom w:val="single" w:sz="4" w:space="0" w:color="000000"/>
            </w:tcBorders>
            <w:shd w:val="clear" w:color="auto" w:fill="auto"/>
            <w:vAlign w:val="center"/>
          </w:tcPr>
          <w:p w14:paraId="2D9E9607"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10-11</w:t>
            </w:r>
            <w:r>
              <w:rPr>
                <w:rFonts w:ascii="Arial" w:eastAsia="华文细黑" w:hAnsi="Arial" w:cs="Arial"/>
                <w:color w:val="000000"/>
                <w:sz w:val="18"/>
                <w:szCs w:val="18"/>
              </w:rPr>
              <w:t>月）</w:t>
            </w:r>
          </w:p>
        </w:tc>
        <w:tc>
          <w:tcPr>
            <w:tcW w:w="1724" w:type="dxa"/>
            <w:tcBorders>
              <w:left w:val="single" w:sz="4" w:space="0" w:color="000000"/>
              <w:bottom w:val="single" w:sz="4" w:space="0" w:color="000000"/>
            </w:tcBorders>
            <w:shd w:val="clear" w:color="auto" w:fill="auto"/>
            <w:vAlign w:val="center"/>
          </w:tcPr>
          <w:p w14:paraId="37EE509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w:t>
            </w:r>
          </w:p>
        </w:tc>
        <w:tc>
          <w:tcPr>
            <w:tcW w:w="4182" w:type="dxa"/>
            <w:tcBorders>
              <w:left w:val="single" w:sz="4" w:space="0" w:color="000000"/>
              <w:bottom w:val="single" w:sz="4" w:space="0" w:color="000000"/>
              <w:right w:val="single" w:sz="4" w:space="0" w:color="000000"/>
            </w:tcBorders>
            <w:shd w:val="clear" w:color="auto" w:fill="auto"/>
            <w:vAlign w:val="center"/>
          </w:tcPr>
          <w:p w14:paraId="4C96F76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76.73</w:t>
            </w:r>
          </w:p>
        </w:tc>
      </w:tr>
      <w:tr w:rsidR="00771ECA" w14:paraId="29EDDC6F" w14:textId="77777777">
        <w:trPr>
          <w:trHeight w:val="285"/>
        </w:trPr>
        <w:tc>
          <w:tcPr>
            <w:tcW w:w="5116" w:type="dxa"/>
            <w:gridSpan w:val="2"/>
            <w:tcBorders>
              <w:top w:val="single" w:sz="4" w:space="0" w:color="000000"/>
              <w:left w:val="single" w:sz="4" w:space="0" w:color="000000"/>
              <w:bottom w:val="single" w:sz="4" w:space="0" w:color="000000"/>
            </w:tcBorders>
            <w:shd w:val="clear" w:color="auto" w:fill="auto"/>
            <w:vAlign w:val="center"/>
          </w:tcPr>
          <w:p w14:paraId="1A550BFD" w14:textId="77777777" w:rsidR="00771ECA" w:rsidRDefault="00000000">
            <w:pPr>
              <w:widowControl/>
              <w:spacing w:line="240" w:lineRule="auto"/>
              <w:jc w:val="center"/>
              <w:textAlignment w:val="auto"/>
            </w:pPr>
            <w:r>
              <w:rPr>
                <w:rFonts w:ascii="Arial" w:eastAsia="华文细黑" w:hAnsi="Arial" w:cs="Arial"/>
                <w:color w:val="000000"/>
                <w:sz w:val="18"/>
                <w:szCs w:val="18"/>
              </w:rPr>
              <w:t>平均月租金</w:t>
            </w:r>
          </w:p>
        </w:tc>
        <w:tc>
          <w:tcPr>
            <w:tcW w:w="4182" w:type="dxa"/>
            <w:tcBorders>
              <w:left w:val="single" w:sz="4" w:space="0" w:color="000000"/>
              <w:bottom w:val="single" w:sz="4" w:space="0" w:color="000000"/>
              <w:right w:val="single" w:sz="4" w:space="0" w:color="000000"/>
            </w:tcBorders>
            <w:shd w:val="clear" w:color="auto" w:fill="auto"/>
            <w:vAlign w:val="center"/>
          </w:tcPr>
          <w:p w14:paraId="4BB9974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76.73</w:t>
            </w:r>
          </w:p>
        </w:tc>
      </w:tr>
    </w:tbl>
    <w:p w14:paraId="252E4D0B" w14:textId="77777777" w:rsidR="00771ECA" w:rsidRDefault="00000000">
      <w:pPr>
        <w:pStyle w:val="LO-Normal"/>
        <w:autoSpaceDE w:val="0"/>
        <w:spacing w:before="240" w:line="480" w:lineRule="auto"/>
        <w:ind w:firstLine="420"/>
        <w:jc w:val="both"/>
        <w:textAlignment w:val="bottom"/>
        <w:rPr>
          <w:rFonts w:cs="Arial"/>
        </w:rPr>
      </w:pPr>
      <w:r>
        <w:rPr>
          <w:rFonts w:ascii="Arial" w:hAnsi="Arial" w:cs="Arial"/>
          <w:color w:val="000000"/>
          <w:sz w:val="21"/>
          <w:szCs w:val="21"/>
        </w:rPr>
        <w:t>样本小区三：通泰国际公馆</w:t>
      </w:r>
    </w:p>
    <w:tbl>
      <w:tblPr>
        <w:tblW w:w="5000" w:type="pct"/>
        <w:tblInd w:w="-113" w:type="dxa"/>
        <w:tblLook w:val="04A0" w:firstRow="1" w:lastRow="0" w:firstColumn="1" w:lastColumn="0" w:noHBand="0" w:noVBand="1"/>
      </w:tblPr>
      <w:tblGrid>
        <w:gridCol w:w="3388"/>
        <w:gridCol w:w="1711"/>
        <w:gridCol w:w="4189"/>
      </w:tblGrid>
      <w:tr w:rsidR="00771ECA" w14:paraId="51F29348" w14:textId="77777777">
        <w:trPr>
          <w:trHeight w:val="285"/>
        </w:trPr>
        <w:tc>
          <w:tcPr>
            <w:tcW w:w="3391" w:type="dxa"/>
            <w:tcBorders>
              <w:top w:val="single" w:sz="4" w:space="0" w:color="000000"/>
              <w:left w:val="single" w:sz="4" w:space="0" w:color="000000"/>
              <w:bottom w:val="single" w:sz="4" w:space="0" w:color="000000"/>
            </w:tcBorders>
            <w:shd w:val="clear" w:color="auto" w:fill="auto"/>
            <w:vAlign w:val="center"/>
          </w:tcPr>
          <w:p w14:paraId="7C4E53B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时间</w:t>
            </w:r>
          </w:p>
        </w:tc>
        <w:tc>
          <w:tcPr>
            <w:tcW w:w="1713" w:type="dxa"/>
            <w:tcBorders>
              <w:top w:val="single" w:sz="4" w:space="0" w:color="000000"/>
              <w:left w:val="single" w:sz="4" w:space="0" w:color="000000"/>
              <w:bottom w:val="single" w:sz="4" w:space="0" w:color="000000"/>
            </w:tcBorders>
            <w:shd w:val="clear" w:color="auto" w:fill="auto"/>
            <w:vAlign w:val="center"/>
          </w:tcPr>
          <w:p w14:paraId="63EF9B6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样本数量</w:t>
            </w:r>
          </w:p>
        </w:tc>
        <w:tc>
          <w:tcPr>
            <w:tcW w:w="4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AAB17"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租金平均单价（元/平方米·月）</w:t>
            </w:r>
          </w:p>
        </w:tc>
      </w:tr>
      <w:tr w:rsidR="00771ECA" w14:paraId="2059A757" w14:textId="77777777">
        <w:trPr>
          <w:trHeight w:val="285"/>
        </w:trPr>
        <w:tc>
          <w:tcPr>
            <w:tcW w:w="3391" w:type="dxa"/>
            <w:tcBorders>
              <w:left w:val="single" w:sz="4" w:space="0" w:color="000000"/>
              <w:bottom w:val="single" w:sz="4" w:space="0" w:color="000000"/>
            </w:tcBorders>
            <w:shd w:val="clear" w:color="auto" w:fill="auto"/>
            <w:vAlign w:val="center"/>
          </w:tcPr>
          <w:p w14:paraId="620909CB" w14:textId="77777777" w:rsidR="00771ECA" w:rsidRDefault="00000000">
            <w:pPr>
              <w:widowControl/>
              <w:spacing w:line="240" w:lineRule="auto"/>
              <w:jc w:val="center"/>
              <w:textAlignment w:val="auto"/>
            </w:pP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12</w:t>
            </w:r>
            <w:r>
              <w:rPr>
                <w:rFonts w:ascii="Arial" w:eastAsia="华文细黑" w:hAnsi="Arial" w:cs="Arial"/>
                <w:color w:val="000000"/>
                <w:sz w:val="18"/>
                <w:szCs w:val="18"/>
              </w:rPr>
              <w:t>月）</w:t>
            </w:r>
          </w:p>
        </w:tc>
        <w:tc>
          <w:tcPr>
            <w:tcW w:w="1713" w:type="dxa"/>
            <w:tcBorders>
              <w:left w:val="single" w:sz="4" w:space="0" w:color="000000"/>
              <w:bottom w:val="single" w:sz="4" w:space="0" w:color="000000"/>
            </w:tcBorders>
            <w:shd w:val="clear" w:color="auto" w:fill="auto"/>
            <w:vAlign w:val="center"/>
          </w:tcPr>
          <w:p w14:paraId="0FC9AC6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94" w:type="dxa"/>
            <w:tcBorders>
              <w:left w:val="single" w:sz="4" w:space="0" w:color="000000"/>
              <w:bottom w:val="single" w:sz="4" w:space="0" w:color="000000"/>
              <w:right w:val="single" w:sz="4" w:space="0" w:color="000000"/>
            </w:tcBorders>
            <w:shd w:val="clear" w:color="auto" w:fill="auto"/>
            <w:vAlign w:val="center"/>
          </w:tcPr>
          <w:p w14:paraId="46E6D3D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5497F6A1" w14:textId="77777777">
        <w:trPr>
          <w:trHeight w:val="285"/>
        </w:trPr>
        <w:tc>
          <w:tcPr>
            <w:tcW w:w="3391" w:type="dxa"/>
            <w:tcBorders>
              <w:left w:val="single" w:sz="4" w:space="0" w:color="000000"/>
              <w:bottom w:val="single" w:sz="4" w:space="0" w:color="000000"/>
            </w:tcBorders>
            <w:shd w:val="clear" w:color="auto" w:fill="auto"/>
            <w:vAlign w:val="center"/>
          </w:tcPr>
          <w:p w14:paraId="2A756BFB"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w:t>
            </w:r>
            <w:r>
              <w:rPr>
                <w:rFonts w:ascii="Arial" w:eastAsia="华文细黑" w:hAnsi="Arial" w:cs="Arial"/>
                <w:color w:val="000000"/>
                <w:sz w:val="18"/>
                <w:szCs w:val="18"/>
              </w:rPr>
              <w:t>季度</w:t>
            </w:r>
          </w:p>
        </w:tc>
        <w:tc>
          <w:tcPr>
            <w:tcW w:w="1713" w:type="dxa"/>
            <w:tcBorders>
              <w:left w:val="single" w:sz="4" w:space="0" w:color="000000"/>
              <w:bottom w:val="single" w:sz="4" w:space="0" w:color="000000"/>
            </w:tcBorders>
            <w:shd w:val="clear" w:color="auto" w:fill="auto"/>
            <w:vAlign w:val="center"/>
          </w:tcPr>
          <w:p w14:paraId="75BC389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w:t>
            </w:r>
          </w:p>
        </w:tc>
        <w:tc>
          <w:tcPr>
            <w:tcW w:w="4194" w:type="dxa"/>
            <w:tcBorders>
              <w:left w:val="single" w:sz="4" w:space="0" w:color="000000"/>
              <w:bottom w:val="single" w:sz="4" w:space="0" w:color="000000"/>
              <w:right w:val="single" w:sz="4" w:space="0" w:color="000000"/>
            </w:tcBorders>
            <w:shd w:val="clear" w:color="auto" w:fill="auto"/>
            <w:vAlign w:val="center"/>
          </w:tcPr>
          <w:p w14:paraId="50D348A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76.91</w:t>
            </w:r>
          </w:p>
        </w:tc>
      </w:tr>
      <w:tr w:rsidR="00771ECA" w14:paraId="3E002980" w14:textId="77777777">
        <w:trPr>
          <w:trHeight w:val="285"/>
        </w:trPr>
        <w:tc>
          <w:tcPr>
            <w:tcW w:w="3391" w:type="dxa"/>
            <w:tcBorders>
              <w:left w:val="single" w:sz="4" w:space="0" w:color="000000"/>
              <w:bottom w:val="single" w:sz="4" w:space="0" w:color="000000"/>
            </w:tcBorders>
            <w:shd w:val="clear" w:color="auto" w:fill="auto"/>
            <w:vAlign w:val="center"/>
          </w:tcPr>
          <w:p w14:paraId="64DD59E6"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2</w:t>
            </w:r>
            <w:r>
              <w:rPr>
                <w:rFonts w:ascii="Arial" w:eastAsia="华文细黑" w:hAnsi="Arial" w:cs="Arial"/>
                <w:color w:val="000000"/>
                <w:sz w:val="18"/>
                <w:szCs w:val="18"/>
              </w:rPr>
              <w:t>季度</w:t>
            </w:r>
          </w:p>
        </w:tc>
        <w:tc>
          <w:tcPr>
            <w:tcW w:w="1713" w:type="dxa"/>
            <w:tcBorders>
              <w:left w:val="single" w:sz="4" w:space="0" w:color="000000"/>
              <w:bottom w:val="single" w:sz="4" w:space="0" w:color="000000"/>
            </w:tcBorders>
            <w:shd w:val="clear" w:color="auto" w:fill="auto"/>
            <w:vAlign w:val="center"/>
          </w:tcPr>
          <w:p w14:paraId="1ACEBD79"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w:t>
            </w:r>
          </w:p>
        </w:tc>
        <w:tc>
          <w:tcPr>
            <w:tcW w:w="4194" w:type="dxa"/>
            <w:tcBorders>
              <w:left w:val="single" w:sz="4" w:space="0" w:color="000000"/>
              <w:bottom w:val="single" w:sz="4" w:space="0" w:color="000000"/>
              <w:right w:val="single" w:sz="4" w:space="0" w:color="000000"/>
            </w:tcBorders>
            <w:shd w:val="clear" w:color="auto" w:fill="auto"/>
            <w:vAlign w:val="center"/>
          </w:tcPr>
          <w:p w14:paraId="08479A89"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76.57</w:t>
            </w:r>
          </w:p>
        </w:tc>
      </w:tr>
      <w:tr w:rsidR="00771ECA" w14:paraId="34A387AF" w14:textId="77777777">
        <w:trPr>
          <w:trHeight w:val="285"/>
        </w:trPr>
        <w:tc>
          <w:tcPr>
            <w:tcW w:w="3391" w:type="dxa"/>
            <w:tcBorders>
              <w:left w:val="single" w:sz="4" w:space="0" w:color="000000"/>
              <w:bottom w:val="single" w:sz="4" w:space="0" w:color="000000"/>
            </w:tcBorders>
            <w:shd w:val="clear" w:color="auto" w:fill="auto"/>
            <w:vAlign w:val="center"/>
          </w:tcPr>
          <w:p w14:paraId="2744E207"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3</w:t>
            </w:r>
            <w:r>
              <w:rPr>
                <w:rFonts w:ascii="Arial" w:eastAsia="华文细黑" w:hAnsi="Arial" w:cs="Arial"/>
                <w:color w:val="000000"/>
                <w:sz w:val="18"/>
                <w:szCs w:val="18"/>
              </w:rPr>
              <w:t>季度</w:t>
            </w:r>
          </w:p>
        </w:tc>
        <w:tc>
          <w:tcPr>
            <w:tcW w:w="1713" w:type="dxa"/>
            <w:tcBorders>
              <w:left w:val="single" w:sz="4" w:space="0" w:color="000000"/>
              <w:bottom w:val="single" w:sz="4" w:space="0" w:color="000000"/>
            </w:tcBorders>
            <w:shd w:val="clear" w:color="auto" w:fill="auto"/>
            <w:vAlign w:val="center"/>
          </w:tcPr>
          <w:p w14:paraId="189FE7C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w:t>
            </w:r>
          </w:p>
        </w:tc>
        <w:tc>
          <w:tcPr>
            <w:tcW w:w="4194" w:type="dxa"/>
            <w:tcBorders>
              <w:left w:val="single" w:sz="4" w:space="0" w:color="000000"/>
              <w:bottom w:val="single" w:sz="4" w:space="0" w:color="000000"/>
              <w:right w:val="single" w:sz="4" w:space="0" w:color="000000"/>
            </w:tcBorders>
            <w:shd w:val="clear" w:color="auto" w:fill="auto"/>
            <w:vAlign w:val="center"/>
          </w:tcPr>
          <w:p w14:paraId="498CABB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76.83</w:t>
            </w:r>
          </w:p>
        </w:tc>
      </w:tr>
      <w:tr w:rsidR="00771ECA" w14:paraId="2C168AA8" w14:textId="77777777">
        <w:trPr>
          <w:trHeight w:val="285"/>
        </w:trPr>
        <w:tc>
          <w:tcPr>
            <w:tcW w:w="3391" w:type="dxa"/>
            <w:tcBorders>
              <w:left w:val="single" w:sz="4" w:space="0" w:color="000000"/>
              <w:bottom w:val="single" w:sz="4" w:space="0" w:color="000000"/>
            </w:tcBorders>
            <w:shd w:val="clear" w:color="auto" w:fill="auto"/>
            <w:vAlign w:val="center"/>
          </w:tcPr>
          <w:p w14:paraId="00990B03"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10-11</w:t>
            </w:r>
            <w:r>
              <w:rPr>
                <w:rFonts w:ascii="Arial" w:eastAsia="华文细黑" w:hAnsi="Arial" w:cs="Arial"/>
                <w:color w:val="000000"/>
                <w:sz w:val="18"/>
                <w:szCs w:val="18"/>
              </w:rPr>
              <w:t>月）</w:t>
            </w:r>
          </w:p>
        </w:tc>
        <w:tc>
          <w:tcPr>
            <w:tcW w:w="1713" w:type="dxa"/>
            <w:tcBorders>
              <w:left w:val="single" w:sz="4" w:space="0" w:color="000000"/>
              <w:bottom w:val="single" w:sz="4" w:space="0" w:color="000000"/>
            </w:tcBorders>
            <w:shd w:val="clear" w:color="auto" w:fill="auto"/>
            <w:vAlign w:val="center"/>
          </w:tcPr>
          <w:p w14:paraId="0A481BA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w:t>
            </w:r>
          </w:p>
        </w:tc>
        <w:tc>
          <w:tcPr>
            <w:tcW w:w="4194" w:type="dxa"/>
            <w:tcBorders>
              <w:left w:val="single" w:sz="4" w:space="0" w:color="000000"/>
              <w:bottom w:val="single" w:sz="4" w:space="0" w:color="000000"/>
              <w:right w:val="single" w:sz="4" w:space="0" w:color="000000"/>
            </w:tcBorders>
            <w:shd w:val="clear" w:color="auto" w:fill="auto"/>
            <w:vAlign w:val="center"/>
          </w:tcPr>
          <w:p w14:paraId="0B5A8E6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73.75</w:t>
            </w:r>
          </w:p>
        </w:tc>
      </w:tr>
      <w:tr w:rsidR="00771ECA" w14:paraId="1CD2CFD5" w14:textId="77777777">
        <w:trPr>
          <w:trHeight w:val="285"/>
        </w:trPr>
        <w:tc>
          <w:tcPr>
            <w:tcW w:w="5104" w:type="dxa"/>
            <w:gridSpan w:val="2"/>
            <w:tcBorders>
              <w:top w:val="single" w:sz="4" w:space="0" w:color="000000"/>
              <w:left w:val="single" w:sz="4" w:space="0" w:color="000000"/>
              <w:bottom w:val="single" w:sz="4" w:space="0" w:color="000000"/>
            </w:tcBorders>
            <w:shd w:val="clear" w:color="auto" w:fill="auto"/>
            <w:vAlign w:val="center"/>
          </w:tcPr>
          <w:p w14:paraId="77D220D0"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平均月租金</w:t>
            </w:r>
          </w:p>
        </w:tc>
        <w:tc>
          <w:tcPr>
            <w:tcW w:w="4194" w:type="dxa"/>
            <w:tcBorders>
              <w:left w:val="single" w:sz="4" w:space="0" w:color="000000"/>
              <w:bottom w:val="single" w:sz="4" w:space="0" w:color="000000"/>
              <w:right w:val="single" w:sz="4" w:space="0" w:color="000000"/>
            </w:tcBorders>
            <w:shd w:val="clear" w:color="auto" w:fill="auto"/>
            <w:vAlign w:val="center"/>
          </w:tcPr>
          <w:p w14:paraId="5341C29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76.02</w:t>
            </w:r>
          </w:p>
        </w:tc>
      </w:tr>
    </w:tbl>
    <w:p w14:paraId="5E7BE1F6" w14:textId="77777777" w:rsidR="00771ECA" w:rsidRDefault="00000000">
      <w:pPr>
        <w:pStyle w:val="LO-Normal"/>
        <w:autoSpaceDE w:val="0"/>
        <w:spacing w:before="240" w:line="480" w:lineRule="auto"/>
        <w:ind w:firstLine="360"/>
        <w:jc w:val="both"/>
        <w:textAlignment w:val="bottom"/>
        <w:rPr>
          <w:rFonts w:ascii="Arial" w:hAnsi="Arial" w:cs="Arial"/>
          <w:color w:val="000000"/>
          <w:sz w:val="21"/>
          <w:szCs w:val="21"/>
        </w:rPr>
      </w:pPr>
      <w:r>
        <w:rPr>
          <w:rFonts w:ascii="Arial" w:hAnsi="Arial" w:cs="Arial"/>
          <w:color w:val="000000"/>
          <w:sz w:val="18"/>
          <w:szCs w:val="18"/>
        </w:rPr>
        <w:t>注：上述样本小区租金包括地租、房屋折旧、设备折旧、维修费、保险费、物业费、供暖费、管理费、利息、利润、家具、家电租赁费及租赁税费等；不含水电费、天然气费、通信费、有线电视费、上网宽带费等。</w:t>
      </w:r>
    </w:p>
    <w:p w14:paraId="5198946D"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 xml:space="preserve">B. </w:t>
      </w:r>
      <w:r>
        <w:rPr>
          <w:rFonts w:ascii="Arial" w:hAnsi="Arial" w:cs="Arial"/>
          <w:color w:val="000000"/>
          <w:sz w:val="21"/>
          <w:szCs w:val="21"/>
        </w:rPr>
        <w:t>估价机构市场调查</w:t>
      </w:r>
    </w:p>
    <w:p w14:paraId="6582EF50" w14:textId="77777777" w:rsidR="00771ECA" w:rsidRDefault="00000000">
      <w:pPr>
        <w:pStyle w:val="LO-Normal"/>
        <w:autoSpaceDE w:val="0"/>
        <w:spacing w:line="480" w:lineRule="auto"/>
        <w:ind w:firstLine="420"/>
        <w:jc w:val="both"/>
        <w:textAlignment w:val="bottom"/>
        <w:rPr>
          <w:rFonts w:cs="Arial"/>
        </w:rPr>
      </w:pPr>
      <w:r>
        <w:rPr>
          <w:rFonts w:ascii="Arial" w:hAnsi="Arial" w:cs="Arial"/>
          <w:color w:val="000000"/>
          <w:sz w:val="21"/>
          <w:szCs w:val="21"/>
        </w:rPr>
        <w:t>样本小区一：明月听蘭</w:t>
      </w:r>
    </w:p>
    <w:tbl>
      <w:tblPr>
        <w:tblW w:w="5000" w:type="pct"/>
        <w:tblInd w:w="-113" w:type="dxa"/>
        <w:tblLook w:val="04A0" w:firstRow="1" w:lastRow="0" w:firstColumn="1" w:lastColumn="0" w:noHBand="0" w:noVBand="1"/>
      </w:tblPr>
      <w:tblGrid>
        <w:gridCol w:w="3358"/>
        <w:gridCol w:w="1741"/>
        <w:gridCol w:w="4189"/>
      </w:tblGrid>
      <w:tr w:rsidR="00771ECA" w14:paraId="69A69794" w14:textId="77777777">
        <w:trPr>
          <w:trHeight w:val="285"/>
        </w:trPr>
        <w:tc>
          <w:tcPr>
            <w:tcW w:w="3361" w:type="dxa"/>
            <w:tcBorders>
              <w:top w:val="single" w:sz="4" w:space="0" w:color="000000"/>
              <w:left w:val="single" w:sz="4" w:space="0" w:color="000000"/>
              <w:bottom w:val="single" w:sz="4" w:space="0" w:color="000000"/>
            </w:tcBorders>
            <w:shd w:val="clear" w:color="auto" w:fill="auto"/>
            <w:vAlign w:val="center"/>
          </w:tcPr>
          <w:p w14:paraId="6B23C87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时间</w:t>
            </w:r>
          </w:p>
        </w:tc>
        <w:tc>
          <w:tcPr>
            <w:tcW w:w="1743" w:type="dxa"/>
            <w:tcBorders>
              <w:top w:val="single" w:sz="4" w:space="0" w:color="000000"/>
              <w:left w:val="single" w:sz="4" w:space="0" w:color="000000"/>
              <w:bottom w:val="single" w:sz="4" w:space="0" w:color="000000"/>
            </w:tcBorders>
            <w:shd w:val="clear" w:color="auto" w:fill="auto"/>
            <w:vAlign w:val="center"/>
          </w:tcPr>
          <w:p w14:paraId="56CE9FD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样本数量</w:t>
            </w:r>
          </w:p>
        </w:tc>
        <w:tc>
          <w:tcPr>
            <w:tcW w:w="4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641C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租金平均单价（元/平方米·月）</w:t>
            </w:r>
          </w:p>
        </w:tc>
      </w:tr>
      <w:tr w:rsidR="00771ECA" w14:paraId="499384CB" w14:textId="77777777">
        <w:trPr>
          <w:trHeight w:val="285"/>
        </w:trPr>
        <w:tc>
          <w:tcPr>
            <w:tcW w:w="3361" w:type="dxa"/>
            <w:tcBorders>
              <w:left w:val="single" w:sz="4" w:space="0" w:color="000000"/>
              <w:bottom w:val="single" w:sz="4" w:space="0" w:color="000000"/>
            </w:tcBorders>
            <w:shd w:val="clear" w:color="auto" w:fill="auto"/>
            <w:vAlign w:val="center"/>
          </w:tcPr>
          <w:p w14:paraId="3712079F" w14:textId="77777777" w:rsidR="00771ECA" w:rsidRDefault="00000000">
            <w:pPr>
              <w:widowControl/>
              <w:spacing w:line="240" w:lineRule="auto"/>
              <w:jc w:val="center"/>
              <w:textAlignment w:val="auto"/>
            </w:pP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12</w:t>
            </w:r>
            <w:r>
              <w:rPr>
                <w:rFonts w:ascii="Arial" w:eastAsia="华文细黑" w:hAnsi="Arial" w:cs="Arial"/>
                <w:color w:val="000000"/>
                <w:sz w:val="18"/>
                <w:szCs w:val="18"/>
              </w:rPr>
              <w:t>月）</w:t>
            </w:r>
          </w:p>
        </w:tc>
        <w:tc>
          <w:tcPr>
            <w:tcW w:w="1743" w:type="dxa"/>
            <w:tcBorders>
              <w:left w:val="single" w:sz="4" w:space="0" w:color="000000"/>
              <w:bottom w:val="single" w:sz="4" w:space="0" w:color="000000"/>
            </w:tcBorders>
            <w:shd w:val="clear" w:color="auto" w:fill="auto"/>
            <w:vAlign w:val="center"/>
          </w:tcPr>
          <w:p w14:paraId="49BB261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w:t>
            </w:r>
          </w:p>
        </w:tc>
        <w:tc>
          <w:tcPr>
            <w:tcW w:w="4194" w:type="dxa"/>
            <w:tcBorders>
              <w:left w:val="single" w:sz="4" w:space="0" w:color="000000"/>
              <w:bottom w:val="single" w:sz="4" w:space="0" w:color="000000"/>
              <w:right w:val="single" w:sz="4" w:space="0" w:color="000000"/>
            </w:tcBorders>
            <w:shd w:val="clear" w:color="auto" w:fill="auto"/>
            <w:vAlign w:val="center"/>
          </w:tcPr>
          <w:p w14:paraId="2BB13D90"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82.15</w:t>
            </w:r>
          </w:p>
        </w:tc>
      </w:tr>
      <w:tr w:rsidR="00771ECA" w14:paraId="5C154922" w14:textId="77777777">
        <w:trPr>
          <w:trHeight w:val="285"/>
        </w:trPr>
        <w:tc>
          <w:tcPr>
            <w:tcW w:w="3361" w:type="dxa"/>
            <w:tcBorders>
              <w:left w:val="single" w:sz="4" w:space="0" w:color="000000"/>
              <w:bottom w:val="single" w:sz="4" w:space="0" w:color="000000"/>
            </w:tcBorders>
            <w:shd w:val="clear" w:color="auto" w:fill="auto"/>
            <w:vAlign w:val="center"/>
          </w:tcPr>
          <w:p w14:paraId="3B5A4486"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w:t>
            </w:r>
            <w:r>
              <w:rPr>
                <w:rFonts w:ascii="Arial" w:eastAsia="华文细黑" w:hAnsi="Arial" w:cs="Arial"/>
                <w:color w:val="000000"/>
                <w:sz w:val="18"/>
                <w:szCs w:val="18"/>
              </w:rPr>
              <w:t>季度</w:t>
            </w:r>
          </w:p>
        </w:tc>
        <w:tc>
          <w:tcPr>
            <w:tcW w:w="1743" w:type="dxa"/>
            <w:tcBorders>
              <w:left w:val="single" w:sz="4" w:space="0" w:color="000000"/>
              <w:bottom w:val="single" w:sz="4" w:space="0" w:color="000000"/>
            </w:tcBorders>
            <w:shd w:val="clear" w:color="auto" w:fill="auto"/>
            <w:vAlign w:val="center"/>
          </w:tcPr>
          <w:p w14:paraId="1103AE49"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w:t>
            </w:r>
          </w:p>
        </w:tc>
        <w:tc>
          <w:tcPr>
            <w:tcW w:w="4194" w:type="dxa"/>
            <w:tcBorders>
              <w:left w:val="single" w:sz="4" w:space="0" w:color="000000"/>
              <w:bottom w:val="single" w:sz="4" w:space="0" w:color="000000"/>
              <w:right w:val="single" w:sz="4" w:space="0" w:color="000000"/>
            </w:tcBorders>
            <w:shd w:val="clear" w:color="auto" w:fill="auto"/>
            <w:vAlign w:val="center"/>
          </w:tcPr>
          <w:p w14:paraId="5541E5A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81.3</w:t>
            </w:r>
          </w:p>
        </w:tc>
      </w:tr>
      <w:tr w:rsidR="00771ECA" w14:paraId="300CCF7C" w14:textId="77777777">
        <w:trPr>
          <w:trHeight w:val="285"/>
        </w:trPr>
        <w:tc>
          <w:tcPr>
            <w:tcW w:w="3361" w:type="dxa"/>
            <w:tcBorders>
              <w:left w:val="single" w:sz="4" w:space="0" w:color="000000"/>
              <w:bottom w:val="single" w:sz="4" w:space="0" w:color="000000"/>
            </w:tcBorders>
            <w:shd w:val="clear" w:color="auto" w:fill="auto"/>
            <w:vAlign w:val="center"/>
          </w:tcPr>
          <w:p w14:paraId="37A38008"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2</w:t>
            </w:r>
            <w:r>
              <w:rPr>
                <w:rFonts w:ascii="Arial" w:eastAsia="华文细黑" w:hAnsi="Arial" w:cs="Arial"/>
                <w:color w:val="000000"/>
                <w:sz w:val="18"/>
                <w:szCs w:val="18"/>
              </w:rPr>
              <w:t>季度</w:t>
            </w:r>
          </w:p>
        </w:tc>
        <w:tc>
          <w:tcPr>
            <w:tcW w:w="1743" w:type="dxa"/>
            <w:tcBorders>
              <w:left w:val="single" w:sz="4" w:space="0" w:color="000000"/>
              <w:bottom w:val="single" w:sz="4" w:space="0" w:color="000000"/>
            </w:tcBorders>
            <w:shd w:val="clear" w:color="auto" w:fill="auto"/>
            <w:vAlign w:val="center"/>
          </w:tcPr>
          <w:p w14:paraId="1673953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w:t>
            </w:r>
          </w:p>
        </w:tc>
        <w:tc>
          <w:tcPr>
            <w:tcW w:w="4194" w:type="dxa"/>
            <w:tcBorders>
              <w:left w:val="single" w:sz="4" w:space="0" w:color="000000"/>
              <w:bottom w:val="single" w:sz="4" w:space="0" w:color="000000"/>
              <w:right w:val="single" w:sz="4" w:space="0" w:color="000000"/>
            </w:tcBorders>
            <w:shd w:val="clear" w:color="auto" w:fill="auto"/>
            <w:vAlign w:val="center"/>
          </w:tcPr>
          <w:p w14:paraId="6B301E7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72.73</w:t>
            </w:r>
          </w:p>
        </w:tc>
      </w:tr>
      <w:tr w:rsidR="00771ECA" w14:paraId="6D79287F" w14:textId="77777777">
        <w:trPr>
          <w:trHeight w:val="285"/>
        </w:trPr>
        <w:tc>
          <w:tcPr>
            <w:tcW w:w="3361" w:type="dxa"/>
            <w:tcBorders>
              <w:left w:val="single" w:sz="4" w:space="0" w:color="000000"/>
              <w:bottom w:val="single" w:sz="4" w:space="0" w:color="000000"/>
            </w:tcBorders>
            <w:shd w:val="clear" w:color="auto" w:fill="auto"/>
            <w:vAlign w:val="center"/>
          </w:tcPr>
          <w:p w14:paraId="76809A64"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3</w:t>
            </w:r>
            <w:r>
              <w:rPr>
                <w:rFonts w:ascii="Arial" w:eastAsia="华文细黑" w:hAnsi="Arial" w:cs="Arial"/>
                <w:color w:val="000000"/>
                <w:sz w:val="18"/>
                <w:szCs w:val="18"/>
              </w:rPr>
              <w:t>季度</w:t>
            </w:r>
          </w:p>
        </w:tc>
        <w:tc>
          <w:tcPr>
            <w:tcW w:w="1743" w:type="dxa"/>
            <w:tcBorders>
              <w:left w:val="single" w:sz="4" w:space="0" w:color="000000"/>
              <w:bottom w:val="single" w:sz="4" w:space="0" w:color="000000"/>
            </w:tcBorders>
            <w:shd w:val="clear" w:color="auto" w:fill="auto"/>
            <w:vAlign w:val="center"/>
          </w:tcPr>
          <w:p w14:paraId="3EAFE01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w:t>
            </w:r>
          </w:p>
        </w:tc>
        <w:tc>
          <w:tcPr>
            <w:tcW w:w="4194" w:type="dxa"/>
            <w:tcBorders>
              <w:left w:val="single" w:sz="4" w:space="0" w:color="000000"/>
              <w:bottom w:val="single" w:sz="4" w:space="0" w:color="000000"/>
              <w:right w:val="single" w:sz="4" w:space="0" w:color="000000"/>
            </w:tcBorders>
            <w:shd w:val="clear" w:color="auto" w:fill="auto"/>
            <w:vAlign w:val="center"/>
          </w:tcPr>
          <w:p w14:paraId="7C33E22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75.63</w:t>
            </w:r>
          </w:p>
        </w:tc>
      </w:tr>
      <w:tr w:rsidR="00771ECA" w14:paraId="447E85FA" w14:textId="77777777">
        <w:trPr>
          <w:trHeight w:val="285"/>
        </w:trPr>
        <w:tc>
          <w:tcPr>
            <w:tcW w:w="3361" w:type="dxa"/>
            <w:tcBorders>
              <w:left w:val="single" w:sz="4" w:space="0" w:color="000000"/>
              <w:bottom w:val="single" w:sz="4" w:space="0" w:color="000000"/>
            </w:tcBorders>
            <w:shd w:val="clear" w:color="auto" w:fill="auto"/>
            <w:vAlign w:val="center"/>
          </w:tcPr>
          <w:p w14:paraId="5C13810D"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10-11</w:t>
            </w:r>
            <w:r>
              <w:rPr>
                <w:rFonts w:ascii="Arial" w:eastAsia="华文细黑" w:hAnsi="Arial" w:cs="Arial"/>
                <w:color w:val="000000"/>
                <w:sz w:val="18"/>
                <w:szCs w:val="18"/>
              </w:rPr>
              <w:t>月）</w:t>
            </w:r>
          </w:p>
        </w:tc>
        <w:tc>
          <w:tcPr>
            <w:tcW w:w="1743" w:type="dxa"/>
            <w:tcBorders>
              <w:left w:val="single" w:sz="4" w:space="0" w:color="000000"/>
              <w:bottom w:val="single" w:sz="4" w:space="0" w:color="000000"/>
            </w:tcBorders>
            <w:shd w:val="clear" w:color="auto" w:fill="auto"/>
            <w:vAlign w:val="center"/>
          </w:tcPr>
          <w:p w14:paraId="734AC5B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w:t>
            </w:r>
          </w:p>
        </w:tc>
        <w:tc>
          <w:tcPr>
            <w:tcW w:w="4194" w:type="dxa"/>
            <w:tcBorders>
              <w:left w:val="single" w:sz="4" w:space="0" w:color="000000"/>
              <w:bottom w:val="single" w:sz="4" w:space="0" w:color="000000"/>
              <w:right w:val="single" w:sz="4" w:space="0" w:color="000000"/>
            </w:tcBorders>
            <w:shd w:val="clear" w:color="auto" w:fill="auto"/>
            <w:vAlign w:val="center"/>
          </w:tcPr>
          <w:p w14:paraId="16909A5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73.84</w:t>
            </w:r>
          </w:p>
        </w:tc>
      </w:tr>
      <w:tr w:rsidR="00771ECA" w14:paraId="1AAB948C" w14:textId="77777777">
        <w:trPr>
          <w:trHeight w:val="285"/>
        </w:trPr>
        <w:tc>
          <w:tcPr>
            <w:tcW w:w="5104" w:type="dxa"/>
            <w:gridSpan w:val="2"/>
            <w:tcBorders>
              <w:top w:val="single" w:sz="4" w:space="0" w:color="000000"/>
              <w:left w:val="single" w:sz="4" w:space="0" w:color="000000"/>
              <w:bottom w:val="single" w:sz="4" w:space="0" w:color="000000"/>
            </w:tcBorders>
            <w:shd w:val="clear" w:color="auto" w:fill="auto"/>
            <w:vAlign w:val="center"/>
          </w:tcPr>
          <w:p w14:paraId="44E6976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平均月租金</w:t>
            </w:r>
          </w:p>
        </w:tc>
        <w:tc>
          <w:tcPr>
            <w:tcW w:w="4194" w:type="dxa"/>
            <w:tcBorders>
              <w:left w:val="single" w:sz="4" w:space="0" w:color="000000"/>
              <w:bottom w:val="single" w:sz="4" w:space="0" w:color="000000"/>
              <w:right w:val="single" w:sz="4" w:space="0" w:color="000000"/>
            </w:tcBorders>
            <w:shd w:val="clear" w:color="auto" w:fill="auto"/>
            <w:vAlign w:val="center"/>
          </w:tcPr>
          <w:p w14:paraId="5D4AD3C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77.13</w:t>
            </w:r>
          </w:p>
        </w:tc>
      </w:tr>
    </w:tbl>
    <w:p w14:paraId="436E801F" w14:textId="77777777" w:rsidR="00771ECA" w:rsidRDefault="00000000">
      <w:pPr>
        <w:pStyle w:val="LO-Normal"/>
        <w:autoSpaceDE w:val="0"/>
        <w:spacing w:before="240" w:line="480" w:lineRule="auto"/>
        <w:ind w:firstLine="420"/>
        <w:jc w:val="both"/>
        <w:textAlignment w:val="bottom"/>
        <w:rPr>
          <w:rFonts w:cs="Arial"/>
        </w:rPr>
      </w:pPr>
      <w:r>
        <w:rPr>
          <w:rFonts w:ascii="Arial" w:hAnsi="Arial" w:cs="Arial"/>
          <w:color w:val="000000"/>
          <w:sz w:val="21"/>
          <w:szCs w:val="21"/>
        </w:rPr>
        <w:t>样本小区二：北京经开</w:t>
      </w:r>
      <w:r>
        <w:rPr>
          <w:rFonts w:ascii="Arial" w:hAnsi="Arial" w:cs="Arial"/>
          <w:color w:val="000000"/>
          <w:sz w:val="21"/>
          <w:szCs w:val="21"/>
        </w:rPr>
        <w:t>·</w:t>
      </w:r>
      <w:r>
        <w:rPr>
          <w:rFonts w:ascii="Arial" w:hAnsi="Arial" w:cs="Arial"/>
          <w:color w:val="000000"/>
          <w:sz w:val="21"/>
          <w:szCs w:val="21"/>
        </w:rPr>
        <w:t>汀塘</w:t>
      </w:r>
    </w:p>
    <w:tbl>
      <w:tblPr>
        <w:tblW w:w="5000" w:type="pct"/>
        <w:tblInd w:w="-113" w:type="dxa"/>
        <w:tblLook w:val="04A0" w:firstRow="1" w:lastRow="0" w:firstColumn="1" w:lastColumn="0" w:noHBand="0" w:noVBand="1"/>
      </w:tblPr>
      <w:tblGrid>
        <w:gridCol w:w="3389"/>
        <w:gridCol w:w="1722"/>
        <w:gridCol w:w="4177"/>
      </w:tblGrid>
      <w:tr w:rsidR="00771ECA" w14:paraId="66DB184E" w14:textId="77777777">
        <w:trPr>
          <w:trHeight w:val="285"/>
        </w:trPr>
        <w:tc>
          <w:tcPr>
            <w:tcW w:w="3392" w:type="dxa"/>
            <w:tcBorders>
              <w:top w:val="single" w:sz="4" w:space="0" w:color="000000"/>
              <w:left w:val="single" w:sz="4" w:space="0" w:color="000000"/>
              <w:bottom w:val="single" w:sz="4" w:space="0" w:color="000000"/>
            </w:tcBorders>
            <w:shd w:val="clear" w:color="auto" w:fill="auto"/>
            <w:vAlign w:val="center"/>
          </w:tcPr>
          <w:p w14:paraId="0136071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时间</w:t>
            </w:r>
          </w:p>
        </w:tc>
        <w:tc>
          <w:tcPr>
            <w:tcW w:w="1724" w:type="dxa"/>
            <w:tcBorders>
              <w:top w:val="single" w:sz="4" w:space="0" w:color="000000"/>
              <w:left w:val="single" w:sz="4" w:space="0" w:color="000000"/>
              <w:bottom w:val="single" w:sz="4" w:space="0" w:color="000000"/>
            </w:tcBorders>
            <w:shd w:val="clear" w:color="auto" w:fill="auto"/>
            <w:vAlign w:val="center"/>
          </w:tcPr>
          <w:p w14:paraId="10BBEC4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样本数量</w:t>
            </w:r>
          </w:p>
        </w:tc>
        <w:tc>
          <w:tcPr>
            <w:tcW w:w="4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4C9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租金平均单价（元/平方米·月）</w:t>
            </w:r>
          </w:p>
        </w:tc>
      </w:tr>
      <w:tr w:rsidR="00771ECA" w14:paraId="75F8153F" w14:textId="77777777">
        <w:trPr>
          <w:trHeight w:val="285"/>
        </w:trPr>
        <w:tc>
          <w:tcPr>
            <w:tcW w:w="3392" w:type="dxa"/>
            <w:tcBorders>
              <w:left w:val="single" w:sz="4" w:space="0" w:color="000000"/>
              <w:bottom w:val="single" w:sz="4" w:space="0" w:color="000000"/>
            </w:tcBorders>
            <w:shd w:val="clear" w:color="auto" w:fill="auto"/>
            <w:vAlign w:val="center"/>
          </w:tcPr>
          <w:p w14:paraId="7E40498D" w14:textId="77777777" w:rsidR="00771ECA" w:rsidRDefault="00000000">
            <w:pPr>
              <w:widowControl/>
              <w:spacing w:line="240" w:lineRule="auto"/>
              <w:jc w:val="center"/>
              <w:textAlignment w:val="auto"/>
            </w:pP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12</w:t>
            </w:r>
            <w:r>
              <w:rPr>
                <w:rFonts w:ascii="Arial" w:eastAsia="华文细黑" w:hAnsi="Arial" w:cs="Arial"/>
                <w:color w:val="000000"/>
                <w:sz w:val="18"/>
                <w:szCs w:val="18"/>
              </w:rPr>
              <w:t>月）</w:t>
            </w:r>
          </w:p>
        </w:tc>
        <w:tc>
          <w:tcPr>
            <w:tcW w:w="1724" w:type="dxa"/>
            <w:tcBorders>
              <w:left w:val="single" w:sz="4" w:space="0" w:color="000000"/>
              <w:bottom w:val="single" w:sz="4" w:space="0" w:color="000000"/>
            </w:tcBorders>
            <w:shd w:val="clear" w:color="auto" w:fill="auto"/>
            <w:vAlign w:val="center"/>
          </w:tcPr>
          <w:p w14:paraId="0352AD3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w:t>
            </w:r>
          </w:p>
        </w:tc>
        <w:tc>
          <w:tcPr>
            <w:tcW w:w="4182" w:type="dxa"/>
            <w:tcBorders>
              <w:left w:val="single" w:sz="4" w:space="0" w:color="000000"/>
              <w:bottom w:val="single" w:sz="4" w:space="0" w:color="000000"/>
              <w:right w:val="single" w:sz="4" w:space="0" w:color="000000"/>
            </w:tcBorders>
            <w:shd w:val="clear" w:color="auto" w:fill="auto"/>
            <w:vAlign w:val="center"/>
          </w:tcPr>
          <w:p w14:paraId="15CD09A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76.67</w:t>
            </w:r>
          </w:p>
        </w:tc>
      </w:tr>
      <w:tr w:rsidR="00771ECA" w14:paraId="3E6FDB02" w14:textId="77777777">
        <w:trPr>
          <w:trHeight w:val="285"/>
        </w:trPr>
        <w:tc>
          <w:tcPr>
            <w:tcW w:w="3392" w:type="dxa"/>
            <w:tcBorders>
              <w:left w:val="single" w:sz="4" w:space="0" w:color="000000"/>
              <w:bottom w:val="single" w:sz="4" w:space="0" w:color="000000"/>
            </w:tcBorders>
            <w:shd w:val="clear" w:color="auto" w:fill="auto"/>
            <w:vAlign w:val="center"/>
          </w:tcPr>
          <w:p w14:paraId="495410F7"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w:t>
            </w:r>
            <w:r>
              <w:rPr>
                <w:rFonts w:ascii="Arial" w:eastAsia="华文细黑" w:hAnsi="Arial" w:cs="Arial"/>
                <w:color w:val="000000"/>
                <w:sz w:val="18"/>
                <w:szCs w:val="18"/>
              </w:rPr>
              <w:t>季度</w:t>
            </w:r>
          </w:p>
        </w:tc>
        <w:tc>
          <w:tcPr>
            <w:tcW w:w="1724" w:type="dxa"/>
            <w:tcBorders>
              <w:left w:val="single" w:sz="4" w:space="0" w:color="000000"/>
              <w:bottom w:val="single" w:sz="4" w:space="0" w:color="000000"/>
            </w:tcBorders>
            <w:shd w:val="clear" w:color="auto" w:fill="auto"/>
            <w:vAlign w:val="center"/>
          </w:tcPr>
          <w:p w14:paraId="391BAFF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w:t>
            </w:r>
          </w:p>
        </w:tc>
        <w:tc>
          <w:tcPr>
            <w:tcW w:w="4182" w:type="dxa"/>
            <w:tcBorders>
              <w:left w:val="single" w:sz="4" w:space="0" w:color="000000"/>
              <w:bottom w:val="single" w:sz="4" w:space="0" w:color="000000"/>
              <w:right w:val="single" w:sz="4" w:space="0" w:color="000000"/>
            </w:tcBorders>
            <w:shd w:val="clear" w:color="auto" w:fill="auto"/>
            <w:vAlign w:val="center"/>
          </w:tcPr>
          <w:p w14:paraId="763A879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69.57</w:t>
            </w:r>
          </w:p>
        </w:tc>
      </w:tr>
      <w:tr w:rsidR="00771ECA" w14:paraId="274BF0A7" w14:textId="77777777">
        <w:trPr>
          <w:trHeight w:val="285"/>
        </w:trPr>
        <w:tc>
          <w:tcPr>
            <w:tcW w:w="3392" w:type="dxa"/>
            <w:tcBorders>
              <w:left w:val="single" w:sz="4" w:space="0" w:color="000000"/>
              <w:bottom w:val="single" w:sz="4" w:space="0" w:color="000000"/>
            </w:tcBorders>
            <w:shd w:val="clear" w:color="auto" w:fill="auto"/>
            <w:vAlign w:val="center"/>
          </w:tcPr>
          <w:p w14:paraId="6431B603"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2</w:t>
            </w:r>
            <w:r>
              <w:rPr>
                <w:rFonts w:ascii="Arial" w:eastAsia="华文细黑" w:hAnsi="Arial" w:cs="Arial"/>
                <w:color w:val="000000"/>
                <w:sz w:val="18"/>
                <w:szCs w:val="18"/>
              </w:rPr>
              <w:t>季度</w:t>
            </w:r>
          </w:p>
        </w:tc>
        <w:tc>
          <w:tcPr>
            <w:tcW w:w="1724" w:type="dxa"/>
            <w:tcBorders>
              <w:left w:val="single" w:sz="4" w:space="0" w:color="000000"/>
              <w:bottom w:val="single" w:sz="4" w:space="0" w:color="000000"/>
            </w:tcBorders>
            <w:shd w:val="clear" w:color="auto" w:fill="auto"/>
            <w:vAlign w:val="center"/>
          </w:tcPr>
          <w:p w14:paraId="62208C9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w:t>
            </w:r>
          </w:p>
        </w:tc>
        <w:tc>
          <w:tcPr>
            <w:tcW w:w="4182" w:type="dxa"/>
            <w:tcBorders>
              <w:left w:val="single" w:sz="4" w:space="0" w:color="000000"/>
              <w:bottom w:val="single" w:sz="4" w:space="0" w:color="000000"/>
              <w:right w:val="single" w:sz="4" w:space="0" w:color="000000"/>
            </w:tcBorders>
            <w:shd w:val="clear" w:color="auto" w:fill="auto"/>
            <w:vAlign w:val="center"/>
          </w:tcPr>
          <w:p w14:paraId="15BDA41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72.06</w:t>
            </w:r>
          </w:p>
        </w:tc>
      </w:tr>
      <w:tr w:rsidR="00771ECA" w14:paraId="2CE9DED7" w14:textId="77777777">
        <w:trPr>
          <w:trHeight w:val="285"/>
        </w:trPr>
        <w:tc>
          <w:tcPr>
            <w:tcW w:w="3392" w:type="dxa"/>
            <w:tcBorders>
              <w:left w:val="single" w:sz="4" w:space="0" w:color="000000"/>
              <w:bottom w:val="single" w:sz="4" w:space="0" w:color="000000"/>
            </w:tcBorders>
            <w:shd w:val="clear" w:color="auto" w:fill="auto"/>
            <w:vAlign w:val="center"/>
          </w:tcPr>
          <w:p w14:paraId="275BED4B"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3</w:t>
            </w:r>
            <w:r>
              <w:rPr>
                <w:rFonts w:ascii="Arial" w:eastAsia="华文细黑" w:hAnsi="Arial" w:cs="Arial"/>
                <w:color w:val="000000"/>
                <w:sz w:val="18"/>
                <w:szCs w:val="18"/>
              </w:rPr>
              <w:t>季度</w:t>
            </w:r>
          </w:p>
        </w:tc>
        <w:tc>
          <w:tcPr>
            <w:tcW w:w="1724" w:type="dxa"/>
            <w:tcBorders>
              <w:left w:val="single" w:sz="4" w:space="0" w:color="000000"/>
              <w:bottom w:val="single" w:sz="4" w:space="0" w:color="000000"/>
            </w:tcBorders>
            <w:shd w:val="clear" w:color="auto" w:fill="auto"/>
            <w:vAlign w:val="center"/>
          </w:tcPr>
          <w:p w14:paraId="0CAB19A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82" w:type="dxa"/>
            <w:tcBorders>
              <w:left w:val="single" w:sz="4" w:space="0" w:color="000000"/>
              <w:bottom w:val="single" w:sz="4" w:space="0" w:color="000000"/>
              <w:right w:val="single" w:sz="4" w:space="0" w:color="000000"/>
            </w:tcBorders>
            <w:shd w:val="clear" w:color="auto" w:fill="auto"/>
            <w:vAlign w:val="center"/>
          </w:tcPr>
          <w:p w14:paraId="1B05145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41CE2C36" w14:textId="77777777">
        <w:trPr>
          <w:trHeight w:val="285"/>
        </w:trPr>
        <w:tc>
          <w:tcPr>
            <w:tcW w:w="3392" w:type="dxa"/>
            <w:tcBorders>
              <w:left w:val="single" w:sz="4" w:space="0" w:color="000000"/>
              <w:bottom w:val="single" w:sz="4" w:space="0" w:color="000000"/>
            </w:tcBorders>
            <w:shd w:val="clear" w:color="auto" w:fill="auto"/>
            <w:vAlign w:val="center"/>
          </w:tcPr>
          <w:p w14:paraId="2316AF68"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10-11</w:t>
            </w:r>
            <w:r>
              <w:rPr>
                <w:rFonts w:ascii="Arial" w:eastAsia="华文细黑" w:hAnsi="Arial" w:cs="Arial"/>
                <w:color w:val="000000"/>
                <w:sz w:val="18"/>
                <w:szCs w:val="18"/>
              </w:rPr>
              <w:t>月）</w:t>
            </w:r>
          </w:p>
        </w:tc>
        <w:tc>
          <w:tcPr>
            <w:tcW w:w="1724" w:type="dxa"/>
            <w:tcBorders>
              <w:left w:val="single" w:sz="4" w:space="0" w:color="000000"/>
              <w:bottom w:val="single" w:sz="4" w:space="0" w:color="000000"/>
            </w:tcBorders>
            <w:shd w:val="clear" w:color="auto" w:fill="auto"/>
            <w:vAlign w:val="center"/>
          </w:tcPr>
          <w:p w14:paraId="3853DF5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w:t>
            </w:r>
          </w:p>
        </w:tc>
        <w:tc>
          <w:tcPr>
            <w:tcW w:w="4182" w:type="dxa"/>
            <w:tcBorders>
              <w:left w:val="single" w:sz="4" w:space="0" w:color="000000"/>
              <w:bottom w:val="single" w:sz="4" w:space="0" w:color="000000"/>
              <w:right w:val="single" w:sz="4" w:space="0" w:color="000000"/>
            </w:tcBorders>
            <w:shd w:val="clear" w:color="auto" w:fill="auto"/>
            <w:vAlign w:val="center"/>
          </w:tcPr>
          <w:p w14:paraId="04AB7C5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80.53</w:t>
            </w:r>
          </w:p>
        </w:tc>
      </w:tr>
      <w:tr w:rsidR="00771ECA" w14:paraId="27FC0D46" w14:textId="77777777">
        <w:trPr>
          <w:trHeight w:val="285"/>
        </w:trPr>
        <w:tc>
          <w:tcPr>
            <w:tcW w:w="5116" w:type="dxa"/>
            <w:gridSpan w:val="2"/>
            <w:tcBorders>
              <w:top w:val="single" w:sz="4" w:space="0" w:color="000000"/>
              <w:left w:val="single" w:sz="4" w:space="0" w:color="000000"/>
              <w:bottom w:val="single" w:sz="4" w:space="0" w:color="000000"/>
            </w:tcBorders>
            <w:shd w:val="clear" w:color="auto" w:fill="auto"/>
            <w:vAlign w:val="center"/>
          </w:tcPr>
          <w:p w14:paraId="1D82F13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平均月租金</w:t>
            </w:r>
          </w:p>
        </w:tc>
        <w:tc>
          <w:tcPr>
            <w:tcW w:w="4182" w:type="dxa"/>
            <w:tcBorders>
              <w:left w:val="single" w:sz="4" w:space="0" w:color="000000"/>
              <w:bottom w:val="single" w:sz="4" w:space="0" w:color="000000"/>
              <w:right w:val="single" w:sz="4" w:space="0" w:color="000000"/>
            </w:tcBorders>
            <w:shd w:val="clear" w:color="auto" w:fill="auto"/>
            <w:vAlign w:val="center"/>
          </w:tcPr>
          <w:p w14:paraId="436C2CB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74.71</w:t>
            </w:r>
          </w:p>
        </w:tc>
      </w:tr>
    </w:tbl>
    <w:p w14:paraId="0B95F107" w14:textId="77777777" w:rsidR="00771ECA" w:rsidRDefault="00000000">
      <w:pPr>
        <w:pStyle w:val="LO-Normal"/>
        <w:autoSpaceDE w:val="0"/>
        <w:spacing w:before="240" w:line="480" w:lineRule="auto"/>
        <w:ind w:firstLine="420"/>
        <w:jc w:val="both"/>
        <w:textAlignment w:val="bottom"/>
        <w:rPr>
          <w:rFonts w:cs="Arial"/>
        </w:rPr>
      </w:pPr>
      <w:r>
        <w:rPr>
          <w:rFonts w:ascii="Arial" w:hAnsi="Arial" w:cs="Arial"/>
          <w:color w:val="000000"/>
          <w:sz w:val="21"/>
          <w:szCs w:val="21"/>
        </w:rPr>
        <w:t>样本小区三：通泰国际公馆</w:t>
      </w:r>
    </w:p>
    <w:tbl>
      <w:tblPr>
        <w:tblW w:w="5000" w:type="pct"/>
        <w:tblInd w:w="-113" w:type="dxa"/>
        <w:tblLook w:val="04A0" w:firstRow="1" w:lastRow="0" w:firstColumn="1" w:lastColumn="0" w:noHBand="0" w:noVBand="1"/>
      </w:tblPr>
      <w:tblGrid>
        <w:gridCol w:w="3388"/>
        <w:gridCol w:w="1711"/>
        <w:gridCol w:w="4189"/>
      </w:tblGrid>
      <w:tr w:rsidR="00771ECA" w14:paraId="4D848928" w14:textId="77777777">
        <w:trPr>
          <w:trHeight w:val="285"/>
        </w:trPr>
        <w:tc>
          <w:tcPr>
            <w:tcW w:w="3391" w:type="dxa"/>
            <w:tcBorders>
              <w:top w:val="single" w:sz="4" w:space="0" w:color="000000"/>
              <w:left w:val="single" w:sz="4" w:space="0" w:color="000000"/>
              <w:bottom w:val="single" w:sz="4" w:space="0" w:color="000000"/>
            </w:tcBorders>
            <w:shd w:val="clear" w:color="auto" w:fill="auto"/>
            <w:vAlign w:val="center"/>
          </w:tcPr>
          <w:p w14:paraId="124C4EAC"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时间</w:t>
            </w:r>
          </w:p>
        </w:tc>
        <w:tc>
          <w:tcPr>
            <w:tcW w:w="1713" w:type="dxa"/>
            <w:tcBorders>
              <w:top w:val="single" w:sz="4" w:space="0" w:color="000000"/>
              <w:left w:val="single" w:sz="4" w:space="0" w:color="000000"/>
              <w:bottom w:val="single" w:sz="4" w:space="0" w:color="000000"/>
            </w:tcBorders>
            <w:shd w:val="clear" w:color="auto" w:fill="auto"/>
            <w:vAlign w:val="center"/>
          </w:tcPr>
          <w:p w14:paraId="1472C7A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样本数量</w:t>
            </w:r>
          </w:p>
        </w:tc>
        <w:tc>
          <w:tcPr>
            <w:tcW w:w="4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1D066"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租金平均单价（元/平方米·月）</w:t>
            </w:r>
          </w:p>
        </w:tc>
      </w:tr>
      <w:tr w:rsidR="00771ECA" w14:paraId="28CFE620" w14:textId="77777777">
        <w:trPr>
          <w:trHeight w:val="285"/>
        </w:trPr>
        <w:tc>
          <w:tcPr>
            <w:tcW w:w="3391" w:type="dxa"/>
            <w:tcBorders>
              <w:left w:val="single" w:sz="4" w:space="0" w:color="000000"/>
              <w:bottom w:val="single" w:sz="4" w:space="0" w:color="000000"/>
            </w:tcBorders>
            <w:shd w:val="clear" w:color="auto" w:fill="auto"/>
            <w:vAlign w:val="center"/>
          </w:tcPr>
          <w:p w14:paraId="708EB4E5" w14:textId="77777777" w:rsidR="00771ECA" w:rsidRDefault="00000000">
            <w:pPr>
              <w:widowControl/>
              <w:spacing w:line="240" w:lineRule="auto"/>
              <w:jc w:val="center"/>
              <w:textAlignment w:val="auto"/>
            </w:pP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2022</w:t>
            </w:r>
            <w:r>
              <w:rPr>
                <w:rFonts w:ascii="Arial" w:eastAsia="华文细黑" w:hAnsi="Arial" w:cs="Arial"/>
                <w:color w:val="000000"/>
                <w:sz w:val="18"/>
                <w:szCs w:val="18"/>
              </w:rPr>
              <w:t>年</w:t>
            </w:r>
            <w:r>
              <w:rPr>
                <w:rFonts w:ascii="Arial" w:eastAsia="华文细黑" w:hAnsi="Arial" w:cs="Arial"/>
                <w:color w:val="000000"/>
                <w:sz w:val="18"/>
                <w:szCs w:val="18"/>
              </w:rPr>
              <w:t>12</w:t>
            </w:r>
            <w:r>
              <w:rPr>
                <w:rFonts w:ascii="Arial" w:eastAsia="华文细黑" w:hAnsi="Arial" w:cs="Arial"/>
                <w:color w:val="000000"/>
                <w:sz w:val="18"/>
                <w:szCs w:val="18"/>
              </w:rPr>
              <w:t>月）</w:t>
            </w:r>
          </w:p>
        </w:tc>
        <w:tc>
          <w:tcPr>
            <w:tcW w:w="1713" w:type="dxa"/>
            <w:tcBorders>
              <w:left w:val="single" w:sz="4" w:space="0" w:color="000000"/>
              <w:bottom w:val="single" w:sz="4" w:space="0" w:color="000000"/>
            </w:tcBorders>
            <w:shd w:val="clear" w:color="auto" w:fill="auto"/>
            <w:vAlign w:val="center"/>
          </w:tcPr>
          <w:p w14:paraId="2DBEAE9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w:t>
            </w:r>
          </w:p>
        </w:tc>
        <w:tc>
          <w:tcPr>
            <w:tcW w:w="4194" w:type="dxa"/>
            <w:tcBorders>
              <w:left w:val="single" w:sz="4" w:space="0" w:color="000000"/>
              <w:bottom w:val="single" w:sz="4" w:space="0" w:color="000000"/>
              <w:right w:val="single" w:sz="4" w:space="0" w:color="000000"/>
            </w:tcBorders>
            <w:shd w:val="clear" w:color="auto" w:fill="auto"/>
            <w:vAlign w:val="center"/>
          </w:tcPr>
          <w:p w14:paraId="073C212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71.46</w:t>
            </w:r>
          </w:p>
        </w:tc>
      </w:tr>
      <w:tr w:rsidR="00771ECA" w14:paraId="0FED810E" w14:textId="77777777">
        <w:trPr>
          <w:trHeight w:val="285"/>
        </w:trPr>
        <w:tc>
          <w:tcPr>
            <w:tcW w:w="3391" w:type="dxa"/>
            <w:tcBorders>
              <w:left w:val="single" w:sz="4" w:space="0" w:color="000000"/>
              <w:bottom w:val="single" w:sz="4" w:space="0" w:color="000000"/>
            </w:tcBorders>
            <w:shd w:val="clear" w:color="auto" w:fill="auto"/>
            <w:vAlign w:val="center"/>
          </w:tcPr>
          <w:p w14:paraId="4ABC2C1F"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w:t>
            </w:r>
            <w:r>
              <w:rPr>
                <w:rFonts w:ascii="Arial" w:eastAsia="华文细黑" w:hAnsi="Arial" w:cs="Arial"/>
                <w:color w:val="000000"/>
                <w:sz w:val="18"/>
                <w:szCs w:val="18"/>
              </w:rPr>
              <w:t>季度</w:t>
            </w:r>
          </w:p>
        </w:tc>
        <w:tc>
          <w:tcPr>
            <w:tcW w:w="1713" w:type="dxa"/>
            <w:tcBorders>
              <w:left w:val="single" w:sz="4" w:space="0" w:color="000000"/>
              <w:bottom w:val="single" w:sz="4" w:space="0" w:color="000000"/>
            </w:tcBorders>
            <w:shd w:val="clear" w:color="auto" w:fill="auto"/>
            <w:vAlign w:val="center"/>
          </w:tcPr>
          <w:p w14:paraId="2FF57A9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w:t>
            </w:r>
          </w:p>
        </w:tc>
        <w:tc>
          <w:tcPr>
            <w:tcW w:w="4194" w:type="dxa"/>
            <w:tcBorders>
              <w:left w:val="single" w:sz="4" w:space="0" w:color="000000"/>
              <w:bottom w:val="single" w:sz="4" w:space="0" w:color="000000"/>
              <w:right w:val="single" w:sz="4" w:space="0" w:color="000000"/>
            </w:tcBorders>
            <w:shd w:val="clear" w:color="auto" w:fill="auto"/>
            <w:vAlign w:val="center"/>
          </w:tcPr>
          <w:p w14:paraId="776C470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70.23</w:t>
            </w:r>
          </w:p>
        </w:tc>
      </w:tr>
      <w:tr w:rsidR="00771ECA" w14:paraId="245A8D1C" w14:textId="77777777">
        <w:trPr>
          <w:trHeight w:val="285"/>
        </w:trPr>
        <w:tc>
          <w:tcPr>
            <w:tcW w:w="3391" w:type="dxa"/>
            <w:tcBorders>
              <w:left w:val="single" w:sz="4" w:space="0" w:color="000000"/>
              <w:bottom w:val="single" w:sz="4" w:space="0" w:color="000000"/>
            </w:tcBorders>
            <w:shd w:val="clear" w:color="auto" w:fill="auto"/>
            <w:vAlign w:val="center"/>
          </w:tcPr>
          <w:p w14:paraId="257CC1D7" w14:textId="77777777" w:rsidR="00771ECA" w:rsidRDefault="00000000">
            <w:pPr>
              <w:widowControl/>
              <w:spacing w:line="240" w:lineRule="auto"/>
              <w:jc w:val="center"/>
              <w:textAlignment w:val="auto"/>
            </w:pPr>
            <w:r>
              <w:rPr>
                <w:rFonts w:ascii="Arial" w:eastAsia="华文细黑" w:hAnsi="Arial" w:cs="Arial"/>
                <w:color w:val="000000"/>
                <w:sz w:val="18"/>
                <w:szCs w:val="18"/>
              </w:rPr>
              <w:lastRenderedPageBreak/>
              <w:t>2023</w:t>
            </w:r>
            <w:r>
              <w:rPr>
                <w:rFonts w:ascii="Arial" w:eastAsia="华文细黑" w:hAnsi="Arial" w:cs="Arial"/>
                <w:color w:val="000000"/>
                <w:sz w:val="18"/>
                <w:szCs w:val="18"/>
              </w:rPr>
              <w:t>年</w:t>
            </w:r>
            <w:r>
              <w:rPr>
                <w:rFonts w:ascii="Arial" w:eastAsia="华文细黑" w:hAnsi="Arial" w:cs="Arial"/>
                <w:color w:val="000000"/>
                <w:sz w:val="18"/>
                <w:szCs w:val="18"/>
              </w:rPr>
              <w:t>2</w:t>
            </w:r>
            <w:r>
              <w:rPr>
                <w:rFonts w:ascii="Arial" w:eastAsia="华文细黑" w:hAnsi="Arial" w:cs="Arial"/>
                <w:color w:val="000000"/>
                <w:sz w:val="18"/>
                <w:szCs w:val="18"/>
              </w:rPr>
              <w:t>季度</w:t>
            </w:r>
          </w:p>
        </w:tc>
        <w:tc>
          <w:tcPr>
            <w:tcW w:w="1713" w:type="dxa"/>
            <w:tcBorders>
              <w:left w:val="single" w:sz="4" w:space="0" w:color="000000"/>
              <w:bottom w:val="single" w:sz="4" w:space="0" w:color="000000"/>
            </w:tcBorders>
            <w:shd w:val="clear" w:color="auto" w:fill="auto"/>
            <w:vAlign w:val="center"/>
          </w:tcPr>
          <w:p w14:paraId="3E25211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w:t>
            </w:r>
          </w:p>
        </w:tc>
        <w:tc>
          <w:tcPr>
            <w:tcW w:w="4194" w:type="dxa"/>
            <w:tcBorders>
              <w:left w:val="single" w:sz="4" w:space="0" w:color="000000"/>
              <w:bottom w:val="single" w:sz="4" w:space="0" w:color="000000"/>
              <w:right w:val="single" w:sz="4" w:space="0" w:color="000000"/>
            </w:tcBorders>
            <w:shd w:val="clear" w:color="auto" w:fill="auto"/>
            <w:vAlign w:val="center"/>
          </w:tcPr>
          <w:p w14:paraId="3173038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79.65</w:t>
            </w:r>
          </w:p>
        </w:tc>
      </w:tr>
      <w:tr w:rsidR="00771ECA" w14:paraId="3D54614E" w14:textId="77777777">
        <w:trPr>
          <w:trHeight w:val="285"/>
        </w:trPr>
        <w:tc>
          <w:tcPr>
            <w:tcW w:w="3391" w:type="dxa"/>
            <w:tcBorders>
              <w:left w:val="single" w:sz="4" w:space="0" w:color="000000"/>
              <w:bottom w:val="single" w:sz="4" w:space="0" w:color="000000"/>
            </w:tcBorders>
            <w:shd w:val="clear" w:color="auto" w:fill="auto"/>
            <w:vAlign w:val="center"/>
          </w:tcPr>
          <w:p w14:paraId="40E440D1"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3</w:t>
            </w:r>
            <w:r>
              <w:rPr>
                <w:rFonts w:ascii="Arial" w:eastAsia="华文细黑" w:hAnsi="Arial" w:cs="Arial"/>
                <w:color w:val="000000"/>
                <w:sz w:val="18"/>
                <w:szCs w:val="18"/>
              </w:rPr>
              <w:t>季度</w:t>
            </w:r>
          </w:p>
        </w:tc>
        <w:tc>
          <w:tcPr>
            <w:tcW w:w="1713" w:type="dxa"/>
            <w:tcBorders>
              <w:left w:val="single" w:sz="4" w:space="0" w:color="000000"/>
              <w:bottom w:val="single" w:sz="4" w:space="0" w:color="000000"/>
            </w:tcBorders>
            <w:shd w:val="clear" w:color="auto" w:fill="auto"/>
            <w:vAlign w:val="center"/>
          </w:tcPr>
          <w:p w14:paraId="0F975D0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w:t>
            </w:r>
          </w:p>
        </w:tc>
        <w:tc>
          <w:tcPr>
            <w:tcW w:w="4194" w:type="dxa"/>
            <w:tcBorders>
              <w:left w:val="single" w:sz="4" w:space="0" w:color="000000"/>
              <w:bottom w:val="single" w:sz="4" w:space="0" w:color="000000"/>
              <w:right w:val="single" w:sz="4" w:space="0" w:color="000000"/>
            </w:tcBorders>
            <w:shd w:val="clear" w:color="auto" w:fill="auto"/>
            <w:vAlign w:val="center"/>
          </w:tcPr>
          <w:p w14:paraId="3CD7C95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73.04</w:t>
            </w:r>
          </w:p>
        </w:tc>
      </w:tr>
      <w:tr w:rsidR="00771ECA" w14:paraId="2F07EFF6" w14:textId="77777777">
        <w:trPr>
          <w:trHeight w:val="285"/>
        </w:trPr>
        <w:tc>
          <w:tcPr>
            <w:tcW w:w="3391" w:type="dxa"/>
            <w:tcBorders>
              <w:left w:val="single" w:sz="4" w:space="0" w:color="000000"/>
              <w:bottom w:val="single" w:sz="4" w:space="0" w:color="000000"/>
            </w:tcBorders>
            <w:shd w:val="clear" w:color="auto" w:fill="auto"/>
            <w:vAlign w:val="center"/>
          </w:tcPr>
          <w:p w14:paraId="6925BE7B" w14:textId="77777777" w:rsidR="00771ECA" w:rsidRDefault="00000000">
            <w:pPr>
              <w:widowControl/>
              <w:spacing w:line="240" w:lineRule="auto"/>
              <w:jc w:val="center"/>
              <w:textAlignment w:val="auto"/>
            </w:pP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4</w:t>
            </w:r>
            <w:r>
              <w:rPr>
                <w:rFonts w:ascii="Arial" w:eastAsia="华文细黑" w:hAnsi="Arial" w:cs="Arial"/>
                <w:color w:val="000000"/>
                <w:sz w:val="18"/>
                <w:szCs w:val="18"/>
              </w:rPr>
              <w:t>季度（</w:t>
            </w:r>
            <w:r>
              <w:rPr>
                <w:rFonts w:ascii="Arial" w:eastAsia="华文细黑" w:hAnsi="Arial" w:cs="Arial"/>
                <w:color w:val="000000"/>
                <w:sz w:val="18"/>
                <w:szCs w:val="18"/>
              </w:rPr>
              <w:t>2023</w:t>
            </w:r>
            <w:r>
              <w:rPr>
                <w:rFonts w:ascii="Arial" w:eastAsia="华文细黑" w:hAnsi="Arial" w:cs="Arial"/>
                <w:color w:val="000000"/>
                <w:sz w:val="18"/>
                <w:szCs w:val="18"/>
              </w:rPr>
              <w:t>年</w:t>
            </w:r>
            <w:r>
              <w:rPr>
                <w:rFonts w:ascii="Arial" w:eastAsia="华文细黑" w:hAnsi="Arial" w:cs="Arial"/>
                <w:color w:val="000000"/>
                <w:sz w:val="18"/>
                <w:szCs w:val="18"/>
              </w:rPr>
              <w:t>10-11</w:t>
            </w:r>
            <w:r>
              <w:rPr>
                <w:rFonts w:ascii="Arial" w:eastAsia="华文细黑" w:hAnsi="Arial" w:cs="Arial"/>
                <w:color w:val="000000"/>
                <w:sz w:val="18"/>
                <w:szCs w:val="18"/>
              </w:rPr>
              <w:t>月）</w:t>
            </w:r>
          </w:p>
        </w:tc>
        <w:tc>
          <w:tcPr>
            <w:tcW w:w="1713" w:type="dxa"/>
            <w:tcBorders>
              <w:left w:val="single" w:sz="4" w:space="0" w:color="000000"/>
              <w:bottom w:val="single" w:sz="4" w:space="0" w:color="000000"/>
            </w:tcBorders>
            <w:shd w:val="clear" w:color="auto" w:fill="auto"/>
            <w:vAlign w:val="center"/>
          </w:tcPr>
          <w:p w14:paraId="68096A0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c>
          <w:tcPr>
            <w:tcW w:w="4194" w:type="dxa"/>
            <w:tcBorders>
              <w:left w:val="single" w:sz="4" w:space="0" w:color="000000"/>
              <w:bottom w:val="single" w:sz="4" w:space="0" w:color="000000"/>
              <w:right w:val="single" w:sz="4" w:space="0" w:color="000000"/>
            </w:tcBorders>
            <w:shd w:val="clear" w:color="auto" w:fill="auto"/>
            <w:vAlign w:val="center"/>
          </w:tcPr>
          <w:p w14:paraId="4C352CE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771ECA" w14:paraId="3351F9B9" w14:textId="77777777">
        <w:trPr>
          <w:trHeight w:val="285"/>
        </w:trPr>
        <w:tc>
          <w:tcPr>
            <w:tcW w:w="5104" w:type="dxa"/>
            <w:gridSpan w:val="2"/>
            <w:tcBorders>
              <w:top w:val="single" w:sz="4" w:space="0" w:color="000000"/>
              <w:left w:val="single" w:sz="4" w:space="0" w:color="000000"/>
              <w:bottom w:val="single" w:sz="4" w:space="0" w:color="000000"/>
            </w:tcBorders>
            <w:shd w:val="clear" w:color="auto" w:fill="auto"/>
            <w:vAlign w:val="center"/>
          </w:tcPr>
          <w:p w14:paraId="5E8D6EA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平均月租金</w:t>
            </w:r>
          </w:p>
        </w:tc>
        <w:tc>
          <w:tcPr>
            <w:tcW w:w="4194" w:type="dxa"/>
            <w:tcBorders>
              <w:left w:val="single" w:sz="4" w:space="0" w:color="000000"/>
              <w:bottom w:val="single" w:sz="4" w:space="0" w:color="000000"/>
              <w:right w:val="single" w:sz="4" w:space="0" w:color="000000"/>
            </w:tcBorders>
            <w:shd w:val="clear" w:color="auto" w:fill="auto"/>
            <w:vAlign w:val="center"/>
          </w:tcPr>
          <w:p w14:paraId="72DA148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73.59</w:t>
            </w:r>
          </w:p>
        </w:tc>
      </w:tr>
    </w:tbl>
    <w:p w14:paraId="6AE60C17" w14:textId="77777777" w:rsidR="00771ECA" w:rsidRDefault="00000000">
      <w:pPr>
        <w:pStyle w:val="LO-Normal"/>
        <w:autoSpaceDE w:val="0"/>
        <w:spacing w:before="240" w:line="480" w:lineRule="auto"/>
        <w:ind w:firstLine="360"/>
        <w:jc w:val="both"/>
        <w:textAlignment w:val="bottom"/>
        <w:rPr>
          <w:rFonts w:ascii="Arial" w:hAnsi="Arial" w:cs="Arial"/>
          <w:color w:val="000000"/>
          <w:sz w:val="18"/>
          <w:szCs w:val="18"/>
        </w:rPr>
      </w:pPr>
      <w:r>
        <w:rPr>
          <w:rFonts w:ascii="Arial" w:hAnsi="Arial" w:cs="Arial"/>
          <w:color w:val="000000"/>
          <w:sz w:val="18"/>
          <w:szCs w:val="18"/>
        </w:rPr>
        <w:t>注：上述样本小区租金包括地租、房屋折旧、设备折旧、维修费、保险费、物业费、供暖费、管理费、利息、利润、家具、家电租赁费及租赁税费等；不含水电费、天然气费、通信费、有线电视费、上网宽带费等。</w:t>
      </w:r>
    </w:p>
    <w:p w14:paraId="166ABF0D"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cs="Arial"/>
          <w:color w:val="000000"/>
          <w:sz w:val="21"/>
          <w:szCs w:val="21"/>
        </w:rPr>
        <w:t>（3）确定可比实例年平均租金水平</w:t>
      </w:r>
    </w:p>
    <w:p w14:paraId="18301065"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结合两方面数据</w:t>
      </w:r>
      <w:r>
        <w:rPr>
          <w:rFonts w:ascii="Arial" w:hAnsi="Arial" w:cs="Arial"/>
          <w:color w:val="000000"/>
          <w:sz w:val="21"/>
          <w:szCs w:val="21"/>
        </w:rPr>
        <w:t>,</w:t>
      </w:r>
      <w:r>
        <w:rPr>
          <w:rFonts w:ascii="Arial" w:hAnsi="Arial" w:cs="Arial"/>
          <w:color w:val="000000"/>
          <w:sz w:val="21"/>
          <w:szCs w:val="21"/>
        </w:rPr>
        <w:t>本次估价从评估专业人员掌握的交易实例中选取明月听蘭、北京经开</w:t>
      </w:r>
      <w:r>
        <w:rPr>
          <w:rFonts w:ascii="Arial" w:hAnsi="Arial" w:cs="Arial"/>
          <w:color w:val="000000"/>
          <w:sz w:val="21"/>
          <w:szCs w:val="21"/>
        </w:rPr>
        <w:t>·</w:t>
      </w:r>
      <w:r>
        <w:rPr>
          <w:rFonts w:ascii="Arial" w:hAnsi="Arial" w:cs="Arial"/>
          <w:color w:val="000000"/>
          <w:sz w:val="21"/>
          <w:szCs w:val="21"/>
        </w:rPr>
        <w:t>汀塘、通泰国际公馆</w:t>
      </w:r>
      <w:r>
        <w:rPr>
          <w:rFonts w:ascii="Arial" w:hAnsi="Arial" w:cs="Arial"/>
          <w:color w:val="000000"/>
          <w:sz w:val="21"/>
          <w:szCs w:val="21"/>
        </w:rPr>
        <w:t xml:space="preserve">3 </w:t>
      </w:r>
      <w:r>
        <w:rPr>
          <w:rFonts w:ascii="Arial" w:hAnsi="Arial" w:cs="Arial"/>
          <w:color w:val="000000"/>
          <w:sz w:val="21"/>
          <w:szCs w:val="21"/>
        </w:rPr>
        <w:t>个普通住宅小区作为可比实例。</w:t>
      </w:r>
    </w:p>
    <w:p w14:paraId="06F1AECA" w14:textId="77777777" w:rsidR="00771ECA" w:rsidRDefault="00000000">
      <w:pPr>
        <w:pStyle w:val="LO-Normal"/>
        <w:autoSpaceDE w:val="0"/>
        <w:spacing w:line="480" w:lineRule="auto"/>
        <w:ind w:firstLine="420"/>
        <w:jc w:val="both"/>
        <w:textAlignment w:val="bottom"/>
      </w:pPr>
      <w:r>
        <w:t>经过统计分析及测算，各小区的数据来源及近一年平均租金水平分别如下：</w:t>
      </w:r>
    </w:p>
    <w:tbl>
      <w:tblPr>
        <w:tblW w:w="5000" w:type="pct"/>
        <w:tblInd w:w="-113" w:type="dxa"/>
        <w:tblLook w:val="04A0" w:firstRow="1" w:lastRow="0" w:firstColumn="1" w:lastColumn="0" w:noHBand="0" w:noVBand="1"/>
      </w:tblPr>
      <w:tblGrid>
        <w:gridCol w:w="3973"/>
        <w:gridCol w:w="1860"/>
        <w:gridCol w:w="1723"/>
        <w:gridCol w:w="1732"/>
      </w:tblGrid>
      <w:tr w:rsidR="00771ECA" w14:paraId="24FDA92B" w14:textId="77777777">
        <w:trPr>
          <w:trHeight w:val="440"/>
        </w:trPr>
        <w:tc>
          <w:tcPr>
            <w:tcW w:w="3978" w:type="dxa"/>
            <w:tcBorders>
              <w:top w:val="single" w:sz="4" w:space="0" w:color="000000"/>
              <w:left w:val="single" w:sz="4" w:space="0" w:color="000000"/>
              <w:bottom w:val="single" w:sz="4" w:space="0" w:color="000000"/>
            </w:tcBorders>
            <w:shd w:val="clear" w:color="auto" w:fill="auto"/>
            <w:vAlign w:val="center"/>
          </w:tcPr>
          <w:p w14:paraId="00CB226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数据来源</w:t>
            </w:r>
          </w:p>
        </w:tc>
        <w:tc>
          <w:tcPr>
            <w:tcW w:w="1862" w:type="dxa"/>
            <w:tcBorders>
              <w:top w:val="single" w:sz="4" w:space="0" w:color="000000"/>
              <w:left w:val="single" w:sz="4" w:space="0" w:color="000000"/>
              <w:bottom w:val="single" w:sz="4" w:space="0" w:color="000000"/>
            </w:tcBorders>
            <w:shd w:val="clear" w:color="auto" w:fill="auto"/>
            <w:vAlign w:val="center"/>
          </w:tcPr>
          <w:p w14:paraId="0BF4551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明月听蘭</w:t>
            </w:r>
          </w:p>
        </w:tc>
        <w:tc>
          <w:tcPr>
            <w:tcW w:w="1724" w:type="dxa"/>
            <w:tcBorders>
              <w:top w:val="single" w:sz="4" w:space="0" w:color="000000"/>
              <w:left w:val="single" w:sz="4" w:space="0" w:color="000000"/>
              <w:bottom w:val="single" w:sz="4" w:space="0" w:color="000000"/>
            </w:tcBorders>
            <w:shd w:val="clear" w:color="auto" w:fill="auto"/>
            <w:vAlign w:val="center"/>
          </w:tcPr>
          <w:p w14:paraId="377019C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北京经开·汀塘</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90FB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通泰国际公馆</w:t>
            </w:r>
          </w:p>
        </w:tc>
      </w:tr>
      <w:tr w:rsidR="00771ECA" w14:paraId="41D25570" w14:textId="77777777">
        <w:trPr>
          <w:trHeight w:val="480"/>
        </w:trPr>
        <w:tc>
          <w:tcPr>
            <w:tcW w:w="3978" w:type="dxa"/>
            <w:tcBorders>
              <w:left w:val="single" w:sz="4" w:space="0" w:color="000000"/>
              <w:bottom w:val="single" w:sz="4" w:space="0" w:color="000000"/>
            </w:tcBorders>
            <w:shd w:val="clear" w:color="auto" w:fill="auto"/>
            <w:vAlign w:val="center"/>
          </w:tcPr>
          <w:p w14:paraId="324F927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估价机构样本数据</w:t>
            </w:r>
          </w:p>
        </w:tc>
        <w:tc>
          <w:tcPr>
            <w:tcW w:w="1862" w:type="dxa"/>
            <w:tcBorders>
              <w:left w:val="single" w:sz="4" w:space="0" w:color="000000"/>
              <w:bottom w:val="single" w:sz="4" w:space="0" w:color="000000"/>
            </w:tcBorders>
            <w:shd w:val="clear" w:color="auto" w:fill="auto"/>
            <w:vAlign w:val="center"/>
          </w:tcPr>
          <w:p w14:paraId="31B3A44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79.35</w:t>
            </w:r>
          </w:p>
        </w:tc>
        <w:tc>
          <w:tcPr>
            <w:tcW w:w="1724" w:type="dxa"/>
            <w:tcBorders>
              <w:left w:val="single" w:sz="4" w:space="0" w:color="000000"/>
              <w:bottom w:val="single" w:sz="4" w:space="0" w:color="000000"/>
            </w:tcBorders>
            <w:shd w:val="clear" w:color="auto" w:fill="auto"/>
            <w:vAlign w:val="center"/>
          </w:tcPr>
          <w:p w14:paraId="53B1C342"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76.73</w:t>
            </w:r>
          </w:p>
        </w:tc>
        <w:tc>
          <w:tcPr>
            <w:tcW w:w="1734" w:type="dxa"/>
            <w:tcBorders>
              <w:left w:val="single" w:sz="4" w:space="0" w:color="000000"/>
              <w:bottom w:val="single" w:sz="4" w:space="0" w:color="000000"/>
              <w:right w:val="single" w:sz="4" w:space="0" w:color="000000"/>
            </w:tcBorders>
            <w:shd w:val="clear" w:color="auto" w:fill="auto"/>
            <w:vAlign w:val="center"/>
          </w:tcPr>
          <w:p w14:paraId="659C8CCC"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76.02</w:t>
            </w:r>
          </w:p>
        </w:tc>
      </w:tr>
      <w:tr w:rsidR="00771ECA" w14:paraId="3BF01021" w14:textId="77777777">
        <w:trPr>
          <w:trHeight w:val="480"/>
        </w:trPr>
        <w:tc>
          <w:tcPr>
            <w:tcW w:w="3978" w:type="dxa"/>
            <w:tcBorders>
              <w:left w:val="single" w:sz="4" w:space="0" w:color="000000"/>
              <w:bottom w:val="single" w:sz="4" w:space="0" w:color="000000"/>
            </w:tcBorders>
            <w:shd w:val="clear" w:color="auto" w:fill="auto"/>
            <w:vAlign w:val="center"/>
          </w:tcPr>
          <w:p w14:paraId="3D246FAC"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市场调查数据</w:t>
            </w:r>
          </w:p>
        </w:tc>
        <w:tc>
          <w:tcPr>
            <w:tcW w:w="1862" w:type="dxa"/>
            <w:tcBorders>
              <w:left w:val="single" w:sz="4" w:space="0" w:color="000000"/>
              <w:bottom w:val="single" w:sz="4" w:space="0" w:color="000000"/>
            </w:tcBorders>
            <w:shd w:val="clear" w:color="auto" w:fill="auto"/>
            <w:vAlign w:val="center"/>
          </w:tcPr>
          <w:p w14:paraId="39DCE5F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77.13</w:t>
            </w:r>
          </w:p>
        </w:tc>
        <w:tc>
          <w:tcPr>
            <w:tcW w:w="1724" w:type="dxa"/>
            <w:tcBorders>
              <w:left w:val="single" w:sz="4" w:space="0" w:color="000000"/>
              <w:bottom w:val="single" w:sz="4" w:space="0" w:color="000000"/>
            </w:tcBorders>
            <w:shd w:val="clear" w:color="auto" w:fill="auto"/>
            <w:vAlign w:val="center"/>
          </w:tcPr>
          <w:p w14:paraId="6A6FDFD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74.71</w:t>
            </w:r>
          </w:p>
        </w:tc>
        <w:tc>
          <w:tcPr>
            <w:tcW w:w="1734" w:type="dxa"/>
            <w:tcBorders>
              <w:left w:val="single" w:sz="4" w:space="0" w:color="000000"/>
              <w:bottom w:val="single" w:sz="4" w:space="0" w:color="000000"/>
              <w:right w:val="single" w:sz="4" w:space="0" w:color="000000"/>
            </w:tcBorders>
            <w:shd w:val="clear" w:color="auto" w:fill="auto"/>
            <w:vAlign w:val="center"/>
          </w:tcPr>
          <w:p w14:paraId="60EB3F8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73.59</w:t>
            </w:r>
          </w:p>
        </w:tc>
      </w:tr>
      <w:tr w:rsidR="00771ECA" w14:paraId="73910B9B" w14:textId="77777777">
        <w:trPr>
          <w:trHeight w:val="467"/>
        </w:trPr>
        <w:tc>
          <w:tcPr>
            <w:tcW w:w="3978" w:type="dxa"/>
            <w:tcBorders>
              <w:left w:val="single" w:sz="4" w:space="0" w:color="000000"/>
              <w:bottom w:val="single" w:sz="4" w:space="0" w:color="000000"/>
            </w:tcBorders>
            <w:shd w:val="clear" w:color="auto" w:fill="auto"/>
            <w:vAlign w:val="center"/>
          </w:tcPr>
          <w:p w14:paraId="03A79AC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平均价</w:t>
            </w:r>
          </w:p>
        </w:tc>
        <w:tc>
          <w:tcPr>
            <w:tcW w:w="1862" w:type="dxa"/>
            <w:tcBorders>
              <w:left w:val="single" w:sz="4" w:space="0" w:color="000000"/>
              <w:bottom w:val="single" w:sz="4" w:space="0" w:color="000000"/>
            </w:tcBorders>
            <w:shd w:val="clear" w:color="auto" w:fill="auto"/>
            <w:vAlign w:val="center"/>
          </w:tcPr>
          <w:p w14:paraId="4FE9A77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78.24</w:t>
            </w:r>
          </w:p>
        </w:tc>
        <w:tc>
          <w:tcPr>
            <w:tcW w:w="1724" w:type="dxa"/>
            <w:tcBorders>
              <w:left w:val="single" w:sz="4" w:space="0" w:color="000000"/>
              <w:bottom w:val="single" w:sz="4" w:space="0" w:color="000000"/>
            </w:tcBorders>
            <w:shd w:val="clear" w:color="auto" w:fill="auto"/>
            <w:vAlign w:val="center"/>
          </w:tcPr>
          <w:p w14:paraId="51CB9FD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75.72</w:t>
            </w:r>
          </w:p>
        </w:tc>
        <w:tc>
          <w:tcPr>
            <w:tcW w:w="1734" w:type="dxa"/>
            <w:tcBorders>
              <w:left w:val="single" w:sz="4" w:space="0" w:color="000000"/>
              <w:bottom w:val="single" w:sz="4" w:space="0" w:color="000000"/>
              <w:right w:val="single" w:sz="4" w:space="0" w:color="000000"/>
            </w:tcBorders>
            <w:shd w:val="clear" w:color="auto" w:fill="auto"/>
            <w:vAlign w:val="center"/>
          </w:tcPr>
          <w:p w14:paraId="0BC083E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74.81</w:t>
            </w:r>
          </w:p>
        </w:tc>
      </w:tr>
    </w:tbl>
    <w:p w14:paraId="1E773F95" w14:textId="77777777" w:rsidR="00771ECA" w:rsidRDefault="00000000">
      <w:pPr>
        <w:spacing w:before="22"/>
        <w:ind w:right="370"/>
      </w:pPr>
      <w:r>
        <w:rPr>
          <w:sz w:val="18"/>
        </w:rPr>
        <w:t>单位：元</w:t>
      </w:r>
      <w:r>
        <w:rPr>
          <w:rFonts w:eastAsia="Times New Roman"/>
          <w:sz w:val="18"/>
        </w:rPr>
        <w:t>/</w:t>
      </w:r>
      <w:r>
        <w:rPr>
          <w:sz w:val="18"/>
        </w:rPr>
        <w:t>平方米</w:t>
      </w:r>
      <w:r>
        <w:rPr>
          <w:rFonts w:eastAsia="Times New Roman"/>
          <w:sz w:val="18"/>
        </w:rPr>
        <w:t>·</w:t>
      </w:r>
      <w:r>
        <w:rPr>
          <w:sz w:val="18"/>
        </w:rPr>
        <w:t>月</w:t>
      </w:r>
    </w:p>
    <w:p w14:paraId="5FCEFDC9" w14:textId="77777777" w:rsidR="00771ECA" w:rsidRDefault="00771ECA">
      <w:pPr>
        <w:spacing w:before="22"/>
        <w:ind w:right="370"/>
        <w:jc w:val="center"/>
        <w:rPr>
          <w:rFonts w:ascii="Arial" w:hAnsi="Arial" w:cs="Arial"/>
          <w:color w:val="000000"/>
          <w:sz w:val="21"/>
          <w:szCs w:val="21"/>
        </w:rPr>
      </w:pPr>
    </w:p>
    <w:p w14:paraId="22EAECE0" w14:textId="77777777" w:rsidR="00771ECA" w:rsidRDefault="00771ECA">
      <w:pPr>
        <w:spacing w:before="22"/>
        <w:ind w:right="370"/>
        <w:jc w:val="center"/>
        <w:rPr>
          <w:rFonts w:ascii="Arial" w:hAnsi="Arial" w:cs="Arial"/>
          <w:color w:val="000000"/>
          <w:sz w:val="21"/>
          <w:szCs w:val="21"/>
        </w:rPr>
      </w:pPr>
    </w:p>
    <w:p w14:paraId="298E1396" w14:textId="77777777" w:rsidR="00771ECA" w:rsidRDefault="00771ECA">
      <w:pPr>
        <w:spacing w:before="22"/>
        <w:ind w:right="370"/>
        <w:jc w:val="center"/>
        <w:rPr>
          <w:rFonts w:ascii="Arial" w:hAnsi="Arial" w:cs="Arial"/>
          <w:color w:val="000000"/>
          <w:sz w:val="21"/>
          <w:szCs w:val="21"/>
        </w:rPr>
      </w:pPr>
    </w:p>
    <w:p w14:paraId="4A921C89" w14:textId="77777777" w:rsidR="00771ECA" w:rsidRDefault="00771ECA">
      <w:pPr>
        <w:spacing w:before="22"/>
        <w:ind w:right="370"/>
        <w:jc w:val="center"/>
        <w:rPr>
          <w:rFonts w:ascii="Arial" w:hAnsi="Arial" w:cs="Arial"/>
          <w:color w:val="000000"/>
          <w:sz w:val="21"/>
          <w:szCs w:val="21"/>
        </w:rPr>
      </w:pPr>
    </w:p>
    <w:p w14:paraId="625D92B4" w14:textId="77777777" w:rsidR="00771ECA" w:rsidRDefault="00771ECA">
      <w:pPr>
        <w:spacing w:before="22"/>
        <w:ind w:right="370"/>
        <w:jc w:val="center"/>
        <w:rPr>
          <w:rFonts w:ascii="Arial" w:hAnsi="Arial" w:cs="Arial"/>
          <w:color w:val="000000"/>
          <w:sz w:val="21"/>
          <w:szCs w:val="21"/>
        </w:rPr>
      </w:pPr>
    </w:p>
    <w:p w14:paraId="3AD1E28D" w14:textId="77777777" w:rsidR="00771ECA" w:rsidRDefault="00771ECA">
      <w:pPr>
        <w:spacing w:before="22"/>
        <w:ind w:right="370"/>
        <w:jc w:val="center"/>
        <w:rPr>
          <w:rFonts w:ascii="Arial" w:hAnsi="Arial" w:cs="Arial"/>
          <w:color w:val="000000"/>
          <w:sz w:val="21"/>
          <w:szCs w:val="21"/>
        </w:rPr>
      </w:pPr>
    </w:p>
    <w:p w14:paraId="20ED08ED" w14:textId="77777777" w:rsidR="00771ECA" w:rsidRDefault="00771ECA">
      <w:pPr>
        <w:spacing w:before="22"/>
        <w:ind w:right="370"/>
        <w:jc w:val="center"/>
        <w:rPr>
          <w:rFonts w:ascii="Arial" w:hAnsi="Arial" w:cs="Arial"/>
          <w:color w:val="000000"/>
          <w:sz w:val="21"/>
          <w:szCs w:val="21"/>
        </w:rPr>
      </w:pPr>
    </w:p>
    <w:p w14:paraId="407C2D6F" w14:textId="77777777" w:rsidR="00771ECA" w:rsidRDefault="00771ECA">
      <w:pPr>
        <w:spacing w:before="22"/>
        <w:ind w:right="370"/>
        <w:jc w:val="center"/>
        <w:rPr>
          <w:rFonts w:ascii="Arial" w:hAnsi="Arial" w:cs="Arial"/>
          <w:color w:val="000000"/>
          <w:sz w:val="21"/>
          <w:szCs w:val="21"/>
        </w:rPr>
      </w:pPr>
    </w:p>
    <w:p w14:paraId="76E7E425" w14:textId="77777777" w:rsidR="00771ECA" w:rsidRDefault="00000000">
      <w:pPr>
        <w:spacing w:before="22"/>
        <w:ind w:right="370"/>
        <w:jc w:val="center"/>
        <w:rPr>
          <w:rFonts w:ascii="Arial" w:hAnsi="Arial" w:cs="Arial"/>
          <w:color w:val="000000"/>
          <w:sz w:val="21"/>
          <w:szCs w:val="21"/>
        </w:rPr>
      </w:pPr>
      <w:r>
        <w:rPr>
          <w:rFonts w:ascii="Arial" w:hAnsi="Arial" w:cs="Arial"/>
          <w:color w:val="000000"/>
          <w:sz w:val="21"/>
          <w:szCs w:val="21"/>
        </w:rPr>
        <w:t>可比实例外观照片</w:t>
      </w:r>
    </w:p>
    <w:p w14:paraId="39286411" w14:textId="77777777" w:rsidR="00771ECA" w:rsidRDefault="00000000">
      <w:pPr>
        <w:pStyle w:val="ac"/>
        <w:spacing w:before="4"/>
        <w:ind w:firstLine="840"/>
        <w:rPr>
          <w:rFonts w:ascii="Arial" w:eastAsia="宋体;SimSun" w:hAnsi="Arial" w:cs="Arial"/>
          <w:color w:val="000000"/>
          <w:sz w:val="21"/>
          <w:szCs w:val="21"/>
        </w:rPr>
      </w:pPr>
      <w:r>
        <w:rPr>
          <w:rFonts w:ascii="Arial" w:eastAsia="宋体;SimSun" w:hAnsi="Arial" w:cs="Arial"/>
          <w:color w:val="000000"/>
          <w:sz w:val="21"/>
          <w:szCs w:val="21"/>
        </w:rPr>
        <w:t>明月听蘭</w:t>
      </w:r>
      <w:r>
        <w:rPr>
          <w:rFonts w:ascii="Arial" w:eastAsia="Arial" w:hAnsi="Arial" w:cs="Arial"/>
          <w:color w:val="000000"/>
          <w:sz w:val="21"/>
          <w:szCs w:val="21"/>
        </w:rPr>
        <w:t xml:space="preserve">                      </w:t>
      </w:r>
      <w:r>
        <w:rPr>
          <w:rFonts w:ascii="Arial" w:eastAsia="宋体;SimSun" w:hAnsi="Arial" w:cs="Arial"/>
          <w:color w:val="000000"/>
          <w:sz w:val="21"/>
          <w:szCs w:val="21"/>
        </w:rPr>
        <w:t>北京经开</w:t>
      </w:r>
      <w:r>
        <w:rPr>
          <w:rFonts w:ascii="Arial" w:eastAsia="宋体;SimSun" w:hAnsi="Arial" w:cs="Arial"/>
          <w:color w:val="000000"/>
          <w:sz w:val="21"/>
          <w:szCs w:val="21"/>
        </w:rPr>
        <w:t>·</w:t>
      </w:r>
      <w:r>
        <w:rPr>
          <w:rFonts w:ascii="Arial" w:eastAsia="宋体;SimSun" w:hAnsi="Arial" w:cs="Arial"/>
          <w:color w:val="000000"/>
          <w:sz w:val="21"/>
          <w:szCs w:val="21"/>
        </w:rPr>
        <w:t>汀塘</w:t>
      </w:r>
      <w:r>
        <w:rPr>
          <w:rFonts w:ascii="Arial" w:eastAsia="Arial" w:hAnsi="Arial" w:cs="Arial"/>
          <w:color w:val="000000"/>
          <w:sz w:val="21"/>
          <w:szCs w:val="21"/>
        </w:rPr>
        <w:t xml:space="preserve">                    </w:t>
      </w:r>
      <w:r>
        <w:rPr>
          <w:rFonts w:ascii="Arial" w:eastAsia="宋体;SimSun" w:hAnsi="Arial" w:cs="Arial"/>
          <w:color w:val="000000"/>
          <w:sz w:val="21"/>
          <w:szCs w:val="21"/>
        </w:rPr>
        <w:t>通泰国际公馆</w:t>
      </w:r>
    </w:p>
    <w:p w14:paraId="5D93A722" w14:textId="77777777" w:rsidR="00771ECA" w:rsidRDefault="00000000">
      <w:pPr>
        <w:pStyle w:val="ac"/>
        <w:spacing w:before="4"/>
        <w:ind w:left="520" w:hanging="520"/>
        <w:rPr>
          <w:rFonts w:ascii="Arial" w:eastAsia="宋体;SimSun" w:hAnsi="Arial" w:cs="Arial"/>
          <w:color w:val="000000"/>
          <w:sz w:val="21"/>
          <w:szCs w:val="21"/>
        </w:rPr>
      </w:pPr>
      <w:r>
        <w:rPr>
          <w:noProof/>
          <w:lang w:val="zh-CN"/>
        </w:rPr>
        <w:lastRenderedPageBreak/>
        <w:drawing>
          <wp:inline distT="0" distB="0" distL="0" distR="0" wp14:anchorId="1407D5FF" wp14:editId="0BA9559B">
            <wp:extent cx="1578610" cy="2084070"/>
            <wp:effectExtent l="0" t="0" r="0" b="0"/>
            <wp:docPr id="2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像14"/>
                    <pic:cNvPicPr>
                      <a:picLocks noChangeAspect="1" noChangeArrowheads="1"/>
                    </pic:cNvPicPr>
                  </pic:nvPicPr>
                  <pic:blipFill>
                    <a:blip r:embed="rId44"/>
                    <a:srcRect l="-8" t="-10" r="-8" b="-10"/>
                    <a:stretch>
                      <a:fillRect/>
                    </a:stretch>
                  </pic:blipFill>
                  <pic:spPr bwMode="auto">
                    <a:xfrm>
                      <a:off x="0" y="0"/>
                      <a:ext cx="1578610" cy="2084070"/>
                    </a:xfrm>
                    <a:prstGeom prst="rect">
                      <a:avLst/>
                    </a:prstGeom>
                  </pic:spPr>
                </pic:pic>
              </a:graphicData>
            </a:graphic>
          </wp:inline>
        </w:drawing>
      </w:r>
      <w:r>
        <w:rPr>
          <w:rFonts w:eastAsia="Times New Roman"/>
          <w:lang w:val="zh-CN"/>
        </w:rPr>
        <w:t xml:space="preserve">  </w:t>
      </w:r>
      <w:r>
        <w:rPr>
          <w:noProof/>
          <w:lang w:val="zh-CN"/>
        </w:rPr>
        <w:drawing>
          <wp:inline distT="0" distB="0" distL="0" distR="0" wp14:anchorId="7A45D719" wp14:editId="6459D856">
            <wp:extent cx="1582420" cy="2083435"/>
            <wp:effectExtent l="0" t="0" r="0" b="0"/>
            <wp:docPr id="26"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像15"/>
                    <pic:cNvPicPr>
                      <a:picLocks noChangeAspect="1" noChangeArrowheads="1"/>
                    </pic:cNvPicPr>
                  </pic:nvPicPr>
                  <pic:blipFill>
                    <a:blip r:embed="rId45"/>
                    <a:srcRect l="-6" t="-7" r="-6" b="-7"/>
                    <a:stretch>
                      <a:fillRect/>
                    </a:stretch>
                  </pic:blipFill>
                  <pic:spPr bwMode="auto">
                    <a:xfrm>
                      <a:off x="0" y="0"/>
                      <a:ext cx="1582420" cy="2083435"/>
                    </a:xfrm>
                    <a:prstGeom prst="rect">
                      <a:avLst/>
                    </a:prstGeom>
                  </pic:spPr>
                </pic:pic>
              </a:graphicData>
            </a:graphic>
          </wp:inline>
        </w:drawing>
      </w:r>
      <w:r>
        <w:rPr>
          <w:rFonts w:eastAsia="Times New Roman"/>
          <w:lang w:val="zh-CN"/>
        </w:rPr>
        <w:t xml:space="preserve">  </w:t>
      </w:r>
      <w:r>
        <w:rPr>
          <w:noProof/>
          <w:lang w:val="zh-CN"/>
        </w:rPr>
        <w:drawing>
          <wp:inline distT="0" distB="0" distL="0" distR="0" wp14:anchorId="65CD37A0" wp14:editId="0CDBF3E8">
            <wp:extent cx="1578610" cy="2086610"/>
            <wp:effectExtent l="0" t="0" r="0" b="0"/>
            <wp:docPr id="2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像16"/>
                    <pic:cNvPicPr>
                      <a:picLocks noChangeAspect="1" noChangeArrowheads="1"/>
                    </pic:cNvPicPr>
                  </pic:nvPicPr>
                  <pic:blipFill>
                    <a:blip r:embed="rId46"/>
                    <a:srcRect l="-7" t="-10" r="-7" b="-10"/>
                    <a:stretch>
                      <a:fillRect/>
                    </a:stretch>
                  </pic:blipFill>
                  <pic:spPr bwMode="auto">
                    <a:xfrm>
                      <a:off x="0" y="0"/>
                      <a:ext cx="1578610" cy="2086610"/>
                    </a:xfrm>
                    <a:prstGeom prst="rect">
                      <a:avLst/>
                    </a:prstGeom>
                  </pic:spPr>
                </pic:pic>
              </a:graphicData>
            </a:graphic>
          </wp:inline>
        </w:drawing>
      </w:r>
    </w:p>
    <w:p w14:paraId="047F9DB8" w14:textId="77777777" w:rsidR="00771ECA" w:rsidRDefault="00771ECA">
      <w:pPr>
        <w:pStyle w:val="ac"/>
        <w:spacing w:before="4"/>
        <w:rPr>
          <w:rFonts w:ascii="Arial" w:eastAsia="宋体;SimSun" w:hAnsi="Arial" w:cs="Arial"/>
          <w:color w:val="000000"/>
          <w:sz w:val="21"/>
          <w:szCs w:val="21"/>
        </w:rPr>
      </w:pPr>
    </w:p>
    <w:p w14:paraId="2ED25192"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物业费及供暖费如下：</w:t>
      </w:r>
    </w:p>
    <w:p w14:paraId="55900A95"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明月听蘭物业费</w:t>
      </w:r>
      <w:r>
        <w:rPr>
          <w:rFonts w:ascii="Arial" w:hAnsi="Arial" w:cs="Arial"/>
          <w:color w:val="000000"/>
          <w:sz w:val="21"/>
          <w:szCs w:val="21"/>
        </w:rPr>
        <w:t>5.68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月，供暖费</w:t>
      </w:r>
      <w:r>
        <w:rPr>
          <w:rFonts w:ascii="Arial" w:hAnsi="Arial" w:cs="Arial"/>
          <w:color w:val="000000"/>
          <w:sz w:val="21"/>
          <w:szCs w:val="21"/>
        </w:rPr>
        <w:t>2.5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11F2C6FB"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北京经开</w:t>
      </w:r>
      <w:r>
        <w:rPr>
          <w:rFonts w:ascii="Arial" w:hAnsi="Arial" w:cs="Arial"/>
          <w:color w:val="000000"/>
          <w:sz w:val="21"/>
          <w:szCs w:val="21"/>
        </w:rPr>
        <w:t>·</w:t>
      </w:r>
      <w:r>
        <w:rPr>
          <w:rFonts w:ascii="Arial" w:hAnsi="Arial" w:cs="Arial"/>
          <w:color w:val="000000"/>
          <w:sz w:val="21"/>
          <w:szCs w:val="21"/>
        </w:rPr>
        <w:t>汀塘物业费</w:t>
      </w:r>
      <w:r>
        <w:rPr>
          <w:rFonts w:ascii="Arial" w:hAnsi="Arial" w:cs="Arial"/>
          <w:color w:val="000000"/>
          <w:sz w:val="21"/>
          <w:szCs w:val="21"/>
        </w:rPr>
        <w:t>3.8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月，供暖费</w:t>
      </w:r>
      <w:r>
        <w:rPr>
          <w:rFonts w:ascii="Arial" w:hAnsi="Arial" w:cs="Arial"/>
          <w:color w:val="000000"/>
          <w:sz w:val="21"/>
          <w:szCs w:val="21"/>
        </w:rPr>
        <w:t>2.5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29C83E49"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通泰国际公馆物业费</w:t>
      </w:r>
      <w:r>
        <w:rPr>
          <w:rFonts w:ascii="Arial" w:hAnsi="Arial" w:cs="Arial"/>
          <w:color w:val="000000"/>
          <w:sz w:val="21"/>
          <w:szCs w:val="21"/>
        </w:rPr>
        <w:t>3.28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月，供暖费</w:t>
      </w:r>
      <w:r>
        <w:rPr>
          <w:rFonts w:ascii="Arial" w:hAnsi="Arial" w:cs="Arial"/>
          <w:color w:val="000000"/>
          <w:sz w:val="21"/>
          <w:szCs w:val="21"/>
        </w:rPr>
        <w:t>2.5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020A4BB8"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租赁税费：</w:t>
      </w:r>
    </w:p>
    <w:p w14:paraId="6007731C"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明月听蘭租赁税费：（</w:t>
      </w:r>
      <w:r>
        <w:rPr>
          <w:rFonts w:ascii="Arial" w:hAnsi="Arial" w:cs="Arial"/>
          <w:color w:val="000000"/>
          <w:sz w:val="21"/>
          <w:szCs w:val="21"/>
        </w:rPr>
        <w:t>78.24-5.68-2.5</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1+5%</w:t>
      </w:r>
      <w:r>
        <w:rPr>
          <w:rFonts w:ascii="Arial" w:hAnsi="Arial" w:cs="Arial"/>
          <w:color w:val="000000"/>
          <w:sz w:val="21"/>
          <w:szCs w:val="21"/>
        </w:rPr>
        <w:t>）</w:t>
      </w:r>
      <w:r>
        <w:rPr>
          <w:rFonts w:ascii="Arial" w:hAnsi="Arial" w:cs="Arial"/>
          <w:color w:val="000000"/>
          <w:sz w:val="21"/>
          <w:szCs w:val="21"/>
        </w:rPr>
        <w:t>×2.5%=1.67</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18D7EBE4"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北京经开</w:t>
      </w:r>
      <w:r>
        <w:rPr>
          <w:rFonts w:ascii="Arial" w:hAnsi="Arial" w:cs="Arial"/>
          <w:color w:val="000000"/>
          <w:sz w:val="21"/>
          <w:szCs w:val="21"/>
        </w:rPr>
        <w:t>·</w:t>
      </w:r>
      <w:r>
        <w:rPr>
          <w:rFonts w:ascii="Arial" w:hAnsi="Arial" w:cs="Arial"/>
          <w:color w:val="000000"/>
          <w:sz w:val="21"/>
          <w:szCs w:val="21"/>
        </w:rPr>
        <w:t>汀塘租赁税费：（</w:t>
      </w:r>
      <w:r>
        <w:rPr>
          <w:rFonts w:ascii="Arial" w:hAnsi="Arial" w:cs="Arial"/>
          <w:color w:val="000000"/>
          <w:sz w:val="21"/>
          <w:szCs w:val="21"/>
        </w:rPr>
        <w:t>75.72-3.8-2.5</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1+5%</w:t>
      </w:r>
      <w:r>
        <w:rPr>
          <w:rFonts w:ascii="Arial" w:hAnsi="Arial" w:cs="Arial"/>
          <w:color w:val="000000"/>
          <w:sz w:val="21"/>
          <w:szCs w:val="21"/>
        </w:rPr>
        <w:t>）</w:t>
      </w:r>
      <w:r>
        <w:rPr>
          <w:rFonts w:ascii="Arial" w:hAnsi="Arial" w:cs="Arial"/>
          <w:color w:val="000000"/>
          <w:sz w:val="21"/>
          <w:szCs w:val="21"/>
        </w:rPr>
        <w:t>×2.5%=1.65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2E8157D4"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通泰国际公馆租赁税费：（</w:t>
      </w:r>
      <w:r>
        <w:rPr>
          <w:rFonts w:ascii="Arial" w:hAnsi="Arial" w:cs="Arial"/>
          <w:color w:val="000000"/>
          <w:sz w:val="21"/>
          <w:szCs w:val="21"/>
        </w:rPr>
        <w:t>74.81-3.28-2.5</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1+5%</w:t>
      </w:r>
      <w:r>
        <w:rPr>
          <w:rFonts w:ascii="Arial" w:hAnsi="Arial" w:cs="Arial"/>
          <w:color w:val="000000"/>
          <w:sz w:val="21"/>
          <w:szCs w:val="21"/>
        </w:rPr>
        <w:t>）</w:t>
      </w:r>
      <w:r>
        <w:rPr>
          <w:rFonts w:ascii="Arial" w:hAnsi="Arial" w:cs="Arial"/>
          <w:color w:val="000000"/>
          <w:sz w:val="21"/>
          <w:szCs w:val="21"/>
        </w:rPr>
        <w:t>×2.5%=1.64</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33133D3A"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扣除物业费、供暖费、销售税费的租金：</w:t>
      </w:r>
    </w:p>
    <w:p w14:paraId="0420B26A"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明月听蘭平均租金</w:t>
      </w:r>
      <w:r>
        <w:rPr>
          <w:rFonts w:ascii="Arial" w:hAnsi="Arial" w:cs="Arial"/>
          <w:color w:val="000000"/>
          <w:sz w:val="21"/>
          <w:szCs w:val="21"/>
        </w:rPr>
        <w:t>=78.24-5.68-2.5-1.67=68.39</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w:t>
      </w:r>
    </w:p>
    <w:p w14:paraId="756945E6"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北京经开</w:t>
      </w:r>
      <w:r>
        <w:rPr>
          <w:rFonts w:ascii="Arial" w:hAnsi="Arial" w:cs="Arial"/>
          <w:color w:val="000000"/>
          <w:sz w:val="21"/>
          <w:szCs w:val="21"/>
        </w:rPr>
        <w:t>·</w:t>
      </w:r>
      <w:r>
        <w:rPr>
          <w:rFonts w:ascii="Arial" w:hAnsi="Arial" w:cs="Arial"/>
          <w:color w:val="000000"/>
          <w:sz w:val="21"/>
          <w:szCs w:val="21"/>
        </w:rPr>
        <w:t>汀塘平均租金</w:t>
      </w:r>
      <w:r>
        <w:rPr>
          <w:rFonts w:ascii="Arial" w:hAnsi="Arial" w:cs="Arial"/>
          <w:color w:val="000000"/>
          <w:sz w:val="21"/>
          <w:szCs w:val="21"/>
        </w:rPr>
        <w:t>=75.72-3.8-2.5-1.65=67.77</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w:t>
      </w:r>
    </w:p>
    <w:p w14:paraId="62AB8E00"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通泰国际公馆平均租金</w:t>
      </w:r>
      <w:r>
        <w:rPr>
          <w:rFonts w:ascii="Arial" w:hAnsi="Arial" w:cs="Arial"/>
          <w:color w:val="000000"/>
          <w:sz w:val="21"/>
          <w:szCs w:val="21"/>
        </w:rPr>
        <w:t>=74.81-3.28-2.5-1.64=67.39</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6A73832B"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即三个可比实例的月平均租金水平分别为</w:t>
      </w:r>
      <w:r>
        <w:rPr>
          <w:rFonts w:ascii="Arial" w:hAnsi="Arial" w:cs="Arial"/>
          <w:color w:val="000000"/>
          <w:sz w:val="21"/>
          <w:szCs w:val="21"/>
        </w:rPr>
        <w:t>68.39</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hAnsi="Arial" w:cs="Arial"/>
          <w:color w:val="000000"/>
          <w:sz w:val="21"/>
          <w:szCs w:val="21"/>
        </w:rPr>
        <w:t>67.77</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hAnsi="Arial" w:cs="Arial"/>
          <w:color w:val="000000"/>
          <w:sz w:val="21"/>
          <w:szCs w:val="21"/>
        </w:rPr>
        <w:t>67.39</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6C7BFB69" w14:textId="77777777" w:rsidR="00771ECA" w:rsidRDefault="00000000">
      <w:pPr>
        <w:pStyle w:val="af4"/>
        <w:spacing w:line="480" w:lineRule="auto"/>
      </w:pPr>
      <w:r>
        <w:rPr>
          <w:rFonts w:ascii="Arial" w:eastAsia="宋体;SimSun" w:hAnsi="Arial" w:cs="Arial"/>
          <w:sz w:val="21"/>
          <w:szCs w:val="21"/>
        </w:rPr>
        <w:t>（二）</w:t>
      </w:r>
      <w:r>
        <w:rPr>
          <w:rFonts w:ascii="Arial" w:eastAsia="Arial" w:hAnsi="Arial" w:cs="Arial"/>
          <w:sz w:val="21"/>
          <w:szCs w:val="21"/>
        </w:rPr>
        <w:t xml:space="preserve"> </w:t>
      </w:r>
      <w:r>
        <w:rPr>
          <w:rFonts w:ascii="Arial" w:eastAsia="宋体;SimSun" w:hAnsi="Arial" w:cs="Arial"/>
          <w:sz w:val="21"/>
          <w:szCs w:val="21"/>
        </w:rPr>
        <w:t>比较法测算过程</w:t>
      </w:r>
    </w:p>
    <w:p w14:paraId="6B68CF79" w14:textId="77777777" w:rsidR="00771ECA" w:rsidRDefault="00000000">
      <w:pPr>
        <w:overflowPunct w:val="0"/>
        <w:spacing w:line="480" w:lineRule="auto"/>
        <w:ind w:firstLine="420"/>
      </w:pPr>
      <w:r>
        <w:rPr>
          <w:rFonts w:ascii="Arial" w:hAnsi="Arial" w:cs="Arial"/>
          <w:sz w:val="21"/>
          <w:szCs w:val="21"/>
        </w:rPr>
        <w:t>（</w:t>
      </w:r>
      <w:r>
        <w:rPr>
          <w:rFonts w:ascii="Arial" w:hAnsi="Arial" w:cs="Arial"/>
          <w:sz w:val="21"/>
          <w:szCs w:val="21"/>
        </w:rPr>
        <w:t>1</w:t>
      </w:r>
      <w:r>
        <w:rPr>
          <w:rFonts w:ascii="Arial" w:hAnsi="Arial" w:cs="Arial"/>
          <w:sz w:val="21"/>
          <w:szCs w:val="21"/>
        </w:rPr>
        <w:t>）建立比较因素条件说明表</w:t>
      </w:r>
      <w:r>
        <w:rPr>
          <w:rFonts w:ascii="Arial" w:eastAsia="Arial" w:hAnsi="Arial" w:cs="Arial"/>
          <w:sz w:val="21"/>
          <w:szCs w:val="21"/>
        </w:rPr>
        <w:t xml:space="preserve"> </w:t>
      </w:r>
    </w:p>
    <w:p w14:paraId="2EEC3730" w14:textId="77777777" w:rsidR="00771ECA" w:rsidRDefault="00000000">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w:t>
      </w:r>
      <w:r>
        <w:rPr>
          <w:rFonts w:ascii="Arial" w:hAnsi="Arial" w:cs="Arial"/>
          <w:sz w:val="21"/>
          <w:szCs w:val="21"/>
        </w:rPr>
        <w:lastRenderedPageBreak/>
        <w:t>价对象各自特点的分析，本次估价选择了区域状况、实物状况和宜居状况进行比较，详见比较因素情况描述表：</w:t>
      </w:r>
    </w:p>
    <w:p w14:paraId="370E0B5F" w14:textId="77777777" w:rsidR="00771ECA" w:rsidRDefault="00000000">
      <w:pPr>
        <w:overflowPunct w:val="0"/>
        <w:spacing w:line="480" w:lineRule="auto"/>
        <w:ind w:firstLine="420"/>
        <w:jc w:val="center"/>
        <w:rPr>
          <w:rFonts w:ascii="Arial" w:hAnsi="Arial" w:cs="Arial"/>
          <w:sz w:val="21"/>
          <w:szCs w:val="21"/>
        </w:rPr>
      </w:pPr>
      <w:r>
        <w:rPr>
          <w:rFonts w:ascii="Arial" w:hAnsi="Arial" w:cs="Arial"/>
          <w:color w:val="000000"/>
          <w:sz w:val="21"/>
          <w:szCs w:val="21"/>
        </w:rPr>
        <w:t>亦城景园</w:t>
      </w:r>
      <w:r>
        <w:rPr>
          <w:rFonts w:ascii="Arial" w:hAnsi="Arial" w:cs="Arial"/>
          <w:sz w:val="21"/>
          <w:szCs w:val="21"/>
        </w:rPr>
        <w:t>比较因素情况描述表</w:t>
      </w:r>
    </w:p>
    <w:tbl>
      <w:tblPr>
        <w:tblW w:w="5000" w:type="pct"/>
        <w:tblInd w:w="-113" w:type="dxa"/>
        <w:tblLook w:val="04A0" w:firstRow="1" w:lastRow="0" w:firstColumn="1" w:lastColumn="0" w:noHBand="0" w:noVBand="1"/>
      </w:tblPr>
      <w:tblGrid>
        <w:gridCol w:w="678"/>
        <w:gridCol w:w="1539"/>
        <w:gridCol w:w="1770"/>
        <w:gridCol w:w="1770"/>
        <w:gridCol w:w="1770"/>
        <w:gridCol w:w="1761"/>
      </w:tblGrid>
      <w:tr w:rsidR="00771ECA" w14:paraId="79B15FAE" w14:textId="77777777">
        <w:trPr>
          <w:trHeight w:val="270"/>
          <w:tblHeader/>
        </w:trPr>
        <w:tc>
          <w:tcPr>
            <w:tcW w:w="2220" w:type="dxa"/>
            <w:gridSpan w:val="2"/>
            <w:tcBorders>
              <w:top w:val="single" w:sz="4" w:space="0" w:color="000000"/>
              <w:left w:val="single" w:sz="4" w:space="0" w:color="000000"/>
              <w:bottom w:val="single" w:sz="4" w:space="0" w:color="000000"/>
            </w:tcBorders>
            <w:shd w:val="clear" w:color="auto" w:fill="auto"/>
            <w:vAlign w:val="center"/>
          </w:tcPr>
          <w:p w14:paraId="30D71AAC"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项目</w:t>
            </w:r>
          </w:p>
        </w:tc>
        <w:tc>
          <w:tcPr>
            <w:tcW w:w="1772" w:type="dxa"/>
            <w:tcBorders>
              <w:top w:val="single" w:sz="4" w:space="0" w:color="000000"/>
              <w:left w:val="single" w:sz="4" w:space="0" w:color="000000"/>
              <w:bottom w:val="single" w:sz="4" w:space="0" w:color="000000"/>
            </w:tcBorders>
            <w:shd w:val="clear" w:color="auto" w:fill="auto"/>
            <w:vAlign w:val="center"/>
          </w:tcPr>
          <w:p w14:paraId="4727062F"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估价对象</w:t>
            </w:r>
          </w:p>
        </w:tc>
        <w:tc>
          <w:tcPr>
            <w:tcW w:w="1772" w:type="dxa"/>
            <w:tcBorders>
              <w:top w:val="single" w:sz="4" w:space="0" w:color="000000"/>
              <w:left w:val="single" w:sz="4" w:space="0" w:color="000000"/>
              <w:bottom w:val="single" w:sz="4" w:space="0" w:color="000000"/>
            </w:tcBorders>
            <w:shd w:val="clear" w:color="auto" w:fill="auto"/>
            <w:vAlign w:val="center"/>
          </w:tcPr>
          <w:p w14:paraId="3F2520C6" w14:textId="77777777" w:rsidR="00771ECA" w:rsidRDefault="00000000">
            <w:pPr>
              <w:widowControl/>
              <w:spacing w:line="240" w:lineRule="auto"/>
              <w:jc w:val="center"/>
              <w:textAlignment w:val="auto"/>
            </w:pPr>
            <w:r>
              <w:rPr>
                <w:rFonts w:ascii="宋体;SimSun" w:hAnsi="宋体;SimSun" w:cs="Arial"/>
                <w:sz w:val="18"/>
              </w:rPr>
              <w:t>可比实例</w:t>
            </w:r>
            <w:r>
              <w:rPr>
                <w:rFonts w:ascii="Arial" w:hAnsi="Arial" w:cs="Arial"/>
                <w:sz w:val="18"/>
              </w:rPr>
              <w:t>1</w:t>
            </w:r>
          </w:p>
        </w:tc>
        <w:tc>
          <w:tcPr>
            <w:tcW w:w="1772" w:type="dxa"/>
            <w:tcBorders>
              <w:top w:val="single" w:sz="4" w:space="0" w:color="000000"/>
              <w:left w:val="single" w:sz="4" w:space="0" w:color="000000"/>
              <w:bottom w:val="single" w:sz="4" w:space="0" w:color="000000"/>
            </w:tcBorders>
            <w:shd w:val="clear" w:color="auto" w:fill="auto"/>
            <w:vAlign w:val="center"/>
          </w:tcPr>
          <w:p w14:paraId="0E6734C2" w14:textId="77777777" w:rsidR="00771ECA" w:rsidRDefault="00000000">
            <w:pPr>
              <w:widowControl/>
              <w:spacing w:line="240" w:lineRule="auto"/>
              <w:jc w:val="center"/>
              <w:textAlignment w:val="auto"/>
            </w:pPr>
            <w:r>
              <w:rPr>
                <w:rFonts w:ascii="宋体;SimSun" w:hAnsi="宋体;SimSun" w:cs="Arial"/>
                <w:sz w:val="18"/>
              </w:rPr>
              <w:t>可比实例</w:t>
            </w:r>
            <w:r>
              <w:rPr>
                <w:rFonts w:ascii="Arial" w:hAnsi="Arial" w:cs="Arial"/>
                <w:sz w:val="18"/>
              </w:rPr>
              <w:t>2</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FAE60" w14:textId="77777777" w:rsidR="00771ECA" w:rsidRDefault="00000000">
            <w:pPr>
              <w:widowControl/>
              <w:spacing w:line="240" w:lineRule="auto"/>
              <w:jc w:val="center"/>
              <w:textAlignment w:val="auto"/>
            </w:pPr>
            <w:r>
              <w:rPr>
                <w:rFonts w:ascii="宋体;SimSun" w:hAnsi="宋体;SimSun" w:cs="Arial"/>
                <w:sz w:val="18"/>
              </w:rPr>
              <w:t>可比案例</w:t>
            </w:r>
            <w:r>
              <w:rPr>
                <w:rFonts w:ascii="Arial" w:hAnsi="Arial" w:cs="Arial"/>
                <w:sz w:val="18"/>
              </w:rPr>
              <w:t>3</w:t>
            </w:r>
          </w:p>
        </w:tc>
      </w:tr>
      <w:tr w:rsidR="00771ECA" w14:paraId="09D844E3" w14:textId="77777777">
        <w:trPr>
          <w:trHeight w:val="270"/>
          <w:tblHeader/>
        </w:trPr>
        <w:tc>
          <w:tcPr>
            <w:tcW w:w="2220" w:type="dxa"/>
            <w:gridSpan w:val="2"/>
            <w:tcBorders>
              <w:top w:val="single" w:sz="4" w:space="0" w:color="000000"/>
              <w:left w:val="single" w:sz="4" w:space="0" w:color="000000"/>
              <w:bottom w:val="single" w:sz="4" w:space="0" w:color="000000"/>
            </w:tcBorders>
            <w:shd w:val="clear" w:color="auto" w:fill="auto"/>
            <w:vAlign w:val="center"/>
          </w:tcPr>
          <w:p w14:paraId="24B08901"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小区名称</w:t>
            </w:r>
          </w:p>
        </w:tc>
        <w:tc>
          <w:tcPr>
            <w:tcW w:w="1772" w:type="dxa"/>
            <w:tcBorders>
              <w:left w:val="single" w:sz="4" w:space="0" w:color="000000"/>
              <w:bottom w:val="single" w:sz="4" w:space="0" w:color="000000"/>
            </w:tcBorders>
            <w:shd w:val="clear" w:color="auto" w:fill="auto"/>
            <w:vAlign w:val="center"/>
          </w:tcPr>
          <w:p w14:paraId="2384A955"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亦城景园</w:t>
            </w:r>
          </w:p>
        </w:tc>
        <w:tc>
          <w:tcPr>
            <w:tcW w:w="1772" w:type="dxa"/>
            <w:tcBorders>
              <w:left w:val="single" w:sz="4" w:space="0" w:color="000000"/>
              <w:bottom w:val="single" w:sz="4" w:space="0" w:color="000000"/>
            </w:tcBorders>
            <w:shd w:val="clear" w:color="auto" w:fill="auto"/>
            <w:vAlign w:val="center"/>
          </w:tcPr>
          <w:p w14:paraId="3360DDAC"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明月听蘭</w:t>
            </w:r>
          </w:p>
        </w:tc>
        <w:tc>
          <w:tcPr>
            <w:tcW w:w="1772" w:type="dxa"/>
            <w:tcBorders>
              <w:left w:val="single" w:sz="4" w:space="0" w:color="000000"/>
              <w:bottom w:val="single" w:sz="4" w:space="0" w:color="000000"/>
            </w:tcBorders>
            <w:shd w:val="clear" w:color="auto" w:fill="auto"/>
            <w:vAlign w:val="center"/>
          </w:tcPr>
          <w:p w14:paraId="2624E76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北京经开</w:t>
            </w:r>
            <w:r>
              <w:rPr>
                <w:rFonts w:ascii="Arial" w:hAnsi="Arial" w:cs="Arial"/>
                <w:sz w:val="18"/>
              </w:rPr>
              <w:t>·</w:t>
            </w:r>
            <w:r>
              <w:rPr>
                <w:rFonts w:ascii="Arial" w:hAnsi="Arial" w:cs="Arial"/>
                <w:sz w:val="18"/>
              </w:rPr>
              <w:t>汀塘</w:t>
            </w:r>
          </w:p>
        </w:tc>
        <w:tc>
          <w:tcPr>
            <w:tcW w:w="1762" w:type="dxa"/>
            <w:tcBorders>
              <w:left w:val="single" w:sz="4" w:space="0" w:color="000000"/>
              <w:bottom w:val="single" w:sz="4" w:space="0" w:color="000000"/>
              <w:right w:val="single" w:sz="4" w:space="0" w:color="000000"/>
            </w:tcBorders>
            <w:shd w:val="clear" w:color="auto" w:fill="auto"/>
            <w:vAlign w:val="center"/>
          </w:tcPr>
          <w:p w14:paraId="70CD2A2F"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通泰国际公馆</w:t>
            </w:r>
          </w:p>
        </w:tc>
      </w:tr>
      <w:tr w:rsidR="00771ECA" w14:paraId="09F175CA" w14:textId="77777777">
        <w:trPr>
          <w:trHeight w:val="270"/>
        </w:trPr>
        <w:tc>
          <w:tcPr>
            <w:tcW w:w="2220" w:type="dxa"/>
            <w:gridSpan w:val="2"/>
            <w:tcBorders>
              <w:top w:val="single" w:sz="4" w:space="0" w:color="000000"/>
              <w:left w:val="single" w:sz="4" w:space="0" w:color="000000"/>
              <w:bottom w:val="single" w:sz="4" w:space="0" w:color="000000"/>
            </w:tcBorders>
            <w:shd w:val="clear" w:color="auto" w:fill="auto"/>
            <w:vAlign w:val="center"/>
          </w:tcPr>
          <w:p w14:paraId="48D77D06"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平均租金（元</w:t>
            </w:r>
            <w:r>
              <w:rPr>
                <w:rFonts w:ascii="Arial" w:hAnsi="Arial" w:cs="Arial"/>
                <w:sz w:val="18"/>
              </w:rPr>
              <w:t>/</w:t>
            </w:r>
            <w:r>
              <w:rPr>
                <w:rFonts w:ascii="宋体;SimSun" w:hAnsi="宋体;SimSun" w:cs="Arial"/>
                <w:sz w:val="18"/>
              </w:rPr>
              <w:t>平方米</w:t>
            </w:r>
            <w:r>
              <w:rPr>
                <w:rFonts w:ascii="Arial" w:hAnsi="Arial" w:cs="Arial"/>
                <w:sz w:val="18"/>
              </w:rPr>
              <w:t>·</w:t>
            </w:r>
            <w:r>
              <w:rPr>
                <w:rFonts w:ascii="宋体;SimSun" w:hAnsi="宋体;SimSun" w:cs="Arial"/>
                <w:sz w:val="18"/>
              </w:rPr>
              <w:t>月）</w:t>
            </w:r>
          </w:p>
        </w:tc>
        <w:tc>
          <w:tcPr>
            <w:tcW w:w="1772" w:type="dxa"/>
            <w:tcBorders>
              <w:left w:val="single" w:sz="4" w:space="0" w:color="000000"/>
              <w:bottom w:val="single" w:sz="4" w:space="0" w:color="000000"/>
            </w:tcBorders>
            <w:shd w:val="clear" w:color="auto" w:fill="auto"/>
            <w:vAlign w:val="center"/>
          </w:tcPr>
          <w:p w14:paraId="0DE430BD"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待估</w:t>
            </w:r>
          </w:p>
        </w:tc>
        <w:tc>
          <w:tcPr>
            <w:tcW w:w="1772" w:type="dxa"/>
            <w:tcBorders>
              <w:left w:val="single" w:sz="4" w:space="0" w:color="000000"/>
              <w:bottom w:val="single" w:sz="4" w:space="0" w:color="000000"/>
            </w:tcBorders>
            <w:shd w:val="clear" w:color="auto" w:fill="auto"/>
            <w:vAlign w:val="center"/>
          </w:tcPr>
          <w:p w14:paraId="062E892C" w14:textId="77777777" w:rsidR="00771ECA" w:rsidRDefault="00000000">
            <w:pPr>
              <w:widowControl/>
              <w:spacing w:line="240" w:lineRule="auto"/>
              <w:jc w:val="center"/>
              <w:rPr>
                <w:rFonts w:ascii="Arial" w:hAnsi="Arial" w:cs="Arial"/>
                <w:sz w:val="18"/>
              </w:rPr>
            </w:pPr>
            <w:r>
              <w:rPr>
                <w:rFonts w:ascii="Arial" w:hAnsi="Arial" w:cs="Arial"/>
                <w:sz w:val="18"/>
              </w:rPr>
              <w:t>68.39</w:t>
            </w:r>
          </w:p>
        </w:tc>
        <w:tc>
          <w:tcPr>
            <w:tcW w:w="1772" w:type="dxa"/>
            <w:tcBorders>
              <w:left w:val="single" w:sz="4" w:space="0" w:color="000000"/>
              <w:bottom w:val="single" w:sz="4" w:space="0" w:color="000000"/>
            </w:tcBorders>
            <w:shd w:val="clear" w:color="auto" w:fill="auto"/>
            <w:vAlign w:val="center"/>
          </w:tcPr>
          <w:p w14:paraId="42510D8A" w14:textId="77777777" w:rsidR="00771ECA" w:rsidRDefault="00000000">
            <w:pPr>
              <w:widowControl/>
              <w:spacing w:line="240" w:lineRule="auto"/>
              <w:jc w:val="center"/>
              <w:rPr>
                <w:rFonts w:ascii="Arial" w:hAnsi="Arial" w:cs="Arial"/>
                <w:sz w:val="18"/>
              </w:rPr>
            </w:pPr>
            <w:r>
              <w:rPr>
                <w:rFonts w:ascii="Arial" w:hAnsi="Arial" w:cs="Arial"/>
                <w:sz w:val="18"/>
              </w:rPr>
              <w:t>67.77</w:t>
            </w:r>
          </w:p>
        </w:tc>
        <w:tc>
          <w:tcPr>
            <w:tcW w:w="1762" w:type="dxa"/>
            <w:tcBorders>
              <w:left w:val="single" w:sz="4" w:space="0" w:color="000000"/>
              <w:bottom w:val="single" w:sz="4" w:space="0" w:color="000000"/>
              <w:right w:val="single" w:sz="4" w:space="0" w:color="000000"/>
            </w:tcBorders>
            <w:shd w:val="clear" w:color="auto" w:fill="auto"/>
            <w:vAlign w:val="center"/>
          </w:tcPr>
          <w:p w14:paraId="3A813595" w14:textId="77777777" w:rsidR="00771ECA" w:rsidRDefault="00000000">
            <w:pPr>
              <w:widowControl/>
              <w:spacing w:line="240" w:lineRule="auto"/>
              <w:jc w:val="center"/>
              <w:rPr>
                <w:rFonts w:ascii="Arial" w:hAnsi="Arial" w:cs="Arial"/>
                <w:sz w:val="18"/>
              </w:rPr>
            </w:pPr>
            <w:r>
              <w:rPr>
                <w:rFonts w:ascii="Arial" w:hAnsi="Arial" w:cs="Arial"/>
                <w:sz w:val="18"/>
              </w:rPr>
              <w:t>67.39</w:t>
            </w:r>
          </w:p>
        </w:tc>
      </w:tr>
      <w:tr w:rsidR="00771ECA" w14:paraId="55C8AC85" w14:textId="77777777">
        <w:trPr>
          <w:trHeight w:val="495"/>
        </w:trPr>
        <w:tc>
          <w:tcPr>
            <w:tcW w:w="2220" w:type="dxa"/>
            <w:gridSpan w:val="2"/>
            <w:tcBorders>
              <w:top w:val="single" w:sz="4" w:space="0" w:color="000000"/>
              <w:left w:val="single" w:sz="4" w:space="0" w:color="000000"/>
              <w:bottom w:val="single" w:sz="4" w:space="0" w:color="000000"/>
            </w:tcBorders>
            <w:shd w:val="clear" w:color="auto" w:fill="auto"/>
            <w:vAlign w:val="center"/>
          </w:tcPr>
          <w:p w14:paraId="0F408600"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交易时间</w:t>
            </w:r>
          </w:p>
        </w:tc>
        <w:tc>
          <w:tcPr>
            <w:tcW w:w="1772" w:type="dxa"/>
            <w:tcBorders>
              <w:left w:val="single" w:sz="4" w:space="0" w:color="000000"/>
              <w:bottom w:val="single" w:sz="4" w:space="0" w:color="000000"/>
            </w:tcBorders>
            <w:shd w:val="clear" w:color="auto" w:fill="auto"/>
            <w:vAlign w:val="center"/>
          </w:tcPr>
          <w:p w14:paraId="396169A5"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于价值时点过去</w:t>
            </w:r>
            <w:r>
              <w:rPr>
                <w:rFonts w:ascii="Arial" w:hAnsi="Arial" w:cs="Arial"/>
                <w:sz w:val="18"/>
              </w:rPr>
              <w:t>12</w:t>
            </w:r>
            <w:r>
              <w:rPr>
                <w:rFonts w:ascii="宋体;SimSun" w:hAnsi="宋体;SimSun" w:cs="Arial"/>
                <w:sz w:val="18"/>
              </w:rPr>
              <w:t>个月</w:t>
            </w:r>
          </w:p>
        </w:tc>
        <w:tc>
          <w:tcPr>
            <w:tcW w:w="1772" w:type="dxa"/>
            <w:tcBorders>
              <w:left w:val="single" w:sz="4" w:space="0" w:color="000000"/>
              <w:bottom w:val="single" w:sz="4" w:space="0" w:color="000000"/>
            </w:tcBorders>
            <w:shd w:val="clear" w:color="auto" w:fill="auto"/>
            <w:vAlign w:val="center"/>
          </w:tcPr>
          <w:p w14:paraId="691EA8E5"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于价值时点过去</w:t>
            </w:r>
            <w:r>
              <w:rPr>
                <w:rFonts w:ascii="Arial" w:hAnsi="Arial" w:cs="Arial"/>
                <w:sz w:val="18"/>
              </w:rPr>
              <w:t>12</w:t>
            </w:r>
            <w:r>
              <w:rPr>
                <w:rFonts w:ascii="宋体;SimSun" w:hAnsi="宋体;SimSun" w:cs="Arial"/>
                <w:sz w:val="18"/>
              </w:rPr>
              <w:t>个月</w:t>
            </w:r>
          </w:p>
        </w:tc>
        <w:tc>
          <w:tcPr>
            <w:tcW w:w="1772" w:type="dxa"/>
            <w:tcBorders>
              <w:left w:val="single" w:sz="4" w:space="0" w:color="000000"/>
              <w:bottom w:val="single" w:sz="4" w:space="0" w:color="000000"/>
            </w:tcBorders>
            <w:shd w:val="clear" w:color="auto" w:fill="auto"/>
            <w:vAlign w:val="center"/>
          </w:tcPr>
          <w:p w14:paraId="58423DBE"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于价值时点过去</w:t>
            </w:r>
            <w:r>
              <w:rPr>
                <w:rFonts w:ascii="Arial" w:hAnsi="Arial" w:cs="Arial"/>
                <w:sz w:val="18"/>
              </w:rPr>
              <w:t>12</w:t>
            </w:r>
            <w:r>
              <w:rPr>
                <w:rFonts w:ascii="宋体;SimSun" w:hAnsi="宋体;SimSun" w:cs="Arial"/>
                <w:sz w:val="18"/>
              </w:rPr>
              <w:t>个月</w:t>
            </w:r>
          </w:p>
        </w:tc>
        <w:tc>
          <w:tcPr>
            <w:tcW w:w="1762" w:type="dxa"/>
            <w:tcBorders>
              <w:left w:val="single" w:sz="4" w:space="0" w:color="000000"/>
              <w:bottom w:val="single" w:sz="4" w:space="0" w:color="000000"/>
              <w:right w:val="single" w:sz="4" w:space="0" w:color="000000"/>
            </w:tcBorders>
            <w:shd w:val="clear" w:color="auto" w:fill="auto"/>
            <w:vAlign w:val="center"/>
          </w:tcPr>
          <w:p w14:paraId="00479917"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于价值时点过去</w:t>
            </w:r>
            <w:r>
              <w:rPr>
                <w:rFonts w:ascii="Arial" w:hAnsi="Arial" w:cs="Arial"/>
                <w:sz w:val="18"/>
              </w:rPr>
              <w:t>12</w:t>
            </w:r>
            <w:r>
              <w:rPr>
                <w:rFonts w:ascii="宋体;SimSun" w:hAnsi="宋体;SimSun" w:cs="Arial"/>
                <w:sz w:val="18"/>
              </w:rPr>
              <w:t>个月</w:t>
            </w:r>
          </w:p>
        </w:tc>
      </w:tr>
      <w:tr w:rsidR="00771ECA" w14:paraId="15098078" w14:textId="77777777">
        <w:trPr>
          <w:trHeight w:val="270"/>
        </w:trPr>
        <w:tc>
          <w:tcPr>
            <w:tcW w:w="2220" w:type="dxa"/>
            <w:gridSpan w:val="2"/>
            <w:tcBorders>
              <w:top w:val="single" w:sz="4" w:space="0" w:color="000000"/>
              <w:left w:val="single" w:sz="4" w:space="0" w:color="000000"/>
              <w:bottom w:val="single" w:sz="4" w:space="0" w:color="000000"/>
            </w:tcBorders>
            <w:shd w:val="clear" w:color="auto" w:fill="auto"/>
            <w:vAlign w:val="center"/>
          </w:tcPr>
          <w:p w14:paraId="0E8F47C2"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交易情况</w:t>
            </w:r>
          </w:p>
        </w:tc>
        <w:tc>
          <w:tcPr>
            <w:tcW w:w="1772" w:type="dxa"/>
            <w:tcBorders>
              <w:left w:val="single" w:sz="4" w:space="0" w:color="000000"/>
              <w:bottom w:val="single" w:sz="4" w:space="0" w:color="000000"/>
            </w:tcBorders>
            <w:shd w:val="clear" w:color="auto" w:fill="auto"/>
            <w:vAlign w:val="center"/>
          </w:tcPr>
          <w:p w14:paraId="29C08C62"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正常</w:t>
            </w:r>
          </w:p>
        </w:tc>
        <w:tc>
          <w:tcPr>
            <w:tcW w:w="1772" w:type="dxa"/>
            <w:tcBorders>
              <w:left w:val="single" w:sz="4" w:space="0" w:color="000000"/>
              <w:bottom w:val="single" w:sz="4" w:space="0" w:color="000000"/>
            </w:tcBorders>
            <w:shd w:val="clear" w:color="auto" w:fill="auto"/>
            <w:vAlign w:val="center"/>
          </w:tcPr>
          <w:p w14:paraId="5AD65A33"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正常</w:t>
            </w:r>
          </w:p>
        </w:tc>
        <w:tc>
          <w:tcPr>
            <w:tcW w:w="1772" w:type="dxa"/>
            <w:tcBorders>
              <w:left w:val="single" w:sz="4" w:space="0" w:color="000000"/>
              <w:bottom w:val="single" w:sz="4" w:space="0" w:color="000000"/>
            </w:tcBorders>
            <w:shd w:val="clear" w:color="auto" w:fill="auto"/>
            <w:vAlign w:val="center"/>
          </w:tcPr>
          <w:p w14:paraId="6C4F451E"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正常</w:t>
            </w:r>
          </w:p>
        </w:tc>
        <w:tc>
          <w:tcPr>
            <w:tcW w:w="1762" w:type="dxa"/>
            <w:tcBorders>
              <w:left w:val="single" w:sz="4" w:space="0" w:color="000000"/>
              <w:bottom w:val="single" w:sz="4" w:space="0" w:color="000000"/>
              <w:right w:val="single" w:sz="4" w:space="0" w:color="000000"/>
            </w:tcBorders>
            <w:shd w:val="clear" w:color="auto" w:fill="auto"/>
            <w:vAlign w:val="center"/>
          </w:tcPr>
          <w:p w14:paraId="381B93FF"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正常</w:t>
            </w:r>
          </w:p>
        </w:tc>
      </w:tr>
      <w:tr w:rsidR="00771ECA" w14:paraId="75EEAF2F" w14:textId="77777777">
        <w:trPr>
          <w:trHeight w:val="241"/>
        </w:trPr>
        <w:tc>
          <w:tcPr>
            <w:tcW w:w="680" w:type="dxa"/>
            <w:vMerge w:val="restart"/>
            <w:tcBorders>
              <w:left w:val="single" w:sz="4" w:space="0" w:color="000000"/>
              <w:bottom w:val="single" w:sz="4" w:space="0" w:color="000000"/>
            </w:tcBorders>
            <w:shd w:val="clear" w:color="auto" w:fill="auto"/>
            <w:vAlign w:val="center"/>
          </w:tcPr>
          <w:p w14:paraId="2892457A" w14:textId="77777777" w:rsidR="00771ECA" w:rsidRDefault="00000000">
            <w:pPr>
              <w:widowControl/>
              <w:spacing w:line="240" w:lineRule="auto"/>
              <w:jc w:val="center"/>
              <w:textAlignment w:val="auto"/>
              <w:rPr>
                <w:rFonts w:ascii="Arial" w:hAnsi="Arial" w:cs="Arial"/>
                <w:color w:val="000000"/>
                <w:sz w:val="18"/>
                <w:szCs w:val="22"/>
              </w:rPr>
            </w:pPr>
            <w:r>
              <w:rPr>
                <w:rFonts w:ascii="宋体;SimSun" w:hAnsi="宋体;SimSun" w:cs="Arial"/>
                <w:color w:val="000000"/>
                <w:sz w:val="18"/>
                <w:szCs w:val="22"/>
              </w:rPr>
              <w:t>区域状况</w:t>
            </w:r>
          </w:p>
        </w:tc>
        <w:tc>
          <w:tcPr>
            <w:tcW w:w="1540" w:type="dxa"/>
            <w:tcBorders>
              <w:left w:val="single" w:sz="4" w:space="0" w:color="000000"/>
              <w:bottom w:val="single" w:sz="4" w:space="0" w:color="000000"/>
            </w:tcBorders>
            <w:shd w:val="clear" w:color="auto" w:fill="auto"/>
            <w:vAlign w:val="center"/>
          </w:tcPr>
          <w:p w14:paraId="0E80108C"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居住区成熟度</w:t>
            </w:r>
          </w:p>
        </w:tc>
        <w:tc>
          <w:tcPr>
            <w:tcW w:w="1772" w:type="dxa"/>
            <w:tcBorders>
              <w:left w:val="single" w:sz="4" w:space="0" w:color="000000"/>
              <w:bottom w:val="single" w:sz="4" w:space="0" w:color="000000"/>
            </w:tcBorders>
            <w:shd w:val="clear" w:color="auto" w:fill="auto"/>
            <w:vAlign w:val="center"/>
          </w:tcPr>
          <w:p w14:paraId="62077950"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估价对象周边有禧瑞天著、次渠家园、玉江佳园、定海园等居住小区，居住小区规模较大，入住率较高，综合评价居住社区成熟度较好。</w:t>
            </w:r>
          </w:p>
        </w:tc>
        <w:tc>
          <w:tcPr>
            <w:tcW w:w="1772" w:type="dxa"/>
            <w:tcBorders>
              <w:left w:val="single" w:sz="4" w:space="0" w:color="000000"/>
              <w:bottom w:val="single" w:sz="4" w:space="0" w:color="000000"/>
            </w:tcBorders>
            <w:shd w:val="clear" w:color="auto" w:fill="auto"/>
            <w:vAlign w:val="center"/>
          </w:tcPr>
          <w:p w14:paraId="53C5E394"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可比实例1周边有首开万科翡翠四季、台湖银河湾泰禾1号公馆、台湖银河湾等居住小区居住小区，居住小区规模较大，入住率较高，综合评价居住区成熟度较好。</w:t>
            </w:r>
          </w:p>
        </w:tc>
        <w:tc>
          <w:tcPr>
            <w:tcW w:w="1772" w:type="dxa"/>
            <w:tcBorders>
              <w:left w:val="single" w:sz="4" w:space="0" w:color="000000"/>
              <w:bottom w:val="single" w:sz="4" w:space="0" w:color="000000"/>
            </w:tcBorders>
            <w:shd w:val="clear" w:color="auto" w:fill="auto"/>
            <w:vAlign w:val="center"/>
          </w:tcPr>
          <w:p w14:paraId="69B885B8"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可比实例2周边有禧瑞天著、次渠家园、玉江佳园、定海园等居住小区，居住小区规模较大，入住率较高，综合评价居住社区成熟度较好。</w:t>
            </w:r>
          </w:p>
        </w:tc>
        <w:tc>
          <w:tcPr>
            <w:tcW w:w="1762" w:type="dxa"/>
            <w:tcBorders>
              <w:left w:val="single" w:sz="4" w:space="0" w:color="000000"/>
              <w:bottom w:val="single" w:sz="4" w:space="0" w:color="000000"/>
              <w:right w:val="single" w:sz="4" w:space="0" w:color="000000"/>
            </w:tcBorders>
            <w:shd w:val="clear" w:color="auto" w:fill="auto"/>
            <w:vAlign w:val="center"/>
          </w:tcPr>
          <w:p w14:paraId="66EEE5B1"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可比实例3周边有</w:t>
            </w:r>
            <w:commentRangeStart w:id="48"/>
            <w:r>
              <w:rPr>
                <w:rFonts w:ascii="宋体;SimSun" w:hAnsi="宋体;SimSun" w:cs="Arial"/>
                <w:sz w:val="18"/>
              </w:rPr>
              <w:t>熙悦林语、德茂佳苑、中铁华侨城、芳源里</w:t>
            </w:r>
            <w:commentRangeEnd w:id="48"/>
            <w:r w:rsidR="00B3235C">
              <w:rPr>
                <w:rStyle w:val="a7"/>
              </w:rPr>
              <w:commentReference w:id="48"/>
            </w:r>
            <w:r>
              <w:rPr>
                <w:rFonts w:ascii="宋体;SimSun" w:hAnsi="宋体;SimSun" w:cs="Arial"/>
                <w:sz w:val="18"/>
              </w:rPr>
              <w:t>、菊源里、菊源南里、兴盛嘉苑等居住小区，居住小区规模较大，入住率较高，综合评价居住区成熟度较好。</w:t>
            </w:r>
          </w:p>
        </w:tc>
      </w:tr>
      <w:tr w:rsidR="00771ECA" w14:paraId="58F81EA4" w14:textId="77777777">
        <w:trPr>
          <w:trHeight w:val="270"/>
        </w:trPr>
        <w:tc>
          <w:tcPr>
            <w:tcW w:w="680" w:type="dxa"/>
            <w:vMerge/>
            <w:tcBorders>
              <w:left w:val="single" w:sz="4" w:space="0" w:color="000000"/>
              <w:bottom w:val="single" w:sz="4" w:space="0" w:color="000000"/>
            </w:tcBorders>
            <w:shd w:val="clear" w:color="auto" w:fill="auto"/>
            <w:vAlign w:val="center"/>
          </w:tcPr>
          <w:p w14:paraId="60C38FE3" w14:textId="77777777" w:rsidR="00771ECA" w:rsidRDefault="00771ECA">
            <w:pPr>
              <w:widowControl/>
              <w:snapToGrid w:val="0"/>
              <w:spacing w:line="240" w:lineRule="auto"/>
              <w:textAlignment w:val="auto"/>
              <w:rPr>
                <w:rFonts w:ascii="Arial" w:hAnsi="Arial" w:cs="Arial"/>
                <w:color w:val="000000"/>
                <w:sz w:val="18"/>
                <w:szCs w:val="22"/>
              </w:rPr>
            </w:pPr>
          </w:p>
        </w:tc>
        <w:tc>
          <w:tcPr>
            <w:tcW w:w="1540" w:type="dxa"/>
            <w:tcBorders>
              <w:left w:val="single" w:sz="4" w:space="0" w:color="000000"/>
              <w:bottom w:val="single" w:sz="4" w:space="0" w:color="000000"/>
            </w:tcBorders>
            <w:shd w:val="clear" w:color="auto" w:fill="auto"/>
            <w:vAlign w:val="center"/>
          </w:tcPr>
          <w:p w14:paraId="4973F45F" w14:textId="77777777" w:rsidR="00771ECA" w:rsidRDefault="00000000">
            <w:pPr>
              <w:widowControl/>
              <w:spacing w:line="240" w:lineRule="auto"/>
              <w:jc w:val="center"/>
              <w:textAlignment w:val="auto"/>
              <w:rPr>
                <w:rFonts w:ascii="Arial" w:hAnsi="Arial" w:cs="Arial"/>
                <w:sz w:val="18"/>
              </w:rPr>
            </w:pPr>
            <w:commentRangeStart w:id="49"/>
            <w:r>
              <w:rPr>
                <w:rFonts w:ascii="宋体;SimSun" w:hAnsi="宋体;SimSun" w:cs="Arial"/>
                <w:sz w:val="18"/>
              </w:rPr>
              <w:t>交通条件</w:t>
            </w:r>
            <w:commentRangeEnd w:id="49"/>
            <w:r w:rsidR="00B3235C">
              <w:rPr>
                <w:rStyle w:val="a7"/>
              </w:rPr>
              <w:commentReference w:id="49"/>
            </w:r>
          </w:p>
        </w:tc>
        <w:tc>
          <w:tcPr>
            <w:tcW w:w="1772" w:type="dxa"/>
            <w:tcBorders>
              <w:left w:val="single" w:sz="4" w:space="0" w:color="000000"/>
              <w:bottom w:val="single" w:sz="4" w:space="0" w:color="000000"/>
            </w:tcBorders>
            <w:shd w:val="clear" w:color="auto" w:fill="auto"/>
            <w:vAlign w:val="center"/>
          </w:tcPr>
          <w:p w14:paraId="0072B27D"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估价对象所属项目紧邻城市支路——经海六路、科创十一街等，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sz="4" w:space="0" w:color="000000"/>
              <w:bottom w:val="single" w:sz="4" w:space="0" w:color="000000"/>
            </w:tcBorders>
            <w:shd w:val="clear" w:color="auto" w:fill="auto"/>
            <w:vAlign w:val="center"/>
          </w:tcPr>
          <w:p w14:paraId="4B360DF2"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可比实例1临近城市支路——普祥路，周边有公交车站（丽水路、次渠中路北口、地铁次渠站等），停靠线路有专232路、820路、986路、T11路、T56路等公交线路，距地铁17、亦庄号线（次渠站）约0.8公里 ，综合评价交通便捷度较好。</w:t>
            </w:r>
          </w:p>
        </w:tc>
        <w:tc>
          <w:tcPr>
            <w:tcW w:w="1772" w:type="dxa"/>
            <w:tcBorders>
              <w:left w:val="single" w:sz="4" w:space="0" w:color="000000"/>
              <w:bottom w:val="single" w:sz="4" w:space="0" w:color="000000"/>
            </w:tcBorders>
            <w:shd w:val="clear" w:color="auto" w:fill="auto"/>
            <w:vAlign w:val="center"/>
          </w:tcPr>
          <w:p w14:paraId="73C1E104"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2紧邻城市支路——科创十一街等，附近有公交车站亦城景园、经海七路南口等，停靠线路有通68路、专159路、专184路、专232路、523路等多条线路及亦庄新城现代有轨电车T1线，周边段道路情况良好，道路通达度较好，综合评价交通便捷度较好。</w:t>
            </w:r>
          </w:p>
        </w:tc>
        <w:tc>
          <w:tcPr>
            <w:tcW w:w="1762" w:type="dxa"/>
            <w:tcBorders>
              <w:left w:val="single" w:sz="4" w:space="0" w:color="000000"/>
              <w:bottom w:val="single" w:sz="4" w:space="0" w:color="000000"/>
              <w:right w:val="single" w:sz="4" w:space="0" w:color="000000"/>
            </w:tcBorders>
            <w:shd w:val="clear" w:color="auto" w:fill="auto"/>
            <w:vAlign w:val="center"/>
          </w:tcPr>
          <w:p w14:paraId="6FE25587"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可比实例3紧邻城市支路——科创十二街等，附近有公交车站科创十三街西站、汇龙森科技园等，停靠线路有523路、专182路、专232路等多条线路，距地铁亦庄号线（经海路站）约0.4公里 ，周边段道路情况良好，道路通达度较好，综合评价交通便捷度较好.</w:t>
            </w:r>
          </w:p>
        </w:tc>
      </w:tr>
      <w:tr w:rsidR="00771ECA" w14:paraId="3C21E73B" w14:textId="77777777">
        <w:trPr>
          <w:trHeight w:val="270"/>
        </w:trPr>
        <w:tc>
          <w:tcPr>
            <w:tcW w:w="680" w:type="dxa"/>
            <w:vMerge/>
            <w:tcBorders>
              <w:left w:val="single" w:sz="4" w:space="0" w:color="000000"/>
              <w:bottom w:val="single" w:sz="4" w:space="0" w:color="000000"/>
            </w:tcBorders>
            <w:shd w:val="clear" w:color="auto" w:fill="auto"/>
            <w:vAlign w:val="center"/>
          </w:tcPr>
          <w:p w14:paraId="41BC6A7F" w14:textId="77777777" w:rsidR="00771ECA" w:rsidRDefault="00771ECA">
            <w:pPr>
              <w:widowControl/>
              <w:snapToGrid w:val="0"/>
              <w:spacing w:line="240" w:lineRule="auto"/>
              <w:textAlignment w:val="auto"/>
              <w:rPr>
                <w:rFonts w:ascii="Arial" w:hAnsi="Arial" w:cs="Arial"/>
                <w:color w:val="000000"/>
                <w:sz w:val="18"/>
                <w:szCs w:val="22"/>
              </w:rPr>
            </w:pPr>
          </w:p>
        </w:tc>
        <w:tc>
          <w:tcPr>
            <w:tcW w:w="1540" w:type="dxa"/>
            <w:tcBorders>
              <w:left w:val="single" w:sz="4" w:space="0" w:color="000000"/>
              <w:bottom w:val="single" w:sz="4" w:space="0" w:color="000000"/>
            </w:tcBorders>
            <w:shd w:val="clear" w:color="auto" w:fill="auto"/>
            <w:vAlign w:val="center"/>
          </w:tcPr>
          <w:p w14:paraId="744E59B5"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商业设施</w:t>
            </w:r>
          </w:p>
        </w:tc>
        <w:tc>
          <w:tcPr>
            <w:tcW w:w="1772" w:type="dxa"/>
            <w:tcBorders>
              <w:left w:val="single" w:sz="4" w:space="0" w:color="000000"/>
              <w:bottom w:val="single" w:sz="4" w:space="0" w:color="000000"/>
            </w:tcBorders>
            <w:shd w:val="clear" w:color="auto" w:fill="auto"/>
            <w:vAlign w:val="center"/>
          </w:tcPr>
          <w:p w14:paraId="7CD47135"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估价对象位于北京经济技术开发区东区，周边商业设施以小区配套为主，且数量一般，综合评价商业设施一般</w:t>
            </w:r>
          </w:p>
        </w:tc>
        <w:tc>
          <w:tcPr>
            <w:tcW w:w="1772" w:type="dxa"/>
            <w:tcBorders>
              <w:left w:val="single" w:sz="4" w:space="0" w:color="000000"/>
              <w:bottom w:val="single" w:sz="4" w:space="0" w:color="000000"/>
            </w:tcBorders>
            <w:shd w:val="clear" w:color="auto" w:fill="auto"/>
            <w:vAlign w:val="center"/>
          </w:tcPr>
          <w:p w14:paraId="7D07F337"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可比实例1周边有百发隆购物中心、华联超市等，商业设施齐备度一般</w:t>
            </w:r>
          </w:p>
        </w:tc>
        <w:tc>
          <w:tcPr>
            <w:tcW w:w="1772" w:type="dxa"/>
            <w:tcBorders>
              <w:left w:val="single" w:sz="4" w:space="0" w:color="000000"/>
              <w:bottom w:val="single" w:sz="4" w:space="0" w:color="000000"/>
            </w:tcBorders>
            <w:shd w:val="clear" w:color="auto" w:fill="auto"/>
            <w:vAlign w:val="center"/>
          </w:tcPr>
          <w:p w14:paraId="350A73A7"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可比实例2北京经济技术开发区东区，周边商业设施以小区配套为主，且数量一般，综合评价商业设施一般</w:t>
            </w:r>
          </w:p>
        </w:tc>
        <w:tc>
          <w:tcPr>
            <w:tcW w:w="1762" w:type="dxa"/>
            <w:tcBorders>
              <w:left w:val="single" w:sz="4" w:space="0" w:color="000000"/>
              <w:bottom w:val="single" w:sz="4" w:space="0" w:color="000000"/>
              <w:right w:val="single" w:sz="4" w:space="0" w:color="000000"/>
            </w:tcBorders>
            <w:shd w:val="clear" w:color="auto" w:fill="auto"/>
            <w:vAlign w:val="center"/>
          </w:tcPr>
          <w:p w14:paraId="6D038C15"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可比实例周边商业设施以小区配套为主，且数量一般，综合评价商业设施一般</w:t>
            </w:r>
          </w:p>
        </w:tc>
      </w:tr>
      <w:tr w:rsidR="00771ECA" w14:paraId="4763B9FD" w14:textId="77777777">
        <w:trPr>
          <w:trHeight w:val="282"/>
        </w:trPr>
        <w:tc>
          <w:tcPr>
            <w:tcW w:w="680" w:type="dxa"/>
            <w:vMerge/>
            <w:tcBorders>
              <w:left w:val="single" w:sz="4" w:space="0" w:color="000000"/>
              <w:bottom w:val="single" w:sz="4" w:space="0" w:color="000000"/>
            </w:tcBorders>
            <w:shd w:val="clear" w:color="auto" w:fill="auto"/>
            <w:vAlign w:val="center"/>
          </w:tcPr>
          <w:p w14:paraId="7BB0A7F5" w14:textId="77777777" w:rsidR="00771ECA" w:rsidRDefault="00771ECA">
            <w:pPr>
              <w:widowControl/>
              <w:snapToGrid w:val="0"/>
              <w:spacing w:line="240" w:lineRule="auto"/>
              <w:textAlignment w:val="auto"/>
              <w:rPr>
                <w:rFonts w:ascii="Arial" w:hAnsi="Arial" w:cs="Arial"/>
                <w:color w:val="000000"/>
                <w:sz w:val="18"/>
                <w:szCs w:val="22"/>
              </w:rPr>
            </w:pPr>
          </w:p>
        </w:tc>
        <w:tc>
          <w:tcPr>
            <w:tcW w:w="1540" w:type="dxa"/>
            <w:tcBorders>
              <w:left w:val="single" w:sz="4" w:space="0" w:color="000000"/>
              <w:bottom w:val="single" w:sz="4" w:space="0" w:color="000000"/>
            </w:tcBorders>
            <w:shd w:val="clear" w:color="auto" w:fill="auto"/>
            <w:vAlign w:val="center"/>
          </w:tcPr>
          <w:p w14:paraId="432866ED"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自然环境</w:t>
            </w:r>
          </w:p>
        </w:tc>
        <w:tc>
          <w:tcPr>
            <w:tcW w:w="1772" w:type="dxa"/>
            <w:tcBorders>
              <w:left w:val="single" w:sz="4" w:space="0" w:color="000000"/>
              <w:bottom w:val="single" w:sz="4" w:space="0" w:color="000000"/>
            </w:tcBorders>
            <w:shd w:val="clear" w:color="auto" w:fill="auto"/>
            <w:vAlign w:val="center"/>
          </w:tcPr>
          <w:p w14:paraId="000174EF"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估价对象东侧临近通惠北灌渠河、南侧临近通明湖公园，周边无高等教育学校或博物馆等人文景观，综合评价环境状况一般。</w:t>
            </w:r>
          </w:p>
        </w:tc>
        <w:tc>
          <w:tcPr>
            <w:tcW w:w="1772" w:type="dxa"/>
            <w:tcBorders>
              <w:left w:val="single" w:sz="4" w:space="0" w:color="000000"/>
              <w:bottom w:val="single" w:sz="4" w:space="0" w:color="000000"/>
            </w:tcBorders>
            <w:shd w:val="clear" w:color="auto" w:fill="auto"/>
            <w:vAlign w:val="center"/>
          </w:tcPr>
          <w:p w14:paraId="52EF9857"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可比实例1周边有乐跑公园等自然景观，周边无高等教育学校或博物馆等人文景观，综合评价环境状况一般。</w:t>
            </w:r>
          </w:p>
        </w:tc>
        <w:tc>
          <w:tcPr>
            <w:tcW w:w="1772" w:type="dxa"/>
            <w:tcBorders>
              <w:left w:val="single" w:sz="4" w:space="0" w:color="000000"/>
              <w:bottom w:val="single" w:sz="4" w:space="0" w:color="000000"/>
            </w:tcBorders>
            <w:shd w:val="clear" w:color="auto" w:fill="auto"/>
            <w:vAlign w:val="center"/>
          </w:tcPr>
          <w:p w14:paraId="4CB41F31"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可比实例2临近通惠北灌渠河、南侧临近通明湖公园，周边无高等教育学校或博物馆等人文景观，综合评价环境状况一般。</w:t>
            </w:r>
          </w:p>
        </w:tc>
        <w:tc>
          <w:tcPr>
            <w:tcW w:w="1762" w:type="dxa"/>
            <w:tcBorders>
              <w:left w:val="single" w:sz="4" w:space="0" w:color="000000"/>
              <w:bottom w:val="single" w:sz="4" w:space="0" w:color="000000"/>
              <w:right w:val="single" w:sz="4" w:space="0" w:color="000000"/>
            </w:tcBorders>
            <w:shd w:val="clear" w:color="auto" w:fill="auto"/>
            <w:vAlign w:val="center"/>
          </w:tcPr>
          <w:p w14:paraId="351D7D7B"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可比实例3临近通惠北灌渠河、南侧临近通明湖公园，周边无高等教育学校或博物馆等人文景观，综合评价环境状况一般。</w:t>
            </w:r>
          </w:p>
        </w:tc>
      </w:tr>
      <w:tr w:rsidR="00771ECA" w14:paraId="53D44B94" w14:textId="77777777">
        <w:trPr>
          <w:trHeight w:val="1200"/>
        </w:trPr>
        <w:tc>
          <w:tcPr>
            <w:tcW w:w="680" w:type="dxa"/>
            <w:vMerge/>
            <w:tcBorders>
              <w:left w:val="single" w:sz="4" w:space="0" w:color="000000"/>
              <w:bottom w:val="single" w:sz="4" w:space="0" w:color="000000"/>
            </w:tcBorders>
            <w:shd w:val="clear" w:color="auto" w:fill="auto"/>
            <w:vAlign w:val="center"/>
          </w:tcPr>
          <w:p w14:paraId="57E304BD" w14:textId="77777777" w:rsidR="00771ECA" w:rsidRDefault="00771ECA">
            <w:pPr>
              <w:widowControl/>
              <w:snapToGrid w:val="0"/>
              <w:spacing w:line="240" w:lineRule="auto"/>
              <w:textAlignment w:val="auto"/>
              <w:rPr>
                <w:rFonts w:ascii="Arial" w:hAnsi="Arial" w:cs="Arial"/>
                <w:color w:val="000000"/>
                <w:sz w:val="18"/>
                <w:szCs w:val="22"/>
              </w:rPr>
            </w:pPr>
          </w:p>
        </w:tc>
        <w:tc>
          <w:tcPr>
            <w:tcW w:w="1540" w:type="dxa"/>
            <w:tcBorders>
              <w:left w:val="single" w:sz="4" w:space="0" w:color="000000"/>
              <w:bottom w:val="single" w:sz="4" w:space="0" w:color="000000"/>
            </w:tcBorders>
            <w:shd w:val="clear" w:color="auto" w:fill="auto"/>
            <w:vAlign w:val="center"/>
          </w:tcPr>
          <w:p w14:paraId="3B399ABB"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公共配套</w:t>
            </w:r>
          </w:p>
        </w:tc>
        <w:tc>
          <w:tcPr>
            <w:tcW w:w="1772" w:type="dxa"/>
            <w:tcBorders>
              <w:left w:val="single" w:sz="4" w:space="0" w:color="000000"/>
              <w:bottom w:val="single" w:sz="4" w:space="0" w:color="000000"/>
            </w:tcBorders>
            <w:shd w:val="clear" w:color="auto" w:fill="auto"/>
            <w:vAlign w:val="center"/>
          </w:tcPr>
          <w:p w14:paraId="2BF1CA22"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估价对象所在区域周边2公里范围内有北京银行、北京农商银行、中国农业银行等金融机构；家和新天地商业中心等商服设施；周边有北京市建华实验亦庄学校、亦庄小学、定海园幼儿园等教育机构；有通州区第三医院、次渠北里社区卫生服务站等医疗机构设施。公共配套设施较齐全。</w:t>
            </w:r>
          </w:p>
        </w:tc>
        <w:tc>
          <w:tcPr>
            <w:tcW w:w="1772" w:type="dxa"/>
            <w:tcBorders>
              <w:left w:val="single" w:sz="4" w:space="0" w:color="000000"/>
              <w:bottom w:val="single" w:sz="4" w:space="0" w:color="000000"/>
            </w:tcBorders>
            <w:shd w:val="clear" w:color="auto" w:fill="auto"/>
            <w:vAlign w:val="center"/>
          </w:tcPr>
          <w:p w14:paraId="75E437CA" w14:textId="77777777" w:rsidR="00771ECA" w:rsidRDefault="00000000">
            <w:pPr>
              <w:widowControl/>
              <w:spacing w:line="240" w:lineRule="auto"/>
              <w:jc w:val="center"/>
              <w:textAlignment w:val="auto"/>
            </w:pPr>
            <w:r>
              <w:rPr>
                <w:rFonts w:ascii="宋体;SimSun" w:hAnsi="宋体;SimSun" w:cs="Arial"/>
                <w:sz w:val="18"/>
              </w:rPr>
              <w:t>可比实例1所在区域周边2公里范围内有北京银行、北京农商银行、中国农业银行等金融机构；家和新天地商业中心等商服设施；周边有北京市建华实验亦庄学校、亦庄小学、定海园幼儿园等教育机构；有通州区第三医院、次渠北里社区卫生服务站等医疗机构设施。公共配套设施较齐全。</w:t>
            </w:r>
          </w:p>
        </w:tc>
        <w:tc>
          <w:tcPr>
            <w:tcW w:w="1772" w:type="dxa"/>
            <w:tcBorders>
              <w:left w:val="single" w:sz="4" w:space="0" w:color="000000"/>
              <w:bottom w:val="single" w:sz="4" w:space="0" w:color="000000"/>
            </w:tcBorders>
            <w:shd w:val="clear" w:color="auto" w:fill="auto"/>
            <w:vAlign w:val="center"/>
          </w:tcPr>
          <w:p w14:paraId="4F3D3E7D" w14:textId="77777777" w:rsidR="00771ECA" w:rsidRDefault="00000000">
            <w:pPr>
              <w:widowControl/>
              <w:spacing w:line="240" w:lineRule="auto"/>
              <w:jc w:val="center"/>
              <w:textAlignment w:val="auto"/>
            </w:pPr>
            <w:r>
              <w:rPr>
                <w:rFonts w:ascii="宋体;SimSun" w:hAnsi="宋体;SimSun" w:cs="Arial"/>
                <w:sz w:val="18"/>
              </w:rPr>
              <w:t>可比实例2所在区域周边2公里范围内有北京银行、北京农商银行、中国农业银行等金融机构；家和新天地商业中心等商服设施；周边有北京市建华实验亦庄学校、亦庄小学、定海园幼儿园等教育机构；有通州区第三医院、次渠北里社区卫生服务站等医疗机构设施。公共配套设施较齐全。</w:t>
            </w:r>
          </w:p>
        </w:tc>
        <w:tc>
          <w:tcPr>
            <w:tcW w:w="1762" w:type="dxa"/>
            <w:tcBorders>
              <w:left w:val="single" w:sz="4" w:space="0" w:color="000000"/>
              <w:bottom w:val="single" w:sz="4" w:space="0" w:color="000000"/>
              <w:right w:val="single" w:sz="4" w:space="0" w:color="000000"/>
            </w:tcBorders>
            <w:shd w:val="clear" w:color="auto" w:fill="auto"/>
            <w:vAlign w:val="center"/>
          </w:tcPr>
          <w:p w14:paraId="7B930FDB" w14:textId="77777777" w:rsidR="00771ECA" w:rsidRDefault="00000000">
            <w:pPr>
              <w:widowControl/>
              <w:spacing w:line="240" w:lineRule="auto"/>
              <w:jc w:val="center"/>
              <w:textAlignment w:val="auto"/>
            </w:pPr>
            <w:r>
              <w:rPr>
                <w:rFonts w:ascii="宋体;SimSun" w:hAnsi="宋体;SimSun" w:cs="Arial"/>
                <w:sz w:val="18"/>
              </w:rPr>
              <w:t>可比实例3所在区域周边2公里范围内有北京银行、北京农商银行、中国农业银行等金融机构；家和新天地商业中心等商服设施；周边有北京市建华实验亦庄学校、亦庄小学、定海园幼儿园等教育机构；有通州区第三医院、次渠北里社区卫生服务站等医疗机构设施。公共配套设施较齐全。</w:t>
            </w:r>
          </w:p>
        </w:tc>
      </w:tr>
      <w:tr w:rsidR="00771ECA" w14:paraId="7CCDF6B6" w14:textId="77777777">
        <w:trPr>
          <w:trHeight w:val="270"/>
        </w:trPr>
        <w:tc>
          <w:tcPr>
            <w:tcW w:w="680" w:type="dxa"/>
            <w:vMerge w:val="restart"/>
            <w:tcBorders>
              <w:top w:val="single" w:sz="4" w:space="0" w:color="000000"/>
              <w:left w:val="single" w:sz="4" w:space="0" w:color="000000"/>
            </w:tcBorders>
            <w:shd w:val="clear" w:color="auto" w:fill="auto"/>
            <w:vAlign w:val="center"/>
          </w:tcPr>
          <w:p w14:paraId="126452E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实物状况</w:t>
            </w:r>
          </w:p>
        </w:tc>
        <w:tc>
          <w:tcPr>
            <w:tcW w:w="1540" w:type="dxa"/>
            <w:tcBorders>
              <w:top w:val="single" w:sz="4" w:space="0" w:color="000000"/>
              <w:left w:val="single" w:sz="4" w:space="0" w:color="000000"/>
              <w:bottom w:val="single" w:sz="4" w:space="0" w:color="000000"/>
            </w:tcBorders>
            <w:shd w:val="clear" w:color="auto" w:fill="auto"/>
            <w:vAlign w:val="center"/>
          </w:tcPr>
          <w:p w14:paraId="2DCCE4C6"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物业服务</w:t>
            </w:r>
          </w:p>
        </w:tc>
        <w:tc>
          <w:tcPr>
            <w:tcW w:w="1772" w:type="dxa"/>
            <w:tcBorders>
              <w:top w:val="single" w:sz="4" w:space="0" w:color="000000"/>
              <w:left w:val="single" w:sz="4" w:space="0" w:color="000000"/>
              <w:bottom w:val="single" w:sz="4" w:space="0" w:color="000000"/>
            </w:tcBorders>
            <w:shd w:val="clear" w:color="auto" w:fill="auto"/>
            <w:vAlign w:val="center"/>
          </w:tcPr>
          <w:p w14:paraId="287141A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有专业物业公司，物业服务保障好</w:t>
            </w:r>
          </w:p>
        </w:tc>
        <w:tc>
          <w:tcPr>
            <w:tcW w:w="1772" w:type="dxa"/>
            <w:tcBorders>
              <w:top w:val="single" w:sz="4" w:space="0" w:color="000000"/>
              <w:left w:val="single" w:sz="4" w:space="0" w:color="000000"/>
              <w:bottom w:val="single" w:sz="4" w:space="0" w:color="000000"/>
            </w:tcBorders>
            <w:shd w:val="clear" w:color="auto" w:fill="auto"/>
            <w:vAlign w:val="center"/>
          </w:tcPr>
          <w:p w14:paraId="1BF015E2"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有专业物业公司，物业服务保障好</w:t>
            </w:r>
          </w:p>
        </w:tc>
        <w:tc>
          <w:tcPr>
            <w:tcW w:w="1772" w:type="dxa"/>
            <w:tcBorders>
              <w:top w:val="single" w:sz="4" w:space="0" w:color="000000"/>
              <w:left w:val="single" w:sz="4" w:space="0" w:color="000000"/>
              <w:bottom w:val="single" w:sz="4" w:space="0" w:color="000000"/>
            </w:tcBorders>
            <w:shd w:val="clear" w:color="auto" w:fill="auto"/>
            <w:vAlign w:val="center"/>
          </w:tcPr>
          <w:p w14:paraId="648448C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有专业物业公司，物业服务保障好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8032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有专业物业公司，物业服务保障好</w:t>
            </w:r>
          </w:p>
        </w:tc>
      </w:tr>
      <w:tr w:rsidR="00771ECA" w14:paraId="463353AA" w14:textId="77777777">
        <w:trPr>
          <w:trHeight w:val="510"/>
        </w:trPr>
        <w:tc>
          <w:tcPr>
            <w:tcW w:w="680" w:type="dxa"/>
            <w:vMerge/>
            <w:tcBorders>
              <w:top w:val="single" w:sz="4" w:space="0" w:color="000000"/>
              <w:left w:val="single" w:sz="4" w:space="0" w:color="000000"/>
            </w:tcBorders>
            <w:shd w:val="clear" w:color="auto" w:fill="auto"/>
            <w:vAlign w:val="center"/>
          </w:tcPr>
          <w:p w14:paraId="047E9483"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07142AC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小区环境</w:t>
            </w:r>
          </w:p>
        </w:tc>
        <w:tc>
          <w:tcPr>
            <w:tcW w:w="1772" w:type="dxa"/>
            <w:tcBorders>
              <w:top w:val="single" w:sz="4" w:space="0" w:color="000000"/>
              <w:left w:val="single" w:sz="4" w:space="0" w:color="000000"/>
              <w:bottom w:val="single" w:sz="4" w:space="0" w:color="000000"/>
            </w:tcBorders>
            <w:shd w:val="clear" w:color="auto" w:fill="auto"/>
            <w:vAlign w:val="center"/>
          </w:tcPr>
          <w:p w14:paraId="2BB8D454"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绿化率约为</w:t>
            </w:r>
            <w:r>
              <w:rPr>
                <w:rFonts w:ascii="Arial" w:hAnsi="Arial" w:cs="Arial"/>
                <w:sz w:val="18"/>
              </w:rPr>
              <w:t>30%</w:t>
            </w:r>
            <w:r>
              <w:rPr>
                <w:rFonts w:ascii="Arial" w:hAnsi="Arial" w:cs="Arial"/>
                <w:sz w:val="18"/>
              </w:rPr>
              <w:t>，较好</w:t>
            </w:r>
          </w:p>
        </w:tc>
        <w:tc>
          <w:tcPr>
            <w:tcW w:w="1772" w:type="dxa"/>
            <w:tcBorders>
              <w:top w:val="single" w:sz="4" w:space="0" w:color="000000"/>
              <w:left w:val="single" w:sz="4" w:space="0" w:color="000000"/>
              <w:bottom w:val="single" w:sz="4" w:space="0" w:color="000000"/>
            </w:tcBorders>
            <w:shd w:val="clear" w:color="auto" w:fill="auto"/>
            <w:vAlign w:val="center"/>
          </w:tcPr>
          <w:p w14:paraId="6CB6666A"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绿化率约为</w:t>
            </w:r>
            <w:r>
              <w:rPr>
                <w:rFonts w:ascii="Arial" w:hAnsi="Arial" w:cs="Arial"/>
                <w:sz w:val="18"/>
              </w:rPr>
              <w:t>30%</w:t>
            </w:r>
            <w:r>
              <w:rPr>
                <w:rFonts w:ascii="Arial" w:hAnsi="Arial" w:cs="Arial"/>
                <w:sz w:val="18"/>
              </w:rPr>
              <w:t>，较好</w:t>
            </w:r>
          </w:p>
        </w:tc>
        <w:tc>
          <w:tcPr>
            <w:tcW w:w="1772" w:type="dxa"/>
            <w:tcBorders>
              <w:top w:val="single" w:sz="4" w:space="0" w:color="000000"/>
              <w:left w:val="single" w:sz="4" w:space="0" w:color="000000"/>
              <w:bottom w:val="single" w:sz="4" w:space="0" w:color="000000"/>
            </w:tcBorders>
            <w:shd w:val="clear" w:color="auto" w:fill="auto"/>
            <w:vAlign w:val="center"/>
          </w:tcPr>
          <w:p w14:paraId="2C83F0C9"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绿化率约为</w:t>
            </w:r>
            <w:r>
              <w:rPr>
                <w:rFonts w:ascii="Arial" w:hAnsi="Arial" w:cs="Arial"/>
                <w:sz w:val="18"/>
              </w:rPr>
              <w:t>30%</w:t>
            </w:r>
            <w:r>
              <w:rPr>
                <w:rFonts w:ascii="Arial" w:hAnsi="Arial" w:cs="Arial"/>
                <w:sz w:val="18"/>
              </w:rPr>
              <w:t>，较好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927A9"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绿化率约为</w:t>
            </w:r>
            <w:r>
              <w:rPr>
                <w:rFonts w:ascii="Arial" w:hAnsi="Arial" w:cs="Arial"/>
                <w:sz w:val="18"/>
              </w:rPr>
              <w:t>30%</w:t>
            </w:r>
            <w:r>
              <w:rPr>
                <w:rFonts w:ascii="Arial" w:hAnsi="Arial" w:cs="Arial"/>
                <w:sz w:val="18"/>
              </w:rPr>
              <w:t>，较好</w:t>
            </w:r>
          </w:p>
        </w:tc>
      </w:tr>
      <w:tr w:rsidR="00771ECA" w14:paraId="4BA4BA05" w14:textId="77777777">
        <w:trPr>
          <w:trHeight w:val="510"/>
        </w:trPr>
        <w:tc>
          <w:tcPr>
            <w:tcW w:w="680" w:type="dxa"/>
            <w:vMerge/>
            <w:tcBorders>
              <w:top w:val="single" w:sz="4" w:space="0" w:color="000000"/>
              <w:left w:val="single" w:sz="4" w:space="0" w:color="000000"/>
            </w:tcBorders>
            <w:shd w:val="clear" w:color="auto" w:fill="auto"/>
            <w:vAlign w:val="center"/>
          </w:tcPr>
          <w:p w14:paraId="3A1D6F5C"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1645E4A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配套设施</w:t>
            </w:r>
          </w:p>
        </w:tc>
        <w:tc>
          <w:tcPr>
            <w:tcW w:w="1772" w:type="dxa"/>
            <w:tcBorders>
              <w:top w:val="single" w:sz="4" w:space="0" w:color="000000"/>
              <w:left w:val="single" w:sz="4" w:space="0" w:color="000000"/>
              <w:bottom w:val="single" w:sz="4" w:space="0" w:color="000000"/>
            </w:tcBorders>
            <w:shd w:val="clear" w:color="auto" w:fill="auto"/>
            <w:vAlign w:val="center"/>
          </w:tcPr>
          <w:p w14:paraId="1261B86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配备健身房、活动空间、医疗站</w:t>
            </w:r>
          </w:p>
        </w:tc>
        <w:tc>
          <w:tcPr>
            <w:tcW w:w="1772" w:type="dxa"/>
            <w:tcBorders>
              <w:top w:val="single" w:sz="4" w:space="0" w:color="000000"/>
              <w:left w:val="single" w:sz="4" w:space="0" w:color="000000"/>
              <w:bottom w:val="single" w:sz="4" w:space="0" w:color="000000"/>
            </w:tcBorders>
            <w:shd w:val="clear" w:color="auto" w:fill="auto"/>
            <w:vAlign w:val="center"/>
          </w:tcPr>
          <w:p w14:paraId="49EC2A2C"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配备活动站、医疗站</w:t>
            </w:r>
          </w:p>
        </w:tc>
        <w:tc>
          <w:tcPr>
            <w:tcW w:w="1772" w:type="dxa"/>
            <w:tcBorders>
              <w:top w:val="single" w:sz="4" w:space="0" w:color="000000"/>
              <w:left w:val="single" w:sz="4" w:space="0" w:color="000000"/>
              <w:bottom w:val="single" w:sz="4" w:space="0" w:color="000000"/>
            </w:tcBorders>
            <w:shd w:val="clear" w:color="auto" w:fill="auto"/>
            <w:vAlign w:val="center"/>
          </w:tcPr>
          <w:p w14:paraId="041AC343"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配备活动站、医疗站</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19CB0"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配备活动站、医疗站</w:t>
            </w:r>
          </w:p>
        </w:tc>
      </w:tr>
      <w:tr w:rsidR="00771ECA" w14:paraId="781CF4A2" w14:textId="77777777">
        <w:trPr>
          <w:trHeight w:val="270"/>
        </w:trPr>
        <w:tc>
          <w:tcPr>
            <w:tcW w:w="680" w:type="dxa"/>
            <w:vMerge/>
            <w:tcBorders>
              <w:top w:val="single" w:sz="4" w:space="0" w:color="000000"/>
              <w:left w:val="single" w:sz="4" w:space="0" w:color="000000"/>
            </w:tcBorders>
            <w:shd w:val="clear" w:color="auto" w:fill="auto"/>
            <w:vAlign w:val="center"/>
          </w:tcPr>
          <w:p w14:paraId="0981207F"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39C850F9"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居住管理</w:t>
            </w:r>
          </w:p>
        </w:tc>
        <w:tc>
          <w:tcPr>
            <w:tcW w:w="1772" w:type="dxa"/>
            <w:tcBorders>
              <w:top w:val="single" w:sz="4" w:space="0" w:color="000000"/>
              <w:left w:val="single" w:sz="4" w:space="0" w:color="000000"/>
              <w:bottom w:val="single" w:sz="4" w:space="0" w:color="000000"/>
            </w:tcBorders>
            <w:shd w:val="clear" w:color="auto" w:fill="auto"/>
            <w:vAlign w:val="center"/>
          </w:tcPr>
          <w:p w14:paraId="54D73A12"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配备专业管理人员，数量充足，居住管理好</w:t>
            </w:r>
          </w:p>
        </w:tc>
        <w:tc>
          <w:tcPr>
            <w:tcW w:w="1772" w:type="dxa"/>
            <w:tcBorders>
              <w:top w:val="single" w:sz="4" w:space="0" w:color="000000"/>
              <w:left w:val="single" w:sz="4" w:space="0" w:color="000000"/>
              <w:bottom w:val="single" w:sz="4" w:space="0" w:color="000000"/>
            </w:tcBorders>
            <w:shd w:val="clear" w:color="auto" w:fill="auto"/>
            <w:vAlign w:val="center"/>
          </w:tcPr>
          <w:p w14:paraId="5FDBA7AB"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配备管理人员，数量充足，居住管理较好</w:t>
            </w:r>
          </w:p>
        </w:tc>
        <w:tc>
          <w:tcPr>
            <w:tcW w:w="1772" w:type="dxa"/>
            <w:tcBorders>
              <w:top w:val="single" w:sz="4" w:space="0" w:color="000000"/>
              <w:left w:val="single" w:sz="4" w:space="0" w:color="000000"/>
              <w:bottom w:val="single" w:sz="4" w:space="0" w:color="000000"/>
            </w:tcBorders>
            <w:shd w:val="clear" w:color="auto" w:fill="auto"/>
            <w:vAlign w:val="center"/>
          </w:tcPr>
          <w:p w14:paraId="08BC30E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配备管理人员，数量充足，居住管理较好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BCE7A"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配备管理人员，数量充足，居住管理较好</w:t>
            </w:r>
          </w:p>
        </w:tc>
      </w:tr>
      <w:tr w:rsidR="00771ECA" w14:paraId="4AEAC1AD" w14:textId="77777777">
        <w:trPr>
          <w:trHeight w:val="549"/>
        </w:trPr>
        <w:tc>
          <w:tcPr>
            <w:tcW w:w="680" w:type="dxa"/>
            <w:vMerge/>
            <w:tcBorders>
              <w:top w:val="single" w:sz="4" w:space="0" w:color="000000"/>
              <w:left w:val="single" w:sz="4" w:space="0" w:color="000000"/>
            </w:tcBorders>
            <w:shd w:val="clear" w:color="auto" w:fill="auto"/>
            <w:vAlign w:val="center"/>
          </w:tcPr>
          <w:p w14:paraId="09E1F4A6"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3C73394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户型</w:t>
            </w:r>
          </w:p>
        </w:tc>
        <w:tc>
          <w:tcPr>
            <w:tcW w:w="1772" w:type="dxa"/>
            <w:tcBorders>
              <w:top w:val="single" w:sz="4" w:space="0" w:color="000000"/>
              <w:left w:val="single" w:sz="4" w:space="0" w:color="000000"/>
              <w:bottom w:val="single" w:sz="4" w:space="0" w:color="000000"/>
            </w:tcBorders>
            <w:shd w:val="clear" w:color="auto" w:fill="auto"/>
            <w:vAlign w:val="center"/>
          </w:tcPr>
          <w:p w14:paraId="2B6942BE"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主力户型为二居室，住宅套型较好</w:t>
            </w:r>
          </w:p>
        </w:tc>
        <w:tc>
          <w:tcPr>
            <w:tcW w:w="1772" w:type="dxa"/>
            <w:tcBorders>
              <w:top w:val="single" w:sz="4" w:space="0" w:color="000000"/>
              <w:left w:val="single" w:sz="4" w:space="0" w:color="000000"/>
              <w:bottom w:val="single" w:sz="4" w:space="0" w:color="000000"/>
            </w:tcBorders>
            <w:shd w:val="clear" w:color="auto" w:fill="auto"/>
            <w:vAlign w:val="center"/>
          </w:tcPr>
          <w:p w14:paraId="003246B9"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主力户型为三居室，住宅套型较好</w:t>
            </w:r>
          </w:p>
        </w:tc>
        <w:tc>
          <w:tcPr>
            <w:tcW w:w="1772" w:type="dxa"/>
            <w:tcBorders>
              <w:top w:val="single" w:sz="4" w:space="0" w:color="000000"/>
              <w:left w:val="single" w:sz="4" w:space="0" w:color="000000"/>
              <w:bottom w:val="single" w:sz="4" w:space="0" w:color="000000"/>
            </w:tcBorders>
            <w:shd w:val="clear" w:color="auto" w:fill="auto"/>
            <w:vAlign w:val="center"/>
          </w:tcPr>
          <w:p w14:paraId="23CFD690"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主力户型为二居室，住宅套型较好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245B"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主力户型为二居室，住宅套型较好</w:t>
            </w:r>
          </w:p>
        </w:tc>
      </w:tr>
      <w:tr w:rsidR="00771ECA" w14:paraId="055DBFD3" w14:textId="77777777">
        <w:trPr>
          <w:trHeight w:val="549"/>
        </w:trPr>
        <w:tc>
          <w:tcPr>
            <w:tcW w:w="680" w:type="dxa"/>
            <w:vMerge/>
            <w:tcBorders>
              <w:top w:val="single" w:sz="4" w:space="0" w:color="000000"/>
              <w:left w:val="single" w:sz="4" w:space="0" w:color="000000"/>
            </w:tcBorders>
            <w:shd w:val="clear" w:color="auto" w:fill="auto"/>
            <w:vAlign w:val="center"/>
          </w:tcPr>
          <w:p w14:paraId="2B14E530"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5BA9260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朝向、采光、通风</w:t>
            </w:r>
          </w:p>
        </w:tc>
        <w:tc>
          <w:tcPr>
            <w:tcW w:w="1772" w:type="dxa"/>
            <w:tcBorders>
              <w:top w:val="single" w:sz="4" w:space="0" w:color="000000"/>
              <w:left w:val="single" w:sz="4" w:space="0" w:color="000000"/>
              <w:bottom w:val="single" w:sz="4" w:space="0" w:color="000000"/>
            </w:tcBorders>
            <w:shd w:val="clear" w:color="auto" w:fill="auto"/>
            <w:vAlign w:val="center"/>
          </w:tcPr>
          <w:p w14:paraId="032487E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朝向好，能保证较长时间的采光，通风较好，综合分析朝向、采光、通风状况较好（南）</w:t>
            </w:r>
          </w:p>
        </w:tc>
        <w:tc>
          <w:tcPr>
            <w:tcW w:w="1772" w:type="dxa"/>
            <w:tcBorders>
              <w:top w:val="single" w:sz="4" w:space="0" w:color="000000"/>
              <w:left w:val="single" w:sz="4" w:space="0" w:color="000000"/>
              <w:bottom w:val="single" w:sz="4" w:space="0" w:color="000000"/>
            </w:tcBorders>
            <w:shd w:val="clear" w:color="auto" w:fill="auto"/>
            <w:vAlign w:val="center"/>
          </w:tcPr>
          <w:p w14:paraId="2B7D721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朝向好，能保证较长时间的采光，通风较好，综合分析朝向、采光、通风状况好（南北）</w:t>
            </w:r>
          </w:p>
        </w:tc>
        <w:tc>
          <w:tcPr>
            <w:tcW w:w="1772" w:type="dxa"/>
            <w:tcBorders>
              <w:top w:val="single" w:sz="4" w:space="0" w:color="000000"/>
              <w:left w:val="single" w:sz="4" w:space="0" w:color="000000"/>
              <w:bottom w:val="single" w:sz="4" w:space="0" w:color="000000"/>
            </w:tcBorders>
            <w:shd w:val="clear" w:color="auto" w:fill="auto"/>
            <w:vAlign w:val="center"/>
          </w:tcPr>
          <w:p w14:paraId="068ED4C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朝向好，能保证较长时间的采光，通风较好，综合分析朝向、采光、通风状况好（南北）</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55013"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朝向好，能保证较长时间的采光，通风较好，综合分析朝向、采光、通风状况好（南北）</w:t>
            </w:r>
          </w:p>
        </w:tc>
      </w:tr>
      <w:tr w:rsidR="00771ECA" w14:paraId="27E46FEF" w14:textId="77777777">
        <w:trPr>
          <w:trHeight w:val="1020"/>
        </w:trPr>
        <w:tc>
          <w:tcPr>
            <w:tcW w:w="680" w:type="dxa"/>
            <w:vMerge/>
            <w:tcBorders>
              <w:top w:val="single" w:sz="4" w:space="0" w:color="000000"/>
              <w:left w:val="single" w:sz="4" w:space="0" w:color="000000"/>
            </w:tcBorders>
            <w:shd w:val="clear" w:color="auto" w:fill="auto"/>
            <w:vAlign w:val="center"/>
          </w:tcPr>
          <w:p w14:paraId="7894A9BC"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7A409850"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装修</w:t>
            </w:r>
          </w:p>
        </w:tc>
        <w:tc>
          <w:tcPr>
            <w:tcW w:w="1772" w:type="dxa"/>
            <w:tcBorders>
              <w:top w:val="single" w:sz="4" w:space="0" w:color="000000"/>
              <w:left w:val="single" w:sz="4" w:space="0" w:color="000000"/>
              <w:bottom w:val="single" w:sz="4" w:space="0" w:color="000000"/>
            </w:tcBorders>
            <w:shd w:val="clear" w:color="auto" w:fill="auto"/>
            <w:vAlign w:val="center"/>
          </w:tcPr>
          <w:p w14:paraId="1B20418E"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简单装修</w:t>
            </w:r>
          </w:p>
        </w:tc>
        <w:tc>
          <w:tcPr>
            <w:tcW w:w="1772" w:type="dxa"/>
            <w:tcBorders>
              <w:top w:val="single" w:sz="4" w:space="0" w:color="000000"/>
              <w:left w:val="single" w:sz="4" w:space="0" w:color="000000"/>
              <w:bottom w:val="single" w:sz="4" w:space="0" w:color="000000"/>
            </w:tcBorders>
            <w:shd w:val="clear" w:color="auto" w:fill="auto"/>
            <w:vAlign w:val="center"/>
          </w:tcPr>
          <w:p w14:paraId="3F7FAE3E"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该小区装修为普通装修，装修用材环保，经过精心设计，提升居住体验，较好</w:t>
            </w:r>
          </w:p>
        </w:tc>
        <w:tc>
          <w:tcPr>
            <w:tcW w:w="1772" w:type="dxa"/>
            <w:tcBorders>
              <w:top w:val="single" w:sz="4" w:space="0" w:color="000000"/>
              <w:left w:val="single" w:sz="4" w:space="0" w:color="000000"/>
              <w:bottom w:val="single" w:sz="4" w:space="0" w:color="000000"/>
            </w:tcBorders>
            <w:shd w:val="clear" w:color="auto" w:fill="auto"/>
            <w:vAlign w:val="center"/>
          </w:tcPr>
          <w:p w14:paraId="204C493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该小区装修为普通装修，装修用材环保，经过精心设计，提升居住体验，较好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13113"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该小区装修为普通装修，装修用材环保，经过精心设计，提升居住体验，较好</w:t>
            </w:r>
          </w:p>
        </w:tc>
      </w:tr>
      <w:tr w:rsidR="00771ECA" w14:paraId="116352A7" w14:textId="77777777">
        <w:trPr>
          <w:trHeight w:val="354"/>
        </w:trPr>
        <w:tc>
          <w:tcPr>
            <w:tcW w:w="680" w:type="dxa"/>
            <w:vMerge/>
            <w:tcBorders>
              <w:top w:val="single" w:sz="4" w:space="0" w:color="000000"/>
              <w:left w:val="single" w:sz="4" w:space="0" w:color="000000"/>
            </w:tcBorders>
            <w:shd w:val="clear" w:color="auto" w:fill="auto"/>
            <w:vAlign w:val="center"/>
          </w:tcPr>
          <w:p w14:paraId="01A6E8FD"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7B44D81F"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标准房面积（㎡）</w:t>
            </w:r>
          </w:p>
        </w:tc>
        <w:tc>
          <w:tcPr>
            <w:tcW w:w="1772" w:type="dxa"/>
            <w:tcBorders>
              <w:top w:val="single" w:sz="4" w:space="0" w:color="000000"/>
              <w:left w:val="single" w:sz="4" w:space="0" w:color="000000"/>
              <w:bottom w:val="single" w:sz="4" w:space="0" w:color="000000"/>
            </w:tcBorders>
            <w:shd w:val="clear" w:color="auto" w:fill="auto"/>
            <w:vAlign w:val="center"/>
          </w:tcPr>
          <w:p w14:paraId="1B240F8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88-93</w:t>
            </w:r>
          </w:p>
        </w:tc>
        <w:tc>
          <w:tcPr>
            <w:tcW w:w="1772" w:type="dxa"/>
            <w:tcBorders>
              <w:top w:val="single" w:sz="4" w:space="0" w:color="000000"/>
              <w:left w:val="single" w:sz="4" w:space="0" w:color="000000"/>
              <w:bottom w:val="single" w:sz="4" w:space="0" w:color="000000"/>
            </w:tcBorders>
            <w:shd w:val="clear" w:color="auto" w:fill="auto"/>
            <w:vAlign w:val="center"/>
          </w:tcPr>
          <w:p w14:paraId="51749392"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90-120</w:t>
            </w:r>
          </w:p>
        </w:tc>
        <w:tc>
          <w:tcPr>
            <w:tcW w:w="1772" w:type="dxa"/>
            <w:tcBorders>
              <w:top w:val="single" w:sz="4" w:space="0" w:color="000000"/>
              <w:left w:val="single" w:sz="4" w:space="0" w:color="000000"/>
              <w:bottom w:val="single" w:sz="4" w:space="0" w:color="000000"/>
            </w:tcBorders>
            <w:shd w:val="clear" w:color="auto" w:fill="auto"/>
            <w:vAlign w:val="center"/>
          </w:tcPr>
          <w:p w14:paraId="004E269A"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80-90</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B9E43"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80-90</w:t>
            </w:r>
          </w:p>
        </w:tc>
      </w:tr>
      <w:tr w:rsidR="00771ECA" w14:paraId="5174E725" w14:textId="77777777">
        <w:trPr>
          <w:trHeight w:val="951"/>
        </w:trPr>
        <w:tc>
          <w:tcPr>
            <w:tcW w:w="680" w:type="dxa"/>
            <w:vMerge/>
            <w:tcBorders>
              <w:top w:val="single" w:sz="4" w:space="0" w:color="000000"/>
              <w:left w:val="single" w:sz="4" w:space="0" w:color="000000"/>
            </w:tcBorders>
            <w:shd w:val="clear" w:color="auto" w:fill="auto"/>
            <w:vAlign w:val="center"/>
          </w:tcPr>
          <w:p w14:paraId="2A667828"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381C65CE"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设备</w:t>
            </w:r>
          </w:p>
        </w:tc>
        <w:tc>
          <w:tcPr>
            <w:tcW w:w="1772" w:type="dxa"/>
            <w:tcBorders>
              <w:top w:val="single" w:sz="4" w:space="0" w:color="000000"/>
              <w:left w:val="single" w:sz="4" w:space="0" w:color="000000"/>
              <w:bottom w:val="single" w:sz="4" w:space="0" w:color="000000"/>
            </w:tcBorders>
            <w:shd w:val="clear" w:color="auto" w:fill="auto"/>
            <w:vAlign w:val="center"/>
          </w:tcPr>
          <w:p w14:paraId="347A706B"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配备全新家具、家电；功能正常，质量有保证，好</w:t>
            </w:r>
          </w:p>
        </w:tc>
        <w:tc>
          <w:tcPr>
            <w:tcW w:w="1772" w:type="dxa"/>
            <w:tcBorders>
              <w:top w:val="single" w:sz="4" w:space="0" w:color="000000"/>
              <w:left w:val="single" w:sz="4" w:space="0" w:color="000000"/>
              <w:bottom w:val="single" w:sz="4" w:space="0" w:color="000000"/>
            </w:tcBorders>
            <w:shd w:val="clear" w:color="auto" w:fill="auto"/>
            <w:vAlign w:val="center"/>
          </w:tcPr>
          <w:p w14:paraId="583797E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配备家具、家电；功能正常，质量有保证，较好</w:t>
            </w:r>
          </w:p>
        </w:tc>
        <w:tc>
          <w:tcPr>
            <w:tcW w:w="1772" w:type="dxa"/>
            <w:tcBorders>
              <w:top w:val="single" w:sz="4" w:space="0" w:color="000000"/>
              <w:left w:val="single" w:sz="4" w:space="0" w:color="000000"/>
              <w:bottom w:val="single" w:sz="4" w:space="0" w:color="000000"/>
            </w:tcBorders>
            <w:shd w:val="clear" w:color="auto" w:fill="auto"/>
            <w:vAlign w:val="center"/>
          </w:tcPr>
          <w:p w14:paraId="67CA78DD"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配备家具、家电；功能正常，质量有保证，较好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BA63A"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配备家具、家电；功能正常，质量有保证，较好</w:t>
            </w:r>
          </w:p>
        </w:tc>
      </w:tr>
      <w:tr w:rsidR="00771ECA" w14:paraId="129836E9" w14:textId="77777777">
        <w:trPr>
          <w:trHeight w:val="157"/>
        </w:trPr>
        <w:tc>
          <w:tcPr>
            <w:tcW w:w="680" w:type="dxa"/>
            <w:vMerge/>
            <w:tcBorders>
              <w:top w:val="single" w:sz="4" w:space="0" w:color="000000"/>
              <w:left w:val="single" w:sz="4" w:space="0" w:color="000000"/>
            </w:tcBorders>
            <w:shd w:val="clear" w:color="auto" w:fill="auto"/>
            <w:vAlign w:val="center"/>
          </w:tcPr>
          <w:p w14:paraId="0CD45BBF"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49D0780A"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成新度</w:t>
            </w:r>
          </w:p>
        </w:tc>
        <w:tc>
          <w:tcPr>
            <w:tcW w:w="1772" w:type="dxa"/>
            <w:tcBorders>
              <w:top w:val="single" w:sz="4" w:space="0" w:color="000000"/>
              <w:left w:val="single" w:sz="4" w:space="0" w:color="000000"/>
              <w:bottom w:val="single" w:sz="4" w:space="0" w:color="000000"/>
            </w:tcBorders>
            <w:shd w:val="clear" w:color="auto" w:fill="auto"/>
            <w:vAlign w:val="center"/>
          </w:tcPr>
          <w:p w14:paraId="5D9A06AD"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98%</w:t>
            </w:r>
          </w:p>
        </w:tc>
        <w:tc>
          <w:tcPr>
            <w:tcW w:w="1772" w:type="dxa"/>
            <w:tcBorders>
              <w:top w:val="single" w:sz="4" w:space="0" w:color="000000"/>
              <w:left w:val="single" w:sz="4" w:space="0" w:color="000000"/>
              <w:bottom w:val="single" w:sz="4" w:space="0" w:color="000000"/>
            </w:tcBorders>
            <w:shd w:val="clear" w:color="auto" w:fill="auto"/>
            <w:vAlign w:val="center"/>
          </w:tcPr>
          <w:p w14:paraId="78FEFC07"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98%</w:t>
            </w:r>
          </w:p>
        </w:tc>
        <w:tc>
          <w:tcPr>
            <w:tcW w:w="1772" w:type="dxa"/>
            <w:tcBorders>
              <w:top w:val="single" w:sz="4" w:space="0" w:color="000000"/>
              <w:left w:val="single" w:sz="4" w:space="0" w:color="000000"/>
              <w:bottom w:val="single" w:sz="4" w:space="0" w:color="000000"/>
            </w:tcBorders>
            <w:shd w:val="clear" w:color="auto" w:fill="auto"/>
            <w:vAlign w:val="center"/>
          </w:tcPr>
          <w:p w14:paraId="691788EF"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95%</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D2459"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95%</w:t>
            </w:r>
          </w:p>
        </w:tc>
      </w:tr>
      <w:tr w:rsidR="00771ECA" w14:paraId="19A0C9A1" w14:textId="77777777">
        <w:trPr>
          <w:trHeight w:val="97"/>
        </w:trPr>
        <w:tc>
          <w:tcPr>
            <w:tcW w:w="680" w:type="dxa"/>
            <w:vMerge/>
            <w:tcBorders>
              <w:top w:val="single" w:sz="4" w:space="0" w:color="000000"/>
              <w:left w:val="single" w:sz="4" w:space="0" w:color="000000"/>
            </w:tcBorders>
            <w:shd w:val="clear" w:color="auto" w:fill="auto"/>
            <w:vAlign w:val="center"/>
          </w:tcPr>
          <w:p w14:paraId="747F548B"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53DB58C6"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有无电梯</w:t>
            </w:r>
          </w:p>
        </w:tc>
        <w:tc>
          <w:tcPr>
            <w:tcW w:w="1772" w:type="dxa"/>
            <w:tcBorders>
              <w:top w:val="single" w:sz="4" w:space="0" w:color="000000"/>
              <w:left w:val="single" w:sz="4" w:space="0" w:color="000000"/>
              <w:bottom w:val="single" w:sz="4" w:space="0" w:color="000000"/>
            </w:tcBorders>
            <w:shd w:val="clear" w:color="auto" w:fill="auto"/>
            <w:vAlign w:val="center"/>
          </w:tcPr>
          <w:p w14:paraId="20E97C92"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w:t>
            </w:r>
          </w:p>
        </w:tc>
        <w:tc>
          <w:tcPr>
            <w:tcW w:w="1772" w:type="dxa"/>
            <w:tcBorders>
              <w:top w:val="single" w:sz="4" w:space="0" w:color="000000"/>
              <w:left w:val="single" w:sz="4" w:space="0" w:color="000000"/>
              <w:bottom w:val="single" w:sz="4" w:space="0" w:color="000000"/>
            </w:tcBorders>
            <w:shd w:val="clear" w:color="auto" w:fill="auto"/>
            <w:vAlign w:val="center"/>
          </w:tcPr>
          <w:p w14:paraId="385CC24F"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w:t>
            </w:r>
          </w:p>
        </w:tc>
        <w:tc>
          <w:tcPr>
            <w:tcW w:w="1772" w:type="dxa"/>
            <w:tcBorders>
              <w:top w:val="single" w:sz="4" w:space="0" w:color="000000"/>
              <w:left w:val="single" w:sz="4" w:space="0" w:color="000000"/>
              <w:bottom w:val="single" w:sz="4" w:space="0" w:color="000000"/>
            </w:tcBorders>
            <w:shd w:val="clear" w:color="auto" w:fill="auto"/>
            <w:vAlign w:val="center"/>
          </w:tcPr>
          <w:p w14:paraId="59971F4C"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8953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w:t>
            </w:r>
          </w:p>
        </w:tc>
      </w:tr>
    </w:tbl>
    <w:p w14:paraId="4863E1E1" w14:textId="77777777" w:rsidR="00771ECA" w:rsidRDefault="00000000">
      <w:pPr>
        <w:widowControl/>
        <w:spacing w:line="240" w:lineRule="auto"/>
        <w:jc w:val="center"/>
        <w:textAlignment w:val="auto"/>
        <w:rPr>
          <w:rFonts w:ascii="Arial" w:hAnsi="Arial" w:cs="Arial"/>
          <w:sz w:val="18"/>
        </w:rPr>
      </w:pPr>
      <w:r>
        <w:br w:type="page"/>
      </w:r>
    </w:p>
    <w:p w14:paraId="3ADD5E03" w14:textId="77777777" w:rsidR="00771ECA" w:rsidRDefault="00000000">
      <w:pPr>
        <w:widowControl/>
        <w:spacing w:line="240" w:lineRule="auto"/>
        <w:jc w:val="center"/>
        <w:textAlignment w:val="auto"/>
      </w:pPr>
      <w:r>
        <w:rPr>
          <w:rFonts w:ascii="Arial" w:hAnsi="Arial" w:cs="Arial"/>
          <w:sz w:val="21"/>
          <w:szCs w:val="21"/>
        </w:rPr>
        <w:lastRenderedPageBreak/>
        <w:t>（</w:t>
      </w:r>
      <w:r>
        <w:rPr>
          <w:rFonts w:ascii="Arial" w:hAnsi="Arial" w:cs="Arial"/>
          <w:sz w:val="21"/>
          <w:szCs w:val="21"/>
        </w:rPr>
        <w:t>2</w:t>
      </w:r>
      <w:r>
        <w:rPr>
          <w:rFonts w:ascii="Arial" w:hAnsi="Arial" w:cs="Arial"/>
          <w:sz w:val="21"/>
          <w:szCs w:val="21"/>
        </w:rPr>
        <w:t>）</w:t>
      </w:r>
      <w:r>
        <w:rPr>
          <w:rFonts w:ascii="Arial" w:eastAsia="Arial" w:hAnsi="Arial" w:cs="Arial"/>
          <w:sz w:val="21"/>
          <w:szCs w:val="21"/>
        </w:rPr>
        <w:t xml:space="preserve"> </w:t>
      </w:r>
      <w:r>
        <w:rPr>
          <w:rFonts w:ascii="Arial" w:hAnsi="Arial" w:cs="Arial"/>
          <w:sz w:val="21"/>
          <w:szCs w:val="21"/>
        </w:rPr>
        <w:t>建立比较因素条件指数表和因素比较修正系数表</w:t>
      </w:r>
      <w:r>
        <w:rPr>
          <w:rFonts w:ascii="Arial" w:eastAsia="Arial" w:hAnsi="Arial" w:cs="Arial"/>
          <w:sz w:val="21"/>
          <w:szCs w:val="21"/>
        </w:rPr>
        <w:t xml:space="preserve"> </w:t>
      </w:r>
    </w:p>
    <w:p w14:paraId="596C7ACC" w14:textId="77777777" w:rsidR="00771ECA" w:rsidRDefault="00000000">
      <w:pPr>
        <w:overflowPunct w:val="0"/>
        <w:spacing w:line="480" w:lineRule="auto"/>
        <w:ind w:firstLine="420"/>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p w14:paraId="31AFB88E" w14:textId="77777777" w:rsidR="00771ECA" w:rsidRDefault="00000000">
      <w:pPr>
        <w:overflowPunct w:val="0"/>
        <w:spacing w:line="480" w:lineRule="auto"/>
        <w:ind w:firstLine="420"/>
        <w:jc w:val="center"/>
        <w:rPr>
          <w:rFonts w:ascii="Arial" w:hAnsi="Arial" w:cs="Arial"/>
          <w:sz w:val="21"/>
          <w:szCs w:val="21"/>
        </w:rPr>
      </w:pPr>
      <w:r>
        <w:rPr>
          <w:rFonts w:ascii="Arial" w:hAnsi="Arial" w:cs="Arial"/>
          <w:sz w:val="21"/>
          <w:szCs w:val="21"/>
        </w:rPr>
        <w:t>亦城景园比较因素条件指数表</w:t>
      </w:r>
    </w:p>
    <w:tbl>
      <w:tblPr>
        <w:tblW w:w="5000" w:type="pct"/>
        <w:tblInd w:w="-113" w:type="dxa"/>
        <w:tblLook w:val="04A0" w:firstRow="1" w:lastRow="0" w:firstColumn="1" w:lastColumn="0" w:noHBand="0" w:noVBand="1"/>
      </w:tblPr>
      <w:tblGrid>
        <w:gridCol w:w="581"/>
        <w:gridCol w:w="954"/>
        <w:gridCol w:w="999"/>
        <w:gridCol w:w="998"/>
        <w:gridCol w:w="999"/>
        <w:gridCol w:w="996"/>
        <w:gridCol w:w="3761"/>
      </w:tblGrid>
      <w:tr w:rsidR="00771ECA" w14:paraId="7206ABAB" w14:textId="77777777">
        <w:trPr>
          <w:trHeight w:val="405"/>
          <w:tblHeader/>
        </w:trPr>
        <w:tc>
          <w:tcPr>
            <w:tcW w:w="1535" w:type="dxa"/>
            <w:gridSpan w:val="2"/>
            <w:vMerge w:val="restart"/>
            <w:tcBorders>
              <w:top w:val="single" w:sz="4" w:space="0" w:color="000000"/>
              <w:left w:val="single" w:sz="4" w:space="0" w:color="000000"/>
              <w:bottom w:val="single" w:sz="4" w:space="0" w:color="000000"/>
            </w:tcBorders>
            <w:shd w:val="clear" w:color="auto" w:fill="auto"/>
          </w:tcPr>
          <w:p w14:paraId="3D47EE43" w14:textId="77777777" w:rsidR="00771ECA" w:rsidRDefault="00000000">
            <w:pPr>
              <w:widowControl/>
              <w:spacing w:line="240" w:lineRule="auto"/>
              <w:jc w:val="right"/>
              <w:textAlignment w:val="auto"/>
              <w:rPr>
                <w:rFonts w:ascii="Arial" w:hAnsi="Arial" w:cs="Arial"/>
                <w:sz w:val="18"/>
                <w:szCs w:val="18"/>
              </w:rPr>
            </w:pPr>
            <w:r>
              <w:rPr>
                <w:rFonts w:ascii="Arial" w:hAnsi="Arial" w:cs="Arial"/>
                <w:sz w:val="18"/>
                <w:szCs w:val="18"/>
              </w:rPr>
              <w:t>估价对象及</w:t>
            </w:r>
          </w:p>
          <w:p w14:paraId="0B8C4F8B" w14:textId="77777777" w:rsidR="00771ECA" w:rsidRDefault="00000000">
            <w:pPr>
              <w:widowControl/>
              <w:spacing w:line="240" w:lineRule="auto"/>
              <w:jc w:val="right"/>
              <w:textAlignment w:val="auto"/>
              <w:rPr>
                <w:rFonts w:ascii="Arial" w:hAnsi="Arial" w:cs="Arial"/>
                <w:sz w:val="18"/>
                <w:szCs w:val="18"/>
              </w:rPr>
            </w:pPr>
            <w:r>
              <w:rPr>
                <w:rFonts w:ascii="Arial" w:hAnsi="Arial" w:cs="Arial"/>
                <w:sz w:val="18"/>
                <w:szCs w:val="18"/>
              </w:rPr>
              <w:t>可比实例</w:t>
            </w:r>
          </w:p>
          <w:p w14:paraId="20D43AC0" w14:textId="77777777" w:rsidR="00771ECA" w:rsidRDefault="00771ECA">
            <w:pPr>
              <w:widowControl/>
              <w:spacing w:line="240" w:lineRule="auto"/>
              <w:jc w:val="right"/>
              <w:textAlignment w:val="auto"/>
              <w:rPr>
                <w:rFonts w:ascii="Arial" w:hAnsi="Arial" w:cs="Arial"/>
                <w:sz w:val="18"/>
                <w:szCs w:val="18"/>
              </w:rPr>
            </w:pPr>
          </w:p>
          <w:p w14:paraId="08DE9485" w14:textId="77777777" w:rsidR="00771ECA" w:rsidRDefault="00771ECA">
            <w:pPr>
              <w:widowControl/>
              <w:spacing w:line="240" w:lineRule="auto"/>
              <w:jc w:val="right"/>
              <w:textAlignment w:val="auto"/>
              <w:rPr>
                <w:rFonts w:ascii="Arial" w:hAnsi="Arial" w:cs="Arial"/>
                <w:sz w:val="18"/>
                <w:szCs w:val="18"/>
              </w:rPr>
            </w:pPr>
          </w:p>
          <w:p w14:paraId="5DF471B4" w14:textId="77777777" w:rsidR="00771ECA" w:rsidRDefault="00000000">
            <w:pPr>
              <w:widowControl/>
              <w:spacing w:line="240" w:lineRule="auto"/>
              <w:textAlignment w:val="auto"/>
              <w:rPr>
                <w:rFonts w:ascii="Arial" w:hAnsi="Arial" w:cs="Arial"/>
                <w:sz w:val="18"/>
                <w:szCs w:val="18"/>
              </w:rPr>
            </w:pPr>
            <w:r>
              <w:rPr>
                <w:rFonts w:ascii="Arial" w:hAnsi="Arial" w:cs="Arial"/>
                <w:sz w:val="18"/>
                <w:szCs w:val="18"/>
              </w:rPr>
              <w:t>比较因素</w:t>
            </w:r>
          </w:p>
        </w:tc>
        <w:tc>
          <w:tcPr>
            <w:tcW w:w="1000" w:type="dxa"/>
            <w:tcBorders>
              <w:top w:val="single" w:sz="4" w:space="0" w:color="000000"/>
              <w:left w:val="single" w:sz="4" w:space="0" w:color="000000"/>
              <w:bottom w:val="single" w:sz="4" w:space="0" w:color="000000"/>
            </w:tcBorders>
            <w:shd w:val="clear" w:color="auto" w:fill="auto"/>
            <w:vAlign w:val="center"/>
          </w:tcPr>
          <w:p w14:paraId="05BAF9DC"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估价对象</w:t>
            </w:r>
          </w:p>
        </w:tc>
        <w:tc>
          <w:tcPr>
            <w:tcW w:w="999" w:type="dxa"/>
            <w:tcBorders>
              <w:top w:val="single" w:sz="4" w:space="0" w:color="000000"/>
              <w:left w:val="single" w:sz="4" w:space="0" w:color="000000"/>
              <w:bottom w:val="single" w:sz="4" w:space="0" w:color="000000"/>
            </w:tcBorders>
            <w:shd w:val="clear" w:color="auto" w:fill="auto"/>
            <w:vAlign w:val="center"/>
          </w:tcPr>
          <w:p w14:paraId="71101CE0"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w:t>
            </w:r>
          </w:p>
        </w:tc>
        <w:tc>
          <w:tcPr>
            <w:tcW w:w="1000" w:type="dxa"/>
            <w:tcBorders>
              <w:top w:val="single" w:sz="4" w:space="0" w:color="000000"/>
              <w:left w:val="single" w:sz="4" w:space="0" w:color="000000"/>
              <w:bottom w:val="single" w:sz="4" w:space="0" w:color="000000"/>
            </w:tcBorders>
            <w:shd w:val="clear" w:color="auto" w:fill="auto"/>
            <w:vAlign w:val="center"/>
          </w:tcPr>
          <w:p w14:paraId="1230A0CF"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2</w:t>
            </w:r>
          </w:p>
        </w:tc>
        <w:tc>
          <w:tcPr>
            <w:tcW w:w="997" w:type="dxa"/>
            <w:tcBorders>
              <w:top w:val="single" w:sz="4" w:space="0" w:color="000000"/>
              <w:left w:val="single" w:sz="4" w:space="0" w:color="000000"/>
              <w:bottom w:val="single" w:sz="4" w:space="0" w:color="000000"/>
            </w:tcBorders>
            <w:shd w:val="clear" w:color="auto" w:fill="auto"/>
            <w:vAlign w:val="center"/>
          </w:tcPr>
          <w:p w14:paraId="6E95DA2C"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3</w:t>
            </w:r>
          </w:p>
        </w:tc>
        <w:tc>
          <w:tcPr>
            <w:tcW w:w="3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B3F0"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比较因素调整说明</w:t>
            </w:r>
          </w:p>
        </w:tc>
      </w:tr>
      <w:tr w:rsidR="00771ECA" w14:paraId="7036B250" w14:textId="77777777">
        <w:trPr>
          <w:trHeight w:val="555"/>
          <w:tblHeader/>
        </w:trPr>
        <w:tc>
          <w:tcPr>
            <w:tcW w:w="1535" w:type="dxa"/>
            <w:gridSpan w:val="2"/>
            <w:vMerge/>
            <w:tcBorders>
              <w:top w:val="single" w:sz="4" w:space="0" w:color="000000"/>
              <w:left w:val="single" w:sz="4" w:space="0" w:color="000000"/>
              <w:bottom w:val="single" w:sz="4" w:space="0" w:color="000000"/>
            </w:tcBorders>
            <w:shd w:val="clear" w:color="auto" w:fill="auto"/>
          </w:tcPr>
          <w:p w14:paraId="04F4A2C8" w14:textId="77777777" w:rsidR="00771ECA" w:rsidRDefault="00771ECA">
            <w:pPr>
              <w:widowControl/>
              <w:snapToGrid w:val="0"/>
              <w:spacing w:line="240" w:lineRule="auto"/>
              <w:textAlignment w:val="auto"/>
              <w:rPr>
                <w:rFonts w:ascii="Arial" w:hAnsi="Arial" w:cs="Arial"/>
                <w:sz w:val="18"/>
                <w:szCs w:val="18"/>
              </w:rPr>
            </w:pPr>
          </w:p>
        </w:tc>
        <w:tc>
          <w:tcPr>
            <w:tcW w:w="1000" w:type="dxa"/>
            <w:tcBorders>
              <w:left w:val="single" w:sz="4" w:space="0" w:color="000000"/>
              <w:bottom w:val="single" w:sz="4" w:space="0" w:color="000000"/>
            </w:tcBorders>
            <w:shd w:val="clear" w:color="auto" w:fill="auto"/>
            <w:vAlign w:val="center"/>
          </w:tcPr>
          <w:p w14:paraId="3815763F"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亦城景园</w:t>
            </w:r>
          </w:p>
        </w:tc>
        <w:tc>
          <w:tcPr>
            <w:tcW w:w="999" w:type="dxa"/>
            <w:tcBorders>
              <w:left w:val="single" w:sz="4" w:space="0" w:color="000000"/>
              <w:bottom w:val="single" w:sz="4" w:space="0" w:color="000000"/>
            </w:tcBorders>
            <w:shd w:val="clear" w:color="auto" w:fill="auto"/>
            <w:vAlign w:val="center"/>
          </w:tcPr>
          <w:p w14:paraId="2A66337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明月听蘭</w:t>
            </w:r>
          </w:p>
        </w:tc>
        <w:tc>
          <w:tcPr>
            <w:tcW w:w="1000" w:type="dxa"/>
            <w:tcBorders>
              <w:left w:val="single" w:sz="4" w:space="0" w:color="000000"/>
              <w:bottom w:val="single" w:sz="4" w:space="0" w:color="000000"/>
            </w:tcBorders>
            <w:shd w:val="clear" w:color="auto" w:fill="auto"/>
            <w:vAlign w:val="center"/>
          </w:tcPr>
          <w:p w14:paraId="2DD046C0"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北京经开</w:t>
            </w:r>
            <w:r>
              <w:rPr>
                <w:rFonts w:ascii="Arial" w:hAnsi="Arial" w:cs="Arial"/>
                <w:sz w:val="18"/>
              </w:rPr>
              <w:t>·</w:t>
            </w:r>
            <w:r>
              <w:rPr>
                <w:rFonts w:ascii="Arial" w:hAnsi="Arial" w:cs="Arial"/>
                <w:sz w:val="18"/>
              </w:rPr>
              <w:t>汀塘</w:t>
            </w:r>
          </w:p>
        </w:tc>
        <w:tc>
          <w:tcPr>
            <w:tcW w:w="997" w:type="dxa"/>
            <w:tcBorders>
              <w:left w:val="single" w:sz="4" w:space="0" w:color="000000"/>
              <w:bottom w:val="single" w:sz="4" w:space="0" w:color="000000"/>
            </w:tcBorders>
            <w:shd w:val="clear" w:color="auto" w:fill="auto"/>
            <w:vAlign w:val="center"/>
          </w:tcPr>
          <w:p w14:paraId="2A36FF4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通泰国际公馆</w:t>
            </w:r>
          </w:p>
        </w:tc>
        <w:tc>
          <w:tcPr>
            <w:tcW w:w="3767" w:type="dxa"/>
            <w:tcBorders>
              <w:left w:val="single" w:sz="4" w:space="0" w:color="000000"/>
              <w:bottom w:val="single" w:sz="4" w:space="0" w:color="000000"/>
              <w:right w:val="single" w:sz="4" w:space="0" w:color="000000"/>
            </w:tcBorders>
            <w:shd w:val="clear" w:color="auto" w:fill="auto"/>
            <w:vAlign w:val="center"/>
          </w:tcPr>
          <w:p w14:paraId="1AEC243B"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w:t>
            </w:r>
          </w:p>
        </w:tc>
      </w:tr>
      <w:tr w:rsidR="00771ECA" w14:paraId="606AE4F8" w14:textId="77777777">
        <w:trPr>
          <w:trHeight w:val="601"/>
        </w:trPr>
        <w:tc>
          <w:tcPr>
            <w:tcW w:w="1535" w:type="dxa"/>
            <w:gridSpan w:val="2"/>
            <w:tcBorders>
              <w:top w:val="single" w:sz="4" w:space="0" w:color="000000"/>
              <w:left w:val="single" w:sz="4" w:space="0" w:color="000000"/>
              <w:bottom w:val="single" w:sz="4" w:space="0" w:color="000000"/>
            </w:tcBorders>
            <w:shd w:val="clear" w:color="auto" w:fill="auto"/>
            <w:vAlign w:val="bottom"/>
          </w:tcPr>
          <w:p w14:paraId="7D63A0D1" w14:textId="77777777" w:rsidR="00771ECA" w:rsidRDefault="00000000">
            <w:pPr>
              <w:widowControl/>
              <w:spacing w:line="240" w:lineRule="auto"/>
              <w:textAlignment w:val="auto"/>
            </w:pPr>
            <w:r>
              <w:rPr>
                <w:rFonts w:ascii="Arial" w:hAnsi="Arial" w:cs="Arial"/>
                <w:sz w:val="18"/>
                <w:szCs w:val="18"/>
              </w:rPr>
              <w:t>确定的交易价格</w:t>
            </w:r>
            <w:r>
              <w:rPr>
                <w:rFonts w:ascii="Arial" w:hAnsi="Arial" w:cs="Arial"/>
                <w:sz w:val="18"/>
                <w:szCs w:val="18"/>
              </w:rPr>
              <w:br/>
            </w:r>
            <w:r>
              <w:rPr>
                <w:rFonts w:ascii="Arial" w:hAnsi="Arial" w:cs="Arial"/>
                <w:sz w:val="18"/>
                <w:szCs w:val="18"/>
              </w:rPr>
              <w:t>（元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SimSun" w:hAnsi="宋体;SimSun" w:cs="Arial"/>
                <w:sz w:val="18"/>
              </w:rPr>
              <w:t>月</w:t>
            </w:r>
            <w:r>
              <w:rPr>
                <w:rFonts w:ascii="Arial" w:hAnsi="Arial" w:cs="Arial"/>
                <w:sz w:val="18"/>
                <w:szCs w:val="18"/>
              </w:rPr>
              <w:t>）</w:t>
            </w:r>
          </w:p>
        </w:tc>
        <w:tc>
          <w:tcPr>
            <w:tcW w:w="1000" w:type="dxa"/>
            <w:tcBorders>
              <w:left w:val="single" w:sz="4" w:space="0" w:color="000000"/>
              <w:bottom w:val="single" w:sz="4" w:space="0" w:color="000000"/>
            </w:tcBorders>
            <w:shd w:val="clear" w:color="auto" w:fill="auto"/>
            <w:vAlign w:val="center"/>
          </w:tcPr>
          <w:p w14:paraId="721D7892"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待估</w:t>
            </w:r>
          </w:p>
        </w:tc>
        <w:tc>
          <w:tcPr>
            <w:tcW w:w="999" w:type="dxa"/>
            <w:tcBorders>
              <w:left w:val="single" w:sz="4" w:space="0" w:color="000000"/>
              <w:bottom w:val="single" w:sz="4" w:space="0" w:color="000000"/>
            </w:tcBorders>
            <w:shd w:val="clear" w:color="auto" w:fill="auto"/>
            <w:vAlign w:val="center"/>
          </w:tcPr>
          <w:p w14:paraId="6FA7629C" w14:textId="77777777" w:rsidR="00771ECA" w:rsidRDefault="00000000">
            <w:pPr>
              <w:widowControl/>
              <w:spacing w:line="240" w:lineRule="auto"/>
              <w:jc w:val="center"/>
              <w:rPr>
                <w:rFonts w:ascii="Arial" w:hAnsi="Arial" w:cs="Arial"/>
                <w:sz w:val="18"/>
              </w:rPr>
            </w:pPr>
            <w:r>
              <w:rPr>
                <w:rFonts w:ascii="Arial" w:hAnsi="Arial" w:cs="Arial"/>
                <w:sz w:val="18"/>
              </w:rPr>
              <w:t>68.39</w:t>
            </w:r>
          </w:p>
        </w:tc>
        <w:tc>
          <w:tcPr>
            <w:tcW w:w="1000" w:type="dxa"/>
            <w:tcBorders>
              <w:left w:val="single" w:sz="4" w:space="0" w:color="000000"/>
              <w:bottom w:val="single" w:sz="4" w:space="0" w:color="000000"/>
            </w:tcBorders>
            <w:shd w:val="clear" w:color="auto" w:fill="auto"/>
            <w:vAlign w:val="center"/>
          </w:tcPr>
          <w:p w14:paraId="037EF855" w14:textId="77777777" w:rsidR="00771ECA" w:rsidRDefault="00000000">
            <w:pPr>
              <w:widowControl/>
              <w:spacing w:line="240" w:lineRule="auto"/>
              <w:jc w:val="center"/>
              <w:rPr>
                <w:rFonts w:ascii="Arial" w:hAnsi="Arial" w:cs="Arial"/>
                <w:sz w:val="18"/>
              </w:rPr>
            </w:pPr>
            <w:r>
              <w:rPr>
                <w:rFonts w:ascii="Arial" w:hAnsi="Arial" w:cs="Arial"/>
                <w:sz w:val="18"/>
              </w:rPr>
              <w:t>67.77</w:t>
            </w:r>
          </w:p>
        </w:tc>
        <w:tc>
          <w:tcPr>
            <w:tcW w:w="997" w:type="dxa"/>
            <w:tcBorders>
              <w:left w:val="single" w:sz="4" w:space="0" w:color="000000"/>
              <w:bottom w:val="single" w:sz="4" w:space="0" w:color="000000"/>
            </w:tcBorders>
            <w:shd w:val="clear" w:color="auto" w:fill="auto"/>
            <w:vAlign w:val="center"/>
          </w:tcPr>
          <w:p w14:paraId="39097985" w14:textId="77777777" w:rsidR="00771ECA" w:rsidRDefault="00000000">
            <w:pPr>
              <w:widowControl/>
              <w:spacing w:line="240" w:lineRule="auto"/>
              <w:jc w:val="center"/>
              <w:rPr>
                <w:rFonts w:ascii="Arial" w:hAnsi="Arial" w:cs="Arial"/>
                <w:sz w:val="18"/>
              </w:rPr>
            </w:pPr>
            <w:r>
              <w:rPr>
                <w:rFonts w:ascii="Arial" w:hAnsi="Arial" w:cs="Arial"/>
                <w:sz w:val="18"/>
              </w:rPr>
              <w:t>67.39</w:t>
            </w:r>
          </w:p>
        </w:tc>
        <w:tc>
          <w:tcPr>
            <w:tcW w:w="3767" w:type="dxa"/>
            <w:tcBorders>
              <w:left w:val="single" w:sz="4" w:space="0" w:color="000000"/>
              <w:bottom w:val="single" w:sz="4" w:space="0" w:color="000000"/>
              <w:right w:val="single" w:sz="4" w:space="0" w:color="000000"/>
            </w:tcBorders>
            <w:shd w:val="clear" w:color="auto" w:fill="auto"/>
            <w:vAlign w:val="center"/>
          </w:tcPr>
          <w:p w14:paraId="3B87B65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w:t>
            </w:r>
          </w:p>
        </w:tc>
      </w:tr>
      <w:tr w:rsidR="00771ECA" w14:paraId="5E85A258" w14:textId="77777777">
        <w:trPr>
          <w:trHeight w:val="533"/>
        </w:trPr>
        <w:tc>
          <w:tcPr>
            <w:tcW w:w="1535" w:type="dxa"/>
            <w:gridSpan w:val="2"/>
            <w:tcBorders>
              <w:top w:val="single" w:sz="4" w:space="0" w:color="000000"/>
              <w:left w:val="single" w:sz="4" w:space="0" w:color="000000"/>
              <w:bottom w:val="single" w:sz="4" w:space="0" w:color="000000"/>
            </w:tcBorders>
            <w:shd w:val="clear" w:color="auto" w:fill="auto"/>
            <w:vAlign w:val="center"/>
          </w:tcPr>
          <w:p w14:paraId="7FDEF53A" w14:textId="77777777" w:rsidR="00771ECA" w:rsidRDefault="00000000">
            <w:pPr>
              <w:widowControl/>
              <w:spacing w:line="240" w:lineRule="auto"/>
              <w:textAlignment w:val="auto"/>
              <w:rPr>
                <w:rFonts w:ascii="Arial" w:hAnsi="Arial" w:cs="Arial"/>
                <w:sz w:val="18"/>
                <w:szCs w:val="18"/>
              </w:rPr>
            </w:pPr>
            <w:r>
              <w:rPr>
                <w:rFonts w:ascii="Arial" w:hAnsi="Arial" w:cs="Arial"/>
                <w:sz w:val="18"/>
                <w:szCs w:val="18"/>
              </w:rPr>
              <w:t>交易时间</w:t>
            </w:r>
          </w:p>
        </w:tc>
        <w:tc>
          <w:tcPr>
            <w:tcW w:w="1000" w:type="dxa"/>
            <w:tcBorders>
              <w:left w:val="single" w:sz="4" w:space="0" w:color="000000"/>
              <w:bottom w:val="single" w:sz="4" w:space="0" w:color="000000"/>
            </w:tcBorders>
            <w:shd w:val="clear" w:color="auto" w:fill="auto"/>
            <w:vAlign w:val="center"/>
          </w:tcPr>
          <w:p w14:paraId="2772AAE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751445D9"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left w:val="single" w:sz="4" w:space="0" w:color="000000"/>
              <w:bottom w:val="single" w:sz="4" w:space="0" w:color="000000"/>
            </w:tcBorders>
            <w:shd w:val="clear" w:color="auto" w:fill="auto"/>
            <w:vAlign w:val="center"/>
          </w:tcPr>
          <w:p w14:paraId="25C88A6C"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left w:val="single" w:sz="4" w:space="0" w:color="000000"/>
              <w:bottom w:val="single" w:sz="4" w:space="0" w:color="000000"/>
            </w:tcBorders>
            <w:shd w:val="clear" w:color="auto" w:fill="auto"/>
            <w:vAlign w:val="center"/>
          </w:tcPr>
          <w:p w14:paraId="19731CF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left w:val="single" w:sz="4" w:space="0" w:color="000000"/>
              <w:bottom w:val="single" w:sz="4" w:space="0" w:color="000000"/>
              <w:right w:val="single" w:sz="4" w:space="0" w:color="000000"/>
            </w:tcBorders>
            <w:shd w:val="clear" w:color="auto" w:fill="auto"/>
            <w:vAlign w:val="center"/>
          </w:tcPr>
          <w:p w14:paraId="702BE1E3" w14:textId="77777777" w:rsidR="00771ECA" w:rsidRDefault="00000000">
            <w:pPr>
              <w:widowControl/>
              <w:spacing w:line="240" w:lineRule="auto"/>
              <w:textAlignment w:val="auto"/>
            </w:pPr>
            <w:r>
              <w:rPr>
                <w:rFonts w:ascii="Arial" w:hAnsi="Arial" w:cs="Arial"/>
                <w:sz w:val="18"/>
                <w:szCs w:val="18"/>
              </w:rPr>
              <w:t>估价对象与可比实例的交易时间一致，因此确定估价对象与可比实例该因素指数均为</w:t>
            </w:r>
            <w:r>
              <w:rPr>
                <w:rFonts w:ascii="Arial" w:hAnsi="Arial" w:cs="Arial"/>
                <w:sz w:val="18"/>
                <w:szCs w:val="18"/>
              </w:rPr>
              <w:t>100</w:t>
            </w:r>
            <w:r>
              <w:rPr>
                <w:rFonts w:ascii="Arial" w:hAnsi="Arial" w:cs="Arial"/>
                <w:sz w:val="18"/>
                <w:szCs w:val="18"/>
              </w:rPr>
              <w:t>；</w:t>
            </w:r>
          </w:p>
        </w:tc>
      </w:tr>
      <w:tr w:rsidR="00771ECA" w14:paraId="05A93BBC" w14:textId="77777777">
        <w:trPr>
          <w:trHeight w:val="301"/>
        </w:trPr>
        <w:tc>
          <w:tcPr>
            <w:tcW w:w="1535" w:type="dxa"/>
            <w:gridSpan w:val="2"/>
            <w:tcBorders>
              <w:top w:val="single" w:sz="4" w:space="0" w:color="000000"/>
              <w:left w:val="single" w:sz="4" w:space="0" w:color="000000"/>
              <w:bottom w:val="single" w:sz="4" w:space="0" w:color="000000"/>
            </w:tcBorders>
            <w:shd w:val="clear" w:color="auto" w:fill="auto"/>
            <w:vAlign w:val="center"/>
          </w:tcPr>
          <w:p w14:paraId="47B204ED" w14:textId="77777777" w:rsidR="00771ECA" w:rsidRDefault="00000000">
            <w:pPr>
              <w:widowControl/>
              <w:spacing w:line="240" w:lineRule="auto"/>
              <w:textAlignment w:val="auto"/>
              <w:rPr>
                <w:rFonts w:ascii="Arial" w:hAnsi="Arial" w:cs="Arial"/>
                <w:sz w:val="18"/>
                <w:szCs w:val="18"/>
              </w:rPr>
            </w:pPr>
            <w:r>
              <w:rPr>
                <w:rFonts w:ascii="Arial" w:hAnsi="Arial" w:cs="Arial"/>
                <w:sz w:val="18"/>
                <w:szCs w:val="18"/>
              </w:rPr>
              <w:t>交易情况</w:t>
            </w:r>
          </w:p>
        </w:tc>
        <w:tc>
          <w:tcPr>
            <w:tcW w:w="1000" w:type="dxa"/>
            <w:tcBorders>
              <w:left w:val="single" w:sz="4" w:space="0" w:color="000000"/>
              <w:bottom w:val="single" w:sz="4" w:space="0" w:color="000000"/>
            </w:tcBorders>
            <w:shd w:val="clear" w:color="auto" w:fill="auto"/>
            <w:vAlign w:val="center"/>
          </w:tcPr>
          <w:p w14:paraId="1373D4B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5DB4111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left w:val="single" w:sz="4" w:space="0" w:color="000000"/>
              <w:bottom w:val="single" w:sz="4" w:space="0" w:color="000000"/>
            </w:tcBorders>
            <w:shd w:val="clear" w:color="auto" w:fill="auto"/>
            <w:vAlign w:val="center"/>
          </w:tcPr>
          <w:p w14:paraId="5FFFE04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left w:val="single" w:sz="4" w:space="0" w:color="000000"/>
              <w:bottom w:val="single" w:sz="4" w:space="0" w:color="000000"/>
            </w:tcBorders>
            <w:shd w:val="clear" w:color="auto" w:fill="auto"/>
            <w:vAlign w:val="center"/>
          </w:tcPr>
          <w:p w14:paraId="764B6CC9"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left w:val="single" w:sz="4" w:space="0" w:color="000000"/>
              <w:bottom w:val="single" w:sz="4" w:space="0" w:color="000000"/>
              <w:right w:val="single" w:sz="4" w:space="0" w:color="000000"/>
            </w:tcBorders>
            <w:shd w:val="clear" w:color="auto" w:fill="auto"/>
            <w:vAlign w:val="center"/>
          </w:tcPr>
          <w:p w14:paraId="4699644A" w14:textId="77777777" w:rsidR="00771ECA" w:rsidRDefault="00000000">
            <w:pPr>
              <w:widowControl/>
              <w:spacing w:line="240" w:lineRule="auto"/>
              <w:textAlignment w:val="auto"/>
            </w:pPr>
            <w:r>
              <w:rPr>
                <w:rFonts w:ascii="Arial" w:hAnsi="Arial" w:cs="Arial"/>
                <w:sz w:val="18"/>
                <w:szCs w:val="18"/>
              </w:rPr>
              <w:t>可比实例均为正常交易或已修正为正常交易，故不予修正，交易情况指数均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771ECA" w14:paraId="59DEB954" w14:textId="77777777">
        <w:trPr>
          <w:trHeight w:val="788"/>
        </w:trPr>
        <w:tc>
          <w:tcPr>
            <w:tcW w:w="580" w:type="dxa"/>
            <w:vMerge w:val="restart"/>
            <w:tcBorders>
              <w:top w:val="single" w:sz="4" w:space="0" w:color="000000"/>
              <w:left w:val="single" w:sz="4" w:space="0" w:color="000000"/>
              <w:bottom w:val="single" w:sz="4" w:space="0" w:color="000000"/>
            </w:tcBorders>
            <w:shd w:val="clear" w:color="auto" w:fill="auto"/>
            <w:vAlign w:val="center"/>
          </w:tcPr>
          <w:p w14:paraId="48654E6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区域</w:t>
            </w:r>
          </w:p>
          <w:p w14:paraId="717D743F"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状况</w:t>
            </w:r>
          </w:p>
        </w:tc>
        <w:tc>
          <w:tcPr>
            <w:tcW w:w="955" w:type="dxa"/>
            <w:tcBorders>
              <w:left w:val="single" w:sz="4" w:space="0" w:color="000000"/>
              <w:bottom w:val="single" w:sz="4" w:space="0" w:color="000000"/>
            </w:tcBorders>
            <w:shd w:val="clear" w:color="auto" w:fill="auto"/>
            <w:vAlign w:val="center"/>
          </w:tcPr>
          <w:p w14:paraId="74E182E1"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居住区成熟度</w:t>
            </w:r>
          </w:p>
        </w:tc>
        <w:tc>
          <w:tcPr>
            <w:tcW w:w="1000" w:type="dxa"/>
            <w:tcBorders>
              <w:left w:val="single" w:sz="4" w:space="0" w:color="000000"/>
              <w:bottom w:val="single" w:sz="4" w:space="0" w:color="000000"/>
            </w:tcBorders>
            <w:shd w:val="clear" w:color="auto" w:fill="auto"/>
            <w:vAlign w:val="center"/>
          </w:tcPr>
          <w:p w14:paraId="0A66E475"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2857139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left w:val="single" w:sz="4" w:space="0" w:color="000000"/>
              <w:bottom w:val="single" w:sz="4" w:space="0" w:color="000000"/>
            </w:tcBorders>
            <w:shd w:val="clear" w:color="auto" w:fill="auto"/>
            <w:vAlign w:val="center"/>
          </w:tcPr>
          <w:p w14:paraId="2F96DBA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left w:val="single" w:sz="4" w:space="0" w:color="000000"/>
              <w:bottom w:val="single" w:sz="4" w:space="0" w:color="000000"/>
            </w:tcBorders>
            <w:shd w:val="clear" w:color="auto" w:fill="auto"/>
            <w:vAlign w:val="center"/>
          </w:tcPr>
          <w:p w14:paraId="497542B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left w:val="single" w:sz="4" w:space="0" w:color="000000"/>
              <w:bottom w:val="single" w:sz="4" w:space="0" w:color="000000"/>
              <w:right w:val="single" w:sz="4" w:space="0" w:color="000000"/>
            </w:tcBorders>
            <w:shd w:val="clear" w:color="auto" w:fill="auto"/>
            <w:vAlign w:val="center"/>
          </w:tcPr>
          <w:p w14:paraId="328CAD3D" w14:textId="77777777" w:rsidR="00771ECA" w:rsidRDefault="00000000">
            <w:pPr>
              <w:widowControl/>
              <w:spacing w:line="240" w:lineRule="auto"/>
              <w:textAlignment w:val="auto"/>
            </w:pPr>
            <w:r>
              <w:rPr>
                <w:rFonts w:ascii="Arial" w:hAnsi="Arial" w:cs="Arial"/>
                <w:sz w:val="18"/>
                <w:szCs w:val="18"/>
              </w:rPr>
              <w:t>从好到差划分为好、较好、一般、较差、差五个等级，每个等级相差</w:t>
            </w:r>
            <w:r>
              <w:rPr>
                <w:rFonts w:ascii="Arial" w:hAnsi="Arial" w:cs="Arial"/>
                <w:sz w:val="18"/>
                <w:szCs w:val="18"/>
              </w:rPr>
              <w:t>5</w:t>
            </w:r>
            <w:r>
              <w:rPr>
                <w:rFonts w:ascii="Arial" w:hAnsi="Arial" w:cs="Arial"/>
                <w:sz w:val="18"/>
                <w:szCs w:val="18"/>
              </w:rPr>
              <w:t>分，确定可比实例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07E4837D" w14:textId="77777777">
        <w:trPr>
          <w:trHeight w:val="774"/>
        </w:trPr>
        <w:tc>
          <w:tcPr>
            <w:tcW w:w="580" w:type="dxa"/>
            <w:vMerge/>
            <w:tcBorders>
              <w:top w:val="single" w:sz="4" w:space="0" w:color="000000"/>
              <w:left w:val="single" w:sz="4" w:space="0" w:color="000000"/>
              <w:bottom w:val="single" w:sz="4" w:space="0" w:color="000000"/>
            </w:tcBorders>
            <w:shd w:val="clear" w:color="auto" w:fill="auto"/>
            <w:vAlign w:val="center"/>
          </w:tcPr>
          <w:p w14:paraId="50789FE2" w14:textId="77777777" w:rsidR="00771ECA" w:rsidRDefault="00771ECA">
            <w:pPr>
              <w:widowControl/>
              <w:snapToGrid w:val="0"/>
              <w:spacing w:line="240" w:lineRule="auto"/>
              <w:textAlignment w:val="auto"/>
              <w:rPr>
                <w:rFonts w:ascii="Arial" w:hAnsi="Arial" w:cs="Arial"/>
                <w:sz w:val="18"/>
                <w:szCs w:val="18"/>
              </w:rPr>
            </w:pPr>
          </w:p>
        </w:tc>
        <w:tc>
          <w:tcPr>
            <w:tcW w:w="955" w:type="dxa"/>
            <w:tcBorders>
              <w:left w:val="single" w:sz="4" w:space="0" w:color="000000"/>
              <w:bottom w:val="single" w:sz="4" w:space="0" w:color="000000"/>
            </w:tcBorders>
            <w:shd w:val="clear" w:color="auto" w:fill="auto"/>
            <w:vAlign w:val="center"/>
          </w:tcPr>
          <w:p w14:paraId="3E9A8F2C"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交通条件</w:t>
            </w:r>
          </w:p>
        </w:tc>
        <w:tc>
          <w:tcPr>
            <w:tcW w:w="1000" w:type="dxa"/>
            <w:tcBorders>
              <w:left w:val="single" w:sz="4" w:space="0" w:color="000000"/>
              <w:bottom w:val="single" w:sz="4" w:space="0" w:color="000000"/>
            </w:tcBorders>
            <w:shd w:val="clear" w:color="auto" w:fill="auto"/>
            <w:vAlign w:val="center"/>
          </w:tcPr>
          <w:p w14:paraId="4A735E4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46F5AF9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left w:val="single" w:sz="4" w:space="0" w:color="000000"/>
              <w:bottom w:val="single" w:sz="4" w:space="0" w:color="000000"/>
            </w:tcBorders>
            <w:shd w:val="clear" w:color="auto" w:fill="auto"/>
            <w:vAlign w:val="center"/>
          </w:tcPr>
          <w:p w14:paraId="5A5D810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left w:val="single" w:sz="4" w:space="0" w:color="000000"/>
              <w:bottom w:val="single" w:sz="4" w:space="0" w:color="000000"/>
            </w:tcBorders>
            <w:shd w:val="clear" w:color="auto" w:fill="auto"/>
            <w:vAlign w:val="center"/>
          </w:tcPr>
          <w:p w14:paraId="502CCA1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left w:val="single" w:sz="4" w:space="0" w:color="000000"/>
              <w:bottom w:val="single" w:sz="4" w:space="0" w:color="000000"/>
              <w:right w:val="single" w:sz="4" w:space="0" w:color="000000"/>
            </w:tcBorders>
            <w:shd w:val="clear" w:color="auto" w:fill="auto"/>
            <w:vAlign w:val="center"/>
          </w:tcPr>
          <w:p w14:paraId="615152DB" w14:textId="77777777" w:rsidR="00771ECA" w:rsidRDefault="00000000">
            <w:pPr>
              <w:widowControl/>
              <w:spacing w:line="240" w:lineRule="auto"/>
              <w:textAlignment w:val="auto"/>
            </w:pPr>
            <w:r>
              <w:rPr>
                <w:rFonts w:ascii="Arial" w:hAnsi="Arial" w:cs="Arial"/>
                <w:sz w:val="18"/>
                <w:szCs w:val="18"/>
              </w:rPr>
              <w:t>从好到差划分为好、较好、一般、较差、差五个等级，每个等级相差</w:t>
            </w:r>
            <w:r>
              <w:rPr>
                <w:rFonts w:ascii="Arial" w:hAnsi="Arial" w:cs="Arial"/>
                <w:sz w:val="18"/>
                <w:szCs w:val="18"/>
              </w:rPr>
              <w:t>2</w:t>
            </w:r>
            <w:r>
              <w:rPr>
                <w:rFonts w:ascii="Arial" w:hAnsi="Arial" w:cs="Arial"/>
                <w:sz w:val="18"/>
                <w:szCs w:val="18"/>
              </w:rPr>
              <w:t>分，确定可比实例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39C1BBC5" w14:textId="77777777">
        <w:trPr>
          <w:trHeight w:val="848"/>
        </w:trPr>
        <w:tc>
          <w:tcPr>
            <w:tcW w:w="580" w:type="dxa"/>
            <w:vMerge/>
            <w:tcBorders>
              <w:top w:val="single" w:sz="4" w:space="0" w:color="000000"/>
              <w:left w:val="single" w:sz="4" w:space="0" w:color="000000"/>
              <w:bottom w:val="single" w:sz="4" w:space="0" w:color="000000"/>
            </w:tcBorders>
            <w:shd w:val="clear" w:color="auto" w:fill="auto"/>
            <w:vAlign w:val="center"/>
          </w:tcPr>
          <w:p w14:paraId="64950369" w14:textId="77777777" w:rsidR="00771ECA" w:rsidRDefault="00771ECA">
            <w:pPr>
              <w:widowControl/>
              <w:snapToGrid w:val="0"/>
              <w:spacing w:line="240" w:lineRule="auto"/>
              <w:textAlignment w:val="auto"/>
              <w:rPr>
                <w:rFonts w:ascii="Arial" w:hAnsi="Arial" w:cs="Arial"/>
                <w:sz w:val="18"/>
                <w:szCs w:val="18"/>
              </w:rPr>
            </w:pPr>
          </w:p>
        </w:tc>
        <w:tc>
          <w:tcPr>
            <w:tcW w:w="955" w:type="dxa"/>
            <w:tcBorders>
              <w:left w:val="single" w:sz="4" w:space="0" w:color="000000"/>
              <w:bottom w:val="single" w:sz="4" w:space="0" w:color="000000"/>
            </w:tcBorders>
            <w:shd w:val="clear" w:color="auto" w:fill="auto"/>
            <w:vAlign w:val="center"/>
          </w:tcPr>
          <w:p w14:paraId="43B0CB68"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商业设施</w:t>
            </w:r>
          </w:p>
        </w:tc>
        <w:tc>
          <w:tcPr>
            <w:tcW w:w="1000" w:type="dxa"/>
            <w:tcBorders>
              <w:left w:val="single" w:sz="4" w:space="0" w:color="000000"/>
              <w:bottom w:val="single" w:sz="4" w:space="0" w:color="000000"/>
            </w:tcBorders>
            <w:shd w:val="clear" w:color="auto" w:fill="auto"/>
            <w:vAlign w:val="center"/>
          </w:tcPr>
          <w:p w14:paraId="70781CB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4AF25A58"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left w:val="single" w:sz="4" w:space="0" w:color="000000"/>
              <w:bottom w:val="single" w:sz="4" w:space="0" w:color="000000"/>
            </w:tcBorders>
            <w:shd w:val="clear" w:color="auto" w:fill="auto"/>
            <w:vAlign w:val="center"/>
          </w:tcPr>
          <w:p w14:paraId="4E80AEEB"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left w:val="single" w:sz="4" w:space="0" w:color="000000"/>
              <w:bottom w:val="single" w:sz="4" w:space="0" w:color="000000"/>
            </w:tcBorders>
            <w:shd w:val="clear" w:color="auto" w:fill="auto"/>
            <w:vAlign w:val="center"/>
          </w:tcPr>
          <w:p w14:paraId="39C35C1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left w:val="single" w:sz="4" w:space="0" w:color="000000"/>
              <w:bottom w:val="single" w:sz="4" w:space="0" w:color="000000"/>
              <w:right w:val="single" w:sz="4" w:space="0" w:color="000000"/>
            </w:tcBorders>
            <w:shd w:val="clear" w:color="auto" w:fill="auto"/>
            <w:vAlign w:val="center"/>
          </w:tcPr>
          <w:p w14:paraId="16B1B036" w14:textId="77777777" w:rsidR="00771ECA" w:rsidRDefault="00000000">
            <w:pPr>
              <w:widowControl/>
              <w:spacing w:line="240" w:lineRule="auto"/>
              <w:textAlignment w:val="auto"/>
            </w:pPr>
            <w:r>
              <w:rPr>
                <w:rFonts w:ascii="Arial" w:hAnsi="Arial" w:cs="Arial"/>
                <w:sz w:val="18"/>
                <w:szCs w:val="18"/>
              </w:rPr>
              <w:t>从好到差划分为好、较好、一般、较差、差五个等级，每个等级相差</w:t>
            </w:r>
            <w:r>
              <w:rPr>
                <w:rFonts w:ascii="Arial" w:hAnsi="Arial" w:cs="Arial"/>
                <w:sz w:val="18"/>
                <w:szCs w:val="18"/>
              </w:rPr>
              <w:t>2</w:t>
            </w:r>
            <w:r>
              <w:rPr>
                <w:rFonts w:ascii="Arial" w:hAnsi="Arial" w:cs="Arial"/>
                <w:sz w:val="18"/>
                <w:szCs w:val="18"/>
              </w:rPr>
              <w:t>分，确定可比实例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0559C2B4" w14:textId="77777777">
        <w:trPr>
          <w:trHeight w:val="834"/>
        </w:trPr>
        <w:tc>
          <w:tcPr>
            <w:tcW w:w="580" w:type="dxa"/>
            <w:vMerge/>
            <w:tcBorders>
              <w:top w:val="single" w:sz="4" w:space="0" w:color="000000"/>
              <w:left w:val="single" w:sz="4" w:space="0" w:color="000000"/>
              <w:bottom w:val="single" w:sz="4" w:space="0" w:color="000000"/>
            </w:tcBorders>
            <w:shd w:val="clear" w:color="auto" w:fill="auto"/>
            <w:vAlign w:val="center"/>
          </w:tcPr>
          <w:p w14:paraId="584D383A" w14:textId="77777777" w:rsidR="00771ECA" w:rsidRDefault="00771ECA">
            <w:pPr>
              <w:widowControl/>
              <w:snapToGrid w:val="0"/>
              <w:spacing w:line="240" w:lineRule="auto"/>
              <w:textAlignment w:val="auto"/>
              <w:rPr>
                <w:rFonts w:ascii="Arial" w:hAnsi="Arial" w:cs="Arial"/>
                <w:sz w:val="18"/>
                <w:szCs w:val="18"/>
              </w:rPr>
            </w:pPr>
          </w:p>
        </w:tc>
        <w:tc>
          <w:tcPr>
            <w:tcW w:w="955" w:type="dxa"/>
            <w:tcBorders>
              <w:left w:val="single" w:sz="4" w:space="0" w:color="000000"/>
              <w:bottom w:val="single" w:sz="4" w:space="0" w:color="000000"/>
            </w:tcBorders>
            <w:shd w:val="clear" w:color="auto" w:fill="auto"/>
            <w:vAlign w:val="center"/>
          </w:tcPr>
          <w:p w14:paraId="2572E3BC"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自然环境</w:t>
            </w:r>
          </w:p>
        </w:tc>
        <w:tc>
          <w:tcPr>
            <w:tcW w:w="1000" w:type="dxa"/>
            <w:tcBorders>
              <w:left w:val="single" w:sz="4" w:space="0" w:color="000000"/>
              <w:bottom w:val="single" w:sz="4" w:space="0" w:color="000000"/>
            </w:tcBorders>
            <w:shd w:val="clear" w:color="auto" w:fill="auto"/>
            <w:vAlign w:val="center"/>
          </w:tcPr>
          <w:p w14:paraId="439774E5"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246C479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left w:val="single" w:sz="4" w:space="0" w:color="000000"/>
              <w:bottom w:val="single" w:sz="4" w:space="0" w:color="000000"/>
            </w:tcBorders>
            <w:shd w:val="clear" w:color="auto" w:fill="auto"/>
            <w:vAlign w:val="center"/>
          </w:tcPr>
          <w:p w14:paraId="69042461"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left w:val="single" w:sz="4" w:space="0" w:color="000000"/>
              <w:bottom w:val="single" w:sz="4" w:space="0" w:color="000000"/>
            </w:tcBorders>
            <w:shd w:val="clear" w:color="auto" w:fill="auto"/>
            <w:vAlign w:val="center"/>
          </w:tcPr>
          <w:p w14:paraId="5EF48EFA"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left w:val="single" w:sz="4" w:space="0" w:color="000000"/>
              <w:bottom w:val="single" w:sz="4" w:space="0" w:color="000000"/>
              <w:right w:val="single" w:sz="4" w:space="0" w:color="000000"/>
            </w:tcBorders>
            <w:shd w:val="clear" w:color="auto" w:fill="auto"/>
            <w:vAlign w:val="center"/>
          </w:tcPr>
          <w:p w14:paraId="671E02AE" w14:textId="77777777" w:rsidR="00771ECA" w:rsidRDefault="00000000">
            <w:pPr>
              <w:widowControl/>
              <w:spacing w:line="240" w:lineRule="auto"/>
              <w:textAlignment w:val="auto"/>
            </w:pPr>
            <w:r>
              <w:rPr>
                <w:rFonts w:ascii="Arial" w:hAnsi="Arial" w:cs="Arial"/>
                <w:sz w:val="18"/>
                <w:szCs w:val="18"/>
              </w:rPr>
              <w:t>从好到差划分为好、较好、一般、较差、差五个等级，每个等级相差</w:t>
            </w:r>
            <w:r>
              <w:rPr>
                <w:rFonts w:ascii="Arial" w:hAnsi="Arial" w:cs="Arial"/>
                <w:sz w:val="18"/>
                <w:szCs w:val="18"/>
              </w:rPr>
              <w:t>2</w:t>
            </w:r>
            <w:r>
              <w:rPr>
                <w:rFonts w:ascii="Arial" w:hAnsi="Arial" w:cs="Arial"/>
                <w:sz w:val="18"/>
                <w:szCs w:val="18"/>
              </w:rPr>
              <w:t>分，确定可比实例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34CC0700" w14:textId="77777777">
        <w:trPr>
          <w:trHeight w:val="847"/>
        </w:trPr>
        <w:tc>
          <w:tcPr>
            <w:tcW w:w="580" w:type="dxa"/>
            <w:vMerge/>
            <w:tcBorders>
              <w:top w:val="single" w:sz="4" w:space="0" w:color="000000"/>
              <w:left w:val="single" w:sz="4" w:space="0" w:color="000000"/>
              <w:bottom w:val="single" w:sz="4" w:space="0" w:color="000000"/>
            </w:tcBorders>
            <w:shd w:val="clear" w:color="auto" w:fill="auto"/>
            <w:vAlign w:val="center"/>
          </w:tcPr>
          <w:p w14:paraId="5F8F1FAC" w14:textId="77777777" w:rsidR="00771ECA" w:rsidRDefault="00771ECA">
            <w:pPr>
              <w:widowControl/>
              <w:snapToGrid w:val="0"/>
              <w:spacing w:line="240" w:lineRule="auto"/>
              <w:textAlignment w:val="auto"/>
              <w:rPr>
                <w:rFonts w:ascii="Arial" w:hAnsi="Arial" w:cs="Arial"/>
                <w:sz w:val="18"/>
                <w:szCs w:val="18"/>
              </w:rPr>
            </w:pPr>
          </w:p>
        </w:tc>
        <w:tc>
          <w:tcPr>
            <w:tcW w:w="955" w:type="dxa"/>
            <w:tcBorders>
              <w:left w:val="single" w:sz="4" w:space="0" w:color="000000"/>
              <w:bottom w:val="single" w:sz="4" w:space="0" w:color="000000"/>
            </w:tcBorders>
            <w:shd w:val="clear" w:color="auto" w:fill="auto"/>
            <w:vAlign w:val="center"/>
          </w:tcPr>
          <w:p w14:paraId="10BEF0BD" w14:textId="77777777" w:rsidR="00771ECA" w:rsidRDefault="00000000">
            <w:pPr>
              <w:widowControl/>
              <w:spacing w:line="240" w:lineRule="auto"/>
              <w:jc w:val="center"/>
              <w:textAlignment w:val="auto"/>
              <w:rPr>
                <w:rFonts w:ascii="Arial" w:hAnsi="Arial" w:cs="Arial"/>
                <w:b/>
                <w:sz w:val="18"/>
                <w:szCs w:val="18"/>
              </w:rPr>
            </w:pPr>
            <w:r>
              <w:rPr>
                <w:rFonts w:ascii="宋体;SimSun" w:hAnsi="宋体;SimSun" w:cs="Arial"/>
                <w:sz w:val="18"/>
              </w:rPr>
              <w:t>公共配套</w:t>
            </w:r>
          </w:p>
        </w:tc>
        <w:tc>
          <w:tcPr>
            <w:tcW w:w="1000" w:type="dxa"/>
            <w:tcBorders>
              <w:left w:val="single" w:sz="4" w:space="0" w:color="000000"/>
              <w:bottom w:val="single" w:sz="4" w:space="0" w:color="000000"/>
            </w:tcBorders>
            <w:shd w:val="clear" w:color="auto" w:fill="auto"/>
            <w:vAlign w:val="center"/>
          </w:tcPr>
          <w:p w14:paraId="082641A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3EB25A79"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left w:val="single" w:sz="4" w:space="0" w:color="000000"/>
              <w:bottom w:val="single" w:sz="4" w:space="0" w:color="000000"/>
            </w:tcBorders>
            <w:shd w:val="clear" w:color="auto" w:fill="auto"/>
            <w:vAlign w:val="center"/>
          </w:tcPr>
          <w:p w14:paraId="5B45988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left w:val="single" w:sz="4" w:space="0" w:color="000000"/>
              <w:bottom w:val="single" w:sz="4" w:space="0" w:color="000000"/>
            </w:tcBorders>
            <w:shd w:val="clear" w:color="auto" w:fill="auto"/>
            <w:vAlign w:val="center"/>
          </w:tcPr>
          <w:p w14:paraId="17F8E18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left w:val="single" w:sz="4" w:space="0" w:color="000000"/>
              <w:bottom w:val="single" w:sz="4" w:space="0" w:color="000000"/>
              <w:right w:val="single" w:sz="4" w:space="0" w:color="000000"/>
            </w:tcBorders>
            <w:shd w:val="clear" w:color="auto" w:fill="auto"/>
            <w:vAlign w:val="center"/>
          </w:tcPr>
          <w:p w14:paraId="41F02519" w14:textId="77777777" w:rsidR="00771ECA" w:rsidRDefault="00000000">
            <w:pPr>
              <w:widowControl/>
              <w:spacing w:line="240" w:lineRule="auto"/>
              <w:textAlignment w:val="auto"/>
            </w:pPr>
            <w:r>
              <w:rPr>
                <w:rFonts w:ascii="Arial" w:hAnsi="Arial" w:cs="Arial"/>
                <w:sz w:val="18"/>
                <w:szCs w:val="18"/>
              </w:rPr>
              <w:t>从好到差划分为齐全、较齐全、一般、较不齐全、不齐全五个等级，每个等级相差</w:t>
            </w:r>
            <w:r>
              <w:rPr>
                <w:rFonts w:ascii="Arial" w:hAnsi="Arial" w:cs="Arial"/>
                <w:sz w:val="18"/>
                <w:szCs w:val="18"/>
              </w:rPr>
              <w:t>5</w:t>
            </w:r>
            <w:r>
              <w:rPr>
                <w:rFonts w:ascii="Arial" w:hAnsi="Arial" w:cs="Arial"/>
                <w:sz w:val="18"/>
                <w:szCs w:val="18"/>
              </w:rPr>
              <w:t>分，确定可比实例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03CF54B3" w14:textId="77777777">
        <w:trPr>
          <w:trHeight w:val="975"/>
        </w:trPr>
        <w:tc>
          <w:tcPr>
            <w:tcW w:w="580" w:type="dxa"/>
            <w:vMerge w:val="restart"/>
            <w:tcBorders>
              <w:top w:val="single" w:sz="4" w:space="0" w:color="000000"/>
              <w:left w:val="single" w:sz="4" w:space="0" w:color="000000"/>
            </w:tcBorders>
            <w:shd w:val="clear" w:color="auto" w:fill="auto"/>
            <w:vAlign w:val="center"/>
          </w:tcPr>
          <w:p w14:paraId="1235597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实物</w:t>
            </w:r>
          </w:p>
          <w:p w14:paraId="23B57170"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状况</w:t>
            </w:r>
          </w:p>
        </w:tc>
        <w:tc>
          <w:tcPr>
            <w:tcW w:w="955" w:type="dxa"/>
            <w:tcBorders>
              <w:left w:val="single" w:sz="4" w:space="0" w:color="000000"/>
              <w:bottom w:val="single" w:sz="4" w:space="0" w:color="000000"/>
            </w:tcBorders>
            <w:shd w:val="clear" w:color="auto" w:fill="auto"/>
            <w:vAlign w:val="center"/>
          </w:tcPr>
          <w:p w14:paraId="02CD954E"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物业服务</w:t>
            </w:r>
          </w:p>
        </w:tc>
        <w:tc>
          <w:tcPr>
            <w:tcW w:w="1000" w:type="dxa"/>
            <w:tcBorders>
              <w:left w:val="single" w:sz="4" w:space="0" w:color="000000"/>
              <w:bottom w:val="single" w:sz="4" w:space="0" w:color="000000"/>
            </w:tcBorders>
            <w:shd w:val="clear" w:color="auto" w:fill="auto"/>
            <w:vAlign w:val="center"/>
          </w:tcPr>
          <w:p w14:paraId="23E58CFB"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385E432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left w:val="single" w:sz="4" w:space="0" w:color="000000"/>
              <w:bottom w:val="single" w:sz="4" w:space="0" w:color="000000"/>
            </w:tcBorders>
            <w:shd w:val="clear" w:color="auto" w:fill="auto"/>
            <w:vAlign w:val="center"/>
          </w:tcPr>
          <w:p w14:paraId="1342914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left w:val="single" w:sz="4" w:space="0" w:color="000000"/>
              <w:bottom w:val="single" w:sz="4" w:space="0" w:color="000000"/>
            </w:tcBorders>
            <w:shd w:val="clear" w:color="auto" w:fill="auto"/>
            <w:vAlign w:val="center"/>
          </w:tcPr>
          <w:p w14:paraId="7BCBF20F"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left w:val="single" w:sz="4" w:space="0" w:color="000000"/>
              <w:bottom w:val="single" w:sz="4" w:space="0" w:color="000000"/>
              <w:right w:val="single" w:sz="4" w:space="0" w:color="000000"/>
            </w:tcBorders>
            <w:shd w:val="clear" w:color="auto" w:fill="auto"/>
            <w:vAlign w:val="center"/>
          </w:tcPr>
          <w:p w14:paraId="5A121C2A" w14:textId="77777777" w:rsidR="00771ECA" w:rsidRDefault="00000000">
            <w:pPr>
              <w:widowControl/>
              <w:spacing w:line="240" w:lineRule="auto"/>
              <w:textAlignment w:val="auto"/>
            </w:pPr>
            <w:r>
              <w:rPr>
                <w:rFonts w:ascii="Arial" w:hAnsi="Arial" w:cs="Arial"/>
                <w:sz w:val="18"/>
                <w:szCs w:val="18"/>
              </w:rPr>
              <w:t>根据物业服务对其价值的影响，从好到差划分为有专业物业公司、无物业公司二个等级。以估价对象该因素指数为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36AD59C5" w14:textId="77777777">
        <w:trPr>
          <w:trHeight w:val="1360"/>
        </w:trPr>
        <w:tc>
          <w:tcPr>
            <w:tcW w:w="580" w:type="dxa"/>
            <w:vMerge/>
            <w:tcBorders>
              <w:top w:val="single" w:sz="4" w:space="0" w:color="000000"/>
              <w:left w:val="single" w:sz="4" w:space="0" w:color="000000"/>
            </w:tcBorders>
            <w:shd w:val="clear" w:color="auto" w:fill="auto"/>
            <w:vAlign w:val="center"/>
          </w:tcPr>
          <w:p w14:paraId="43F0F78C" w14:textId="77777777" w:rsidR="00771ECA" w:rsidRDefault="00771ECA">
            <w:pPr>
              <w:widowControl/>
              <w:snapToGrid w:val="0"/>
              <w:spacing w:line="240" w:lineRule="auto"/>
              <w:textAlignment w:val="auto"/>
              <w:rPr>
                <w:rFonts w:ascii="Arial" w:hAnsi="Arial" w:cs="Arial"/>
                <w:sz w:val="18"/>
                <w:szCs w:val="18"/>
              </w:rPr>
            </w:pPr>
          </w:p>
        </w:tc>
        <w:tc>
          <w:tcPr>
            <w:tcW w:w="955" w:type="dxa"/>
            <w:tcBorders>
              <w:left w:val="single" w:sz="4" w:space="0" w:color="000000"/>
              <w:bottom w:val="single" w:sz="4" w:space="0" w:color="000000"/>
            </w:tcBorders>
            <w:shd w:val="clear" w:color="auto" w:fill="auto"/>
            <w:vAlign w:val="center"/>
          </w:tcPr>
          <w:p w14:paraId="0E558942"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小区环境</w:t>
            </w:r>
          </w:p>
        </w:tc>
        <w:tc>
          <w:tcPr>
            <w:tcW w:w="1000" w:type="dxa"/>
            <w:tcBorders>
              <w:left w:val="single" w:sz="4" w:space="0" w:color="000000"/>
              <w:bottom w:val="single" w:sz="4" w:space="0" w:color="000000"/>
            </w:tcBorders>
            <w:shd w:val="clear" w:color="auto" w:fill="auto"/>
            <w:vAlign w:val="center"/>
          </w:tcPr>
          <w:p w14:paraId="027F62D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6BFEF4D1"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left w:val="single" w:sz="4" w:space="0" w:color="000000"/>
              <w:bottom w:val="single" w:sz="4" w:space="0" w:color="000000"/>
            </w:tcBorders>
            <w:shd w:val="clear" w:color="auto" w:fill="auto"/>
            <w:vAlign w:val="center"/>
          </w:tcPr>
          <w:p w14:paraId="2F02F0A9"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left w:val="single" w:sz="4" w:space="0" w:color="000000"/>
              <w:bottom w:val="single" w:sz="4" w:space="0" w:color="000000"/>
            </w:tcBorders>
            <w:shd w:val="clear" w:color="auto" w:fill="auto"/>
            <w:vAlign w:val="center"/>
          </w:tcPr>
          <w:p w14:paraId="1ED7622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left w:val="single" w:sz="4" w:space="0" w:color="000000"/>
              <w:bottom w:val="single" w:sz="4" w:space="0" w:color="000000"/>
              <w:right w:val="single" w:sz="4" w:space="0" w:color="000000"/>
            </w:tcBorders>
            <w:shd w:val="clear" w:color="auto" w:fill="auto"/>
            <w:vAlign w:val="center"/>
          </w:tcPr>
          <w:p w14:paraId="47DE4FEF" w14:textId="77777777" w:rsidR="00771ECA" w:rsidRDefault="00000000">
            <w:pPr>
              <w:widowControl/>
              <w:spacing w:line="240" w:lineRule="auto"/>
              <w:textAlignment w:val="auto"/>
            </w:pPr>
            <w:r>
              <w:rPr>
                <w:rFonts w:ascii="Arial" w:hAnsi="Arial" w:cs="Arial"/>
                <w:sz w:val="18"/>
                <w:szCs w:val="18"/>
              </w:rPr>
              <w:t>根据小区环境对其价值的影响，从好到差划分为绿化率</w:t>
            </w:r>
            <w:r>
              <w:rPr>
                <w:rFonts w:ascii="Arial" w:hAnsi="Arial" w:cs="Arial"/>
                <w:sz w:val="18"/>
                <w:szCs w:val="18"/>
              </w:rPr>
              <w:t>≥35%</w:t>
            </w:r>
            <w:r>
              <w:rPr>
                <w:rFonts w:ascii="Arial" w:hAnsi="Arial" w:cs="Arial"/>
                <w:sz w:val="18"/>
                <w:szCs w:val="18"/>
              </w:rPr>
              <w:t>为好，</w:t>
            </w:r>
            <w:r>
              <w:rPr>
                <w:rFonts w:ascii="Arial" w:hAnsi="Arial" w:cs="Arial"/>
                <w:sz w:val="18"/>
                <w:szCs w:val="18"/>
              </w:rPr>
              <w:t>35</w:t>
            </w:r>
            <w:r>
              <w:rPr>
                <w:rFonts w:ascii="Arial" w:hAnsi="Arial" w:cs="Arial"/>
                <w:sz w:val="18"/>
                <w:szCs w:val="18"/>
              </w:rPr>
              <w:t>％</w:t>
            </w:r>
            <w:r>
              <w:rPr>
                <w:rFonts w:ascii="Arial" w:hAnsi="Arial" w:cs="Arial"/>
                <w:sz w:val="18"/>
                <w:szCs w:val="18"/>
              </w:rPr>
              <w:t>&gt;</w:t>
            </w:r>
            <w:r>
              <w:rPr>
                <w:rFonts w:ascii="Arial" w:hAnsi="Arial" w:cs="Arial"/>
                <w:sz w:val="18"/>
                <w:szCs w:val="18"/>
              </w:rPr>
              <w:t>绿化率</w:t>
            </w:r>
            <w:r>
              <w:rPr>
                <w:rFonts w:ascii="Arial" w:hAnsi="Arial" w:cs="Arial"/>
                <w:sz w:val="18"/>
                <w:szCs w:val="18"/>
              </w:rPr>
              <w:t>≥30%</w:t>
            </w:r>
            <w:r>
              <w:rPr>
                <w:rFonts w:ascii="Arial" w:hAnsi="Arial" w:cs="Arial"/>
                <w:sz w:val="18"/>
                <w:szCs w:val="18"/>
              </w:rPr>
              <w:t>为较好，</w:t>
            </w:r>
            <w:r>
              <w:rPr>
                <w:rFonts w:ascii="Arial" w:hAnsi="Arial" w:cs="Arial"/>
                <w:sz w:val="18"/>
                <w:szCs w:val="18"/>
              </w:rPr>
              <w:t>30%&gt;</w:t>
            </w:r>
            <w:r>
              <w:rPr>
                <w:rFonts w:ascii="Arial" w:hAnsi="Arial" w:cs="Arial"/>
                <w:sz w:val="18"/>
                <w:szCs w:val="18"/>
              </w:rPr>
              <w:t>绿化率</w:t>
            </w:r>
            <w:r>
              <w:rPr>
                <w:rFonts w:ascii="Arial" w:hAnsi="Arial" w:cs="Arial"/>
                <w:sz w:val="18"/>
                <w:szCs w:val="18"/>
              </w:rPr>
              <w:t>≥25%&gt;</w:t>
            </w:r>
            <w:r>
              <w:rPr>
                <w:rFonts w:ascii="Arial" w:hAnsi="Arial" w:cs="Arial"/>
                <w:sz w:val="18"/>
                <w:szCs w:val="18"/>
              </w:rPr>
              <w:t>为一般，</w:t>
            </w:r>
            <w:r>
              <w:rPr>
                <w:rFonts w:ascii="Arial" w:hAnsi="Arial" w:cs="Arial"/>
                <w:sz w:val="18"/>
                <w:szCs w:val="18"/>
              </w:rPr>
              <w:t>25%&gt;</w:t>
            </w:r>
            <w:r>
              <w:rPr>
                <w:rFonts w:ascii="Arial" w:hAnsi="Arial" w:cs="Arial"/>
                <w:sz w:val="18"/>
                <w:szCs w:val="18"/>
              </w:rPr>
              <w:t>绿化率</w:t>
            </w:r>
            <w:r>
              <w:rPr>
                <w:rFonts w:ascii="Arial" w:hAnsi="Arial" w:cs="Arial"/>
                <w:sz w:val="18"/>
                <w:szCs w:val="18"/>
              </w:rPr>
              <w:t>≥20%</w:t>
            </w:r>
            <w:r>
              <w:rPr>
                <w:rFonts w:ascii="Arial" w:hAnsi="Arial" w:cs="Arial"/>
                <w:sz w:val="18"/>
                <w:szCs w:val="18"/>
              </w:rPr>
              <w:t>为较差，绿化率</w:t>
            </w:r>
            <w:r>
              <w:rPr>
                <w:rFonts w:ascii="Arial" w:hAnsi="Arial" w:cs="Arial"/>
                <w:sz w:val="18"/>
                <w:szCs w:val="18"/>
              </w:rPr>
              <w:t>&lt;20%</w:t>
            </w:r>
            <w:r>
              <w:rPr>
                <w:rFonts w:ascii="Arial" w:hAnsi="Arial" w:cs="Arial"/>
                <w:sz w:val="18"/>
                <w:szCs w:val="18"/>
              </w:rPr>
              <w:t>为差五个等级。以估价对象该因素指数为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4B584ECC" w14:textId="77777777">
        <w:trPr>
          <w:trHeight w:val="1127"/>
        </w:trPr>
        <w:tc>
          <w:tcPr>
            <w:tcW w:w="580" w:type="dxa"/>
            <w:vMerge/>
            <w:tcBorders>
              <w:top w:val="single" w:sz="4" w:space="0" w:color="000000"/>
              <w:left w:val="single" w:sz="4" w:space="0" w:color="000000"/>
            </w:tcBorders>
            <w:shd w:val="clear" w:color="auto" w:fill="auto"/>
            <w:vAlign w:val="center"/>
          </w:tcPr>
          <w:p w14:paraId="33599B28" w14:textId="77777777" w:rsidR="00771ECA" w:rsidRDefault="00771ECA">
            <w:pPr>
              <w:widowControl/>
              <w:snapToGrid w:val="0"/>
              <w:spacing w:line="240" w:lineRule="auto"/>
              <w:textAlignment w:val="auto"/>
              <w:rPr>
                <w:rFonts w:ascii="Arial" w:hAnsi="Arial" w:cs="Arial"/>
                <w:sz w:val="18"/>
                <w:szCs w:val="18"/>
              </w:rPr>
            </w:pPr>
          </w:p>
        </w:tc>
        <w:tc>
          <w:tcPr>
            <w:tcW w:w="955" w:type="dxa"/>
            <w:tcBorders>
              <w:left w:val="single" w:sz="4" w:space="0" w:color="000000"/>
              <w:bottom w:val="single" w:sz="4" w:space="0" w:color="000000"/>
            </w:tcBorders>
            <w:shd w:val="clear" w:color="auto" w:fill="auto"/>
            <w:vAlign w:val="center"/>
          </w:tcPr>
          <w:p w14:paraId="0FA2170A"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配套设施</w:t>
            </w:r>
          </w:p>
        </w:tc>
        <w:tc>
          <w:tcPr>
            <w:tcW w:w="1000" w:type="dxa"/>
            <w:tcBorders>
              <w:left w:val="single" w:sz="4" w:space="0" w:color="000000"/>
              <w:bottom w:val="single" w:sz="4" w:space="0" w:color="000000"/>
            </w:tcBorders>
            <w:shd w:val="clear" w:color="auto" w:fill="auto"/>
            <w:vAlign w:val="center"/>
          </w:tcPr>
          <w:p w14:paraId="585A9560"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26216D4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1000" w:type="dxa"/>
            <w:tcBorders>
              <w:left w:val="single" w:sz="4" w:space="0" w:color="000000"/>
              <w:bottom w:val="single" w:sz="4" w:space="0" w:color="000000"/>
            </w:tcBorders>
            <w:shd w:val="clear" w:color="auto" w:fill="auto"/>
            <w:vAlign w:val="center"/>
          </w:tcPr>
          <w:p w14:paraId="6B6AEC40"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997" w:type="dxa"/>
            <w:tcBorders>
              <w:left w:val="single" w:sz="4" w:space="0" w:color="000000"/>
              <w:bottom w:val="single" w:sz="4" w:space="0" w:color="000000"/>
            </w:tcBorders>
            <w:shd w:val="clear" w:color="auto" w:fill="auto"/>
            <w:vAlign w:val="center"/>
          </w:tcPr>
          <w:p w14:paraId="7FF645D0"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3767" w:type="dxa"/>
            <w:tcBorders>
              <w:left w:val="single" w:sz="4" w:space="0" w:color="000000"/>
              <w:bottom w:val="single" w:sz="4" w:space="0" w:color="000000"/>
              <w:right w:val="single" w:sz="4" w:space="0" w:color="000000"/>
            </w:tcBorders>
            <w:shd w:val="clear" w:color="auto" w:fill="auto"/>
            <w:vAlign w:val="center"/>
          </w:tcPr>
          <w:p w14:paraId="25E1326D" w14:textId="77777777" w:rsidR="00771ECA" w:rsidRDefault="00000000">
            <w:pPr>
              <w:widowControl/>
              <w:spacing w:line="240" w:lineRule="auto"/>
              <w:textAlignment w:val="auto"/>
            </w:pPr>
            <w:r>
              <w:rPr>
                <w:rFonts w:ascii="Arial" w:hAnsi="Arial" w:cs="Arial"/>
                <w:sz w:val="18"/>
                <w:szCs w:val="18"/>
              </w:rPr>
              <w:t>根据配套设施对其价值的影响，从好到差划分为配备健身房、活动空间、医疗站、配备医疗站、活动站；配备活动站、不配备医疗站或配备医疗站，无活动站；无医疗站、活动站等等级以估价对象该因素指数为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Pr>
                <w:rFonts w:ascii="Arial" w:hAnsi="Arial" w:cs="Arial"/>
                <w:sz w:val="18"/>
                <w:szCs w:val="18"/>
              </w:rPr>
              <w:t>99</w:t>
            </w:r>
            <w:r>
              <w:rPr>
                <w:rFonts w:ascii="Arial" w:hAnsi="Arial" w:cs="Arial"/>
                <w:sz w:val="18"/>
                <w:szCs w:val="18"/>
              </w:rPr>
              <w:t>、</w:t>
            </w:r>
            <w:r>
              <w:rPr>
                <w:rFonts w:ascii="Arial" w:hAnsi="Arial" w:cs="Arial"/>
                <w:sz w:val="18"/>
                <w:szCs w:val="18"/>
              </w:rPr>
              <w:t>99</w:t>
            </w:r>
            <w:r>
              <w:rPr>
                <w:rFonts w:ascii="Arial" w:hAnsi="Arial" w:cs="Arial"/>
                <w:sz w:val="18"/>
                <w:szCs w:val="18"/>
              </w:rPr>
              <w:t>；</w:t>
            </w:r>
          </w:p>
        </w:tc>
      </w:tr>
      <w:tr w:rsidR="00771ECA" w14:paraId="11080B84" w14:textId="77777777">
        <w:trPr>
          <w:trHeight w:val="1148"/>
        </w:trPr>
        <w:tc>
          <w:tcPr>
            <w:tcW w:w="580" w:type="dxa"/>
            <w:vMerge/>
            <w:tcBorders>
              <w:top w:val="single" w:sz="4" w:space="0" w:color="000000"/>
              <w:left w:val="single" w:sz="4" w:space="0" w:color="000000"/>
            </w:tcBorders>
            <w:shd w:val="clear" w:color="auto" w:fill="auto"/>
            <w:vAlign w:val="center"/>
          </w:tcPr>
          <w:p w14:paraId="15D3C1BA" w14:textId="77777777" w:rsidR="00771ECA" w:rsidRDefault="00771ECA">
            <w:pPr>
              <w:widowControl/>
              <w:snapToGrid w:val="0"/>
              <w:spacing w:line="240" w:lineRule="auto"/>
              <w:textAlignment w:val="auto"/>
              <w:rPr>
                <w:rFonts w:ascii="Arial" w:hAnsi="Arial" w:cs="Arial"/>
                <w:sz w:val="18"/>
                <w:szCs w:val="18"/>
              </w:rPr>
            </w:pPr>
          </w:p>
        </w:tc>
        <w:tc>
          <w:tcPr>
            <w:tcW w:w="955" w:type="dxa"/>
            <w:tcBorders>
              <w:left w:val="single" w:sz="4" w:space="0" w:color="000000"/>
              <w:bottom w:val="single" w:sz="4" w:space="0" w:color="000000"/>
            </w:tcBorders>
            <w:shd w:val="clear" w:color="auto" w:fill="auto"/>
            <w:vAlign w:val="center"/>
          </w:tcPr>
          <w:p w14:paraId="77BBB956"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居住管理</w:t>
            </w:r>
          </w:p>
        </w:tc>
        <w:tc>
          <w:tcPr>
            <w:tcW w:w="1000" w:type="dxa"/>
            <w:tcBorders>
              <w:left w:val="single" w:sz="4" w:space="0" w:color="000000"/>
              <w:bottom w:val="single" w:sz="4" w:space="0" w:color="000000"/>
            </w:tcBorders>
            <w:shd w:val="clear" w:color="auto" w:fill="auto"/>
            <w:vAlign w:val="center"/>
          </w:tcPr>
          <w:p w14:paraId="77C1FDF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6839ECE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1000" w:type="dxa"/>
            <w:tcBorders>
              <w:left w:val="single" w:sz="4" w:space="0" w:color="000000"/>
              <w:bottom w:val="single" w:sz="4" w:space="0" w:color="000000"/>
            </w:tcBorders>
            <w:shd w:val="clear" w:color="auto" w:fill="auto"/>
            <w:vAlign w:val="center"/>
          </w:tcPr>
          <w:p w14:paraId="1141A4CC"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997" w:type="dxa"/>
            <w:tcBorders>
              <w:left w:val="single" w:sz="4" w:space="0" w:color="000000"/>
              <w:bottom w:val="single" w:sz="4" w:space="0" w:color="000000"/>
            </w:tcBorders>
            <w:shd w:val="clear" w:color="auto" w:fill="auto"/>
            <w:vAlign w:val="center"/>
          </w:tcPr>
          <w:p w14:paraId="1E5BE1E8"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3767" w:type="dxa"/>
            <w:tcBorders>
              <w:left w:val="single" w:sz="4" w:space="0" w:color="000000"/>
              <w:bottom w:val="single" w:sz="4" w:space="0" w:color="000000"/>
              <w:right w:val="single" w:sz="4" w:space="0" w:color="000000"/>
            </w:tcBorders>
            <w:shd w:val="clear" w:color="auto" w:fill="auto"/>
            <w:vAlign w:val="center"/>
          </w:tcPr>
          <w:p w14:paraId="45F632CF" w14:textId="77777777" w:rsidR="00771ECA" w:rsidRDefault="00000000">
            <w:pPr>
              <w:widowControl/>
              <w:spacing w:line="240" w:lineRule="auto"/>
              <w:textAlignment w:val="auto"/>
            </w:pPr>
            <w:r>
              <w:rPr>
                <w:rFonts w:ascii="Arial" w:hAnsi="Arial" w:cs="Arial"/>
                <w:sz w:val="18"/>
                <w:szCs w:val="18"/>
              </w:rPr>
              <w:t>根据居住管理对其价值的影响，</w:t>
            </w:r>
            <w:r>
              <w:rPr>
                <w:rFonts w:ascii="华文细黑" w:eastAsia="华文细黑" w:hAnsi="华文细黑" w:cs="华文细黑"/>
                <w:sz w:val="18"/>
                <w:szCs w:val="18"/>
              </w:rPr>
              <w:t>从好到差划分为</w:t>
            </w:r>
            <w:r>
              <w:rPr>
                <w:rFonts w:cs="仿宋"/>
                <w:spacing w:val="-5"/>
                <w:sz w:val="18"/>
              </w:rPr>
              <w:t>有专业管理人员配置，房屋住户均有备案、有管理人员配置，房屋住户备案较少、无管理人员配置三</w:t>
            </w:r>
            <w:r>
              <w:rPr>
                <w:rFonts w:ascii="华文细黑" w:eastAsia="华文细黑" w:hAnsi="华文细黑" w:cs="华文细黑"/>
                <w:sz w:val="18"/>
                <w:szCs w:val="18"/>
              </w:rPr>
              <w:t>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Pr>
                <w:rFonts w:ascii="Arial" w:hAnsi="Arial" w:cs="Arial"/>
                <w:sz w:val="18"/>
                <w:szCs w:val="18"/>
              </w:rPr>
              <w:t>99</w:t>
            </w:r>
            <w:r>
              <w:rPr>
                <w:rFonts w:ascii="Arial" w:hAnsi="Arial" w:cs="Arial"/>
                <w:sz w:val="18"/>
                <w:szCs w:val="18"/>
              </w:rPr>
              <w:t>、</w:t>
            </w:r>
            <w:r>
              <w:rPr>
                <w:rFonts w:ascii="Arial" w:hAnsi="Arial" w:cs="Arial"/>
                <w:sz w:val="18"/>
                <w:szCs w:val="18"/>
              </w:rPr>
              <w:t>99</w:t>
            </w:r>
            <w:r>
              <w:rPr>
                <w:rFonts w:ascii="Arial" w:hAnsi="Arial" w:cs="Arial"/>
                <w:sz w:val="18"/>
                <w:szCs w:val="18"/>
              </w:rPr>
              <w:t>；</w:t>
            </w:r>
          </w:p>
        </w:tc>
      </w:tr>
      <w:tr w:rsidR="00771ECA" w14:paraId="7AF908ED" w14:textId="77777777">
        <w:trPr>
          <w:trHeight w:val="1220"/>
        </w:trPr>
        <w:tc>
          <w:tcPr>
            <w:tcW w:w="580" w:type="dxa"/>
            <w:vMerge/>
            <w:tcBorders>
              <w:top w:val="single" w:sz="4" w:space="0" w:color="000000"/>
              <w:left w:val="single" w:sz="4" w:space="0" w:color="000000"/>
            </w:tcBorders>
            <w:shd w:val="clear" w:color="auto" w:fill="auto"/>
            <w:vAlign w:val="center"/>
          </w:tcPr>
          <w:p w14:paraId="7CAE7209" w14:textId="77777777" w:rsidR="00771ECA" w:rsidRDefault="00771ECA">
            <w:pPr>
              <w:widowControl/>
              <w:snapToGrid w:val="0"/>
              <w:spacing w:line="240" w:lineRule="auto"/>
              <w:textAlignment w:val="auto"/>
              <w:rPr>
                <w:rFonts w:ascii="Arial" w:hAnsi="Arial" w:cs="Arial"/>
                <w:sz w:val="18"/>
                <w:szCs w:val="18"/>
              </w:rPr>
            </w:pPr>
          </w:p>
        </w:tc>
        <w:tc>
          <w:tcPr>
            <w:tcW w:w="955" w:type="dxa"/>
            <w:tcBorders>
              <w:left w:val="single" w:sz="4" w:space="0" w:color="000000"/>
              <w:bottom w:val="single" w:sz="4" w:space="0" w:color="000000"/>
            </w:tcBorders>
            <w:shd w:val="clear" w:color="auto" w:fill="auto"/>
            <w:vAlign w:val="center"/>
          </w:tcPr>
          <w:p w14:paraId="4B59AE1E"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户型</w:t>
            </w:r>
          </w:p>
        </w:tc>
        <w:tc>
          <w:tcPr>
            <w:tcW w:w="1000" w:type="dxa"/>
            <w:tcBorders>
              <w:left w:val="single" w:sz="4" w:space="0" w:color="000000"/>
              <w:bottom w:val="single" w:sz="4" w:space="0" w:color="000000"/>
            </w:tcBorders>
            <w:shd w:val="clear" w:color="auto" w:fill="auto"/>
            <w:vAlign w:val="center"/>
          </w:tcPr>
          <w:p w14:paraId="4A798FA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348838C8"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1000" w:type="dxa"/>
            <w:tcBorders>
              <w:left w:val="single" w:sz="4" w:space="0" w:color="000000"/>
              <w:bottom w:val="single" w:sz="4" w:space="0" w:color="000000"/>
            </w:tcBorders>
            <w:shd w:val="clear" w:color="auto" w:fill="auto"/>
            <w:vAlign w:val="center"/>
          </w:tcPr>
          <w:p w14:paraId="68F71EF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left w:val="single" w:sz="4" w:space="0" w:color="000000"/>
              <w:bottom w:val="single" w:sz="4" w:space="0" w:color="000000"/>
            </w:tcBorders>
            <w:shd w:val="clear" w:color="auto" w:fill="auto"/>
            <w:vAlign w:val="center"/>
          </w:tcPr>
          <w:p w14:paraId="6B6B6FB9"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left w:val="single" w:sz="4" w:space="0" w:color="000000"/>
              <w:bottom w:val="single" w:sz="4" w:space="0" w:color="000000"/>
              <w:right w:val="single" w:sz="4" w:space="0" w:color="000000"/>
            </w:tcBorders>
            <w:shd w:val="clear" w:color="auto" w:fill="auto"/>
            <w:vAlign w:val="center"/>
          </w:tcPr>
          <w:p w14:paraId="13A9FA6E" w14:textId="77777777" w:rsidR="00771ECA" w:rsidRDefault="00000000">
            <w:pPr>
              <w:widowControl/>
              <w:spacing w:line="240" w:lineRule="auto"/>
              <w:textAlignment w:val="auto"/>
            </w:pPr>
            <w:r>
              <w:rPr>
                <w:rFonts w:ascii="Arial" w:hAnsi="Arial" w:cs="Arial"/>
                <w:sz w:val="18"/>
                <w:szCs w:val="18"/>
              </w:rPr>
              <w:t>根据户型对其价值的影响，分开间或一居室、二居室、三居室。</w:t>
            </w:r>
            <w:commentRangeStart w:id="50"/>
            <w:r>
              <w:rPr>
                <w:rFonts w:ascii="Arial" w:hAnsi="Arial" w:cs="Arial"/>
                <w:sz w:val="18"/>
                <w:szCs w:val="18"/>
              </w:rPr>
              <w:t>同样面积的户型越大利用约充分。</w:t>
            </w:r>
            <w:commentRangeEnd w:id="50"/>
            <w:r w:rsidR="00B3235C">
              <w:rPr>
                <w:rStyle w:val="a7"/>
              </w:rPr>
              <w:commentReference w:id="50"/>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102</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6B8AC027" w14:textId="77777777">
        <w:trPr>
          <w:trHeight w:val="1793"/>
        </w:trPr>
        <w:tc>
          <w:tcPr>
            <w:tcW w:w="580" w:type="dxa"/>
            <w:vMerge/>
            <w:tcBorders>
              <w:top w:val="single" w:sz="4" w:space="0" w:color="000000"/>
              <w:left w:val="single" w:sz="4" w:space="0" w:color="000000"/>
            </w:tcBorders>
            <w:shd w:val="clear" w:color="auto" w:fill="auto"/>
            <w:vAlign w:val="center"/>
          </w:tcPr>
          <w:p w14:paraId="3ED86A6D" w14:textId="77777777" w:rsidR="00771ECA" w:rsidRDefault="00771ECA">
            <w:pPr>
              <w:widowControl/>
              <w:snapToGrid w:val="0"/>
              <w:spacing w:line="240" w:lineRule="auto"/>
              <w:textAlignment w:val="auto"/>
              <w:rPr>
                <w:rFonts w:ascii="Arial" w:hAnsi="Arial" w:cs="Arial"/>
                <w:sz w:val="18"/>
                <w:szCs w:val="18"/>
              </w:rPr>
            </w:pPr>
          </w:p>
        </w:tc>
        <w:tc>
          <w:tcPr>
            <w:tcW w:w="955" w:type="dxa"/>
            <w:tcBorders>
              <w:left w:val="single" w:sz="4" w:space="0" w:color="000000"/>
              <w:bottom w:val="single" w:sz="4" w:space="0" w:color="000000"/>
            </w:tcBorders>
            <w:shd w:val="clear" w:color="auto" w:fill="auto"/>
            <w:vAlign w:val="center"/>
          </w:tcPr>
          <w:p w14:paraId="0F77BB08"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朝向</w:t>
            </w:r>
          </w:p>
        </w:tc>
        <w:tc>
          <w:tcPr>
            <w:tcW w:w="1000" w:type="dxa"/>
            <w:tcBorders>
              <w:left w:val="single" w:sz="4" w:space="0" w:color="000000"/>
              <w:bottom w:val="single" w:sz="4" w:space="0" w:color="000000"/>
            </w:tcBorders>
            <w:shd w:val="clear" w:color="auto" w:fill="auto"/>
            <w:vAlign w:val="center"/>
          </w:tcPr>
          <w:p w14:paraId="7F4ED6C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0E937FD2"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1000" w:type="dxa"/>
            <w:tcBorders>
              <w:left w:val="single" w:sz="4" w:space="0" w:color="000000"/>
              <w:bottom w:val="single" w:sz="4" w:space="0" w:color="000000"/>
            </w:tcBorders>
            <w:shd w:val="clear" w:color="auto" w:fill="auto"/>
            <w:vAlign w:val="center"/>
          </w:tcPr>
          <w:p w14:paraId="4B9B4CD1"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997" w:type="dxa"/>
            <w:tcBorders>
              <w:left w:val="single" w:sz="4" w:space="0" w:color="000000"/>
              <w:bottom w:val="single" w:sz="4" w:space="0" w:color="000000"/>
            </w:tcBorders>
            <w:shd w:val="clear" w:color="auto" w:fill="auto"/>
            <w:vAlign w:val="center"/>
          </w:tcPr>
          <w:p w14:paraId="1FDECA3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3767" w:type="dxa"/>
            <w:tcBorders>
              <w:left w:val="single" w:sz="4" w:space="0" w:color="000000"/>
              <w:bottom w:val="single" w:sz="4" w:space="0" w:color="000000"/>
              <w:right w:val="single" w:sz="4" w:space="0" w:color="000000"/>
            </w:tcBorders>
            <w:shd w:val="clear" w:color="auto" w:fill="auto"/>
            <w:vAlign w:val="center"/>
          </w:tcPr>
          <w:p w14:paraId="4101579C" w14:textId="77777777" w:rsidR="00771ECA" w:rsidRDefault="00000000">
            <w:pPr>
              <w:widowControl/>
              <w:spacing w:line="240" w:lineRule="auto"/>
              <w:textAlignment w:val="auto"/>
            </w:pPr>
            <w:r>
              <w:rPr>
                <w:rFonts w:ascii="Arial" w:hAnsi="Arial" w:cs="Arial"/>
                <w:sz w:val="18"/>
                <w:szCs w:val="18"/>
              </w:rPr>
              <w:t>根据户型对其价值的影响，从好到差划分为好、较好、一般、较差、差五个等级。南北通透，多数房间、通风、采光好，好；朝向较好（南），能保证较长时间的采光，通风较好，较好；</w:t>
            </w:r>
            <w:r>
              <w:rPr>
                <w:rFonts w:ascii="宋体;SimSun" w:hAnsi="宋体;SimSun" w:cs="Arial"/>
                <w:sz w:val="18"/>
              </w:rPr>
              <w:t>朝向一般，能保证一定时间的采光，通风一般，一般</w:t>
            </w:r>
            <w:r>
              <w:rPr>
                <w:rFonts w:ascii="Arial" w:hAnsi="Arial" w:cs="Arial"/>
                <w:sz w:val="18"/>
                <w:szCs w:val="18"/>
              </w:rPr>
              <w:t>；采光时间较短、通风不良，较差；没有采光、不通风，差。以估价对象该因素指数为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102</w:t>
            </w:r>
            <w:r>
              <w:rPr>
                <w:rFonts w:ascii="Arial" w:hAnsi="Arial" w:cs="Arial"/>
                <w:sz w:val="18"/>
                <w:szCs w:val="18"/>
              </w:rPr>
              <w:t>、</w:t>
            </w:r>
            <w:r>
              <w:rPr>
                <w:rFonts w:ascii="Arial" w:hAnsi="Arial" w:cs="Arial"/>
                <w:sz w:val="18"/>
                <w:szCs w:val="18"/>
              </w:rPr>
              <w:t>102</w:t>
            </w:r>
            <w:r>
              <w:rPr>
                <w:rFonts w:ascii="Arial" w:hAnsi="Arial" w:cs="Arial"/>
                <w:sz w:val="18"/>
                <w:szCs w:val="18"/>
              </w:rPr>
              <w:t>、</w:t>
            </w:r>
            <w:r>
              <w:rPr>
                <w:rFonts w:ascii="Arial" w:hAnsi="Arial" w:cs="Arial"/>
                <w:sz w:val="18"/>
                <w:szCs w:val="18"/>
              </w:rPr>
              <w:t>102</w:t>
            </w:r>
            <w:r>
              <w:rPr>
                <w:rFonts w:ascii="Arial" w:hAnsi="Arial" w:cs="Arial"/>
                <w:sz w:val="18"/>
                <w:szCs w:val="18"/>
              </w:rPr>
              <w:t>；</w:t>
            </w:r>
          </w:p>
        </w:tc>
      </w:tr>
      <w:tr w:rsidR="00771ECA" w14:paraId="27B57F96" w14:textId="77777777">
        <w:trPr>
          <w:trHeight w:val="870"/>
        </w:trPr>
        <w:tc>
          <w:tcPr>
            <w:tcW w:w="580" w:type="dxa"/>
            <w:vMerge/>
            <w:tcBorders>
              <w:top w:val="single" w:sz="4" w:space="0" w:color="000000"/>
              <w:left w:val="single" w:sz="4" w:space="0" w:color="000000"/>
            </w:tcBorders>
            <w:shd w:val="clear" w:color="auto" w:fill="auto"/>
            <w:vAlign w:val="center"/>
          </w:tcPr>
          <w:p w14:paraId="44FA991F" w14:textId="77777777" w:rsidR="00771ECA" w:rsidRDefault="00771ECA">
            <w:pPr>
              <w:widowControl/>
              <w:snapToGrid w:val="0"/>
              <w:spacing w:line="240" w:lineRule="auto"/>
              <w:textAlignment w:val="auto"/>
              <w:rPr>
                <w:rFonts w:ascii="Arial" w:hAnsi="Arial" w:cs="Arial"/>
                <w:sz w:val="18"/>
                <w:szCs w:val="18"/>
              </w:rPr>
            </w:pPr>
          </w:p>
        </w:tc>
        <w:tc>
          <w:tcPr>
            <w:tcW w:w="955" w:type="dxa"/>
            <w:tcBorders>
              <w:top w:val="single" w:sz="4" w:space="0" w:color="000000"/>
              <w:left w:val="single" w:sz="4" w:space="0" w:color="000000"/>
              <w:bottom w:val="single" w:sz="4" w:space="0" w:color="000000"/>
            </w:tcBorders>
            <w:shd w:val="clear" w:color="auto" w:fill="auto"/>
            <w:vAlign w:val="center"/>
          </w:tcPr>
          <w:p w14:paraId="5CD104F7"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装修</w:t>
            </w:r>
          </w:p>
        </w:tc>
        <w:tc>
          <w:tcPr>
            <w:tcW w:w="1000" w:type="dxa"/>
            <w:tcBorders>
              <w:top w:val="single" w:sz="4" w:space="0" w:color="000000"/>
              <w:left w:val="single" w:sz="4" w:space="0" w:color="000000"/>
              <w:bottom w:val="single" w:sz="4" w:space="0" w:color="000000"/>
            </w:tcBorders>
            <w:shd w:val="clear" w:color="auto" w:fill="auto"/>
            <w:vAlign w:val="center"/>
          </w:tcPr>
          <w:p w14:paraId="59B8553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top w:val="single" w:sz="4" w:space="0" w:color="000000"/>
              <w:left w:val="single" w:sz="4" w:space="0" w:color="000000"/>
              <w:bottom w:val="single" w:sz="4" w:space="0" w:color="000000"/>
            </w:tcBorders>
            <w:shd w:val="clear" w:color="auto" w:fill="auto"/>
            <w:vAlign w:val="center"/>
          </w:tcPr>
          <w:p w14:paraId="0FAAF961"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1000" w:type="dxa"/>
            <w:tcBorders>
              <w:top w:val="single" w:sz="4" w:space="0" w:color="000000"/>
              <w:left w:val="single" w:sz="4" w:space="0" w:color="000000"/>
              <w:bottom w:val="single" w:sz="4" w:space="0" w:color="000000"/>
            </w:tcBorders>
            <w:shd w:val="clear" w:color="auto" w:fill="auto"/>
            <w:vAlign w:val="center"/>
          </w:tcPr>
          <w:p w14:paraId="2D2DA727"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997" w:type="dxa"/>
            <w:tcBorders>
              <w:top w:val="single" w:sz="4" w:space="0" w:color="000000"/>
              <w:left w:val="single" w:sz="4" w:space="0" w:color="000000"/>
              <w:bottom w:val="single" w:sz="4" w:space="0" w:color="000000"/>
            </w:tcBorders>
            <w:shd w:val="clear" w:color="auto" w:fill="auto"/>
            <w:vAlign w:val="center"/>
          </w:tcPr>
          <w:p w14:paraId="4B723D6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3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9DDF9" w14:textId="77777777" w:rsidR="00771ECA" w:rsidRDefault="00000000">
            <w:pPr>
              <w:widowControl/>
              <w:spacing w:line="240" w:lineRule="auto"/>
              <w:textAlignment w:val="auto"/>
            </w:pPr>
            <w:r>
              <w:rPr>
                <w:rFonts w:ascii="Arial" w:hAnsi="Arial" w:cs="Arial"/>
                <w:sz w:val="18"/>
                <w:szCs w:val="18"/>
              </w:rPr>
              <w:t>根据装修对其价值的影响，从好到差划分为好、较好、一般、较差、差五个等级。装修用材环保，经过精心设计，提升居住体验，好；装修用村环保、与居住功能相适用，普通装修，较好；简单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p>
        </w:tc>
      </w:tr>
      <w:tr w:rsidR="00771ECA" w14:paraId="05DDEDDC" w14:textId="77777777">
        <w:trPr>
          <w:trHeight w:val="763"/>
        </w:trPr>
        <w:tc>
          <w:tcPr>
            <w:tcW w:w="580" w:type="dxa"/>
            <w:vMerge/>
            <w:tcBorders>
              <w:top w:val="single" w:sz="4" w:space="0" w:color="000000"/>
              <w:left w:val="single" w:sz="4" w:space="0" w:color="000000"/>
            </w:tcBorders>
            <w:shd w:val="clear" w:color="auto" w:fill="auto"/>
            <w:vAlign w:val="center"/>
          </w:tcPr>
          <w:p w14:paraId="78EC6725" w14:textId="77777777" w:rsidR="00771ECA" w:rsidRDefault="00771ECA">
            <w:pPr>
              <w:widowControl/>
              <w:snapToGrid w:val="0"/>
              <w:spacing w:line="240" w:lineRule="auto"/>
              <w:textAlignment w:val="auto"/>
              <w:rPr>
                <w:rFonts w:ascii="Arial" w:hAnsi="Arial" w:cs="Arial"/>
                <w:sz w:val="18"/>
                <w:szCs w:val="18"/>
              </w:rPr>
            </w:pPr>
          </w:p>
        </w:tc>
        <w:tc>
          <w:tcPr>
            <w:tcW w:w="955" w:type="dxa"/>
            <w:tcBorders>
              <w:top w:val="single" w:sz="4" w:space="0" w:color="000000"/>
              <w:left w:val="single" w:sz="4" w:space="0" w:color="000000"/>
              <w:bottom w:val="single" w:sz="4" w:space="0" w:color="000000"/>
            </w:tcBorders>
            <w:shd w:val="clear" w:color="auto" w:fill="auto"/>
            <w:vAlign w:val="center"/>
          </w:tcPr>
          <w:p w14:paraId="203DE57D"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标准房面积</w:t>
            </w:r>
          </w:p>
        </w:tc>
        <w:tc>
          <w:tcPr>
            <w:tcW w:w="1000" w:type="dxa"/>
            <w:tcBorders>
              <w:top w:val="single" w:sz="4" w:space="0" w:color="000000"/>
              <w:left w:val="single" w:sz="4" w:space="0" w:color="000000"/>
              <w:bottom w:val="single" w:sz="4" w:space="0" w:color="000000"/>
            </w:tcBorders>
            <w:shd w:val="clear" w:color="auto" w:fill="auto"/>
            <w:vAlign w:val="center"/>
          </w:tcPr>
          <w:p w14:paraId="0199A762"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top w:val="single" w:sz="4" w:space="0" w:color="000000"/>
              <w:left w:val="single" w:sz="4" w:space="0" w:color="000000"/>
              <w:bottom w:val="single" w:sz="4" w:space="0" w:color="000000"/>
            </w:tcBorders>
            <w:shd w:val="clear" w:color="auto" w:fill="auto"/>
            <w:vAlign w:val="center"/>
          </w:tcPr>
          <w:p w14:paraId="7EB70C3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1000" w:type="dxa"/>
            <w:tcBorders>
              <w:top w:val="single" w:sz="4" w:space="0" w:color="000000"/>
              <w:left w:val="single" w:sz="4" w:space="0" w:color="000000"/>
              <w:bottom w:val="single" w:sz="4" w:space="0" w:color="000000"/>
            </w:tcBorders>
            <w:shd w:val="clear" w:color="auto" w:fill="auto"/>
            <w:vAlign w:val="center"/>
          </w:tcPr>
          <w:p w14:paraId="4F5C0A2C"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top w:val="single" w:sz="4" w:space="0" w:color="000000"/>
              <w:left w:val="single" w:sz="4" w:space="0" w:color="000000"/>
              <w:bottom w:val="single" w:sz="4" w:space="0" w:color="000000"/>
            </w:tcBorders>
            <w:shd w:val="clear" w:color="auto" w:fill="auto"/>
            <w:vAlign w:val="center"/>
          </w:tcPr>
          <w:p w14:paraId="18FF12E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5D8E1" w14:textId="77777777" w:rsidR="00771ECA" w:rsidRDefault="00000000">
            <w:pPr>
              <w:widowControl/>
              <w:spacing w:line="240" w:lineRule="auto"/>
              <w:textAlignment w:val="auto"/>
              <w:rPr>
                <w:rFonts w:ascii="Arial" w:hAnsi="Arial" w:cs="Arial"/>
                <w:sz w:val="18"/>
                <w:szCs w:val="18"/>
              </w:rPr>
            </w:pPr>
            <w:commentRangeStart w:id="51"/>
            <w:r>
              <w:rPr>
                <w:rFonts w:ascii="Arial" w:hAnsi="Arial" w:cs="Arial"/>
                <w:sz w:val="18"/>
                <w:szCs w:val="18"/>
              </w:rPr>
              <w:t>根据面积大小对价值的影响，面积越大，价值越小，据此以估价对象为</w:t>
            </w:r>
            <w:r>
              <w:rPr>
                <w:rFonts w:ascii="Arial" w:hAnsi="Arial" w:cs="Arial"/>
                <w:sz w:val="18"/>
                <w:szCs w:val="18"/>
              </w:rPr>
              <w:t>100</w:t>
            </w:r>
            <w:r>
              <w:rPr>
                <w:rFonts w:ascii="Arial" w:hAnsi="Arial" w:cs="Arial"/>
                <w:sz w:val="18"/>
                <w:szCs w:val="18"/>
              </w:rPr>
              <w:t>，则该因素指数分别为</w:t>
            </w:r>
            <w:r>
              <w:rPr>
                <w:rFonts w:ascii="Arial" w:hAnsi="Arial" w:cs="Arial"/>
                <w:sz w:val="18"/>
                <w:szCs w:val="18"/>
              </w:rPr>
              <w:t>99</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commentRangeEnd w:id="51"/>
            <w:r w:rsidR="00B3235C">
              <w:rPr>
                <w:rStyle w:val="a7"/>
              </w:rPr>
              <w:commentReference w:id="51"/>
            </w:r>
          </w:p>
        </w:tc>
      </w:tr>
      <w:tr w:rsidR="00771ECA" w14:paraId="20883169" w14:textId="77777777">
        <w:trPr>
          <w:trHeight w:val="870"/>
        </w:trPr>
        <w:tc>
          <w:tcPr>
            <w:tcW w:w="580" w:type="dxa"/>
            <w:vMerge/>
            <w:tcBorders>
              <w:top w:val="single" w:sz="4" w:space="0" w:color="000000"/>
              <w:left w:val="single" w:sz="4" w:space="0" w:color="000000"/>
            </w:tcBorders>
            <w:shd w:val="clear" w:color="auto" w:fill="auto"/>
            <w:vAlign w:val="center"/>
          </w:tcPr>
          <w:p w14:paraId="2DFAB44A" w14:textId="77777777" w:rsidR="00771ECA" w:rsidRDefault="00771ECA">
            <w:pPr>
              <w:widowControl/>
              <w:snapToGrid w:val="0"/>
              <w:spacing w:line="240" w:lineRule="auto"/>
              <w:textAlignment w:val="auto"/>
              <w:rPr>
                <w:rFonts w:ascii="Arial" w:hAnsi="Arial" w:cs="Arial"/>
                <w:sz w:val="18"/>
                <w:szCs w:val="18"/>
              </w:rPr>
            </w:pPr>
          </w:p>
        </w:tc>
        <w:tc>
          <w:tcPr>
            <w:tcW w:w="955" w:type="dxa"/>
            <w:tcBorders>
              <w:top w:val="single" w:sz="4" w:space="0" w:color="000000"/>
              <w:left w:val="single" w:sz="4" w:space="0" w:color="000000"/>
              <w:bottom w:val="single" w:sz="4" w:space="0" w:color="000000"/>
            </w:tcBorders>
            <w:shd w:val="clear" w:color="auto" w:fill="auto"/>
            <w:vAlign w:val="center"/>
          </w:tcPr>
          <w:p w14:paraId="05E34A89"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设备</w:t>
            </w:r>
          </w:p>
        </w:tc>
        <w:tc>
          <w:tcPr>
            <w:tcW w:w="1000" w:type="dxa"/>
            <w:tcBorders>
              <w:top w:val="single" w:sz="4" w:space="0" w:color="000000"/>
              <w:left w:val="single" w:sz="4" w:space="0" w:color="000000"/>
              <w:bottom w:val="single" w:sz="4" w:space="0" w:color="000000"/>
            </w:tcBorders>
            <w:shd w:val="clear" w:color="auto" w:fill="auto"/>
            <w:vAlign w:val="center"/>
          </w:tcPr>
          <w:p w14:paraId="7BAF2077"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top w:val="single" w:sz="4" w:space="0" w:color="000000"/>
              <w:left w:val="single" w:sz="4" w:space="0" w:color="000000"/>
              <w:bottom w:val="single" w:sz="4" w:space="0" w:color="000000"/>
            </w:tcBorders>
            <w:shd w:val="clear" w:color="auto" w:fill="auto"/>
            <w:vAlign w:val="center"/>
          </w:tcPr>
          <w:p w14:paraId="087D6600"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98</w:t>
            </w:r>
          </w:p>
        </w:tc>
        <w:tc>
          <w:tcPr>
            <w:tcW w:w="1000" w:type="dxa"/>
            <w:tcBorders>
              <w:top w:val="single" w:sz="4" w:space="0" w:color="000000"/>
              <w:left w:val="single" w:sz="4" w:space="0" w:color="000000"/>
              <w:bottom w:val="single" w:sz="4" w:space="0" w:color="000000"/>
            </w:tcBorders>
            <w:shd w:val="clear" w:color="auto" w:fill="auto"/>
            <w:vAlign w:val="center"/>
          </w:tcPr>
          <w:p w14:paraId="4DBECFB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98</w:t>
            </w:r>
          </w:p>
        </w:tc>
        <w:tc>
          <w:tcPr>
            <w:tcW w:w="997" w:type="dxa"/>
            <w:tcBorders>
              <w:top w:val="single" w:sz="4" w:space="0" w:color="000000"/>
              <w:left w:val="single" w:sz="4" w:space="0" w:color="000000"/>
              <w:bottom w:val="single" w:sz="4" w:space="0" w:color="000000"/>
            </w:tcBorders>
            <w:shd w:val="clear" w:color="auto" w:fill="auto"/>
            <w:vAlign w:val="center"/>
          </w:tcPr>
          <w:p w14:paraId="2C335E6C"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98</w:t>
            </w:r>
          </w:p>
        </w:tc>
        <w:tc>
          <w:tcPr>
            <w:tcW w:w="3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A1EE3" w14:textId="77777777" w:rsidR="00771ECA" w:rsidRDefault="00000000">
            <w:pPr>
              <w:widowControl/>
              <w:spacing w:line="240" w:lineRule="auto"/>
              <w:textAlignment w:val="auto"/>
            </w:pPr>
            <w:r>
              <w:rPr>
                <w:rFonts w:ascii="Arial" w:hAnsi="Arial" w:cs="Arial"/>
                <w:sz w:val="18"/>
                <w:szCs w:val="18"/>
              </w:rPr>
              <w:t>根据设备对其价值的影响，从好到差划分为好、较好、一般、较差、差五个等级。</w:t>
            </w:r>
          </w:p>
          <w:p w14:paraId="043FD983" w14:textId="77777777" w:rsidR="00771ECA" w:rsidRDefault="00000000">
            <w:pPr>
              <w:widowControl/>
              <w:spacing w:line="240" w:lineRule="auto"/>
              <w:textAlignment w:val="auto"/>
              <w:rPr>
                <w:rFonts w:ascii="Arial" w:hAnsi="Arial" w:cs="Arial"/>
                <w:sz w:val="18"/>
                <w:szCs w:val="18"/>
              </w:rPr>
            </w:pPr>
            <w:r>
              <w:rPr>
                <w:rFonts w:ascii="Arial" w:hAnsi="Arial" w:cs="Arial"/>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p>
        </w:tc>
      </w:tr>
      <w:tr w:rsidR="00771ECA" w14:paraId="49A4894E" w14:textId="77777777">
        <w:trPr>
          <w:trHeight w:val="870"/>
        </w:trPr>
        <w:tc>
          <w:tcPr>
            <w:tcW w:w="580" w:type="dxa"/>
            <w:vMerge/>
            <w:tcBorders>
              <w:top w:val="single" w:sz="4" w:space="0" w:color="000000"/>
              <w:left w:val="single" w:sz="4" w:space="0" w:color="000000"/>
            </w:tcBorders>
            <w:shd w:val="clear" w:color="auto" w:fill="auto"/>
            <w:vAlign w:val="center"/>
          </w:tcPr>
          <w:p w14:paraId="23DC532D" w14:textId="77777777" w:rsidR="00771ECA" w:rsidRDefault="00771ECA">
            <w:pPr>
              <w:widowControl/>
              <w:snapToGrid w:val="0"/>
              <w:spacing w:line="240" w:lineRule="auto"/>
              <w:textAlignment w:val="auto"/>
              <w:rPr>
                <w:rFonts w:ascii="Arial" w:hAnsi="Arial" w:cs="Arial"/>
                <w:sz w:val="18"/>
                <w:szCs w:val="18"/>
              </w:rPr>
            </w:pPr>
          </w:p>
        </w:tc>
        <w:tc>
          <w:tcPr>
            <w:tcW w:w="955" w:type="dxa"/>
            <w:tcBorders>
              <w:top w:val="single" w:sz="4" w:space="0" w:color="000000"/>
              <w:left w:val="single" w:sz="4" w:space="0" w:color="000000"/>
              <w:bottom w:val="single" w:sz="4" w:space="0" w:color="000000"/>
            </w:tcBorders>
            <w:shd w:val="clear" w:color="auto" w:fill="auto"/>
            <w:vAlign w:val="center"/>
          </w:tcPr>
          <w:p w14:paraId="566FAA81"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成新度</w:t>
            </w:r>
          </w:p>
        </w:tc>
        <w:tc>
          <w:tcPr>
            <w:tcW w:w="1000" w:type="dxa"/>
            <w:tcBorders>
              <w:top w:val="single" w:sz="4" w:space="0" w:color="000000"/>
              <w:left w:val="single" w:sz="4" w:space="0" w:color="000000"/>
              <w:bottom w:val="single" w:sz="4" w:space="0" w:color="000000"/>
            </w:tcBorders>
            <w:shd w:val="clear" w:color="auto" w:fill="auto"/>
            <w:vAlign w:val="center"/>
          </w:tcPr>
          <w:p w14:paraId="14ED09C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top w:val="single" w:sz="4" w:space="0" w:color="000000"/>
              <w:left w:val="single" w:sz="4" w:space="0" w:color="000000"/>
              <w:bottom w:val="single" w:sz="4" w:space="0" w:color="000000"/>
            </w:tcBorders>
            <w:shd w:val="clear" w:color="auto" w:fill="auto"/>
            <w:vAlign w:val="center"/>
          </w:tcPr>
          <w:p w14:paraId="649DEFB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top w:val="single" w:sz="4" w:space="0" w:color="000000"/>
              <w:left w:val="single" w:sz="4" w:space="0" w:color="000000"/>
              <w:bottom w:val="single" w:sz="4" w:space="0" w:color="000000"/>
            </w:tcBorders>
            <w:shd w:val="clear" w:color="auto" w:fill="auto"/>
            <w:vAlign w:val="center"/>
          </w:tcPr>
          <w:p w14:paraId="1A02FF9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top w:val="single" w:sz="4" w:space="0" w:color="000000"/>
              <w:left w:val="single" w:sz="4" w:space="0" w:color="000000"/>
              <w:bottom w:val="single" w:sz="4" w:space="0" w:color="000000"/>
            </w:tcBorders>
            <w:shd w:val="clear" w:color="auto" w:fill="auto"/>
            <w:vAlign w:val="center"/>
          </w:tcPr>
          <w:p w14:paraId="0013830C"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71245" w14:textId="77777777" w:rsidR="00771ECA" w:rsidRDefault="00000000">
            <w:pPr>
              <w:widowControl/>
              <w:spacing w:line="240" w:lineRule="auto"/>
              <w:textAlignment w:val="auto"/>
              <w:rPr>
                <w:rFonts w:ascii="Arial" w:hAnsi="Arial" w:cs="Arial"/>
                <w:sz w:val="18"/>
                <w:szCs w:val="18"/>
              </w:rPr>
            </w:pPr>
            <w:r>
              <w:rPr>
                <w:rFonts w:ascii="Arial" w:hAnsi="Arial" w:cs="Arial"/>
                <w:sz w:val="18"/>
                <w:szCs w:val="18"/>
              </w:rPr>
              <w:t>根据建成年代确定成新度，分为</w:t>
            </w:r>
            <w:r>
              <w:rPr>
                <w:rFonts w:ascii="Arial" w:hAnsi="Arial" w:cs="Arial"/>
                <w:sz w:val="18"/>
                <w:szCs w:val="18"/>
              </w:rPr>
              <w:t>90%-100%</w:t>
            </w:r>
            <w:r>
              <w:rPr>
                <w:rFonts w:ascii="Arial" w:hAnsi="Arial" w:cs="Arial"/>
                <w:sz w:val="18"/>
                <w:szCs w:val="18"/>
              </w:rPr>
              <w:t>（含）、</w:t>
            </w:r>
            <w:r>
              <w:rPr>
                <w:rFonts w:ascii="Arial" w:hAnsi="Arial" w:cs="Arial"/>
                <w:sz w:val="18"/>
                <w:szCs w:val="18"/>
              </w:rPr>
              <w:t>80%-90%</w:t>
            </w:r>
            <w:r>
              <w:rPr>
                <w:rFonts w:ascii="Arial" w:hAnsi="Arial" w:cs="Arial"/>
                <w:sz w:val="18"/>
                <w:szCs w:val="18"/>
              </w:rPr>
              <w:t>（含）、</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（含）以下共</w:t>
            </w:r>
            <w:r>
              <w:rPr>
                <w:rFonts w:ascii="Arial" w:hAnsi="Arial" w:cs="Arial"/>
                <w:sz w:val="18"/>
                <w:szCs w:val="18"/>
              </w:rPr>
              <w:t>5</w:t>
            </w:r>
            <w:r>
              <w:rPr>
                <w:rFonts w:ascii="Arial" w:hAnsi="Arial" w:cs="Arial"/>
                <w:sz w:val="18"/>
                <w:szCs w:val="18"/>
              </w:rPr>
              <w:t>档。以估价对象该因素指数为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7FE97D70" w14:textId="77777777">
        <w:trPr>
          <w:trHeight w:val="870"/>
        </w:trPr>
        <w:tc>
          <w:tcPr>
            <w:tcW w:w="580" w:type="dxa"/>
            <w:vMerge/>
            <w:tcBorders>
              <w:top w:val="single" w:sz="4" w:space="0" w:color="000000"/>
              <w:left w:val="single" w:sz="4" w:space="0" w:color="000000"/>
            </w:tcBorders>
            <w:shd w:val="clear" w:color="auto" w:fill="auto"/>
            <w:vAlign w:val="center"/>
          </w:tcPr>
          <w:p w14:paraId="48344B39" w14:textId="77777777" w:rsidR="00771ECA" w:rsidRDefault="00771ECA">
            <w:pPr>
              <w:widowControl/>
              <w:snapToGrid w:val="0"/>
              <w:spacing w:line="240" w:lineRule="auto"/>
              <w:textAlignment w:val="auto"/>
              <w:rPr>
                <w:rFonts w:ascii="Arial" w:hAnsi="Arial" w:cs="Arial"/>
                <w:sz w:val="18"/>
                <w:szCs w:val="18"/>
              </w:rPr>
            </w:pPr>
          </w:p>
        </w:tc>
        <w:tc>
          <w:tcPr>
            <w:tcW w:w="955" w:type="dxa"/>
            <w:tcBorders>
              <w:top w:val="single" w:sz="4" w:space="0" w:color="000000"/>
              <w:left w:val="single" w:sz="4" w:space="0" w:color="000000"/>
              <w:bottom w:val="single" w:sz="4" w:space="0" w:color="000000"/>
            </w:tcBorders>
            <w:shd w:val="clear" w:color="auto" w:fill="auto"/>
            <w:vAlign w:val="center"/>
          </w:tcPr>
          <w:p w14:paraId="1936A1D3"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有无电梯</w:t>
            </w:r>
          </w:p>
        </w:tc>
        <w:tc>
          <w:tcPr>
            <w:tcW w:w="1000" w:type="dxa"/>
            <w:tcBorders>
              <w:top w:val="single" w:sz="4" w:space="0" w:color="000000"/>
              <w:left w:val="single" w:sz="4" w:space="0" w:color="000000"/>
              <w:bottom w:val="single" w:sz="4" w:space="0" w:color="000000"/>
            </w:tcBorders>
            <w:shd w:val="clear" w:color="auto" w:fill="auto"/>
            <w:vAlign w:val="center"/>
          </w:tcPr>
          <w:p w14:paraId="5FEAE681"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top w:val="single" w:sz="4" w:space="0" w:color="000000"/>
              <w:left w:val="single" w:sz="4" w:space="0" w:color="000000"/>
              <w:bottom w:val="single" w:sz="4" w:space="0" w:color="000000"/>
            </w:tcBorders>
            <w:shd w:val="clear" w:color="auto" w:fill="auto"/>
            <w:vAlign w:val="center"/>
          </w:tcPr>
          <w:p w14:paraId="5199CE4F"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1000" w:type="dxa"/>
            <w:tcBorders>
              <w:top w:val="single" w:sz="4" w:space="0" w:color="000000"/>
              <w:left w:val="single" w:sz="4" w:space="0" w:color="000000"/>
              <w:bottom w:val="single" w:sz="4" w:space="0" w:color="000000"/>
            </w:tcBorders>
            <w:shd w:val="clear" w:color="auto" w:fill="auto"/>
            <w:vAlign w:val="center"/>
          </w:tcPr>
          <w:p w14:paraId="148C98A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7" w:type="dxa"/>
            <w:tcBorders>
              <w:top w:val="single" w:sz="4" w:space="0" w:color="000000"/>
              <w:left w:val="single" w:sz="4" w:space="0" w:color="000000"/>
              <w:bottom w:val="single" w:sz="4" w:space="0" w:color="000000"/>
            </w:tcBorders>
            <w:shd w:val="clear" w:color="auto" w:fill="auto"/>
            <w:vAlign w:val="center"/>
          </w:tcPr>
          <w:p w14:paraId="70C9CE81"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42AC5" w14:textId="77777777" w:rsidR="00771ECA" w:rsidRDefault="00000000">
            <w:pPr>
              <w:widowControl/>
              <w:spacing w:line="240" w:lineRule="auto"/>
              <w:textAlignment w:val="auto"/>
            </w:pPr>
            <w:r>
              <w:rPr>
                <w:rFonts w:ascii="Arial" w:hAnsi="Arial" w:cs="Arial"/>
                <w:sz w:val="18"/>
                <w:szCs w:val="18"/>
              </w:rPr>
              <w:t>根据项目是否配备电梯分为有电梯、无电梯。以估价对象该因素指数为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bl>
    <w:p w14:paraId="3B7E2288" w14:textId="77777777" w:rsidR="00771ECA" w:rsidRDefault="00000000">
      <w:pPr>
        <w:overflowPunct w:val="0"/>
        <w:spacing w:line="480" w:lineRule="auto"/>
        <w:ind w:firstLine="420"/>
        <w:rPr>
          <w:rFonts w:ascii="Arial" w:hAnsi="Arial" w:cs="Arial"/>
          <w:sz w:val="21"/>
          <w:szCs w:val="21"/>
        </w:rPr>
      </w:pPr>
      <w:r>
        <w:rPr>
          <w:rFonts w:ascii="Arial" w:hAnsi="Arial" w:cs="Arial"/>
          <w:sz w:val="21"/>
          <w:szCs w:val="21"/>
        </w:rPr>
        <w:tab/>
      </w:r>
      <w:r>
        <w:br w:type="page"/>
      </w:r>
    </w:p>
    <w:p w14:paraId="70FF8429" w14:textId="77777777" w:rsidR="00771ECA" w:rsidRDefault="00000000">
      <w:pPr>
        <w:overflowPunct w:val="0"/>
        <w:spacing w:line="480" w:lineRule="auto"/>
        <w:ind w:firstLine="420"/>
      </w:pPr>
      <w:r>
        <w:rPr>
          <w:rFonts w:ascii="Arial" w:hAnsi="Arial" w:cs="Arial"/>
          <w:sz w:val="21"/>
          <w:szCs w:val="21"/>
        </w:rPr>
        <w:lastRenderedPageBreak/>
        <w:t>（</w:t>
      </w:r>
      <w:r>
        <w:rPr>
          <w:rFonts w:ascii="Arial" w:hAnsi="Arial" w:cs="Arial"/>
          <w:sz w:val="21"/>
          <w:szCs w:val="21"/>
        </w:rPr>
        <w:t>3</w:t>
      </w:r>
      <w:r>
        <w:rPr>
          <w:rFonts w:ascii="Arial" w:hAnsi="Arial" w:cs="Arial"/>
          <w:sz w:val="21"/>
          <w:szCs w:val="21"/>
        </w:rPr>
        <w:t>）编制因素比较修正系数表</w:t>
      </w:r>
      <w:r>
        <w:rPr>
          <w:rFonts w:ascii="Arial" w:eastAsia="Arial" w:hAnsi="Arial" w:cs="Arial"/>
          <w:sz w:val="21"/>
          <w:szCs w:val="21"/>
        </w:rPr>
        <w:t xml:space="preserve"> </w:t>
      </w:r>
    </w:p>
    <w:p w14:paraId="157E010C" w14:textId="77777777" w:rsidR="00771ECA" w:rsidRDefault="00000000">
      <w:pPr>
        <w:overflowPunct w:val="0"/>
        <w:spacing w:line="480" w:lineRule="auto"/>
        <w:ind w:firstLine="420"/>
        <w:rPr>
          <w:rFonts w:ascii="Arial" w:hAnsi="Arial" w:cs="Arial"/>
          <w:sz w:val="21"/>
          <w:szCs w:val="21"/>
        </w:rPr>
      </w:pPr>
      <w:r>
        <w:rPr>
          <w:rFonts w:ascii="Arial" w:hAnsi="Arial" w:cs="Arial"/>
          <w:sz w:val="21"/>
          <w:szCs w:val="21"/>
        </w:rPr>
        <w:t>根据比较因素条件指数表，编制因素各项目比较修正系数表，详见下表：</w:t>
      </w:r>
    </w:p>
    <w:p w14:paraId="1DFAEF6B" w14:textId="77777777" w:rsidR="00771ECA" w:rsidRDefault="00000000">
      <w:pPr>
        <w:overflowPunct w:val="0"/>
        <w:spacing w:line="480" w:lineRule="auto"/>
        <w:ind w:firstLine="420"/>
        <w:jc w:val="center"/>
      </w:pPr>
      <w:r>
        <w:rPr>
          <w:rFonts w:ascii="Arial" w:hAnsi="Arial" w:cs="Arial"/>
          <w:sz w:val="21"/>
          <w:szCs w:val="21"/>
        </w:rPr>
        <w:t>亦城景园</w:t>
      </w:r>
      <w:r>
        <w:t>因素比较修正系数表</w:t>
      </w:r>
    </w:p>
    <w:tbl>
      <w:tblPr>
        <w:tblW w:w="5000" w:type="pct"/>
        <w:tblInd w:w="-113" w:type="dxa"/>
        <w:tblLook w:val="04A0" w:firstRow="1" w:lastRow="0" w:firstColumn="1" w:lastColumn="0" w:noHBand="0" w:noVBand="1"/>
      </w:tblPr>
      <w:tblGrid>
        <w:gridCol w:w="1470"/>
        <w:gridCol w:w="2812"/>
        <w:gridCol w:w="1665"/>
        <w:gridCol w:w="1665"/>
        <w:gridCol w:w="1676"/>
      </w:tblGrid>
      <w:tr w:rsidR="00771ECA" w14:paraId="6B4C5FEB"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3EBFAF57" w14:textId="77777777" w:rsidR="00771ECA" w:rsidRDefault="00000000">
            <w:pPr>
              <w:widowControl/>
              <w:spacing w:line="240" w:lineRule="atLeast"/>
              <w:jc w:val="center"/>
              <w:textAlignment w:val="auto"/>
              <w:rPr>
                <w:rFonts w:ascii="Arial" w:hAnsi="Arial" w:cs="Arial"/>
                <w:sz w:val="18"/>
              </w:rPr>
            </w:pPr>
            <w:r>
              <w:rPr>
                <w:rFonts w:ascii="宋体;SimSun" w:hAnsi="宋体;SimSun" w:cs="Arial"/>
                <w:sz w:val="18"/>
              </w:rPr>
              <w:t>项目</w:t>
            </w:r>
          </w:p>
        </w:tc>
        <w:tc>
          <w:tcPr>
            <w:tcW w:w="1666" w:type="dxa"/>
            <w:tcBorders>
              <w:top w:val="single" w:sz="4" w:space="0" w:color="000000"/>
              <w:left w:val="single" w:sz="4" w:space="0" w:color="000000"/>
              <w:bottom w:val="single" w:sz="4" w:space="0" w:color="000000"/>
            </w:tcBorders>
            <w:shd w:val="clear" w:color="auto" w:fill="auto"/>
            <w:vAlign w:val="center"/>
          </w:tcPr>
          <w:p w14:paraId="5AB683C8" w14:textId="77777777" w:rsidR="00771ECA" w:rsidRDefault="00000000">
            <w:pPr>
              <w:widowControl/>
              <w:spacing w:line="240" w:lineRule="atLeast"/>
              <w:jc w:val="center"/>
              <w:textAlignment w:val="auto"/>
            </w:pPr>
            <w:r>
              <w:rPr>
                <w:rFonts w:ascii="宋体;SimSun" w:hAnsi="宋体;SimSun" w:cs="Arial"/>
                <w:sz w:val="18"/>
              </w:rPr>
              <w:t>可比实例</w:t>
            </w:r>
            <w:r>
              <w:rPr>
                <w:rFonts w:ascii="Arial" w:hAnsi="Arial" w:cs="Arial"/>
                <w:sz w:val="18"/>
              </w:rPr>
              <w:t>1</w:t>
            </w:r>
          </w:p>
        </w:tc>
        <w:tc>
          <w:tcPr>
            <w:tcW w:w="1666" w:type="dxa"/>
            <w:tcBorders>
              <w:top w:val="single" w:sz="4" w:space="0" w:color="000000"/>
              <w:left w:val="single" w:sz="4" w:space="0" w:color="000000"/>
              <w:bottom w:val="single" w:sz="4" w:space="0" w:color="000000"/>
            </w:tcBorders>
            <w:shd w:val="clear" w:color="auto" w:fill="auto"/>
            <w:vAlign w:val="center"/>
          </w:tcPr>
          <w:p w14:paraId="26EA6E11" w14:textId="77777777" w:rsidR="00771ECA" w:rsidRDefault="00000000">
            <w:pPr>
              <w:widowControl/>
              <w:spacing w:line="240" w:lineRule="atLeast"/>
              <w:jc w:val="center"/>
              <w:textAlignment w:val="auto"/>
            </w:pPr>
            <w:r>
              <w:rPr>
                <w:rFonts w:ascii="宋体;SimSun" w:hAnsi="宋体;SimSun" w:cs="Arial"/>
                <w:sz w:val="18"/>
              </w:rPr>
              <w:t>可比实例</w:t>
            </w:r>
            <w:r>
              <w:rPr>
                <w:rFonts w:ascii="Arial" w:hAnsi="Arial" w:cs="Arial"/>
                <w:sz w:val="18"/>
              </w:rPr>
              <w:t>2</w:t>
            </w: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D56EC" w14:textId="77777777" w:rsidR="00771ECA" w:rsidRDefault="00000000">
            <w:pPr>
              <w:widowControl/>
              <w:spacing w:line="240" w:lineRule="atLeast"/>
              <w:jc w:val="center"/>
              <w:textAlignment w:val="auto"/>
            </w:pPr>
            <w:r>
              <w:rPr>
                <w:rFonts w:ascii="宋体;SimSun" w:hAnsi="宋体;SimSun" w:cs="Arial"/>
                <w:sz w:val="18"/>
              </w:rPr>
              <w:t>可比实例</w:t>
            </w:r>
            <w:r>
              <w:rPr>
                <w:rFonts w:ascii="Arial" w:hAnsi="Arial" w:cs="Arial"/>
                <w:sz w:val="18"/>
              </w:rPr>
              <w:t>3</w:t>
            </w:r>
          </w:p>
        </w:tc>
      </w:tr>
      <w:tr w:rsidR="00771ECA" w14:paraId="4C87F43A"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6C089F72" w14:textId="77777777" w:rsidR="00771ECA" w:rsidRDefault="00000000">
            <w:pPr>
              <w:widowControl/>
              <w:spacing w:line="240" w:lineRule="atLeast"/>
              <w:jc w:val="center"/>
              <w:textAlignment w:val="auto"/>
              <w:rPr>
                <w:rFonts w:ascii="Arial" w:hAnsi="Arial" w:cs="Arial"/>
                <w:sz w:val="18"/>
              </w:rPr>
            </w:pPr>
            <w:r>
              <w:rPr>
                <w:rFonts w:ascii="宋体;SimSun" w:hAnsi="宋体;SimSun" w:cs="Arial"/>
                <w:sz w:val="18"/>
              </w:rPr>
              <w:t>小区名称</w:t>
            </w:r>
          </w:p>
        </w:tc>
        <w:tc>
          <w:tcPr>
            <w:tcW w:w="1666" w:type="dxa"/>
            <w:tcBorders>
              <w:left w:val="single" w:sz="4" w:space="0" w:color="000000"/>
              <w:bottom w:val="single" w:sz="4" w:space="0" w:color="000000"/>
            </w:tcBorders>
            <w:shd w:val="clear" w:color="auto" w:fill="auto"/>
            <w:vAlign w:val="center"/>
          </w:tcPr>
          <w:p w14:paraId="21D9D9F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明月听蘭</w:t>
            </w:r>
          </w:p>
        </w:tc>
        <w:tc>
          <w:tcPr>
            <w:tcW w:w="1666" w:type="dxa"/>
            <w:tcBorders>
              <w:left w:val="single" w:sz="4" w:space="0" w:color="000000"/>
              <w:bottom w:val="single" w:sz="4" w:space="0" w:color="000000"/>
            </w:tcBorders>
            <w:shd w:val="clear" w:color="auto" w:fill="auto"/>
            <w:vAlign w:val="center"/>
          </w:tcPr>
          <w:p w14:paraId="3D8BB4D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北京经开</w:t>
            </w:r>
            <w:r>
              <w:rPr>
                <w:rFonts w:ascii="Arial" w:hAnsi="Arial" w:cs="Arial"/>
                <w:sz w:val="18"/>
              </w:rPr>
              <w:t>·</w:t>
            </w:r>
            <w:r>
              <w:rPr>
                <w:rFonts w:ascii="Arial" w:hAnsi="Arial" w:cs="Arial"/>
                <w:sz w:val="18"/>
              </w:rPr>
              <w:t>汀塘</w:t>
            </w:r>
          </w:p>
        </w:tc>
        <w:tc>
          <w:tcPr>
            <w:tcW w:w="1677" w:type="dxa"/>
            <w:tcBorders>
              <w:left w:val="single" w:sz="4" w:space="0" w:color="000000"/>
              <w:bottom w:val="single" w:sz="4" w:space="0" w:color="000000"/>
              <w:right w:val="single" w:sz="4" w:space="0" w:color="000000"/>
            </w:tcBorders>
            <w:shd w:val="clear" w:color="auto" w:fill="auto"/>
            <w:vAlign w:val="center"/>
          </w:tcPr>
          <w:p w14:paraId="33A498D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通泰国际公馆</w:t>
            </w:r>
          </w:p>
        </w:tc>
      </w:tr>
      <w:tr w:rsidR="00771ECA" w14:paraId="79572513"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16B12E8A" w14:textId="77777777" w:rsidR="00771ECA" w:rsidRDefault="00000000">
            <w:pPr>
              <w:widowControl/>
              <w:spacing w:line="240" w:lineRule="atLeast"/>
              <w:textAlignment w:val="auto"/>
              <w:rPr>
                <w:rFonts w:ascii="Arial" w:hAnsi="Arial" w:cs="Arial"/>
                <w:sz w:val="18"/>
              </w:rPr>
            </w:pPr>
            <w:r>
              <w:rPr>
                <w:rFonts w:ascii="宋体;SimSun" w:hAnsi="宋体;SimSun" w:cs="Arial"/>
                <w:sz w:val="18"/>
              </w:rPr>
              <w:t>平均租金（元</w:t>
            </w:r>
            <w:r>
              <w:rPr>
                <w:rFonts w:ascii="Arial" w:hAnsi="Arial" w:cs="Arial"/>
                <w:sz w:val="18"/>
              </w:rPr>
              <w:t>/</w:t>
            </w:r>
            <w:r>
              <w:rPr>
                <w:rFonts w:ascii="宋体;SimSun" w:hAnsi="宋体;SimSun" w:cs="Arial"/>
                <w:sz w:val="18"/>
              </w:rPr>
              <w:t>平方米</w:t>
            </w:r>
            <w:r>
              <w:rPr>
                <w:rFonts w:ascii="Arial" w:hAnsi="Arial" w:cs="Arial"/>
                <w:sz w:val="18"/>
              </w:rPr>
              <w:t>·</w:t>
            </w:r>
            <w:r>
              <w:rPr>
                <w:rFonts w:ascii="宋体;SimSun" w:hAnsi="宋体;SimSun" w:cs="Arial"/>
                <w:sz w:val="18"/>
              </w:rPr>
              <w:t>月）</w:t>
            </w:r>
          </w:p>
        </w:tc>
        <w:tc>
          <w:tcPr>
            <w:tcW w:w="1666" w:type="dxa"/>
            <w:tcBorders>
              <w:left w:val="single" w:sz="4" w:space="0" w:color="000000"/>
              <w:bottom w:val="single" w:sz="4" w:space="0" w:color="000000"/>
            </w:tcBorders>
            <w:shd w:val="clear" w:color="auto" w:fill="auto"/>
            <w:vAlign w:val="center"/>
          </w:tcPr>
          <w:p w14:paraId="265312F7" w14:textId="77777777" w:rsidR="00771ECA" w:rsidRDefault="00000000">
            <w:pPr>
              <w:widowControl/>
              <w:spacing w:line="240" w:lineRule="auto"/>
              <w:jc w:val="center"/>
              <w:rPr>
                <w:rFonts w:ascii="Arial" w:hAnsi="Arial" w:cs="Arial"/>
                <w:sz w:val="18"/>
              </w:rPr>
            </w:pPr>
            <w:r>
              <w:rPr>
                <w:rFonts w:ascii="Arial" w:hAnsi="Arial" w:cs="Arial"/>
                <w:sz w:val="18"/>
              </w:rPr>
              <w:t>68.39</w:t>
            </w:r>
          </w:p>
        </w:tc>
        <w:tc>
          <w:tcPr>
            <w:tcW w:w="1666" w:type="dxa"/>
            <w:tcBorders>
              <w:left w:val="single" w:sz="4" w:space="0" w:color="000000"/>
              <w:bottom w:val="single" w:sz="4" w:space="0" w:color="000000"/>
            </w:tcBorders>
            <w:shd w:val="clear" w:color="auto" w:fill="auto"/>
            <w:vAlign w:val="center"/>
          </w:tcPr>
          <w:p w14:paraId="5C0B555C" w14:textId="77777777" w:rsidR="00771ECA" w:rsidRDefault="00000000">
            <w:pPr>
              <w:widowControl/>
              <w:spacing w:line="240" w:lineRule="auto"/>
              <w:jc w:val="center"/>
              <w:rPr>
                <w:rFonts w:ascii="Arial" w:hAnsi="Arial" w:cs="Arial"/>
                <w:sz w:val="18"/>
              </w:rPr>
            </w:pPr>
            <w:r>
              <w:rPr>
                <w:rFonts w:ascii="Arial" w:hAnsi="Arial" w:cs="Arial"/>
                <w:sz w:val="18"/>
              </w:rPr>
              <w:t>67.77</w:t>
            </w:r>
          </w:p>
        </w:tc>
        <w:tc>
          <w:tcPr>
            <w:tcW w:w="1677" w:type="dxa"/>
            <w:tcBorders>
              <w:left w:val="single" w:sz="4" w:space="0" w:color="000000"/>
              <w:bottom w:val="single" w:sz="4" w:space="0" w:color="000000"/>
              <w:right w:val="single" w:sz="4" w:space="0" w:color="000000"/>
            </w:tcBorders>
            <w:shd w:val="clear" w:color="auto" w:fill="auto"/>
            <w:vAlign w:val="center"/>
          </w:tcPr>
          <w:p w14:paraId="39D69D23" w14:textId="77777777" w:rsidR="00771ECA" w:rsidRDefault="00000000">
            <w:pPr>
              <w:widowControl/>
              <w:spacing w:line="240" w:lineRule="auto"/>
              <w:jc w:val="center"/>
              <w:rPr>
                <w:rFonts w:ascii="Arial" w:hAnsi="Arial" w:cs="Arial"/>
                <w:sz w:val="18"/>
              </w:rPr>
            </w:pPr>
            <w:r>
              <w:rPr>
                <w:rFonts w:ascii="Arial" w:hAnsi="Arial" w:cs="Arial"/>
                <w:sz w:val="18"/>
              </w:rPr>
              <w:t>67.39</w:t>
            </w:r>
          </w:p>
        </w:tc>
      </w:tr>
      <w:tr w:rsidR="00771ECA" w14:paraId="5A40E645"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1F36302F" w14:textId="77777777" w:rsidR="00771ECA" w:rsidRDefault="00000000">
            <w:pPr>
              <w:widowControl/>
              <w:spacing w:line="240" w:lineRule="atLeast"/>
              <w:textAlignment w:val="auto"/>
              <w:rPr>
                <w:rFonts w:ascii="Arial" w:hAnsi="Arial" w:cs="Arial"/>
                <w:sz w:val="18"/>
              </w:rPr>
            </w:pPr>
            <w:r>
              <w:rPr>
                <w:rFonts w:ascii="宋体;SimSun" w:hAnsi="宋体;SimSun" w:cs="Arial"/>
                <w:sz w:val="18"/>
              </w:rPr>
              <w:t>交易时间</w:t>
            </w:r>
          </w:p>
        </w:tc>
        <w:tc>
          <w:tcPr>
            <w:tcW w:w="1666" w:type="dxa"/>
            <w:tcBorders>
              <w:left w:val="single" w:sz="4" w:space="0" w:color="000000"/>
              <w:bottom w:val="single" w:sz="4" w:space="0" w:color="000000"/>
            </w:tcBorders>
            <w:shd w:val="clear" w:color="auto" w:fill="auto"/>
            <w:vAlign w:val="center"/>
          </w:tcPr>
          <w:p w14:paraId="7CE32C4C"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32276CC7"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2D84C9DD" w14:textId="77777777" w:rsidR="00771ECA" w:rsidRDefault="00000000">
            <w:pPr>
              <w:widowControl/>
              <w:spacing w:line="240" w:lineRule="atLeast"/>
              <w:jc w:val="center"/>
              <w:textAlignment w:val="auto"/>
            </w:pPr>
            <w:r>
              <w:rPr>
                <w:rFonts w:ascii="Arial" w:hAnsi="Arial" w:cs="Arial"/>
                <w:sz w:val="18"/>
              </w:rPr>
              <w:t>100/100</w:t>
            </w:r>
          </w:p>
        </w:tc>
      </w:tr>
      <w:tr w:rsidR="00771ECA" w14:paraId="0F54152B"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06CECDBF" w14:textId="77777777" w:rsidR="00771ECA" w:rsidRDefault="00000000">
            <w:pPr>
              <w:widowControl/>
              <w:spacing w:line="240" w:lineRule="atLeast"/>
              <w:textAlignment w:val="auto"/>
              <w:rPr>
                <w:rFonts w:ascii="Arial" w:hAnsi="Arial" w:cs="Arial"/>
                <w:sz w:val="18"/>
              </w:rPr>
            </w:pPr>
            <w:r>
              <w:rPr>
                <w:rFonts w:ascii="宋体;SimSun" w:hAnsi="宋体;SimSun" w:cs="Arial"/>
                <w:sz w:val="18"/>
              </w:rPr>
              <w:t>交易情况</w:t>
            </w:r>
          </w:p>
        </w:tc>
        <w:tc>
          <w:tcPr>
            <w:tcW w:w="1666" w:type="dxa"/>
            <w:tcBorders>
              <w:left w:val="single" w:sz="4" w:space="0" w:color="000000"/>
              <w:bottom w:val="single" w:sz="4" w:space="0" w:color="000000"/>
            </w:tcBorders>
            <w:shd w:val="clear" w:color="auto" w:fill="auto"/>
            <w:vAlign w:val="center"/>
          </w:tcPr>
          <w:p w14:paraId="46B7C259"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12A79F62"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439A3E47" w14:textId="77777777" w:rsidR="00771ECA" w:rsidRDefault="00000000">
            <w:pPr>
              <w:widowControl/>
              <w:spacing w:line="240" w:lineRule="atLeast"/>
              <w:jc w:val="center"/>
              <w:textAlignment w:val="auto"/>
            </w:pPr>
            <w:r>
              <w:rPr>
                <w:rFonts w:ascii="Arial" w:hAnsi="Arial" w:cs="Arial"/>
                <w:sz w:val="18"/>
              </w:rPr>
              <w:t>100/100</w:t>
            </w:r>
          </w:p>
        </w:tc>
      </w:tr>
      <w:tr w:rsidR="00771ECA" w14:paraId="6A1CA735" w14:textId="77777777">
        <w:trPr>
          <w:trHeight w:val="227"/>
        </w:trPr>
        <w:tc>
          <w:tcPr>
            <w:tcW w:w="1473" w:type="dxa"/>
            <w:vMerge w:val="restart"/>
            <w:tcBorders>
              <w:left w:val="single" w:sz="4" w:space="0" w:color="000000"/>
              <w:bottom w:val="single" w:sz="4" w:space="0" w:color="000000"/>
            </w:tcBorders>
            <w:shd w:val="clear" w:color="auto" w:fill="auto"/>
            <w:vAlign w:val="center"/>
          </w:tcPr>
          <w:p w14:paraId="27BCD143" w14:textId="77777777" w:rsidR="00771ECA" w:rsidRDefault="00000000">
            <w:pPr>
              <w:widowControl/>
              <w:spacing w:line="240" w:lineRule="atLeast"/>
              <w:jc w:val="center"/>
              <w:textAlignment w:val="auto"/>
              <w:rPr>
                <w:rFonts w:ascii="Arial" w:hAnsi="Arial" w:cs="Arial"/>
                <w:color w:val="000000"/>
                <w:sz w:val="18"/>
                <w:szCs w:val="22"/>
              </w:rPr>
            </w:pPr>
            <w:r>
              <w:rPr>
                <w:rFonts w:ascii="宋体;SimSun" w:hAnsi="宋体;SimSun" w:cs="Arial"/>
                <w:color w:val="000000"/>
                <w:sz w:val="18"/>
                <w:szCs w:val="22"/>
              </w:rPr>
              <w:t>区域状况</w:t>
            </w:r>
          </w:p>
        </w:tc>
        <w:tc>
          <w:tcPr>
            <w:tcW w:w="2816" w:type="dxa"/>
            <w:tcBorders>
              <w:left w:val="single" w:sz="4" w:space="0" w:color="000000"/>
              <w:bottom w:val="single" w:sz="4" w:space="0" w:color="000000"/>
            </w:tcBorders>
            <w:shd w:val="clear" w:color="auto" w:fill="auto"/>
            <w:vAlign w:val="center"/>
          </w:tcPr>
          <w:p w14:paraId="11B4CB7D" w14:textId="77777777" w:rsidR="00771ECA" w:rsidRDefault="00000000">
            <w:pPr>
              <w:widowControl/>
              <w:spacing w:line="240" w:lineRule="auto"/>
              <w:textAlignment w:val="auto"/>
              <w:rPr>
                <w:rFonts w:ascii="Arial" w:hAnsi="Arial" w:cs="Arial"/>
                <w:sz w:val="18"/>
              </w:rPr>
            </w:pPr>
            <w:r>
              <w:rPr>
                <w:rFonts w:ascii="宋体;SimSun" w:hAnsi="宋体;SimSun" w:cs="Arial"/>
                <w:sz w:val="18"/>
              </w:rPr>
              <w:t>居住区成熟度</w:t>
            </w:r>
          </w:p>
        </w:tc>
        <w:tc>
          <w:tcPr>
            <w:tcW w:w="1666" w:type="dxa"/>
            <w:tcBorders>
              <w:left w:val="single" w:sz="4" w:space="0" w:color="000000"/>
              <w:bottom w:val="single" w:sz="4" w:space="0" w:color="000000"/>
            </w:tcBorders>
            <w:shd w:val="clear" w:color="auto" w:fill="auto"/>
            <w:vAlign w:val="center"/>
          </w:tcPr>
          <w:p w14:paraId="5FEF2D36"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75A6504C"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08637218" w14:textId="77777777" w:rsidR="00771ECA" w:rsidRDefault="00000000">
            <w:pPr>
              <w:widowControl/>
              <w:spacing w:line="240" w:lineRule="atLeast"/>
              <w:jc w:val="center"/>
              <w:textAlignment w:val="auto"/>
            </w:pPr>
            <w:r>
              <w:rPr>
                <w:rFonts w:ascii="Arial" w:hAnsi="Arial" w:cs="Arial"/>
                <w:sz w:val="18"/>
              </w:rPr>
              <w:t>100/100</w:t>
            </w:r>
          </w:p>
        </w:tc>
      </w:tr>
      <w:tr w:rsidR="00771ECA" w14:paraId="346D543D" w14:textId="77777777">
        <w:trPr>
          <w:trHeight w:val="227"/>
        </w:trPr>
        <w:tc>
          <w:tcPr>
            <w:tcW w:w="1473" w:type="dxa"/>
            <w:vMerge/>
            <w:tcBorders>
              <w:left w:val="single" w:sz="4" w:space="0" w:color="000000"/>
              <w:bottom w:val="single" w:sz="4" w:space="0" w:color="000000"/>
            </w:tcBorders>
            <w:shd w:val="clear" w:color="auto" w:fill="auto"/>
            <w:vAlign w:val="center"/>
          </w:tcPr>
          <w:p w14:paraId="684787B3"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1B2DCA00" w14:textId="77777777" w:rsidR="00771ECA" w:rsidRDefault="00000000">
            <w:pPr>
              <w:widowControl/>
              <w:spacing w:line="240" w:lineRule="auto"/>
              <w:textAlignment w:val="auto"/>
              <w:rPr>
                <w:rFonts w:ascii="Arial" w:hAnsi="Arial" w:cs="Arial"/>
                <w:sz w:val="18"/>
              </w:rPr>
            </w:pPr>
            <w:r>
              <w:rPr>
                <w:rFonts w:ascii="宋体;SimSun" w:hAnsi="宋体;SimSun" w:cs="Arial"/>
                <w:sz w:val="18"/>
              </w:rPr>
              <w:t>交通条件</w:t>
            </w:r>
          </w:p>
        </w:tc>
        <w:tc>
          <w:tcPr>
            <w:tcW w:w="1666" w:type="dxa"/>
            <w:tcBorders>
              <w:left w:val="single" w:sz="4" w:space="0" w:color="000000"/>
              <w:bottom w:val="single" w:sz="4" w:space="0" w:color="000000"/>
            </w:tcBorders>
            <w:shd w:val="clear" w:color="auto" w:fill="auto"/>
            <w:vAlign w:val="center"/>
          </w:tcPr>
          <w:p w14:paraId="46AB3206"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30AAE9B8"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27D51402" w14:textId="77777777" w:rsidR="00771ECA" w:rsidRDefault="00000000">
            <w:pPr>
              <w:widowControl/>
              <w:spacing w:line="240" w:lineRule="atLeast"/>
              <w:jc w:val="center"/>
              <w:textAlignment w:val="auto"/>
            </w:pPr>
            <w:r>
              <w:rPr>
                <w:rFonts w:ascii="Arial" w:hAnsi="Arial" w:cs="Arial"/>
                <w:sz w:val="18"/>
              </w:rPr>
              <w:t>100/100</w:t>
            </w:r>
          </w:p>
        </w:tc>
      </w:tr>
      <w:tr w:rsidR="00771ECA" w14:paraId="54459260" w14:textId="77777777">
        <w:trPr>
          <w:trHeight w:val="227"/>
        </w:trPr>
        <w:tc>
          <w:tcPr>
            <w:tcW w:w="1473" w:type="dxa"/>
            <w:vMerge/>
            <w:tcBorders>
              <w:left w:val="single" w:sz="4" w:space="0" w:color="000000"/>
              <w:bottom w:val="single" w:sz="4" w:space="0" w:color="000000"/>
            </w:tcBorders>
            <w:shd w:val="clear" w:color="auto" w:fill="auto"/>
            <w:vAlign w:val="center"/>
          </w:tcPr>
          <w:p w14:paraId="614574E3"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40A2024E" w14:textId="77777777" w:rsidR="00771ECA" w:rsidRDefault="00000000">
            <w:pPr>
              <w:widowControl/>
              <w:spacing w:line="240" w:lineRule="auto"/>
              <w:textAlignment w:val="auto"/>
              <w:rPr>
                <w:rFonts w:ascii="Arial" w:hAnsi="Arial" w:cs="Arial"/>
                <w:sz w:val="18"/>
              </w:rPr>
            </w:pPr>
            <w:r>
              <w:rPr>
                <w:rFonts w:ascii="宋体;SimSun" w:hAnsi="宋体;SimSun" w:cs="Arial"/>
                <w:sz w:val="18"/>
              </w:rPr>
              <w:t>商业设施</w:t>
            </w:r>
          </w:p>
        </w:tc>
        <w:tc>
          <w:tcPr>
            <w:tcW w:w="1666" w:type="dxa"/>
            <w:tcBorders>
              <w:left w:val="single" w:sz="4" w:space="0" w:color="000000"/>
              <w:bottom w:val="single" w:sz="4" w:space="0" w:color="000000"/>
            </w:tcBorders>
            <w:shd w:val="clear" w:color="auto" w:fill="auto"/>
            <w:vAlign w:val="center"/>
          </w:tcPr>
          <w:p w14:paraId="223F3C03"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6EEDF21D"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396E3720" w14:textId="77777777" w:rsidR="00771ECA" w:rsidRDefault="00000000">
            <w:pPr>
              <w:widowControl/>
              <w:spacing w:line="240" w:lineRule="atLeast"/>
              <w:jc w:val="center"/>
              <w:textAlignment w:val="auto"/>
            </w:pPr>
            <w:r>
              <w:rPr>
                <w:rFonts w:ascii="Arial" w:hAnsi="Arial" w:cs="Arial"/>
                <w:sz w:val="18"/>
              </w:rPr>
              <w:t>100/100</w:t>
            </w:r>
          </w:p>
        </w:tc>
      </w:tr>
      <w:tr w:rsidR="00771ECA" w14:paraId="479646D4" w14:textId="77777777">
        <w:trPr>
          <w:trHeight w:val="227"/>
        </w:trPr>
        <w:tc>
          <w:tcPr>
            <w:tcW w:w="1473" w:type="dxa"/>
            <w:vMerge/>
            <w:tcBorders>
              <w:left w:val="single" w:sz="4" w:space="0" w:color="000000"/>
              <w:bottom w:val="single" w:sz="4" w:space="0" w:color="000000"/>
            </w:tcBorders>
            <w:shd w:val="clear" w:color="auto" w:fill="auto"/>
            <w:vAlign w:val="center"/>
          </w:tcPr>
          <w:p w14:paraId="0C0D5F38"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780AA1DC" w14:textId="77777777" w:rsidR="00771ECA" w:rsidRDefault="00000000">
            <w:pPr>
              <w:widowControl/>
              <w:spacing w:line="240" w:lineRule="auto"/>
              <w:textAlignment w:val="auto"/>
              <w:rPr>
                <w:rFonts w:ascii="Arial" w:hAnsi="Arial" w:cs="Arial"/>
                <w:sz w:val="18"/>
              </w:rPr>
            </w:pPr>
            <w:r>
              <w:rPr>
                <w:rFonts w:ascii="宋体;SimSun" w:hAnsi="宋体;SimSun" w:cs="Arial"/>
                <w:sz w:val="18"/>
              </w:rPr>
              <w:t>自然环境</w:t>
            </w:r>
          </w:p>
        </w:tc>
        <w:tc>
          <w:tcPr>
            <w:tcW w:w="1666" w:type="dxa"/>
            <w:tcBorders>
              <w:left w:val="single" w:sz="4" w:space="0" w:color="000000"/>
              <w:bottom w:val="single" w:sz="4" w:space="0" w:color="000000"/>
            </w:tcBorders>
            <w:shd w:val="clear" w:color="auto" w:fill="auto"/>
            <w:vAlign w:val="center"/>
          </w:tcPr>
          <w:p w14:paraId="4AF06FCE"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04FE077C"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2071C4C4" w14:textId="77777777" w:rsidR="00771ECA" w:rsidRDefault="00000000">
            <w:pPr>
              <w:widowControl/>
              <w:spacing w:line="240" w:lineRule="atLeast"/>
              <w:jc w:val="center"/>
              <w:textAlignment w:val="auto"/>
            </w:pPr>
            <w:r>
              <w:rPr>
                <w:rFonts w:ascii="Arial" w:hAnsi="Arial" w:cs="Arial"/>
                <w:sz w:val="18"/>
              </w:rPr>
              <w:t>100/100</w:t>
            </w:r>
          </w:p>
        </w:tc>
      </w:tr>
      <w:tr w:rsidR="00771ECA" w14:paraId="0B0F89A5" w14:textId="77777777">
        <w:trPr>
          <w:trHeight w:val="227"/>
        </w:trPr>
        <w:tc>
          <w:tcPr>
            <w:tcW w:w="1473" w:type="dxa"/>
            <w:vMerge/>
            <w:tcBorders>
              <w:left w:val="single" w:sz="4" w:space="0" w:color="000000"/>
              <w:bottom w:val="single" w:sz="4" w:space="0" w:color="000000"/>
            </w:tcBorders>
            <w:shd w:val="clear" w:color="auto" w:fill="auto"/>
            <w:vAlign w:val="center"/>
          </w:tcPr>
          <w:p w14:paraId="6B28129F"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7B5F5545" w14:textId="77777777" w:rsidR="00771ECA" w:rsidRDefault="00000000">
            <w:pPr>
              <w:widowControl/>
              <w:spacing w:line="240" w:lineRule="auto"/>
              <w:textAlignment w:val="auto"/>
              <w:rPr>
                <w:rFonts w:ascii="Arial" w:hAnsi="Arial" w:cs="Arial"/>
                <w:sz w:val="18"/>
              </w:rPr>
            </w:pPr>
            <w:r>
              <w:rPr>
                <w:rFonts w:ascii="宋体;SimSun" w:hAnsi="宋体;SimSun" w:cs="Arial"/>
                <w:sz w:val="18"/>
              </w:rPr>
              <w:t>公共配套</w:t>
            </w:r>
          </w:p>
        </w:tc>
        <w:tc>
          <w:tcPr>
            <w:tcW w:w="1666" w:type="dxa"/>
            <w:tcBorders>
              <w:left w:val="single" w:sz="4" w:space="0" w:color="000000"/>
              <w:bottom w:val="single" w:sz="4" w:space="0" w:color="000000"/>
            </w:tcBorders>
            <w:shd w:val="clear" w:color="auto" w:fill="auto"/>
            <w:vAlign w:val="center"/>
          </w:tcPr>
          <w:p w14:paraId="13572D7B"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12789370"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36BCFBAA" w14:textId="77777777" w:rsidR="00771ECA" w:rsidRDefault="00000000">
            <w:pPr>
              <w:widowControl/>
              <w:spacing w:line="240" w:lineRule="atLeast"/>
              <w:jc w:val="center"/>
              <w:textAlignment w:val="auto"/>
            </w:pPr>
            <w:r>
              <w:rPr>
                <w:rFonts w:ascii="Arial" w:hAnsi="Arial" w:cs="Arial"/>
                <w:sz w:val="18"/>
              </w:rPr>
              <w:t>100/100</w:t>
            </w:r>
          </w:p>
        </w:tc>
      </w:tr>
      <w:tr w:rsidR="00771ECA" w14:paraId="54DAF7E8" w14:textId="77777777">
        <w:trPr>
          <w:trHeight w:val="227"/>
        </w:trPr>
        <w:tc>
          <w:tcPr>
            <w:tcW w:w="1473" w:type="dxa"/>
            <w:vMerge w:val="restart"/>
            <w:tcBorders>
              <w:left w:val="single" w:sz="4" w:space="0" w:color="000000"/>
            </w:tcBorders>
            <w:shd w:val="clear" w:color="auto" w:fill="auto"/>
            <w:vAlign w:val="center"/>
          </w:tcPr>
          <w:p w14:paraId="6E202D18" w14:textId="77777777" w:rsidR="00771ECA" w:rsidRDefault="00000000">
            <w:pPr>
              <w:widowControl/>
              <w:spacing w:line="240" w:lineRule="atLeast"/>
              <w:jc w:val="center"/>
              <w:textAlignment w:val="auto"/>
              <w:rPr>
                <w:rFonts w:ascii="Arial" w:hAnsi="Arial" w:cs="Arial"/>
                <w:color w:val="000000"/>
                <w:sz w:val="18"/>
                <w:szCs w:val="22"/>
              </w:rPr>
            </w:pPr>
            <w:r>
              <w:rPr>
                <w:rFonts w:ascii="宋体;SimSun" w:hAnsi="宋体;SimSun" w:cs="Arial"/>
                <w:color w:val="000000"/>
                <w:sz w:val="18"/>
                <w:szCs w:val="22"/>
              </w:rPr>
              <w:t>实物状况</w:t>
            </w:r>
          </w:p>
        </w:tc>
        <w:tc>
          <w:tcPr>
            <w:tcW w:w="2816" w:type="dxa"/>
            <w:tcBorders>
              <w:left w:val="single" w:sz="4" w:space="0" w:color="000000"/>
              <w:bottom w:val="single" w:sz="4" w:space="0" w:color="000000"/>
            </w:tcBorders>
            <w:shd w:val="clear" w:color="auto" w:fill="auto"/>
            <w:vAlign w:val="center"/>
          </w:tcPr>
          <w:p w14:paraId="636EEDB9" w14:textId="77777777" w:rsidR="00771ECA" w:rsidRDefault="00000000">
            <w:pPr>
              <w:widowControl/>
              <w:spacing w:line="240" w:lineRule="auto"/>
              <w:textAlignment w:val="auto"/>
              <w:rPr>
                <w:rFonts w:ascii="Arial" w:hAnsi="Arial" w:cs="Arial"/>
                <w:sz w:val="18"/>
              </w:rPr>
            </w:pPr>
            <w:r>
              <w:rPr>
                <w:rFonts w:ascii="宋体;SimSun" w:hAnsi="宋体;SimSun" w:cs="Arial"/>
                <w:sz w:val="18"/>
              </w:rPr>
              <w:t>物业服务</w:t>
            </w:r>
          </w:p>
        </w:tc>
        <w:tc>
          <w:tcPr>
            <w:tcW w:w="1666" w:type="dxa"/>
            <w:tcBorders>
              <w:left w:val="single" w:sz="4" w:space="0" w:color="000000"/>
              <w:bottom w:val="single" w:sz="4" w:space="0" w:color="000000"/>
            </w:tcBorders>
            <w:shd w:val="clear" w:color="auto" w:fill="auto"/>
            <w:vAlign w:val="center"/>
          </w:tcPr>
          <w:p w14:paraId="31A2C3B9"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4C3B712A"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1F7133BF" w14:textId="77777777" w:rsidR="00771ECA" w:rsidRDefault="00000000">
            <w:pPr>
              <w:widowControl/>
              <w:spacing w:line="240" w:lineRule="atLeast"/>
              <w:jc w:val="center"/>
              <w:textAlignment w:val="auto"/>
            </w:pPr>
            <w:r>
              <w:rPr>
                <w:rFonts w:ascii="Arial" w:hAnsi="Arial" w:cs="Arial"/>
                <w:sz w:val="18"/>
              </w:rPr>
              <w:t>100/100</w:t>
            </w:r>
          </w:p>
        </w:tc>
      </w:tr>
      <w:tr w:rsidR="00771ECA" w14:paraId="64207D2B" w14:textId="77777777">
        <w:trPr>
          <w:trHeight w:val="227"/>
        </w:trPr>
        <w:tc>
          <w:tcPr>
            <w:tcW w:w="1473" w:type="dxa"/>
            <w:vMerge/>
            <w:tcBorders>
              <w:left w:val="single" w:sz="4" w:space="0" w:color="000000"/>
            </w:tcBorders>
            <w:shd w:val="clear" w:color="auto" w:fill="auto"/>
            <w:vAlign w:val="center"/>
          </w:tcPr>
          <w:p w14:paraId="6F657118"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21B0A28D" w14:textId="77777777" w:rsidR="00771ECA" w:rsidRDefault="00000000">
            <w:pPr>
              <w:widowControl/>
              <w:spacing w:line="240" w:lineRule="auto"/>
              <w:textAlignment w:val="auto"/>
              <w:rPr>
                <w:rFonts w:ascii="Arial" w:hAnsi="Arial" w:cs="Arial"/>
                <w:sz w:val="18"/>
              </w:rPr>
            </w:pPr>
            <w:r>
              <w:rPr>
                <w:rFonts w:ascii="宋体;SimSun" w:hAnsi="宋体;SimSun" w:cs="Arial"/>
                <w:sz w:val="18"/>
              </w:rPr>
              <w:t>小区环境</w:t>
            </w:r>
          </w:p>
        </w:tc>
        <w:tc>
          <w:tcPr>
            <w:tcW w:w="1666" w:type="dxa"/>
            <w:tcBorders>
              <w:left w:val="single" w:sz="4" w:space="0" w:color="000000"/>
              <w:bottom w:val="single" w:sz="4" w:space="0" w:color="000000"/>
            </w:tcBorders>
            <w:shd w:val="clear" w:color="auto" w:fill="auto"/>
            <w:vAlign w:val="center"/>
          </w:tcPr>
          <w:p w14:paraId="1058C661"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38BF31D5"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19E793DE" w14:textId="77777777" w:rsidR="00771ECA" w:rsidRDefault="00000000">
            <w:pPr>
              <w:widowControl/>
              <w:spacing w:line="240" w:lineRule="atLeast"/>
              <w:jc w:val="center"/>
              <w:textAlignment w:val="auto"/>
            </w:pPr>
            <w:r>
              <w:rPr>
                <w:rFonts w:ascii="Arial" w:hAnsi="Arial" w:cs="Arial"/>
                <w:sz w:val="18"/>
              </w:rPr>
              <w:t>100/100</w:t>
            </w:r>
          </w:p>
        </w:tc>
      </w:tr>
      <w:tr w:rsidR="00771ECA" w14:paraId="7767504E" w14:textId="77777777">
        <w:trPr>
          <w:trHeight w:val="227"/>
        </w:trPr>
        <w:tc>
          <w:tcPr>
            <w:tcW w:w="1473" w:type="dxa"/>
            <w:vMerge/>
            <w:tcBorders>
              <w:left w:val="single" w:sz="4" w:space="0" w:color="000000"/>
            </w:tcBorders>
            <w:shd w:val="clear" w:color="auto" w:fill="auto"/>
            <w:vAlign w:val="center"/>
          </w:tcPr>
          <w:p w14:paraId="4D6ECC70"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2EA5BB28" w14:textId="77777777" w:rsidR="00771ECA" w:rsidRDefault="00000000">
            <w:pPr>
              <w:widowControl/>
              <w:spacing w:line="240" w:lineRule="auto"/>
              <w:textAlignment w:val="auto"/>
              <w:rPr>
                <w:rFonts w:ascii="Arial" w:hAnsi="Arial" w:cs="Arial"/>
                <w:sz w:val="18"/>
              </w:rPr>
            </w:pPr>
            <w:r>
              <w:rPr>
                <w:rFonts w:ascii="宋体;SimSun" w:hAnsi="宋体;SimSun" w:cs="Arial"/>
                <w:sz w:val="18"/>
              </w:rPr>
              <w:t>配套设施</w:t>
            </w:r>
          </w:p>
        </w:tc>
        <w:tc>
          <w:tcPr>
            <w:tcW w:w="1666" w:type="dxa"/>
            <w:tcBorders>
              <w:left w:val="single" w:sz="4" w:space="0" w:color="000000"/>
              <w:bottom w:val="single" w:sz="4" w:space="0" w:color="000000"/>
            </w:tcBorders>
            <w:shd w:val="clear" w:color="auto" w:fill="auto"/>
            <w:vAlign w:val="center"/>
          </w:tcPr>
          <w:p w14:paraId="2709B889"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c>
          <w:tcPr>
            <w:tcW w:w="1666" w:type="dxa"/>
            <w:tcBorders>
              <w:left w:val="single" w:sz="4" w:space="0" w:color="000000"/>
              <w:bottom w:val="single" w:sz="4" w:space="0" w:color="000000"/>
            </w:tcBorders>
            <w:shd w:val="clear" w:color="auto" w:fill="auto"/>
            <w:vAlign w:val="center"/>
          </w:tcPr>
          <w:p w14:paraId="3AF932CA"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c>
          <w:tcPr>
            <w:tcW w:w="1677" w:type="dxa"/>
            <w:tcBorders>
              <w:left w:val="single" w:sz="4" w:space="0" w:color="000000"/>
              <w:bottom w:val="single" w:sz="4" w:space="0" w:color="000000"/>
              <w:right w:val="single" w:sz="4" w:space="0" w:color="000000"/>
            </w:tcBorders>
            <w:shd w:val="clear" w:color="auto" w:fill="auto"/>
            <w:vAlign w:val="center"/>
          </w:tcPr>
          <w:p w14:paraId="051E531E"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r>
      <w:tr w:rsidR="00771ECA" w14:paraId="163AC74E" w14:textId="77777777">
        <w:trPr>
          <w:trHeight w:val="227"/>
        </w:trPr>
        <w:tc>
          <w:tcPr>
            <w:tcW w:w="1473" w:type="dxa"/>
            <w:vMerge/>
            <w:tcBorders>
              <w:left w:val="single" w:sz="4" w:space="0" w:color="000000"/>
            </w:tcBorders>
            <w:shd w:val="clear" w:color="auto" w:fill="auto"/>
            <w:vAlign w:val="center"/>
          </w:tcPr>
          <w:p w14:paraId="5180B932"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524D8C8D" w14:textId="77777777" w:rsidR="00771ECA" w:rsidRDefault="00000000">
            <w:pPr>
              <w:widowControl/>
              <w:spacing w:line="240" w:lineRule="auto"/>
              <w:textAlignment w:val="auto"/>
              <w:rPr>
                <w:rFonts w:ascii="Arial" w:hAnsi="Arial" w:cs="Arial"/>
                <w:sz w:val="18"/>
              </w:rPr>
            </w:pPr>
            <w:r>
              <w:rPr>
                <w:rFonts w:ascii="宋体;SimSun" w:hAnsi="宋体;SimSun" w:cs="Arial"/>
                <w:sz w:val="18"/>
              </w:rPr>
              <w:t>居住管理</w:t>
            </w:r>
          </w:p>
        </w:tc>
        <w:tc>
          <w:tcPr>
            <w:tcW w:w="1666" w:type="dxa"/>
            <w:tcBorders>
              <w:left w:val="single" w:sz="4" w:space="0" w:color="000000"/>
              <w:bottom w:val="single" w:sz="4" w:space="0" w:color="000000"/>
            </w:tcBorders>
            <w:shd w:val="clear" w:color="auto" w:fill="auto"/>
            <w:vAlign w:val="center"/>
          </w:tcPr>
          <w:p w14:paraId="0415F1D1"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c>
          <w:tcPr>
            <w:tcW w:w="1666" w:type="dxa"/>
            <w:tcBorders>
              <w:left w:val="single" w:sz="4" w:space="0" w:color="000000"/>
              <w:bottom w:val="single" w:sz="4" w:space="0" w:color="000000"/>
            </w:tcBorders>
            <w:shd w:val="clear" w:color="auto" w:fill="auto"/>
            <w:vAlign w:val="center"/>
          </w:tcPr>
          <w:p w14:paraId="58EA8450"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c>
          <w:tcPr>
            <w:tcW w:w="1677" w:type="dxa"/>
            <w:tcBorders>
              <w:left w:val="single" w:sz="4" w:space="0" w:color="000000"/>
              <w:bottom w:val="single" w:sz="4" w:space="0" w:color="000000"/>
              <w:right w:val="single" w:sz="4" w:space="0" w:color="000000"/>
            </w:tcBorders>
            <w:shd w:val="clear" w:color="auto" w:fill="auto"/>
            <w:vAlign w:val="center"/>
          </w:tcPr>
          <w:p w14:paraId="37E2E367"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r>
      <w:tr w:rsidR="00771ECA" w14:paraId="3FB0DD15" w14:textId="77777777">
        <w:trPr>
          <w:trHeight w:val="227"/>
        </w:trPr>
        <w:tc>
          <w:tcPr>
            <w:tcW w:w="1473" w:type="dxa"/>
            <w:vMerge/>
            <w:tcBorders>
              <w:left w:val="single" w:sz="4" w:space="0" w:color="000000"/>
            </w:tcBorders>
            <w:shd w:val="clear" w:color="auto" w:fill="auto"/>
            <w:vAlign w:val="center"/>
          </w:tcPr>
          <w:p w14:paraId="67FCA97D"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62FF1C6A" w14:textId="77777777" w:rsidR="00771ECA" w:rsidRDefault="00000000">
            <w:pPr>
              <w:widowControl/>
              <w:spacing w:line="240" w:lineRule="auto"/>
              <w:textAlignment w:val="auto"/>
              <w:rPr>
                <w:rFonts w:ascii="Arial" w:hAnsi="Arial" w:cs="Arial"/>
                <w:sz w:val="18"/>
              </w:rPr>
            </w:pPr>
            <w:r>
              <w:rPr>
                <w:rFonts w:ascii="宋体;SimSun" w:hAnsi="宋体;SimSun" w:cs="Arial"/>
                <w:sz w:val="18"/>
              </w:rPr>
              <w:t>户型</w:t>
            </w:r>
          </w:p>
        </w:tc>
        <w:tc>
          <w:tcPr>
            <w:tcW w:w="1666" w:type="dxa"/>
            <w:tcBorders>
              <w:left w:val="single" w:sz="4" w:space="0" w:color="000000"/>
              <w:bottom w:val="single" w:sz="4" w:space="0" w:color="000000"/>
            </w:tcBorders>
            <w:shd w:val="clear" w:color="auto" w:fill="auto"/>
            <w:vAlign w:val="center"/>
          </w:tcPr>
          <w:p w14:paraId="6FF1FFF2"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100/102</w:t>
            </w:r>
          </w:p>
        </w:tc>
        <w:tc>
          <w:tcPr>
            <w:tcW w:w="1666" w:type="dxa"/>
            <w:tcBorders>
              <w:left w:val="single" w:sz="4" w:space="0" w:color="000000"/>
              <w:bottom w:val="single" w:sz="4" w:space="0" w:color="000000"/>
            </w:tcBorders>
            <w:shd w:val="clear" w:color="auto" w:fill="auto"/>
            <w:vAlign w:val="center"/>
          </w:tcPr>
          <w:p w14:paraId="31F4E744"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1B58FB64"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r>
      <w:tr w:rsidR="00771ECA" w14:paraId="79E18736" w14:textId="77777777">
        <w:trPr>
          <w:trHeight w:val="227"/>
        </w:trPr>
        <w:tc>
          <w:tcPr>
            <w:tcW w:w="1473" w:type="dxa"/>
            <w:vMerge/>
            <w:tcBorders>
              <w:left w:val="single" w:sz="4" w:space="0" w:color="000000"/>
            </w:tcBorders>
            <w:shd w:val="clear" w:color="auto" w:fill="auto"/>
            <w:vAlign w:val="center"/>
          </w:tcPr>
          <w:p w14:paraId="7F1E397B"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45900F21" w14:textId="77777777" w:rsidR="00771ECA" w:rsidRDefault="00000000">
            <w:pPr>
              <w:widowControl/>
              <w:spacing w:line="240" w:lineRule="auto"/>
              <w:textAlignment w:val="auto"/>
              <w:rPr>
                <w:rFonts w:ascii="宋体;SimSun" w:hAnsi="宋体;SimSun" w:cs="Arial"/>
                <w:sz w:val="18"/>
              </w:rPr>
            </w:pPr>
            <w:r>
              <w:rPr>
                <w:rFonts w:ascii="宋体;SimSun" w:hAnsi="宋体;SimSun" w:cs="Arial"/>
                <w:sz w:val="18"/>
              </w:rPr>
              <w:t>朝向</w:t>
            </w:r>
          </w:p>
        </w:tc>
        <w:tc>
          <w:tcPr>
            <w:tcW w:w="1666" w:type="dxa"/>
            <w:tcBorders>
              <w:left w:val="single" w:sz="4" w:space="0" w:color="000000"/>
              <w:bottom w:val="single" w:sz="4" w:space="0" w:color="000000"/>
            </w:tcBorders>
            <w:shd w:val="clear" w:color="auto" w:fill="auto"/>
            <w:vAlign w:val="center"/>
          </w:tcPr>
          <w:p w14:paraId="42A1511C"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100/102</w:t>
            </w:r>
          </w:p>
        </w:tc>
        <w:tc>
          <w:tcPr>
            <w:tcW w:w="1666" w:type="dxa"/>
            <w:tcBorders>
              <w:left w:val="single" w:sz="4" w:space="0" w:color="000000"/>
              <w:bottom w:val="single" w:sz="4" w:space="0" w:color="000000"/>
            </w:tcBorders>
            <w:shd w:val="clear" w:color="auto" w:fill="auto"/>
            <w:vAlign w:val="center"/>
          </w:tcPr>
          <w:p w14:paraId="41B17D22"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100/102</w:t>
            </w:r>
          </w:p>
        </w:tc>
        <w:tc>
          <w:tcPr>
            <w:tcW w:w="1677" w:type="dxa"/>
            <w:tcBorders>
              <w:left w:val="single" w:sz="4" w:space="0" w:color="000000"/>
              <w:bottom w:val="single" w:sz="4" w:space="0" w:color="000000"/>
              <w:right w:val="single" w:sz="4" w:space="0" w:color="000000"/>
            </w:tcBorders>
            <w:shd w:val="clear" w:color="auto" w:fill="auto"/>
            <w:vAlign w:val="center"/>
          </w:tcPr>
          <w:p w14:paraId="511A52A6"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100/102</w:t>
            </w:r>
          </w:p>
        </w:tc>
      </w:tr>
      <w:tr w:rsidR="00771ECA" w14:paraId="308ACCDB" w14:textId="77777777">
        <w:trPr>
          <w:trHeight w:val="227"/>
        </w:trPr>
        <w:tc>
          <w:tcPr>
            <w:tcW w:w="1473" w:type="dxa"/>
            <w:vMerge/>
            <w:tcBorders>
              <w:left w:val="single" w:sz="4" w:space="0" w:color="000000"/>
            </w:tcBorders>
            <w:shd w:val="clear" w:color="auto" w:fill="auto"/>
            <w:vAlign w:val="center"/>
          </w:tcPr>
          <w:p w14:paraId="5C0D2BCF"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00569485" w14:textId="77777777" w:rsidR="00771ECA" w:rsidRDefault="00000000">
            <w:pPr>
              <w:widowControl/>
              <w:spacing w:line="240" w:lineRule="auto"/>
              <w:textAlignment w:val="auto"/>
              <w:rPr>
                <w:rFonts w:ascii="Arial" w:hAnsi="Arial" w:cs="Arial"/>
                <w:sz w:val="18"/>
              </w:rPr>
            </w:pPr>
            <w:r>
              <w:rPr>
                <w:rFonts w:ascii="宋体;SimSun" w:hAnsi="宋体;SimSun" w:cs="Arial"/>
                <w:sz w:val="18"/>
              </w:rPr>
              <w:t>装修</w:t>
            </w:r>
          </w:p>
        </w:tc>
        <w:tc>
          <w:tcPr>
            <w:tcW w:w="1666" w:type="dxa"/>
            <w:tcBorders>
              <w:left w:val="single" w:sz="4" w:space="0" w:color="000000"/>
              <w:bottom w:val="single" w:sz="4" w:space="0" w:color="000000"/>
            </w:tcBorders>
            <w:shd w:val="clear" w:color="auto" w:fill="auto"/>
            <w:vAlign w:val="center"/>
          </w:tcPr>
          <w:p w14:paraId="148C7083"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100/102</w:t>
            </w:r>
          </w:p>
        </w:tc>
        <w:tc>
          <w:tcPr>
            <w:tcW w:w="1666" w:type="dxa"/>
            <w:tcBorders>
              <w:left w:val="single" w:sz="4" w:space="0" w:color="000000"/>
              <w:bottom w:val="single" w:sz="4" w:space="0" w:color="000000"/>
            </w:tcBorders>
            <w:shd w:val="clear" w:color="auto" w:fill="auto"/>
            <w:vAlign w:val="center"/>
          </w:tcPr>
          <w:p w14:paraId="6AC4FBEC" w14:textId="77777777" w:rsidR="00771ECA" w:rsidRDefault="00000000">
            <w:pPr>
              <w:widowControl/>
              <w:spacing w:line="240" w:lineRule="atLeast"/>
              <w:jc w:val="center"/>
              <w:textAlignment w:val="auto"/>
            </w:pPr>
            <w:r>
              <w:rPr>
                <w:rFonts w:ascii="Arial" w:hAnsi="Arial" w:cs="Arial"/>
                <w:sz w:val="18"/>
              </w:rPr>
              <w:t>100/102</w:t>
            </w:r>
          </w:p>
        </w:tc>
        <w:tc>
          <w:tcPr>
            <w:tcW w:w="1677" w:type="dxa"/>
            <w:tcBorders>
              <w:left w:val="single" w:sz="4" w:space="0" w:color="000000"/>
              <w:bottom w:val="single" w:sz="4" w:space="0" w:color="000000"/>
              <w:right w:val="single" w:sz="4" w:space="0" w:color="000000"/>
            </w:tcBorders>
            <w:shd w:val="clear" w:color="auto" w:fill="auto"/>
            <w:vAlign w:val="center"/>
          </w:tcPr>
          <w:p w14:paraId="22018CFF" w14:textId="77777777" w:rsidR="00771ECA" w:rsidRDefault="00000000">
            <w:pPr>
              <w:widowControl/>
              <w:spacing w:line="240" w:lineRule="atLeast"/>
              <w:jc w:val="center"/>
              <w:textAlignment w:val="auto"/>
            </w:pPr>
            <w:r>
              <w:rPr>
                <w:rFonts w:ascii="Arial" w:hAnsi="Arial" w:cs="Arial"/>
                <w:sz w:val="18"/>
              </w:rPr>
              <w:t>100/102</w:t>
            </w:r>
          </w:p>
        </w:tc>
      </w:tr>
      <w:tr w:rsidR="00771ECA" w14:paraId="78B4960E" w14:textId="77777777">
        <w:trPr>
          <w:trHeight w:val="227"/>
        </w:trPr>
        <w:tc>
          <w:tcPr>
            <w:tcW w:w="1473" w:type="dxa"/>
            <w:vMerge/>
            <w:tcBorders>
              <w:left w:val="single" w:sz="4" w:space="0" w:color="000000"/>
            </w:tcBorders>
            <w:shd w:val="clear" w:color="auto" w:fill="auto"/>
            <w:vAlign w:val="center"/>
          </w:tcPr>
          <w:p w14:paraId="57E1CC91"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0C71BCCE" w14:textId="77777777" w:rsidR="00771ECA" w:rsidRDefault="00000000">
            <w:pPr>
              <w:widowControl/>
              <w:spacing w:line="240" w:lineRule="auto"/>
              <w:textAlignment w:val="auto"/>
              <w:rPr>
                <w:rFonts w:ascii="宋体;SimSun" w:hAnsi="宋体;SimSun" w:cs="Arial"/>
                <w:sz w:val="18"/>
              </w:rPr>
            </w:pPr>
            <w:r>
              <w:rPr>
                <w:rFonts w:ascii="宋体;SimSun" w:hAnsi="宋体;SimSun" w:cs="Arial"/>
                <w:sz w:val="18"/>
              </w:rPr>
              <w:t>标准房面积</w:t>
            </w:r>
          </w:p>
        </w:tc>
        <w:tc>
          <w:tcPr>
            <w:tcW w:w="1666" w:type="dxa"/>
            <w:tcBorders>
              <w:left w:val="single" w:sz="4" w:space="0" w:color="000000"/>
              <w:bottom w:val="single" w:sz="4" w:space="0" w:color="000000"/>
            </w:tcBorders>
            <w:shd w:val="clear" w:color="auto" w:fill="auto"/>
            <w:vAlign w:val="center"/>
          </w:tcPr>
          <w:p w14:paraId="0264F46B"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c>
          <w:tcPr>
            <w:tcW w:w="1666" w:type="dxa"/>
            <w:tcBorders>
              <w:left w:val="single" w:sz="4" w:space="0" w:color="000000"/>
              <w:bottom w:val="single" w:sz="4" w:space="0" w:color="000000"/>
            </w:tcBorders>
            <w:shd w:val="clear" w:color="auto" w:fill="auto"/>
            <w:vAlign w:val="center"/>
          </w:tcPr>
          <w:p w14:paraId="76016E95"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2FFC2F70" w14:textId="77777777" w:rsidR="00771ECA" w:rsidRDefault="00000000">
            <w:pPr>
              <w:widowControl/>
              <w:spacing w:line="240" w:lineRule="atLeast"/>
              <w:jc w:val="center"/>
              <w:textAlignment w:val="auto"/>
            </w:pPr>
            <w:r>
              <w:rPr>
                <w:rFonts w:ascii="Arial" w:hAnsi="Arial" w:cs="Arial"/>
                <w:sz w:val="18"/>
              </w:rPr>
              <w:t>100/100</w:t>
            </w:r>
          </w:p>
        </w:tc>
      </w:tr>
      <w:tr w:rsidR="00771ECA" w14:paraId="4B4FE04B" w14:textId="77777777">
        <w:trPr>
          <w:trHeight w:val="227"/>
        </w:trPr>
        <w:tc>
          <w:tcPr>
            <w:tcW w:w="1473" w:type="dxa"/>
            <w:vMerge/>
            <w:tcBorders>
              <w:left w:val="single" w:sz="4" w:space="0" w:color="000000"/>
            </w:tcBorders>
            <w:shd w:val="clear" w:color="auto" w:fill="auto"/>
            <w:vAlign w:val="center"/>
          </w:tcPr>
          <w:p w14:paraId="42ED8408"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2CEF04F1" w14:textId="77777777" w:rsidR="00771ECA" w:rsidRDefault="00000000">
            <w:pPr>
              <w:widowControl/>
              <w:spacing w:line="240" w:lineRule="auto"/>
              <w:textAlignment w:val="auto"/>
              <w:rPr>
                <w:rFonts w:ascii="Arial" w:hAnsi="Arial" w:cs="Arial"/>
                <w:sz w:val="18"/>
              </w:rPr>
            </w:pPr>
            <w:r>
              <w:rPr>
                <w:rFonts w:ascii="宋体;SimSun" w:hAnsi="宋体;SimSun" w:cs="Arial"/>
                <w:sz w:val="18"/>
              </w:rPr>
              <w:t>设备</w:t>
            </w:r>
          </w:p>
        </w:tc>
        <w:tc>
          <w:tcPr>
            <w:tcW w:w="1666" w:type="dxa"/>
            <w:tcBorders>
              <w:left w:val="single" w:sz="4" w:space="0" w:color="000000"/>
              <w:bottom w:val="single" w:sz="4" w:space="0" w:color="000000"/>
            </w:tcBorders>
            <w:shd w:val="clear" w:color="auto" w:fill="auto"/>
            <w:vAlign w:val="center"/>
          </w:tcPr>
          <w:p w14:paraId="689D69D0" w14:textId="77777777" w:rsidR="00771ECA" w:rsidRDefault="00000000">
            <w:pPr>
              <w:widowControl/>
              <w:spacing w:line="240" w:lineRule="atLeast"/>
              <w:jc w:val="center"/>
              <w:textAlignment w:val="auto"/>
            </w:pPr>
            <w:r>
              <w:rPr>
                <w:rFonts w:ascii="Arial" w:hAnsi="Arial" w:cs="Arial"/>
                <w:sz w:val="18"/>
              </w:rPr>
              <w:t>100/98</w:t>
            </w:r>
          </w:p>
        </w:tc>
        <w:tc>
          <w:tcPr>
            <w:tcW w:w="1666" w:type="dxa"/>
            <w:tcBorders>
              <w:left w:val="single" w:sz="4" w:space="0" w:color="000000"/>
              <w:bottom w:val="single" w:sz="4" w:space="0" w:color="000000"/>
            </w:tcBorders>
            <w:shd w:val="clear" w:color="auto" w:fill="auto"/>
          </w:tcPr>
          <w:p w14:paraId="79F14FB6" w14:textId="77777777" w:rsidR="00771ECA" w:rsidRDefault="00000000">
            <w:pPr>
              <w:widowControl/>
              <w:spacing w:line="240" w:lineRule="atLeast"/>
              <w:jc w:val="center"/>
              <w:textAlignment w:val="auto"/>
            </w:pPr>
            <w:r>
              <w:rPr>
                <w:rFonts w:ascii="Arial" w:hAnsi="Arial" w:cs="Arial"/>
                <w:sz w:val="18"/>
              </w:rPr>
              <w:t>100/98</w:t>
            </w:r>
          </w:p>
        </w:tc>
        <w:tc>
          <w:tcPr>
            <w:tcW w:w="1677" w:type="dxa"/>
            <w:tcBorders>
              <w:left w:val="single" w:sz="4" w:space="0" w:color="000000"/>
              <w:bottom w:val="single" w:sz="4" w:space="0" w:color="000000"/>
              <w:right w:val="single" w:sz="4" w:space="0" w:color="000000"/>
            </w:tcBorders>
            <w:shd w:val="clear" w:color="auto" w:fill="auto"/>
          </w:tcPr>
          <w:p w14:paraId="398C02B0" w14:textId="77777777" w:rsidR="00771ECA" w:rsidRDefault="00000000">
            <w:pPr>
              <w:widowControl/>
              <w:spacing w:line="240" w:lineRule="atLeast"/>
              <w:jc w:val="center"/>
              <w:textAlignment w:val="auto"/>
            </w:pPr>
            <w:r>
              <w:rPr>
                <w:rFonts w:ascii="Arial" w:hAnsi="Arial" w:cs="Arial"/>
                <w:sz w:val="18"/>
              </w:rPr>
              <w:t>100/98</w:t>
            </w:r>
          </w:p>
        </w:tc>
      </w:tr>
      <w:tr w:rsidR="00771ECA" w14:paraId="36035E85" w14:textId="77777777">
        <w:trPr>
          <w:trHeight w:val="227"/>
        </w:trPr>
        <w:tc>
          <w:tcPr>
            <w:tcW w:w="1473" w:type="dxa"/>
            <w:vMerge/>
            <w:tcBorders>
              <w:left w:val="single" w:sz="4" w:space="0" w:color="000000"/>
            </w:tcBorders>
            <w:shd w:val="clear" w:color="auto" w:fill="auto"/>
            <w:vAlign w:val="center"/>
          </w:tcPr>
          <w:p w14:paraId="525C8C97"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438A538C" w14:textId="77777777" w:rsidR="00771ECA" w:rsidRDefault="00000000">
            <w:pPr>
              <w:widowControl/>
              <w:spacing w:line="240" w:lineRule="auto"/>
              <w:textAlignment w:val="auto"/>
              <w:rPr>
                <w:rFonts w:ascii="宋体;SimSun" w:hAnsi="宋体;SimSun" w:cs="Arial"/>
                <w:sz w:val="18"/>
              </w:rPr>
            </w:pPr>
            <w:r>
              <w:rPr>
                <w:rFonts w:ascii="宋体;SimSun" w:hAnsi="宋体;SimSun" w:cs="Arial"/>
                <w:sz w:val="18"/>
              </w:rPr>
              <w:t>成新度</w:t>
            </w:r>
          </w:p>
        </w:tc>
        <w:tc>
          <w:tcPr>
            <w:tcW w:w="1666" w:type="dxa"/>
            <w:tcBorders>
              <w:left w:val="single" w:sz="4" w:space="0" w:color="000000"/>
              <w:bottom w:val="single" w:sz="4" w:space="0" w:color="000000"/>
            </w:tcBorders>
            <w:shd w:val="clear" w:color="auto" w:fill="auto"/>
            <w:vAlign w:val="center"/>
          </w:tcPr>
          <w:p w14:paraId="2CB401C5"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10B4A93A"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7DCCD48F"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r>
      <w:tr w:rsidR="00771ECA" w14:paraId="7255787D" w14:textId="77777777">
        <w:trPr>
          <w:trHeight w:val="227"/>
        </w:trPr>
        <w:tc>
          <w:tcPr>
            <w:tcW w:w="1473" w:type="dxa"/>
            <w:vMerge/>
            <w:tcBorders>
              <w:left w:val="single" w:sz="4" w:space="0" w:color="000000"/>
            </w:tcBorders>
            <w:shd w:val="clear" w:color="auto" w:fill="auto"/>
            <w:vAlign w:val="center"/>
          </w:tcPr>
          <w:p w14:paraId="3A4DF5CC"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5BDB7903" w14:textId="77777777" w:rsidR="00771ECA" w:rsidRDefault="00000000">
            <w:pPr>
              <w:widowControl/>
              <w:spacing w:line="240" w:lineRule="auto"/>
              <w:textAlignment w:val="auto"/>
              <w:rPr>
                <w:rFonts w:ascii="宋体;SimSun" w:hAnsi="宋体;SimSun" w:cs="Arial"/>
                <w:sz w:val="18"/>
              </w:rPr>
            </w:pPr>
            <w:r>
              <w:rPr>
                <w:rFonts w:ascii="宋体;SimSun" w:hAnsi="宋体;SimSun" w:cs="Arial"/>
                <w:sz w:val="18"/>
              </w:rPr>
              <w:t>有无电梯</w:t>
            </w:r>
          </w:p>
        </w:tc>
        <w:tc>
          <w:tcPr>
            <w:tcW w:w="1666" w:type="dxa"/>
            <w:tcBorders>
              <w:left w:val="single" w:sz="4" w:space="0" w:color="000000"/>
              <w:bottom w:val="single" w:sz="4" w:space="0" w:color="000000"/>
            </w:tcBorders>
            <w:shd w:val="clear" w:color="auto" w:fill="auto"/>
            <w:vAlign w:val="center"/>
          </w:tcPr>
          <w:p w14:paraId="0DBE4322"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57221710"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51DBA4FE"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r>
      <w:tr w:rsidR="00771ECA" w14:paraId="612BB812"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53FC59E8" w14:textId="77777777" w:rsidR="00771ECA" w:rsidRDefault="00000000">
            <w:pPr>
              <w:widowControl/>
              <w:spacing w:line="240" w:lineRule="atLeast"/>
              <w:textAlignment w:val="auto"/>
              <w:rPr>
                <w:rFonts w:ascii="宋体;SimSun" w:hAnsi="宋体;SimSun" w:cs="Arial"/>
                <w:sz w:val="18"/>
              </w:rPr>
            </w:pPr>
            <w:r>
              <w:rPr>
                <w:rFonts w:ascii="宋体;SimSun" w:hAnsi="宋体;SimSun" w:cs="Arial"/>
                <w:sz w:val="18"/>
              </w:rPr>
              <w:t>修正系数</w:t>
            </w:r>
          </w:p>
        </w:tc>
        <w:tc>
          <w:tcPr>
            <w:tcW w:w="1666" w:type="dxa"/>
            <w:tcBorders>
              <w:top w:val="single" w:sz="4" w:space="0" w:color="000000"/>
              <w:left w:val="single" w:sz="4" w:space="0" w:color="000000"/>
              <w:bottom w:val="single" w:sz="4" w:space="0" w:color="000000"/>
            </w:tcBorders>
            <w:shd w:val="clear" w:color="auto" w:fill="auto"/>
            <w:vAlign w:val="center"/>
          </w:tcPr>
          <w:p w14:paraId="1311F4EC" w14:textId="77777777" w:rsidR="00771ECA" w:rsidRDefault="00000000">
            <w:pPr>
              <w:spacing w:line="240" w:lineRule="auto"/>
              <w:jc w:val="center"/>
              <w:rPr>
                <w:rFonts w:ascii="Arial" w:hAnsi="Arial" w:cs="Arial"/>
                <w:sz w:val="18"/>
                <w:szCs w:val="18"/>
              </w:rPr>
            </w:pPr>
            <w:r>
              <w:rPr>
                <w:rFonts w:ascii="Arial" w:hAnsi="Arial" w:cs="Arial"/>
                <w:sz w:val="18"/>
                <w:szCs w:val="18"/>
              </w:rPr>
              <w:t>0.991</w:t>
            </w:r>
          </w:p>
        </w:tc>
        <w:tc>
          <w:tcPr>
            <w:tcW w:w="1666" w:type="dxa"/>
            <w:tcBorders>
              <w:top w:val="single" w:sz="4" w:space="0" w:color="000000"/>
              <w:left w:val="single" w:sz="4" w:space="0" w:color="000000"/>
              <w:bottom w:val="single" w:sz="4" w:space="0" w:color="000000"/>
            </w:tcBorders>
            <w:shd w:val="clear" w:color="auto" w:fill="auto"/>
            <w:vAlign w:val="center"/>
          </w:tcPr>
          <w:p w14:paraId="32EDBAD5" w14:textId="77777777" w:rsidR="00771ECA" w:rsidRDefault="00000000">
            <w:pPr>
              <w:spacing w:line="240" w:lineRule="auto"/>
              <w:jc w:val="center"/>
              <w:rPr>
                <w:rFonts w:ascii="Arial" w:hAnsi="Arial" w:cs="Arial"/>
                <w:sz w:val="18"/>
                <w:szCs w:val="18"/>
              </w:rPr>
            </w:pPr>
            <w:r>
              <w:rPr>
                <w:rFonts w:ascii="Arial" w:hAnsi="Arial" w:cs="Arial"/>
                <w:sz w:val="18"/>
                <w:szCs w:val="18"/>
              </w:rPr>
              <w:t>1.0007</w:t>
            </w: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54096" w14:textId="77777777" w:rsidR="00771ECA" w:rsidRDefault="00000000">
            <w:pPr>
              <w:spacing w:line="240" w:lineRule="auto"/>
              <w:jc w:val="center"/>
              <w:rPr>
                <w:rFonts w:ascii="Arial" w:hAnsi="Arial" w:cs="Arial"/>
                <w:sz w:val="18"/>
                <w:szCs w:val="18"/>
              </w:rPr>
            </w:pPr>
            <w:r>
              <w:rPr>
                <w:rFonts w:ascii="Arial" w:hAnsi="Arial" w:cs="Arial"/>
                <w:sz w:val="18"/>
                <w:szCs w:val="18"/>
              </w:rPr>
              <w:t>1.0007</w:t>
            </w:r>
          </w:p>
        </w:tc>
      </w:tr>
      <w:tr w:rsidR="00771ECA" w14:paraId="20F35E12"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654174DC" w14:textId="77777777" w:rsidR="00771ECA" w:rsidRDefault="00000000">
            <w:pPr>
              <w:widowControl/>
              <w:spacing w:line="240" w:lineRule="atLeast"/>
              <w:textAlignment w:val="auto"/>
              <w:rPr>
                <w:rFonts w:ascii="宋体;SimSun" w:hAnsi="宋体;SimSun" w:cs="Arial"/>
                <w:sz w:val="18"/>
              </w:rPr>
            </w:pPr>
            <w:r>
              <w:rPr>
                <w:rFonts w:ascii="宋体;SimSun" w:hAnsi="宋体;SimSun" w:cs="Arial"/>
                <w:sz w:val="18"/>
              </w:rPr>
              <w:t>比准价格</w:t>
            </w:r>
            <w:r>
              <w:rPr>
                <w:rFonts w:ascii="华文细黑" w:eastAsia="华文细黑" w:hAnsi="华文细黑" w:cs="华文细黑"/>
                <w:sz w:val="18"/>
                <w:szCs w:val="18"/>
              </w:rPr>
              <w:t>（元/平方米·月）</w:t>
            </w:r>
          </w:p>
        </w:tc>
        <w:tc>
          <w:tcPr>
            <w:tcW w:w="1666" w:type="dxa"/>
            <w:tcBorders>
              <w:top w:val="single" w:sz="4" w:space="0" w:color="000000"/>
              <w:left w:val="single" w:sz="4" w:space="0" w:color="000000"/>
              <w:bottom w:val="single" w:sz="4" w:space="0" w:color="000000"/>
            </w:tcBorders>
            <w:shd w:val="clear" w:color="auto" w:fill="auto"/>
            <w:vAlign w:val="center"/>
          </w:tcPr>
          <w:p w14:paraId="1B2D1276" w14:textId="77777777" w:rsidR="00771ECA" w:rsidRDefault="00000000">
            <w:pPr>
              <w:spacing w:line="240" w:lineRule="auto"/>
              <w:jc w:val="center"/>
              <w:rPr>
                <w:rFonts w:ascii="Arial" w:hAnsi="Arial" w:cs="Arial"/>
                <w:sz w:val="18"/>
                <w:szCs w:val="18"/>
              </w:rPr>
            </w:pPr>
            <w:r>
              <w:rPr>
                <w:rFonts w:ascii="Arial" w:hAnsi="Arial" w:cs="Arial"/>
                <w:sz w:val="18"/>
                <w:szCs w:val="18"/>
              </w:rPr>
              <w:t>67.77</w:t>
            </w:r>
          </w:p>
        </w:tc>
        <w:tc>
          <w:tcPr>
            <w:tcW w:w="1666" w:type="dxa"/>
            <w:tcBorders>
              <w:top w:val="single" w:sz="4" w:space="0" w:color="000000"/>
              <w:left w:val="single" w:sz="4" w:space="0" w:color="000000"/>
              <w:bottom w:val="single" w:sz="4" w:space="0" w:color="000000"/>
            </w:tcBorders>
            <w:shd w:val="clear" w:color="auto" w:fill="auto"/>
            <w:vAlign w:val="center"/>
          </w:tcPr>
          <w:p w14:paraId="2B29F9FB" w14:textId="77777777" w:rsidR="00771ECA" w:rsidRDefault="00000000">
            <w:pPr>
              <w:spacing w:line="240" w:lineRule="auto"/>
              <w:jc w:val="center"/>
              <w:rPr>
                <w:rFonts w:ascii="Arial" w:hAnsi="Arial" w:cs="Arial"/>
                <w:sz w:val="18"/>
                <w:szCs w:val="18"/>
              </w:rPr>
            </w:pPr>
            <w:r>
              <w:rPr>
                <w:rFonts w:ascii="Arial" w:hAnsi="Arial" w:cs="Arial"/>
                <w:sz w:val="18"/>
                <w:szCs w:val="18"/>
              </w:rPr>
              <w:t>67.82</w:t>
            </w: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7E61B" w14:textId="77777777" w:rsidR="00771ECA" w:rsidRDefault="00000000">
            <w:pPr>
              <w:spacing w:line="240" w:lineRule="auto"/>
              <w:jc w:val="center"/>
              <w:rPr>
                <w:rFonts w:ascii="Arial" w:hAnsi="Arial" w:cs="Arial"/>
                <w:sz w:val="18"/>
                <w:szCs w:val="18"/>
              </w:rPr>
            </w:pPr>
            <w:r>
              <w:rPr>
                <w:rFonts w:ascii="Arial" w:hAnsi="Arial" w:cs="Arial"/>
                <w:sz w:val="18"/>
                <w:szCs w:val="18"/>
              </w:rPr>
              <w:t>67.43</w:t>
            </w:r>
          </w:p>
        </w:tc>
      </w:tr>
    </w:tbl>
    <w:p w14:paraId="336C9E39" w14:textId="77777777" w:rsidR="00771ECA" w:rsidRDefault="00000000">
      <w:pPr>
        <w:overflowPunct w:val="0"/>
        <w:spacing w:before="240" w:line="480" w:lineRule="auto"/>
        <w:ind w:firstLine="420"/>
        <w:rPr>
          <w:rFonts w:ascii="Arial" w:hAnsi="Arial" w:cs="Arial"/>
          <w:sz w:val="21"/>
          <w:szCs w:val="21"/>
        </w:rPr>
      </w:pPr>
      <w:r>
        <w:rPr>
          <w:rFonts w:ascii="Arial" w:hAnsi="Arial" w:cs="Arial"/>
          <w:sz w:val="21"/>
          <w:szCs w:val="21"/>
        </w:rPr>
        <w:t>注：比准价格＝比较实例年平均租金</w:t>
      </w:r>
      <w:r>
        <w:rPr>
          <w:rFonts w:ascii="Arial" w:hAnsi="Arial" w:cs="Arial"/>
          <w:sz w:val="21"/>
          <w:szCs w:val="21"/>
        </w:rPr>
        <w:t>×</w:t>
      </w:r>
      <w:r>
        <w:rPr>
          <w:rFonts w:ascii="Arial" w:hAnsi="Arial" w:cs="Arial"/>
          <w:sz w:val="21"/>
          <w:szCs w:val="21"/>
        </w:rPr>
        <w:t>（待估房地产交易日期房地产价租赁格指数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（待估房地产交易情况指数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（待估房地产区域状况条件指数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（待估房地产实物状况条件指数</w:t>
      </w:r>
      <w:r>
        <w:rPr>
          <w:rFonts w:ascii="Arial" w:hAnsi="Arial" w:cs="Arial"/>
          <w:sz w:val="21"/>
          <w:szCs w:val="21"/>
        </w:rPr>
        <w:t>/</w:t>
      </w:r>
      <w:r>
        <w:rPr>
          <w:rFonts w:ascii="Arial" w:hAnsi="Arial" w:cs="Arial"/>
          <w:sz w:val="21"/>
          <w:szCs w:val="21"/>
        </w:rPr>
        <w:t>可比实例房地产实物状况条件指数）</w:t>
      </w:r>
    </w:p>
    <w:p w14:paraId="68FEC7B2" w14:textId="77777777" w:rsidR="00771ECA" w:rsidRDefault="00000000">
      <w:pPr>
        <w:overflowPunct w:val="0"/>
        <w:spacing w:line="480" w:lineRule="auto"/>
        <w:ind w:firstLine="420"/>
      </w:pPr>
      <w:r>
        <w:rPr>
          <w:rFonts w:ascii="Arial" w:hAnsi="Arial" w:cs="Arial"/>
          <w:sz w:val="21"/>
          <w:szCs w:val="21"/>
        </w:rPr>
        <w:t>（</w:t>
      </w:r>
      <w:r>
        <w:rPr>
          <w:rFonts w:ascii="Arial" w:hAnsi="Arial" w:cs="Arial"/>
          <w:sz w:val="21"/>
          <w:szCs w:val="21"/>
        </w:rPr>
        <w:t>4</w:t>
      </w:r>
      <w:r>
        <w:rPr>
          <w:rFonts w:ascii="Arial" w:hAnsi="Arial" w:cs="Arial"/>
          <w:sz w:val="21"/>
          <w:szCs w:val="21"/>
        </w:rPr>
        <w:t>）影响因素选择实例修正后的价值计算</w:t>
      </w:r>
      <w:r>
        <w:rPr>
          <w:rFonts w:ascii="Arial" w:eastAsia="Arial" w:hAnsi="Arial" w:cs="Arial"/>
          <w:sz w:val="21"/>
          <w:szCs w:val="21"/>
        </w:rPr>
        <w:t xml:space="preserve"> </w:t>
      </w:r>
    </w:p>
    <w:p w14:paraId="113FF373" w14:textId="77777777" w:rsidR="00771ECA" w:rsidRDefault="00000000">
      <w:pPr>
        <w:overflowPunct w:val="0"/>
        <w:spacing w:line="480" w:lineRule="auto"/>
        <w:ind w:firstLine="420"/>
        <w:jc w:val="both"/>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ascii="Arial" w:hAnsi="Arial" w:cs="Arial"/>
          <w:sz w:val="21"/>
          <w:szCs w:val="21"/>
        </w:rPr>
        <w:t>3</w:t>
      </w:r>
      <w:r>
        <w:rPr>
          <w:rFonts w:ascii="Arial" w:hAnsi="Arial" w:cs="Arial"/>
          <w:sz w:val="21"/>
          <w:szCs w:val="21"/>
        </w:rPr>
        <w:t>个可比案例的比准价格的简单算术平均值作为亦城景园公租房项目的评估价格。</w:t>
      </w:r>
    </w:p>
    <w:p w14:paraId="5D6B38F3" w14:textId="77777777" w:rsidR="00771ECA" w:rsidRDefault="00000000">
      <w:pPr>
        <w:overflowPunct w:val="0"/>
        <w:spacing w:line="480" w:lineRule="auto"/>
        <w:ind w:firstLine="420"/>
      </w:pPr>
      <w:r>
        <w:rPr>
          <w:rFonts w:ascii="Arial" w:hAnsi="Arial" w:cs="Arial"/>
          <w:sz w:val="21"/>
          <w:szCs w:val="21"/>
        </w:rPr>
        <w:t>即：（</w:t>
      </w:r>
      <w:r>
        <w:rPr>
          <w:rFonts w:ascii="Arial" w:hAnsi="Arial" w:cs="Arial"/>
          <w:sz w:val="21"/>
          <w:szCs w:val="21"/>
        </w:rPr>
        <w:t>67.77+67.82+67.43</w:t>
      </w:r>
      <w:r>
        <w:rPr>
          <w:rFonts w:ascii="Arial" w:hAnsi="Arial" w:cs="Arial"/>
          <w:sz w:val="21"/>
          <w:szCs w:val="21"/>
        </w:rPr>
        <w:t>）</w:t>
      </w:r>
      <w:r>
        <w:rPr>
          <w:rFonts w:ascii="Arial" w:hAnsi="Arial" w:cs="Arial"/>
          <w:sz w:val="21"/>
          <w:szCs w:val="21"/>
        </w:rPr>
        <w:t>÷3</w:t>
      </w:r>
    </w:p>
    <w:p w14:paraId="7574A8A0" w14:textId="77777777" w:rsidR="00771ECA" w:rsidRDefault="00000000">
      <w:pPr>
        <w:overflowPunct w:val="0"/>
        <w:spacing w:line="480" w:lineRule="auto"/>
        <w:ind w:firstLine="420"/>
        <w:rPr>
          <w:rFonts w:ascii="Arial" w:hAnsi="Arial" w:cs="Arial"/>
          <w:sz w:val="21"/>
          <w:szCs w:val="21"/>
        </w:rPr>
      </w:pPr>
      <w:r>
        <w:rPr>
          <w:rFonts w:ascii="Arial" w:eastAsia="Arial" w:hAnsi="Arial" w:cs="Arial"/>
          <w:sz w:val="21"/>
          <w:szCs w:val="21"/>
        </w:rPr>
        <w:t xml:space="preserve">  </w:t>
      </w:r>
      <w:r>
        <w:rPr>
          <w:rFonts w:ascii="Arial" w:hAnsi="Arial" w:cs="Arial"/>
          <w:sz w:val="21"/>
          <w:szCs w:val="21"/>
        </w:rPr>
        <w:t>=67.67</w:t>
      </w:r>
      <w:r>
        <w:rPr>
          <w:rFonts w:ascii="Arial" w:hAnsi="Arial" w:cs="Arial"/>
          <w:sz w:val="21"/>
          <w:szCs w:val="21"/>
        </w:rPr>
        <w:t>（元</w:t>
      </w:r>
      <w:r>
        <w:rPr>
          <w:rFonts w:ascii="Arial" w:hAnsi="Arial" w:cs="Arial"/>
          <w:sz w:val="21"/>
          <w:szCs w:val="21"/>
        </w:rPr>
        <w:t>/</w:t>
      </w:r>
      <w:r>
        <w:rPr>
          <w:rFonts w:ascii="Arial" w:hAnsi="Arial" w:cs="Arial"/>
          <w:sz w:val="21"/>
          <w:szCs w:val="21"/>
        </w:rPr>
        <w:t>平方米</w:t>
      </w:r>
      <w:r>
        <w:rPr>
          <w:rFonts w:ascii="Arial" w:hAnsi="Arial" w:cs="Arial"/>
          <w:sz w:val="21"/>
          <w:szCs w:val="21"/>
        </w:rPr>
        <w:t>·</w:t>
      </w:r>
      <w:r>
        <w:rPr>
          <w:rFonts w:ascii="Arial" w:hAnsi="Arial" w:cs="Arial"/>
          <w:sz w:val="21"/>
          <w:szCs w:val="21"/>
        </w:rPr>
        <w:t>月）</w:t>
      </w:r>
    </w:p>
    <w:p w14:paraId="177606FA" w14:textId="77777777" w:rsidR="00771ECA" w:rsidRDefault="00000000">
      <w:pPr>
        <w:overflowPunct w:val="0"/>
        <w:spacing w:line="480" w:lineRule="auto"/>
        <w:ind w:firstLine="420"/>
        <w:rPr>
          <w:rFonts w:ascii="Arial" w:hAnsi="Arial" w:cs="Arial"/>
          <w:sz w:val="21"/>
          <w:szCs w:val="21"/>
        </w:rPr>
      </w:pPr>
      <w:r>
        <w:rPr>
          <w:rFonts w:ascii="Arial" w:hAnsi="Arial" w:cs="Arial"/>
          <w:sz w:val="21"/>
          <w:szCs w:val="21"/>
        </w:rPr>
        <w:lastRenderedPageBreak/>
        <w:t>根据估价委托人介绍，估价对象</w:t>
      </w:r>
      <w:r>
        <w:rPr>
          <w:rFonts w:ascii="Arial" w:hAnsi="Arial" w:cs="Arial"/>
          <w:kern w:val="2"/>
          <w:sz w:val="21"/>
          <w:szCs w:val="21"/>
        </w:rPr>
        <w:t>亦城景园项目</w:t>
      </w:r>
      <w:r>
        <w:rPr>
          <w:rFonts w:ascii="Arial" w:hAnsi="Arial" w:cs="Arial"/>
          <w:color w:val="000000"/>
          <w:sz w:val="21"/>
          <w:szCs w:val="21"/>
        </w:rPr>
        <w:t>物业费</w:t>
      </w:r>
      <w:r>
        <w:rPr>
          <w:rFonts w:ascii="Arial" w:hAnsi="Arial" w:cs="Arial"/>
          <w:color w:val="000000"/>
          <w:sz w:val="21"/>
          <w:szCs w:val="21"/>
        </w:rPr>
        <w:t>7.6</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月，供暖费</w:t>
      </w:r>
      <w:r>
        <w:rPr>
          <w:rFonts w:ascii="Arial" w:hAnsi="Arial" w:cs="Arial"/>
          <w:color w:val="000000"/>
          <w:sz w:val="21"/>
          <w:szCs w:val="21"/>
        </w:rPr>
        <w:t>2.5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hAnsi="Arial" w:cs="Arial"/>
          <w:sz w:val="21"/>
          <w:szCs w:val="21"/>
        </w:rPr>
        <w:t>。</w:t>
      </w:r>
      <w:r>
        <w:rPr>
          <w:rFonts w:ascii="Arial" w:hAnsi="Arial" w:cs="Arial"/>
          <w:kern w:val="2"/>
          <w:sz w:val="21"/>
          <w:szCs w:val="21"/>
        </w:rPr>
        <w:t>故，</w:t>
      </w:r>
      <w:r>
        <w:rPr>
          <w:rFonts w:ascii="Arial" w:hAnsi="Arial" w:cs="Arial"/>
          <w:sz w:val="21"/>
          <w:szCs w:val="21"/>
        </w:rPr>
        <w:t>估价对象于价值时点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月）的月平均市场租金水平：</w:t>
      </w:r>
    </w:p>
    <w:p w14:paraId="25F65A3F" w14:textId="77777777" w:rsidR="00771ECA" w:rsidRDefault="00000000">
      <w:pPr>
        <w:overflowPunct w:val="0"/>
        <w:spacing w:line="480" w:lineRule="auto"/>
        <w:ind w:firstLine="420"/>
      </w:pPr>
      <w:r>
        <w:rPr>
          <w:rFonts w:ascii="Arial" w:hAnsi="Arial" w:cs="Arial"/>
          <w:kern w:val="2"/>
          <w:sz w:val="21"/>
          <w:szCs w:val="21"/>
        </w:rPr>
        <w:t>亦城景园</w:t>
      </w:r>
      <w:r>
        <w:rPr>
          <w:rFonts w:ascii="Arial" w:hAnsi="Arial" w:cs="Arial"/>
          <w:color w:val="000000"/>
          <w:sz w:val="21"/>
          <w:szCs w:val="21"/>
        </w:rPr>
        <w:t>平均租金</w:t>
      </w:r>
      <w:r>
        <w:rPr>
          <w:rFonts w:ascii="Arial" w:hAnsi="Arial" w:cs="Arial"/>
          <w:color w:val="000000"/>
          <w:sz w:val="21"/>
          <w:szCs w:val="21"/>
        </w:rPr>
        <w:t>=67.67+67.67÷</w:t>
      </w:r>
      <w:r>
        <w:rPr>
          <w:rFonts w:ascii="Arial" w:hAnsi="Arial" w:cs="Arial"/>
          <w:color w:val="000000"/>
          <w:sz w:val="21"/>
          <w:szCs w:val="21"/>
        </w:rPr>
        <w:t>（</w:t>
      </w:r>
      <w:r>
        <w:rPr>
          <w:rFonts w:ascii="Arial" w:hAnsi="Arial" w:cs="Arial"/>
          <w:color w:val="000000"/>
          <w:sz w:val="21"/>
          <w:szCs w:val="21"/>
        </w:rPr>
        <w:t>1+5%</w:t>
      </w:r>
      <w:r>
        <w:rPr>
          <w:rFonts w:ascii="Arial" w:hAnsi="Arial" w:cs="Arial"/>
          <w:color w:val="000000"/>
          <w:sz w:val="21"/>
          <w:szCs w:val="21"/>
        </w:rPr>
        <w:t>）</w:t>
      </w:r>
      <w:r>
        <w:rPr>
          <w:rFonts w:ascii="Arial" w:hAnsi="Arial" w:cs="Arial"/>
          <w:color w:val="000000"/>
          <w:sz w:val="21"/>
          <w:szCs w:val="21"/>
        </w:rPr>
        <w:t>×2.5%+7.6+2.5</w:t>
      </w:r>
    </w:p>
    <w:p w14:paraId="76F0E9EA" w14:textId="77777777" w:rsidR="00771ECA" w:rsidRDefault="00000000">
      <w:pPr>
        <w:overflowPunct w:val="0"/>
        <w:spacing w:line="480" w:lineRule="auto"/>
        <w:ind w:firstLine="1890"/>
        <w:rPr>
          <w:rFonts w:ascii="Arial" w:hAnsi="Arial" w:cs="Arial"/>
          <w:kern w:val="2"/>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=79</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月）（取整）</w:t>
      </w:r>
    </w:p>
    <w:p w14:paraId="134ABDB5" w14:textId="77777777" w:rsidR="00771ECA" w:rsidRDefault="00771ECA">
      <w:pPr>
        <w:overflowPunct w:val="0"/>
        <w:spacing w:line="480" w:lineRule="auto"/>
        <w:ind w:firstLine="420"/>
        <w:rPr>
          <w:rFonts w:ascii="Arial" w:hAnsi="Arial" w:cs="Arial"/>
          <w:b/>
          <w:kern w:val="2"/>
          <w:sz w:val="21"/>
          <w:szCs w:val="21"/>
        </w:rPr>
      </w:pPr>
    </w:p>
    <w:p w14:paraId="355C7A6F" w14:textId="77777777" w:rsidR="00771ECA" w:rsidRDefault="00000000">
      <w:pPr>
        <w:pStyle w:val="2"/>
        <w:numPr>
          <w:ilvl w:val="0"/>
          <w:numId w:val="0"/>
        </w:numPr>
        <w:tabs>
          <w:tab w:val="left" w:pos="360"/>
        </w:tabs>
        <w:spacing w:line="480" w:lineRule="auto"/>
        <w:ind w:left="357" w:hanging="357"/>
        <w:jc w:val="both"/>
        <w:rPr>
          <w:rFonts w:eastAsia="宋体;SimSun"/>
          <w:kern w:val="2"/>
          <w:sz w:val="21"/>
          <w:szCs w:val="21"/>
        </w:rPr>
      </w:pPr>
      <w:bookmarkStart w:id="52" w:name="__RefHeading___Toc525655441"/>
      <w:bookmarkEnd w:id="52"/>
      <w:r>
        <w:rPr>
          <w:rFonts w:eastAsia="宋体;SimSun"/>
          <w:kern w:val="2"/>
          <w:sz w:val="21"/>
          <w:szCs w:val="21"/>
        </w:rPr>
        <w:t>六、估价结果确定</w:t>
      </w:r>
    </w:p>
    <w:p w14:paraId="37D1B836"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月）平均市场租金水平为：</w:t>
      </w:r>
      <w:r>
        <w:rPr>
          <w:rFonts w:ascii="Arial" w:eastAsia="Arial" w:hAnsi="Arial" w:cs="Arial"/>
          <w:sz w:val="21"/>
          <w:szCs w:val="21"/>
        </w:rPr>
        <w:t xml:space="preserve"> </w:t>
      </w:r>
    </w:p>
    <w:p w14:paraId="0394B8D3" w14:textId="77777777" w:rsidR="00771ECA" w:rsidRDefault="00000000">
      <w:pPr>
        <w:overflowPunct w:val="0"/>
        <w:spacing w:line="480" w:lineRule="auto"/>
        <w:ind w:firstLine="420"/>
        <w:textAlignment w:val="auto"/>
      </w:pPr>
      <w:r>
        <w:rPr>
          <w:rFonts w:ascii="Arial" w:eastAsia="Arial" w:hAnsi="Arial" w:cs="Arial"/>
          <w:b/>
          <w:bCs/>
          <w:sz w:val="21"/>
          <w:szCs w:val="21"/>
        </w:rPr>
        <w:t xml:space="preserve"> </w:t>
      </w:r>
      <w:r>
        <w:rPr>
          <w:rFonts w:ascii="Arial" w:hAnsi="Arial" w:cs="Arial"/>
          <w:b/>
          <w:bCs/>
          <w:sz w:val="21"/>
          <w:szCs w:val="21"/>
        </w:rPr>
        <w:t>亦城景园：</w:t>
      </w:r>
      <w:r>
        <w:rPr>
          <w:rFonts w:ascii="Arial" w:hAnsi="Arial" w:cs="Arial"/>
          <w:b/>
          <w:bCs/>
          <w:sz w:val="21"/>
          <w:szCs w:val="21"/>
        </w:rPr>
        <w:t>79</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月（货币种类：人民币）</w:t>
      </w:r>
    </w:p>
    <w:p w14:paraId="7B833BE2" w14:textId="77777777" w:rsidR="00771ECA" w:rsidRDefault="00000000">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14:paraId="749D4702" w14:textId="77777777" w:rsidR="00771ECA" w:rsidRDefault="00000000">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14:paraId="50BA05F2" w14:textId="77777777" w:rsidR="00771ECA" w:rsidRDefault="00000000">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14:paraId="0B82F640" w14:textId="77777777" w:rsidR="00771ECA" w:rsidRDefault="00000000">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、估价结果包括地租、房屋折旧、设备折旧、维修费、保险费、物业费、供暖费、管理费、利息、利润、家具、家电租赁费及租赁税费等；不含水电费、天然气费、通信费、有线电视费、上网宽带费等。</w:t>
      </w:r>
    </w:p>
    <w:p w14:paraId="3A2DA6DA" w14:textId="77777777" w:rsidR="00771ECA" w:rsidRDefault="00771ECA">
      <w:pPr>
        <w:overflowPunct w:val="0"/>
        <w:spacing w:line="480" w:lineRule="auto"/>
        <w:ind w:left="720" w:hanging="360"/>
        <w:jc w:val="both"/>
        <w:textAlignment w:val="auto"/>
        <w:rPr>
          <w:rFonts w:ascii="Arial" w:hAnsi="Arial" w:cs="Arial"/>
          <w:sz w:val="18"/>
          <w:szCs w:val="18"/>
        </w:rPr>
      </w:pPr>
    </w:p>
    <w:p w14:paraId="0466DC7B" w14:textId="77777777" w:rsidR="00771ECA" w:rsidRDefault="00771ECA">
      <w:pPr>
        <w:spacing w:line="240" w:lineRule="auto"/>
        <w:jc w:val="center"/>
        <w:rPr>
          <w:rFonts w:ascii="Arial" w:hAnsi="Arial" w:cs="Arial"/>
          <w:b/>
          <w:sz w:val="21"/>
          <w:szCs w:val="21"/>
        </w:rPr>
        <w:sectPr w:rsidR="00771ECA">
          <w:headerReference w:type="default" r:id="rId47"/>
          <w:footerReference w:type="default" r:id="rId48"/>
          <w:pgSz w:w="11906" w:h="16838"/>
          <w:pgMar w:top="1843" w:right="1134" w:bottom="1134" w:left="1474" w:header="1134" w:footer="907" w:gutter="0"/>
          <w:cols w:space="720"/>
          <w:formProt w:val="0"/>
          <w:docGrid w:linePitch="326"/>
        </w:sectPr>
      </w:pPr>
    </w:p>
    <w:p w14:paraId="792501A5" w14:textId="77777777" w:rsidR="00771ECA" w:rsidRDefault="00000000">
      <w:pPr>
        <w:pStyle w:val="1"/>
        <w:spacing w:line="480" w:lineRule="auto"/>
        <w:jc w:val="center"/>
        <w:rPr>
          <w:b w:val="0"/>
          <w:kern w:val="2"/>
          <w:sz w:val="32"/>
          <w:szCs w:val="32"/>
        </w:rPr>
      </w:pPr>
      <w:bookmarkStart w:id="53" w:name="__RefHeading___Toc525655442"/>
      <w:bookmarkEnd w:id="53"/>
      <w:r>
        <w:rPr>
          <w:rFonts w:eastAsia="方正黑体简体"/>
          <w:b w:val="0"/>
          <w:kern w:val="2"/>
          <w:sz w:val="32"/>
          <w:szCs w:val="32"/>
        </w:rPr>
        <w:lastRenderedPageBreak/>
        <w:t>附</w:t>
      </w:r>
      <w:r>
        <w:rPr>
          <w:rFonts w:eastAsia="Arial"/>
          <w:b w:val="0"/>
          <w:kern w:val="2"/>
          <w:sz w:val="32"/>
          <w:szCs w:val="32"/>
        </w:rPr>
        <w:t xml:space="preserve">   </w:t>
      </w:r>
      <w:r>
        <w:rPr>
          <w:rFonts w:eastAsia="方正黑体简体"/>
          <w:b w:val="0"/>
          <w:kern w:val="2"/>
          <w:sz w:val="32"/>
          <w:szCs w:val="32"/>
        </w:rPr>
        <w:t>件</w:t>
      </w:r>
    </w:p>
    <w:p w14:paraId="1BBD022B"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《估价委托书》复印件</w:t>
      </w:r>
    </w:p>
    <w:p w14:paraId="3D08DC66"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估价对象所在位置示意图</w:t>
      </w:r>
    </w:p>
    <w:p w14:paraId="17FC186A"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估价对象现状照片</w:t>
      </w:r>
    </w:p>
    <w:p w14:paraId="3D414870"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C84D7CB" w14:textId="77777777" w:rsidR="00771ECA" w:rsidRDefault="00000000">
      <w:pPr>
        <w:numPr>
          <w:ilvl w:val="0"/>
          <w:numId w:val="3"/>
        </w:numPr>
        <w:spacing w:line="360" w:lineRule="auto"/>
        <w:jc w:val="both"/>
        <w:rPr>
          <w:rFonts w:ascii="Arial" w:hAnsi="Arial" w:cs="Arial"/>
          <w:sz w:val="21"/>
          <w:szCs w:val="21"/>
        </w:rPr>
      </w:pP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w:t>
      </w:r>
      <w:r>
        <w:rPr>
          <w:rFonts w:ascii="Arial" w:hAnsi="Arial" w:cs="Arial"/>
          <w:sz w:val="21"/>
          <w:szCs w:val="21"/>
        </w:rPr>
        <w:t>复印件</w:t>
      </w:r>
    </w:p>
    <w:p w14:paraId="5F5737D3"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估价委托人《营业执照（副本）》复印件</w:t>
      </w:r>
    </w:p>
    <w:p w14:paraId="30057285" w14:textId="77777777" w:rsidR="00771ECA" w:rsidRDefault="00000000">
      <w:pPr>
        <w:numPr>
          <w:ilvl w:val="0"/>
          <w:numId w:val="3"/>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5C071C20"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房地产估价机构资质证书复印件</w:t>
      </w:r>
    </w:p>
    <w:p w14:paraId="17CEE03A"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评估专业人员执业证书复印件</w:t>
      </w:r>
    </w:p>
    <w:sectPr w:rsidR="00771ECA">
      <w:headerReference w:type="default" r:id="rId49"/>
      <w:footerReference w:type="default" r:id="rId50"/>
      <w:pgSz w:w="11906" w:h="16838"/>
      <w:pgMar w:top="1843" w:right="1134" w:bottom="1134" w:left="1474" w:header="1134" w:footer="907" w:gutter="0"/>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未知作者" w:date="2024-01-04T16:24:00Z" w:initials="">
    <w:p w14:paraId="6D28CBA4" w14:textId="77777777" w:rsidR="00771ECA" w:rsidRDefault="00000000">
      <w:r>
        <w:rPr>
          <w:rFonts w:ascii="Liberation Serif" w:eastAsia="新宋体" w:hAnsi="Liberation Serif" w:cs="Lucida Sans"/>
          <w:kern w:val="2"/>
          <w:sz w:val="21"/>
          <w:szCs w:val="24"/>
          <w:lang w:bidi="hi-IN"/>
        </w:rPr>
        <w:t>还是应该写崔家窑北街吧？</w:t>
      </w:r>
    </w:p>
  </w:comment>
  <w:comment w:id="9" w:author="未知作者" w:date="2024-01-04T17:00:00Z" w:initials="">
    <w:p w14:paraId="511953E7" w14:textId="77777777" w:rsidR="00771ECA" w:rsidRDefault="00000000">
      <w:r>
        <w:rPr>
          <w:rFonts w:ascii="Liberation Serif" w:eastAsia="新宋体" w:hAnsi="Liberation Serif" w:cs="Lucida Sans"/>
          <w:kern w:val="2"/>
          <w:sz w:val="21"/>
          <w:szCs w:val="24"/>
          <w:lang w:bidi="hi-IN"/>
        </w:rPr>
        <w:t>这词儿有点儿绝对了呢</w:t>
      </w:r>
    </w:p>
  </w:comment>
  <w:comment w:id="15" w:author="未知作者" w:date="2024-01-04T17:26:00Z" w:initials="">
    <w:p w14:paraId="53B4B28A" w14:textId="77777777" w:rsidR="00771ECA" w:rsidRDefault="00000000">
      <w:r>
        <w:rPr>
          <w:rFonts w:ascii="Liberation Serif" w:eastAsia="新宋体" w:hAnsi="Liberation Serif" w:cs="Lucida Sans"/>
          <w:kern w:val="2"/>
          <w:sz w:val="20"/>
          <w:szCs w:val="24"/>
          <w:lang w:bidi="hi-IN"/>
        </w:rPr>
        <w:t>.</w:t>
      </w:r>
    </w:p>
  </w:comment>
  <w:comment w:id="18" w:author="未知作者" w:date="2024-01-04T17:30:00Z" w:initials="">
    <w:p w14:paraId="56322801" w14:textId="77777777" w:rsidR="00771ECA" w:rsidRDefault="00000000">
      <w:r>
        <w:rPr>
          <w:rFonts w:ascii="Liberation Serif" w:eastAsia="新宋体" w:hAnsi="Liberation Serif" w:cs="Lucida Sans"/>
          <w:kern w:val="2"/>
          <w:sz w:val="21"/>
          <w:szCs w:val="24"/>
          <w:lang w:bidi="hi-IN"/>
        </w:rPr>
        <w:t>改为承租者？感觉听着好听些</w:t>
      </w:r>
    </w:p>
  </w:comment>
  <w:comment w:id="21" w:author="未知作者" w:date="2024-01-04T17:37:00Z" w:initials="">
    <w:p w14:paraId="5D35A054" w14:textId="77777777" w:rsidR="00771ECA" w:rsidRDefault="00000000">
      <w:r>
        <w:rPr>
          <w:rFonts w:ascii="Liberation Serif" w:eastAsia="新宋体" w:hAnsi="Liberation Serif" w:cs="Lucida Sans"/>
          <w:kern w:val="2"/>
          <w:sz w:val="21"/>
          <w:szCs w:val="24"/>
          <w:lang w:bidi="hi-IN"/>
        </w:rPr>
        <w:t>不通顺，字序似有颠倒</w:t>
      </w:r>
    </w:p>
  </w:comment>
  <w:comment w:id="24" w:author="未知作者" w:date="2024-01-04T17:45:00Z" w:initials="">
    <w:p w14:paraId="6D549AEB" w14:textId="77777777" w:rsidR="00771ECA" w:rsidRDefault="00000000">
      <w:r>
        <w:rPr>
          <w:rFonts w:ascii="Liberation Serif" w:eastAsia="新宋体" w:hAnsi="Liberation Serif" w:cs="Lucida Sans"/>
          <w:kern w:val="2"/>
          <w:sz w:val="21"/>
          <w:szCs w:val="24"/>
          <w:lang w:bidi="hi-IN"/>
        </w:rPr>
        <w:t>这一条需要吗？不是反问句，是真的问。</w:t>
      </w:r>
    </w:p>
  </w:comment>
  <w:comment w:id="34" w:author="皓源 许" w:date="2024-01-04T23:17:00Z" w:initials="皓许">
    <w:p w14:paraId="2B908D68" w14:textId="77777777" w:rsidR="009D4D09" w:rsidRDefault="009D4D09" w:rsidP="009D4D09">
      <w:pPr>
        <w:pStyle w:val="afb"/>
      </w:pPr>
      <w:r>
        <w:rPr>
          <w:rStyle w:val="a7"/>
        </w:rPr>
        <w:annotationRef/>
      </w:r>
      <w:r>
        <w:rPr>
          <w:rFonts w:hint="eastAsia"/>
        </w:rPr>
        <w:t>？</w:t>
      </w:r>
    </w:p>
  </w:comment>
  <w:comment w:id="35" w:author="未知作者" w:date="2024-01-04T18:10:00Z" w:initials="">
    <w:p w14:paraId="537A65FB" w14:textId="241817AB" w:rsidR="00771ECA" w:rsidRDefault="00000000">
      <w:r>
        <w:rPr>
          <w:rFonts w:ascii="Liberation Serif" w:eastAsia="新宋体" w:hAnsi="Liberation Serif" w:cs="Lucida Sans"/>
          <w:kern w:val="2"/>
          <w:sz w:val="21"/>
          <w:szCs w:val="24"/>
          <w:lang w:bidi="hi-IN"/>
        </w:rPr>
        <w:t>？</w:t>
      </w:r>
    </w:p>
  </w:comment>
  <w:comment w:id="36" w:author="未知作者" w:date="2024-01-04T18:10:00Z" w:initials="">
    <w:p w14:paraId="19A731D7" w14:textId="77777777" w:rsidR="00771ECA" w:rsidRDefault="00000000">
      <w:r>
        <w:rPr>
          <w:rFonts w:ascii="Liberation Serif" w:eastAsia="新宋体" w:hAnsi="Liberation Serif" w:cs="Lucida Sans"/>
          <w:kern w:val="2"/>
          <w:sz w:val="20"/>
          <w:szCs w:val="24"/>
          <w:lang w:bidi="hi-IN"/>
        </w:rPr>
        <w:t>.</w:t>
      </w:r>
    </w:p>
  </w:comment>
  <w:comment w:id="48" w:author="皓源 许" w:date="2024-01-04T23:24:00Z" w:initials="皓许">
    <w:p w14:paraId="389D49F7" w14:textId="77777777" w:rsidR="00B3235C" w:rsidRDefault="00B3235C" w:rsidP="00B3235C">
      <w:pPr>
        <w:pStyle w:val="afb"/>
      </w:pPr>
      <w:r>
        <w:rPr>
          <w:rStyle w:val="a7"/>
        </w:rPr>
        <w:annotationRef/>
      </w:r>
      <w:r>
        <w:rPr>
          <w:rFonts w:hint="eastAsia"/>
        </w:rPr>
        <w:t>？</w:t>
      </w:r>
    </w:p>
  </w:comment>
  <w:comment w:id="49" w:author="皓源 许" w:date="2024-01-04T23:25:00Z" w:initials="皓许">
    <w:p w14:paraId="7DD5F760" w14:textId="77777777" w:rsidR="00B3235C" w:rsidRDefault="00B3235C" w:rsidP="00B3235C">
      <w:pPr>
        <w:pStyle w:val="afb"/>
      </w:pPr>
      <w:r>
        <w:rPr>
          <w:rStyle w:val="a7"/>
        </w:rPr>
        <w:annotationRef/>
      </w:r>
      <w:r>
        <w:rPr>
          <w:rFonts w:hint="eastAsia"/>
        </w:rPr>
        <w:t>几条道路的等级有误</w:t>
      </w:r>
    </w:p>
  </w:comment>
  <w:comment w:id="50" w:author="皓源 许" w:date="2024-01-04T23:31:00Z" w:initials="皓许">
    <w:p w14:paraId="0A00299A" w14:textId="77777777" w:rsidR="00B3235C" w:rsidRDefault="00B3235C" w:rsidP="00B3235C">
      <w:pPr>
        <w:pStyle w:val="afb"/>
      </w:pPr>
      <w:r>
        <w:rPr>
          <w:rStyle w:val="a7"/>
        </w:rPr>
        <w:annotationRef/>
      </w:r>
      <w:r>
        <w:rPr>
          <w:rFonts w:hint="eastAsia"/>
        </w:rPr>
        <w:t>？？？？</w:t>
      </w:r>
    </w:p>
  </w:comment>
  <w:comment w:id="51" w:author="皓源 许" w:date="2024-01-04T23:32:00Z" w:initials="皓许">
    <w:p w14:paraId="6A79A94A" w14:textId="77777777" w:rsidR="00B3235C" w:rsidRDefault="00B3235C" w:rsidP="00B3235C">
      <w:pPr>
        <w:pStyle w:val="afb"/>
      </w:pPr>
      <w:r>
        <w:rPr>
          <w:rStyle w:val="a7"/>
        </w:rPr>
        <w:annotationRef/>
      </w:r>
      <w:r>
        <w:rPr>
          <w:rFonts w:hint="eastAsia"/>
        </w:rPr>
        <w:t>？与户型那一项重复吗？矛盾吗？</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28CBA4" w15:done="0"/>
  <w15:commentEx w15:paraId="511953E7" w15:done="0"/>
  <w15:commentEx w15:paraId="53B4B28A" w15:done="0"/>
  <w15:commentEx w15:paraId="56322801" w15:done="0"/>
  <w15:commentEx w15:paraId="5D35A054" w15:done="0"/>
  <w15:commentEx w15:paraId="6D549AEB" w15:done="0"/>
  <w15:commentEx w15:paraId="2B908D68" w15:done="0"/>
  <w15:commentEx w15:paraId="537A65FB" w15:done="0"/>
  <w15:commentEx w15:paraId="19A731D7" w15:done="0"/>
  <w15:commentEx w15:paraId="389D49F7" w15:done="0"/>
  <w15:commentEx w15:paraId="7DD5F760" w15:done="0"/>
  <w15:commentEx w15:paraId="0A00299A" w15:done="0"/>
  <w15:commentEx w15:paraId="6A79A9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C90DC05" w16cex:dateUtc="2024-01-04T15:17:00Z"/>
  <w16cex:commentExtensible w16cex:durableId="32119F7B" w16cex:dateUtc="2024-01-04T15:24:00Z"/>
  <w16cex:commentExtensible w16cex:durableId="71922A23" w16cex:dateUtc="2024-01-04T15:25:00Z"/>
  <w16cex:commentExtensible w16cex:durableId="0CC34F5A" w16cex:dateUtc="2024-01-04T15:31:00Z"/>
  <w16cex:commentExtensible w16cex:durableId="288F95C7" w16cex:dateUtc="2024-01-04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28CBA4" w16cid:durableId="5FE2C6BB"/>
  <w16cid:commentId w16cid:paraId="511953E7" w16cid:durableId="4CEF13A0"/>
  <w16cid:commentId w16cid:paraId="53B4B28A" w16cid:durableId="42EE2939"/>
  <w16cid:commentId w16cid:paraId="56322801" w16cid:durableId="553E706C"/>
  <w16cid:commentId w16cid:paraId="5D35A054" w16cid:durableId="682B8018"/>
  <w16cid:commentId w16cid:paraId="6D549AEB" w16cid:durableId="1191F830"/>
  <w16cid:commentId w16cid:paraId="2B908D68" w16cid:durableId="6C90DC05"/>
  <w16cid:commentId w16cid:paraId="537A65FB" w16cid:durableId="2C429445"/>
  <w16cid:commentId w16cid:paraId="19A731D7" w16cid:durableId="7390A36E"/>
  <w16cid:commentId w16cid:paraId="389D49F7" w16cid:durableId="32119F7B"/>
  <w16cid:commentId w16cid:paraId="7DD5F760" w16cid:durableId="71922A23"/>
  <w16cid:commentId w16cid:paraId="0A00299A" w16cid:durableId="0CC34F5A"/>
  <w16cid:commentId w16cid:paraId="6A79A94A" w16cid:durableId="288F95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BBB31" w14:textId="77777777" w:rsidR="0091633D" w:rsidRDefault="0091633D">
      <w:pPr>
        <w:spacing w:line="240" w:lineRule="auto"/>
      </w:pPr>
      <w:r>
        <w:separator/>
      </w:r>
    </w:p>
  </w:endnote>
  <w:endnote w:type="continuationSeparator" w:id="0">
    <w:p w14:paraId="26DFCB54" w14:textId="77777777" w:rsidR="0091633D" w:rsidRDefault="00916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86"/>
    <w:family w:val="roman"/>
    <w:pitch w:val="variable"/>
  </w:font>
  <w:font w:name="新宋体">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仿宋_GB2312">
    <w:altName w:val="微软雅黑"/>
    <w:charset w:val="86"/>
    <w:family w:val="modern"/>
    <w:pitch w:val="default"/>
  </w:font>
  <w:font w:name="Arial Unicode MS">
    <w:panose1 w:val="020B0604020202020204"/>
    <w:charset w:val="00"/>
    <w:family w:val="swiss"/>
    <w:pitch w:val="variable"/>
  </w:font>
  <w:font w:name="Calibri">
    <w:panose1 w:val="020F0502020204030204"/>
    <w:charset w:val="00"/>
    <w:family w:val="swiss"/>
    <w:pitch w:val="variable"/>
    <w:sig w:usb0="E4002EFF" w:usb1="C200247B" w:usb2="00000009" w:usb3="00000000" w:csb0="000001FF" w:csb1="00000000"/>
  </w:font>
  <w:font w:name="楷体_GB2312">
    <w:altName w:val="微软雅黑"/>
    <w:charset w:val="86"/>
    <w:family w:val="modern"/>
    <w:pitch w:val="default"/>
  </w:font>
  <w:font w:name="Liberation Sans">
    <w:altName w:val="Arial"/>
    <w:charset w:val="86"/>
    <w:family w:val="swiss"/>
    <w:pitch w:val="variable"/>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SimHei">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黑体简体">
    <w:altName w:val="宋体"/>
    <w:panose1 w:val="00000000000000000000"/>
    <w:charset w:val="86"/>
    <w:family w:val="roman"/>
    <w:notTrueType/>
    <w:pitch w:val="default"/>
  </w:font>
  <w:font w:name="华文细黑">
    <w:panose1 w:val="02010600040101010101"/>
    <w:charset w:val="86"/>
    <w:family w:val="auto"/>
    <w:pitch w:val="variable"/>
    <w:sig w:usb0="00000287" w:usb1="080F0000" w:usb2="00000010" w:usb3="00000000" w:csb0="0004009F" w:csb1="00000000"/>
  </w:font>
  <w:font w:name="Roboto">
    <w:charset w:val="00"/>
    <w:family w:val="auto"/>
    <w:pitch w:val="variable"/>
    <w:sig w:usb0="E0000AFF" w:usb1="5000217F" w:usb2="00000021"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08D6"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D76E" w14:textId="77777777" w:rsidR="00771ECA" w:rsidRDefault="00000000">
    <w:pPr>
      <w:pStyle w:val="af3"/>
      <w:pBdr>
        <w:top w:val="single" w:sz="4" w:space="1" w:color="404040"/>
      </w:pBdr>
      <w:tabs>
        <w:tab w:val="clear" w:pos="4153"/>
        <w:tab w:val="clear" w:pos="8306"/>
        <w:tab w:val="right" w:pos="9027"/>
      </w:tabs>
      <w:jc w:val="center"/>
      <w:rPr>
        <w:rFonts w:ascii="Calibri" w:hAnsi="Calibri" w:cs="Calibri"/>
      </w:rPr>
    </w:pPr>
    <w:r>
      <w:rPr>
        <w:rFonts w:ascii="Calibri" w:hAnsi="Calibri" w:cs="Calibri"/>
      </w:rPr>
      <w:fldChar w:fldCharType="begin"/>
    </w:r>
    <w:r>
      <w:rPr>
        <w:rFonts w:ascii="Calibri" w:hAnsi="Calibri" w:cs="Calibri"/>
      </w:rPr>
      <w:instrText>PAGE</w:instrText>
    </w:r>
    <w:r>
      <w:rPr>
        <w:rFonts w:ascii="Calibri" w:hAnsi="Calibri" w:cs="Calibri"/>
      </w:rPr>
      <w:fldChar w:fldCharType="separate"/>
    </w:r>
    <w:r>
      <w:rPr>
        <w:rFonts w:ascii="Calibri" w:hAnsi="Calibri" w:cs="Calibri"/>
      </w:rPr>
      <w:t>21</w:t>
    </w:r>
    <w:r>
      <w:rPr>
        <w:rFonts w:ascii="Calibri" w:hAnsi="Calibri" w:cs="Calibri"/>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2F43" w14:textId="77777777" w:rsidR="00771ECA" w:rsidRDefault="00000000">
    <w:pPr>
      <w:pStyle w:val="af3"/>
      <w:pBdr>
        <w:top w:val="single" w:sz="4" w:space="1" w:color="404040"/>
      </w:pBdr>
      <w:tabs>
        <w:tab w:val="clear" w:pos="4153"/>
        <w:tab w:val="clear" w:pos="8306"/>
        <w:tab w:val="right" w:pos="9027"/>
      </w:tabs>
      <w:jc w:val="center"/>
      <w:rPr>
        <w:rFonts w:ascii="Calibri" w:hAnsi="Calibri" w:cs="Calibri"/>
      </w:rPr>
    </w:pPr>
    <w:r>
      <w:rPr>
        <w:rFonts w:ascii="Calibri" w:hAnsi="Calibri" w:cs="Calibri"/>
      </w:rPr>
      <w:fldChar w:fldCharType="begin"/>
    </w:r>
    <w:r>
      <w:rPr>
        <w:rFonts w:ascii="Calibri" w:hAnsi="Calibri" w:cs="Calibri"/>
      </w:rPr>
      <w:instrText>PAGE</w:instrText>
    </w:r>
    <w:r>
      <w:rPr>
        <w:rFonts w:ascii="Calibri" w:hAnsi="Calibri" w:cs="Calibri"/>
      </w:rPr>
      <w:fldChar w:fldCharType="separate"/>
    </w:r>
    <w:r>
      <w:rPr>
        <w:rFonts w:ascii="Calibri" w:hAnsi="Calibri" w:cs="Calibri"/>
      </w:rPr>
      <w:t>49</w:t>
    </w:r>
    <w:r>
      <w:rPr>
        <w:rFonts w:ascii="Calibri" w:hAnsi="Calibri"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AD2" w14:textId="77777777" w:rsidR="00771ECA" w:rsidRDefault="00771ECA">
    <w:pPr>
      <w:pStyle w:val="af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CD7C"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0</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9943" w14:textId="77777777" w:rsidR="00771ECA" w:rsidRDefault="00771ECA">
    <w:pPr>
      <w:pStyle w:val="af3"/>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F13D"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B51C"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4</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1236"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5</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73A6"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8</w:t>
    </w:r>
    <w:r>
      <w:rPr>
        <w:rFonts w:ascii="Arial" w:hAnsi="Arial"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D60F" w14:textId="77777777" w:rsidR="00771ECA" w:rsidRDefault="00000000">
    <w:pPr>
      <w:pStyle w:val="af3"/>
      <w:pBdr>
        <w:top w:val="single" w:sz="4" w:space="1" w:color="404040"/>
      </w:pBdr>
      <w:tabs>
        <w:tab w:val="clear" w:pos="4153"/>
        <w:tab w:val="clear" w:pos="8306"/>
        <w:tab w:val="right" w:pos="9027"/>
      </w:tabs>
      <w:jc w:val="center"/>
      <w:rPr>
        <w:rFonts w:ascii="Calibri" w:hAnsi="Calibri" w:cs="Calibri"/>
      </w:rPr>
    </w:pPr>
    <w:r>
      <w:rPr>
        <w:rFonts w:ascii="Calibri" w:hAnsi="Calibri" w:cs="Calibri"/>
      </w:rPr>
      <w:fldChar w:fldCharType="begin"/>
    </w:r>
    <w:r>
      <w:rPr>
        <w:rFonts w:ascii="Calibri" w:hAnsi="Calibri" w:cs="Calibri"/>
      </w:rPr>
      <w:instrText>PAGE</w:instrText>
    </w:r>
    <w:r>
      <w:rPr>
        <w:rFonts w:ascii="Calibri" w:hAnsi="Calibri" w:cs="Calibri"/>
      </w:rPr>
      <w:fldChar w:fldCharType="separate"/>
    </w:r>
    <w:r>
      <w:rPr>
        <w:rFonts w:ascii="Calibri" w:hAnsi="Calibri" w:cs="Calibri"/>
      </w:rPr>
      <w:t>18</w:t>
    </w:r>
    <w:r>
      <w:rPr>
        <w:rFonts w:ascii="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B6BC4" w14:textId="77777777" w:rsidR="0091633D" w:rsidRDefault="0091633D">
      <w:pPr>
        <w:spacing w:line="240" w:lineRule="auto"/>
      </w:pPr>
      <w:r>
        <w:separator/>
      </w:r>
    </w:p>
  </w:footnote>
  <w:footnote w:type="continuationSeparator" w:id="0">
    <w:p w14:paraId="14AB12C2" w14:textId="77777777" w:rsidR="0091633D" w:rsidRDefault="009163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B2D8" w14:textId="77777777" w:rsidR="00771ECA" w:rsidRDefault="00000000">
    <w:pPr>
      <w:pStyle w:val="af9"/>
      <w:pBdr>
        <w:bottom w:val="nil"/>
      </w:pBdr>
      <w:rPr>
        <w:lang w:val="zh-CN"/>
      </w:rPr>
    </w:pPr>
    <w:r>
      <w:rPr>
        <w:noProof/>
        <w:lang w:val="zh-CN"/>
      </w:rPr>
      <w:drawing>
        <wp:inline distT="0" distB="0" distL="0" distR="0" wp14:anchorId="63A91963" wp14:editId="693FD669">
          <wp:extent cx="5908675" cy="288290"/>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noChangeArrowheads="1"/>
                  </pic:cNvPicPr>
                </pic:nvPicPr>
                <pic:blipFill>
                  <a:blip r:embed="rId1"/>
                  <a:stretch>
                    <a:fillRect/>
                  </a:stretch>
                </pic:blipFill>
                <pic:spPr bwMode="auto">
                  <a:xfrm>
                    <a:off x="0" y="0"/>
                    <a:ext cx="5908675" cy="28829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3DCB" w14:textId="77777777" w:rsidR="00771ECA" w:rsidRDefault="00771ECA">
    <w:pPr>
      <w:pStyle w:val="af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955B" w14:textId="77777777" w:rsidR="00771ECA" w:rsidRDefault="00000000">
    <w:pPr>
      <w:pStyle w:val="af9"/>
      <w:pBdr>
        <w:bottom w:val="nil"/>
      </w:pBdr>
      <w:rPr>
        <w:lang w:val="zh-CN"/>
      </w:rPr>
    </w:pPr>
    <w:r>
      <w:rPr>
        <w:noProof/>
        <w:lang w:val="zh-CN"/>
      </w:rPr>
      <w:drawing>
        <wp:inline distT="0" distB="0" distL="0" distR="0" wp14:anchorId="7D8B35D7" wp14:editId="609D7124">
          <wp:extent cx="5908675" cy="288290"/>
          <wp:effectExtent l="0" t="0" r="0" b="0"/>
          <wp:docPr id="28"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23"/>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B501" w14:textId="77777777" w:rsidR="00771ECA" w:rsidRDefault="00771ECA">
    <w:pPr>
      <w:pStyle w:val="af9"/>
      <w:pBdr>
        <w:bottom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58BB" w14:textId="77777777" w:rsidR="00771ECA" w:rsidRDefault="00000000">
    <w:pPr>
      <w:pStyle w:val="af9"/>
      <w:pBdr>
        <w:bottom w:val="nil"/>
      </w:pBdr>
      <w:rPr>
        <w:lang w:val="zh-CN"/>
      </w:rPr>
    </w:pPr>
    <w:r>
      <w:rPr>
        <w:noProof/>
        <w:lang w:val="zh-CN"/>
      </w:rPr>
      <w:drawing>
        <wp:inline distT="0" distB="0" distL="0" distR="0" wp14:anchorId="5111661E" wp14:editId="23875CED">
          <wp:extent cx="5908675" cy="288290"/>
          <wp:effectExtent l="0" t="0" r="0" b="0"/>
          <wp:docPr id="2"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像17"/>
                  <pic:cNvPicPr>
                    <a:picLocks noChangeAspect="1" noChangeArrowheads="1"/>
                  </pic:cNvPicPr>
                </pic:nvPicPr>
                <pic:blipFill>
                  <a:blip r:embed="rId1"/>
                  <a:stretch>
                    <a:fillRect/>
                  </a:stretch>
                </pic:blipFill>
                <pic:spPr bwMode="auto">
                  <a:xfrm>
                    <a:off x="0" y="0"/>
                    <a:ext cx="5908675" cy="28829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313E8" w14:textId="77777777" w:rsidR="00771ECA" w:rsidRDefault="00771ECA">
    <w:pPr>
      <w:pStyle w:val="af9"/>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1209" w14:textId="77777777" w:rsidR="00771ECA" w:rsidRDefault="00000000">
    <w:pPr>
      <w:pStyle w:val="af9"/>
      <w:pBdr>
        <w:bottom w:val="nil"/>
      </w:pBdr>
      <w:jc w:val="both"/>
      <w:rPr>
        <w:lang w:val="zh-CN"/>
      </w:rPr>
    </w:pPr>
    <w:r>
      <w:rPr>
        <w:noProof/>
        <w:lang w:val="zh-CN"/>
      </w:rPr>
      <w:drawing>
        <wp:inline distT="0" distB="0" distL="0" distR="0" wp14:anchorId="1B04A347" wp14:editId="1BF89098">
          <wp:extent cx="5908675" cy="288290"/>
          <wp:effectExtent l="0" t="0" r="0" b="0"/>
          <wp:docPr id="4"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8"/>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2642" w14:textId="77777777" w:rsidR="00771ECA" w:rsidRDefault="00000000">
    <w:pPr>
      <w:pStyle w:val="af9"/>
      <w:pBdr>
        <w:bottom w:val="nil"/>
      </w:pBdr>
      <w:rPr>
        <w:lang w:val="zh-CN"/>
      </w:rPr>
    </w:pPr>
    <w:r>
      <w:rPr>
        <w:noProof/>
        <w:lang w:val="zh-CN"/>
      </w:rPr>
      <w:drawing>
        <wp:inline distT="0" distB="0" distL="0" distR="0" wp14:anchorId="29CFDABB" wp14:editId="260704A9">
          <wp:extent cx="5908675" cy="288290"/>
          <wp:effectExtent l="0" t="0" r="0" b="0"/>
          <wp:docPr id="5"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9"/>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2988" w14:textId="77777777" w:rsidR="00771ECA" w:rsidRDefault="00000000">
    <w:pPr>
      <w:pStyle w:val="af9"/>
      <w:pBdr>
        <w:bottom w:val="nil"/>
      </w:pBdr>
      <w:jc w:val="both"/>
      <w:rPr>
        <w:lang w:val="zh-CN"/>
      </w:rPr>
    </w:pPr>
    <w:r>
      <w:rPr>
        <w:noProof/>
        <w:lang w:val="zh-CN"/>
      </w:rPr>
      <w:drawing>
        <wp:inline distT="0" distB="0" distL="0" distR="0" wp14:anchorId="764AA13B" wp14:editId="28184C78">
          <wp:extent cx="5908675" cy="288290"/>
          <wp:effectExtent l="0" t="0" r="0" b="0"/>
          <wp:docPr id="6"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20"/>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2C4B" w14:textId="77777777" w:rsidR="00771ECA" w:rsidRDefault="00000000">
    <w:pPr>
      <w:pStyle w:val="af9"/>
      <w:pBdr>
        <w:bottom w:val="nil"/>
      </w:pBdr>
      <w:jc w:val="both"/>
      <w:rPr>
        <w:lang w:val="zh-CN"/>
      </w:rPr>
    </w:pPr>
    <w:r>
      <w:rPr>
        <w:noProof/>
        <w:lang w:val="zh-CN"/>
      </w:rPr>
      <w:drawing>
        <wp:inline distT="0" distB="0" distL="0" distR="0" wp14:anchorId="473A7122" wp14:editId="28130184">
          <wp:extent cx="5908675" cy="288290"/>
          <wp:effectExtent l="0" t="0" r="0" b="0"/>
          <wp:docPr id="7"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21"/>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87E0" w14:textId="77777777" w:rsidR="00771ECA" w:rsidRDefault="00000000">
    <w:pPr>
      <w:pStyle w:val="af9"/>
      <w:pBdr>
        <w:bottom w:val="nil"/>
      </w:pBdr>
      <w:jc w:val="both"/>
      <w:rPr>
        <w:lang w:val="zh-CN"/>
      </w:rPr>
    </w:pPr>
    <w:r>
      <w:rPr>
        <w:noProof/>
        <w:lang w:val="zh-CN"/>
      </w:rPr>
      <w:drawing>
        <wp:inline distT="0" distB="0" distL="0" distR="0" wp14:anchorId="7C2DE876" wp14:editId="083BE9F6">
          <wp:extent cx="5908675" cy="288290"/>
          <wp:effectExtent l="0" t="0" r="0" b="0"/>
          <wp:docPr id="10"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22"/>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06CE5"/>
    <w:multiLevelType w:val="multilevel"/>
    <w:tmpl w:val="95D6DA62"/>
    <w:lvl w:ilvl="0">
      <w:start w:val="1"/>
      <w:numFmt w:val="decimal"/>
      <w:lvlText w:val="%1."/>
      <w:lvlJc w:val="left"/>
      <w:pPr>
        <w:ind w:left="840" w:hanging="420"/>
      </w:pPr>
      <w:rPr>
        <w:rFonts w:ascii="Arial" w:hAnsi="Arial" w:cs="Arial"/>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784658E"/>
    <w:multiLevelType w:val="multilevel"/>
    <w:tmpl w:val="8C3C6748"/>
    <w:lvl w:ilvl="0">
      <w:start w:val="1"/>
      <w:numFmt w:val="upperLetter"/>
      <w:pStyle w:val="2"/>
      <w:lvlText w:val="%1."/>
      <w:lvlJc w:val="left"/>
      <w:pPr>
        <w:tabs>
          <w:tab w:val="num" w:pos="360"/>
        </w:tabs>
        <w:ind w:left="360" w:hanging="360"/>
      </w:pPr>
      <w:rPr>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BAC494C"/>
    <w:multiLevelType w:val="multilevel"/>
    <w:tmpl w:val="5EA0B17A"/>
    <w:lvl w:ilvl="0">
      <w:start w:val="1"/>
      <w:numFmt w:val="decimal"/>
      <w:lvlText w:val="%1、"/>
      <w:lvlJc w:val="left"/>
      <w:pPr>
        <w:ind w:left="780" w:hanging="360"/>
      </w:pPr>
      <w:rPr>
        <w:rFonts w:ascii="Arial" w:hAnsi="Arial" w:cs="Arial"/>
        <w:color w:val="000000"/>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28F16962"/>
    <w:multiLevelType w:val="multilevel"/>
    <w:tmpl w:val="5686C55E"/>
    <w:lvl w:ilvl="0">
      <w:numFmt w:val="bullet"/>
      <w:lvlText w:val="—"/>
      <w:lvlJc w:val="left"/>
      <w:pPr>
        <w:ind w:left="360" w:hanging="360"/>
      </w:pPr>
      <w:rPr>
        <w:rFonts w:ascii="微软雅黑" w:hAnsi="微软雅黑" w:cs="Times New Roman"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4" w15:restartNumberingAfterBreak="0">
    <w:nsid w:val="2F2E25A0"/>
    <w:multiLevelType w:val="multilevel"/>
    <w:tmpl w:val="2F7CFA3A"/>
    <w:lvl w:ilvl="0">
      <w:start w:val="1"/>
      <w:numFmt w:val="decimal"/>
      <w:lvlText w:val="%1."/>
      <w:lvlJc w:val="left"/>
      <w:pPr>
        <w:ind w:left="840" w:hanging="420"/>
      </w:pPr>
      <w:rPr>
        <w:rFonts w:ascii="Arial" w:hAnsi="Arial" w:cs="Arial"/>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1DE420B"/>
    <w:multiLevelType w:val="multilevel"/>
    <w:tmpl w:val="DFF434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31F11FF9"/>
    <w:multiLevelType w:val="multilevel"/>
    <w:tmpl w:val="B1CC75F6"/>
    <w:lvl w:ilvl="0">
      <w:start w:val="1"/>
      <w:numFmt w:val="decimal"/>
      <w:lvlText w:val="%1."/>
      <w:lvlJc w:val="left"/>
      <w:pPr>
        <w:ind w:left="420" w:hanging="420"/>
      </w:pPr>
      <w:rPr>
        <w:rFonts w:cs="Arial"/>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A556446"/>
    <w:multiLevelType w:val="multilevel"/>
    <w:tmpl w:val="36D29FCA"/>
    <w:lvl w:ilvl="0">
      <w:start w:val="9"/>
      <w:numFmt w:val="chineseCountingThousand"/>
      <w:lvlText w:val="%1、"/>
      <w:lvlJc w:val="left"/>
      <w:pPr>
        <w:ind w:left="450" w:hanging="45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251B44"/>
    <w:multiLevelType w:val="multilevel"/>
    <w:tmpl w:val="7DD02846"/>
    <w:lvl w:ilvl="0">
      <w:start w:val="4"/>
      <w:numFmt w:val="chineseCountingThousand"/>
      <w:lvlText w:val="%1、"/>
      <w:lvlJc w:val="left"/>
      <w:pPr>
        <w:ind w:left="450" w:hanging="45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1EB0"/>
    <w:multiLevelType w:val="multilevel"/>
    <w:tmpl w:val="1DA8175E"/>
    <w:lvl w:ilvl="0">
      <w:start w:val="1"/>
      <w:numFmt w:val="decimal"/>
      <w:lvlText w:val="%1."/>
      <w:lvlJc w:val="left"/>
      <w:pPr>
        <w:ind w:left="840" w:hanging="420"/>
      </w:pPr>
      <w:rPr>
        <w:rFonts w:ascii="Arial" w:hAnsi="Arial" w:cs="Arial"/>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5D90AE1"/>
    <w:multiLevelType w:val="multilevel"/>
    <w:tmpl w:val="11D2269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1" w15:restartNumberingAfterBreak="0">
    <w:nsid w:val="680D76CF"/>
    <w:multiLevelType w:val="multilevel"/>
    <w:tmpl w:val="49F6C8A2"/>
    <w:lvl w:ilvl="0">
      <w:start w:val="1"/>
      <w:numFmt w:val="upperRoman"/>
      <w:pStyle w:val="4"/>
      <w:lvlText w:val="%1、"/>
      <w:lvlJc w:val="left"/>
      <w:pPr>
        <w:tabs>
          <w:tab w:val="num" w:pos="1605"/>
        </w:tabs>
        <w:ind w:left="1605" w:hanging="1080"/>
      </w:p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num w:numId="1" w16cid:durableId="2062244358">
    <w:abstractNumId w:val="5"/>
  </w:num>
  <w:num w:numId="2" w16cid:durableId="66533713">
    <w:abstractNumId w:val="8"/>
  </w:num>
  <w:num w:numId="3" w16cid:durableId="1408386283">
    <w:abstractNumId w:val="9"/>
  </w:num>
  <w:num w:numId="4" w16cid:durableId="1468351662">
    <w:abstractNumId w:val="10"/>
  </w:num>
  <w:num w:numId="5" w16cid:durableId="1817255383">
    <w:abstractNumId w:val="7"/>
  </w:num>
  <w:num w:numId="6" w16cid:durableId="292634692">
    <w:abstractNumId w:val="2"/>
  </w:num>
  <w:num w:numId="7" w16cid:durableId="1391688196">
    <w:abstractNumId w:val="6"/>
  </w:num>
  <w:num w:numId="8" w16cid:durableId="159345627">
    <w:abstractNumId w:val="4"/>
  </w:num>
  <w:num w:numId="9" w16cid:durableId="219218666">
    <w:abstractNumId w:val="0"/>
  </w:num>
  <w:num w:numId="10" w16cid:durableId="1586692643">
    <w:abstractNumId w:val="3"/>
  </w:num>
  <w:num w:numId="11" w16cid:durableId="71780692">
    <w:abstractNumId w:val="11"/>
  </w:num>
  <w:num w:numId="12" w16cid:durableId="18252693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ECA"/>
    <w:rsid w:val="003F3DF8"/>
    <w:rsid w:val="005F05E6"/>
    <w:rsid w:val="00771ECA"/>
    <w:rsid w:val="0091633D"/>
    <w:rsid w:val="009D4D09"/>
    <w:rsid w:val="00B3235C"/>
    <w:rsid w:val="00C61AD1"/>
    <w:rsid w:val="00FB1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7CA00"/>
  <w15:docId w15:val="{EED211B4-59EA-44C5-89A7-FB6145579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uiPriority w:val="9"/>
    <w:qFormat/>
    <w:pPr>
      <w:keepNext/>
      <w:spacing w:line="300" w:lineRule="auto"/>
      <w:jc w:val="both"/>
      <w:outlineLvl w:val="0"/>
    </w:pPr>
    <w:rPr>
      <w:rFonts w:ascii="Arial" w:eastAsia="仿宋_GB2312" w:hAnsi="Arial" w:cs="Arial"/>
      <w:b/>
      <w:sz w:val="28"/>
    </w:rPr>
  </w:style>
  <w:style w:type="paragraph" w:styleId="2">
    <w:name w:val="heading 2"/>
    <w:basedOn w:val="a"/>
    <w:next w:val="a"/>
    <w:uiPriority w:val="9"/>
    <w:unhideWhenUsed/>
    <w:qFormat/>
    <w:pPr>
      <w:keepNext/>
      <w:numPr>
        <w:numId w:val="12"/>
      </w:numPr>
      <w:tabs>
        <w:tab w:val="left" w:pos="360"/>
      </w:tabs>
      <w:spacing w:line="300" w:lineRule="auto"/>
      <w:outlineLvl w:val="1"/>
    </w:pPr>
    <w:rPr>
      <w:rFonts w:ascii="Arial" w:eastAsia="仿宋_GB2312" w:hAnsi="Arial" w:cs="Arial"/>
      <w:b/>
      <w:bCs/>
      <w:sz w:val="28"/>
    </w:rPr>
  </w:style>
  <w:style w:type="paragraph" w:styleId="3">
    <w:name w:val="heading 3"/>
    <w:basedOn w:val="a"/>
    <w:next w:val="a"/>
    <w:uiPriority w:val="9"/>
    <w:semiHidden/>
    <w:unhideWhenUsed/>
    <w:qFormat/>
    <w:pPr>
      <w:keepNext/>
      <w:numPr>
        <w:numId w:val="4"/>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uiPriority w:val="9"/>
    <w:semiHidden/>
    <w:unhideWhenUsed/>
    <w:qFormat/>
    <w:pPr>
      <w:keepNext/>
      <w:numPr>
        <w:numId w:val="11"/>
      </w:numPr>
      <w:spacing w:line="440" w:lineRule="atLeast"/>
      <w:ind w:right="-22" w:firstLine="0"/>
      <w:outlineLvl w:val="3"/>
    </w:pPr>
    <w:rPr>
      <w:rFonts w:ascii="仿宋_GB2312" w:eastAsia="仿宋_GB2312" w:hAnsi="仿宋_GB2312"/>
      <w:sz w:val="28"/>
    </w:rPr>
  </w:style>
  <w:style w:type="paragraph" w:styleId="5">
    <w:name w:val="heading 5"/>
    <w:basedOn w:val="a"/>
    <w:next w:val="a"/>
    <w:uiPriority w:val="9"/>
    <w:semiHidden/>
    <w:unhideWhenUsed/>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宋体;SimSun" w:hAnsi="宋体;SimSun" w:cs="宋体;SimSun"/>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hAnsi="Arial" w:cs="Arial"/>
      <w:sz w:val="21"/>
      <w:szCs w:val="21"/>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color w:val="000000"/>
      <w:sz w:val="21"/>
      <w:szCs w:val="21"/>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eastAsia="Arial Unicode MS" w:hAnsi="Arial" w:cs="Arial"/>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cs="Aria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sz w:val="21"/>
      <w:szCs w:val="21"/>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Arial" w:hAnsi="Arial" w:cs="Arial"/>
      <w:sz w:val="21"/>
      <w:szCs w:val="21"/>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微软雅黑" w:eastAsia="微软雅黑" w:hAnsi="微软雅黑" w:cs="Times New Roman"/>
    </w:rPr>
  </w:style>
  <w:style w:type="character" w:customStyle="1" w:styleId="WW8Num18z1">
    <w:name w:val="WW8Num18z1"/>
    <w:qFormat/>
    <w:rPr>
      <w:rFonts w:ascii="Wingdings" w:hAnsi="Wingdings" w:cs="Wingdings"/>
    </w:rPr>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宋体;SimSun" w:hAnsi="宋体;SimSun" w:cs="宋体;SimSun"/>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b w:val="0"/>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a3">
    <w:name w:val="无间隔 字符"/>
    <w:qFormat/>
    <w:rPr>
      <w:rFonts w:ascii="Calibri" w:hAnsi="Calibri" w:cs="Calibri"/>
      <w:sz w:val="22"/>
      <w:szCs w:val="22"/>
      <w:lang w:bidi="ar-SA"/>
    </w:rPr>
  </w:style>
  <w:style w:type="character" w:customStyle="1" w:styleId="a4">
    <w:name w:val="页眉 字符"/>
    <w:qFormat/>
    <w:rPr>
      <w:sz w:val="18"/>
    </w:rPr>
  </w:style>
  <w:style w:type="character" w:customStyle="1" w:styleId="a5">
    <w:name w:val="页脚 字符"/>
    <w:qFormat/>
    <w:rPr>
      <w:sz w:val="18"/>
    </w:rPr>
  </w:style>
  <w:style w:type="character" w:customStyle="1" w:styleId="unnamed11">
    <w:name w:val="unnamed11"/>
    <w:qFormat/>
    <w:rPr>
      <w:rFonts w:ascii="宋体;SimSun" w:eastAsia="宋体;SimSun" w:hAnsi="宋体;SimSun" w:cs="宋体;SimSun"/>
      <w:strike w:val="0"/>
      <w:dstrike w:val="0"/>
      <w:color w:val="000000"/>
      <w:sz w:val="18"/>
      <w:u w:val="none"/>
    </w:rPr>
  </w:style>
  <w:style w:type="character" w:customStyle="1" w:styleId="text1">
    <w:name w:val="text1"/>
    <w:qFormat/>
    <w:rPr>
      <w:spacing w:val="10"/>
      <w:sz w:val="28"/>
      <w:szCs w:val="28"/>
    </w:rPr>
  </w:style>
  <w:style w:type="character" w:customStyle="1" w:styleId="a6">
    <w:name w:val="批注文字 字符"/>
    <w:qFormat/>
    <w:rPr>
      <w:sz w:val="24"/>
    </w:rPr>
  </w:style>
  <w:style w:type="character" w:styleId="a7">
    <w:name w:val="annotation reference"/>
    <w:qFormat/>
    <w:rPr>
      <w:sz w:val="21"/>
      <w:szCs w:val="21"/>
    </w:rPr>
  </w:style>
  <w:style w:type="character" w:customStyle="1" w:styleId="Internet">
    <w:name w:val="访问过的 Internet 链接"/>
    <w:rPr>
      <w:color w:val="800080"/>
      <w:u w:val="single"/>
    </w:rPr>
  </w:style>
  <w:style w:type="character" w:styleId="a8">
    <w:name w:val="page number"/>
    <w:basedOn w:val="a0"/>
  </w:style>
  <w:style w:type="character" w:customStyle="1" w:styleId="nr1">
    <w:name w:val="nr1"/>
    <w:qFormat/>
    <w:rPr>
      <w:rFonts w:ascii="楷体_GB2312" w:eastAsia="楷体_GB2312" w:hAnsi="楷体_GB2312"/>
      <w:color w:val="000000"/>
      <w:sz w:val="24"/>
    </w:rPr>
  </w:style>
  <w:style w:type="character" w:customStyle="1" w:styleId="a9">
    <w:name w:val="文档结构图 字符"/>
    <w:qFormat/>
    <w:rPr>
      <w:sz w:val="24"/>
      <w:shd w:val="clear" w:color="auto" w:fill="000080"/>
    </w:rPr>
  </w:style>
  <w:style w:type="character" w:customStyle="1" w:styleId="aa">
    <w:name w:val="特别强调"/>
    <w:qFormat/>
    <w:rPr>
      <w:b/>
      <w:bCs/>
    </w:rPr>
  </w:style>
  <w:style w:type="character" w:customStyle="1" w:styleId="t12h291">
    <w:name w:val="t12h291"/>
    <w:qFormat/>
    <w:rPr>
      <w:color w:val="000000"/>
      <w:sz w:val="24"/>
    </w:rPr>
  </w:style>
  <w:style w:type="character" w:customStyle="1" w:styleId="Internet0">
    <w:name w:val="Internet 链接"/>
    <w:rPr>
      <w:color w:val="0000FF"/>
      <w:u w:val="single"/>
    </w:rPr>
  </w:style>
  <w:style w:type="character" w:customStyle="1" w:styleId="5Char">
    <w:name w:val="标题 5 Char"/>
    <w:qFormat/>
    <w:rPr>
      <w:rFonts w:ascii="楷体_GB2312" w:eastAsia="楷体_GB2312" w:hAnsi="楷体_GB2312"/>
      <w:color w:val="000000"/>
      <w:sz w:val="28"/>
    </w:rPr>
  </w:style>
  <w:style w:type="paragraph" w:customStyle="1" w:styleId="ab">
    <w:name w:val="标题样式"/>
    <w:basedOn w:val="a"/>
    <w:next w:val="ac"/>
    <w:qFormat/>
    <w:pPr>
      <w:keepNext/>
      <w:spacing w:before="240" w:after="120"/>
    </w:pPr>
    <w:rPr>
      <w:rFonts w:ascii="Liberation Sans" w:eastAsia="微软雅黑" w:hAnsi="Liberation Sans" w:cs="Lucida Sans"/>
      <w:sz w:val="28"/>
      <w:szCs w:val="28"/>
    </w:rPr>
  </w:style>
  <w:style w:type="paragraph" w:styleId="ac">
    <w:name w:val="Body Text"/>
    <w:basedOn w:val="a"/>
    <w:rPr>
      <w:rFonts w:eastAsia="隶书"/>
      <w:sz w:val="52"/>
    </w:rPr>
  </w:style>
  <w:style w:type="paragraph" w:styleId="ad">
    <w:name w:val="List"/>
    <w:basedOn w:val="ac"/>
    <w:rPr>
      <w:rFonts w:cs="Lucida Sans"/>
    </w:rPr>
  </w:style>
  <w:style w:type="paragraph" w:styleId="ae">
    <w:name w:val="caption"/>
    <w:basedOn w:val="a"/>
    <w:next w:val="a"/>
    <w:qFormat/>
    <w:rPr>
      <w:rFonts w:ascii="Cambria" w:eastAsia="黑体;SimHei" w:hAnsi="Cambria"/>
      <w:sz w:val="20"/>
    </w:rPr>
  </w:style>
  <w:style w:type="paragraph" w:customStyle="1" w:styleId="af">
    <w:name w:val="索引"/>
    <w:basedOn w:val="a"/>
    <w:qFormat/>
    <w:pPr>
      <w:suppressLineNumbers/>
    </w:pPr>
    <w:rPr>
      <w:rFonts w:cs="Lucida Sans"/>
    </w:rPr>
  </w:style>
  <w:style w:type="paragraph" w:customStyle="1" w:styleId="TableParagraph">
    <w:name w:val="Table Paragraph"/>
    <w:basedOn w:val="a"/>
    <w:qFormat/>
    <w:pPr>
      <w:autoSpaceDE w:val="0"/>
      <w:spacing w:line="240" w:lineRule="auto"/>
      <w:textAlignment w:val="auto"/>
    </w:pPr>
    <w:rPr>
      <w:rFonts w:ascii="宋体;SimSun" w:hAnsi="宋体;SimSun" w:cs="宋体;SimSun"/>
      <w:sz w:val="22"/>
      <w:szCs w:val="22"/>
      <w:lang w:val="zh-CN" w:bidi="zh-CN"/>
    </w:rPr>
  </w:style>
  <w:style w:type="paragraph" w:customStyle="1" w:styleId="10">
    <w:name w:val="无间隔1"/>
    <w:qFormat/>
    <w:pPr>
      <w:widowControl w:val="0"/>
      <w:jc w:val="both"/>
    </w:pPr>
    <w:rPr>
      <w:rFonts w:ascii="Calibri" w:eastAsia="宋体;SimSun" w:hAnsi="Calibri" w:cs="Calibri"/>
      <w:kern w:val="2"/>
      <w:sz w:val="24"/>
      <w:szCs w:val="22"/>
      <w:lang w:bidi="ar-SA"/>
    </w:rPr>
  </w:style>
  <w:style w:type="paragraph" w:styleId="af0">
    <w:name w:val="No Spacing"/>
    <w:qFormat/>
    <w:rPr>
      <w:rFonts w:ascii="Calibri" w:eastAsia="宋体;SimSun" w:hAnsi="Calibri" w:cs="Calibri"/>
      <w:sz w:val="22"/>
      <w:szCs w:val="22"/>
      <w:lang w:bidi="ar-SA"/>
    </w:rPr>
  </w:style>
  <w:style w:type="paragraph" w:styleId="af1">
    <w:name w:val="List Paragraph"/>
    <w:basedOn w:val="a"/>
    <w:qFormat/>
    <w:pPr>
      <w:ind w:firstLine="420"/>
    </w:pPr>
  </w:style>
  <w:style w:type="paragraph" w:customStyle="1" w:styleId="xl25">
    <w:name w:val="xl25"/>
    <w:basedOn w:val="a"/>
    <w:qFormat/>
    <w:pPr>
      <w:widowControl/>
      <w:spacing w:before="100" w:after="100" w:line="240" w:lineRule="auto"/>
      <w:jc w:val="center"/>
      <w:textAlignment w:val="auto"/>
    </w:pPr>
    <w:rPr>
      <w:rFonts w:ascii="宋体;SimSun" w:hAnsi="宋体;SimSun" w:cs="宋体;SimSun"/>
      <w:szCs w:val="24"/>
    </w:rPr>
  </w:style>
  <w:style w:type="paragraph" w:customStyle="1" w:styleId="xl28">
    <w:name w:val="xl28"/>
    <w:basedOn w:val="a"/>
    <w:qFormat/>
    <w:pPr>
      <w:widowControl/>
      <w:pBdr>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qFormat/>
    <w:pPr>
      <w:widowControl/>
      <w:pBdr>
        <w:top w:val="single" w:sz="4" w:space="0" w:color="000000"/>
        <w:left w:val="single" w:sz="4" w:space="0" w:color="000000"/>
        <w:bottom w:val="single" w:sz="4" w:space="0" w:color="000000"/>
      </w:pBdr>
      <w:spacing w:before="100" w:after="100" w:line="240" w:lineRule="auto"/>
      <w:jc w:val="center"/>
      <w:textAlignment w:val="auto"/>
    </w:pPr>
    <w:rPr>
      <w:rFonts w:ascii="Arial Unicode MS" w:hAnsi="Arial Unicode MS" w:cs="Arial Unicode MS"/>
      <w:sz w:val="20"/>
    </w:rPr>
  </w:style>
  <w:style w:type="paragraph" w:styleId="af2">
    <w:name w:val="Normal (Web)"/>
    <w:basedOn w:val="a"/>
    <w:qFormat/>
    <w:pPr>
      <w:widowControl/>
      <w:spacing w:line="360" w:lineRule="auto"/>
      <w:textAlignment w:val="auto"/>
    </w:pPr>
    <w:rPr>
      <w:rFonts w:ascii="宋体;SimSun" w:hAnsi="宋体;SimSun" w:cs="宋体;SimSun"/>
      <w:sz w:val="18"/>
      <w:szCs w:val="18"/>
    </w:rPr>
  </w:style>
  <w:style w:type="paragraph" w:styleId="20">
    <w:name w:val="Body Text 2"/>
    <w:basedOn w:val="a"/>
    <w:qFormat/>
    <w:pPr>
      <w:spacing w:line="360" w:lineRule="auto"/>
      <w:ind w:right="2"/>
    </w:pPr>
    <w:rPr>
      <w:rFonts w:eastAsia="仿宋_GB2312"/>
      <w:sz w:val="28"/>
    </w:rPr>
  </w:style>
  <w:style w:type="paragraph" w:styleId="TOC9">
    <w:name w:val="toc 9"/>
    <w:basedOn w:val="a"/>
    <w:next w:val="a"/>
    <w:pPr>
      <w:ind w:left="3360"/>
    </w:pPr>
  </w:style>
  <w:style w:type="paragraph" w:styleId="TOC2">
    <w:name w:val="toc 2"/>
    <w:basedOn w:val="a"/>
    <w:next w:val="a"/>
    <w:pPr>
      <w:tabs>
        <w:tab w:val="right" w:leader="dot" w:pos="9072"/>
      </w:tabs>
      <w:spacing w:line="360" w:lineRule="auto"/>
      <w:ind w:left="480"/>
    </w:pPr>
    <w:rPr>
      <w:rFonts w:eastAsia="楷体_GB2312"/>
      <w:lang w:val="zh-CN"/>
    </w:rPr>
  </w:style>
  <w:style w:type="paragraph" w:styleId="30">
    <w:name w:val="Body Text Indent 3"/>
    <w:basedOn w:val="a"/>
    <w:qFormat/>
    <w:pPr>
      <w:spacing w:line="360" w:lineRule="auto"/>
      <w:ind w:left="600" w:firstLine="555"/>
      <w:outlineLvl w:val="0"/>
    </w:pPr>
    <w:rPr>
      <w:rFonts w:ascii="楷体_GB2312" w:eastAsia="楷体_GB2312" w:hAnsi="楷体_GB2312"/>
      <w:kern w:val="2"/>
      <w:sz w:val="28"/>
    </w:rPr>
  </w:style>
  <w:style w:type="paragraph" w:styleId="TOC6">
    <w:name w:val="toc 6"/>
    <w:basedOn w:val="a"/>
    <w:next w:val="a"/>
    <w:pPr>
      <w:ind w:left="2100"/>
    </w:pPr>
  </w:style>
  <w:style w:type="paragraph" w:styleId="TOC4">
    <w:name w:val="toc 4"/>
    <w:basedOn w:val="a"/>
    <w:next w:val="a"/>
    <w:pPr>
      <w:ind w:left="1260"/>
    </w:pPr>
  </w:style>
  <w:style w:type="paragraph" w:styleId="TOC1">
    <w:name w:val="toc 1"/>
    <w:basedOn w:val="a"/>
    <w:next w:val="a"/>
    <w:pPr>
      <w:tabs>
        <w:tab w:val="right" w:leader="dot" w:pos="9072"/>
      </w:tabs>
      <w:spacing w:line="360" w:lineRule="auto"/>
    </w:pPr>
    <w:rPr>
      <w:rFonts w:ascii="楷体_GB2312" w:eastAsia="楷体_GB2312" w:hAnsi="楷体_GB2312"/>
      <w:b/>
      <w:bCs/>
      <w:sz w:val="30"/>
      <w:szCs w:val="30"/>
      <w:lang w:val="zh-CN"/>
    </w:rPr>
  </w:style>
  <w:style w:type="paragraph" w:styleId="af3">
    <w:name w:val="footer"/>
    <w:basedOn w:val="a"/>
    <w:pPr>
      <w:tabs>
        <w:tab w:val="center" w:pos="4153"/>
        <w:tab w:val="right" w:pos="8306"/>
      </w:tabs>
      <w:spacing w:line="240" w:lineRule="atLeast"/>
    </w:pPr>
    <w:rPr>
      <w:sz w:val="18"/>
    </w:rPr>
  </w:style>
  <w:style w:type="paragraph" w:styleId="21">
    <w:name w:val="Body Text Indent 2"/>
    <w:basedOn w:val="a"/>
    <w:qFormat/>
    <w:pPr>
      <w:spacing w:before="120" w:line="360" w:lineRule="auto"/>
      <w:ind w:left="600" w:firstLine="480"/>
    </w:pPr>
    <w:rPr>
      <w:rFonts w:ascii="楷体_GB2312" w:eastAsia="楷体_GB2312" w:hAnsi="楷体_GB2312"/>
      <w:kern w:val="2"/>
      <w:sz w:val="28"/>
    </w:rPr>
  </w:style>
  <w:style w:type="paragraph" w:customStyle="1" w:styleId="Default">
    <w:name w:val="Default"/>
    <w:qFormat/>
    <w:pPr>
      <w:widowControl w:val="0"/>
      <w:autoSpaceDE w:val="0"/>
    </w:pPr>
    <w:rPr>
      <w:rFonts w:ascii="仿宋" w:eastAsia="仿宋" w:hAnsi="仿宋" w:cs="仿宋"/>
      <w:color w:val="000000"/>
      <w:sz w:val="24"/>
      <w:lang w:bidi="ar-SA"/>
    </w:rPr>
  </w:style>
  <w:style w:type="paragraph" w:styleId="af4">
    <w:name w:val="Date"/>
    <w:basedOn w:val="a"/>
    <w:next w:val="a"/>
    <w:qFormat/>
    <w:pPr>
      <w:jc w:val="both"/>
    </w:pPr>
    <w:rPr>
      <w:rFonts w:ascii="楷体_GB2312" w:eastAsia="楷体_GB2312" w:hAnsi="楷体_GB2312"/>
      <w:b/>
      <w:sz w:val="28"/>
    </w:rPr>
  </w:style>
  <w:style w:type="paragraph" w:styleId="TOC8">
    <w:name w:val="toc 8"/>
    <w:basedOn w:val="a"/>
    <w:next w:val="a"/>
    <w:pPr>
      <w:ind w:left="2940"/>
    </w:pPr>
  </w:style>
  <w:style w:type="paragraph" w:styleId="af5">
    <w:name w:val="Plain Text"/>
    <w:basedOn w:val="a"/>
    <w:qFormat/>
    <w:pPr>
      <w:spacing w:line="240" w:lineRule="auto"/>
      <w:jc w:val="both"/>
      <w:textAlignment w:val="auto"/>
    </w:pPr>
    <w:rPr>
      <w:rFonts w:ascii="宋体;SimSun" w:hAnsi="宋体;SimSun" w:cs="Courier New"/>
      <w:kern w:val="2"/>
      <w:sz w:val="21"/>
    </w:rPr>
  </w:style>
  <w:style w:type="paragraph" w:styleId="TOC3">
    <w:name w:val="toc 3"/>
    <w:basedOn w:val="a"/>
    <w:next w:val="a"/>
    <w:pPr>
      <w:ind w:left="840"/>
    </w:pPr>
  </w:style>
  <w:style w:type="paragraph" w:styleId="TOC5">
    <w:name w:val="toc 5"/>
    <w:basedOn w:val="a"/>
    <w:next w:val="a"/>
    <w:pPr>
      <w:ind w:left="1680"/>
    </w:pPr>
  </w:style>
  <w:style w:type="paragraph" w:styleId="af6">
    <w:name w:val="Balloon Text"/>
    <w:basedOn w:val="a"/>
    <w:qFormat/>
    <w:rPr>
      <w:sz w:val="18"/>
      <w:szCs w:val="18"/>
    </w:rPr>
  </w:style>
  <w:style w:type="paragraph" w:styleId="af7">
    <w:name w:val="Body Text Indent"/>
    <w:basedOn w:val="a"/>
    <w:pPr>
      <w:spacing w:before="120" w:line="360" w:lineRule="auto"/>
      <w:ind w:left="1145"/>
    </w:pPr>
    <w:rPr>
      <w:rFonts w:ascii="楷体_GB2312" w:eastAsia="楷体_GB2312" w:hAnsi="楷体_GB2312"/>
      <w:kern w:val="2"/>
      <w:sz w:val="28"/>
    </w:rPr>
  </w:style>
  <w:style w:type="paragraph" w:styleId="af8">
    <w:name w:val="Document Map"/>
    <w:basedOn w:val="a"/>
    <w:qFormat/>
    <w:pPr>
      <w:shd w:val="clear" w:color="auto" w:fill="000080"/>
    </w:pPr>
  </w:style>
  <w:style w:type="paragraph" w:customStyle="1" w:styleId="font5">
    <w:name w:val="font5"/>
    <w:basedOn w:val="a"/>
    <w:qFormat/>
    <w:pPr>
      <w:widowControl/>
      <w:spacing w:before="100" w:after="100" w:line="24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WW-">
    <w:name w:val="WW-正文缩进"/>
    <w:basedOn w:val="a"/>
    <w:qFormat/>
    <w:pPr>
      <w:spacing w:line="240" w:lineRule="auto"/>
      <w:ind w:firstLine="560"/>
      <w:jc w:val="both"/>
      <w:textAlignment w:val="auto"/>
    </w:pPr>
    <w:rPr>
      <w:color w:val="FF0000"/>
    </w:rPr>
  </w:style>
  <w:style w:type="paragraph" w:styleId="af9">
    <w:name w:val="header"/>
    <w:basedOn w:val="a"/>
    <w:pPr>
      <w:pBdr>
        <w:bottom w:val="single" w:sz="6" w:space="1" w:color="000000"/>
      </w:pBdr>
      <w:tabs>
        <w:tab w:val="center" w:pos="4153"/>
        <w:tab w:val="right" w:pos="8306"/>
      </w:tabs>
      <w:snapToGrid w:val="0"/>
      <w:spacing w:line="240" w:lineRule="atLeast"/>
      <w:jc w:val="center"/>
    </w:pPr>
    <w:rPr>
      <w:sz w:val="18"/>
    </w:rPr>
  </w:style>
  <w:style w:type="paragraph" w:customStyle="1" w:styleId="11">
    <w:name w:val="正文1"/>
    <w:qFormat/>
    <w:pPr>
      <w:widowControl w:val="0"/>
      <w:spacing w:line="360" w:lineRule="atLeast"/>
      <w:jc w:val="center"/>
      <w:textAlignment w:val="baseline"/>
    </w:pPr>
    <w:rPr>
      <w:rFonts w:ascii="宋体;SimSun" w:eastAsia="宋体;SimSun" w:hAnsi="宋体;SimSun" w:cs="Times New Roman"/>
      <w:sz w:val="34"/>
      <w:szCs w:val="20"/>
      <w:lang w:bidi="ar-SA"/>
    </w:rPr>
  </w:style>
  <w:style w:type="paragraph" w:styleId="afa">
    <w:name w:val="Body Text First Indent"/>
    <w:basedOn w:val="ac"/>
    <w:qFormat/>
    <w:pPr>
      <w:spacing w:after="120" w:line="240" w:lineRule="auto"/>
      <w:ind w:firstLine="420"/>
      <w:jc w:val="both"/>
      <w:textAlignment w:val="auto"/>
    </w:pPr>
    <w:rPr>
      <w:rFonts w:eastAsia="宋体;SimSun"/>
      <w:kern w:val="2"/>
      <w:sz w:val="21"/>
    </w:rPr>
  </w:style>
  <w:style w:type="paragraph" w:styleId="afb">
    <w:name w:val="annotation text"/>
    <w:basedOn w:val="a"/>
    <w:qFormat/>
  </w:style>
  <w:style w:type="paragraph" w:styleId="afc">
    <w:name w:val="annotation subject"/>
    <w:basedOn w:val="afb"/>
    <w:next w:val="afb"/>
    <w:qFormat/>
    <w:rPr>
      <w:b/>
      <w:bCs/>
    </w:rPr>
  </w:style>
  <w:style w:type="paragraph" w:styleId="TOC7">
    <w:name w:val="toc 7"/>
    <w:basedOn w:val="a"/>
    <w:next w:val="a"/>
    <w:pPr>
      <w:ind w:left="2520"/>
    </w:p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xl33">
    <w:name w:val="xl33"/>
    <w:basedOn w:val="a"/>
    <w:qFormat/>
    <w:pPr>
      <w:widowControl/>
      <w:pBdr>
        <w:top w:val="single" w:sz="4" w:space="0" w:color="000000"/>
        <w:bottom w:val="single" w:sz="4"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d">
    <w:name w:val="表格内容"/>
    <w:basedOn w:val="a"/>
    <w:qFormat/>
    <w:pPr>
      <w:suppressLineNumbers/>
    </w:pPr>
  </w:style>
  <w:style w:type="paragraph" w:customStyle="1" w:styleId="afe">
    <w:name w:val="表格标题"/>
    <w:basedOn w:val="afd"/>
    <w:qFormat/>
    <w:pPr>
      <w:jc w:val="center"/>
    </w:pPr>
    <w:rPr>
      <w:b/>
      <w:bCs/>
    </w:rPr>
  </w:style>
  <w:style w:type="paragraph" w:customStyle="1" w:styleId="aff">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eader" Target="header10.xml"/><Relationship Id="rId50" Type="http://schemas.openxmlformats.org/officeDocument/2006/relationships/footer" Target="footer11.xml"/><Relationship Id="rId7" Type="http://schemas.openxmlformats.org/officeDocument/2006/relationships/header" Target="header1.xml"/><Relationship Id="rId2" Type="http://schemas.openxmlformats.org/officeDocument/2006/relationships/styles" Target="styles.xml"/><Relationship Id="rId16" Type="http://schemas.microsoft.com/office/2011/relationships/commentsExtended" Target="commentsExtended.xml"/><Relationship Id="rId29" Type="http://schemas.microsoft.com/office/2018/08/relationships/commentsExtensible" Target="commentsExtensible.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image" Target="media/image21.png"/><Relationship Id="rId52"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10.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microsoft.com/office/2016/09/relationships/commentsIds" Target="commentsIds.xml"/><Relationship Id="rId25" Type="http://schemas.openxmlformats.org/officeDocument/2006/relationships/footer" Target="footer8.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eader" Target="header6.xm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13.png"/><Relationship Id="rId49"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5558</Words>
  <Characters>31686</Characters>
  <Application>Microsoft Office Word</Application>
  <DocSecurity>0</DocSecurity>
  <Lines>264</Lines>
  <Paragraphs>74</Paragraphs>
  <ScaleCrop>false</ScaleCrop>
  <Company/>
  <LinksUpToDate>false</LinksUpToDate>
  <CharactersWithSpaces>37170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皓源 许</cp:lastModifiedBy>
  <cp:revision>2</cp:revision>
  <cp:lastPrinted>2024-01-03T15:12:00Z</cp:lastPrinted>
  <dcterms:created xsi:type="dcterms:W3CDTF">2024-01-04T15:34:00Z</dcterms:created>
  <dcterms:modified xsi:type="dcterms:W3CDTF">2024-01-04T15:34:00Z</dcterms:modified>
  <dc:language>zh-CN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