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5C5A">
      <w:pPr>
        <w:rPr>
          <w:rFonts w:ascii="Arial" w:hAnsi="Arial"/>
        </w:rPr>
      </w:pPr>
    </w:p>
    <w:p w14:paraId="0966CD67">
      <w:pPr>
        <w:rPr>
          <w:rFonts w:ascii="Arial" w:hAnsi="Arial"/>
        </w:rPr>
      </w:pPr>
    </w:p>
    <w:p w14:paraId="47E2A0B0">
      <w:pPr>
        <w:rPr>
          <w:rFonts w:ascii="Arial" w:hAnsi="Arial"/>
        </w:rPr>
      </w:pPr>
    </w:p>
    <w:p w14:paraId="5C3B6996">
      <w:pPr>
        <w:rPr>
          <w:rFonts w:ascii="Arial" w:hAnsi="Arial"/>
        </w:rPr>
      </w:pPr>
    </w:p>
    <w:p w14:paraId="6E4E7DAD">
      <w:pPr>
        <w:rPr>
          <w:rFonts w:ascii="Arial" w:hAnsi="Arial"/>
        </w:rPr>
      </w:pPr>
    </w:p>
    <w:p w14:paraId="54383C0D">
      <w:pPr>
        <w:rPr>
          <w:rFonts w:ascii="Arial" w:hAnsi="Arial"/>
        </w:rPr>
      </w:pPr>
    </w:p>
    <w:p w14:paraId="0C648F46">
      <w:pPr>
        <w:rPr>
          <w:rFonts w:ascii="Arial" w:hAnsi="Arial"/>
        </w:rPr>
      </w:pPr>
    </w:p>
    <w:p w14:paraId="08D92E06">
      <w:pPr>
        <w:rPr>
          <w:rFonts w:ascii="Arial" w:hAnsi="Arial"/>
        </w:rPr>
      </w:pPr>
    </w:p>
    <w:p w14:paraId="0EC75B7F">
      <w:pPr>
        <w:rPr>
          <w:rFonts w:ascii="Arial" w:hAnsi="Arial"/>
        </w:rPr>
      </w:pPr>
    </w:p>
    <w:p w14:paraId="110DDD46">
      <w:pPr>
        <w:rPr>
          <w:rFonts w:ascii="Arial" w:hAnsi="Arial"/>
        </w:rPr>
      </w:pPr>
    </w:p>
    <w:p w14:paraId="5BEE7A81">
      <w:pPr>
        <w:rPr>
          <w:rFonts w:ascii="Arial" w:hAnsi="Arial"/>
        </w:rPr>
      </w:pPr>
    </w:p>
    <w:p w14:paraId="66DE89EB">
      <w:pPr>
        <w:rPr>
          <w:rFonts w:ascii="Arial" w:hAnsi="Arial"/>
        </w:rPr>
      </w:pPr>
    </w:p>
    <w:p w14:paraId="025DDB29">
      <w:pPr>
        <w:rPr>
          <w:rFonts w:ascii="Arial" w:hAnsi="Arial"/>
        </w:rPr>
      </w:pPr>
    </w:p>
    <w:p w14:paraId="65AD5EC0">
      <w:pPr>
        <w:rPr>
          <w:rFonts w:ascii="Arial" w:hAnsi="Arial"/>
        </w:rPr>
      </w:pPr>
    </w:p>
    <w:p w14:paraId="4718E80F">
      <w:pPr>
        <w:rPr>
          <w:rFonts w:ascii="Arial" w:hAnsi="Arial"/>
        </w:rPr>
      </w:pPr>
    </w:p>
    <w:p w14:paraId="218B5F0B">
      <w:pPr>
        <w:rPr>
          <w:rFonts w:ascii="Arial" w:hAnsi="Arial"/>
        </w:rPr>
      </w:pPr>
    </w:p>
    <w:p w14:paraId="7AC9E96E">
      <w:pPr>
        <w:rPr>
          <w:rFonts w:ascii="Arial" w:hAnsi="Arial"/>
        </w:rPr>
      </w:pPr>
    </w:p>
    <w:p w14:paraId="2F0D2942">
      <w:pPr>
        <w:rPr>
          <w:rFonts w:ascii="Arial" w:hAnsi="Arial"/>
        </w:rPr>
      </w:pPr>
    </w:p>
    <w:p w14:paraId="26F48C0A">
      <w:pPr>
        <w:rPr>
          <w:rFonts w:ascii="Arial" w:hAnsi="Arial"/>
        </w:rPr>
      </w:pPr>
    </w:p>
    <w:p w14:paraId="0EAD24EB">
      <w:pPr>
        <w:rPr>
          <w:rFonts w:ascii="Arial" w:hAnsi="Arial"/>
        </w:rPr>
      </w:pPr>
    </w:p>
    <w:p w14:paraId="236DF136">
      <w:pPr>
        <w:rPr>
          <w:rFonts w:ascii="Arial" w:hAnsi="Arial"/>
        </w:rPr>
      </w:pPr>
    </w:p>
    <w:p w14:paraId="4BCB740A">
      <w:pPr>
        <w:rPr>
          <w:rFonts w:ascii="Arial" w:hAnsi="Arial"/>
        </w:rPr>
      </w:pPr>
    </w:p>
    <w:p w14:paraId="572F9227">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咨询项目名称：</w:t>
      </w:r>
    </w:p>
    <w:p w14:paraId="5706B8EF">
      <w:pPr>
        <w:pStyle w:val="55"/>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北京市大兴区金时大街13号院1号楼、2号楼、3号楼、4号楼、100幢集体租赁住房及配套用房在设定条件下的房地产市场租金水平评估</w:t>
      </w:r>
    </w:p>
    <w:p w14:paraId="37F18FB4">
      <w:pPr>
        <w:rPr>
          <w:rFonts w:ascii="Arial" w:hAnsi="Arial" w:eastAsia="方正黑体简体"/>
        </w:rPr>
      </w:pPr>
    </w:p>
    <w:p w14:paraId="4922AEED">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咨询委托人：</w:t>
      </w:r>
    </w:p>
    <w:p w14:paraId="529D9F53">
      <w:pPr>
        <w:pStyle w:val="55"/>
        <w:spacing w:line="320" w:lineRule="exact"/>
        <w:ind w:left="360" w:firstLine="0" w:firstLineChars="0"/>
        <w:rPr>
          <w:rFonts w:ascii="Arial" w:hAnsi="Arial" w:eastAsia="方正黑体简体"/>
          <w:color w:val="E36C0A"/>
          <w:sz w:val="21"/>
          <w:szCs w:val="21"/>
        </w:rPr>
      </w:pPr>
      <w:r>
        <w:rPr>
          <w:rFonts w:hint="eastAsia" w:ascii="Arial" w:hAnsi="Arial" w:eastAsia="方正黑体简体"/>
          <w:sz w:val="21"/>
          <w:szCs w:val="21"/>
        </w:rPr>
        <w:t>北京市盛世宏祥资产管理有限公司</w:t>
      </w:r>
    </w:p>
    <w:p w14:paraId="03F61C35">
      <w:pPr>
        <w:spacing w:line="320" w:lineRule="exact"/>
        <w:rPr>
          <w:rFonts w:ascii="Arial" w:hAnsi="Arial" w:eastAsia="方正黑体简体"/>
          <w:b/>
          <w:sz w:val="21"/>
          <w:szCs w:val="21"/>
        </w:rPr>
      </w:pPr>
    </w:p>
    <w:p w14:paraId="13A4C3B2">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14:paraId="32F43E1C">
      <w:pPr>
        <w:pStyle w:val="55"/>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14:paraId="5EFF85B9">
      <w:pPr>
        <w:spacing w:line="320" w:lineRule="exact"/>
        <w:rPr>
          <w:rFonts w:ascii="Arial" w:hAnsi="Arial" w:eastAsia="方正黑体简体"/>
          <w:b/>
          <w:sz w:val="21"/>
          <w:szCs w:val="21"/>
        </w:rPr>
      </w:pPr>
    </w:p>
    <w:p w14:paraId="0BB9E3FA">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14:paraId="756B9228">
      <w:pPr>
        <w:pStyle w:val="55"/>
        <w:spacing w:line="320" w:lineRule="exact"/>
        <w:ind w:left="360" w:firstLine="0" w:firstLineChars="0"/>
        <w:rPr>
          <w:rFonts w:ascii="Arial" w:hAnsi="Arial" w:eastAsia="方正黑体简体"/>
          <w:color w:val="E36C0A"/>
          <w:sz w:val="21"/>
          <w:szCs w:val="21"/>
        </w:rPr>
      </w:pPr>
      <w:r>
        <w:rPr>
          <w:rFonts w:hint="eastAsia" w:ascii="Arial" w:hAnsi="Arial" w:eastAsia="方正黑体简体"/>
          <w:sz w:val="21"/>
          <w:szCs w:val="21"/>
        </w:rPr>
        <w:t>高  鹏</w:t>
      </w:r>
      <w:r>
        <w:rPr>
          <w:rFonts w:ascii="Arial" w:hAnsi="Arial" w:eastAsia="方正黑体简体"/>
          <w:sz w:val="21"/>
          <w:szCs w:val="21"/>
        </w:rPr>
        <w:t>（注册号：1120140024</w:t>
      </w:r>
      <w:r>
        <w:rPr>
          <w:rFonts w:hint="eastAsia" w:ascii="Arial" w:hAnsi="Arial" w:eastAsia="方正黑体简体"/>
          <w:sz w:val="21"/>
          <w:szCs w:val="21"/>
        </w:rPr>
        <w:t>）</w:t>
      </w:r>
      <w:r>
        <w:rPr>
          <w:rFonts w:ascii="Arial" w:hAnsi="Arial" w:eastAsia="方正黑体简体"/>
          <w:sz w:val="21"/>
          <w:szCs w:val="21"/>
        </w:rPr>
        <w:t>、</w:t>
      </w:r>
      <w:r>
        <w:rPr>
          <w:rFonts w:hint="eastAsia" w:ascii="Arial" w:hAnsi="Arial" w:eastAsia="方正黑体简体"/>
          <w:sz w:val="21"/>
          <w:szCs w:val="21"/>
        </w:rPr>
        <w:t>许皓源</w:t>
      </w:r>
      <w:r>
        <w:rPr>
          <w:rFonts w:ascii="Arial" w:hAnsi="Arial" w:eastAsia="方正黑体简体"/>
          <w:sz w:val="21"/>
          <w:szCs w:val="21"/>
        </w:rPr>
        <w:t>（注册号：1119980019</w:t>
      </w:r>
      <w:r>
        <w:rPr>
          <w:rFonts w:hint="eastAsia" w:ascii="Arial" w:hAnsi="Arial" w:eastAsia="方正黑体简体"/>
          <w:sz w:val="21"/>
          <w:szCs w:val="21"/>
        </w:rPr>
        <w:t>）</w:t>
      </w:r>
    </w:p>
    <w:p w14:paraId="3AD30C68">
      <w:pPr>
        <w:spacing w:line="320" w:lineRule="exact"/>
        <w:rPr>
          <w:rFonts w:ascii="Arial" w:hAnsi="Arial" w:eastAsia="方正黑体简体"/>
          <w:b/>
          <w:sz w:val="21"/>
          <w:szCs w:val="21"/>
        </w:rPr>
      </w:pPr>
    </w:p>
    <w:p w14:paraId="4D8FBFA2">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咨询报告出具日期：</w:t>
      </w:r>
    </w:p>
    <w:p w14:paraId="1EB77921">
      <w:pPr>
        <w:pStyle w:val="55"/>
        <w:spacing w:line="320" w:lineRule="exact"/>
        <w:ind w:left="360" w:firstLine="0" w:firstLineChars="0"/>
        <w:rPr>
          <w:rFonts w:ascii="Arial" w:hAnsi="Arial" w:eastAsia="方正黑体简体"/>
          <w:color w:val="E36C0A"/>
          <w:sz w:val="21"/>
          <w:szCs w:val="21"/>
        </w:rPr>
      </w:pPr>
      <w:r>
        <w:rPr>
          <w:rFonts w:hint="eastAsia" w:ascii="Arial" w:hAnsi="Arial" w:eastAsia="方正黑体简体"/>
          <w:sz w:val="21"/>
          <w:szCs w:val="21"/>
        </w:rPr>
        <w:t>202</w:t>
      </w:r>
      <w:r>
        <w:rPr>
          <w:rFonts w:ascii="Arial" w:hAnsi="Arial" w:eastAsia="方正黑体简体"/>
          <w:sz w:val="21"/>
          <w:szCs w:val="21"/>
        </w:rPr>
        <w:t>5</w:t>
      </w:r>
      <w:r>
        <w:rPr>
          <w:rFonts w:hint="eastAsia" w:ascii="Arial" w:hAnsi="Arial" w:eastAsia="方正黑体简体"/>
          <w:sz w:val="21"/>
          <w:szCs w:val="21"/>
        </w:rPr>
        <w:t>年9月15日</w:t>
      </w:r>
    </w:p>
    <w:p w14:paraId="7FAEA134">
      <w:pPr>
        <w:spacing w:line="320" w:lineRule="exact"/>
        <w:rPr>
          <w:rFonts w:ascii="Arial" w:hAnsi="Arial" w:eastAsia="方正黑体简体"/>
          <w:b/>
          <w:sz w:val="21"/>
          <w:szCs w:val="21"/>
        </w:rPr>
      </w:pPr>
    </w:p>
    <w:p w14:paraId="696B4D43">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咨询报告编号：</w:t>
      </w:r>
    </w:p>
    <w:p w14:paraId="547FE977">
      <w:pPr>
        <w:pStyle w:val="55"/>
        <w:spacing w:line="320" w:lineRule="exact"/>
        <w:ind w:left="360" w:firstLine="0" w:firstLineChars="0"/>
        <w:rPr>
          <w:rFonts w:ascii="Arial" w:hAnsi="Arial" w:eastAsia="方正黑体简体"/>
          <w:sz w:val="21"/>
          <w:szCs w:val="21"/>
        </w:rPr>
        <w:sectPr>
          <w:headerReference r:id="rId6" w:type="first"/>
          <w:headerReference r:id="rId5" w:type="default"/>
          <w:footerReference r:id="rId7" w:type="default"/>
          <w:footerReference r:id="rId8"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ascii="Arial" w:hAnsi="Arial" w:eastAsia="方正黑体简体"/>
          <w:sz w:val="21"/>
          <w:szCs w:val="21"/>
        </w:rPr>
        <w:t>2025-1-0</w:t>
      </w:r>
      <w:r>
        <w:rPr>
          <w:rFonts w:hint="eastAsia" w:ascii="Arial" w:hAnsi="Arial" w:eastAsia="方正黑体简体"/>
          <w:sz w:val="21"/>
          <w:szCs w:val="21"/>
        </w:rPr>
        <w:t>6</w:t>
      </w:r>
      <w:r>
        <w:rPr>
          <w:rFonts w:ascii="Arial" w:hAnsi="Arial" w:eastAsia="方正黑体简体"/>
          <w:sz w:val="21"/>
          <w:szCs w:val="21"/>
        </w:rPr>
        <w:t>80-F01ZLGJ6</w:t>
      </w:r>
      <w:r>
        <w:rPr>
          <w:rFonts w:hint="eastAsia" w:ascii="Arial" w:hAnsi="Arial" w:eastAsia="方正黑体简体"/>
          <w:sz w:val="21"/>
          <w:szCs w:val="21"/>
        </w:rPr>
        <w:t>号</w:t>
      </w:r>
    </w:p>
    <w:p w14:paraId="4A2C6A2C">
      <w:pPr>
        <w:spacing w:line="480" w:lineRule="auto"/>
        <w:jc w:val="center"/>
        <w:rPr>
          <w:rFonts w:ascii="Arial" w:hAnsi="Arial" w:eastAsia="方正黑体简体"/>
          <w:color w:val="000000"/>
          <w:kern w:val="2"/>
          <w:sz w:val="32"/>
          <w:szCs w:val="32"/>
        </w:rPr>
      </w:pPr>
      <w:bookmarkStart w:id="0" w:name="_Toc379795040"/>
      <w:r>
        <w:rPr>
          <w:rFonts w:hint="eastAsia" w:ascii="Arial" w:hAnsi="Arial" w:eastAsia="方正黑体简体"/>
          <w:color w:val="000000"/>
          <w:kern w:val="2"/>
          <w:sz w:val="32"/>
          <w:szCs w:val="32"/>
        </w:rPr>
        <w:t>致咨询委托人函</w:t>
      </w:r>
      <w:bookmarkEnd w:id="0"/>
    </w:p>
    <w:p w14:paraId="24F20210">
      <w:pPr>
        <w:spacing w:line="480" w:lineRule="auto"/>
        <w:rPr>
          <w:rFonts w:ascii="Arial" w:hAnsi="Arial"/>
          <w:b/>
          <w:kern w:val="2"/>
          <w:sz w:val="21"/>
        </w:rPr>
      </w:pPr>
      <w:r>
        <w:rPr>
          <w:rFonts w:hint="eastAsia" w:ascii="Arial" w:hAnsi="Arial"/>
          <w:b/>
          <w:kern w:val="2"/>
          <w:sz w:val="21"/>
        </w:rPr>
        <w:t>北京市盛世宏祥资产管理有限公司：</w:t>
      </w:r>
    </w:p>
    <w:p w14:paraId="7345DEC0">
      <w:pPr>
        <w:spacing w:line="480" w:lineRule="auto"/>
        <w:ind w:firstLine="420" w:firstLineChars="200"/>
        <w:jc w:val="both"/>
        <w:rPr>
          <w:rFonts w:ascii="楷体_GB2312" w:eastAsia="楷体_GB2312"/>
          <w:b/>
          <w:bCs/>
          <w:sz w:val="28"/>
        </w:rPr>
      </w:pPr>
      <w:r>
        <w:rPr>
          <w:rFonts w:hint="eastAsia" w:ascii="Arial" w:hAnsi="Arial"/>
          <w:bCs/>
          <w:color w:val="000000"/>
          <w:sz w:val="21"/>
        </w:rPr>
        <w:t>受贵公司委托，我公司对北京市大兴区金时大街13号院1号楼、2号楼、3号楼、4号楼、100幢集体租赁住房及配套用房在设定条件下的房地产</w:t>
      </w:r>
      <w:r>
        <w:rPr>
          <w:rFonts w:hint="eastAsia" w:ascii="Arial" w:hAnsi="Arial" w:cs="Arial"/>
          <w:sz w:val="21"/>
          <w:szCs w:val="21"/>
        </w:rPr>
        <w:t>市场租金水平</w:t>
      </w:r>
      <w:r>
        <w:rPr>
          <w:rFonts w:hint="eastAsia" w:ascii="Arial" w:hAnsi="Arial"/>
          <w:bCs/>
          <w:sz w:val="21"/>
        </w:rPr>
        <w:t>进行了评估。</w:t>
      </w:r>
    </w:p>
    <w:p w14:paraId="5A7F5BC4">
      <w:pPr>
        <w:spacing w:line="480" w:lineRule="auto"/>
        <w:ind w:firstLine="413" w:firstLineChars="196"/>
        <w:jc w:val="both"/>
        <w:rPr>
          <w:rFonts w:ascii="Arial" w:hAnsi="Arial"/>
          <w:bCs/>
          <w:color w:val="000000"/>
          <w:sz w:val="21"/>
        </w:rPr>
      </w:pPr>
      <w:r>
        <w:rPr>
          <w:rFonts w:hint="eastAsia" w:ascii="Arial" w:hAnsi="Arial"/>
          <w:b/>
          <w:bCs/>
          <w:color w:val="000000"/>
          <w:sz w:val="21"/>
        </w:rPr>
        <w:t>咨询对象：</w:t>
      </w:r>
      <w:r>
        <w:rPr>
          <w:rFonts w:hint="eastAsia" w:ascii="Arial" w:hAnsi="Arial"/>
          <w:sz w:val="21"/>
          <w:szCs w:val="21"/>
        </w:rPr>
        <w:t>根据《不动产权证书》[京（2023）大不动产权第0028576号]</w:t>
      </w:r>
      <w:r>
        <w:rPr>
          <w:rFonts w:hint="eastAsia" w:ascii="Arial" w:hAnsi="Arial"/>
          <w:bCs/>
          <w:color w:val="000000"/>
          <w:sz w:val="21"/>
        </w:rPr>
        <w:t>，</w:t>
      </w:r>
      <w:r>
        <w:rPr>
          <w:rFonts w:hint="eastAsia" w:ascii="Arial" w:hAnsi="Arial"/>
          <w:sz w:val="21"/>
          <w:szCs w:val="21"/>
        </w:rPr>
        <w:t>咨询对象为</w:t>
      </w:r>
      <w:r>
        <w:rPr>
          <w:rFonts w:hint="eastAsia" w:ascii="Arial" w:hAnsi="Arial"/>
          <w:bCs/>
          <w:color w:val="000000"/>
          <w:sz w:val="21"/>
        </w:rPr>
        <w:t>北京市大兴区金时大街13号院1号楼、2号楼、3号楼、4号楼、100幢集体租赁住房及配套用房房地产；权利人</w:t>
      </w:r>
      <w:r>
        <w:rPr>
          <w:rFonts w:ascii="Arial" w:hAnsi="Arial"/>
          <w:bCs/>
          <w:color w:val="000000"/>
          <w:sz w:val="21"/>
        </w:rPr>
        <w:t>为</w:t>
      </w:r>
      <w:r>
        <w:rPr>
          <w:rFonts w:hint="eastAsia" w:ascii="Arial" w:hAnsi="Arial"/>
          <w:bCs/>
          <w:color w:val="000000"/>
          <w:sz w:val="21"/>
        </w:rPr>
        <w:t>北京市盛世宏祥资产管理有限公司；</w:t>
      </w:r>
      <w:bookmarkStart w:id="1" w:name="OLE_LINK3"/>
      <w:bookmarkStart w:id="2" w:name="OLE_LINK4"/>
      <w:r>
        <w:rPr>
          <w:rFonts w:hint="eastAsia" w:ascii="Arial" w:hAnsi="Arial"/>
          <w:bCs/>
          <w:color w:val="000000"/>
          <w:sz w:val="21"/>
        </w:rPr>
        <w:t>所属项目总建筑面积30069.39</w:t>
      </w:r>
      <w:r>
        <w:rPr>
          <w:rFonts w:ascii="Arial" w:hAnsi="Arial"/>
          <w:bCs/>
          <w:color w:val="000000"/>
          <w:sz w:val="21"/>
        </w:rPr>
        <w:t>平方米，</w:t>
      </w:r>
      <w:r>
        <w:rPr>
          <w:rFonts w:hint="eastAsia" w:ascii="Arial" w:hAnsi="Arial"/>
          <w:bCs/>
          <w:color w:val="000000"/>
          <w:sz w:val="21"/>
        </w:rPr>
        <w:t>发证面积25025.15平方米（其中集体租赁住房19495.72平方米，配套用房5529.43平方米（包含商业（菜站、餐厅、超市）1481.13平方米，活动用房721.39平方米，管理用房52.67平方米，汽车库3274.24平方米））</w:t>
      </w:r>
      <w:bookmarkEnd w:id="1"/>
      <w:bookmarkEnd w:id="2"/>
      <w:r>
        <w:rPr>
          <w:rFonts w:hint="eastAsia" w:ascii="Arial" w:hAnsi="Arial"/>
          <w:bCs/>
          <w:color w:val="000000"/>
          <w:sz w:val="21"/>
        </w:rPr>
        <w:t>，其他附属设备用房5044.24平方米。</w:t>
      </w:r>
    </w:p>
    <w:p w14:paraId="62F05D52">
      <w:pPr>
        <w:spacing w:line="480" w:lineRule="auto"/>
        <w:ind w:firstLine="413" w:firstLineChars="196"/>
        <w:jc w:val="both"/>
        <w:rPr>
          <w:rFonts w:ascii="Arial" w:hAnsi="Arial"/>
          <w:bCs/>
          <w:sz w:val="21"/>
        </w:rPr>
      </w:pPr>
      <w:r>
        <w:rPr>
          <w:rFonts w:hint="eastAsia" w:ascii="Arial" w:hAnsi="Arial"/>
          <w:b/>
          <w:bCs/>
          <w:color w:val="000000"/>
          <w:sz w:val="21"/>
        </w:rPr>
        <w:t>咨询目的：</w:t>
      </w:r>
      <w:r>
        <w:rPr>
          <w:rFonts w:hint="eastAsia" w:ascii="Arial" w:hAnsi="Arial"/>
          <w:bCs/>
          <w:sz w:val="21"/>
        </w:rPr>
        <w:t>为委托方了解咨询对象在设定条件下的房地产市场租金水平提供参考依据。</w:t>
      </w:r>
    </w:p>
    <w:p w14:paraId="3A38FAF1">
      <w:pPr>
        <w:spacing w:line="480" w:lineRule="auto"/>
        <w:ind w:firstLine="422" w:firstLineChars="200"/>
        <w:rPr>
          <w:rFonts w:ascii="楷体_GB2312"/>
          <w:sz w:val="28"/>
        </w:rPr>
      </w:pPr>
      <w:r>
        <w:rPr>
          <w:rFonts w:hint="eastAsia" w:ascii="Arial" w:hAnsi="Arial"/>
          <w:b/>
          <w:bCs/>
          <w:color w:val="000000"/>
          <w:sz w:val="21"/>
        </w:rPr>
        <w:t>价值时点</w:t>
      </w:r>
      <w:r>
        <w:rPr>
          <w:rFonts w:hint="eastAsia" w:ascii="Arial" w:hAnsi="Arial"/>
          <w:b/>
          <w:bCs/>
          <w:sz w:val="21"/>
        </w:rPr>
        <w:t>：</w:t>
      </w:r>
      <w:r>
        <w:rPr>
          <w:rFonts w:ascii="Arial" w:hAnsi="Arial" w:cs="Arial"/>
          <w:sz w:val="21"/>
          <w:szCs w:val="21"/>
        </w:rPr>
        <w:t>2025年</w:t>
      </w:r>
      <w:r>
        <w:rPr>
          <w:rFonts w:hint="eastAsia" w:ascii="Arial" w:hAnsi="Arial" w:cs="Arial"/>
          <w:sz w:val="21"/>
          <w:szCs w:val="21"/>
        </w:rPr>
        <w:t>9</w:t>
      </w:r>
      <w:r>
        <w:rPr>
          <w:rFonts w:ascii="Arial" w:hAnsi="Arial" w:cs="Arial"/>
          <w:sz w:val="21"/>
          <w:szCs w:val="21"/>
        </w:rPr>
        <w:t>月</w:t>
      </w:r>
      <w:r>
        <w:rPr>
          <w:rFonts w:hint="eastAsia" w:ascii="Arial" w:hAnsi="Arial" w:cs="Arial"/>
          <w:sz w:val="21"/>
          <w:szCs w:val="21"/>
        </w:rPr>
        <w:t>10</w:t>
      </w:r>
      <w:r>
        <w:rPr>
          <w:rFonts w:ascii="Arial" w:hAnsi="Arial" w:cs="Arial"/>
          <w:sz w:val="21"/>
          <w:szCs w:val="21"/>
        </w:rPr>
        <w:t>日</w:t>
      </w:r>
      <w:r>
        <w:rPr>
          <w:rFonts w:hint="eastAsia" w:ascii="Arial" w:hAnsi="Arial" w:cs="Arial"/>
          <w:sz w:val="21"/>
          <w:szCs w:val="21"/>
        </w:rPr>
        <w:t>（非评估专业人员</w:t>
      </w:r>
      <w:r>
        <w:rPr>
          <w:rFonts w:hint="eastAsia" w:ascii="Arial" w:hAnsi="Arial"/>
          <w:bCs/>
          <w:sz w:val="21"/>
        </w:rPr>
        <w:t>实地查勘</w:t>
      </w:r>
      <w:r>
        <w:rPr>
          <w:rFonts w:hint="eastAsia" w:ascii="Arial" w:hAnsi="Arial" w:cs="Arial"/>
          <w:sz w:val="21"/>
          <w:szCs w:val="21"/>
        </w:rPr>
        <w:t>之日）</w:t>
      </w:r>
    </w:p>
    <w:p w14:paraId="36FFB576">
      <w:pPr>
        <w:spacing w:line="480" w:lineRule="auto"/>
        <w:ind w:firstLine="413" w:firstLineChars="196"/>
        <w:jc w:val="both"/>
        <w:rPr>
          <w:rFonts w:ascii="Arial" w:hAnsi="Arial"/>
          <w:b/>
          <w:bCs/>
          <w:sz w:val="21"/>
        </w:rPr>
      </w:pPr>
      <w:r>
        <w:rPr>
          <w:rFonts w:hint="eastAsia" w:ascii="Arial" w:hAnsi="Arial"/>
          <w:b/>
          <w:bCs/>
          <w:sz w:val="21"/>
        </w:rPr>
        <w:t>价值类型：</w:t>
      </w:r>
      <w:r>
        <w:rPr>
          <w:rFonts w:hint="eastAsia" w:ascii="Arial" w:hAnsi="Arial"/>
          <w:bCs/>
          <w:sz w:val="21"/>
        </w:rPr>
        <w:t>根据房地产估价规范、国家现行有关标准规定和项目的具体要求，本次评估采用的是</w:t>
      </w:r>
      <w:r>
        <w:rPr>
          <w:rFonts w:hint="eastAsia" w:ascii="Arial" w:hAnsi="Arial" w:cs="Arial"/>
          <w:sz w:val="21"/>
          <w:szCs w:val="21"/>
        </w:rPr>
        <w:t>市场价值</w:t>
      </w:r>
      <w:r>
        <w:rPr>
          <w:rFonts w:hint="eastAsia" w:ascii="Arial" w:hAnsi="Arial"/>
          <w:bCs/>
          <w:sz w:val="21"/>
        </w:rPr>
        <w:t>标准。</w:t>
      </w:r>
      <w:r>
        <w:rPr>
          <w:rFonts w:ascii="Arial" w:hAnsi="Arial"/>
          <w:bCs/>
          <w:sz w:val="21"/>
        </w:rPr>
        <w:t>根据</w:t>
      </w:r>
      <w:r>
        <w:rPr>
          <w:rFonts w:hint="eastAsia" w:ascii="Arial" w:hAnsi="Arial"/>
          <w:bCs/>
          <w:sz w:val="21"/>
        </w:rPr>
        <w:t>《房地产估</w:t>
      </w:r>
      <w:r>
        <w:rPr>
          <w:rFonts w:hint="eastAsia" w:ascii="Arial" w:hAnsi="Arial"/>
          <w:bCs/>
          <w:color w:val="000000"/>
          <w:sz w:val="21"/>
        </w:rPr>
        <w:t>价基本术语标准》[GB/T50899-2013]，</w:t>
      </w:r>
      <w:r>
        <w:rPr>
          <w:rFonts w:ascii="Arial" w:hAnsi="Arial"/>
          <w:bCs/>
          <w:color w:val="000000"/>
          <w:sz w:val="21"/>
        </w:rPr>
        <w:t>市场价值是经适当营销后，由熟悉情况、谨慎行事且不受强迫的交易双方，以公平交易方式在价值时点自愿进行交易的金额</w:t>
      </w:r>
      <w:r>
        <w:rPr>
          <w:rFonts w:hint="eastAsia" w:ascii="Arial" w:hAnsi="Arial"/>
          <w:bCs/>
          <w:color w:val="000000"/>
          <w:sz w:val="21"/>
        </w:rPr>
        <w:t>。</w:t>
      </w:r>
    </w:p>
    <w:p w14:paraId="0AE13567">
      <w:pPr>
        <w:spacing w:line="480" w:lineRule="auto"/>
        <w:ind w:firstLine="411" w:firstLineChars="196"/>
        <w:jc w:val="both"/>
        <w:rPr>
          <w:rFonts w:ascii="Arial" w:hAnsi="Arial"/>
          <w:bCs/>
          <w:sz w:val="21"/>
        </w:rPr>
      </w:pPr>
      <w:r>
        <w:rPr>
          <w:rFonts w:hint="eastAsia" w:ascii="Arial" w:hAnsi="Arial"/>
          <w:bCs/>
          <w:color w:val="000000"/>
          <w:sz w:val="21"/>
        </w:rPr>
        <w:t>本次</w:t>
      </w:r>
      <w:r>
        <w:rPr>
          <w:rFonts w:hint="eastAsia" w:ascii="Arial" w:hAnsi="Arial"/>
          <w:bCs/>
          <w:sz w:val="21"/>
        </w:rPr>
        <w:t>估价的“</w:t>
      </w:r>
      <w:r>
        <w:rPr>
          <w:rFonts w:hint="eastAsia" w:ascii="Arial" w:hAnsi="Arial" w:cs="Arial"/>
          <w:sz w:val="21"/>
          <w:szCs w:val="21"/>
        </w:rPr>
        <w:t>房地产市场租金水平</w:t>
      </w:r>
      <w:r>
        <w:rPr>
          <w:rFonts w:hint="eastAsia" w:ascii="Arial" w:hAnsi="Arial"/>
          <w:bCs/>
          <w:sz w:val="21"/>
        </w:rPr>
        <w:t>”是指在正常市场情况下，在价值时点</w:t>
      </w:r>
      <w:r>
        <w:rPr>
          <w:rFonts w:hint="eastAsia" w:ascii="Arial" w:hAnsi="Arial" w:cs="Arial"/>
          <w:sz w:val="21"/>
          <w:szCs w:val="21"/>
        </w:rPr>
        <w:t>2025年9月10日</w:t>
      </w:r>
      <w:r>
        <w:rPr>
          <w:rFonts w:hint="eastAsia" w:ascii="Arial" w:hAnsi="Arial"/>
          <w:bCs/>
          <w:sz w:val="21"/>
        </w:rPr>
        <w:t>，咨询对象房屋用途为</w:t>
      </w:r>
      <w:r>
        <w:rPr>
          <w:rFonts w:hint="eastAsia" w:ascii="Arial" w:hAnsi="Arial"/>
          <w:bCs/>
          <w:color w:val="000000"/>
          <w:sz w:val="21"/>
        </w:rPr>
        <w:t>集体租赁住房及配套</w:t>
      </w:r>
      <w:r>
        <w:rPr>
          <w:rFonts w:hint="eastAsia" w:ascii="Arial" w:hAnsi="Arial"/>
          <w:bCs/>
          <w:sz w:val="21"/>
        </w:rPr>
        <w:t>，</w:t>
      </w:r>
      <w:r>
        <w:rPr>
          <w:rFonts w:ascii="Arial" w:hAnsi="Arial"/>
          <w:bCs/>
          <w:sz w:val="21"/>
        </w:rPr>
        <w:t>土地取得方式</w:t>
      </w:r>
      <w:r>
        <w:rPr>
          <w:rFonts w:hint="eastAsia" w:ascii="Arial" w:hAnsi="Arial"/>
          <w:bCs/>
          <w:sz w:val="21"/>
        </w:rPr>
        <w:t>为批准拨用，装修情况设定为毛坯的房地产租赁价格</w:t>
      </w:r>
      <w:r>
        <w:rPr>
          <w:rFonts w:ascii="Arial" w:hAnsi="Arial" w:cs="Arial"/>
          <w:sz w:val="21"/>
          <w:szCs w:val="21"/>
        </w:rPr>
        <w:t>。</w:t>
      </w:r>
    </w:p>
    <w:p w14:paraId="7CCA7978">
      <w:pPr>
        <w:spacing w:line="480" w:lineRule="auto"/>
        <w:ind w:firstLine="422" w:firstLineChars="200"/>
        <w:jc w:val="both"/>
        <w:rPr>
          <w:rFonts w:ascii="Arial" w:hAnsi="Arial" w:cs="Arial"/>
          <w:sz w:val="21"/>
          <w:szCs w:val="21"/>
        </w:rPr>
      </w:pPr>
      <w:r>
        <w:rPr>
          <w:rFonts w:hint="eastAsia" w:ascii="Arial" w:hAnsi="Arial" w:cs="Arial"/>
          <w:b/>
          <w:bCs/>
          <w:sz w:val="21"/>
        </w:rPr>
        <w:t>咨询方法</w:t>
      </w:r>
      <w:r>
        <w:rPr>
          <w:rFonts w:ascii="Arial" w:hAnsi="Arial" w:cs="Arial"/>
          <w:b/>
          <w:bCs/>
          <w:sz w:val="21"/>
        </w:rPr>
        <w:t>：</w:t>
      </w:r>
      <w:r>
        <w:rPr>
          <w:rFonts w:hint="eastAsia" w:ascii="Arial" w:hAnsi="Arial"/>
          <w:sz w:val="21"/>
          <w:szCs w:val="21"/>
        </w:rPr>
        <w:t>本次评估采用的咨询方法为比较法</w:t>
      </w:r>
      <w:r>
        <w:rPr>
          <w:rFonts w:hint="eastAsia" w:ascii="Arial" w:hAnsi="Arial" w:cs="Arial"/>
          <w:sz w:val="21"/>
          <w:szCs w:val="21"/>
        </w:rPr>
        <w:t>。</w:t>
      </w:r>
    </w:p>
    <w:p w14:paraId="7EA2F49D">
      <w:pPr>
        <w:spacing w:line="480" w:lineRule="auto"/>
        <w:ind w:firstLine="422" w:firstLineChars="200"/>
        <w:jc w:val="both"/>
        <w:rPr>
          <w:rFonts w:ascii="楷体_GB2312" w:eastAsia="楷体_GB2312"/>
          <w:sz w:val="28"/>
        </w:rPr>
      </w:pPr>
      <w:r>
        <w:rPr>
          <w:rFonts w:hint="eastAsia" w:ascii="Arial" w:hAnsi="Arial" w:cs="Arial"/>
          <w:b/>
          <w:bCs/>
          <w:sz w:val="21"/>
        </w:rPr>
        <w:t>咨询结果：</w:t>
      </w:r>
      <w:r>
        <w:rPr>
          <w:rFonts w:ascii="Arial" w:hAnsi="Arial" w:cs="Arial"/>
          <w:bCs/>
          <w:sz w:val="21"/>
          <w:szCs w:val="21"/>
        </w:rPr>
        <w:t>评估专业人员根据</w:t>
      </w:r>
      <w:r>
        <w:rPr>
          <w:rFonts w:hint="eastAsia" w:ascii="Arial" w:hAnsi="Arial" w:cs="Arial"/>
          <w:bCs/>
          <w:sz w:val="21"/>
          <w:szCs w:val="21"/>
        </w:rPr>
        <w:t>咨询</w:t>
      </w:r>
      <w:r>
        <w:rPr>
          <w:rFonts w:ascii="Arial" w:hAnsi="Arial" w:cs="Arial"/>
          <w:bCs/>
          <w:sz w:val="21"/>
          <w:szCs w:val="21"/>
        </w:rPr>
        <w:t>的目</w:t>
      </w:r>
      <w:r>
        <w:rPr>
          <w:rFonts w:ascii="Arial" w:hAnsi="Arial" w:cs="Arial"/>
          <w:bCs/>
          <w:color w:val="000000"/>
          <w:sz w:val="21"/>
          <w:szCs w:val="21"/>
        </w:rPr>
        <w:t>的，按照</w:t>
      </w:r>
      <w:r>
        <w:rPr>
          <w:rFonts w:hint="eastAsia" w:ascii="Arial" w:hAnsi="Arial" w:cs="Arial"/>
          <w:bCs/>
          <w:sz w:val="21"/>
          <w:szCs w:val="21"/>
        </w:rPr>
        <w:t>咨询</w:t>
      </w:r>
      <w:r>
        <w:rPr>
          <w:rFonts w:ascii="Arial" w:hAnsi="Arial" w:cs="Arial"/>
          <w:bCs/>
          <w:color w:val="000000"/>
          <w:sz w:val="21"/>
          <w:szCs w:val="21"/>
        </w:rPr>
        <w:t>的程序，采用科学的</w:t>
      </w:r>
      <w:r>
        <w:rPr>
          <w:rFonts w:hint="eastAsia" w:ascii="Arial" w:hAnsi="Arial" w:cs="Arial"/>
          <w:bCs/>
          <w:color w:val="000000"/>
          <w:sz w:val="21"/>
          <w:szCs w:val="21"/>
        </w:rPr>
        <w:t>咨询方法</w:t>
      </w:r>
      <w:r>
        <w:rPr>
          <w:rFonts w:ascii="Arial" w:hAnsi="Arial" w:cs="Arial"/>
          <w:bCs/>
          <w:color w:val="000000"/>
          <w:sz w:val="21"/>
          <w:szCs w:val="21"/>
        </w:rPr>
        <w:t>，在认真分析现有资料的基础上，</w:t>
      </w:r>
      <w:r>
        <w:rPr>
          <w:rFonts w:hint="eastAsia" w:ascii="Arial" w:hAnsi="Arial" w:cs="Arial"/>
          <w:bCs/>
          <w:color w:val="000000"/>
          <w:sz w:val="21"/>
          <w:szCs w:val="21"/>
        </w:rPr>
        <w:t>结合本次</w:t>
      </w:r>
      <w:r>
        <w:rPr>
          <w:rFonts w:hint="eastAsia" w:ascii="Arial" w:hAnsi="Arial" w:cs="Arial"/>
          <w:bCs/>
          <w:sz w:val="21"/>
          <w:szCs w:val="21"/>
        </w:rPr>
        <w:t>咨询</w:t>
      </w:r>
      <w:r>
        <w:rPr>
          <w:rFonts w:hint="eastAsia" w:ascii="Arial" w:hAnsi="Arial" w:cs="Arial"/>
          <w:bCs/>
          <w:color w:val="000000"/>
          <w:sz w:val="21"/>
          <w:szCs w:val="21"/>
        </w:rPr>
        <w:t>的特殊要</w:t>
      </w:r>
      <w:r>
        <w:rPr>
          <w:rFonts w:hint="eastAsia" w:ascii="Arial" w:hAnsi="Arial" w:cs="Arial"/>
          <w:bCs/>
          <w:sz w:val="21"/>
          <w:szCs w:val="21"/>
        </w:rPr>
        <w:t>求</w:t>
      </w:r>
      <w:r>
        <w:rPr>
          <w:rFonts w:ascii="Arial" w:hAnsi="Arial" w:cs="Arial"/>
          <w:bCs/>
          <w:sz w:val="21"/>
          <w:szCs w:val="21"/>
        </w:rPr>
        <w:t>通过仔细测算和认真分析各种影响房地产</w:t>
      </w:r>
      <w:r>
        <w:rPr>
          <w:rFonts w:hint="eastAsia" w:ascii="Arial" w:hAnsi="Arial" w:cs="Arial"/>
          <w:bCs/>
          <w:sz w:val="21"/>
          <w:szCs w:val="21"/>
        </w:rPr>
        <w:t>租赁</w:t>
      </w:r>
      <w:r>
        <w:rPr>
          <w:rFonts w:ascii="Arial" w:hAnsi="Arial" w:cs="Arial"/>
          <w:bCs/>
          <w:sz w:val="21"/>
          <w:szCs w:val="21"/>
        </w:rPr>
        <w:t>价格的因素</w:t>
      </w:r>
      <w:r>
        <w:rPr>
          <w:rFonts w:hint="eastAsia" w:ascii="Arial" w:hAnsi="Arial" w:cs="Arial"/>
          <w:bCs/>
          <w:sz w:val="21"/>
          <w:szCs w:val="21"/>
        </w:rPr>
        <w:t xml:space="preserve">, </w:t>
      </w:r>
      <w:r>
        <w:rPr>
          <w:rFonts w:ascii="Arial" w:hAnsi="Arial" w:cs="Arial"/>
          <w:bCs/>
          <w:sz w:val="21"/>
          <w:szCs w:val="21"/>
        </w:rPr>
        <w:t>确定</w:t>
      </w:r>
      <w:r>
        <w:rPr>
          <w:rFonts w:hint="eastAsia" w:ascii="Arial" w:hAnsi="Arial" w:cs="Arial"/>
          <w:bCs/>
          <w:sz w:val="21"/>
          <w:szCs w:val="21"/>
        </w:rPr>
        <w:t>咨询对象于价值时点的房地产市场租金水平，详见咨询结果一览表。</w:t>
      </w:r>
    </w:p>
    <w:p w14:paraId="4C8F2D56">
      <w:pPr>
        <w:spacing w:line="360" w:lineRule="auto"/>
        <w:ind w:firstLine="420" w:firstLineChars="200"/>
        <w:outlineLvl w:val="0"/>
        <w:rPr>
          <w:rFonts w:ascii="Arial" w:hAnsi="Arial" w:cs="Arial"/>
          <w:bCs/>
          <w:color w:val="000000"/>
          <w:sz w:val="21"/>
          <w:szCs w:val="21"/>
        </w:rPr>
      </w:pPr>
      <w:r>
        <w:rPr>
          <w:rFonts w:ascii="Arial" w:hAnsi="Arial" w:cs="Arial"/>
          <w:bCs/>
          <w:color w:val="000000"/>
          <w:sz w:val="21"/>
          <w:szCs w:val="21"/>
        </w:rPr>
        <w:t>（转下页）</w:t>
      </w:r>
    </w:p>
    <w:p w14:paraId="2BCB114A">
      <w:pPr>
        <w:spacing w:line="360" w:lineRule="auto"/>
        <w:jc w:val="center"/>
        <w:outlineLvl w:val="0"/>
        <w:rPr>
          <w:rFonts w:ascii="Arial" w:hAnsi="Arial" w:eastAsia="方正黑体简体"/>
          <w:szCs w:val="24"/>
        </w:rPr>
      </w:pPr>
      <w:r>
        <w:rPr>
          <w:rFonts w:ascii="Arial" w:hAnsi="Arial" w:eastAsia="方正黑体简体"/>
          <w:szCs w:val="24"/>
        </w:rPr>
        <w:br w:type="page"/>
      </w:r>
      <w:r>
        <w:rPr>
          <w:rFonts w:hint="eastAsia" w:ascii="Arial" w:hAnsi="Arial" w:eastAsia="方正黑体简体"/>
          <w:szCs w:val="24"/>
        </w:rPr>
        <w:t>咨询结果一览表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3"/>
        <w:gridCol w:w="3392"/>
      </w:tblGrid>
      <w:tr w14:paraId="36A0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123" w:type="dxa"/>
            <w:vAlign w:val="center"/>
          </w:tcPr>
          <w:p w14:paraId="2862FD94">
            <w:pPr>
              <w:widowControl/>
              <w:adjustRightInd/>
              <w:spacing w:line="240" w:lineRule="auto"/>
              <w:jc w:val="center"/>
              <w:textAlignment w:val="auto"/>
              <w:rPr>
                <w:rFonts w:hint="eastAsia" w:ascii="华文细黑" w:hAnsi="华文细黑" w:eastAsia="华文细黑" w:cs="宋体"/>
                <w:color w:val="000000"/>
                <w:sz w:val="18"/>
                <w:szCs w:val="18"/>
              </w:rPr>
            </w:pPr>
            <w:r>
              <w:rPr>
                <w:rFonts w:hint="eastAsia" w:ascii="华文细黑" w:hAnsi="华文细黑" w:eastAsia="华文细黑" w:cs="宋体"/>
                <w:color w:val="000000"/>
                <w:sz w:val="18"/>
                <w:szCs w:val="18"/>
              </w:rPr>
              <w:t>咨询对象</w:t>
            </w:r>
          </w:p>
        </w:tc>
        <w:tc>
          <w:tcPr>
            <w:tcW w:w="3392" w:type="dxa"/>
            <w:vAlign w:val="center"/>
          </w:tcPr>
          <w:p w14:paraId="78A6EB5B">
            <w:pPr>
              <w:widowControl/>
              <w:adjustRightInd/>
              <w:spacing w:line="240" w:lineRule="auto"/>
              <w:jc w:val="center"/>
              <w:textAlignment w:val="auto"/>
              <w:rPr>
                <w:rFonts w:hint="eastAsia" w:ascii="华文细黑" w:hAnsi="华文细黑" w:eastAsia="华文细黑" w:cs="宋体"/>
                <w:b/>
                <w:bCs/>
                <w:color w:val="000000"/>
                <w:sz w:val="18"/>
                <w:szCs w:val="18"/>
              </w:rPr>
            </w:pPr>
            <w:r>
              <w:rPr>
                <w:rFonts w:hint="eastAsia" w:ascii="华文细黑" w:hAnsi="华文细黑" w:eastAsia="华文细黑" w:cs="宋体"/>
                <w:b/>
                <w:bCs/>
                <w:color w:val="000000"/>
                <w:sz w:val="18"/>
                <w:szCs w:val="18"/>
              </w:rPr>
              <w:t>房地产市场租金水平（元/平方米·天）</w:t>
            </w:r>
          </w:p>
        </w:tc>
      </w:tr>
      <w:tr w14:paraId="6452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123" w:type="dxa"/>
            <w:vAlign w:val="center"/>
          </w:tcPr>
          <w:p w14:paraId="33EDF13A">
            <w:pPr>
              <w:spacing w:line="240" w:lineRule="auto"/>
              <w:jc w:val="center"/>
              <w:rPr>
                <w:rFonts w:hint="eastAsia" w:ascii="华文细黑" w:hAnsi="华文细黑" w:eastAsia="华文细黑" w:cs="Arial"/>
                <w:sz w:val="18"/>
                <w:szCs w:val="18"/>
              </w:rPr>
            </w:pPr>
            <w:r>
              <w:rPr>
                <w:rFonts w:hint="eastAsia" w:ascii="华文细黑" w:hAnsi="华文细黑" w:eastAsia="华文细黑" w:cs="Arial"/>
                <w:sz w:val="18"/>
                <w:szCs w:val="18"/>
              </w:rPr>
              <w:t>北京市大兴区金时大街13号院1号楼、2号楼、3号楼、4号楼、100幢集体租赁住房及配套用房在设定条件下的房地产市场租金水平（项目整租）</w:t>
            </w:r>
          </w:p>
        </w:tc>
        <w:tc>
          <w:tcPr>
            <w:tcW w:w="3392" w:type="dxa"/>
            <w:vAlign w:val="center"/>
          </w:tcPr>
          <w:p w14:paraId="4A4C186F">
            <w:pPr>
              <w:widowControl/>
              <w:adjustRightInd/>
              <w:spacing w:line="240" w:lineRule="auto"/>
              <w:jc w:val="center"/>
              <w:textAlignment w:val="auto"/>
              <w:rPr>
                <w:rFonts w:ascii="Arial" w:hAnsi="Arial"/>
                <w:sz w:val="20"/>
              </w:rPr>
            </w:pPr>
            <w:r>
              <w:rPr>
                <w:rFonts w:hint="eastAsia" w:ascii="Arial" w:hAnsi="Arial"/>
                <w:sz w:val="20"/>
              </w:rPr>
              <w:t>0.57</w:t>
            </w:r>
          </w:p>
        </w:tc>
      </w:tr>
    </w:tbl>
    <w:p w14:paraId="40FE3D0D">
      <w:pPr>
        <w:spacing w:before="120" w:beforeLines="50" w:line="360" w:lineRule="auto"/>
        <w:ind w:firstLine="422" w:firstLineChars="200"/>
        <w:rPr>
          <w:rFonts w:ascii="Arial" w:hAnsi="Arial" w:cs="Arial"/>
          <w:b/>
          <w:bCs/>
          <w:sz w:val="21"/>
        </w:rPr>
      </w:pPr>
      <w:r>
        <w:rPr>
          <w:rFonts w:hint="eastAsia" w:ascii="Arial" w:hAnsi="Arial" w:cs="Arial"/>
          <w:b/>
          <w:bCs/>
          <w:sz w:val="21"/>
        </w:rPr>
        <w:t>特别提示：</w:t>
      </w:r>
    </w:p>
    <w:p w14:paraId="7478EC91">
      <w:pPr>
        <w:numPr>
          <w:ilvl w:val="0"/>
          <w:numId w:val="6"/>
        </w:numPr>
        <w:spacing w:line="480" w:lineRule="auto"/>
        <w:ind w:firstLine="600" w:firstLineChars="300"/>
        <w:jc w:val="both"/>
        <w:rPr>
          <w:rFonts w:ascii="Arial" w:hAnsi="Arial"/>
          <w:sz w:val="20"/>
        </w:rPr>
      </w:pPr>
      <w:r>
        <w:rPr>
          <w:rFonts w:hint="eastAsia" w:ascii="Arial" w:hAnsi="Arial"/>
          <w:sz w:val="20"/>
        </w:rPr>
        <w:t>若采用分用途出租方式，按照各经营性用途装修改造后的市场租金收益比例对项目整体租金进行分配，则咨询对象于设定条件下的各经营性用途租金单价分别为，集体租赁住房0.60元/平方米/天、配套（商业）用房0.64元/平方米/天、 配套（汽车库）用房0.10元/平方米/天。上述各用途租金分配仅考虑经营性用房部分。实际分用途出租时，应考虑各用途所分摊的附属设备用房面积对整体租金收入的影响，以保证房屋功能的完整性。</w:t>
      </w:r>
    </w:p>
    <w:p w14:paraId="5E187680">
      <w:pPr>
        <w:numPr>
          <w:ilvl w:val="0"/>
          <w:numId w:val="6"/>
        </w:numPr>
        <w:spacing w:line="480" w:lineRule="auto"/>
        <w:ind w:firstLine="600" w:firstLineChars="300"/>
        <w:jc w:val="both"/>
        <w:rPr>
          <w:rFonts w:ascii="Arial" w:hAnsi="Arial"/>
          <w:sz w:val="20"/>
          <w:szCs w:val="18"/>
        </w:rPr>
      </w:pPr>
      <w:r>
        <w:rPr>
          <w:rFonts w:hint="eastAsia" w:ascii="Arial" w:hAnsi="Arial"/>
          <w:sz w:val="20"/>
        </w:rPr>
        <w:t>根据《不动产权证书》[京（2023）大不动产权第0028576号]复印件及评估专业人员实地查勘，</w:t>
      </w:r>
      <w:r>
        <w:rPr>
          <w:rFonts w:hint="eastAsia" w:ascii="Arial" w:hAnsi="Arial"/>
          <w:kern w:val="2"/>
          <w:sz w:val="20"/>
          <w:szCs w:val="18"/>
        </w:rPr>
        <w:t>咨询对象部分房屋已出租，本报告是</w:t>
      </w:r>
      <w:r>
        <w:rPr>
          <w:rFonts w:hint="eastAsia" w:ascii="Arial" w:hAnsi="Arial"/>
          <w:bCs/>
          <w:sz w:val="20"/>
          <w:szCs w:val="18"/>
        </w:rPr>
        <w:t>为委托方了解咨询对象在设定条件下的房地产市场租金水平提供参考依据，</w:t>
      </w:r>
      <w:r>
        <w:rPr>
          <w:rFonts w:hint="eastAsia" w:ascii="Arial" w:hAnsi="Arial"/>
          <w:kern w:val="2"/>
          <w:sz w:val="20"/>
          <w:szCs w:val="18"/>
        </w:rPr>
        <w:t>故本次咨询结果未考虑上述租赁权对咨询结果的影响。截至价值时点，咨询对象除上述租赁权外，未见咨询对象存在抵押权、地役权等他项权利的记录。</w:t>
      </w:r>
    </w:p>
    <w:p w14:paraId="6B870834">
      <w:pPr>
        <w:numPr>
          <w:ilvl w:val="0"/>
          <w:numId w:val="6"/>
        </w:numPr>
        <w:spacing w:line="480" w:lineRule="auto"/>
        <w:ind w:firstLine="600" w:firstLineChars="300"/>
        <w:jc w:val="both"/>
        <w:rPr>
          <w:rFonts w:ascii="Arial" w:hAnsi="Arial"/>
          <w:sz w:val="20"/>
          <w:szCs w:val="18"/>
        </w:rPr>
      </w:pPr>
      <w:r>
        <w:rPr>
          <w:rFonts w:hint="eastAsia" w:ascii="Arial" w:hAnsi="Arial"/>
          <w:sz w:val="20"/>
        </w:rPr>
        <w:t>本咨询结果同时受本报告正文中“估价的假设和限制条件”限制。</w:t>
      </w:r>
    </w:p>
    <w:p w14:paraId="3652AED3">
      <w:pPr>
        <w:spacing w:line="480" w:lineRule="auto"/>
        <w:ind w:firstLine="1050" w:firstLineChars="500"/>
        <w:rPr>
          <w:rFonts w:ascii="Arial" w:hAnsi="Arial"/>
          <w:sz w:val="21"/>
        </w:rPr>
      </w:pPr>
    </w:p>
    <w:p w14:paraId="1D0998EA">
      <w:pPr>
        <w:spacing w:line="480" w:lineRule="auto"/>
        <w:ind w:firstLine="1050" w:firstLineChars="500"/>
        <w:rPr>
          <w:rFonts w:ascii="Arial" w:hAnsi="Arial"/>
          <w:sz w:val="21"/>
        </w:rPr>
      </w:pPr>
      <w:r>
        <w:rPr>
          <w:rFonts w:hint="eastAsia" w:ascii="Arial" w:hAnsi="Arial"/>
          <w:sz w:val="21"/>
        </w:rPr>
        <w:t>顺致</w:t>
      </w:r>
    </w:p>
    <w:p w14:paraId="143C0EB2">
      <w:pPr>
        <w:spacing w:line="480" w:lineRule="auto"/>
        <w:ind w:firstLine="1050" w:firstLineChars="500"/>
        <w:rPr>
          <w:rFonts w:ascii="Arial" w:hAnsi="Arial"/>
          <w:sz w:val="21"/>
        </w:rPr>
      </w:pPr>
    </w:p>
    <w:p w14:paraId="5F0C734A">
      <w:pPr>
        <w:spacing w:line="480" w:lineRule="auto"/>
        <w:rPr>
          <w:rFonts w:ascii="Arial" w:hAnsi="Arial" w:eastAsia="楷体_GB2312"/>
          <w:sz w:val="28"/>
        </w:rPr>
      </w:pPr>
      <w:r>
        <w:rPr>
          <w:rFonts w:hint="eastAsia" w:ascii="Arial" w:hAnsi="Arial"/>
          <w:sz w:val="21"/>
        </w:rPr>
        <w:t>商祺</w:t>
      </w:r>
      <w:r>
        <w:rPr>
          <w:rFonts w:hint="eastAsia" w:ascii="Arial" w:hAnsi="Arial" w:eastAsia="楷体_GB2312"/>
          <w:sz w:val="28"/>
        </w:rPr>
        <w:t xml:space="preserve">                                         </w:t>
      </w:r>
    </w:p>
    <w:p w14:paraId="7BAFD9A9">
      <w:pPr>
        <w:spacing w:line="480" w:lineRule="auto"/>
        <w:rPr>
          <w:rFonts w:ascii="Arial" w:hAnsi="Arial" w:eastAsia="楷体_GB2312"/>
          <w:sz w:val="28"/>
        </w:rPr>
      </w:pPr>
    </w:p>
    <w:tbl>
      <w:tblPr>
        <w:tblStyle w:val="32"/>
        <w:tblW w:w="0" w:type="auto"/>
        <w:tblInd w:w="5920" w:type="dxa"/>
        <w:tblLayout w:type="autofit"/>
        <w:tblCellMar>
          <w:top w:w="0" w:type="dxa"/>
          <w:left w:w="108" w:type="dxa"/>
          <w:bottom w:w="0" w:type="dxa"/>
          <w:right w:w="108" w:type="dxa"/>
        </w:tblCellMar>
      </w:tblPr>
      <w:tblGrid>
        <w:gridCol w:w="3402"/>
      </w:tblGrid>
      <w:tr w14:paraId="000FC2AD">
        <w:tc>
          <w:tcPr>
            <w:tcW w:w="3402" w:type="dxa"/>
          </w:tcPr>
          <w:p w14:paraId="243E2B4C">
            <w:pPr>
              <w:spacing w:line="480" w:lineRule="auto"/>
              <w:rPr>
                <w:rFonts w:ascii="Arial" w:hAnsi="Arial" w:cs="Arial"/>
                <w:sz w:val="21"/>
                <w:szCs w:val="21"/>
              </w:rPr>
            </w:pPr>
            <w:r>
              <w:rPr>
                <w:rFonts w:ascii="Arial" w:hAnsi="Arial" w:cs="Arial"/>
                <w:sz w:val="21"/>
                <w:szCs w:val="21"/>
              </w:rPr>
              <w:t>北京康正宏基房地产评估有限公司</w:t>
            </w:r>
          </w:p>
        </w:tc>
      </w:tr>
      <w:tr w14:paraId="22383FC8">
        <w:tblPrEx>
          <w:tblCellMar>
            <w:top w:w="0" w:type="dxa"/>
            <w:left w:w="108" w:type="dxa"/>
            <w:bottom w:w="0" w:type="dxa"/>
            <w:right w:w="108" w:type="dxa"/>
          </w:tblCellMar>
        </w:tblPrEx>
        <w:trPr>
          <w:trHeight w:val="1431" w:hRule="atLeast"/>
        </w:trPr>
        <w:tc>
          <w:tcPr>
            <w:tcW w:w="3402" w:type="dxa"/>
          </w:tcPr>
          <w:p w14:paraId="77AC25EF">
            <w:pPr>
              <w:spacing w:line="480" w:lineRule="auto"/>
              <w:rPr>
                <w:rFonts w:ascii="Arial" w:hAnsi="Arial" w:cs="Arial"/>
                <w:sz w:val="21"/>
                <w:szCs w:val="21"/>
              </w:rPr>
            </w:pPr>
            <w:r>
              <w:rPr>
                <w:rFonts w:ascii="Arial" w:hAnsi="Arial" w:cs="Arial"/>
                <w:sz w:val="21"/>
                <w:szCs w:val="21"/>
              </w:rPr>
              <w:t>法定代表人：</w:t>
            </w:r>
          </w:p>
        </w:tc>
      </w:tr>
      <w:tr w14:paraId="38C62EFC">
        <w:tblPrEx>
          <w:tblCellMar>
            <w:top w:w="0" w:type="dxa"/>
            <w:left w:w="108" w:type="dxa"/>
            <w:bottom w:w="0" w:type="dxa"/>
            <w:right w:w="108" w:type="dxa"/>
          </w:tblCellMar>
        </w:tblPrEx>
        <w:tc>
          <w:tcPr>
            <w:tcW w:w="3402" w:type="dxa"/>
          </w:tcPr>
          <w:p w14:paraId="62F3A9CE">
            <w:pPr>
              <w:spacing w:line="480" w:lineRule="auto"/>
              <w:jc w:val="right"/>
              <w:rPr>
                <w:rFonts w:ascii="Arial" w:hAnsi="Arial" w:cs="Arial"/>
                <w:sz w:val="21"/>
                <w:szCs w:val="21"/>
              </w:rPr>
            </w:pPr>
            <w:r>
              <w:rPr>
                <w:rFonts w:hint="eastAsia" w:ascii="Arial" w:hAnsi="Arial" w:cs="Arial"/>
                <w:sz w:val="21"/>
                <w:szCs w:val="21"/>
              </w:rPr>
              <w:t>二〇二五年九月十五日</w:t>
            </w:r>
          </w:p>
        </w:tc>
      </w:tr>
    </w:tbl>
    <w:p w14:paraId="260549A6">
      <w:pPr>
        <w:spacing w:line="360" w:lineRule="auto"/>
        <w:jc w:val="right"/>
        <w:rPr>
          <w:rFonts w:ascii="Arial" w:hAnsi="Arial"/>
          <w:color w:val="E36C0A"/>
        </w:rPr>
      </w:pPr>
      <w:r>
        <w:rPr>
          <w:rFonts w:hint="eastAsia" w:ascii="Arial" w:hAnsi="Arial" w:eastAsia="楷体_GB2312"/>
          <w:sz w:val="28"/>
        </w:rPr>
        <w:t xml:space="preserve"> </w:t>
      </w:r>
    </w:p>
    <w:p w14:paraId="33E71F73">
      <w:pPr>
        <w:rPr>
          <w:rFonts w:ascii="Arial" w:hAnsi="Arial"/>
          <w:color w:val="E36C0A"/>
        </w:rPr>
        <w:sectPr>
          <w:headerReference r:id="rId9" w:type="default"/>
          <w:pgSz w:w="11907" w:h="16840"/>
          <w:pgMar w:top="1843" w:right="1134" w:bottom="1191" w:left="1134" w:header="1134" w:footer="1134" w:gutter="340"/>
          <w:pgNumType w:start="1"/>
          <w:cols w:space="720" w:num="1"/>
          <w:docGrid w:linePitch="326" w:charSpace="0"/>
        </w:sectPr>
      </w:pPr>
    </w:p>
    <w:p w14:paraId="44AE56D1">
      <w:pPr>
        <w:pStyle w:val="2"/>
        <w:numPr>
          <w:ilvl w:val="0"/>
          <w:numId w:val="0"/>
        </w:numPr>
        <w:spacing w:line="480" w:lineRule="auto"/>
        <w:jc w:val="center"/>
        <w:rPr>
          <w:rFonts w:eastAsia="方正黑体简体"/>
          <w:b w:val="0"/>
          <w:kern w:val="2"/>
          <w:sz w:val="32"/>
          <w:szCs w:val="32"/>
        </w:rPr>
      </w:pPr>
      <w:bookmarkStart w:id="3" w:name="_Toc469298293"/>
      <w:bookmarkStart w:id="4" w:name="_Toc379795041"/>
      <w:r>
        <w:rPr>
          <w:rFonts w:hint="eastAsia" w:eastAsia="方正黑体简体"/>
          <w:b w:val="0"/>
          <w:kern w:val="2"/>
          <w:sz w:val="32"/>
          <w:szCs w:val="32"/>
        </w:rPr>
        <w:t>估价师声明</w:t>
      </w:r>
      <w:bookmarkEnd w:id="3"/>
      <w:bookmarkEnd w:id="4"/>
    </w:p>
    <w:p w14:paraId="6F457A2C">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14:paraId="576CD98D">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w:t>
      </w:r>
      <w:r>
        <w:rPr>
          <w:rFonts w:hint="eastAsia" w:ascii="Arial" w:hAnsi="Arial" w:cs="Arial"/>
          <w:kern w:val="2"/>
          <w:sz w:val="21"/>
          <w:szCs w:val="21"/>
        </w:rPr>
        <w:t>咨询报告</w:t>
      </w:r>
      <w:r>
        <w:rPr>
          <w:rFonts w:ascii="Arial" w:hAnsi="Arial" w:cs="Arial"/>
          <w:kern w:val="2"/>
          <w:sz w:val="21"/>
          <w:szCs w:val="21"/>
        </w:rPr>
        <w:t>中对事实的说明是真实的和准确的，没有虚假记载、误导性陈述和重大遗漏。</w:t>
      </w:r>
    </w:p>
    <w:p w14:paraId="05E2E1E6">
      <w:pPr>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w:t>
      </w:r>
      <w:r>
        <w:rPr>
          <w:rFonts w:hint="eastAsia" w:ascii="Arial" w:hAnsi="Arial" w:cs="Arial"/>
          <w:kern w:val="2"/>
          <w:sz w:val="21"/>
          <w:szCs w:val="21"/>
        </w:rPr>
        <w:t>咨询报告</w:t>
      </w:r>
      <w:r>
        <w:rPr>
          <w:rFonts w:ascii="Arial" w:hAnsi="Arial" w:cs="Arial"/>
          <w:kern w:val="2"/>
          <w:sz w:val="21"/>
          <w:szCs w:val="21"/>
        </w:rPr>
        <w:t>中的分析、意见和结论是注册房地产估价师独立、客观、公正的专业分析、意见和结论，但受到本</w:t>
      </w:r>
      <w:r>
        <w:rPr>
          <w:rFonts w:hint="eastAsia" w:ascii="Arial" w:hAnsi="Arial" w:cs="Arial"/>
          <w:kern w:val="2"/>
          <w:sz w:val="21"/>
          <w:szCs w:val="21"/>
        </w:rPr>
        <w:t>咨询报告</w:t>
      </w:r>
      <w:r>
        <w:rPr>
          <w:rFonts w:ascii="Arial" w:hAnsi="Arial" w:cs="Arial"/>
          <w:kern w:val="2"/>
          <w:sz w:val="21"/>
          <w:szCs w:val="21"/>
        </w:rPr>
        <w:t>中已说明的估价假设和限制条件的限制。</w:t>
      </w:r>
    </w:p>
    <w:p w14:paraId="6C00E8B4">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w:t>
      </w:r>
      <w:r>
        <w:rPr>
          <w:rFonts w:hint="eastAsia" w:ascii="Arial" w:hAnsi="Arial" w:cs="Arial"/>
          <w:kern w:val="2"/>
          <w:sz w:val="21"/>
          <w:szCs w:val="21"/>
        </w:rPr>
        <w:t>咨询报告</w:t>
      </w:r>
      <w:r>
        <w:rPr>
          <w:rFonts w:ascii="Arial" w:hAnsi="Arial" w:cs="Arial"/>
          <w:kern w:val="2"/>
          <w:sz w:val="21"/>
          <w:szCs w:val="21"/>
        </w:rPr>
        <w:t>中的</w:t>
      </w:r>
      <w:r>
        <w:rPr>
          <w:rFonts w:hint="eastAsia" w:ascii="Arial" w:hAnsi="Arial" w:cs="Arial"/>
          <w:kern w:val="2"/>
          <w:sz w:val="21"/>
          <w:szCs w:val="21"/>
        </w:rPr>
        <w:t>咨询对象</w:t>
      </w:r>
      <w:r>
        <w:rPr>
          <w:rFonts w:ascii="Arial" w:hAnsi="Arial" w:cs="Arial"/>
          <w:kern w:val="2"/>
          <w:sz w:val="21"/>
          <w:szCs w:val="21"/>
        </w:rPr>
        <w:t>没有现实或潜在的利益，与</w:t>
      </w:r>
      <w:r>
        <w:rPr>
          <w:rFonts w:hint="eastAsia" w:ascii="Arial" w:hAnsi="Arial" w:cs="Arial"/>
          <w:kern w:val="2"/>
          <w:sz w:val="21"/>
          <w:szCs w:val="21"/>
        </w:rPr>
        <w:t>咨询委托人</w:t>
      </w:r>
      <w:r>
        <w:rPr>
          <w:rFonts w:ascii="Arial" w:hAnsi="Arial" w:cs="Arial"/>
          <w:kern w:val="2"/>
          <w:sz w:val="21"/>
          <w:szCs w:val="21"/>
        </w:rPr>
        <w:t>及估价利害关系人没有利害关系，也对本</w:t>
      </w:r>
      <w:r>
        <w:rPr>
          <w:rFonts w:hint="eastAsia" w:ascii="Arial" w:hAnsi="Arial" w:cs="Arial"/>
          <w:kern w:val="2"/>
          <w:sz w:val="21"/>
          <w:szCs w:val="21"/>
        </w:rPr>
        <w:t>咨询报告</w:t>
      </w:r>
      <w:r>
        <w:rPr>
          <w:rFonts w:ascii="Arial" w:hAnsi="Arial" w:cs="Arial"/>
          <w:kern w:val="2"/>
          <w:sz w:val="21"/>
          <w:szCs w:val="21"/>
        </w:rPr>
        <w:t>中的</w:t>
      </w:r>
      <w:r>
        <w:rPr>
          <w:rFonts w:hint="eastAsia" w:ascii="Arial" w:hAnsi="Arial" w:cs="Arial"/>
          <w:kern w:val="2"/>
          <w:sz w:val="21"/>
          <w:szCs w:val="21"/>
        </w:rPr>
        <w:t>咨询对象</w:t>
      </w:r>
      <w:r>
        <w:rPr>
          <w:rFonts w:ascii="Arial" w:hAnsi="Arial" w:cs="Arial"/>
          <w:kern w:val="2"/>
          <w:sz w:val="21"/>
          <w:szCs w:val="21"/>
        </w:rPr>
        <w:t>、</w:t>
      </w:r>
      <w:r>
        <w:rPr>
          <w:rFonts w:hint="eastAsia" w:ascii="Arial" w:hAnsi="Arial" w:cs="Arial"/>
          <w:kern w:val="2"/>
          <w:sz w:val="21"/>
          <w:szCs w:val="21"/>
        </w:rPr>
        <w:t>咨询委托人</w:t>
      </w:r>
      <w:r>
        <w:rPr>
          <w:rFonts w:ascii="Arial" w:hAnsi="Arial" w:cs="Arial"/>
          <w:kern w:val="2"/>
          <w:sz w:val="21"/>
          <w:szCs w:val="21"/>
        </w:rPr>
        <w:t>及估价利害关系人没有偏见。</w:t>
      </w:r>
    </w:p>
    <w:p w14:paraId="79EC2B69">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w:t>
      </w:r>
      <w:r>
        <w:rPr>
          <w:rFonts w:hint="eastAsia" w:ascii="Arial" w:hAnsi="Arial" w:cs="Arial"/>
          <w:kern w:val="2"/>
          <w:sz w:val="21"/>
          <w:szCs w:val="21"/>
        </w:rPr>
        <w:t>咨询报告</w:t>
      </w:r>
      <w:r>
        <w:rPr>
          <w:rFonts w:ascii="Arial" w:hAnsi="Arial" w:cs="Arial"/>
          <w:kern w:val="2"/>
          <w:sz w:val="21"/>
          <w:szCs w:val="21"/>
        </w:rPr>
        <w:t>。</w:t>
      </w:r>
    </w:p>
    <w:p w14:paraId="744A5C3E">
      <w:pPr>
        <w:overflowPunct w:val="0"/>
        <w:spacing w:line="480" w:lineRule="auto"/>
        <w:jc w:val="both"/>
        <w:textAlignment w:val="auto"/>
        <w:outlineLvl w:val="0"/>
        <w:rPr>
          <w:rFonts w:ascii="Arial" w:hAnsi="Arial"/>
          <w:kern w:val="2"/>
          <w:sz w:val="21"/>
          <w:szCs w:val="21"/>
        </w:rPr>
      </w:pPr>
    </w:p>
    <w:p w14:paraId="63C1B586">
      <w:pPr>
        <w:wordWrap w:val="0"/>
        <w:overflowPunct w:val="0"/>
        <w:spacing w:line="480" w:lineRule="auto"/>
        <w:jc w:val="both"/>
        <w:textAlignment w:val="auto"/>
        <w:outlineLvl w:val="0"/>
        <w:rPr>
          <w:rFonts w:ascii="Arial" w:hAnsi="Arial"/>
          <w:kern w:val="2"/>
          <w:sz w:val="21"/>
          <w:szCs w:val="21"/>
        </w:rPr>
      </w:pPr>
    </w:p>
    <w:p w14:paraId="195DD164">
      <w:pPr>
        <w:overflowPunct w:val="0"/>
        <w:spacing w:line="480" w:lineRule="auto"/>
        <w:jc w:val="both"/>
        <w:textAlignment w:val="auto"/>
        <w:rPr>
          <w:rFonts w:ascii="Arial" w:hAnsi="Arial"/>
          <w:sz w:val="21"/>
          <w:szCs w:val="21"/>
        </w:rPr>
      </w:pPr>
      <w:bookmarkStart w:id="5" w:name="_Toc168225811"/>
    </w:p>
    <w:p w14:paraId="3F369889">
      <w:pPr>
        <w:overflowPunct w:val="0"/>
        <w:spacing w:line="480" w:lineRule="auto"/>
        <w:jc w:val="both"/>
        <w:textAlignment w:val="auto"/>
        <w:outlineLvl w:val="0"/>
        <w:rPr>
          <w:rFonts w:ascii="Arial" w:hAnsi="Arial"/>
          <w:kern w:val="2"/>
          <w:sz w:val="21"/>
          <w:szCs w:val="21"/>
        </w:rPr>
        <w:sectPr>
          <w:headerReference r:id="rId11" w:type="first"/>
          <w:footerReference r:id="rId12" w:type="first"/>
          <w:headerReference r:id="rId10" w:type="default"/>
          <w:pgSz w:w="11907" w:h="16840"/>
          <w:pgMar w:top="1843" w:right="1134" w:bottom="1191" w:left="1134" w:header="1134" w:footer="1134" w:gutter="340"/>
          <w:cols w:space="720" w:num="1"/>
          <w:docGrid w:linePitch="326" w:charSpace="0"/>
        </w:sectPr>
      </w:pPr>
    </w:p>
    <w:p w14:paraId="2C8683E2">
      <w:pPr>
        <w:pStyle w:val="2"/>
        <w:numPr>
          <w:ilvl w:val="0"/>
          <w:numId w:val="0"/>
        </w:numPr>
        <w:spacing w:line="480" w:lineRule="auto"/>
        <w:jc w:val="center"/>
        <w:rPr>
          <w:rFonts w:eastAsia="方正黑体简体"/>
          <w:b w:val="0"/>
          <w:kern w:val="2"/>
          <w:sz w:val="32"/>
          <w:szCs w:val="32"/>
        </w:rPr>
      </w:pPr>
      <w:bookmarkStart w:id="6" w:name="_Toc469298294"/>
      <w:bookmarkStart w:id="7" w:name="_Toc379795042"/>
      <w:r>
        <w:rPr>
          <w:rFonts w:hint="eastAsia" w:eastAsia="方正黑体简体"/>
          <w:b w:val="0"/>
          <w:kern w:val="2"/>
          <w:sz w:val="32"/>
          <w:szCs w:val="32"/>
        </w:rPr>
        <w:t>估价假设和限制条件</w:t>
      </w:r>
      <w:bookmarkEnd w:id="6"/>
      <w:bookmarkEnd w:id="7"/>
    </w:p>
    <w:bookmarkEnd w:id="5"/>
    <w:p w14:paraId="3F7E2CD9">
      <w:pPr>
        <w:overflowPunct w:val="0"/>
        <w:spacing w:line="480" w:lineRule="auto"/>
        <w:jc w:val="both"/>
        <w:textAlignment w:val="auto"/>
        <w:outlineLvl w:val="0"/>
        <w:rPr>
          <w:rFonts w:ascii="Arial" w:hAnsi="Arial" w:cs="Arial"/>
          <w:b/>
          <w:kern w:val="2"/>
          <w:sz w:val="21"/>
        </w:rPr>
      </w:pPr>
      <w:bookmarkStart w:id="8" w:name="OLE_LINK13"/>
      <w:bookmarkStart w:id="9" w:name="OLE_LINK12"/>
      <w:r>
        <w:rPr>
          <w:rFonts w:ascii="Arial" w:hAnsi="Arial" w:cs="Arial"/>
          <w:b/>
          <w:kern w:val="2"/>
          <w:sz w:val="21"/>
        </w:rPr>
        <w:t>（一）本次估价的一般假设</w:t>
      </w:r>
    </w:p>
    <w:p w14:paraId="668B6010">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kern w:val="2"/>
          <w:sz w:val="21"/>
        </w:rPr>
        <w:t>在价值时点的房地产市场为公开、平等、自愿的交易市场。</w:t>
      </w:r>
    </w:p>
    <w:p w14:paraId="0BF140D9">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cs="Arial"/>
          <w:kern w:val="2"/>
          <w:sz w:val="21"/>
        </w:rPr>
        <w:t>以</w:t>
      </w:r>
      <w:r>
        <w:rPr>
          <w:rFonts w:hint="eastAsia" w:ascii="Arial" w:hAnsi="Arial" w:cs="Arial"/>
          <w:kern w:val="2"/>
          <w:sz w:val="21"/>
        </w:rPr>
        <w:t>咨询</w:t>
      </w:r>
      <w:r>
        <w:rPr>
          <w:rFonts w:ascii="Arial" w:hAnsi="Arial" w:cs="Arial"/>
          <w:kern w:val="2"/>
          <w:sz w:val="21"/>
        </w:rPr>
        <w:t>对象为符合法律、法规规定，在市场上可进行出租的房地产为假设前提。</w:t>
      </w:r>
    </w:p>
    <w:p w14:paraId="4151820C">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cs="Arial"/>
          <w:kern w:val="2"/>
          <w:sz w:val="21"/>
        </w:rPr>
        <w:t>以</w:t>
      </w:r>
      <w:r>
        <w:rPr>
          <w:rFonts w:hint="eastAsia" w:ascii="Arial" w:hAnsi="Arial" w:cs="Arial"/>
          <w:kern w:val="2"/>
          <w:sz w:val="21"/>
        </w:rPr>
        <w:t>咨询委托人</w:t>
      </w:r>
      <w:r>
        <w:rPr>
          <w:rFonts w:ascii="Arial" w:hAnsi="Arial" w:cs="Arial"/>
          <w:kern w:val="2"/>
          <w:sz w:val="21"/>
        </w:rPr>
        <w:t>能按照设定用途</w:t>
      </w:r>
      <w:r>
        <w:rPr>
          <w:rFonts w:hint="eastAsia" w:ascii="宋体" w:hAnsi="宋体"/>
          <w:kern w:val="2"/>
          <w:sz w:val="21"/>
        </w:rPr>
        <w:t>正常使用并可持续对外出租</w:t>
      </w:r>
      <w:r>
        <w:rPr>
          <w:rFonts w:ascii="Arial" w:hAnsi="Arial" w:cs="Arial"/>
          <w:kern w:val="2"/>
          <w:sz w:val="21"/>
        </w:rPr>
        <w:t>为假设前提。</w:t>
      </w:r>
    </w:p>
    <w:p w14:paraId="6EF6EF8E">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hint="eastAsia" w:ascii="Arial" w:hAnsi="Arial"/>
          <w:kern w:val="2"/>
          <w:sz w:val="21"/>
        </w:rPr>
        <w:t>评估专业人员</w:t>
      </w:r>
      <w:r>
        <w:rPr>
          <w:rFonts w:ascii="Arial" w:hAnsi="Arial"/>
          <w:kern w:val="2"/>
          <w:sz w:val="21"/>
        </w:rPr>
        <w:t>已对</w:t>
      </w:r>
      <w:r>
        <w:rPr>
          <w:rFonts w:hint="eastAsia" w:ascii="Arial" w:hAnsi="Arial"/>
          <w:kern w:val="2"/>
          <w:sz w:val="21"/>
        </w:rPr>
        <w:t>咨询委托人</w:t>
      </w:r>
      <w:r>
        <w:rPr>
          <w:rFonts w:ascii="Arial" w:hAnsi="Arial"/>
          <w:kern w:val="2"/>
          <w:sz w:val="21"/>
        </w:rPr>
        <w:t>所提供的、本报告所依据的</w:t>
      </w:r>
      <w:r>
        <w:rPr>
          <w:rFonts w:hint="eastAsia" w:ascii="Arial" w:hAnsi="Arial"/>
          <w:kern w:val="2"/>
          <w:sz w:val="21"/>
        </w:rPr>
        <w:t>咨询对象</w:t>
      </w:r>
      <w:r>
        <w:rPr>
          <w:rFonts w:ascii="Arial" w:hAnsi="Arial"/>
          <w:kern w:val="2"/>
          <w:sz w:val="21"/>
        </w:rPr>
        <w:t>的权属以及其他相关资料进行了检查，无理由怀疑其合法性、真实性、准确性和完整性。本次评估设定</w:t>
      </w:r>
      <w:r>
        <w:rPr>
          <w:rFonts w:hint="eastAsia" w:ascii="Arial" w:hAnsi="Arial"/>
          <w:kern w:val="2"/>
          <w:sz w:val="21"/>
        </w:rPr>
        <w:t>咨询委托人</w:t>
      </w:r>
      <w:r>
        <w:rPr>
          <w:rFonts w:ascii="Arial" w:hAnsi="Arial"/>
          <w:kern w:val="2"/>
          <w:sz w:val="21"/>
        </w:rPr>
        <w:t>提供的资料合法、属实，并且提供了与本次评估有关的所有资料，没有保留及隐瞒。</w:t>
      </w:r>
    </w:p>
    <w:p w14:paraId="12511BB1">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hint="eastAsia" w:ascii="Arial" w:hAnsi="Arial"/>
          <w:kern w:val="2"/>
          <w:sz w:val="21"/>
        </w:rPr>
        <w:t>咨询对象</w:t>
      </w:r>
      <w:r>
        <w:rPr>
          <w:rFonts w:ascii="Arial" w:hAnsi="Arial"/>
          <w:kern w:val="2"/>
          <w:sz w:val="21"/>
        </w:rPr>
        <w:t>面积以</w:t>
      </w:r>
      <w:r>
        <w:rPr>
          <w:rFonts w:hint="eastAsia" w:ascii="Arial" w:hAnsi="Arial"/>
          <w:sz w:val="21"/>
          <w:szCs w:val="21"/>
        </w:rPr>
        <w:t>《不动产权证书》[京（2023）大不动产权第0028576号]</w:t>
      </w:r>
      <w:r>
        <w:rPr>
          <w:rFonts w:hint="eastAsia" w:ascii="Arial" w:hAnsi="Arial"/>
          <w:kern w:val="2"/>
          <w:sz w:val="21"/>
        </w:rPr>
        <w:t>上载明的信息为准。</w:t>
      </w:r>
    </w:p>
    <w:p w14:paraId="4CA00794">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hint="eastAsia" w:ascii="Arial" w:hAnsi="Arial" w:cs="Arial"/>
          <w:kern w:val="2"/>
          <w:sz w:val="21"/>
          <w:szCs w:val="21"/>
        </w:rPr>
        <w:t>本次估价结果是在满足全部假设与限制条件下，于价值时点2025年9月10日，</w:t>
      </w:r>
      <w:r>
        <w:rPr>
          <w:rFonts w:hint="eastAsia" w:ascii="Arial" w:hAnsi="Arial" w:cs="Arial"/>
          <w:sz w:val="21"/>
          <w:szCs w:val="21"/>
        </w:rPr>
        <w:t>市场租赁住房租金是指于价值时点在设定条件下的平均租金，不包含家具家电使用费及租赁税费等；不包含由承租人承担的基础服务费、增值服务费、能源费、车位使用费等费用。</w:t>
      </w:r>
    </w:p>
    <w:p w14:paraId="324F8E09">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hint="eastAsia" w:ascii="Arial" w:hAnsi="Arial"/>
          <w:kern w:val="2"/>
          <w:sz w:val="21"/>
        </w:rPr>
        <w:t>评估专业人员</w:t>
      </w:r>
      <w:r>
        <w:rPr>
          <w:rFonts w:ascii="Arial" w:hAnsi="Arial"/>
          <w:kern w:val="2"/>
          <w:sz w:val="21"/>
        </w:rPr>
        <w:t>对</w:t>
      </w:r>
      <w:r>
        <w:rPr>
          <w:rFonts w:hint="eastAsia" w:ascii="Arial" w:hAnsi="Arial"/>
          <w:kern w:val="2"/>
          <w:sz w:val="21"/>
        </w:rPr>
        <w:t>咨询对象部分</w:t>
      </w:r>
      <w:r>
        <w:rPr>
          <w:rFonts w:ascii="Arial" w:hAnsi="Arial"/>
          <w:kern w:val="2"/>
          <w:sz w:val="21"/>
        </w:rPr>
        <w:t>实物状况及其区位状况进行了一般性查勘，并对房屋安全以及环境污染等影响</w:t>
      </w:r>
      <w:r>
        <w:rPr>
          <w:rFonts w:hint="eastAsia" w:ascii="Arial" w:hAnsi="Arial"/>
          <w:kern w:val="2"/>
          <w:sz w:val="21"/>
        </w:rPr>
        <w:t>咨询对象</w:t>
      </w:r>
      <w:r>
        <w:rPr>
          <w:rFonts w:ascii="Arial" w:hAnsi="Arial"/>
          <w:kern w:val="2"/>
          <w:sz w:val="21"/>
        </w:rPr>
        <w:t>价值的重大因素给予了关注，在无理由怀疑</w:t>
      </w:r>
      <w:r>
        <w:rPr>
          <w:rFonts w:hint="eastAsia" w:ascii="Arial" w:hAnsi="Arial"/>
          <w:kern w:val="2"/>
          <w:sz w:val="21"/>
        </w:rPr>
        <w:t>咨询对象</w:t>
      </w:r>
      <w:r>
        <w:rPr>
          <w:rFonts w:ascii="Arial" w:hAnsi="Arial"/>
          <w:kern w:val="2"/>
          <w:sz w:val="21"/>
        </w:rPr>
        <w:t>存在隐患且无相应的专业机构进行鉴定、检测的情况下，设定</w:t>
      </w:r>
      <w:r>
        <w:rPr>
          <w:rFonts w:hint="eastAsia" w:ascii="Arial" w:hAnsi="Arial"/>
          <w:kern w:val="2"/>
          <w:sz w:val="21"/>
        </w:rPr>
        <w:t>咨询对象</w:t>
      </w:r>
      <w:r>
        <w:rPr>
          <w:rFonts w:ascii="Arial" w:hAnsi="Arial"/>
          <w:kern w:val="2"/>
          <w:sz w:val="21"/>
        </w:rPr>
        <w:t>能够正常安全使用。</w:t>
      </w:r>
    </w:p>
    <w:p w14:paraId="3108BDDF">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kern w:val="2"/>
          <w:sz w:val="21"/>
        </w:rPr>
        <w:t>任何有关</w:t>
      </w:r>
      <w:r>
        <w:rPr>
          <w:rFonts w:hint="eastAsia" w:ascii="Arial" w:hAnsi="Arial"/>
          <w:kern w:val="2"/>
          <w:sz w:val="21"/>
        </w:rPr>
        <w:t>咨询对象</w:t>
      </w:r>
      <w:r>
        <w:rPr>
          <w:rFonts w:ascii="Arial" w:hAnsi="Arial"/>
          <w:kern w:val="2"/>
          <w:sz w:val="21"/>
        </w:rPr>
        <w:t>的运作方式、程序符合国家、地方的有关法律、法规。</w:t>
      </w:r>
    </w:p>
    <w:p w14:paraId="3768DC3E">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kern w:val="2"/>
          <w:sz w:val="21"/>
        </w:rPr>
        <w:t>经国务院批准，自2016年5月1日起，在全国范围内全面推开营业税改征增值税试点，建筑业、房地产业、金融业、生活服务业等全部营业税纳税人，纳入试点范围，由缴纳营业税改为缴纳增值税。根据</w:t>
      </w:r>
      <w:r>
        <w:rPr>
          <w:rFonts w:hint="eastAsia" w:ascii="Arial" w:hAnsi="Arial"/>
          <w:kern w:val="2"/>
          <w:sz w:val="21"/>
        </w:rPr>
        <w:t>咨询目的</w:t>
      </w:r>
      <w:r>
        <w:rPr>
          <w:rFonts w:ascii="Arial" w:hAnsi="Arial"/>
          <w:kern w:val="2"/>
          <w:sz w:val="21"/>
        </w:rPr>
        <w:t>、报告使用用途及必要性原则要求，本报告采纳简易计税方法记取增值税进行测算。</w:t>
      </w:r>
    </w:p>
    <w:p w14:paraId="4CD61442">
      <w:pPr>
        <w:numPr>
          <w:ilvl w:val="0"/>
          <w:numId w:val="7"/>
        </w:numPr>
        <w:tabs>
          <w:tab w:val="clear" w:pos="568"/>
        </w:tabs>
        <w:overflowPunct w:val="0"/>
        <w:spacing w:line="480" w:lineRule="auto"/>
        <w:ind w:left="0" w:firstLine="420" w:firstLineChars="200"/>
        <w:jc w:val="both"/>
        <w:textAlignment w:val="auto"/>
        <w:rPr>
          <w:rFonts w:hint="eastAsia" w:ascii="宋体" w:hAnsi="宋体"/>
          <w:kern w:val="2"/>
          <w:sz w:val="21"/>
          <w:szCs w:val="21"/>
        </w:rPr>
      </w:pPr>
      <w:r>
        <w:rPr>
          <w:rFonts w:ascii="Arial" w:hAnsi="Arial"/>
          <w:kern w:val="2"/>
          <w:sz w:val="21"/>
        </w:rPr>
        <w:t>本次</w:t>
      </w:r>
      <w:r>
        <w:rPr>
          <w:rFonts w:hint="eastAsia" w:ascii="Arial" w:hAnsi="Arial"/>
          <w:kern w:val="2"/>
          <w:sz w:val="21"/>
        </w:rPr>
        <w:t>咨询结果</w:t>
      </w:r>
      <w:r>
        <w:rPr>
          <w:rFonts w:ascii="Arial" w:hAnsi="Arial"/>
          <w:kern w:val="2"/>
          <w:sz w:val="21"/>
        </w:rPr>
        <w:t>未考虑国家宏观政策发生重大变化以及遇有自然力和其他不可抗力对</w:t>
      </w:r>
      <w:r>
        <w:rPr>
          <w:rFonts w:hint="eastAsia" w:ascii="Arial" w:hAnsi="Arial"/>
          <w:kern w:val="2"/>
          <w:sz w:val="21"/>
        </w:rPr>
        <w:t>咨询结果</w:t>
      </w:r>
      <w:r>
        <w:rPr>
          <w:rFonts w:ascii="Arial" w:hAnsi="Arial"/>
          <w:kern w:val="2"/>
          <w:sz w:val="21"/>
        </w:rPr>
        <w:t>的影响。</w:t>
      </w:r>
    </w:p>
    <w:p w14:paraId="4BD40ABB">
      <w:pPr>
        <w:numPr>
          <w:ilvl w:val="0"/>
          <w:numId w:val="7"/>
        </w:numPr>
        <w:tabs>
          <w:tab w:val="clear" w:pos="568"/>
        </w:tabs>
        <w:overflowPunct w:val="0"/>
        <w:spacing w:line="480" w:lineRule="auto"/>
        <w:ind w:left="0" w:firstLine="420" w:firstLineChars="200"/>
        <w:jc w:val="both"/>
        <w:textAlignment w:val="auto"/>
        <w:rPr>
          <w:rFonts w:ascii="Arial" w:hAnsi="Arial" w:cs="Arial"/>
          <w:kern w:val="2"/>
          <w:sz w:val="21"/>
          <w:szCs w:val="21"/>
        </w:rPr>
      </w:pPr>
      <w:r>
        <w:rPr>
          <w:rFonts w:hint="eastAsia" w:ascii="宋体" w:hAnsi="宋体"/>
          <w:kern w:val="2"/>
          <w:sz w:val="21"/>
          <w:szCs w:val="21"/>
        </w:rPr>
        <w:t>咨询结果</w:t>
      </w:r>
      <w:r>
        <w:rPr>
          <w:rFonts w:ascii="宋体" w:hAnsi="宋体"/>
          <w:kern w:val="2"/>
          <w:sz w:val="21"/>
          <w:szCs w:val="21"/>
        </w:rPr>
        <w:t>未考虑</w:t>
      </w:r>
      <w:r>
        <w:rPr>
          <w:rFonts w:hint="eastAsia" w:ascii="宋体" w:hAnsi="宋体"/>
          <w:kern w:val="2"/>
          <w:sz w:val="21"/>
          <w:szCs w:val="21"/>
        </w:rPr>
        <w:t>咨询对象</w:t>
      </w:r>
      <w:r>
        <w:rPr>
          <w:rFonts w:ascii="宋体" w:hAnsi="宋体"/>
          <w:kern w:val="2"/>
          <w:sz w:val="21"/>
          <w:szCs w:val="21"/>
        </w:rPr>
        <w:t>及其运营企业已承担的债务、或有债务及经营决策失误或市场运作失当对其价值的影响。</w:t>
      </w:r>
    </w:p>
    <w:bookmarkEnd w:id="8"/>
    <w:bookmarkEnd w:id="9"/>
    <w:p w14:paraId="20AC9136">
      <w:pPr>
        <w:overflowPunct w:val="0"/>
        <w:spacing w:line="480" w:lineRule="auto"/>
        <w:jc w:val="both"/>
        <w:textAlignment w:val="auto"/>
        <w:outlineLvl w:val="0"/>
        <w:rPr>
          <w:rFonts w:ascii="Arial" w:hAnsi="Arial" w:cs="Arial"/>
          <w:b/>
          <w:kern w:val="2"/>
          <w:sz w:val="21"/>
          <w:szCs w:val="21"/>
        </w:rPr>
      </w:pPr>
      <w:r>
        <w:rPr>
          <w:rFonts w:hint="eastAsia" w:ascii="Arial" w:hAnsi="Arial" w:cs="Arial"/>
          <w:b/>
          <w:kern w:val="2"/>
          <w:sz w:val="21"/>
          <w:szCs w:val="21"/>
        </w:rPr>
        <w:t>（二）特殊事项假设前提</w:t>
      </w:r>
    </w:p>
    <w:p w14:paraId="174B7FF7">
      <w:pPr>
        <w:overflowPunct w:val="0"/>
        <w:spacing w:before="20" w:after="20" w:line="480" w:lineRule="auto"/>
        <w:ind w:firstLine="420" w:firstLineChars="200"/>
        <w:jc w:val="both"/>
        <w:textAlignment w:val="auto"/>
        <w:rPr>
          <w:rFonts w:ascii="Arial" w:hAnsi="Arial"/>
          <w:color w:val="000000"/>
          <w:kern w:val="2"/>
          <w:sz w:val="21"/>
        </w:rPr>
      </w:pPr>
      <w:r>
        <w:rPr>
          <w:rFonts w:hint="eastAsia" w:ascii="Arial" w:hAnsi="Arial"/>
          <w:color w:val="000000"/>
          <w:kern w:val="2"/>
          <w:sz w:val="21"/>
        </w:rPr>
        <w:t>1.未定事项假设</w:t>
      </w:r>
    </w:p>
    <w:p w14:paraId="4678D4D0">
      <w:pPr>
        <w:overflowPunct w:val="0"/>
        <w:spacing w:line="480" w:lineRule="auto"/>
        <w:ind w:firstLine="420" w:firstLineChars="200"/>
        <w:jc w:val="both"/>
        <w:textAlignment w:val="auto"/>
        <w:rPr>
          <w:rFonts w:ascii="Arial" w:hAnsi="Arial"/>
          <w:bCs/>
          <w:sz w:val="21"/>
        </w:rPr>
      </w:pPr>
      <w:r>
        <w:rPr>
          <w:rFonts w:hint="eastAsia" w:ascii="Arial" w:hAnsi="Arial" w:cs="Arial"/>
          <w:kern w:val="2"/>
          <w:sz w:val="21"/>
          <w:szCs w:val="21"/>
        </w:rPr>
        <w:t>根据评估专业人员实地查勘</w:t>
      </w:r>
      <w:bookmarkStart w:id="16" w:name="_GoBack"/>
      <w:bookmarkEnd w:id="16"/>
      <w:r>
        <w:rPr>
          <w:rFonts w:hint="eastAsia" w:ascii="Arial" w:hAnsi="Arial" w:cs="Arial"/>
          <w:kern w:val="2"/>
          <w:sz w:val="21"/>
          <w:szCs w:val="21"/>
        </w:rPr>
        <w:t>，咨询对象大兴区西红门镇“创业之家”集体租赁住房拟被认定为保障性租赁住房。经确认，保租房租金水平尚未进行备案。</w:t>
      </w:r>
    </w:p>
    <w:p w14:paraId="2488FE3D">
      <w:pPr>
        <w:overflowPunct w:val="0"/>
        <w:spacing w:before="20" w:after="20" w:line="480" w:lineRule="auto"/>
        <w:ind w:firstLine="420" w:firstLineChars="200"/>
        <w:jc w:val="both"/>
        <w:textAlignment w:val="auto"/>
        <w:rPr>
          <w:rFonts w:ascii="Arial" w:hAnsi="Arial"/>
          <w:color w:val="000000"/>
          <w:kern w:val="2"/>
          <w:sz w:val="21"/>
        </w:rPr>
      </w:pPr>
      <w:r>
        <w:rPr>
          <w:rFonts w:hint="eastAsia" w:ascii="Arial" w:hAnsi="Arial"/>
          <w:color w:val="000000"/>
          <w:kern w:val="2"/>
          <w:sz w:val="21"/>
        </w:rPr>
        <w:t>2.背离事实假设</w:t>
      </w:r>
    </w:p>
    <w:p w14:paraId="368E395C">
      <w:pPr>
        <w:overflowPunct w:val="0"/>
        <w:spacing w:line="480" w:lineRule="auto"/>
        <w:ind w:firstLine="420" w:firstLineChars="200"/>
        <w:jc w:val="both"/>
        <w:textAlignment w:val="auto"/>
        <w:rPr>
          <w:rFonts w:ascii="Arial" w:hAnsi="Arial"/>
          <w:kern w:val="2"/>
          <w:sz w:val="21"/>
        </w:rPr>
      </w:pPr>
      <w:r>
        <w:rPr>
          <w:rFonts w:hint="eastAsia" w:ascii="Arial" w:hAnsi="Arial"/>
          <w:sz w:val="21"/>
          <w:szCs w:val="21"/>
        </w:rPr>
        <w:t>（1）根据《不动产权证书》[京（2023）大不动产权第0028576号]复印件及评估专业人员实地查勘，</w:t>
      </w:r>
      <w:r>
        <w:rPr>
          <w:rFonts w:hint="eastAsia" w:ascii="Arial" w:hAnsi="Arial"/>
          <w:kern w:val="2"/>
          <w:sz w:val="21"/>
        </w:rPr>
        <w:t>咨询对象部分房屋已出租，本报告是</w:t>
      </w:r>
      <w:r>
        <w:rPr>
          <w:rFonts w:hint="eastAsia" w:ascii="Arial" w:hAnsi="Arial"/>
          <w:bCs/>
          <w:sz w:val="21"/>
        </w:rPr>
        <w:t>为委托方了解咨询对象在设定条件下的房地产市场租金水平提供参考依据，</w:t>
      </w:r>
      <w:r>
        <w:rPr>
          <w:rFonts w:hint="eastAsia" w:ascii="Arial" w:hAnsi="Arial"/>
          <w:kern w:val="2"/>
          <w:sz w:val="21"/>
        </w:rPr>
        <w:t>故本次咨询结果未考虑上述租赁权对咨询结果的影响。截至价值时点，咨询对象除上述租赁权外，未见咨询对象存在抵押权、地役权等他项权利的记录。</w:t>
      </w:r>
    </w:p>
    <w:p w14:paraId="093B580A">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（2）根据评估专业人员实地查勘，咨询对象集体租赁住房现状为精装修标准，配备床、衣柜、书桌、洗衣机、冰箱、空调、热水器等家具家电。根据《咨询委托书》，本次</w:t>
      </w:r>
      <w:r>
        <w:rPr>
          <w:rFonts w:hint="eastAsia" w:ascii="Arial" w:hAnsi="Arial"/>
          <w:bCs/>
          <w:sz w:val="21"/>
        </w:rPr>
        <w:t>评估咨询结果以</w:t>
      </w:r>
      <w:r>
        <w:rPr>
          <w:rFonts w:hint="eastAsia" w:ascii="Arial" w:hAnsi="Arial"/>
          <w:kern w:val="2"/>
          <w:sz w:val="21"/>
        </w:rPr>
        <w:t>咨询对象装修标准为毛坯、不含任何装修及家具家电</w:t>
      </w:r>
      <w:r>
        <w:rPr>
          <w:rFonts w:hint="eastAsia" w:ascii="Arial" w:hAnsi="Arial"/>
          <w:bCs/>
          <w:sz w:val="21"/>
        </w:rPr>
        <w:t>为假设前提</w:t>
      </w:r>
      <w:r>
        <w:rPr>
          <w:rFonts w:hint="eastAsia" w:ascii="Arial" w:hAnsi="Arial"/>
          <w:kern w:val="2"/>
          <w:sz w:val="21"/>
        </w:rPr>
        <w:t>。在此提请报告使用者注意。</w:t>
      </w:r>
    </w:p>
    <w:p w14:paraId="44AD3466">
      <w:pPr>
        <w:overflowPunct w:val="0"/>
        <w:spacing w:line="480" w:lineRule="auto"/>
        <w:ind w:firstLine="420" w:firstLineChars="200"/>
        <w:jc w:val="both"/>
        <w:textAlignment w:val="auto"/>
        <w:rPr>
          <w:rFonts w:ascii="Arial" w:hAnsi="Arial"/>
          <w:bCs/>
          <w:sz w:val="21"/>
        </w:rPr>
      </w:pPr>
      <w:r>
        <w:rPr>
          <w:rFonts w:hint="eastAsia" w:ascii="Arial" w:hAnsi="Arial"/>
          <w:kern w:val="2"/>
          <w:sz w:val="21"/>
        </w:rPr>
        <w:t>（3）</w:t>
      </w:r>
      <w:r>
        <w:rPr>
          <w:rFonts w:hint="eastAsia" w:ascii="Arial" w:hAnsi="Arial"/>
          <w:sz w:val="21"/>
          <w:szCs w:val="21"/>
        </w:rPr>
        <w:t>根据《不动产权证书》[京（2023）大不动产权第0028576号]复印件附记页标注：“根据北京市集体经营性建设用地入市试点相关规定取得。仅用于租赁住房运营管理，未经批准，不得出让、转让，不得转租，不得改变土地用途，不得出售。”本次评估是</w:t>
      </w:r>
      <w:r>
        <w:rPr>
          <w:rFonts w:hint="eastAsia" w:ascii="Arial" w:hAnsi="Arial"/>
          <w:bCs/>
          <w:sz w:val="21"/>
        </w:rPr>
        <w:t>为委托方了解咨询对象在设定条件下的房地产市场租金水平提供参考依据，根据《咨询委托书》，本次评估咨询结果以咨询对象可以对外出租为假设前提，设定咨询对象在价值时点交易或处分方式是合法的。</w:t>
      </w:r>
    </w:p>
    <w:p w14:paraId="43C012CF">
      <w:pPr>
        <w:overflowPunct w:val="0"/>
        <w:spacing w:before="20" w:after="20" w:line="480" w:lineRule="auto"/>
        <w:ind w:firstLine="420" w:firstLineChars="200"/>
        <w:jc w:val="both"/>
        <w:textAlignment w:val="auto"/>
        <w:rPr>
          <w:rFonts w:ascii="Arial" w:hAnsi="Arial"/>
          <w:color w:val="000000"/>
          <w:kern w:val="2"/>
          <w:sz w:val="21"/>
        </w:rPr>
      </w:pPr>
      <w:r>
        <w:rPr>
          <w:rFonts w:hint="eastAsia" w:ascii="Arial" w:hAnsi="Arial"/>
          <w:color w:val="000000"/>
          <w:kern w:val="2"/>
          <w:sz w:val="21"/>
        </w:rPr>
        <w:t>3.不相一致假设</w:t>
      </w:r>
    </w:p>
    <w:p w14:paraId="3A9E5C4D">
      <w:pPr>
        <w:overflowPunct w:val="0"/>
        <w:spacing w:line="480" w:lineRule="auto"/>
        <w:ind w:firstLine="420" w:firstLineChars="200"/>
        <w:jc w:val="both"/>
        <w:textAlignment w:val="auto"/>
        <w:rPr>
          <w:rFonts w:ascii="Arial" w:hAnsi="Arial"/>
          <w:bCs/>
          <w:sz w:val="21"/>
          <w:highlight w:val="yellow"/>
        </w:rPr>
      </w:pPr>
      <w:r>
        <w:rPr>
          <w:rFonts w:hint="eastAsia" w:ascii="Arial" w:hAnsi="Arial" w:cs="Arial"/>
          <w:kern w:val="2"/>
          <w:sz w:val="21"/>
        </w:rPr>
        <w:t>本次评估估价对象价值时点为</w:t>
      </w:r>
      <w:r>
        <w:rPr>
          <w:rFonts w:ascii="Arial" w:hAnsi="Arial"/>
          <w:sz w:val="21"/>
        </w:rPr>
        <w:t>20</w:t>
      </w:r>
      <w:r>
        <w:rPr>
          <w:rFonts w:hint="eastAsia" w:ascii="Arial" w:hAnsi="Arial"/>
          <w:sz w:val="21"/>
        </w:rPr>
        <w:t>25</w:t>
      </w:r>
      <w:r>
        <w:rPr>
          <w:rFonts w:ascii="Arial" w:hAnsi="Arial"/>
          <w:sz w:val="21"/>
        </w:rPr>
        <w:t>年</w:t>
      </w:r>
      <w:r>
        <w:rPr>
          <w:rFonts w:hint="eastAsia" w:ascii="Arial" w:hAnsi="Arial"/>
          <w:sz w:val="21"/>
        </w:rPr>
        <w:t>9</w:t>
      </w:r>
      <w:r>
        <w:rPr>
          <w:rFonts w:ascii="Arial" w:hAnsi="Arial"/>
          <w:sz w:val="21"/>
        </w:rPr>
        <w:t>月</w:t>
      </w:r>
      <w:r>
        <w:rPr>
          <w:rFonts w:hint="eastAsia" w:ascii="Arial" w:hAnsi="Arial"/>
          <w:sz w:val="21"/>
        </w:rPr>
        <w:t>10</w:t>
      </w:r>
      <w:r>
        <w:rPr>
          <w:rFonts w:ascii="Arial" w:hAnsi="Arial"/>
          <w:sz w:val="21"/>
        </w:rPr>
        <w:t>日</w:t>
      </w:r>
      <w:r>
        <w:rPr>
          <w:rFonts w:hint="eastAsia" w:ascii="Arial" w:hAnsi="Arial" w:cs="Arial"/>
          <w:kern w:val="2"/>
          <w:sz w:val="21"/>
        </w:rPr>
        <w:t>，</w:t>
      </w:r>
      <w:r>
        <w:rPr>
          <w:rFonts w:hint="eastAsia" w:ascii="Arial" w:hAnsi="Arial"/>
          <w:kern w:val="2"/>
          <w:sz w:val="21"/>
        </w:rPr>
        <w:t>完成实地查勘日期为</w:t>
      </w:r>
      <w:r>
        <w:rPr>
          <w:rFonts w:hint="eastAsia" w:ascii="Arial" w:hAnsi="Arial" w:cs="Arial"/>
          <w:kern w:val="2"/>
          <w:sz w:val="21"/>
        </w:rPr>
        <w:t>2025年8月11日</w:t>
      </w:r>
      <w:r>
        <w:rPr>
          <w:rFonts w:hint="eastAsia" w:ascii="Arial" w:hAnsi="Arial"/>
          <w:kern w:val="2"/>
          <w:sz w:val="21"/>
        </w:rPr>
        <w:t>，价值时点与完成实地查勘日期不一致，本次估价设定的区域状况、市场状况为价值时点的状况。</w:t>
      </w:r>
    </w:p>
    <w:p w14:paraId="6847CC4A">
      <w:pPr>
        <w:overflowPunct w:val="0"/>
        <w:spacing w:before="20" w:after="20" w:line="480" w:lineRule="auto"/>
        <w:ind w:firstLine="420" w:firstLineChars="200"/>
        <w:jc w:val="both"/>
        <w:textAlignment w:val="auto"/>
        <w:rPr>
          <w:rFonts w:ascii="Arial" w:hAnsi="Arial"/>
          <w:kern w:val="2"/>
          <w:sz w:val="21"/>
        </w:rPr>
      </w:pPr>
      <w:r>
        <w:rPr>
          <w:rFonts w:hint="eastAsia" w:ascii="Arial" w:hAnsi="Arial"/>
          <w:color w:val="000000"/>
          <w:kern w:val="2"/>
          <w:sz w:val="21"/>
        </w:rPr>
        <w:t>4.依据不足假设</w:t>
      </w:r>
    </w:p>
    <w:p w14:paraId="25751651">
      <w:pPr>
        <w:overflowPunct w:val="0"/>
        <w:spacing w:before="20" w:after="20" w:line="480" w:lineRule="auto"/>
        <w:ind w:firstLine="420" w:firstLineChars="200"/>
        <w:jc w:val="both"/>
        <w:textAlignment w:val="auto"/>
        <w:rPr>
          <w:rFonts w:ascii="Arial" w:hAnsi="Arial" w:cs="Arial"/>
          <w:sz w:val="21"/>
        </w:rPr>
      </w:pPr>
      <w:r>
        <w:rPr>
          <w:rFonts w:ascii="Arial" w:hAnsi="Arial" w:cs="Arial"/>
          <w:sz w:val="21"/>
        </w:rPr>
        <w:t>截至本</w:t>
      </w:r>
      <w:r>
        <w:rPr>
          <w:rFonts w:hint="eastAsia" w:ascii="Arial" w:hAnsi="Arial" w:cs="Arial"/>
          <w:sz w:val="21"/>
        </w:rPr>
        <w:t>咨询报告</w:t>
      </w:r>
      <w:r>
        <w:rPr>
          <w:rFonts w:ascii="Arial" w:hAnsi="Arial" w:cs="Arial"/>
          <w:sz w:val="21"/>
        </w:rPr>
        <w:t>出具之日，</w:t>
      </w:r>
      <w:r>
        <w:rPr>
          <w:rFonts w:hint="eastAsia" w:ascii="Arial" w:hAnsi="Arial" w:cs="Arial"/>
          <w:sz w:val="21"/>
        </w:rPr>
        <w:t>咨询委托人</w:t>
      </w:r>
      <w:r>
        <w:rPr>
          <w:rFonts w:ascii="Arial" w:hAnsi="Arial" w:cs="Arial"/>
          <w:sz w:val="21"/>
        </w:rPr>
        <w:t>未能提供</w:t>
      </w:r>
      <w:r>
        <w:rPr>
          <w:rFonts w:hint="eastAsia" w:ascii="Arial" w:hAnsi="Arial"/>
          <w:sz w:val="21"/>
          <w:szCs w:val="21"/>
        </w:rPr>
        <w:t>《不动产权证书》[京（2023）大不动产权第0028576号]</w:t>
      </w:r>
      <w:r>
        <w:rPr>
          <w:rFonts w:ascii="Arial" w:hAnsi="Arial" w:cs="Arial"/>
          <w:sz w:val="21"/>
        </w:rPr>
        <w:t>原件供评估专业人员核对，且评估专业人员进行了尽职调查，难以获取该资料。本次评估以</w:t>
      </w:r>
      <w:r>
        <w:rPr>
          <w:rFonts w:hint="eastAsia" w:ascii="Arial" w:hAnsi="Arial" w:cs="Arial"/>
          <w:sz w:val="21"/>
        </w:rPr>
        <w:t>咨询委托人</w:t>
      </w:r>
      <w:r>
        <w:rPr>
          <w:rFonts w:ascii="Arial" w:hAnsi="Arial" w:cs="Arial"/>
          <w:sz w:val="21"/>
        </w:rPr>
        <w:t>提供的</w:t>
      </w:r>
      <w:r>
        <w:rPr>
          <w:rFonts w:hint="eastAsia" w:ascii="Arial" w:hAnsi="Arial"/>
          <w:sz w:val="21"/>
          <w:szCs w:val="21"/>
        </w:rPr>
        <w:t>《不动产权证书》[京（2023）大不动产权第0028576号]</w:t>
      </w:r>
      <w:r>
        <w:rPr>
          <w:rFonts w:ascii="Arial" w:hAnsi="Arial" w:cs="Arial"/>
          <w:sz w:val="21"/>
        </w:rPr>
        <w:t>复印件与原件一致为估价的假设前提。</w:t>
      </w:r>
      <w:r>
        <w:rPr>
          <w:rFonts w:hint="eastAsia" w:ascii="Arial" w:hAnsi="Arial"/>
          <w:kern w:val="2"/>
          <w:sz w:val="21"/>
        </w:rPr>
        <w:t xml:space="preserve"> </w:t>
      </w:r>
    </w:p>
    <w:p w14:paraId="17E5D654">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（三）咨询报告使用限制</w:t>
      </w:r>
    </w:p>
    <w:p w14:paraId="675C1121">
      <w:pPr>
        <w:numPr>
          <w:ilvl w:val="0"/>
          <w:numId w:val="8"/>
        </w:numPr>
        <w:overflowPunct w:val="0"/>
        <w:spacing w:before="20" w:after="20" w:line="480" w:lineRule="auto"/>
        <w:ind w:left="0" w:firstLine="454"/>
        <w:jc w:val="both"/>
        <w:textAlignment w:val="auto"/>
        <w:rPr>
          <w:rFonts w:ascii="Arial" w:hAnsi="Arial" w:cs="Arial"/>
          <w:kern w:val="2"/>
          <w:sz w:val="21"/>
          <w:szCs w:val="28"/>
        </w:rPr>
      </w:pPr>
      <w:r>
        <w:rPr>
          <w:rFonts w:hint="eastAsia" w:ascii="Arial" w:hAnsi="Arial" w:cs="Arial"/>
          <w:sz w:val="21"/>
          <w:szCs w:val="28"/>
        </w:rPr>
        <w:t>使用范围：本</w:t>
      </w:r>
      <w:r>
        <w:rPr>
          <w:rFonts w:hint="eastAsia" w:ascii="Arial" w:hAnsi="Arial"/>
          <w:color w:val="000000"/>
          <w:sz w:val="21"/>
        </w:rPr>
        <w:t>咨询报告</w:t>
      </w:r>
      <w:r>
        <w:rPr>
          <w:rFonts w:hint="eastAsia" w:ascii="Arial" w:hAnsi="Arial" w:cs="Arial"/>
          <w:sz w:val="21"/>
          <w:szCs w:val="28"/>
        </w:rPr>
        <w:t>只能由咨询报告载明的报告使用者使用，且只能用于本报告载明的唯一咨询目的和用途。</w:t>
      </w:r>
    </w:p>
    <w:p w14:paraId="520A1D2B">
      <w:pPr>
        <w:numPr>
          <w:ilvl w:val="0"/>
          <w:numId w:val="8"/>
        </w:numPr>
        <w:overflowPunct w:val="0"/>
        <w:spacing w:before="20" w:after="20" w:line="480" w:lineRule="auto"/>
        <w:ind w:left="0" w:firstLine="454"/>
        <w:jc w:val="both"/>
        <w:textAlignment w:val="auto"/>
        <w:rPr>
          <w:rFonts w:ascii="Arial" w:hAnsi="Arial" w:cs="Arial"/>
          <w:sz w:val="21"/>
          <w:szCs w:val="28"/>
        </w:rPr>
      </w:pPr>
      <w:r>
        <w:rPr>
          <w:rFonts w:hint="eastAsia" w:ascii="Arial" w:hAnsi="Arial" w:cs="Arial"/>
          <w:sz w:val="21"/>
          <w:szCs w:val="28"/>
        </w:rPr>
        <w:t>咨询委托人或者本</w:t>
      </w:r>
      <w:r>
        <w:rPr>
          <w:rFonts w:hint="eastAsia" w:ascii="Arial" w:hAnsi="Arial" w:cs="Arial"/>
          <w:sz w:val="21"/>
        </w:rPr>
        <w:t>咨询报告</w:t>
      </w:r>
      <w:r>
        <w:rPr>
          <w:rFonts w:hint="eastAsia" w:ascii="Arial" w:hAnsi="Arial" w:cs="Arial"/>
          <w:sz w:val="21"/>
          <w:szCs w:val="28"/>
        </w:rPr>
        <w:t>使用人应按照法律规定和</w:t>
      </w:r>
      <w:r>
        <w:rPr>
          <w:rFonts w:hint="eastAsia" w:ascii="Arial" w:hAnsi="Arial" w:cs="Arial"/>
          <w:sz w:val="21"/>
        </w:rPr>
        <w:t>咨询报告</w:t>
      </w:r>
      <w:r>
        <w:rPr>
          <w:rFonts w:hint="eastAsia" w:ascii="Arial" w:hAnsi="Arial" w:cs="Arial"/>
          <w:sz w:val="21"/>
          <w:szCs w:val="28"/>
        </w:rPr>
        <w:t>载明的使用范围使用本</w:t>
      </w:r>
      <w:r>
        <w:rPr>
          <w:rFonts w:hint="eastAsia" w:ascii="Arial" w:hAnsi="Arial" w:cs="Arial"/>
          <w:sz w:val="21"/>
        </w:rPr>
        <w:t>咨询报告</w:t>
      </w:r>
      <w:r>
        <w:rPr>
          <w:rFonts w:hint="eastAsia" w:ascii="Arial" w:hAnsi="Arial" w:cs="Arial"/>
          <w:sz w:val="21"/>
          <w:szCs w:val="28"/>
        </w:rPr>
        <w:t>。咨询委托人或者</w:t>
      </w:r>
      <w:r>
        <w:rPr>
          <w:rFonts w:hint="eastAsia" w:ascii="Arial" w:hAnsi="Arial" w:cs="Arial"/>
          <w:sz w:val="21"/>
        </w:rPr>
        <w:t>咨询报告</w:t>
      </w:r>
      <w:r>
        <w:rPr>
          <w:rFonts w:hint="eastAsia" w:ascii="Arial" w:hAnsi="Arial" w:cs="Arial"/>
          <w:sz w:val="21"/>
          <w:szCs w:val="28"/>
        </w:rPr>
        <w:t>使用人违反前述规定使用本</w:t>
      </w:r>
      <w:r>
        <w:rPr>
          <w:rFonts w:hint="eastAsia" w:ascii="Arial" w:hAnsi="Arial" w:cs="Arial"/>
          <w:sz w:val="21"/>
        </w:rPr>
        <w:t>咨询报告</w:t>
      </w:r>
      <w:r>
        <w:rPr>
          <w:rFonts w:hint="eastAsia" w:ascii="Arial" w:hAnsi="Arial" w:cs="Arial"/>
          <w:sz w:val="21"/>
          <w:szCs w:val="28"/>
        </w:rPr>
        <w:t>的，估价机构和评估专业人员不承担责任。</w:t>
      </w:r>
    </w:p>
    <w:p w14:paraId="690DCFF6">
      <w:pPr>
        <w:numPr>
          <w:ilvl w:val="0"/>
          <w:numId w:val="8"/>
        </w:numPr>
        <w:overflowPunct w:val="0"/>
        <w:spacing w:before="20" w:after="20" w:line="480" w:lineRule="auto"/>
        <w:ind w:left="0" w:firstLine="454"/>
        <w:jc w:val="both"/>
        <w:textAlignment w:val="auto"/>
        <w:rPr>
          <w:rFonts w:ascii="Arial" w:hAnsi="Arial" w:cs="Arial"/>
          <w:sz w:val="21"/>
          <w:szCs w:val="28"/>
        </w:rPr>
      </w:pPr>
      <w:r>
        <w:rPr>
          <w:rFonts w:hint="eastAsia" w:ascii="Arial" w:hAnsi="Arial" w:cs="Arial"/>
          <w:sz w:val="21"/>
          <w:szCs w:val="28"/>
        </w:rPr>
        <w:t>除咨询委托人、估价委托合同中约定的其他咨询报告使用人和法律、行政法规规定的咨询报告使用人之外，其他任何机构和个人不能成为咨询报告的使用人。</w:t>
      </w:r>
    </w:p>
    <w:p w14:paraId="51F00C4C">
      <w:pPr>
        <w:numPr>
          <w:ilvl w:val="0"/>
          <w:numId w:val="8"/>
        </w:numPr>
        <w:overflowPunct w:val="0"/>
        <w:spacing w:before="20" w:after="20" w:line="480" w:lineRule="auto"/>
        <w:ind w:left="0" w:firstLine="454"/>
        <w:jc w:val="both"/>
        <w:textAlignment w:val="auto"/>
        <w:rPr>
          <w:rFonts w:ascii="Arial" w:hAnsi="Arial" w:cs="Arial"/>
          <w:sz w:val="21"/>
          <w:szCs w:val="28"/>
        </w:rPr>
      </w:pPr>
      <w:r>
        <w:rPr>
          <w:rFonts w:hint="eastAsia" w:ascii="Arial" w:hAnsi="Arial" w:cs="Arial"/>
          <w:sz w:val="21"/>
          <w:szCs w:val="28"/>
        </w:rPr>
        <w:t>咨询报告使用人应当正确理解估价结论。估价结论不等同于咨询对象可实现价格，估价结论不应当被认为是对咨询对象可实现价格的保证。</w:t>
      </w:r>
    </w:p>
    <w:p w14:paraId="0114AA16">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w:t>
      </w:r>
      <w:r>
        <w:rPr>
          <w:rFonts w:hint="eastAsia" w:ascii="Arial" w:hAnsi="Arial" w:cs="Arial"/>
          <w:sz w:val="21"/>
          <w:szCs w:val="28"/>
        </w:rPr>
        <w:t>咨询目的</w:t>
      </w:r>
      <w:r>
        <w:rPr>
          <w:rFonts w:ascii="Arial" w:hAnsi="Arial" w:cs="Arial"/>
          <w:sz w:val="21"/>
          <w:szCs w:val="28"/>
        </w:rPr>
        <w:t>是</w:t>
      </w:r>
      <w:r>
        <w:rPr>
          <w:rFonts w:hint="eastAsia" w:ascii="Arial" w:hAnsi="Arial" w:cs="Arial"/>
          <w:sz w:val="21"/>
          <w:szCs w:val="28"/>
        </w:rPr>
        <w:t>为委托方了解咨询对象在设定条件下的房地产市场租金水平提供参考依据</w:t>
      </w:r>
      <w:r>
        <w:rPr>
          <w:rFonts w:ascii="Arial" w:hAnsi="Arial" w:cs="Arial"/>
          <w:sz w:val="21"/>
          <w:szCs w:val="28"/>
        </w:rPr>
        <w:t>，不做其他</w:t>
      </w:r>
      <w:r>
        <w:rPr>
          <w:rFonts w:hint="eastAsia" w:ascii="Arial" w:hAnsi="Arial" w:cs="Arial"/>
          <w:sz w:val="21"/>
          <w:szCs w:val="28"/>
        </w:rPr>
        <w:t>咨询目的</w:t>
      </w:r>
      <w:r>
        <w:rPr>
          <w:rFonts w:ascii="Arial" w:hAnsi="Arial" w:cs="Arial"/>
          <w:sz w:val="21"/>
          <w:szCs w:val="28"/>
        </w:rPr>
        <w:t>之用。如果</w:t>
      </w:r>
      <w:r>
        <w:rPr>
          <w:rFonts w:hint="eastAsia" w:ascii="Arial" w:hAnsi="Arial" w:cs="Arial"/>
          <w:sz w:val="21"/>
          <w:szCs w:val="28"/>
        </w:rPr>
        <w:t>咨询对象</w:t>
      </w:r>
      <w:r>
        <w:rPr>
          <w:rFonts w:ascii="Arial" w:hAnsi="Arial" w:cs="Arial"/>
          <w:sz w:val="21"/>
          <w:szCs w:val="28"/>
        </w:rPr>
        <w:t>的评估条件或目的发生变化，需重新进行评估。</w:t>
      </w:r>
    </w:p>
    <w:p w14:paraId="10CDC5BE">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w:t>
      </w:r>
      <w:r>
        <w:rPr>
          <w:rFonts w:hint="eastAsia" w:ascii="Arial" w:hAnsi="Arial" w:cs="Arial"/>
          <w:sz w:val="21"/>
          <w:szCs w:val="28"/>
        </w:rPr>
        <w:t>咨询结果</w:t>
      </w:r>
      <w:r>
        <w:rPr>
          <w:rFonts w:ascii="Arial" w:hAnsi="Arial" w:cs="Arial"/>
          <w:sz w:val="21"/>
          <w:szCs w:val="28"/>
        </w:rPr>
        <w:t>为</w:t>
      </w:r>
      <w:r>
        <w:rPr>
          <w:rFonts w:hint="eastAsia" w:ascii="Arial" w:hAnsi="Arial" w:cs="Arial"/>
          <w:sz w:val="21"/>
          <w:szCs w:val="28"/>
        </w:rPr>
        <w:t>设定条件下咨询对象</w:t>
      </w:r>
      <w:r>
        <w:rPr>
          <w:rFonts w:ascii="Arial" w:hAnsi="Arial" w:cs="Arial"/>
          <w:sz w:val="21"/>
          <w:szCs w:val="28"/>
        </w:rPr>
        <w:t>土地在现状规划条件、建筑物在现状成新度下的房地产市场租金水平，如</w:t>
      </w:r>
      <w:r>
        <w:rPr>
          <w:rFonts w:hint="eastAsia" w:ascii="Arial" w:hAnsi="Arial" w:cs="Arial"/>
          <w:sz w:val="21"/>
          <w:szCs w:val="28"/>
        </w:rPr>
        <w:t>咨询对象</w:t>
      </w:r>
      <w:r>
        <w:rPr>
          <w:rFonts w:ascii="Arial" w:hAnsi="Arial" w:cs="Arial"/>
          <w:sz w:val="21"/>
          <w:szCs w:val="28"/>
        </w:rPr>
        <w:t>登记用途、使用面积或建筑物使用状况等评估条件发生变化，</w:t>
      </w:r>
      <w:r>
        <w:rPr>
          <w:rFonts w:hint="eastAsia" w:ascii="Arial" w:hAnsi="Arial" w:cs="Arial"/>
          <w:sz w:val="21"/>
          <w:szCs w:val="28"/>
        </w:rPr>
        <w:t>咨询结果</w:t>
      </w:r>
      <w:r>
        <w:rPr>
          <w:rFonts w:ascii="Arial" w:hAnsi="Arial" w:cs="Arial"/>
          <w:sz w:val="21"/>
          <w:szCs w:val="28"/>
        </w:rPr>
        <w:t>需要做相应的调整直至重新评估。</w:t>
      </w:r>
    </w:p>
    <w:p w14:paraId="4127C2E5">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hint="eastAsia" w:ascii="Arial" w:hAnsi="Arial" w:cs="Arial"/>
          <w:sz w:val="21"/>
          <w:szCs w:val="28"/>
        </w:rPr>
        <w:t>咨询委托人应对其提供的权属证明以及其他资料的真实性、完整性和合法性负责</w:t>
      </w:r>
      <w:r>
        <w:rPr>
          <w:rFonts w:ascii="Arial" w:hAnsi="Arial" w:cs="Arial"/>
          <w:sz w:val="21"/>
          <w:szCs w:val="28"/>
        </w:rPr>
        <w:t>。如因资料失实或资料提供人有所隐匿而导致</w:t>
      </w:r>
      <w:r>
        <w:rPr>
          <w:rFonts w:hint="eastAsia" w:ascii="Arial" w:hAnsi="Arial" w:cs="Arial"/>
          <w:sz w:val="21"/>
          <w:szCs w:val="28"/>
        </w:rPr>
        <w:t>咨询结果</w:t>
      </w:r>
      <w:r>
        <w:rPr>
          <w:rFonts w:ascii="Arial" w:hAnsi="Arial" w:cs="Arial"/>
          <w:sz w:val="21"/>
          <w:szCs w:val="28"/>
        </w:rPr>
        <w:t>失真，估价机构不承担相应的责任。</w:t>
      </w:r>
    </w:p>
    <w:p w14:paraId="2D6CAB5D">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w:t>
      </w:r>
      <w:r>
        <w:rPr>
          <w:rFonts w:hint="eastAsia" w:ascii="Arial" w:hAnsi="Arial" w:cs="Arial"/>
          <w:sz w:val="21"/>
          <w:szCs w:val="28"/>
        </w:rPr>
        <w:t>咨询报告</w:t>
      </w:r>
      <w:r>
        <w:rPr>
          <w:rFonts w:ascii="Arial" w:hAnsi="Arial" w:cs="Arial"/>
          <w:sz w:val="21"/>
          <w:szCs w:val="28"/>
        </w:rPr>
        <w:t>中数据全部采用电算化连续计算得出，由于在报告中计算的数据均按四舍五入保留两位小数或取整，故可能出现个别等式左右不完全相等的情况，但不影响计算结果及最终评估结论的准确性。</w:t>
      </w:r>
    </w:p>
    <w:p w14:paraId="3CF6DA9D">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w:t>
      </w:r>
      <w:r>
        <w:rPr>
          <w:rFonts w:hint="eastAsia" w:ascii="Arial" w:hAnsi="Arial" w:cs="Arial"/>
          <w:sz w:val="21"/>
          <w:szCs w:val="28"/>
        </w:rPr>
        <w:t>咨询报告</w:t>
      </w:r>
      <w:r>
        <w:rPr>
          <w:rFonts w:ascii="Arial" w:hAnsi="Arial" w:cs="Arial"/>
          <w:sz w:val="21"/>
          <w:szCs w:val="28"/>
        </w:rPr>
        <w:t>在估价机构盖章有效。</w:t>
      </w:r>
    </w:p>
    <w:p w14:paraId="652D8BFB">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sectPr>
          <w:pgSz w:w="11907" w:h="16840"/>
          <w:pgMar w:top="1843" w:right="1134" w:bottom="1191" w:left="1134" w:header="1134" w:footer="1134" w:gutter="340"/>
          <w:cols w:space="720" w:num="1"/>
          <w:docGrid w:linePitch="326" w:charSpace="0"/>
        </w:sectPr>
      </w:pPr>
      <w:r>
        <w:rPr>
          <w:rFonts w:ascii="Arial" w:hAnsi="Arial" w:cs="Arial"/>
          <w:sz w:val="21"/>
          <w:szCs w:val="28"/>
        </w:rPr>
        <w:t>本</w:t>
      </w:r>
      <w:r>
        <w:rPr>
          <w:rFonts w:hint="eastAsia" w:ascii="Arial" w:hAnsi="Arial" w:cs="Arial"/>
          <w:sz w:val="21"/>
          <w:szCs w:val="28"/>
        </w:rPr>
        <w:t>咨询报告</w:t>
      </w:r>
      <w:r>
        <w:rPr>
          <w:rFonts w:ascii="Arial" w:hAnsi="Arial" w:cs="Arial"/>
          <w:sz w:val="21"/>
          <w:szCs w:val="28"/>
        </w:rPr>
        <w:t>自出具日起壹年内有效</w:t>
      </w:r>
      <w:r>
        <w:rPr>
          <w:rFonts w:hint="eastAsia" w:ascii="Arial" w:hAnsi="Arial" w:cs="Arial"/>
          <w:sz w:val="21"/>
          <w:szCs w:val="28"/>
        </w:rPr>
        <w:t>（即20</w:t>
      </w:r>
      <w:r>
        <w:rPr>
          <w:rFonts w:ascii="Arial" w:hAnsi="Arial" w:cs="Arial"/>
          <w:sz w:val="21"/>
          <w:szCs w:val="28"/>
        </w:rPr>
        <w:t>25</w:t>
      </w:r>
      <w:r>
        <w:rPr>
          <w:rFonts w:hint="eastAsia" w:ascii="Arial" w:hAnsi="Arial" w:cs="Arial"/>
          <w:sz w:val="21"/>
          <w:szCs w:val="28"/>
        </w:rPr>
        <w:t>年9月15日至202</w:t>
      </w:r>
      <w:r>
        <w:rPr>
          <w:rFonts w:ascii="Arial" w:hAnsi="Arial" w:cs="Arial"/>
          <w:sz w:val="21"/>
          <w:szCs w:val="28"/>
        </w:rPr>
        <w:t>6</w:t>
      </w:r>
      <w:r>
        <w:rPr>
          <w:rFonts w:hint="eastAsia" w:ascii="Arial" w:hAnsi="Arial" w:cs="Arial"/>
          <w:sz w:val="21"/>
          <w:szCs w:val="28"/>
        </w:rPr>
        <w:t>年9月14日）。</w:t>
      </w:r>
    </w:p>
    <w:p w14:paraId="1F5FF8F2">
      <w:pPr>
        <w:pStyle w:val="2"/>
        <w:numPr>
          <w:ilvl w:val="0"/>
          <w:numId w:val="0"/>
        </w:numPr>
        <w:spacing w:line="480" w:lineRule="auto"/>
        <w:jc w:val="center"/>
        <w:rPr>
          <w:rFonts w:eastAsia="方正黑体简体"/>
          <w:b w:val="0"/>
          <w:kern w:val="2"/>
          <w:sz w:val="32"/>
          <w:szCs w:val="32"/>
        </w:rPr>
      </w:pPr>
      <w:bookmarkStart w:id="10" w:name="_Toc469298295"/>
      <w:bookmarkStart w:id="11" w:name="_Toc168225812"/>
      <w:r>
        <w:rPr>
          <w:rFonts w:hint="eastAsia" w:eastAsia="方正黑体简体"/>
          <w:b w:val="0"/>
          <w:kern w:val="2"/>
          <w:sz w:val="32"/>
          <w:szCs w:val="32"/>
        </w:rPr>
        <w:t>咨询结果报告</w:t>
      </w:r>
      <w:bookmarkEnd w:id="10"/>
      <w:bookmarkEnd w:id="11"/>
    </w:p>
    <w:tbl>
      <w:tblPr>
        <w:tblStyle w:val="32"/>
        <w:tblW w:w="9412"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85" w:type="dxa"/>
          <w:left w:w="85" w:type="dxa"/>
          <w:bottom w:w="85" w:type="dxa"/>
          <w:right w:w="28" w:type="dxa"/>
        </w:tblCellMar>
      </w:tblPr>
      <w:tblGrid>
        <w:gridCol w:w="508"/>
        <w:gridCol w:w="177"/>
        <w:gridCol w:w="1396"/>
        <w:gridCol w:w="79"/>
        <w:gridCol w:w="1262"/>
        <w:gridCol w:w="1213"/>
        <w:gridCol w:w="24"/>
        <w:gridCol w:w="1238"/>
        <w:gridCol w:w="20"/>
        <w:gridCol w:w="950"/>
        <w:gridCol w:w="2545"/>
      </w:tblGrid>
      <w:tr w14:paraId="4A03475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FDE30CF">
            <w:pPr>
              <w:spacing w:line="240" w:lineRule="auto"/>
              <w:rPr>
                <w:rFonts w:ascii="Arial" w:hAnsi="Arial" w:eastAsia="华文细黑"/>
                <w:b/>
                <w:bCs/>
                <w:sz w:val="18"/>
                <w:szCs w:val="21"/>
              </w:rPr>
            </w:pPr>
            <w:r>
              <w:rPr>
                <w:rFonts w:hint="eastAsia" w:ascii="Arial" w:hAnsi="Arial" w:eastAsia="华文细黑"/>
                <w:b/>
                <w:kern w:val="2"/>
                <w:sz w:val="18"/>
                <w:szCs w:val="21"/>
              </w:rPr>
              <w:t>一、咨询委托人</w:t>
            </w:r>
          </w:p>
        </w:tc>
      </w:tr>
      <w:tr w14:paraId="2787521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7AD3F19F">
            <w:pPr>
              <w:spacing w:line="360" w:lineRule="auto"/>
              <w:ind w:firstLine="360" w:firstLineChars="200"/>
              <w:rPr>
                <w:rFonts w:ascii="Arial" w:hAnsi="Arial" w:eastAsia="华文细黑"/>
                <w:bCs/>
                <w:sz w:val="18"/>
                <w:szCs w:val="21"/>
              </w:rPr>
            </w:pPr>
            <w:r>
              <w:rPr>
                <w:rFonts w:hint="eastAsia" w:ascii="Arial" w:hAnsi="Arial" w:eastAsia="华文细黑"/>
                <w:bCs/>
                <w:sz w:val="18"/>
                <w:szCs w:val="21"/>
              </w:rPr>
              <w:t>本次评估咨询委托人为北京市盛世宏祥资产管理有限公司</w:t>
            </w:r>
          </w:p>
          <w:p w14:paraId="2FE962FD">
            <w:pPr>
              <w:spacing w:line="360" w:lineRule="auto"/>
              <w:ind w:firstLine="360" w:firstLineChars="200"/>
              <w:rPr>
                <w:rFonts w:ascii="Arial" w:hAnsi="Arial" w:eastAsia="华文细黑"/>
                <w:bCs/>
                <w:sz w:val="18"/>
                <w:szCs w:val="21"/>
              </w:rPr>
            </w:pPr>
            <w:r>
              <w:rPr>
                <w:rFonts w:hint="eastAsia" w:ascii="Arial" w:hAnsi="Arial" w:eastAsia="华文细黑"/>
                <w:bCs/>
                <w:sz w:val="18"/>
                <w:szCs w:val="21"/>
              </w:rPr>
              <w:t>单位名称：北京市盛世宏祥资产管理有限公司</w:t>
            </w:r>
          </w:p>
        </w:tc>
      </w:tr>
      <w:tr w14:paraId="4EAB61AE">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tcBorders>
              <w:bottom w:val="single" w:color="404040" w:sz="2" w:space="0"/>
            </w:tcBorders>
            <w:noWrap/>
            <w:tcMar>
              <w:top w:w="85" w:type="dxa"/>
              <w:left w:w="85" w:type="dxa"/>
              <w:bottom w:w="85" w:type="dxa"/>
              <w:right w:w="28" w:type="dxa"/>
            </w:tcMar>
            <w:vAlign w:val="center"/>
          </w:tcPr>
          <w:p w14:paraId="0D63F49A">
            <w:pPr>
              <w:spacing w:line="240" w:lineRule="auto"/>
              <w:rPr>
                <w:rFonts w:ascii="Arial" w:hAnsi="Arial" w:eastAsia="华文细黑"/>
                <w:b/>
                <w:bCs/>
                <w:sz w:val="18"/>
                <w:szCs w:val="21"/>
              </w:rPr>
            </w:pPr>
            <w:r>
              <w:rPr>
                <w:rFonts w:hint="eastAsia" w:ascii="Arial" w:hAnsi="Arial" w:eastAsia="华文细黑"/>
                <w:b/>
                <w:kern w:val="2"/>
                <w:sz w:val="18"/>
                <w:szCs w:val="21"/>
              </w:rPr>
              <w:t>二、房地产估价机构</w:t>
            </w:r>
          </w:p>
        </w:tc>
      </w:tr>
      <w:tr w14:paraId="38B5FA5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65" w:type="dxa"/>
            <w:gridSpan w:val="10"/>
            <w:noWrap/>
            <w:tcMar>
              <w:top w:w="85" w:type="dxa"/>
              <w:left w:w="85" w:type="dxa"/>
              <w:bottom w:w="85" w:type="dxa"/>
              <w:right w:w="28" w:type="dxa"/>
            </w:tcMar>
            <w:vAlign w:val="center"/>
          </w:tcPr>
          <w:p w14:paraId="1FCF30B9">
            <w:pPr>
              <w:spacing w:line="240" w:lineRule="auto"/>
              <w:rPr>
                <w:rFonts w:ascii="Arial" w:hAnsi="Arial" w:eastAsia="华文细黑"/>
                <w:sz w:val="18"/>
                <w:szCs w:val="21"/>
              </w:rPr>
            </w:pPr>
            <w:r>
              <w:rPr>
                <w:rFonts w:hint="eastAsia" w:ascii="Arial" w:hAnsi="Arial" w:eastAsia="华文细黑"/>
                <w:bCs/>
                <w:sz w:val="18"/>
                <w:szCs w:val="21"/>
              </w:rPr>
              <w:t>估价机构：</w:t>
            </w:r>
            <w:r>
              <w:rPr>
                <w:rFonts w:hint="eastAsia" w:ascii="Arial" w:hAnsi="Arial" w:eastAsia="华文细黑"/>
                <w:sz w:val="18"/>
                <w:szCs w:val="21"/>
              </w:rPr>
              <w:t>北京康正宏基房地产评估有限公司</w:t>
            </w:r>
          </w:p>
        </w:tc>
        <w:tc>
          <w:tcPr>
            <w:tcW w:w="2547" w:type="dxa"/>
            <w:tcMar>
              <w:top w:w="85" w:type="dxa"/>
              <w:left w:w="85" w:type="dxa"/>
              <w:bottom w:w="85" w:type="dxa"/>
              <w:right w:w="28" w:type="dxa"/>
            </w:tcMar>
            <w:vAlign w:val="center"/>
          </w:tcPr>
          <w:p w14:paraId="6A8CDAE2">
            <w:pPr>
              <w:spacing w:line="240" w:lineRule="auto"/>
              <w:rPr>
                <w:rFonts w:ascii="Arial" w:hAnsi="Arial" w:eastAsia="华文细黑"/>
                <w:sz w:val="18"/>
                <w:szCs w:val="21"/>
              </w:rPr>
            </w:pPr>
            <w:r>
              <w:rPr>
                <w:rFonts w:hint="eastAsia" w:ascii="Arial" w:hAnsi="Arial" w:eastAsia="华文细黑"/>
                <w:bCs/>
                <w:sz w:val="18"/>
                <w:szCs w:val="21"/>
              </w:rPr>
              <w:t>法定代表人：</w:t>
            </w:r>
            <w:r>
              <w:rPr>
                <w:rFonts w:hint="eastAsia" w:ascii="Arial" w:hAnsi="Arial" w:eastAsia="华文细黑"/>
                <w:sz w:val="18"/>
                <w:szCs w:val="21"/>
              </w:rPr>
              <w:t>齐宏</w:t>
            </w:r>
          </w:p>
        </w:tc>
      </w:tr>
      <w:tr w14:paraId="006AB1B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65" w:type="dxa"/>
            <w:gridSpan w:val="10"/>
            <w:noWrap/>
            <w:tcMar>
              <w:top w:w="85" w:type="dxa"/>
              <w:left w:w="85" w:type="dxa"/>
              <w:bottom w:w="85" w:type="dxa"/>
              <w:right w:w="28" w:type="dxa"/>
            </w:tcMar>
            <w:vAlign w:val="center"/>
          </w:tcPr>
          <w:p w14:paraId="385217E7">
            <w:pPr>
              <w:spacing w:line="240" w:lineRule="auto"/>
              <w:rPr>
                <w:rFonts w:ascii="Arial" w:hAnsi="Arial" w:eastAsia="华文细黑" w:cs="Arial"/>
                <w:sz w:val="18"/>
                <w:szCs w:val="21"/>
              </w:rPr>
            </w:pPr>
            <w:r>
              <w:rPr>
                <w:rFonts w:ascii="Arial" w:hAnsi="Arial" w:eastAsia="华文细黑" w:cs="Arial"/>
                <w:bCs/>
                <w:sz w:val="18"/>
                <w:szCs w:val="21"/>
              </w:rPr>
              <w:t>通讯地址：</w:t>
            </w:r>
            <w:r>
              <w:rPr>
                <w:rFonts w:ascii="Arial" w:hAnsi="Arial" w:eastAsia="华文细黑" w:cs="Arial"/>
                <w:sz w:val="18"/>
                <w:szCs w:val="21"/>
              </w:rPr>
              <w:t>北京市朝阳区裕民路</w:t>
            </w:r>
            <w:r>
              <w:rPr>
                <w:rFonts w:hint="eastAsia" w:ascii="Arial" w:hAnsi="Arial" w:eastAsia="华文细黑" w:cs="Arial"/>
                <w:sz w:val="18"/>
                <w:szCs w:val="21"/>
              </w:rPr>
              <w:t>1</w:t>
            </w:r>
            <w:r>
              <w:rPr>
                <w:rFonts w:ascii="Arial" w:hAnsi="Arial" w:eastAsia="华文细黑" w:cs="Arial"/>
                <w:sz w:val="18"/>
                <w:szCs w:val="21"/>
              </w:rPr>
              <w:t>2号中国国际科技会展中心B座</w:t>
            </w:r>
            <w:r>
              <w:rPr>
                <w:rFonts w:hint="eastAsia" w:ascii="Arial" w:hAnsi="Arial" w:eastAsia="华文细黑" w:cs="Arial"/>
                <w:sz w:val="18"/>
                <w:szCs w:val="21"/>
              </w:rPr>
              <w:t>1</w:t>
            </w:r>
            <w:r>
              <w:rPr>
                <w:rFonts w:ascii="Arial" w:hAnsi="Arial" w:eastAsia="华文细黑" w:cs="Arial"/>
                <w:sz w:val="18"/>
                <w:szCs w:val="21"/>
              </w:rPr>
              <w:t>001</w:t>
            </w:r>
          </w:p>
        </w:tc>
        <w:tc>
          <w:tcPr>
            <w:tcW w:w="2547" w:type="dxa"/>
            <w:tcMar>
              <w:top w:w="85" w:type="dxa"/>
              <w:left w:w="85" w:type="dxa"/>
              <w:bottom w:w="85" w:type="dxa"/>
              <w:right w:w="28" w:type="dxa"/>
            </w:tcMar>
            <w:vAlign w:val="center"/>
          </w:tcPr>
          <w:p w14:paraId="406BBE27">
            <w:pPr>
              <w:spacing w:line="240" w:lineRule="auto"/>
              <w:rPr>
                <w:rFonts w:ascii="Arial" w:hAnsi="Arial" w:eastAsia="华文细黑" w:cs="Arial"/>
                <w:sz w:val="18"/>
                <w:szCs w:val="21"/>
              </w:rPr>
            </w:pPr>
            <w:r>
              <w:rPr>
                <w:rFonts w:ascii="Arial" w:hAnsi="Arial" w:eastAsia="华文细黑" w:cs="Arial"/>
                <w:bCs/>
                <w:sz w:val="18"/>
                <w:szCs w:val="21"/>
              </w:rPr>
              <w:t>邮政编码：</w:t>
            </w:r>
            <w:r>
              <w:rPr>
                <w:rFonts w:ascii="Arial" w:hAnsi="Arial" w:eastAsia="华文细黑" w:cs="Arial"/>
                <w:sz w:val="18"/>
                <w:szCs w:val="21"/>
              </w:rPr>
              <w:t>100029</w:t>
            </w:r>
          </w:p>
        </w:tc>
      </w:tr>
      <w:tr w14:paraId="17DBC1A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8308144">
            <w:pPr>
              <w:spacing w:line="240" w:lineRule="auto"/>
              <w:rPr>
                <w:rFonts w:ascii="Arial" w:hAnsi="Arial" w:eastAsia="华文细黑" w:cs="Arial"/>
                <w:bCs/>
                <w:sz w:val="18"/>
                <w:szCs w:val="21"/>
              </w:rPr>
            </w:pPr>
            <w:r>
              <w:rPr>
                <w:rFonts w:ascii="Arial" w:hAnsi="Arial" w:eastAsia="华文细黑" w:cs="Arial"/>
                <w:bCs/>
                <w:sz w:val="18"/>
                <w:szCs w:val="21"/>
              </w:rPr>
              <w:t>估价机构资质：</w:t>
            </w:r>
            <w:r>
              <w:rPr>
                <w:rFonts w:ascii="Arial" w:hAnsi="Arial" w:eastAsia="华文细黑" w:cs="Arial"/>
                <w:sz w:val="18"/>
                <w:szCs w:val="21"/>
              </w:rPr>
              <w:t>建设部一级房地产价格评估机构（</w:t>
            </w:r>
            <w:r>
              <w:rPr>
                <w:rFonts w:hint="eastAsia" w:ascii="Arial" w:hAnsi="Arial" w:eastAsia="华文细黑" w:cs="Arial"/>
                <w:sz w:val="18"/>
                <w:szCs w:val="21"/>
              </w:rPr>
              <w:t>建房估备字[2013第]081号）</w:t>
            </w:r>
          </w:p>
        </w:tc>
      </w:tr>
      <w:tr w14:paraId="6DAFE77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64A01E1B">
            <w:pPr>
              <w:spacing w:line="240" w:lineRule="auto"/>
              <w:rPr>
                <w:rFonts w:ascii="Arial" w:hAnsi="Arial" w:eastAsia="华文细黑"/>
                <w:bCs/>
                <w:sz w:val="18"/>
                <w:szCs w:val="21"/>
              </w:rPr>
            </w:pPr>
            <w:r>
              <w:rPr>
                <w:rFonts w:hint="eastAsia" w:ascii="Arial" w:hAnsi="Arial" w:eastAsia="华文细黑"/>
                <w:b/>
                <w:kern w:val="2"/>
                <w:sz w:val="18"/>
                <w:szCs w:val="21"/>
              </w:rPr>
              <w:t>三、咨询目的：</w:t>
            </w:r>
            <w:r>
              <w:rPr>
                <w:rFonts w:hint="eastAsia" w:ascii="Arial" w:hAnsi="Arial" w:eastAsia="华文细黑"/>
                <w:kern w:val="2"/>
                <w:sz w:val="18"/>
                <w:szCs w:val="21"/>
              </w:rPr>
              <w:t>为委托方了解咨询对象在设定条件下的房地产市场租金水平提供参考依据。</w:t>
            </w:r>
          </w:p>
        </w:tc>
      </w:tr>
      <w:tr w14:paraId="743F1A8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05050F9">
            <w:pPr>
              <w:spacing w:line="240" w:lineRule="auto"/>
              <w:rPr>
                <w:rFonts w:ascii="Arial" w:hAnsi="Arial" w:eastAsia="华文细黑" w:cs="Arial"/>
                <w:bCs/>
                <w:sz w:val="18"/>
                <w:szCs w:val="21"/>
              </w:rPr>
            </w:pPr>
            <w:r>
              <w:rPr>
                <w:rFonts w:ascii="Arial" w:hAnsi="Arial" w:eastAsia="华文细黑" w:cs="Arial"/>
                <w:b/>
                <w:kern w:val="2"/>
                <w:sz w:val="18"/>
                <w:szCs w:val="21"/>
              </w:rPr>
              <w:t>四、价值时点：</w:t>
            </w:r>
            <w:r>
              <w:rPr>
                <w:rFonts w:hint="eastAsia" w:ascii="Arial" w:hAnsi="Arial" w:eastAsia="华文细黑" w:cs="Arial"/>
                <w:kern w:val="2"/>
                <w:sz w:val="18"/>
                <w:szCs w:val="21"/>
              </w:rPr>
              <w:t>2025年9月10日</w:t>
            </w:r>
          </w:p>
        </w:tc>
      </w:tr>
      <w:tr w14:paraId="1F980D0F">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3E97E1E">
            <w:pPr>
              <w:spacing w:line="240" w:lineRule="auto"/>
              <w:rPr>
                <w:rFonts w:ascii="Arial" w:hAnsi="Arial" w:eastAsia="华文细黑" w:cs="Arial"/>
                <w:kern w:val="2"/>
                <w:sz w:val="18"/>
                <w:szCs w:val="21"/>
              </w:rPr>
            </w:pPr>
            <w:r>
              <w:rPr>
                <w:rFonts w:ascii="Arial" w:hAnsi="Arial" w:eastAsia="华文细黑" w:cs="Arial"/>
                <w:b/>
                <w:kern w:val="2"/>
                <w:sz w:val="18"/>
                <w:szCs w:val="21"/>
              </w:rPr>
              <w:t>五、估价作业期</w:t>
            </w:r>
            <w:r>
              <w:rPr>
                <w:rFonts w:ascii="Arial" w:hAnsi="Arial" w:eastAsia="华文细黑" w:cs="Arial"/>
                <w:b/>
                <w:bCs/>
                <w:sz w:val="18"/>
                <w:szCs w:val="21"/>
              </w:rPr>
              <w:t>：</w:t>
            </w:r>
            <w:r>
              <w:rPr>
                <w:rFonts w:hint="eastAsia" w:ascii="Arial" w:hAnsi="Arial" w:eastAsia="华文细黑" w:cs="Arial"/>
                <w:kern w:val="2"/>
                <w:sz w:val="18"/>
                <w:szCs w:val="21"/>
              </w:rPr>
              <w:t>2025年</w:t>
            </w:r>
            <w:r>
              <w:rPr>
                <w:rFonts w:hint="eastAsia" w:ascii="Arial" w:hAnsi="Arial" w:eastAsia="华文细黑" w:cs="Arial"/>
                <w:kern w:val="2"/>
                <w:sz w:val="18"/>
                <w:szCs w:val="21"/>
                <w:lang w:val="en-US" w:eastAsia="zh-CN"/>
              </w:rPr>
              <w:t>8</w:t>
            </w:r>
            <w:r>
              <w:rPr>
                <w:rFonts w:hint="eastAsia" w:ascii="Arial" w:hAnsi="Arial" w:eastAsia="华文细黑" w:cs="Arial"/>
                <w:kern w:val="2"/>
                <w:sz w:val="18"/>
                <w:szCs w:val="21"/>
              </w:rPr>
              <w:t>月1</w:t>
            </w:r>
            <w:r>
              <w:rPr>
                <w:rFonts w:hint="eastAsia" w:ascii="Arial" w:hAnsi="Arial" w:eastAsia="华文细黑" w:cs="Arial"/>
                <w:kern w:val="2"/>
                <w:sz w:val="18"/>
                <w:szCs w:val="21"/>
                <w:lang w:val="en-US" w:eastAsia="zh-CN"/>
              </w:rPr>
              <w:t>1</w:t>
            </w:r>
            <w:r>
              <w:rPr>
                <w:rFonts w:hint="eastAsia" w:ascii="Arial" w:hAnsi="Arial" w:eastAsia="华文细黑" w:cs="Arial"/>
                <w:kern w:val="2"/>
                <w:sz w:val="18"/>
                <w:szCs w:val="21"/>
              </w:rPr>
              <w:t>日</w:t>
            </w:r>
            <w:r>
              <w:rPr>
                <w:rFonts w:ascii="Arial" w:hAnsi="Arial" w:eastAsia="华文细黑" w:cs="Arial"/>
                <w:kern w:val="2"/>
                <w:sz w:val="18"/>
                <w:szCs w:val="21"/>
              </w:rPr>
              <w:t>至2025年</w:t>
            </w:r>
            <w:r>
              <w:rPr>
                <w:rFonts w:hint="eastAsia" w:ascii="Arial" w:hAnsi="Arial" w:eastAsia="华文细黑" w:cs="Arial"/>
                <w:kern w:val="2"/>
                <w:sz w:val="18"/>
                <w:szCs w:val="21"/>
              </w:rPr>
              <w:t>9</w:t>
            </w:r>
            <w:r>
              <w:rPr>
                <w:rFonts w:ascii="Arial" w:hAnsi="Arial" w:eastAsia="华文细黑" w:cs="Arial"/>
                <w:kern w:val="2"/>
                <w:sz w:val="18"/>
                <w:szCs w:val="21"/>
              </w:rPr>
              <w:t>月</w:t>
            </w:r>
            <w:r>
              <w:rPr>
                <w:rFonts w:hint="eastAsia" w:ascii="Arial" w:hAnsi="Arial" w:eastAsia="华文细黑" w:cs="Arial"/>
                <w:kern w:val="2"/>
                <w:sz w:val="18"/>
                <w:szCs w:val="21"/>
              </w:rPr>
              <w:t>15</w:t>
            </w:r>
            <w:r>
              <w:rPr>
                <w:rFonts w:ascii="Arial" w:hAnsi="Arial" w:eastAsia="华文细黑" w:cs="Arial"/>
                <w:kern w:val="2"/>
                <w:sz w:val="18"/>
                <w:szCs w:val="21"/>
              </w:rPr>
              <w:t>日</w:t>
            </w:r>
          </w:p>
        </w:tc>
      </w:tr>
      <w:tr w14:paraId="6A0F9A1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2739A8DB">
            <w:pPr>
              <w:spacing w:line="240" w:lineRule="auto"/>
              <w:rPr>
                <w:rFonts w:ascii="Arial" w:hAnsi="Arial" w:eastAsia="华文细黑"/>
                <w:b/>
                <w:bCs/>
                <w:sz w:val="18"/>
                <w:szCs w:val="21"/>
              </w:rPr>
            </w:pPr>
            <w:r>
              <w:rPr>
                <w:rFonts w:hint="eastAsia" w:ascii="Arial" w:hAnsi="Arial" w:eastAsia="华文细黑" w:cs="Arial"/>
                <w:b/>
                <w:kern w:val="2"/>
                <w:sz w:val="18"/>
                <w:szCs w:val="21"/>
              </w:rPr>
              <w:t>六、咨询对象概况</w:t>
            </w:r>
          </w:p>
        </w:tc>
      </w:tr>
      <w:tr w14:paraId="71BCE6E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tcMar>
              <w:top w:w="85" w:type="dxa"/>
              <w:left w:w="85" w:type="dxa"/>
              <w:bottom w:w="85" w:type="dxa"/>
              <w:right w:w="28" w:type="dxa"/>
            </w:tcMar>
            <w:vAlign w:val="center"/>
          </w:tcPr>
          <w:p w14:paraId="73968D70">
            <w:pPr>
              <w:spacing w:line="240" w:lineRule="auto"/>
              <w:jc w:val="both"/>
              <w:rPr>
                <w:rFonts w:ascii="Arial" w:hAnsi="Arial" w:eastAsia="华文细黑" w:cs="Arial"/>
                <w:sz w:val="18"/>
                <w:szCs w:val="21"/>
              </w:rPr>
            </w:pPr>
            <w:r>
              <w:rPr>
                <w:rFonts w:hint="eastAsia" w:ascii="Arial" w:hAnsi="Arial" w:eastAsia="华文细黑" w:cs="Arial"/>
                <w:sz w:val="18"/>
                <w:szCs w:val="21"/>
              </w:rPr>
              <w:t>咨询对象：北京市大兴区金时大街13号院1号楼、2号楼、3号楼、4号楼、100幢集体租赁住房及配套用房</w:t>
            </w:r>
          </w:p>
        </w:tc>
      </w:tr>
      <w:tr w14:paraId="2FB1144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tbl>
            <w:tblPr>
              <w:tblStyle w:val="32"/>
              <w:tblW w:w="9180" w:type="dxa"/>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autofit"/>
              <w:tblCellMar>
                <w:top w:w="28" w:type="dxa"/>
                <w:left w:w="28" w:type="dxa"/>
                <w:bottom w:w="28" w:type="dxa"/>
                <w:right w:w="28" w:type="dxa"/>
              </w:tblCellMar>
            </w:tblPr>
            <w:tblGrid>
              <w:gridCol w:w="9180"/>
            </w:tblGrid>
            <w:tr w14:paraId="77BA5431">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28" w:type="dxa"/>
                  <w:left w:w="28" w:type="dxa"/>
                  <w:bottom w:w="28" w:type="dxa"/>
                  <w:right w:w="28" w:type="dxa"/>
                </w:tblCellMar>
              </w:tblPrEx>
              <w:trPr>
                <w:cantSplit/>
                <w:trHeight w:val="358" w:hRule="atLeast"/>
                <w:jc w:val="center"/>
              </w:trPr>
              <w:tc>
                <w:tcPr>
                  <w:tcW w:w="9180" w:type="dxa"/>
                  <w:tcBorders>
                    <w:top w:val="dotted" w:color="404040" w:sz="2" w:space="0"/>
                    <w:left w:val="dotted" w:color="404040" w:sz="2" w:space="0"/>
                    <w:bottom w:val="dotted" w:color="404040" w:sz="2" w:space="0"/>
                    <w:right w:val="dotted" w:color="404040" w:sz="2" w:space="0"/>
                  </w:tcBorders>
                </w:tcPr>
                <w:p w14:paraId="76F38821">
                  <w:pPr>
                    <w:jc w:val="center"/>
                    <w:rPr>
                      <w:rFonts w:hint="eastAsia" w:ascii="华文细黑" w:hAnsi="华文细黑" w:eastAsia="华文细黑"/>
                    </w:rPr>
                  </w:pPr>
                  <w:r>
                    <w:rPr>
                      <w:rFonts w:hint="eastAsia" w:ascii="Arial" w:hAnsi="Arial" w:eastAsia="华文细黑"/>
                      <w:sz w:val="18"/>
                      <w:szCs w:val="21"/>
                    </w:rPr>
                    <w:t>项目位置图</w:t>
                  </w:r>
                </w:p>
              </w:tc>
            </w:tr>
            <w:tr w14:paraId="354C530A">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28" w:type="dxa"/>
                  <w:left w:w="108" w:type="dxa"/>
                  <w:bottom w:w="28" w:type="dxa"/>
                  <w:right w:w="108" w:type="dxa"/>
                </w:tblCellMar>
              </w:tblPrEx>
              <w:trPr>
                <w:cantSplit/>
                <w:trHeight w:val="5087" w:hRule="atLeast"/>
                <w:jc w:val="center"/>
              </w:trPr>
              <w:tc>
                <w:tcPr>
                  <w:tcW w:w="9180" w:type="dxa"/>
                  <w:tcBorders>
                    <w:top w:val="dotted" w:color="404040" w:sz="2" w:space="0"/>
                    <w:left w:val="dotted" w:color="404040" w:sz="2" w:space="0"/>
                    <w:bottom w:val="dotted" w:color="404040" w:sz="2" w:space="0"/>
                    <w:right w:val="dotted" w:color="404040" w:sz="2" w:space="0"/>
                  </w:tcBorders>
                </w:tcPr>
                <w:p w14:paraId="423CE5E5">
                  <w:pPr>
                    <w:jc w:val="center"/>
                    <w:rPr>
                      <w:rFonts w:ascii="Calibri" w:hAnsi="Calibri"/>
                    </w:rPr>
                  </w:pPr>
                  <w:r>
                    <w:rPr>
                      <w:rFonts w:hint="eastAsia" w:ascii="Calibri" w:hAnsi="Calibri"/>
                    </w:rPr>
                    <mc:AlternateContent>
                      <mc:Choice Requires="wps">
                        <w:drawing>
                          <wp:anchor distT="0" distB="0" distL="114300" distR="114300" simplePos="0" relativeHeight="251663360" behindDoc="0" locked="0" layoutInCell="1" allowOverlap="1">
                            <wp:simplePos x="0" y="0"/>
                            <wp:positionH relativeFrom="column">
                              <wp:posOffset>1959610</wp:posOffset>
                            </wp:positionH>
                            <wp:positionV relativeFrom="paragraph">
                              <wp:posOffset>883285</wp:posOffset>
                            </wp:positionV>
                            <wp:extent cx="1092200" cy="381000"/>
                            <wp:effectExtent l="5080" t="5080" r="76200" b="132080"/>
                            <wp:wrapNone/>
                            <wp:docPr id="19" name="AutoShape 18"/>
                            <wp:cNvGraphicFramePr/>
                            <a:graphic xmlns:a="http://schemas.openxmlformats.org/drawingml/2006/main">
                              <a:graphicData uri="http://schemas.microsoft.com/office/word/2010/wordprocessingShape">
                                <wps:wsp>
                                  <wps:cNvSpPr>
                                    <a:spLocks noChangeArrowheads="1"/>
                                  </wps:cNvSpPr>
                                  <wps:spPr bwMode="auto">
                                    <a:xfrm>
                                      <a:off x="0" y="0"/>
                                      <a:ext cx="1092200" cy="381000"/>
                                    </a:xfrm>
                                    <a:prstGeom prst="wedgeEllipseCallout">
                                      <a:avLst>
                                        <a:gd name="adj1" fmla="val 54014"/>
                                        <a:gd name="adj2" fmla="val 80667"/>
                                      </a:avLst>
                                    </a:prstGeom>
                                    <a:solidFill>
                                      <a:srgbClr val="FF0000"/>
                                    </a:solidFill>
                                    <a:ln w="9525" cmpd="sng">
                                      <a:solidFill>
                                        <a:srgbClr val="000000"/>
                                      </a:solidFill>
                                      <a:miter lim="800000"/>
                                    </a:ln>
                                    <a:effectLst/>
                                  </wps:spPr>
                                  <wps:txbx>
                                    <w:txbxContent>
                                      <w:p w14:paraId="3B3482C8">
                                        <w:pPr>
                                          <w:spacing w:line="240" w:lineRule="auto"/>
                                          <w:jc w:val="center"/>
                                          <w:rPr>
                                            <w:b/>
                                            <w:bCs/>
                                            <w:color w:val="FFFFFF"/>
                                            <w:sz w:val="22"/>
                                            <w:szCs w:val="18"/>
                                          </w:rPr>
                                        </w:pPr>
                                        <w:r>
                                          <w:rPr>
                                            <w:rFonts w:hint="eastAsia"/>
                                            <w:b/>
                                            <w:bCs/>
                                            <w:color w:val="FFFFFF"/>
                                            <w:sz w:val="22"/>
                                            <w:szCs w:val="18"/>
                                          </w:rPr>
                                          <w:t>咨询对象</w:t>
                                        </w:r>
                                      </w:p>
                                    </w:txbxContent>
                                  </wps:txbx>
                                  <wps:bodyPr rot="0" vert="horz" wrap="square" lIns="91440" tIns="45720" rIns="91440" bIns="45720" anchor="t" anchorCtr="0" upright="1">
                                    <a:noAutofit/>
                                  </wps:bodyPr>
                                </wps:wsp>
                              </a:graphicData>
                            </a:graphic>
                          </wp:anchor>
                        </w:drawing>
                      </mc:Choice>
                      <mc:Fallback>
                        <w:pict>
                          <v:shape id="AutoShape 18" o:spid="_x0000_s1026" o:spt="63" type="#_x0000_t63" style="position:absolute;left:0pt;margin-left:154.3pt;margin-top:69.55pt;height:30pt;width:86pt;z-index:251663360;mso-width-relative:page;mso-height-relative:page;" fillcolor="#FF0000" filled="t" stroked="t" coordsize="21600,21600" o:gfxdata="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tkhrnXAAAACwEAAA8AAAAAAAAAAQAgAAAAIgAAAGRycy9kb3ducmV2LnhtbFBLAQIU&#10;ABQAAAAIAIdO4kD7IzQaZgIAAPgEAAAOAAAAAAAAAAEAIAAAACYBAABkcnMvZTJvRG9jLnhtbFBL&#10;BQYAAAAABgAGAFkBAAD+BQAAAAA=&#10;" adj="22467,28224">
                            <v:fill on="t" focussize="0,0"/>
                            <v:stroke color="#000000" miterlimit="8" joinstyle="miter"/>
                            <v:imagedata o:title=""/>
                            <o:lock v:ext="edit" aspectratio="f"/>
                            <v:textbox>
                              <w:txbxContent>
                                <w:p w14:paraId="3B3482C8">
                                  <w:pPr>
                                    <w:spacing w:line="240" w:lineRule="auto"/>
                                    <w:jc w:val="center"/>
                                    <w:rPr>
                                      <w:b/>
                                      <w:bCs/>
                                      <w:color w:val="FFFFFF"/>
                                      <w:sz w:val="22"/>
                                      <w:szCs w:val="18"/>
                                    </w:rPr>
                                  </w:pPr>
                                  <w:r>
                                    <w:rPr>
                                      <w:rFonts w:hint="eastAsia"/>
                                      <w:b/>
                                      <w:bCs/>
                                      <w:color w:val="FFFFFF"/>
                                      <w:sz w:val="22"/>
                                      <w:szCs w:val="18"/>
                                    </w:rPr>
                                    <w:t>咨询对象</w:t>
                                  </w:r>
                                </w:p>
                              </w:txbxContent>
                            </v:textbox>
                          </v:shape>
                        </w:pict>
                      </mc:Fallback>
                    </mc:AlternateContent>
                  </w:r>
                  <w:r>
                    <w:drawing>
                      <wp:inline distT="0" distB="0" distL="114300" distR="114300">
                        <wp:extent cx="5569585" cy="3211195"/>
                        <wp:effectExtent l="0" t="0" r="8255" b="4445"/>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15"/>
                                <a:stretch>
                                  <a:fillRect/>
                                </a:stretch>
                              </pic:blipFill>
                              <pic:spPr>
                                <a:xfrm>
                                  <a:off x="0" y="0"/>
                                  <a:ext cx="5569585" cy="3211195"/>
                                </a:xfrm>
                                <a:prstGeom prst="rect">
                                  <a:avLst/>
                                </a:prstGeom>
                                <a:noFill/>
                                <a:ln>
                                  <a:noFill/>
                                </a:ln>
                              </pic:spPr>
                            </pic:pic>
                          </a:graphicData>
                        </a:graphic>
                      </wp:inline>
                    </w:drawing>
                  </w:r>
                </w:p>
              </w:tc>
            </w:tr>
          </w:tbl>
          <w:p w14:paraId="4C1A8019">
            <w:pPr>
              <w:spacing w:line="240" w:lineRule="auto"/>
              <w:rPr>
                <w:rFonts w:ascii="Arial" w:hAnsi="Arial" w:eastAsia="华文细黑" w:cs="Arial"/>
                <w:sz w:val="18"/>
                <w:szCs w:val="21"/>
              </w:rPr>
            </w:pPr>
          </w:p>
        </w:tc>
      </w:tr>
      <w:tr w14:paraId="064DB4F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tcPr>
          <w:p w14:paraId="3763AF6D">
            <w:pPr>
              <w:jc w:val="center"/>
              <w:rPr>
                <w:rFonts w:hint="eastAsia" w:ascii="华文细黑" w:hAnsi="华文细黑" w:eastAsia="华文细黑"/>
              </w:rPr>
            </w:pPr>
            <w:r>
              <w:rPr>
                <w:rFonts w:hint="eastAsia" w:ascii="Arial" w:hAnsi="Arial" w:eastAsia="华文细黑"/>
                <w:sz w:val="18"/>
                <w:szCs w:val="21"/>
              </w:rPr>
              <w:t>项目现状情况</w:t>
            </w:r>
          </w:p>
        </w:tc>
      </w:tr>
      <w:tr w14:paraId="697C727D">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tcPr>
          <w:p w14:paraId="6E23ABA3">
            <w:pPr>
              <w:jc w:val="center"/>
              <w:rPr>
                <w:rFonts w:ascii="Calibri" w:hAnsi="Calibri"/>
              </w:rPr>
            </w:pPr>
            <w:r>
              <w:rPr>
                <w:rFonts w:hint="eastAsia" w:ascii="Calibri" w:hAnsi="Calibri"/>
              </w:rPr>
              <w:drawing>
                <wp:inline distT="0" distB="0" distL="114300" distR="114300">
                  <wp:extent cx="1680210" cy="1260475"/>
                  <wp:effectExtent l="0" t="0" r="11430" b="4445"/>
                  <wp:docPr id="63" name="图片 63" descr="微信图片_202508121727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微信图片_202508121727482"/>
                          <pic:cNvPicPr>
                            <a:picLocks noChangeAspect="1"/>
                          </pic:cNvPicPr>
                        </pic:nvPicPr>
                        <pic:blipFill>
                          <a:blip r:embed="rId16"/>
                          <a:stretch>
                            <a:fillRect/>
                          </a:stretch>
                        </pic:blipFill>
                        <pic:spPr>
                          <a:xfrm>
                            <a:off x="0" y="0"/>
                            <a:ext cx="1680210" cy="1260475"/>
                          </a:xfrm>
                          <a:prstGeom prst="rect">
                            <a:avLst/>
                          </a:prstGeom>
                        </pic:spPr>
                      </pic:pic>
                    </a:graphicData>
                  </a:graphic>
                </wp:inline>
              </w:drawing>
            </w:r>
            <w:r>
              <w:rPr>
                <w:rFonts w:hint="eastAsia" w:ascii="Calibri" w:hAnsi="Calibri"/>
              </w:rPr>
              <w:t xml:space="preserve">  </w:t>
            </w:r>
            <w:r>
              <w:rPr>
                <w:rFonts w:hint="eastAsia" w:ascii="Calibri" w:hAnsi="Calibri"/>
              </w:rPr>
              <w:drawing>
                <wp:inline distT="0" distB="0" distL="114300" distR="114300">
                  <wp:extent cx="1741170" cy="1252220"/>
                  <wp:effectExtent l="0" t="0" r="11430" b="12700"/>
                  <wp:docPr id="64" name="图片 64" descr="微信图片_202508121727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微信图片_202508121727495"/>
                          <pic:cNvPicPr>
                            <a:picLocks noChangeAspect="1"/>
                          </pic:cNvPicPr>
                        </pic:nvPicPr>
                        <pic:blipFill>
                          <a:blip r:embed="rId17"/>
                          <a:stretch>
                            <a:fillRect/>
                          </a:stretch>
                        </pic:blipFill>
                        <pic:spPr>
                          <a:xfrm>
                            <a:off x="0" y="0"/>
                            <a:ext cx="1741170" cy="1252220"/>
                          </a:xfrm>
                          <a:prstGeom prst="rect">
                            <a:avLst/>
                          </a:prstGeom>
                        </pic:spPr>
                      </pic:pic>
                    </a:graphicData>
                  </a:graphic>
                </wp:inline>
              </w:drawing>
            </w:r>
            <w:r>
              <w:rPr>
                <w:rFonts w:hint="eastAsia" w:ascii="Calibri" w:hAnsi="Calibri"/>
              </w:rPr>
              <w:t xml:space="preserve">  </w:t>
            </w:r>
            <w:r>
              <w:rPr>
                <w:rFonts w:ascii="Calibri" w:hAnsi="Calibri"/>
              </w:rPr>
              <w:drawing>
                <wp:inline distT="0" distB="0" distL="114300" distR="114300">
                  <wp:extent cx="1707515" cy="1280795"/>
                  <wp:effectExtent l="0" t="0" r="14605" b="14605"/>
                  <wp:docPr id="65" name="图片 65" descr="微信图片_202508121727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微信图片_202508121727553"/>
                          <pic:cNvPicPr>
                            <a:picLocks noChangeAspect="1"/>
                          </pic:cNvPicPr>
                        </pic:nvPicPr>
                        <pic:blipFill>
                          <a:blip r:embed="rId18"/>
                          <a:stretch>
                            <a:fillRect/>
                          </a:stretch>
                        </pic:blipFill>
                        <pic:spPr>
                          <a:xfrm>
                            <a:off x="0" y="0"/>
                            <a:ext cx="1707515" cy="1280795"/>
                          </a:xfrm>
                          <a:prstGeom prst="rect">
                            <a:avLst/>
                          </a:prstGeom>
                        </pic:spPr>
                      </pic:pic>
                    </a:graphicData>
                  </a:graphic>
                </wp:inline>
              </w:drawing>
            </w:r>
          </w:p>
        </w:tc>
      </w:tr>
      <w:tr w14:paraId="6BF68D9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6641235D">
            <w:pPr>
              <w:spacing w:line="240" w:lineRule="auto"/>
              <w:rPr>
                <w:rFonts w:ascii="Arial" w:hAnsi="Arial" w:eastAsia="华文细黑" w:cs="Arial"/>
                <w:sz w:val="18"/>
                <w:szCs w:val="21"/>
              </w:rPr>
            </w:pPr>
            <w:r>
              <w:rPr>
                <w:rFonts w:hint="eastAsia" w:ascii="Arial" w:hAnsi="Arial" w:eastAsia="华文细黑" w:cs="Arial"/>
                <w:sz w:val="18"/>
                <w:szCs w:val="21"/>
              </w:rPr>
              <w:t>1.咨询对象基本情况</w:t>
            </w:r>
          </w:p>
        </w:tc>
      </w:tr>
      <w:tr w14:paraId="44EFD1C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6CA2956C">
            <w:pPr>
              <w:spacing w:line="240" w:lineRule="auto"/>
              <w:rPr>
                <w:rFonts w:ascii="Arial" w:hAnsi="Arial" w:eastAsia="华文细黑" w:cs="Arial"/>
                <w:sz w:val="18"/>
                <w:szCs w:val="21"/>
              </w:rPr>
            </w:pPr>
            <w:r>
              <w:rPr>
                <w:rFonts w:hint="eastAsia" w:ascii="Arial" w:hAnsi="Arial" w:eastAsia="华文细黑" w:cs="Arial"/>
                <w:sz w:val="18"/>
                <w:szCs w:val="21"/>
              </w:rPr>
              <w:t>不动产权证号：京（2023）大不动产权第0028576号</w:t>
            </w:r>
          </w:p>
        </w:tc>
        <w:tc>
          <w:tcPr>
            <w:tcW w:w="4780" w:type="dxa"/>
            <w:gridSpan w:val="5"/>
            <w:vAlign w:val="center"/>
          </w:tcPr>
          <w:p w14:paraId="344B39A9">
            <w:pPr>
              <w:spacing w:line="240" w:lineRule="auto"/>
              <w:rPr>
                <w:rFonts w:ascii="Arial" w:hAnsi="Arial" w:eastAsia="华文细黑" w:cs="Arial"/>
                <w:sz w:val="18"/>
                <w:szCs w:val="21"/>
              </w:rPr>
            </w:pPr>
            <w:r>
              <w:rPr>
                <w:rFonts w:hint="eastAsia" w:ascii="Arial" w:hAnsi="Arial" w:eastAsia="华文细黑" w:cs="Arial"/>
                <w:sz w:val="18"/>
                <w:szCs w:val="21"/>
              </w:rPr>
              <w:t>权利人：北京市盛世宏祥资产管理有限公司</w:t>
            </w:r>
          </w:p>
        </w:tc>
      </w:tr>
      <w:tr w14:paraId="097A9A2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3F4E85EC">
            <w:pPr>
              <w:spacing w:line="240" w:lineRule="auto"/>
              <w:rPr>
                <w:rFonts w:ascii="Arial" w:hAnsi="Arial" w:eastAsia="华文细黑" w:cs="Arial"/>
                <w:sz w:val="18"/>
                <w:szCs w:val="21"/>
              </w:rPr>
            </w:pPr>
            <w:r>
              <w:rPr>
                <w:rFonts w:hint="eastAsia" w:ascii="Arial" w:hAnsi="Arial" w:eastAsia="华文细黑" w:cs="Arial"/>
                <w:sz w:val="18"/>
                <w:szCs w:val="21"/>
              </w:rPr>
              <w:t>坐落：大兴区金时大街13号院1号楼、2号楼、3号楼、4号楼、100幢</w:t>
            </w:r>
          </w:p>
        </w:tc>
        <w:tc>
          <w:tcPr>
            <w:tcW w:w="4780" w:type="dxa"/>
            <w:gridSpan w:val="5"/>
            <w:vAlign w:val="center"/>
          </w:tcPr>
          <w:p w14:paraId="42747A0A">
            <w:pPr>
              <w:spacing w:line="240" w:lineRule="auto"/>
              <w:rPr>
                <w:rFonts w:ascii="Arial" w:hAnsi="Arial" w:eastAsia="华文细黑" w:cs="Arial"/>
                <w:sz w:val="18"/>
                <w:szCs w:val="21"/>
              </w:rPr>
            </w:pPr>
            <w:r>
              <w:rPr>
                <w:rFonts w:hint="eastAsia" w:ascii="Arial" w:hAnsi="Arial" w:eastAsia="华文细黑" w:cs="Arial"/>
                <w:sz w:val="18"/>
                <w:szCs w:val="21"/>
              </w:rPr>
              <w:t>共有情况</w:t>
            </w:r>
            <w:r>
              <w:rPr>
                <w:rFonts w:ascii="Arial" w:hAnsi="Arial" w:eastAsia="华文细黑" w:cs="Arial"/>
                <w:sz w:val="18"/>
                <w:szCs w:val="21"/>
              </w:rPr>
              <w:t>：</w:t>
            </w:r>
            <w:r>
              <w:rPr>
                <w:rFonts w:hint="eastAsia" w:ascii="Arial" w:hAnsi="Arial" w:eastAsia="华文细黑" w:cs="Arial"/>
                <w:sz w:val="18"/>
                <w:szCs w:val="21"/>
              </w:rPr>
              <w:t>单独所有</w:t>
            </w:r>
          </w:p>
        </w:tc>
      </w:tr>
      <w:tr w14:paraId="6267BE1F">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3F791081">
            <w:pPr>
              <w:spacing w:line="240" w:lineRule="auto"/>
              <w:rPr>
                <w:rFonts w:ascii="Arial" w:hAnsi="Arial" w:eastAsia="华文细黑" w:cs="Arial"/>
                <w:sz w:val="18"/>
                <w:szCs w:val="21"/>
              </w:rPr>
            </w:pPr>
            <w:r>
              <w:rPr>
                <w:rFonts w:hint="eastAsia" w:ascii="Arial" w:hAnsi="Arial" w:eastAsia="华文细黑" w:cs="Arial"/>
                <w:sz w:val="18"/>
                <w:szCs w:val="21"/>
              </w:rPr>
              <w:t>不动产单元号：110115 007001 JB01042 F99990001</w:t>
            </w:r>
          </w:p>
        </w:tc>
        <w:tc>
          <w:tcPr>
            <w:tcW w:w="4780" w:type="dxa"/>
            <w:gridSpan w:val="5"/>
            <w:vAlign w:val="center"/>
          </w:tcPr>
          <w:p w14:paraId="227AF723">
            <w:pPr>
              <w:spacing w:line="240" w:lineRule="auto"/>
              <w:rPr>
                <w:rFonts w:ascii="Arial" w:hAnsi="Arial" w:eastAsia="华文细黑" w:cs="Arial"/>
                <w:sz w:val="18"/>
                <w:szCs w:val="21"/>
              </w:rPr>
            </w:pPr>
            <w:r>
              <w:rPr>
                <w:rFonts w:hint="eastAsia" w:ascii="Arial" w:hAnsi="Arial" w:eastAsia="华文细黑" w:cs="Arial"/>
                <w:sz w:val="18"/>
                <w:szCs w:val="21"/>
              </w:rPr>
              <w:t>权利类型：集体建设用地使用权/建筑物所有权</w:t>
            </w:r>
          </w:p>
        </w:tc>
      </w:tr>
      <w:tr w14:paraId="3643B36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40F5A53F">
            <w:pPr>
              <w:spacing w:line="240" w:lineRule="auto"/>
              <w:rPr>
                <w:rFonts w:ascii="Arial" w:hAnsi="Arial" w:eastAsia="华文细黑" w:cs="Arial"/>
                <w:sz w:val="18"/>
                <w:szCs w:val="21"/>
              </w:rPr>
            </w:pPr>
            <w:r>
              <w:rPr>
                <w:rFonts w:hint="eastAsia" w:ascii="Arial" w:hAnsi="Arial" w:eastAsia="华文细黑" w:cs="Arial"/>
                <w:sz w:val="18"/>
                <w:szCs w:val="21"/>
              </w:rPr>
              <w:t>权利性质：批准拨用/集体租赁住房</w:t>
            </w:r>
          </w:p>
        </w:tc>
        <w:tc>
          <w:tcPr>
            <w:tcW w:w="4780" w:type="dxa"/>
            <w:gridSpan w:val="5"/>
            <w:vAlign w:val="center"/>
          </w:tcPr>
          <w:p w14:paraId="2AD130A3">
            <w:pPr>
              <w:spacing w:line="240" w:lineRule="auto"/>
              <w:rPr>
                <w:rFonts w:ascii="Arial" w:hAnsi="Arial" w:eastAsia="华文细黑" w:cs="Arial"/>
                <w:sz w:val="18"/>
                <w:szCs w:val="21"/>
              </w:rPr>
            </w:pPr>
            <w:r>
              <w:rPr>
                <w:rFonts w:hint="eastAsia" w:ascii="Arial" w:hAnsi="Arial" w:eastAsia="华文细黑" w:cs="Arial"/>
                <w:sz w:val="18"/>
                <w:szCs w:val="21"/>
              </w:rPr>
              <w:t>用途：绿隔产业用地（建设集体租赁住房）/集体租赁住房及配套</w:t>
            </w:r>
          </w:p>
        </w:tc>
      </w:tr>
      <w:tr w14:paraId="337164F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5E458C18">
            <w:pPr>
              <w:spacing w:line="240" w:lineRule="auto"/>
              <w:rPr>
                <w:rFonts w:ascii="Arial" w:hAnsi="Arial" w:eastAsia="华文细黑" w:cs="Arial"/>
                <w:sz w:val="18"/>
                <w:szCs w:val="21"/>
              </w:rPr>
            </w:pPr>
            <w:r>
              <w:rPr>
                <w:rFonts w:hint="eastAsia" w:ascii="Arial" w:hAnsi="Arial" w:eastAsia="华文细黑" w:cs="Arial"/>
                <w:sz w:val="18"/>
                <w:szCs w:val="21"/>
              </w:rPr>
              <w:t>面积（㎡）：共有宗地面积10000平方米/楼栋面积25025.15平方米</w:t>
            </w:r>
          </w:p>
        </w:tc>
        <w:tc>
          <w:tcPr>
            <w:tcW w:w="4780" w:type="dxa"/>
            <w:gridSpan w:val="5"/>
            <w:tcMar>
              <w:top w:w="85" w:type="dxa"/>
              <w:left w:w="85" w:type="dxa"/>
              <w:bottom w:w="85" w:type="dxa"/>
              <w:right w:w="28" w:type="dxa"/>
            </w:tcMar>
            <w:vAlign w:val="center"/>
          </w:tcPr>
          <w:p w14:paraId="2D1C583A">
            <w:pPr>
              <w:spacing w:line="240" w:lineRule="auto"/>
              <w:rPr>
                <w:rFonts w:ascii="Arial" w:hAnsi="Arial" w:eastAsia="华文细黑" w:cs="Arial"/>
                <w:sz w:val="18"/>
                <w:szCs w:val="21"/>
              </w:rPr>
            </w:pPr>
            <w:r>
              <w:rPr>
                <w:rFonts w:hint="eastAsia" w:ascii="Arial" w:hAnsi="Arial" w:eastAsia="华文细黑" w:cs="Arial"/>
                <w:sz w:val="18"/>
                <w:szCs w:val="21"/>
              </w:rPr>
              <w:t>总楼幢：5</w:t>
            </w:r>
          </w:p>
        </w:tc>
      </w:tr>
      <w:tr w14:paraId="726BE68C">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203A2A0D">
            <w:pPr>
              <w:spacing w:line="240" w:lineRule="auto"/>
              <w:rPr>
                <w:rFonts w:ascii="Arial" w:hAnsi="Arial" w:eastAsia="华文细黑" w:cs="Arial"/>
                <w:sz w:val="18"/>
                <w:szCs w:val="21"/>
              </w:rPr>
            </w:pPr>
            <w:r>
              <w:rPr>
                <w:rFonts w:hint="eastAsia" w:ascii="Arial" w:hAnsi="Arial" w:eastAsia="华文细黑" w:cs="Arial"/>
                <w:sz w:val="18"/>
                <w:szCs w:val="21"/>
              </w:rPr>
              <w:t>权利其他状况：发证面积：25025.15 登簿面积：27610.26平方米 总建筑面积：30059.39平方米 竣工日期 ：2021-01</w:t>
            </w:r>
          </w:p>
        </w:tc>
      </w:tr>
      <w:tr w14:paraId="19FB6A53">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078810C">
            <w:pPr>
              <w:spacing w:line="240" w:lineRule="auto"/>
              <w:rPr>
                <w:rFonts w:ascii="Arial" w:hAnsi="Arial" w:eastAsia="华文细黑"/>
                <w:bCs/>
                <w:sz w:val="18"/>
                <w:szCs w:val="21"/>
              </w:rPr>
            </w:pPr>
            <w:r>
              <w:rPr>
                <w:rFonts w:hint="eastAsia" w:ascii="Arial" w:hAnsi="Arial" w:eastAsia="华文细黑" w:cs="Arial"/>
                <w:sz w:val="18"/>
                <w:szCs w:val="21"/>
              </w:rPr>
              <w:t>2.咨询对象权益状况</w:t>
            </w:r>
          </w:p>
        </w:tc>
      </w:tr>
      <w:tr w14:paraId="4AE6E33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5D2AB822">
            <w:pPr>
              <w:spacing w:line="360" w:lineRule="auto"/>
              <w:ind w:firstLine="360" w:firstLineChars="200"/>
              <w:rPr>
                <w:rFonts w:ascii="Arial" w:hAnsi="Arial" w:eastAsia="华文细黑"/>
                <w:bCs/>
                <w:sz w:val="18"/>
                <w:szCs w:val="21"/>
              </w:rPr>
            </w:pPr>
            <w:r>
              <w:rPr>
                <w:rFonts w:hint="eastAsia" w:ascii="Arial" w:hAnsi="Arial" w:eastAsia="华文细黑"/>
                <w:bCs/>
                <w:sz w:val="18"/>
                <w:szCs w:val="21"/>
              </w:rPr>
              <w:t>根据《不动产权证书》[京（2023）大不动产权第0028576号]复印件及评估专业人员实地查勘，咨询对象部分房屋已出租，本报告是为委托方了解咨询对象在设定条件下的房地产市场租金水平提供参考依据，故本次咨询结果未考虑上述租赁权对咨询结果的影响。截至价值时点，咨询对象除上述租赁权外，未见咨询对象存在抵押权、地役权等他项权利的记录。</w:t>
            </w:r>
          </w:p>
        </w:tc>
      </w:tr>
      <w:tr w14:paraId="37BCA1D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tcBorders>
              <w:bottom w:val="single" w:color="404040" w:sz="2" w:space="0"/>
            </w:tcBorders>
            <w:noWrap/>
            <w:tcMar>
              <w:top w:w="85" w:type="dxa"/>
              <w:left w:w="85" w:type="dxa"/>
              <w:bottom w:w="85" w:type="dxa"/>
              <w:right w:w="28" w:type="dxa"/>
            </w:tcMar>
            <w:vAlign w:val="center"/>
          </w:tcPr>
          <w:p w14:paraId="16A7A048">
            <w:pPr>
              <w:spacing w:line="240" w:lineRule="auto"/>
              <w:rPr>
                <w:rFonts w:ascii="Arial" w:hAnsi="Arial" w:eastAsia="华文细黑"/>
                <w:sz w:val="18"/>
                <w:szCs w:val="21"/>
              </w:rPr>
            </w:pPr>
            <w:r>
              <w:rPr>
                <w:rFonts w:hint="eastAsia" w:ascii="Arial" w:hAnsi="Arial" w:eastAsia="华文细黑" w:cs="Arial"/>
                <w:sz w:val="18"/>
                <w:szCs w:val="21"/>
              </w:rPr>
              <w:t>3.咨询对象现状实物状况</w:t>
            </w:r>
          </w:p>
        </w:tc>
      </w:tr>
      <w:tr w14:paraId="053A6B1F">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5A991A48">
            <w:pPr>
              <w:spacing w:line="240" w:lineRule="auto"/>
              <w:rPr>
                <w:rFonts w:ascii="Arial" w:hAnsi="Arial" w:eastAsia="华文细黑" w:cs="Arial"/>
                <w:sz w:val="18"/>
                <w:szCs w:val="21"/>
              </w:rPr>
            </w:pPr>
            <w:r>
              <w:rPr>
                <w:rFonts w:hint="eastAsia" w:ascii="Arial" w:hAnsi="Arial" w:eastAsia="华文细黑" w:cs="Arial"/>
                <w:sz w:val="18"/>
                <w:szCs w:val="21"/>
              </w:rPr>
              <w:t>项目</w:t>
            </w:r>
          </w:p>
        </w:tc>
        <w:tc>
          <w:tcPr>
            <w:tcW w:w="7254" w:type="dxa"/>
            <w:gridSpan w:val="7"/>
            <w:noWrap/>
            <w:tcMar>
              <w:top w:w="85" w:type="dxa"/>
              <w:left w:w="85" w:type="dxa"/>
              <w:bottom w:w="85" w:type="dxa"/>
              <w:right w:w="28" w:type="dxa"/>
            </w:tcMar>
            <w:vAlign w:val="center"/>
          </w:tcPr>
          <w:p w14:paraId="3E9214F2">
            <w:pPr>
              <w:spacing w:line="240" w:lineRule="auto"/>
              <w:rPr>
                <w:rFonts w:ascii="Arial" w:hAnsi="Arial" w:eastAsia="华文细黑" w:cs="Arial"/>
                <w:sz w:val="18"/>
                <w:szCs w:val="21"/>
              </w:rPr>
            </w:pPr>
            <w:r>
              <w:rPr>
                <w:rFonts w:hint="eastAsia" w:ascii="Arial" w:hAnsi="Arial" w:eastAsia="华文细黑" w:cs="Arial"/>
                <w:sz w:val="18"/>
                <w:szCs w:val="21"/>
              </w:rPr>
              <w:t>装修及设备安装状况</w:t>
            </w:r>
          </w:p>
        </w:tc>
      </w:tr>
      <w:tr w14:paraId="65087F5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restart"/>
            <w:noWrap/>
            <w:tcMar>
              <w:top w:w="85" w:type="dxa"/>
              <w:left w:w="85" w:type="dxa"/>
              <w:bottom w:w="85" w:type="dxa"/>
              <w:right w:w="28" w:type="dxa"/>
            </w:tcMar>
            <w:vAlign w:val="center"/>
          </w:tcPr>
          <w:p w14:paraId="2D2C4A9F">
            <w:pPr>
              <w:spacing w:line="240" w:lineRule="auto"/>
              <w:rPr>
                <w:rFonts w:ascii="Arial" w:hAnsi="Arial" w:eastAsia="华文细黑" w:cs="Arial"/>
                <w:sz w:val="18"/>
                <w:szCs w:val="21"/>
              </w:rPr>
            </w:pPr>
            <w:r>
              <w:rPr>
                <w:rFonts w:hint="eastAsia" w:ascii="Arial" w:hAnsi="Arial" w:eastAsia="华文细黑" w:cs="Arial"/>
                <w:sz w:val="18"/>
                <w:szCs w:val="21"/>
              </w:rPr>
              <w:t>设</w:t>
            </w:r>
          </w:p>
          <w:p w14:paraId="17377EBF">
            <w:pPr>
              <w:spacing w:line="240" w:lineRule="auto"/>
              <w:rPr>
                <w:rFonts w:ascii="Arial" w:hAnsi="Arial" w:eastAsia="华文细黑" w:cs="Arial"/>
                <w:sz w:val="18"/>
                <w:szCs w:val="21"/>
              </w:rPr>
            </w:pPr>
            <w:r>
              <w:rPr>
                <w:rFonts w:hint="eastAsia" w:ascii="Arial" w:hAnsi="Arial" w:eastAsia="华文细黑" w:cs="Arial"/>
                <w:sz w:val="18"/>
                <w:szCs w:val="21"/>
              </w:rPr>
              <w:t>定</w:t>
            </w:r>
          </w:p>
          <w:p w14:paraId="470615B7">
            <w:pPr>
              <w:spacing w:line="240" w:lineRule="auto"/>
              <w:rPr>
                <w:rFonts w:ascii="Arial" w:hAnsi="Arial" w:eastAsia="华文细黑" w:cs="Arial"/>
                <w:sz w:val="18"/>
                <w:szCs w:val="21"/>
              </w:rPr>
            </w:pPr>
            <w:r>
              <w:rPr>
                <w:rFonts w:hint="eastAsia" w:ascii="Arial" w:hAnsi="Arial" w:eastAsia="华文细黑" w:cs="Arial"/>
                <w:sz w:val="18"/>
                <w:szCs w:val="21"/>
              </w:rPr>
              <w:t>装</w:t>
            </w:r>
          </w:p>
          <w:p w14:paraId="4F7BED63">
            <w:pPr>
              <w:spacing w:line="240" w:lineRule="auto"/>
              <w:rPr>
                <w:rFonts w:ascii="Arial" w:hAnsi="Arial" w:eastAsia="华文细黑" w:cs="Arial"/>
                <w:sz w:val="18"/>
                <w:szCs w:val="21"/>
              </w:rPr>
            </w:pPr>
            <w:r>
              <w:rPr>
                <w:rFonts w:hint="eastAsia" w:ascii="Arial" w:hAnsi="Arial" w:eastAsia="华文细黑" w:cs="Arial"/>
                <w:sz w:val="18"/>
                <w:szCs w:val="21"/>
              </w:rPr>
              <w:t>修</w:t>
            </w:r>
          </w:p>
          <w:p w14:paraId="604EDBFC">
            <w:pPr>
              <w:spacing w:line="240" w:lineRule="auto"/>
              <w:rPr>
                <w:rFonts w:ascii="Arial" w:hAnsi="Arial" w:eastAsia="华文细黑" w:cs="Arial"/>
                <w:sz w:val="18"/>
                <w:szCs w:val="21"/>
              </w:rPr>
            </w:pPr>
            <w:r>
              <w:rPr>
                <w:rFonts w:hint="eastAsia" w:ascii="Arial" w:hAnsi="Arial" w:eastAsia="华文细黑" w:cs="Arial"/>
                <w:sz w:val="18"/>
                <w:szCs w:val="21"/>
              </w:rPr>
              <w:t>情</w:t>
            </w:r>
          </w:p>
          <w:p w14:paraId="4C5A3766">
            <w:pPr>
              <w:spacing w:line="240" w:lineRule="auto"/>
              <w:rPr>
                <w:rFonts w:ascii="Arial" w:hAnsi="Arial" w:eastAsia="华文细黑" w:cs="Arial"/>
                <w:sz w:val="18"/>
                <w:szCs w:val="21"/>
              </w:rPr>
            </w:pPr>
            <w:r>
              <w:rPr>
                <w:rFonts w:hint="eastAsia" w:ascii="Arial" w:hAnsi="Arial" w:eastAsia="华文细黑" w:cs="Arial"/>
                <w:sz w:val="18"/>
                <w:szCs w:val="21"/>
              </w:rPr>
              <w:t>况</w:t>
            </w:r>
          </w:p>
        </w:tc>
        <w:tc>
          <w:tcPr>
            <w:tcW w:w="1652" w:type="dxa"/>
            <w:gridSpan w:val="3"/>
            <w:tcMar>
              <w:top w:w="85" w:type="dxa"/>
              <w:left w:w="85" w:type="dxa"/>
              <w:bottom w:w="85" w:type="dxa"/>
              <w:right w:w="28" w:type="dxa"/>
            </w:tcMar>
            <w:vAlign w:val="center"/>
          </w:tcPr>
          <w:p w14:paraId="3C0C30A0">
            <w:pPr>
              <w:spacing w:line="240" w:lineRule="auto"/>
              <w:rPr>
                <w:rFonts w:ascii="Arial" w:hAnsi="Arial" w:eastAsia="华文细黑" w:cs="Arial"/>
                <w:sz w:val="18"/>
                <w:szCs w:val="21"/>
              </w:rPr>
            </w:pPr>
            <w:r>
              <w:rPr>
                <w:rFonts w:hint="eastAsia" w:ascii="Arial" w:hAnsi="Arial" w:eastAsia="华文细黑" w:cs="Arial"/>
                <w:sz w:val="18"/>
                <w:szCs w:val="21"/>
              </w:rPr>
              <w:t>建筑类型</w:t>
            </w:r>
          </w:p>
        </w:tc>
        <w:tc>
          <w:tcPr>
            <w:tcW w:w="7254" w:type="dxa"/>
            <w:gridSpan w:val="7"/>
            <w:noWrap/>
            <w:tcMar>
              <w:top w:w="85" w:type="dxa"/>
              <w:left w:w="85" w:type="dxa"/>
              <w:bottom w:w="85" w:type="dxa"/>
              <w:right w:w="28" w:type="dxa"/>
            </w:tcMar>
            <w:vAlign w:val="center"/>
          </w:tcPr>
          <w:p w14:paraId="3AB24B88">
            <w:pPr>
              <w:spacing w:line="240" w:lineRule="auto"/>
              <w:rPr>
                <w:rFonts w:ascii="Arial" w:hAnsi="Arial" w:eastAsia="华文细黑" w:cs="Arial"/>
                <w:sz w:val="18"/>
                <w:szCs w:val="21"/>
              </w:rPr>
            </w:pPr>
            <w:r>
              <w:rPr>
                <w:rFonts w:hint="eastAsia" w:ascii="Arial" w:hAnsi="Arial" w:eastAsia="华文细黑" w:cs="Arial"/>
                <w:sz w:val="18"/>
                <w:szCs w:val="21"/>
              </w:rPr>
              <w:t>板楼</w:t>
            </w:r>
          </w:p>
        </w:tc>
      </w:tr>
      <w:tr w14:paraId="1788AA3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continue"/>
            <w:noWrap/>
            <w:tcMar>
              <w:top w:w="85" w:type="dxa"/>
              <w:left w:w="85" w:type="dxa"/>
              <w:bottom w:w="85" w:type="dxa"/>
              <w:right w:w="28" w:type="dxa"/>
            </w:tcMar>
            <w:vAlign w:val="center"/>
          </w:tcPr>
          <w:p w14:paraId="120A0BC4">
            <w:pPr>
              <w:spacing w:line="240" w:lineRule="auto"/>
              <w:rPr>
                <w:rFonts w:ascii="Arial" w:hAnsi="Arial" w:eastAsia="华文细黑" w:cs="Arial"/>
                <w:sz w:val="18"/>
                <w:szCs w:val="21"/>
              </w:rPr>
            </w:pPr>
          </w:p>
        </w:tc>
        <w:tc>
          <w:tcPr>
            <w:tcW w:w="1652" w:type="dxa"/>
            <w:gridSpan w:val="3"/>
            <w:tcMar>
              <w:top w:w="85" w:type="dxa"/>
              <w:left w:w="85" w:type="dxa"/>
              <w:bottom w:w="85" w:type="dxa"/>
              <w:right w:w="28" w:type="dxa"/>
            </w:tcMar>
            <w:vAlign w:val="center"/>
          </w:tcPr>
          <w:p w14:paraId="26722BE8">
            <w:pPr>
              <w:spacing w:line="240" w:lineRule="auto"/>
              <w:rPr>
                <w:rFonts w:ascii="Arial" w:hAnsi="Arial" w:eastAsia="华文细黑" w:cs="Arial"/>
                <w:sz w:val="18"/>
                <w:szCs w:val="21"/>
              </w:rPr>
            </w:pPr>
            <w:r>
              <w:rPr>
                <w:rFonts w:hint="eastAsia" w:ascii="Arial" w:hAnsi="Arial" w:eastAsia="华文细黑" w:cs="Arial"/>
                <w:sz w:val="18"/>
                <w:szCs w:val="21"/>
              </w:rPr>
              <w:t>外墙面</w:t>
            </w:r>
          </w:p>
        </w:tc>
        <w:tc>
          <w:tcPr>
            <w:tcW w:w="7254" w:type="dxa"/>
            <w:gridSpan w:val="7"/>
            <w:noWrap/>
            <w:tcMar>
              <w:top w:w="85" w:type="dxa"/>
              <w:left w:w="85" w:type="dxa"/>
              <w:bottom w:w="85" w:type="dxa"/>
              <w:right w:w="28" w:type="dxa"/>
            </w:tcMar>
            <w:vAlign w:val="center"/>
          </w:tcPr>
          <w:p w14:paraId="050B249F">
            <w:pPr>
              <w:tabs>
                <w:tab w:val="left" w:pos="995"/>
              </w:tabs>
              <w:spacing w:line="240" w:lineRule="auto"/>
              <w:outlineLvl w:val="0"/>
              <w:rPr>
                <w:rFonts w:ascii="Arial" w:hAnsi="Arial" w:eastAsia="华文细黑" w:cs="Arial"/>
                <w:sz w:val="18"/>
                <w:szCs w:val="21"/>
              </w:rPr>
            </w:pPr>
            <w:r>
              <w:rPr>
                <w:rFonts w:hint="eastAsia" w:ascii="Arial" w:hAnsi="Arial" w:eastAsia="华文细黑" w:cs="Arial"/>
                <w:sz w:val="18"/>
                <w:szCs w:val="21"/>
              </w:rPr>
              <w:t>墙砖、涂料</w:t>
            </w:r>
          </w:p>
        </w:tc>
      </w:tr>
      <w:tr w14:paraId="7E6CAC8C">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continue"/>
            <w:noWrap/>
            <w:tcMar>
              <w:top w:w="85" w:type="dxa"/>
              <w:left w:w="85" w:type="dxa"/>
              <w:bottom w:w="85" w:type="dxa"/>
              <w:right w:w="28" w:type="dxa"/>
            </w:tcMar>
            <w:vAlign w:val="center"/>
          </w:tcPr>
          <w:p w14:paraId="70F72AF7">
            <w:pPr>
              <w:spacing w:line="240" w:lineRule="auto"/>
              <w:rPr>
                <w:rFonts w:ascii="Arial" w:hAnsi="Arial" w:eastAsia="华文细黑" w:cs="Arial"/>
                <w:sz w:val="18"/>
                <w:szCs w:val="21"/>
              </w:rPr>
            </w:pPr>
          </w:p>
        </w:tc>
        <w:tc>
          <w:tcPr>
            <w:tcW w:w="1652" w:type="dxa"/>
            <w:gridSpan w:val="3"/>
            <w:tcMar>
              <w:top w:w="85" w:type="dxa"/>
              <w:left w:w="85" w:type="dxa"/>
              <w:bottom w:w="85" w:type="dxa"/>
              <w:right w:w="28" w:type="dxa"/>
            </w:tcMar>
            <w:vAlign w:val="center"/>
          </w:tcPr>
          <w:p w14:paraId="553832E6">
            <w:pPr>
              <w:spacing w:after="48" w:afterLines="20" w:line="240" w:lineRule="auto"/>
              <w:rPr>
                <w:rFonts w:ascii="Arial" w:hAnsi="Arial" w:eastAsia="华文细黑" w:cs="Arial"/>
                <w:sz w:val="18"/>
                <w:szCs w:val="21"/>
              </w:rPr>
            </w:pPr>
            <w:r>
              <w:rPr>
                <w:rFonts w:hint="eastAsia" w:ascii="Arial" w:hAnsi="Arial" w:eastAsia="华文细黑" w:cs="Arial"/>
                <w:sz w:val="18"/>
                <w:szCs w:val="21"/>
              </w:rPr>
              <w:t>位置</w:t>
            </w:r>
          </w:p>
        </w:tc>
        <w:tc>
          <w:tcPr>
            <w:tcW w:w="1261" w:type="dxa"/>
            <w:noWrap/>
            <w:tcMar>
              <w:top w:w="85" w:type="dxa"/>
              <w:left w:w="85" w:type="dxa"/>
              <w:bottom w:w="85" w:type="dxa"/>
              <w:right w:w="28" w:type="dxa"/>
            </w:tcMar>
            <w:vAlign w:val="center"/>
          </w:tcPr>
          <w:p w14:paraId="6805946B">
            <w:pPr>
              <w:spacing w:after="48" w:afterLines="20" w:line="240" w:lineRule="auto"/>
              <w:rPr>
                <w:rFonts w:ascii="Arial" w:hAnsi="Arial" w:eastAsia="华文细黑" w:cs="Arial"/>
                <w:sz w:val="18"/>
                <w:szCs w:val="21"/>
              </w:rPr>
            </w:pPr>
            <w:r>
              <w:rPr>
                <w:rFonts w:hint="eastAsia" w:ascii="Arial" w:hAnsi="Arial" w:eastAsia="华文细黑" w:cs="Arial"/>
                <w:sz w:val="18"/>
                <w:szCs w:val="21"/>
              </w:rPr>
              <w:t>顶棚</w:t>
            </w:r>
          </w:p>
        </w:tc>
        <w:tc>
          <w:tcPr>
            <w:tcW w:w="1237" w:type="dxa"/>
            <w:gridSpan w:val="2"/>
            <w:tcMar>
              <w:top w:w="85" w:type="dxa"/>
              <w:left w:w="85" w:type="dxa"/>
              <w:bottom w:w="85" w:type="dxa"/>
              <w:right w:w="28" w:type="dxa"/>
            </w:tcMar>
            <w:vAlign w:val="center"/>
          </w:tcPr>
          <w:p w14:paraId="391BB82B">
            <w:pPr>
              <w:spacing w:after="48" w:afterLines="20" w:line="240" w:lineRule="auto"/>
              <w:rPr>
                <w:rFonts w:ascii="Arial" w:hAnsi="Arial" w:eastAsia="华文细黑" w:cs="Arial"/>
                <w:sz w:val="18"/>
                <w:szCs w:val="21"/>
              </w:rPr>
            </w:pPr>
            <w:r>
              <w:rPr>
                <w:rFonts w:hint="eastAsia" w:ascii="Arial" w:hAnsi="Arial" w:eastAsia="华文细黑" w:cs="Arial"/>
                <w:sz w:val="18"/>
                <w:szCs w:val="21"/>
              </w:rPr>
              <w:t>墙面</w:t>
            </w:r>
          </w:p>
        </w:tc>
        <w:tc>
          <w:tcPr>
            <w:tcW w:w="1238" w:type="dxa"/>
            <w:tcMar>
              <w:top w:w="85" w:type="dxa"/>
              <w:left w:w="85" w:type="dxa"/>
              <w:bottom w:w="85" w:type="dxa"/>
              <w:right w:w="28" w:type="dxa"/>
            </w:tcMar>
            <w:vAlign w:val="center"/>
          </w:tcPr>
          <w:p w14:paraId="777527A7">
            <w:pPr>
              <w:spacing w:after="48" w:afterLines="20" w:line="240" w:lineRule="auto"/>
              <w:rPr>
                <w:rFonts w:ascii="Arial" w:hAnsi="Arial" w:eastAsia="华文细黑" w:cs="Arial"/>
                <w:sz w:val="18"/>
                <w:szCs w:val="21"/>
              </w:rPr>
            </w:pPr>
            <w:r>
              <w:rPr>
                <w:rFonts w:hint="eastAsia" w:ascii="Arial" w:hAnsi="Arial" w:eastAsia="华文细黑" w:cs="Arial"/>
                <w:sz w:val="18"/>
                <w:szCs w:val="21"/>
              </w:rPr>
              <w:t>地面</w:t>
            </w:r>
          </w:p>
        </w:tc>
        <w:tc>
          <w:tcPr>
            <w:tcW w:w="3518" w:type="dxa"/>
            <w:gridSpan w:val="3"/>
            <w:tcMar>
              <w:top w:w="85" w:type="dxa"/>
              <w:left w:w="85" w:type="dxa"/>
              <w:bottom w:w="85" w:type="dxa"/>
              <w:right w:w="28" w:type="dxa"/>
            </w:tcMar>
            <w:vAlign w:val="center"/>
          </w:tcPr>
          <w:p w14:paraId="647F304B">
            <w:pPr>
              <w:pStyle w:val="2"/>
              <w:numPr>
                <w:ilvl w:val="0"/>
                <w:numId w:val="0"/>
              </w:numPr>
              <w:spacing w:line="240" w:lineRule="auto"/>
              <w:jc w:val="left"/>
              <w:rPr>
                <w:rFonts w:eastAsia="华文细黑"/>
                <w:b w:val="0"/>
                <w:sz w:val="18"/>
                <w:szCs w:val="21"/>
              </w:rPr>
            </w:pPr>
            <w:r>
              <w:rPr>
                <w:rFonts w:hint="eastAsia" w:eastAsia="华文细黑"/>
                <w:b w:val="0"/>
                <w:kern w:val="2"/>
                <w:sz w:val="18"/>
                <w:szCs w:val="21"/>
              </w:rPr>
              <w:t>建筑装饰配件及附属设备</w:t>
            </w:r>
          </w:p>
        </w:tc>
      </w:tr>
      <w:tr w14:paraId="4DB9E9F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continue"/>
            <w:noWrap/>
            <w:tcMar>
              <w:top w:w="85" w:type="dxa"/>
              <w:left w:w="85" w:type="dxa"/>
              <w:bottom w:w="85" w:type="dxa"/>
              <w:right w:w="28" w:type="dxa"/>
            </w:tcMar>
            <w:vAlign w:val="center"/>
          </w:tcPr>
          <w:p w14:paraId="2A246801">
            <w:pPr>
              <w:spacing w:line="240" w:lineRule="auto"/>
              <w:rPr>
                <w:rFonts w:ascii="Arial" w:hAnsi="Arial" w:eastAsia="华文细黑" w:cs="Arial"/>
                <w:sz w:val="18"/>
                <w:szCs w:val="21"/>
              </w:rPr>
            </w:pPr>
          </w:p>
        </w:tc>
        <w:tc>
          <w:tcPr>
            <w:tcW w:w="1652" w:type="dxa"/>
            <w:gridSpan w:val="3"/>
            <w:tcMar>
              <w:top w:w="85" w:type="dxa"/>
              <w:left w:w="85" w:type="dxa"/>
              <w:bottom w:w="85" w:type="dxa"/>
              <w:right w:w="28" w:type="dxa"/>
            </w:tcMar>
            <w:vAlign w:val="center"/>
          </w:tcPr>
          <w:p w14:paraId="51B6ACA1">
            <w:pPr>
              <w:spacing w:after="48" w:afterLines="20" w:line="240" w:lineRule="auto"/>
              <w:rPr>
                <w:rFonts w:ascii="Arial" w:hAnsi="Arial" w:eastAsia="华文细黑" w:cs="Arial"/>
                <w:sz w:val="18"/>
                <w:szCs w:val="21"/>
              </w:rPr>
            </w:pPr>
            <w:r>
              <w:rPr>
                <w:rFonts w:hint="eastAsia" w:ascii="Arial" w:hAnsi="Arial" w:eastAsia="华文细黑" w:cs="Arial"/>
                <w:sz w:val="18"/>
                <w:szCs w:val="21"/>
              </w:rPr>
              <w:t>集体租赁住房</w:t>
            </w:r>
          </w:p>
        </w:tc>
        <w:tc>
          <w:tcPr>
            <w:tcW w:w="7254" w:type="dxa"/>
            <w:gridSpan w:val="7"/>
            <w:vMerge w:val="restart"/>
            <w:noWrap/>
            <w:tcMar>
              <w:top w:w="85" w:type="dxa"/>
              <w:left w:w="85" w:type="dxa"/>
              <w:bottom w:w="85" w:type="dxa"/>
              <w:right w:w="28" w:type="dxa"/>
            </w:tcMar>
            <w:vAlign w:val="center"/>
          </w:tcPr>
          <w:p w14:paraId="68097427">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设定为毛坯</w:t>
            </w:r>
          </w:p>
        </w:tc>
      </w:tr>
      <w:tr w14:paraId="2E897C5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continue"/>
            <w:noWrap/>
            <w:tcMar>
              <w:top w:w="85" w:type="dxa"/>
              <w:left w:w="85" w:type="dxa"/>
              <w:bottom w:w="85" w:type="dxa"/>
              <w:right w:w="28" w:type="dxa"/>
            </w:tcMar>
            <w:vAlign w:val="center"/>
          </w:tcPr>
          <w:p w14:paraId="705079FF">
            <w:pPr>
              <w:spacing w:line="240" w:lineRule="auto"/>
              <w:rPr>
                <w:rFonts w:ascii="Arial" w:hAnsi="Arial" w:eastAsia="华文细黑" w:cs="Arial"/>
                <w:sz w:val="18"/>
                <w:szCs w:val="21"/>
              </w:rPr>
            </w:pPr>
          </w:p>
        </w:tc>
        <w:tc>
          <w:tcPr>
            <w:tcW w:w="1652" w:type="dxa"/>
            <w:gridSpan w:val="3"/>
            <w:tcMar>
              <w:top w:w="85" w:type="dxa"/>
              <w:left w:w="85" w:type="dxa"/>
              <w:bottom w:w="85" w:type="dxa"/>
              <w:right w:w="28" w:type="dxa"/>
            </w:tcMar>
            <w:vAlign w:val="center"/>
          </w:tcPr>
          <w:p w14:paraId="5A65155C">
            <w:pPr>
              <w:spacing w:after="48" w:afterLines="20" w:line="240" w:lineRule="auto"/>
              <w:rPr>
                <w:rFonts w:ascii="Arial" w:hAnsi="Arial" w:eastAsia="华文细黑" w:cs="Arial"/>
                <w:sz w:val="18"/>
                <w:szCs w:val="21"/>
              </w:rPr>
            </w:pPr>
            <w:r>
              <w:rPr>
                <w:rFonts w:hint="eastAsia" w:ascii="Arial" w:hAnsi="Arial" w:eastAsia="华文细黑" w:cs="Arial"/>
                <w:sz w:val="18"/>
                <w:szCs w:val="21"/>
              </w:rPr>
              <w:t>配套用房</w:t>
            </w:r>
          </w:p>
        </w:tc>
        <w:tc>
          <w:tcPr>
            <w:tcW w:w="7254" w:type="dxa"/>
            <w:gridSpan w:val="7"/>
            <w:vMerge w:val="continue"/>
            <w:noWrap/>
            <w:tcMar>
              <w:top w:w="85" w:type="dxa"/>
              <w:left w:w="85" w:type="dxa"/>
              <w:bottom w:w="85" w:type="dxa"/>
              <w:right w:w="28" w:type="dxa"/>
            </w:tcMar>
            <w:vAlign w:val="center"/>
          </w:tcPr>
          <w:p w14:paraId="72F14FA6">
            <w:pPr>
              <w:pStyle w:val="2"/>
              <w:numPr>
                <w:ilvl w:val="0"/>
                <w:numId w:val="0"/>
              </w:numPr>
              <w:spacing w:line="240" w:lineRule="auto"/>
              <w:jc w:val="left"/>
              <w:rPr>
                <w:rFonts w:eastAsia="华文细黑"/>
                <w:b w:val="0"/>
                <w:kern w:val="2"/>
                <w:sz w:val="18"/>
                <w:szCs w:val="21"/>
              </w:rPr>
            </w:pPr>
          </w:p>
        </w:tc>
      </w:tr>
      <w:tr w14:paraId="47B0B26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6B747C02">
            <w:pPr>
              <w:spacing w:line="240" w:lineRule="auto"/>
              <w:rPr>
                <w:rFonts w:ascii="Arial" w:hAnsi="Arial" w:eastAsia="华文细黑" w:cs="Arial"/>
                <w:sz w:val="18"/>
                <w:szCs w:val="21"/>
              </w:rPr>
            </w:pPr>
            <w:r>
              <w:rPr>
                <w:rFonts w:hint="eastAsia" w:ascii="Arial" w:hAnsi="Arial" w:eastAsia="华文细黑" w:cs="Arial"/>
                <w:sz w:val="18"/>
                <w:szCs w:val="21"/>
              </w:rPr>
              <w:t>供水系统</w:t>
            </w:r>
          </w:p>
        </w:tc>
        <w:tc>
          <w:tcPr>
            <w:tcW w:w="7254" w:type="dxa"/>
            <w:gridSpan w:val="7"/>
            <w:noWrap/>
            <w:tcMar>
              <w:top w:w="85" w:type="dxa"/>
              <w:left w:w="85" w:type="dxa"/>
              <w:bottom w:w="85" w:type="dxa"/>
              <w:right w:w="28" w:type="dxa"/>
            </w:tcMar>
            <w:vAlign w:val="center"/>
          </w:tcPr>
          <w:p w14:paraId="6EC64778">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市政管网供水</w:t>
            </w:r>
          </w:p>
        </w:tc>
      </w:tr>
      <w:tr w14:paraId="2F45B053">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60B97508">
            <w:pPr>
              <w:spacing w:line="240" w:lineRule="auto"/>
              <w:rPr>
                <w:rFonts w:ascii="Arial" w:hAnsi="Arial" w:eastAsia="华文细黑" w:cs="Arial"/>
                <w:sz w:val="18"/>
                <w:szCs w:val="21"/>
              </w:rPr>
            </w:pPr>
            <w:r>
              <w:rPr>
                <w:rFonts w:hint="eastAsia" w:ascii="Arial" w:hAnsi="Arial" w:eastAsia="华文细黑" w:cs="Arial"/>
                <w:sz w:val="18"/>
                <w:szCs w:val="21"/>
              </w:rPr>
              <w:t>排水系统</w:t>
            </w:r>
          </w:p>
        </w:tc>
        <w:tc>
          <w:tcPr>
            <w:tcW w:w="7254" w:type="dxa"/>
            <w:gridSpan w:val="7"/>
            <w:noWrap/>
            <w:tcMar>
              <w:top w:w="85" w:type="dxa"/>
              <w:left w:w="85" w:type="dxa"/>
              <w:bottom w:w="85" w:type="dxa"/>
              <w:right w:w="28" w:type="dxa"/>
            </w:tcMar>
            <w:vAlign w:val="center"/>
          </w:tcPr>
          <w:p w14:paraId="45CB9CA8">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市政管网排水</w:t>
            </w:r>
          </w:p>
        </w:tc>
      </w:tr>
      <w:tr w14:paraId="27F24B1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1F8A2B15">
            <w:pPr>
              <w:spacing w:line="240" w:lineRule="auto"/>
              <w:rPr>
                <w:rFonts w:ascii="Arial" w:hAnsi="Arial" w:eastAsia="华文细黑" w:cs="Arial"/>
                <w:sz w:val="18"/>
                <w:szCs w:val="21"/>
              </w:rPr>
            </w:pPr>
            <w:r>
              <w:rPr>
                <w:rFonts w:hint="eastAsia" w:ascii="Arial" w:hAnsi="Arial" w:eastAsia="华文细黑" w:cs="Arial"/>
                <w:sz w:val="18"/>
                <w:szCs w:val="21"/>
              </w:rPr>
              <w:t>供电系统</w:t>
            </w:r>
          </w:p>
        </w:tc>
        <w:tc>
          <w:tcPr>
            <w:tcW w:w="7254" w:type="dxa"/>
            <w:gridSpan w:val="7"/>
            <w:noWrap/>
            <w:tcMar>
              <w:top w:w="85" w:type="dxa"/>
              <w:left w:w="85" w:type="dxa"/>
              <w:bottom w:w="85" w:type="dxa"/>
              <w:right w:w="28" w:type="dxa"/>
            </w:tcMar>
            <w:vAlign w:val="center"/>
          </w:tcPr>
          <w:p w14:paraId="12A390AF">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市政供电</w:t>
            </w:r>
          </w:p>
        </w:tc>
      </w:tr>
      <w:tr w14:paraId="34102AC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15367537">
            <w:pPr>
              <w:spacing w:line="240" w:lineRule="auto"/>
              <w:rPr>
                <w:rFonts w:ascii="Arial" w:hAnsi="Arial" w:eastAsia="华文细黑" w:cs="Arial"/>
                <w:sz w:val="18"/>
                <w:szCs w:val="21"/>
              </w:rPr>
            </w:pPr>
            <w:r>
              <w:rPr>
                <w:rFonts w:hint="eastAsia" w:ascii="Arial" w:hAnsi="Arial" w:eastAsia="华文细黑" w:cs="Arial"/>
                <w:sz w:val="18"/>
                <w:szCs w:val="21"/>
              </w:rPr>
              <w:t>采暖系统</w:t>
            </w:r>
          </w:p>
        </w:tc>
        <w:tc>
          <w:tcPr>
            <w:tcW w:w="7254" w:type="dxa"/>
            <w:gridSpan w:val="7"/>
            <w:noWrap/>
            <w:tcMar>
              <w:top w:w="85" w:type="dxa"/>
              <w:left w:w="85" w:type="dxa"/>
              <w:bottom w:w="85" w:type="dxa"/>
              <w:right w:w="28" w:type="dxa"/>
            </w:tcMar>
            <w:vAlign w:val="center"/>
          </w:tcPr>
          <w:p w14:paraId="653B6EA2">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小区集中供暖</w:t>
            </w:r>
          </w:p>
        </w:tc>
      </w:tr>
      <w:tr w14:paraId="5FFEEB7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6B45B350">
            <w:pPr>
              <w:spacing w:line="240" w:lineRule="auto"/>
              <w:rPr>
                <w:rFonts w:ascii="Arial" w:hAnsi="Arial" w:eastAsia="华文细黑" w:cs="Arial"/>
                <w:sz w:val="18"/>
                <w:szCs w:val="21"/>
              </w:rPr>
            </w:pPr>
            <w:r>
              <w:rPr>
                <w:rFonts w:hint="eastAsia" w:ascii="Arial" w:hAnsi="Arial" w:eastAsia="华文细黑" w:cs="Arial"/>
                <w:sz w:val="18"/>
                <w:szCs w:val="21"/>
              </w:rPr>
              <w:t>燃气系统</w:t>
            </w:r>
          </w:p>
        </w:tc>
        <w:tc>
          <w:tcPr>
            <w:tcW w:w="7254" w:type="dxa"/>
            <w:gridSpan w:val="7"/>
            <w:noWrap/>
            <w:tcMar>
              <w:top w:w="85" w:type="dxa"/>
              <w:left w:w="85" w:type="dxa"/>
              <w:bottom w:w="85" w:type="dxa"/>
              <w:right w:w="28" w:type="dxa"/>
            </w:tcMar>
            <w:vAlign w:val="center"/>
          </w:tcPr>
          <w:p w14:paraId="6BFCE58B">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无</w:t>
            </w:r>
          </w:p>
        </w:tc>
      </w:tr>
      <w:tr w14:paraId="7515F30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519C630A">
            <w:pPr>
              <w:spacing w:line="240" w:lineRule="auto"/>
              <w:rPr>
                <w:rFonts w:ascii="Arial" w:hAnsi="Arial" w:eastAsia="华文细黑" w:cs="Arial"/>
                <w:sz w:val="18"/>
                <w:szCs w:val="21"/>
              </w:rPr>
            </w:pPr>
            <w:r>
              <w:rPr>
                <w:rFonts w:hint="eastAsia" w:ascii="Arial" w:hAnsi="Arial" w:eastAsia="华文细黑" w:cs="Arial"/>
                <w:sz w:val="18"/>
                <w:szCs w:val="21"/>
              </w:rPr>
              <w:t>空调系统</w:t>
            </w:r>
          </w:p>
        </w:tc>
        <w:tc>
          <w:tcPr>
            <w:tcW w:w="7254" w:type="dxa"/>
            <w:gridSpan w:val="7"/>
            <w:noWrap/>
            <w:tcMar>
              <w:top w:w="85" w:type="dxa"/>
              <w:left w:w="85" w:type="dxa"/>
              <w:bottom w:w="85" w:type="dxa"/>
              <w:right w:w="28" w:type="dxa"/>
            </w:tcMar>
            <w:vAlign w:val="center"/>
          </w:tcPr>
          <w:p w14:paraId="7790478D">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分体挂壁式空调</w:t>
            </w:r>
          </w:p>
        </w:tc>
      </w:tr>
      <w:tr w14:paraId="4AABDD55">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6618D7F6">
            <w:pPr>
              <w:spacing w:line="240" w:lineRule="auto"/>
              <w:rPr>
                <w:rFonts w:ascii="Arial" w:hAnsi="Arial" w:eastAsia="华文细黑" w:cs="Arial"/>
                <w:sz w:val="18"/>
                <w:szCs w:val="21"/>
              </w:rPr>
            </w:pPr>
            <w:r>
              <w:rPr>
                <w:rFonts w:hint="eastAsia" w:ascii="Arial" w:hAnsi="Arial" w:eastAsia="华文细黑" w:cs="Arial"/>
                <w:sz w:val="18"/>
                <w:szCs w:val="21"/>
              </w:rPr>
              <w:t>通讯系统</w:t>
            </w:r>
          </w:p>
        </w:tc>
        <w:tc>
          <w:tcPr>
            <w:tcW w:w="7254" w:type="dxa"/>
            <w:gridSpan w:val="7"/>
            <w:noWrap/>
            <w:tcMar>
              <w:top w:w="85" w:type="dxa"/>
              <w:left w:w="85" w:type="dxa"/>
              <w:bottom w:w="85" w:type="dxa"/>
              <w:right w:w="28" w:type="dxa"/>
            </w:tcMar>
            <w:vAlign w:val="center"/>
          </w:tcPr>
          <w:p w14:paraId="6221EDC7">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电话线入楼、有线电视入楼、宽带入楼</w:t>
            </w:r>
          </w:p>
        </w:tc>
      </w:tr>
      <w:tr w14:paraId="39D9D6C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3E56F140">
            <w:pPr>
              <w:spacing w:line="240" w:lineRule="auto"/>
              <w:rPr>
                <w:rFonts w:ascii="Arial" w:hAnsi="Arial" w:eastAsia="华文细黑" w:cs="Arial"/>
                <w:sz w:val="18"/>
                <w:szCs w:val="21"/>
              </w:rPr>
            </w:pPr>
            <w:r>
              <w:rPr>
                <w:rFonts w:hint="eastAsia" w:ascii="Arial" w:hAnsi="Arial" w:eastAsia="华文细黑" w:cs="Arial"/>
                <w:sz w:val="18"/>
                <w:szCs w:val="21"/>
              </w:rPr>
              <w:t>消防系统</w:t>
            </w:r>
          </w:p>
        </w:tc>
        <w:tc>
          <w:tcPr>
            <w:tcW w:w="7254" w:type="dxa"/>
            <w:gridSpan w:val="7"/>
            <w:noWrap/>
            <w:tcMar>
              <w:top w:w="85" w:type="dxa"/>
              <w:left w:w="85" w:type="dxa"/>
              <w:bottom w:w="85" w:type="dxa"/>
              <w:right w:w="28" w:type="dxa"/>
            </w:tcMar>
            <w:vAlign w:val="center"/>
          </w:tcPr>
          <w:p w14:paraId="28720941">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消防栓、自动喷淋装置、火灾报警器</w:t>
            </w:r>
          </w:p>
        </w:tc>
      </w:tr>
      <w:tr w14:paraId="549D5A8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7510A9A3">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安保系统</w:t>
            </w:r>
          </w:p>
        </w:tc>
        <w:tc>
          <w:tcPr>
            <w:tcW w:w="7254" w:type="dxa"/>
            <w:gridSpan w:val="7"/>
            <w:noWrap/>
            <w:tcMar>
              <w:top w:w="85" w:type="dxa"/>
              <w:left w:w="85" w:type="dxa"/>
              <w:bottom w:w="85" w:type="dxa"/>
              <w:right w:w="28" w:type="dxa"/>
            </w:tcMar>
            <w:vAlign w:val="center"/>
          </w:tcPr>
          <w:p w14:paraId="1B48D844">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保安、监控摄像头</w:t>
            </w:r>
          </w:p>
        </w:tc>
      </w:tr>
      <w:tr w14:paraId="469F140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33A6E53B">
            <w:pPr>
              <w:spacing w:line="240" w:lineRule="auto"/>
              <w:rPr>
                <w:rFonts w:ascii="Arial" w:hAnsi="Arial" w:eastAsia="华文细黑" w:cs="Arial"/>
                <w:sz w:val="18"/>
                <w:szCs w:val="21"/>
              </w:rPr>
            </w:pPr>
            <w:r>
              <w:rPr>
                <w:rFonts w:hint="eastAsia" w:ascii="Arial" w:hAnsi="Arial" w:eastAsia="华文细黑" w:cs="Arial"/>
                <w:sz w:val="18"/>
                <w:szCs w:val="21"/>
              </w:rPr>
              <w:t>物业管理</w:t>
            </w:r>
          </w:p>
        </w:tc>
        <w:tc>
          <w:tcPr>
            <w:tcW w:w="7254" w:type="dxa"/>
            <w:gridSpan w:val="7"/>
            <w:noWrap/>
            <w:tcMar>
              <w:top w:w="85" w:type="dxa"/>
              <w:left w:w="85" w:type="dxa"/>
              <w:bottom w:w="85" w:type="dxa"/>
              <w:right w:w="28" w:type="dxa"/>
            </w:tcMar>
            <w:vAlign w:val="center"/>
          </w:tcPr>
          <w:p w14:paraId="24B4C966">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物业公司管理</w:t>
            </w:r>
          </w:p>
        </w:tc>
      </w:tr>
      <w:tr w14:paraId="4233E55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5FD09022">
            <w:pPr>
              <w:spacing w:line="240" w:lineRule="auto"/>
              <w:rPr>
                <w:rFonts w:ascii="Arial" w:hAnsi="Arial" w:eastAsia="华文细黑" w:cs="Arial"/>
                <w:sz w:val="18"/>
                <w:szCs w:val="21"/>
              </w:rPr>
            </w:pPr>
            <w:r>
              <w:rPr>
                <w:rFonts w:hint="eastAsia" w:ascii="Arial" w:hAnsi="Arial" w:eastAsia="华文细黑" w:cs="Arial"/>
                <w:sz w:val="18"/>
                <w:szCs w:val="21"/>
              </w:rPr>
              <w:t>项目</w:t>
            </w:r>
          </w:p>
        </w:tc>
        <w:tc>
          <w:tcPr>
            <w:tcW w:w="7254" w:type="dxa"/>
            <w:gridSpan w:val="7"/>
            <w:noWrap/>
            <w:tcMar>
              <w:top w:w="85" w:type="dxa"/>
              <w:left w:w="85" w:type="dxa"/>
              <w:bottom w:w="85" w:type="dxa"/>
              <w:right w:w="28" w:type="dxa"/>
            </w:tcMar>
            <w:vAlign w:val="center"/>
          </w:tcPr>
          <w:p w14:paraId="5F3653A6">
            <w:pPr>
              <w:spacing w:line="240" w:lineRule="auto"/>
              <w:rPr>
                <w:rFonts w:ascii="Arial" w:hAnsi="Arial" w:eastAsia="华文细黑" w:cs="Arial"/>
                <w:sz w:val="18"/>
                <w:szCs w:val="21"/>
              </w:rPr>
            </w:pPr>
            <w:r>
              <w:rPr>
                <w:rFonts w:hint="eastAsia" w:ascii="Arial" w:hAnsi="Arial" w:eastAsia="华文细黑" w:cs="Arial"/>
                <w:sz w:val="18"/>
                <w:szCs w:val="21"/>
              </w:rPr>
              <w:t>折旧程度</w:t>
            </w:r>
          </w:p>
        </w:tc>
      </w:tr>
      <w:tr w14:paraId="033F330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restart"/>
            <w:noWrap/>
            <w:tcMar>
              <w:top w:w="85" w:type="dxa"/>
              <w:left w:w="85" w:type="dxa"/>
              <w:bottom w:w="85" w:type="dxa"/>
              <w:right w:w="28" w:type="dxa"/>
            </w:tcMar>
            <w:vAlign w:val="center"/>
          </w:tcPr>
          <w:p w14:paraId="5BF212DF">
            <w:pPr>
              <w:spacing w:line="240" w:lineRule="auto"/>
              <w:rPr>
                <w:rFonts w:ascii="Arial" w:hAnsi="Arial" w:eastAsia="华文细黑" w:cs="Arial"/>
                <w:sz w:val="18"/>
                <w:szCs w:val="21"/>
              </w:rPr>
            </w:pPr>
            <w:r>
              <w:rPr>
                <w:rFonts w:hint="eastAsia" w:ascii="Arial" w:hAnsi="Arial" w:eastAsia="华文细黑" w:cs="Arial"/>
                <w:sz w:val="18"/>
                <w:szCs w:val="21"/>
              </w:rPr>
              <w:t>装修、</w:t>
            </w:r>
          </w:p>
          <w:p w14:paraId="70CACDCD">
            <w:pPr>
              <w:spacing w:line="240" w:lineRule="auto"/>
              <w:rPr>
                <w:rFonts w:ascii="Arial" w:hAnsi="Arial" w:eastAsia="华文细黑" w:cs="Arial"/>
                <w:sz w:val="18"/>
                <w:szCs w:val="21"/>
              </w:rPr>
            </w:pPr>
            <w:r>
              <w:rPr>
                <w:rFonts w:hint="eastAsia" w:ascii="Arial" w:hAnsi="Arial" w:eastAsia="华文细黑" w:cs="Arial"/>
                <w:sz w:val="18"/>
                <w:szCs w:val="21"/>
              </w:rPr>
              <w:t>部分</w:t>
            </w:r>
          </w:p>
        </w:tc>
        <w:tc>
          <w:tcPr>
            <w:tcW w:w="1475" w:type="dxa"/>
            <w:gridSpan w:val="2"/>
            <w:tcMar>
              <w:top w:w="85" w:type="dxa"/>
              <w:left w:w="85" w:type="dxa"/>
              <w:bottom w:w="85" w:type="dxa"/>
              <w:right w:w="28" w:type="dxa"/>
            </w:tcMar>
            <w:vAlign w:val="center"/>
          </w:tcPr>
          <w:p w14:paraId="2F4614AE">
            <w:pPr>
              <w:spacing w:line="240" w:lineRule="auto"/>
              <w:rPr>
                <w:rFonts w:ascii="Arial" w:hAnsi="Arial" w:eastAsia="华文细黑" w:cs="Arial"/>
                <w:sz w:val="18"/>
                <w:szCs w:val="21"/>
              </w:rPr>
            </w:pPr>
            <w:r>
              <w:rPr>
                <w:rFonts w:hint="eastAsia" w:ascii="Arial" w:hAnsi="Arial" w:eastAsia="华文细黑" w:cs="Arial"/>
                <w:sz w:val="18"/>
                <w:szCs w:val="21"/>
              </w:rPr>
              <w:t>外墙面</w:t>
            </w:r>
          </w:p>
        </w:tc>
        <w:tc>
          <w:tcPr>
            <w:tcW w:w="7254" w:type="dxa"/>
            <w:gridSpan w:val="7"/>
            <w:noWrap/>
            <w:tcMar>
              <w:top w:w="85" w:type="dxa"/>
              <w:left w:w="85" w:type="dxa"/>
              <w:bottom w:w="85" w:type="dxa"/>
              <w:right w:w="28" w:type="dxa"/>
            </w:tcMar>
            <w:vAlign w:val="center"/>
          </w:tcPr>
          <w:p w14:paraId="2E941D92">
            <w:pPr>
              <w:spacing w:line="240" w:lineRule="auto"/>
              <w:rPr>
                <w:rFonts w:ascii="Arial" w:hAnsi="Arial" w:eastAsia="华文细黑" w:cs="Arial"/>
                <w:sz w:val="18"/>
                <w:szCs w:val="21"/>
              </w:rPr>
            </w:pPr>
            <w:r>
              <w:rPr>
                <w:rFonts w:hint="eastAsia" w:ascii="Arial" w:hAnsi="Arial" w:eastAsia="华文细黑" w:cs="Arial"/>
                <w:sz w:val="18"/>
                <w:szCs w:val="21"/>
              </w:rPr>
              <w:t>基本完好</w:t>
            </w:r>
          </w:p>
        </w:tc>
      </w:tr>
      <w:tr w14:paraId="6FFF6EA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2A951D83">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3599E423">
            <w:pPr>
              <w:spacing w:line="240" w:lineRule="auto"/>
              <w:rPr>
                <w:rFonts w:ascii="Arial" w:hAnsi="Arial" w:eastAsia="华文细黑" w:cs="Arial"/>
                <w:sz w:val="18"/>
                <w:szCs w:val="21"/>
              </w:rPr>
            </w:pPr>
            <w:r>
              <w:rPr>
                <w:rFonts w:hint="eastAsia" w:ascii="Arial" w:hAnsi="Arial" w:eastAsia="华文细黑" w:cs="Arial"/>
                <w:sz w:val="18"/>
                <w:szCs w:val="21"/>
              </w:rPr>
              <w:t>顶棚</w:t>
            </w:r>
          </w:p>
        </w:tc>
        <w:tc>
          <w:tcPr>
            <w:tcW w:w="7254" w:type="dxa"/>
            <w:gridSpan w:val="7"/>
            <w:noWrap/>
            <w:tcMar>
              <w:top w:w="85" w:type="dxa"/>
              <w:left w:w="85" w:type="dxa"/>
              <w:bottom w:w="85" w:type="dxa"/>
              <w:right w:w="28" w:type="dxa"/>
            </w:tcMar>
            <w:vAlign w:val="center"/>
          </w:tcPr>
          <w:p w14:paraId="6BD1F05F">
            <w:pPr>
              <w:spacing w:line="240" w:lineRule="auto"/>
              <w:rPr>
                <w:rFonts w:ascii="Arial" w:hAnsi="Arial" w:eastAsia="华文细黑" w:cs="Arial"/>
                <w:sz w:val="18"/>
                <w:szCs w:val="21"/>
              </w:rPr>
            </w:pPr>
            <w:r>
              <w:rPr>
                <w:rFonts w:hint="eastAsia" w:ascii="Arial" w:hAnsi="Arial" w:eastAsia="华文细黑" w:cs="Arial"/>
                <w:sz w:val="18"/>
                <w:szCs w:val="21"/>
              </w:rPr>
              <w:t>基本完好</w:t>
            </w:r>
          </w:p>
        </w:tc>
      </w:tr>
      <w:tr w14:paraId="0CE24AC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354536DE">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3B56A4A9">
            <w:pPr>
              <w:spacing w:line="240" w:lineRule="auto"/>
              <w:rPr>
                <w:rFonts w:ascii="Arial" w:hAnsi="Arial" w:eastAsia="华文细黑" w:cs="Arial"/>
                <w:sz w:val="18"/>
                <w:szCs w:val="21"/>
              </w:rPr>
            </w:pPr>
            <w:r>
              <w:rPr>
                <w:rFonts w:hint="eastAsia" w:ascii="Arial" w:hAnsi="Arial" w:eastAsia="华文细黑" w:cs="Arial"/>
                <w:sz w:val="18"/>
                <w:szCs w:val="21"/>
              </w:rPr>
              <w:t>内墙面</w:t>
            </w:r>
          </w:p>
        </w:tc>
        <w:tc>
          <w:tcPr>
            <w:tcW w:w="7254" w:type="dxa"/>
            <w:gridSpan w:val="7"/>
            <w:noWrap/>
            <w:tcMar>
              <w:top w:w="85" w:type="dxa"/>
              <w:left w:w="85" w:type="dxa"/>
              <w:bottom w:w="85" w:type="dxa"/>
              <w:right w:w="28" w:type="dxa"/>
            </w:tcMar>
            <w:vAlign w:val="center"/>
          </w:tcPr>
          <w:p w14:paraId="05F7C236">
            <w:pPr>
              <w:spacing w:line="240" w:lineRule="auto"/>
              <w:rPr>
                <w:rFonts w:ascii="Arial" w:hAnsi="Arial" w:eastAsia="华文细黑" w:cs="Arial"/>
                <w:sz w:val="18"/>
                <w:szCs w:val="21"/>
              </w:rPr>
            </w:pPr>
            <w:r>
              <w:rPr>
                <w:rFonts w:hint="eastAsia" w:ascii="Arial" w:hAnsi="Arial" w:eastAsia="华文细黑" w:cs="Arial"/>
                <w:sz w:val="18"/>
                <w:szCs w:val="21"/>
              </w:rPr>
              <w:t>基本完好，部分涂料脱落</w:t>
            </w:r>
          </w:p>
        </w:tc>
      </w:tr>
      <w:tr w14:paraId="159B4F5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605BF18F">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424EF468">
            <w:pPr>
              <w:spacing w:line="240" w:lineRule="auto"/>
              <w:rPr>
                <w:rFonts w:ascii="Arial" w:hAnsi="Arial" w:eastAsia="华文细黑" w:cs="Arial"/>
                <w:sz w:val="18"/>
                <w:szCs w:val="21"/>
              </w:rPr>
            </w:pPr>
            <w:r>
              <w:rPr>
                <w:rFonts w:hint="eastAsia" w:ascii="Arial" w:hAnsi="Arial" w:eastAsia="华文细黑" w:cs="Arial"/>
                <w:sz w:val="18"/>
                <w:szCs w:val="21"/>
              </w:rPr>
              <w:t>门窗</w:t>
            </w:r>
          </w:p>
        </w:tc>
        <w:tc>
          <w:tcPr>
            <w:tcW w:w="7254" w:type="dxa"/>
            <w:gridSpan w:val="7"/>
            <w:noWrap/>
            <w:tcMar>
              <w:top w:w="85" w:type="dxa"/>
              <w:left w:w="85" w:type="dxa"/>
              <w:bottom w:w="85" w:type="dxa"/>
              <w:right w:w="28" w:type="dxa"/>
            </w:tcMar>
            <w:vAlign w:val="center"/>
          </w:tcPr>
          <w:p w14:paraId="6A03247A">
            <w:pPr>
              <w:spacing w:line="240" w:lineRule="auto"/>
              <w:rPr>
                <w:rFonts w:ascii="Arial" w:hAnsi="Arial" w:eastAsia="华文细黑" w:cs="Arial"/>
                <w:sz w:val="18"/>
                <w:szCs w:val="21"/>
              </w:rPr>
            </w:pPr>
            <w:r>
              <w:rPr>
                <w:rFonts w:hint="eastAsia" w:ascii="Arial" w:hAnsi="Arial" w:eastAsia="华文细黑" w:cs="Arial"/>
                <w:sz w:val="18"/>
                <w:szCs w:val="21"/>
              </w:rPr>
              <w:t>基本完好</w:t>
            </w:r>
          </w:p>
        </w:tc>
      </w:tr>
      <w:tr w14:paraId="1B90C82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023F691E">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55B05354">
            <w:pPr>
              <w:spacing w:line="240" w:lineRule="auto"/>
              <w:rPr>
                <w:rFonts w:ascii="Arial" w:hAnsi="Arial" w:eastAsia="华文细黑" w:cs="Arial"/>
                <w:sz w:val="18"/>
                <w:szCs w:val="21"/>
              </w:rPr>
            </w:pPr>
            <w:r>
              <w:rPr>
                <w:rFonts w:hint="eastAsia" w:ascii="Arial" w:hAnsi="Arial" w:eastAsia="华文细黑" w:cs="Arial"/>
                <w:sz w:val="18"/>
                <w:szCs w:val="21"/>
              </w:rPr>
              <w:t>地面</w:t>
            </w:r>
          </w:p>
        </w:tc>
        <w:tc>
          <w:tcPr>
            <w:tcW w:w="7254" w:type="dxa"/>
            <w:gridSpan w:val="7"/>
            <w:noWrap/>
            <w:tcMar>
              <w:top w:w="85" w:type="dxa"/>
              <w:left w:w="85" w:type="dxa"/>
              <w:bottom w:w="85" w:type="dxa"/>
              <w:right w:w="28" w:type="dxa"/>
            </w:tcMar>
            <w:vAlign w:val="center"/>
          </w:tcPr>
          <w:p w14:paraId="68799688">
            <w:pPr>
              <w:spacing w:line="240" w:lineRule="auto"/>
              <w:rPr>
                <w:rFonts w:ascii="Arial" w:hAnsi="Arial" w:eastAsia="华文细黑" w:cs="Arial"/>
                <w:sz w:val="18"/>
                <w:szCs w:val="21"/>
              </w:rPr>
            </w:pPr>
            <w:r>
              <w:rPr>
                <w:rFonts w:hint="eastAsia" w:ascii="Arial" w:hAnsi="Arial" w:eastAsia="华文细黑" w:cs="Arial"/>
                <w:sz w:val="18"/>
                <w:szCs w:val="21"/>
              </w:rPr>
              <w:t>基本完好</w:t>
            </w:r>
          </w:p>
        </w:tc>
      </w:tr>
      <w:tr w14:paraId="009B180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restart"/>
            <w:noWrap/>
            <w:tcMar>
              <w:top w:w="85" w:type="dxa"/>
              <w:left w:w="85" w:type="dxa"/>
              <w:bottom w:w="85" w:type="dxa"/>
              <w:right w:w="28" w:type="dxa"/>
            </w:tcMar>
            <w:vAlign w:val="center"/>
          </w:tcPr>
          <w:p w14:paraId="1C5B7DD3">
            <w:pPr>
              <w:spacing w:line="240" w:lineRule="auto"/>
              <w:rPr>
                <w:rFonts w:ascii="Arial" w:hAnsi="Arial" w:eastAsia="华文细黑" w:cs="Arial"/>
                <w:sz w:val="18"/>
                <w:szCs w:val="21"/>
              </w:rPr>
            </w:pPr>
            <w:r>
              <w:rPr>
                <w:rFonts w:hint="eastAsia" w:ascii="Arial" w:hAnsi="Arial" w:eastAsia="华文细黑" w:cs="Arial"/>
                <w:sz w:val="18"/>
                <w:szCs w:val="21"/>
              </w:rPr>
              <w:t xml:space="preserve">设备 </w:t>
            </w:r>
          </w:p>
          <w:p w14:paraId="7CF6D294">
            <w:pPr>
              <w:spacing w:line="240" w:lineRule="auto"/>
              <w:rPr>
                <w:rFonts w:ascii="Arial" w:hAnsi="Arial" w:eastAsia="华文细黑" w:cs="Arial"/>
                <w:sz w:val="18"/>
                <w:szCs w:val="21"/>
              </w:rPr>
            </w:pPr>
            <w:r>
              <w:rPr>
                <w:rFonts w:hint="eastAsia" w:ascii="Arial" w:hAnsi="Arial" w:eastAsia="华文细黑" w:cs="Arial"/>
                <w:sz w:val="18"/>
                <w:szCs w:val="21"/>
              </w:rPr>
              <w:t>部分</w:t>
            </w:r>
          </w:p>
          <w:p w14:paraId="23F96A2F">
            <w:pPr>
              <w:spacing w:line="240" w:lineRule="auto"/>
              <w:rPr>
                <w:rFonts w:ascii="Arial" w:hAnsi="Arial" w:eastAsia="华文细黑" w:cs="Arial"/>
                <w:sz w:val="18"/>
                <w:szCs w:val="21"/>
              </w:rPr>
            </w:pPr>
          </w:p>
        </w:tc>
        <w:tc>
          <w:tcPr>
            <w:tcW w:w="1475" w:type="dxa"/>
            <w:gridSpan w:val="2"/>
            <w:tcMar>
              <w:top w:w="85" w:type="dxa"/>
              <w:left w:w="85" w:type="dxa"/>
              <w:bottom w:w="85" w:type="dxa"/>
              <w:right w:w="28" w:type="dxa"/>
            </w:tcMar>
            <w:vAlign w:val="center"/>
          </w:tcPr>
          <w:p w14:paraId="326B4EA3">
            <w:pPr>
              <w:spacing w:line="240" w:lineRule="auto"/>
              <w:rPr>
                <w:rFonts w:ascii="Arial" w:hAnsi="Arial" w:eastAsia="华文细黑" w:cs="Arial"/>
                <w:sz w:val="18"/>
                <w:szCs w:val="21"/>
              </w:rPr>
            </w:pPr>
            <w:r>
              <w:rPr>
                <w:rFonts w:hint="eastAsia" w:ascii="Arial" w:hAnsi="Arial" w:eastAsia="华文细黑" w:cs="Arial"/>
                <w:sz w:val="18"/>
                <w:szCs w:val="21"/>
              </w:rPr>
              <w:t>水卫</w:t>
            </w:r>
          </w:p>
        </w:tc>
        <w:tc>
          <w:tcPr>
            <w:tcW w:w="7254" w:type="dxa"/>
            <w:gridSpan w:val="7"/>
            <w:noWrap/>
            <w:tcMar>
              <w:top w:w="85" w:type="dxa"/>
              <w:left w:w="85" w:type="dxa"/>
              <w:bottom w:w="85" w:type="dxa"/>
              <w:right w:w="28" w:type="dxa"/>
            </w:tcMar>
            <w:vAlign w:val="center"/>
          </w:tcPr>
          <w:p w14:paraId="59B49A94">
            <w:pPr>
              <w:spacing w:line="240" w:lineRule="auto"/>
              <w:rPr>
                <w:rFonts w:ascii="Arial" w:hAnsi="Arial" w:eastAsia="华文细黑" w:cs="Arial"/>
                <w:sz w:val="18"/>
                <w:szCs w:val="21"/>
              </w:rPr>
            </w:pPr>
            <w:r>
              <w:rPr>
                <w:rFonts w:hint="eastAsia" w:ascii="Arial" w:hAnsi="Arial" w:eastAsia="华文细黑" w:cs="Arial"/>
                <w:sz w:val="18"/>
                <w:szCs w:val="21"/>
              </w:rPr>
              <w:t>上、下水基本畅通</w:t>
            </w:r>
          </w:p>
        </w:tc>
      </w:tr>
      <w:tr w14:paraId="06F4CF45">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58F58C79">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5F1AE62F">
            <w:pPr>
              <w:spacing w:line="240" w:lineRule="auto"/>
              <w:rPr>
                <w:rFonts w:ascii="Arial" w:hAnsi="Arial" w:eastAsia="华文细黑" w:cs="Arial"/>
                <w:sz w:val="18"/>
                <w:szCs w:val="21"/>
              </w:rPr>
            </w:pPr>
            <w:r>
              <w:rPr>
                <w:rFonts w:hint="eastAsia" w:ascii="Arial" w:hAnsi="Arial" w:eastAsia="华文细黑" w:cs="Arial"/>
                <w:sz w:val="18"/>
                <w:szCs w:val="21"/>
              </w:rPr>
              <w:t>电照</w:t>
            </w:r>
          </w:p>
        </w:tc>
        <w:tc>
          <w:tcPr>
            <w:tcW w:w="7254" w:type="dxa"/>
            <w:gridSpan w:val="7"/>
            <w:noWrap/>
            <w:tcMar>
              <w:top w:w="85" w:type="dxa"/>
              <w:left w:w="85" w:type="dxa"/>
              <w:bottom w:w="85" w:type="dxa"/>
              <w:right w:w="28" w:type="dxa"/>
            </w:tcMar>
            <w:vAlign w:val="center"/>
          </w:tcPr>
          <w:p w14:paraId="25FD716B">
            <w:pPr>
              <w:spacing w:line="240" w:lineRule="auto"/>
              <w:rPr>
                <w:rFonts w:ascii="Arial" w:hAnsi="Arial" w:eastAsia="华文细黑" w:cs="Arial"/>
                <w:sz w:val="18"/>
                <w:szCs w:val="21"/>
              </w:rPr>
            </w:pPr>
            <w:r>
              <w:rPr>
                <w:rFonts w:hint="eastAsia" w:ascii="Arial" w:hAnsi="Arial" w:eastAsia="华文细黑" w:cs="Arial"/>
                <w:sz w:val="18"/>
                <w:szCs w:val="21"/>
              </w:rPr>
              <w:t>线路和各种照明装置基本完好</w:t>
            </w:r>
          </w:p>
        </w:tc>
      </w:tr>
      <w:tr w14:paraId="0671F58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78C042C9">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02CF061F">
            <w:pPr>
              <w:spacing w:line="240" w:lineRule="auto"/>
              <w:rPr>
                <w:rFonts w:ascii="Arial" w:hAnsi="Arial" w:eastAsia="华文细黑" w:cs="Arial"/>
                <w:sz w:val="18"/>
                <w:szCs w:val="21"/>
              </w:rPr>
            </w:pPr>
            <w:r>
              <w:rPr>
                <w:rFonts w:hint="eastAsia" w:ascii="Arial" w:hAnsi="Arial" w:eastAsia="华文细黑" w:cs="Arial"/>
                <w:sz w:val="18"/>
                <w:szCs w:val="21"/>
              </w:rPr>
              <w:t>特种设备</w:t>
            </w:r>
          </w:p>
        </w:tc>
        <w:tc>
          <w:tcPr>
            <w:tcW w:w="7254" w:type="dxa"/>
            <w:gridSpan w:val="7"/>
            <w:noWrap/>
            <w:tcMar>
              <w:top w:w="85" w:type="dxa"/>
              <w:left w:w="85" w:type="dxa"/>
              <w:bottom w:w="85" w:type="dxa"/>
              <w:right w:w="28" w:type="dxa"/>
            </w:tcMar>
            <w:vAlign w:val="center"/>
          </w:tcPr>
          <w:p w14:paraId="5B2A725B">
            <w:pPr>
              <w:spacing w:line="240" w:lineRule="auto"/>
              <w:rPr>
                <w:rFonts w:ascii="Arial" w:hAnsi="Arial" w:eastAsia="华文细黑" w:cs="Arial"/>
                <w:sz w:val="18"/>
                <w:szCs w:val="21"/>
              </w:rPr>
            </w:pPr>
            <w:r>
              <w:rPr>
                <w:rFonts w:hint="eastAsia" w:ascii="Arial" w:hAnsi="Arial" w:eastAsia="华文细黑" w:cs="Arial"/>
                <w:sz w:val="18"/>
                <w:szCs w:val="21"/>
              </w:rPr>
              <w:t>——</w:t>
            </w:r>
          </w:p>
        </w:tc>
      </w:tr>
      <w:tr w14:paraId="4369C67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5CE47502">
            <w:pPr>
              <w:spacing w:line="240" w:lineRule="auto"/>
              <w:rPr>
                <w:rFonts w:ascii="Arial" w:hAnsi="Arial" w:eastAsia="华文细黑"/>
                <w:bCs/>
                <w:sz w:val="18"/>
                <w:szCs w:val="21"/>
              </w:rPr>
            </w:pPr>
            <w:r>
              <w:rPr>
                <w:rFonts w:hint="eastAsia" w:ascii="Arial" w:hAnsi="Arial" w:eastAsia="华文细黑" w:cs="Arial"/>
                <w:sz w:val="18"/>
                <w:szCs w:val="21"/>
              </w:rPr>
              <w:t>4.咨询对象区位状况</w:t>
            </w:r>
          </w:p>
        </w:tc>
      </w:tr>
      <w:tr w14:paraId="297C0F1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vMerge w:val="restart"/>
            <w:noWrap/>
            <w:tcMar>
              <w:top w:w="85" w:type="dxa"/>
              <w:left w:w="85" w:type="dxa"/>
              <w:bottom w:w="85" w:type="dxa"/>
              <w:right w:w="28" w:type="dxa"/>
            </w:tcMar>
            <w:vAlign w:val="center"/>
          </w:tcPr>
          <w:p w14:paraId="4BEE8211">
            <w:pPr>
              <w:spacing w:line="276" w:lineRule="auto"/>
              <w:jc w:val="both"/>
              <w:rPr>
                <w:rFonts w:ascii="Arial" w:hAnsi="Arial" w:eastAsia="华文细黑" w:cs="Arial"/>
                <w:sz w:val="18"/>
                <w:szCs w:val="21"/>
              </w:rPr>
            </w:pPr>
            <w:r>
              <w:rPr>
                <w:rFonts w:hint="eastAsia" w:ascii="Arial" w:hAnsi="Arial" w:eastAsia="华文细黑" w:cs="Arial"/>
                <w:sz w:val="18"/>
                <w:szCs w:val="21"/>
              </w:rPr>
              <w:t>咨询对象所属项目四至</w:t>
            </w:r>
          </w:p>
        </w:tc>
        <w:tc>
          <w:tcPr>
            <w:tcW w:w="3835" w:type="dxa"/>
            <w:gridSpan w:val="6"/>
            <w:tcMar>
              <w:top w:w="85" w:type="dxa"/>
              <w:left w:w="85" w:type="dxa"/>
              <w:bottom w:w="85" w:type="dxa"/>
              <w:right w:w="28" w:type="dxa"/>
            </w:tcMar>
            <w:vAlign w:val="center"/>
          </w:tcPr>
          <w:p w14:paraId="180095AD">
            <w:pPr>
              <w:spacing w:line="276" w:lineRule="auto"/>
              <w:jc w:val="both"/>
              <w:rPr>
                <w:rFonts w:ascii="Arial" w:hAnsi="Arial" w:eastAsia="华文细黑" w:cs="Arial"/>
                <w:sz w:val="18"/>
                <w:szCs w:val="21"/>
              </w:rPr>
            </w:pPr>
            <w:r>
              <w:rPr>
                <w:rFonts w:hint="eastAsia" w:ascii="Arial" w:hAnsi="Arial" w:eastAsia="华文细黑" w:cs="Arial"/>
                <w:sz w:val="18"/>
                <w:szCs w:val="21"/>
              </w:rPr>
              <w:t>东至：金时大街</w:t>
            </w:r>
          </w:p>
        </w:tc>
        <w:tc>
          <w:tcPr>
            <w:tcW w:w="3498" w:type="dxa"/>
            <w:gridSpan w:val="2"/>
            <w:tcMar>
              <w:top w:w="85" w:type="dxa"/>
              <w:left w:w="85" w:type="dxa"/>
              <w:bottom w:w="85" w:type="dxa"/>
              <w:right w:w="28" w:type="dxa"/>
            </w:tcMar>
            <w:vAlign w:val="center"/>
          </w:tcPr>
          <w:p w14:paraId="697ADCF8">
            <w:pPr>
              <w:spacing w:line="276" w:lineRule="auto"/>
              <w:jc w:val="both"/>
              <w:rPr>
                <w:rFonts w:ascii="Arial" w:hAnsi="Arial" w:eastAsia="华文细黑" w:cs="Arial"/>
                <w:sz w:val="18"/>
                <w:szCs w:val="21"/>
              </w:rPr>
            </w:pPr>
            <w:r>
              <w:rPr>
                <w:rFonts w:hint="eastAsia" w:ascii="Arial" w:hAnsi="Arial" w:eastAsia="华文细黑" w:cs="Arial"/>
                <w:sz w:val="18"/>
                <w:szCs w:val="21"/>
              </w:rPr>
              <w:t>南至：鼎创路</w:t>
            </w:r>
          </w:p>
        </w:tc>
      </w:tr>
      <w:tr w14:paraId="7ECA5351">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vMerge w:val="continue"/>
            <w:noWrap/>
            <w:tcMar>
              <w:top w:w="85" w:type="dxa"/>
              <w:left w:w="85" w:type="dxa"/>
              <w:bottom w:w="85" w:type="dxa"/>
              <w:right w:w="28" w:type="dxa"/>
            </w:tcMar>
            <w:vAlign w:val="center"/>
          </w:tcPr>
          <w:p w14:paraId="175C3FB3">
            <w:pPr>
              <w:spacing w:line="276" w:lineRule="auto"/>
              <w:jc w:val="both"/>
              <w:rPr>
                <w:rFonts w:ascii="Arial" w:hAnsi="Arial" w:eastAsia="华文细黑" w:cs="Arial"/>
                <w:sz w:val="18"/>
                <w:szCs w:val="21"/>
              </w:rPr>
            </w:pPr>
          </w:p>
        </w:tc>
        <w:tc>
          <w:tcPr>
            <w:tcW w:w="3835" w:type="dxa"/>
            <w:gridSpan w:val="6"/>
            <w:tcMar>
              <w:top w:w="85" w:type="dxa"/>
              <w:left w:w="85" w:type="dxa"/>
              <w:bottom w:w="85" w:type="dxa"/>
              <w:right w:w="28" w:type="dxa"/>
            </w:tcMar>
            <w:vAlign w:val="center"/>
          </w:tcPr>
          <w:p w14:paraId="4904750B">
            <w:pPr>
              <w:spacing w:line="276" w:lineRule="auto"/>
              <w:jc w:val="both"/>
              <w:rPr>
                <w:rFonts w:ascii="Arial" w:hAnsi="Arial" w:eastAsia="华文细黑" w:cs="Arial"/>
                <w:sz w:val="18"/>
                <w:szCs w:val="21"/>
              </w:rPr>
            </w:pPr>
            <w:r>
              <w:rPr>
                <w:rFonts w:hint="eastAsia" w:ascii="Arial" w:hAnsi="Arial" w:eastAsia="华文细黑" w:cs="Arial"/>
                <w:sz w:val="18"/>
                <w:szCs w:val="21"/>
              </w:rPr>
              <w:t>西至：金鼎欣盛家园社区</w:t>
            </w:r>
          </w:p>
        </w:tc>
        <w:tc>
          <w:tcPr>
            <w:tcW w:w="3498" w:type="dxa"/>
            <w:gridSpan w:val="2"/>
            <w:tcMar>
              <w:top w:w="85" w:type="dxa"/>
              <w:left w:w="85" w:type="dxa"/>
              <w:bottom w:w="85" w:type="dxa"/>
              <w:right w:w="28" w:type="dxa"/>
            </w:tcMar>
            <w:vAlign w:val="center"/>
          </w:tcPr>
          <w:p w14:paraId="4B0AF79E">
            <w:pPr>
              <w:spacing w:line="276" w:lineRule="auto"/>
              <w:jc w:val="both"/>
              <w:rPr>
                <w:rFonts w:ascii="Arial" w:hAnsi="Arial" w:eastAsia="华文细黑" w:cs="Arial"/>
                <w:sz w:val="18"/>
                <w:szCs w:val="21"/>
              </w:rPr>
            </w:pPr>
            <w:r>
              <w:rPr>
                <w:rFonts w:hint="eastAsia" w:ascii="Arial" w:hAnsi="Arial" w:eastAsia="华文细黑" w:cs="Arial"/>
                <w:sz w:val="18"/>
                <w:szCs w:val="21"/>
              </w:rPr>
              <w:t>北至：恒达升降公司</w:t>
            </w:r>
          </w:p>
        </w:tc>
      </w:tr>
      <w:tr w14:paraId="38245CC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noWrap/>
            <w:tcMar>
              <w:top w:w="85" w:type="dxa"/>
              <w:left w:w="85" w:type="dxa"/>
              <w:bottom w:w="85" w:type="dxa"/>
              <w:right w:w="28" w:type="dxa"/>
            </w:tcMar>
            <w:vAlign w:val="center"/>
          </w:tcPr>
          <w:p w14:paraId="32EB5259">
            <w:pPr>
              <w:spacing w:line="360" w:lineRule="auto"/>
              <w:rPr>
                <w:rFonts w:ascii="Arial" w:hAnsi="Arial" w:eastAsia="华文细黑" w:cs="Arial"/>
                <w:sz w:val="18"/>
                <w:szCs w:val="21"/>
              </w:rPr>
            </w:pPr>
            <w:r>
              <w:rPr>
                <w:rFonts w:hint="eastAsia" w:ascii="Arial" w:hAnsi="Arial" w:eastAsia="华文细黑" w:cs="Arial"/>
                <w:sz w:val="18"/>
                <w:szCs w:val="21"/>
              </w:rPr>
              <w:t>区域成熟度</w:t>
            </w:r>
          </w:p>
        </w:tc>
        <w:tc>
          <w:tcPr>
            <w:tcW w:w="7333" w:type="dxa"/>
            <w:gridSpan w:val="8"/>
            <w:tcMar>
              <w:top w:w="85" w:type="dxa"/>
              <w:left w:w="85" w:type="dxa"/>
              <w:bottom w:w="85" w:type="dxa"/>
              <w:right w:w="28" w:type="dxa"/>
            </w:tcMar>
            <w:vAlign w:val="center"/>
          </w:tcPr>
          <w:p w14:paraId="08C2E6FE">
            <w:pPr>
              <w:spacing w:line="360" w:lineRule="auto"/>
              <w:rPr>
                <w:rFonts w:ascii="Arial" w:hAnsi="Arial" w:eastAsia="华文细黑" w:cs="Arial"/>
                <w:sz w:val="18"/>
                <w:szCs w:val="21"/>
              </w:rPr>
            </w:pPr>
            <w:r>
              <w:rPr>
                <w:rFonts w:hint="eastAsia" w:ascii="Arial" w:hAnsi="Arial" w:eastAsia="华文细黑" w:cs="Arial"/>
                <w:sz w:val="18"/>
                <w:szCs w:val="21"/>
              </w:rPr>
              <w:t>以咨询对象为中心半径2公里范围内有金鼎欣盛家园、紫薇兰庭、春雪四季公寓等居住项目，项目规模较小，入住率一般。综合评价区域成熟度较差。</w:t>
            </w:r>
          </w:p>
        </w:tc>
      </w:tr>
      <w:tr w14:paraId="14D2E22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noWrap/>
            <w:tcMar>
              <w:top w:w="85" w:type="dxa"/>
              <w:left w:w="85" w:type="dxa"/>
              <w:bottom w:w="85" w:type="dxa"/>
              <w:right w:w="28" w:type="dxa"/>
            </w:tcMar>
            <w:vAlign w:val="center"/>
          </w:tcPr>
          <w:p w14:paraId="66079169">
            <w:pPr>
              <w:spacing w:line="360" w:lineRule="auto"/>
              <w:rPr>
                <w:rFonts w:ascii="Arial" w:hAnsi="Arial" w:eastAsia="华文细黑" w:cs="Arial"/>
                <w:sz w:val="18"/>
                <w:szCs w:val="21"/>
              </w:rPr>
            </w:pPr>
            <w:r>
              <w:rPr>
                <w:rFonts w:hint="eastAsia" w:ascii="Arial" w:hAnsi="Arial" w:eastAsia="华文细黑" w:cs="Arial"/>
                <w:sz w:val="18"/>
                <w:szCs w:val="21"/>
              </w:rPr>
              <w:t>交通便捷度</w:t>
            </w:r>
          </w:p>
        </w:tc>
        <w:tc>
          <w:tcPr>
            <w:tcW w:w="7333" w:type="dxa"/>
            <w:gridSpan w:val="8"/>
            <w:tcMar>
              <w:top w:w="85" w:type="dxa"/>
              <w:left w:w="85" w:type="dxa"/>
              <w:bottom w:w="85" w:type="dxa"/>
              <w:right w:w="28" w:type="dxa"/>
            </w:tcMar>
            <w:vAlign w:val="center"/>
          </w:tcPr>
          <w:p w14:paraId="4B624A8D">
            <w:pPr>
              <w:spacing w:line="360" w:lineRule="auto"/>
              <w:rPr>
                <w:rFonts w:ascii="Arial" w:hAnsi="Arial" w:eastAsia="华文细黑" w:cs="Arial"/>
                <w:sz w:val="18"/>
                <w:szCs w:val="21"/>
              </w:rPr>
            </w:pPr>
            <w:r>
              <w:rPr>
                <w:rFonts w:hint="eastAsia" w:ascii="Arial" w:hAnsi="Arial" w:eastAsia="华文细黑" w:cs="Arial"/>
                <w:sz w:val="18"/>
                <w:szCs w:val="21"/>
              </w:rPr>
              <w:t>咨询对象紧邻城市次干道——金时大街，直线距离南六环路约900米，周边无轨道交通线路，1公里范围内有兴29路、兴63路、兴80路等公交线路，交通便捷度较差。</w:t>
            </w:r>
          </w:p>
        </w:tc>
      </w:tr>
      <w:tr w14:paraId="793A8C5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noWrap/>
            <w:tcMar>
              <w:top w:w="85" w:type="dxa"/>
              <w:left w:w="85" w:type="dxa"/>
              <w:bottom w:w="85" w:type="dxa"/>
              <w:right w:w="28" w:type="dxa"/>
            </w:tcMar>
            <w:vAlign w:val="center"/>
          </w:tcPr>
          <w:p w14:paraId="793AF7B0">
            <w:pPr>
              <w:spacing w:line="360" w:lineRule="auto"/>
              <w:rPr>
                <w:rFonts w:ascii="Arial" w:hAnsi="Arial" w:eastAsia="华文细黑" w:cs="Arial"/>
                <w:sz w:val="18"/>
                <w:szCs w:val="21"/>
              </w:rPr>
            </w:pPr>
            <w:r>
              <w:rPr>
                <w:rFonts w:hint="eastAsia" w:ascii="Arial" w:hAnsi="Arial" w:eastAsia="华文细黑" w:cs="Arial"/>
                <w:sz w:val="18"/>
                <w:szCs w:val="21"/>
              </w:rPr>
              <w:t>环境状况</w:t>
            </w:r>
          </w:p>
        </w:tc>
        <w:tc>
          <w:tcPr>
            <w:tcW w:w="7333" w:type="dxa"/>
            <w:gridSpan w:val="8"/>
            <w:tcMar>
              <w:top w:w="85" w:type="dxa"/>
              <w:left w:w="85" w:type="dxa"/>
              <w:bottom w:w="85" w:type="dxa"/>
              <w:right w:w="28" w:type="dxa"/>
            </w:tcMar>
            <w:vAlign w:val="center"/>
          </w:tcPr>
          <w:p w14:paraId="663D0F00">
            <w:pPr>
              <w:spacing w:line="360" w:lineRule="auto"/>
              <w:rPr>
                <w:rFonts w:ascii="Arial" w:hAnsi="Arial" w:eastAsia="华文细黑" w:cs="Arial"/>
                <w:sz w:val="18"/>
                <w:szCs w:val="21"/>
              </w:rPr>
            </w:pPr>
            <w:r>
              <w:rPr>
                <w:rFonts w:hint="eastAsia" w:ascii="Arial" w:hAnsi="Arial" w:eastAsia="华文细黑" w:cs="Arial"/>
                <w:sz w:val="18"/>
                <w:szCs w:val="21"/>
              </w:rPr>
              <w:t>自然环境：新西凤渠湿地、新凤河等自然景观；</w:t>
            </w:r>
          </w:p>
          <w:p w14:paraId="4F755AC6">
            <w:pPr>
              <w:spacing w:line="360" w:lineRule="auto"/>
              <w:rPr>
                <w:rFonts w:ascii="Arial" w:hAnsi="Arial" w:eastAsia="华文细黑" w:cs="Arial"/>
                <w:sz w:val="18"/>
                <w:szCs w:val="21"/>
              </w:rPr>
            </w:pPr>
            <w:r>
              <w:rPr>
                <w:rFonts w:hint="eastAsia" w:ascii="Arial" w:hAnsi="Arial" w:eastAsia="华文细黑" w:cs="Arial"/>
                <w:sz w:val="18"/>
                <w:szCs w:val="21"/>
              </w:rPr>
              <w:t>人文环境：顶佳文化创业园等人文场所；</w:t>
            </w:r>
          </w:p>
          <w:p w14:paraId="64284DB9">
            <w:pPr>
              <w:spacing w:line="360" w:lineRule="auto"/>
              <w:rPr>
                <w:rFonts w:ascii="Arial" w:hAnsi="Arial" w:eastAsia="华文细黑" w:cs="Arial"/>
                <w:sz w:val="18"/>
                <w:szCs w:val="21"/>
              </w:rPr>
            </w:pPr>
            <w:r>
              <w:rPr>
                <w:rFonts w:hint="eastAsia" w:ascii="Arial" w:hAnsi="Arial" w:eastAsia="华文细黑" w:cs="Arial"/>
                <w:sz w:val="18"/>
                <w:szCs w:val="21"/>
              </w:rPr>
              <w:t>综合评价环境状况较差。</w:t>
            </w:r>
          </w:p>
        </w:tc>
      </w:tr>
      <w:tr w14:paraId="7A4701C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90" w:hRule="atLeast"/>
          <w:jc w:val="center"/>
        </w:trPr>
        <w:tc>
          <w:tcPr>
            <w:tcW w:w="2079" w:type="dxa"/>
            <w:gridSpan w:val="3"/>
            <w:noWrap/>
            <w:tcMar>
              <w:top w:w="85" w:type="dxa"/>
              <w:left w:w="85" w:type="dxa"/>
              <w:bottom w:w="85" w:type="dxa"/>
              <w:right w:w="28" w:type="dxa"/>
            </w:tcMar>
            <w:vAlign w:val="center"/>
          </w:tcPr>
          <w:p w14:paraId="5626F983">
            <w:pPr>
              <w:spacing w:line="360" w:lineRule="auto"/>
              <w:rPr>
                <w:rFonts w:ascii="Arial" w:hAnsi="Arial" w:eastAsia="华文细黑" w:cs="Arial"/>
                <w:sz w:val="18"/>
                <w:szCs w:val="21"/>
              </w:rPr>
            </w:pPr>
            <w:r>
              <w:rPr>
                <w:rFonts w:hint="eastAsia" w:ascii="Arial" w:hAnsi="Arial" w:eastAsia="华文细黑" w:cs="Arial"/>
                <w:sz w:val="18"/>
                <w:szCs w:val="21"/>
              </w:rPr>
              <w:t>公共服务设施</w:t>
            </w:r>
          </w:p>
        </w:tc>
        <w:tc>
          <w:tcPr>
            <w:tcW w:w="7333" w:type="dxa"/>
            <w:gridSpan w:val="8"/>
            <w:tcMar>
              <w:top w:w="85" w:type="dxa"/>
              <w:left w:w="85" w:type="dxa"/>
              <w:bottom w:w="85" w:type="dxa"/>
              <w:right w:w="28" w:type="dxa"/>
            </w:tcMar>
            <w:vAlign w:val="center"/>
          </w:tcPr>
          <w:p w14:paraId="303F0602">
            <w:pPr>
              <w:spacing w:line="360" w:lineRule="auto"/>
              <w:rPr>
                <w:rFonts w:ascii="Arial" w:hAnsi="Arial" w:eastAsia="华文细黑" w:cs="Arial"/>
                <w:sz w:val="18"/>
                <w:szCs w:val="21"/>
              </w:rPr>
            </w:pPr>
            <w:r>
              <w:rPr>
                <w:rFonts w:hint="eastAsia" w:ascii="Arial" w:hAnsi="Arial" w:eastAsia="华文细黑" w:cs="Arial"/>
                <w:sz w:val="18"/>
                <w:szCs w:val="21"/>
              </w:rPr>
              <w:t>商场：周边无大型购物中心，有多喜多超市、春雷生活超市等生活配套商业；</w:t>
            </w:r>
          </w:p>
          <w:p w14:paraId="7CD65862">
            <w:pPr>
              <w:spacing w:line="360" w:lineRule="auto"/>
              <w:rPr>
                <w:rFonts w:ascii="Arial" w:hAnsi="Arial" w:eastAsia="华文细黑" w:cs="Arial"/>
                <w:sz w:val="18"/>
                <w:szCs w:val="21"/>
              </w:rPr>
            </w:pPr>
            <w:r>
              <w:rPr>
                <w:rFonts w:hint="eastAsia" w:ascii="Arial" w:hAnsi="Arial" w:eastAsia="华文细黑" w:cs="Arial"/>
                <w:sz w:val="18"/>
                <w:szCs w:val="21"/>
              </w:rPr>
              <w:t>医院：北京市大兴区黄村镇三间房社区卫生服务站等医疗机构；</w:t>
            </w:r>
          </w:p>
          <w:p w14:paraId="4609A9C1">
            <w:pPr>
              <w:spacing w:line="360" w:lineRule="auto"/>
              <w:rPr>
                <w:rFonts w:ascii="Arial" w:hAnsi="Arial" w:eastAsia="华文细黑" w:cs="Arial"/>
                <w:sz w:val="18"/>
                <w:szCs w:val="21"/>
              </w:rPr>
            </w:pPr>
            <w:r>
              <w:rPr>
                <w:rFonts w:hint="eastAsia" w:ascii="Arial" w:hAnsi="Arial" w:eastAsia="华文细黑" w:cs="Arial"/>
                <w:sz w:val="18"/>
                <w:szCs w:val="21"/>
              </w:rPr>
              <w:t>银行：北京农商银行（新建分理处）等金融机构；</w:t>
            </w:r>
          </w:p>
          <w:p w14:paraId="7BC21838">
            <w:pPr>
              <w:spacing w:line="360" w:lineRule="auto"/>
              <w:rPr>
                <w:rFonts w:ascii="Arial" w:hAnsi="Arial" w:eastAsia="华文细黑" w:cs="Arial"/>
                <w:sz w:val="18"/>
                <w:szCs w:val="21"/>
              </w:rPr>
            </w:pPr>
            <w:r>
              <w:rPr>
                <w:rFonts w:hint="eastAsia" w:ascii="Arial" w:hAnsi="Arial" w:eastAsia="华文细黑" w:cs="Arial"/>
                <w:sz w:val="18"/>
                <w:szCs w:val="21"/>
              </w:rPr>
              <w:t>学校：北京现代艺术学校、北京三间房中心幼儿园等教育机构；</w:t>
            </w:r>
          </w:p>
          <w:p w14:paraId="602804A4">
            <w:pPr>
              <w:spacing w:line="360" w:lineRule="auto"/>
              <w:rPr>
                <w:rFonts w:ascii="Arial" w:hAnsi="Arial" w:eastAsia="华文细黑" w:cs="Arial"/>
                <w:sz w:val="18"/>
                <w:szCs w:val="21"/>
              </w:rPr>
            </w:pPr>
            <w:r>
              <w:rPr>
                <w:rFonts w:hint="eastAsia" w:ascii="Arial" w:hAnsi="Arial" w:eastAsia="华文细黑" w:cs="Arial"/>
                <w:sz w:val="18"/>
                <w:szCs w:val="21"/>
              </w:rPr>
              <w:t>综合评价公共服务设施齐备度较差。</w:t>
            </w:r>
          </w:p>
        </w:tc>
      </w:tr>
      <w:tr w14:paraId="088F39CE">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11C5FAD">
            <w:pPr>
              <w:spacing w:line="360" w:lineRule="auto"/>
              <w:rPr>
                <w:rFonts w:ascii="Arial" w:hAnsi="Arial" w:eastAsia="华文细黑"/>
                <w:b/>
                <w:bCs/>
                <w:sz w:val="18"/>
                <w:szCs w:val="21"/>
              </w:rPr>
            </w:pPr>
            <w:r>
              <w:rPr>
                <w:rFonts w:hint="eastAsia" w:ascii="Arial" w:hAnsi="Arial" w:eastAsia="华文细黑" w:cs="Arial"/>
                <w:b/>
                <w:kern w:val="2"/>
                <w:sz w:val="18"/>
                <w:szCs w:val="21"/>
              </w:rPr>
              <w:t>七、价值定义</w:t>
            </w:r>
          </w:p>
        </w:tc>
      </w:tr>
      <w:tr w14:paraId="3368C121">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627" w:hRule="atLeast"/>
          <w:jc w:val="center"/>
        </w:trPr>
        <w:tc>
          <w:tcPr>
            <w:tcW w:w="9412" w:type="dxa"/>
            <w:gridSpan w:val="11"/>
            <w:noWrap/>
            <w:tcMar>
              <w:top w:w="85" w:type="dxa"/>
              <w:left w:w="85" w:type="dxa"/>
              <w:bottom w:w="85" w:type="dxa"/>
              <w:right w:w="28" w:type="dxa"/>
            </w:tcMar>
            <w:vAlign w:val="center"/>
          </w:tcPr>
          <w:p w14:paraId="79A95206">
            <w:pPr>
              <w:spacing w:line="360" w:lineRule="auto"/>
              <w:ind w:firstLine="360" w:firstLineChars="200"/>
              <w:rPr>
                <w:rFonts w:ascii="Arial" w:hAnsi="Arial" w:eastAsia="华文细黑"/>
                <w:sz w:val="18"/>
                <w:szCs w:val="21"/>
              </w:rPr>
            </w:pPr>
            <w:r>
              <w:rPr>
                <w:rFonts w:hint="eastAsia" w:ascii="Arial" w:hAnsi="Arial" w:eastAsia="华文细黑"/>
                <w:sz w:val="18"/>
                <w:szCs w:val="21"/>
              </w:rPr>
              <w:t>根据房地产估价规范、国家现行有关标准规定和项目的具体要求，本次评估采用的是市场价值标准。根据《房地产估价基本术语标准》[GB/T50899-2013]，市场价值是经适当营销后，由熟悉情况、谨慎行事且不受强迫的交易双方，以公平交易方式在价值时点自愿进行交易的金额。</w:t>
            </w:r>
          </w:p>
          <w:p w14:paraId="6FBCA73D">
            <w:pPr>
              <w:spacing w:line="360" w:lineRule="auto"/>
              <w:ind w:firstLine="360" w:firstLineChars="200"/>
              <w:rPr>
                <w:rFonts w:ascii="Arial" w:hAnsi="Arial" w:eastAsia="华文细黑" w:cs="Arial"/>
                <w:b/>
                <w:kern w:val="2"/>
                <w:sz w:val="18"/>
                <w:szCs w:val="21"/>
              </w:rPr>
            </w:pPr>
            <w:r>
              <w:rPr>
                <w:rFonts w:hint="eastAsia" w:ascii="Arial" w:hAnsi="Arial" w:eastAsia="华文细黑"/>
                <w:sz w:val="18"/>
                <w:szCs w:val="21"/>
              </w:rPr>
              <w:t>本次估价的“房地产市场租金水平”是指在正常市场情况下，在价值时点2025年9月10日，咨询对象房屋用途为集体租赁住房及配套，土地取得方式为批准拨用，装修情况设定为毛坯的房地产租赁价格。</w:t>
            </w:r>
          </w:p>
        </w:tc>
      </w:tr>
      <w:tr w14:paraId="435A4E8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54C5CD1A">
            <w:pPr>
              <w:spacing w:before="120" w:beforeLines="50" w:line="360" w:lineRule="auto"/>
              <w:rPr>
                <w:rFonts w:ascii="Arial" w:hAnsi="Arial" w:eastAsia="华文细黑"/>
                <w:b/>
                <w:sz w:val="18"/>
                <w:szCs w:val="21"/>
              </w:rPr>
            </w:pPr>
            <w:r>
              <w:rPr>
                <w:rFonts w:hint="eastAsia" w:ascii="Arial" w:hAnsi="Arial" w:eastAsia="华文细黑" w:cs="Arial"/>
                <w:b/>
                <w:kern w:val="2"/>
                <w:sz w:val="18"/>
                <w:szCs w:val="21"/>
              </w:rPr>
              <w:t>八、估价原则</w:t>
            </w:r>
          </w:p>
        </w:tc>
      </w:tr>
      <w:tr w14:paraId="7982290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7A83D3C7">
            <w:pPr>
              <w:spacing w:line="360" w:lineRule="auto"/>
              <w:rPr>
                <w:rFonts w:ascii="Arial" w:hAnsi="Arial" w:eastAsia="华文细黑"/>
                <w:sz w:val="18"/>
                <w:szCs w:val="21"/>
              </w:rPr>
            </w:pPr>
            <w:r>
              <w:rPr>
                <w:rFonts w:hint="eastAsia" w:ascii="Arial" w:hAnsi="Arial" w:eastAsia="华文细黑"/>
                <w:sz w:val="18"/>
                <w:szCs w:val="21"/>
              </w:rPr>
              <w:t>我们在本次估价时遵循了以下原则：</w:t>
            </w:r>
          </w:p>
          <w:p w14:paraId="2E607CB8">
            <w:pPr>
              <w:spacing w:line="360" w:lineRule="auto"/>
              <w:rPr>
                <w:rFonts w:ascii="Arial" w:hAnsi="Arial" w:eastAsia="华文细黑"/>
                <w:sz w:val="18"/>
                <w:szCs w:val="21"/>
              </w:rPr>
            </w:pPr>
            <w:r>
              <w:rPr>
                <w:rFonts w:hint="eastAsia" w:ascii="Arial" w:hAnsi="Arial" w:eastAsia="华文细黑"/>
                <w:sz w:val="18"/>
                <w:szCs w:val="21"/>
              </w:rPr>
              <w:t>（一）独立、客观、公正原则</w:t>
            </w:r>
          </w:p>
          <w:p w14:paraId="469D6966">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hint="eastAsia" w:ascii="Arial" w:hAnsi="Arial" w:eastAsia="华文细黑"/>
                <w:sz w:val="18"/>
                <w:szCs w:val="21"/>
              </w:rPr>
              <w:t>。</w:t>
            </w:r>
          </w:p>
          <w:p w14:paraId="1FE13DA1">
            <w:pPr>
              <w:spacing w:line="360" w:lineRule="auto"/>
              <w:rPr>
                <w:rFonts w:ascii="Arial" w:hAnsi="Arial" w:eastAsia="华文细黑"/>
                <w:sz w:val="18"/>
                <w:szCs w:val="21"/>
              </w:rPr>
            </w:pPr>
            <w:r>
              <w:rPr>
                <w:rFonts w:hint="eastAsia" w:ascii="Arial" w:hAnsi="Arial" w:eastAsia="华文细黑"/>
                <w:sz w:val="18"/>
                <w:szCs w:val="21"/>
              </w:rPr>
              <w:t>（二）合法原则</w:t>
            </w:r>
          </w:p>
          <w:p w14:paraId="1F061F95">
            <w:pPr>
              <w:spacing w:line="360" w:lineRule="auto"/>
              <w:ind w:firstLine="360" w:firstLineChars="200"/>
              <w:rPr>
                <w:rFonts w:ascii="Arial" w:hAnsi="Arial" w:eastAsia="华文细黑"/>
                <w:sz w:val="18"/>
                <w:szCs w:val="21"/>
              </w:rPr>
            </w:pPr>
            <w:r>
              <w:rPr>
                <w:rFonts w:ascii="Arial" w:hAnsi="Arial" w:eastAsia="华文细黑"/>
                <w:sz w:val="18"/>
                <w:szCs w:val="21"/>
              </w:rPr>
              <w:t>房地产估价遵循合法原则，</w:t>
            </w:r>
            <w:r>
              <w:rPr>
                <w:rFonts w:hint="eastAsia" w:ascii="Arial" w:hAnsi="Arial" w:eastAsia="华文细黑"/>
                <w:sz w:val="18"/>
                <w:szCs w:val="21"/>
              </w:rPr>
              <w:t>应当</w:t>
            </w:r>
            <w:r>
              <w:rPr>
                <w:rFonts w:ascii="Arial" w:hAnsi="Arial" w:eastAsia="华文细黑"/>
                <w:sz w:val="18"/>
                <w:szCs w:val="21"/>
              </w:rPr>
              <w:t>以</w:t>
            </w:r>
            <w:r>
              <w:rPr>
                <w:rFonts w:hint="eastAsia" w:ascii="Arial" w:hAnsi="Arial" w:eastAsia="华文细黑"/>
                <w:sz w:val="18"/>
                <w:szCs w:val="21"/>
              </w:rPr>
              <w:t>咨询对象</w:t>
            </w:r>
            <w:r>
              <w:rPr>
                <w:rFonts w:ascii="Arial" w:hAnsi="Arial" w:eastAsia="华文细黑"/>
                <w:sz w:val="18"/>
                <w:szCs w:val="21"/>
              </w:rPr>
              <w:t>的</w:t>
            </w:r>
            <w:r>
              <w:rPr>
                <w:rFonts w:hint="eastAsia" w:ascii="Arial" w:hAnsi="Arial" w:eastAsia="华文细黑"/>
                <w:sz w:val="18"/>
                <w:szCs w:val="21"/>
              </w:rPr>
              <w:t>合法产权、</w:t>
            </w:r>
            <w:r>
              <w:rPr>
                <w:rFonts w:ascii="Arial" w:hAnsi="Arial" w:eastAsia="华文细黑"/>
                <w:sz w:val="18"/>
                <w:szCs w:val="21"/>
              </w:rPr>
              <w:t>合法使用、合法交易为前提进行。</w:t>
            </w:r>
          </w:p>
          <w:p w14:paraId="48F665A7">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w:t>
            </w:r>
            <w:r>
              <w:rPr>
                <w:rFonts w:ascii="Arial" w:hAnsi="Arial" w:eastAsia="华文细黑"/>
                <w:sz w:val="18"/>
                <w:szCs w:val="21"/>
              </w:rPr>
              <w:t>在价值时点具有合法的产权</w:t>
            </w:r>
            <w:r>
              <w:rPr>
                <w:rFonts w:hint="eastAsia" w:ascii="Arial" w:hAnsi="Arial" w:eastAsia="华文细黑"/>
                <w:sz w:val="18"/>
                <w:szCs w:val="21"/>
              </w:rPr>
              <w:t>且用途合法</w:t>
            </w:r>
            <w:r>
              <w:rPr>
                <w:rFonts w:ascii="Arial" w:hAnsi="Arial" w:eastAsia="华文细黑"/>
                <w:sz w:val="18"/>
                <w:szCs w:val="21"/>
              </w:rPr>
              <w:t>。</w:t>
            </w:r>
            <w:r>
              <w:rPr>
                <w:rFonts w:hint="eastAsia" w:ascii="Arial" w:hAnsi="Arial" w:eastAsia="华文细黑"/>
                <w:sz w:val="18"/>
                <w:szCs w:val="21"/>
              </w:rPr>
              <w:t>咨询对象已取得《不动产权证书》[京（2023）大不动产权第0028576号]，权利人为北京市盛世宏祥资产管理有限公司，用途为集体租赁住房及配套。</w:t>
            </w:r>
          </w:p>
          <w:p w14:paraId="2FA69F4C">
            <w:pPr>
              <w:spacing w:line="360" w:lineRule="auto"/>
              <w:ind w:firstLine="360" w:firstLineChars="200"/>
              <w:rPr>
                <w:rFonts w:ascii="Arial" w:hAnsi="Arial" w:eastAsia="华文细黑"/>
                <w:sz w:val="18"/>
                <w:szCs w:val="21"/>
              </w:rPr>
            </w:pPr>
            <w:r>
              <w:rPr>
                <w:rFonts w:hint="eastAsia" w:ascii="Arial" w:hAnsi="Arial" w:eastAsia="华文细黑"/>
                <w:sz w:val="18"/>
                <w:szCs w:val="21"/>
              </w:rPr>
              <w:t>根据《咨询委托书》，本次评估咨询结果以咨询对象可以对外出租为假设前提，设定咨询对象在价值时点交易或处分方式是合法的。</w:t>
            </w:r>
          </w:p>
          <w:p w14:paraId="2639E21B">
            <w:pPr>
              <w:spacing w:line="360" w:lineRule="auto"/>
              <w:outlineLvl w:val="0"/>
              <w:rPr>
                <w:rFonts w:ascii="Arial" w:hAnsi="Arial" w:eastAsia="华文细黑"/>
                <w:sz w:val="18"/>
                <w:szCs w:val="21"/>
              </w:rPr>
            </w:pPr>
            <w:r>
              <w:rPr>
                <w:rFonts w:hint="eastAsia" w:ascii="Arial" w:hAnsi="Arial" w:eastAsia="华文细黑"/>
                <w:sz w:val="18"/>
                <w:szCs w:val="21"/>
              </w:rPr>
              <w:t>（三）最高最佳利用原则</w:t>
            </w:r>
          </w:p>
          <w:p w14:paraId="15A3E1D4">
            <w:pPr>
              <w:spacing w:line="360" w:lineRule="auto"/>
              <w:ind w:firstLine="360" w:firstLineChars="200"/>
              <w:rPr>
                <w:rFonts w:ascii="Arial" w:hAnsi="Arial" w:eastAsia="华文细黑"/>
                <w:sz w:val="18"/>
                <w:szCs w:val="21"/>
              </w:rPr>
            </w:pPr>
            <w:r>
              <w:rPr>
                <w:rFonts w:ascii="Arial" w:hAnsi="Arial" w:eastAsia="华文细黑"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w:t>
            </w:r>
            <w:r>
              <w:rPr>
                <w:rFonts w:hint="eastAsia" w:ascii="Arial" w:hAnsi="Arial" w:eastAsia="华文细黑" w:cs="Arial"/>
                <w:sz w:val="18"/>
                <w:szCs w:val="21"/>
              </w:rPr>
              <w:t>咨询对象</w:t>
            </w:r>
            <w:r>
              <w:rPr>
                <w:rFonts w:ascii="Arial" w:hAnsi="Arial" w:eastAsia="华文细黑" w:cs="Arial"/>
                <w:sz w:val="18"/>
                <w:szCs w:val="21"/>
              </w:rPr>
              <w:t>价值达到最大、最可能的使用。</w:t>
            </w:r>
          </w:p>
          <w:p w14:paraId="4B1B4873">
            <w:pPr>
              <w:spacing w:line="360" w:lineRule="auto"/>
              <w:rPr>
                <w:rFonts w:ascii="Arial" w:hAnsi="Arial" w:eastAsia="华文细黑"/>
                <w:sz w:val="18"/>
                <w:szCs w:val="21"/>
              </w:rPr>
            </w:pPr>
            <w:r>
              <w:rPr>
                <w:rFonts w:hint="eastAsia" w:ascii="Arial" w:hAnsi="Arial" w:eastAsia="华文细黑"/>
                <w:sz w:val="18"/>
                <w:szCs w:val="21"/>
              </w:rPr>
              <w:t>（四）替代原则</w:t>
            </w:r>
          </w:p>
          <w:p w14:paraId="70B733B9">
            <w:pPr>
              <w:spacing w:line="360" w:lineRule="auto"/>
              <w:ind w:firstLine="360" w:firstLineChars="200"/>
              <w:rPr>
                <w:rFonts w:ascii="Arial" w:hAnsi="Arial" w:eastAsia="华文细黑"/>
                <w:sz w:val="18"/>
                <w:szCs w:val="21"/>
              </w:rPr>
            </w:pPr>
            <w:r>
              <w:rPr>
                <w:rFonts w:ascii="Arial" w:hAnsi="Arial" w:eastAsia="华文细黑"/>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w:t>
            </w:r>
            <w:r>
              <w:rPr>
                <w:rFonts w:hint="eastAsia" w:ascii="Arial" w:hAnsi="Arial" w:eastAsia="华文细黑"/>
                <w:sz w:val="18"/>
                <w:szCs w:val="21"/>
              </w:rPr>
              <w:t>咨询对象</w:t>
            </w:r>
            <w:r>
              <w:rPr>
                <w:rFonts w:ascii="Arial" w:hAnsi="Arial" w:eastAsia="华文细黑"/>
                <w:sz w:val="18"/>
                <w:szCs w:val="21"/>
              </w:rPr>
              <w:t>进行估价。</w:t>
            </w:r>
          </w:p>
          <w:p w14:paraId="3F483924">
            <w:pPr>
              <w:spacing w:line="360" w:lineRule="auto"/>
              <w:ind w:firstLine="360" w:firstLineChars="200"/>
              <w:rPr>
                <w:rFonts w:ascii="Arial" w:hAnsi="Arial" w:eastAsia="华文细黑"/>
                <w:sz w:val="18"/>
                <w:szCs w:val="21"/>
              </w:rPr>
            </w:pPr>
            <w:r>
              <w:rPr>
                <w:rFonts w:ascii="Arial" w:hAnsi="Arial" w:eastAsia="华文细黑"/>
                <w:sz w:val="18"/>
                <w:szCs w:val="21"/>
              </w:rPr>
              <w:t>替代原则也反映了房地产估价的基本原理和最一般的估价过程：房地产估价所要确定的估价结论是</w:t>
            </w:r>
            <w:r>
              <w:rPr>
                <w:rFonts w:hint="eastAsia" w:ascii="Arial" w:hAnsi="Arial" w:eastAsia="华文细黑"/>
                <w:sz w:val="18"/>
                <w:szCs w:val="21"/>
              </w:rPr>
              <w:t>咨询对象</w:t>
            </w:r>
            <w:r>
              <w:rPr>
                <w:rFonts w:ascii="Arial" w:hAnsi="Arial" w:eastAsia="华文细黑"/>
                <w:sz w:val="18"/>
                <w:szCs w:val="21"/>
              </w:rPr>
              <w:t>的客观合理价值。对于房地产交易目的而言，该客观合理价值应当是在公开市场上最可能形成或者成立的价格，房地产估价就是参照公开市场上足够数量的类似房地产的近期成交价格来确定</w:t>
            </w:r>
            <w:r>
              <w:rPr>
                <w:rFonts w:hint="eastAsia" w:ascii="Arial" w:hAnsi="Arial" w:eastAsia="华文细黑"/>
                <w:sz w:val="18"/>
                <w:szCs w:val="21"/>
              </w:rPr>
              <w:t>咨询对象</w:t>
            </w:r>
            <w:r>
              <w:rPr>
                <w:rFonts w:ascii="Arial" w:hAnsi="Arial" w:eastAsia="华文细黑"/>
                <w:sz w:val="18"/>
                <w:szCs w:val="21"/>
              </w:rPr>
              <w:t>的客观合理价值的。</w:t>
            </w:r>
          </w:p>
          <w:p w14:paraId="50C4FA83">
            <w:pPr>
              <w:spacing w:line="360" w:lineRule="auto"/>
              <w:rPr>
                <w:rFonts w:ascii="Arial" w:hAnsi="Arial" w:eastAsia="华文细黑"/>
                <w:sz w:val="18"/>
                <w:szCs w:val="21"/>
              </w:rPr>
            </w:pPr>
            <w:r>
              <w:rPr>
                <w:rFonts w:hint="eastAsia" w:ascii="Arial" w:hAnsi="Arial" w:eastAsia="华文细黑"/>
                <w:sz w:val="18"/>
                <w:szCs w:val="21"/>
              </w:rPr>
              <w:t>（五）价值时点原则</w:t>
            </w:r>
          </w:p>
          <w:p w14:paraId="2FCB44AA">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2415F5C4">
            <w:pPr>
              <w:spacing w:line="360" w:lineRule="auto"/>
              <w:ind w:firstLine="360" w:firstLineChars="200"/>
              <w:rPr>
                <w:rFonts w:ascii="Arial" w:hAnsi="Arial" w:eastAsia="华文细黑" w:cs="Arial"/>
                <w:b/>
                <w:kern w:val="2"/>
                <w:sz w:val="18"/>
                <w:szCs w:val="21"/>
              </w:rPr>
            </w:pPr>
            <w:r>
              <w:rPr>
                <w:rFonts w:hint="eastAsia" w:ascii="Arial" w:hAnsi="Arial" w:eastAsia="华文细黑"/>
                <w:sz w:val="18"/>
                <w:szCs w:val="21"/>
              </w:rPr>
              <w:t>估价结论同时具有很强的时效性，这主要是考虑到房地产市场价格的波动性，同一咨询对象在不同时点会具有不同的市场价格。所以强调：咨询结果是咨询对象在价值时点的价值体现，不能将咨询结果作为咨询对象在其他时点的价值。</w:t>
            </w:r>
          </w:p>
        </w:tc>
      </w:tr>
      <w:tr w14:paraId="1EB3596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16D0707">
            <w:pPr>
              <w:spacing w:line="360" w:lineRule="auto"/>
              <w:rPr>
                <w:rFonts w:ascii="Arial" w:hAnsi="Arial" w:eastAsia="华文细黑"/>
                <w:b/>
                <w:sz w:val="18"/>
                <w:szCs w:val="21"/>
              </w:rPr>
            </w:pPr>
            <w:r>
              <w:rPr>
                <w:rFonts w:hint="eastAsia" w:ascii="Arial" w:hAnsi="Arial" w:eastAsia="华文细黑" w:cs="Arial"/>
                <w:b/>
                <w:kern w:val="2"/>
                <w:sz w:val="18"/>
                <w:szCs w:val="21"/>
              </w:rPr>
              <w:t>九、估价依据</w:t>
            </w:r>
          </w:p>
        </w:tc>
      </w:tr>
      <w:tr w14:paraId="0A3E4CCE">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6179B7A8">
            <w:pPr>
              <w:spacing w:line="360" w:lineRule="auto"/>
              <w:rPr>
                <w:rFonts w:ascii="Arial" w:hAnsi="Arial" w:eastAsia="华文细黑"/>
                <w:sz w:val="18"/>
                <w:szCs w:val="21"/>
              </w:rPr>
            </w:pPr>
            <w:r>
              <w:rPr>
                <w:rFonts w:hint="eastAsia" w:ascii="Arial" w:hAnsi="Arial" w:eastAsia="华文细黑"/>
                <w:sz w:val="18"/>
                <w:szCs w:val="21"/>
              </w:rPr>
              <w:t>（一）有关的法律、法规及技术标准文件</w:t>
            </w:r>
          </w:p>
          <w:p w14:paraId="15878FCF">
            <w:pPr>
              <w:spacing w:line="360" w:lineRule="auto"/>
              <w:ind w:firstLine="360" w:firstLineChars="200"/>
              <w:rPr>
                <w:rFonts w:ascii="Arial" w:hAnsi="Arial" w:eastAsia="华文细黑"/>
                <w:sz w:val="18"/>
                <w:szCs w:val="21"/>
              </w:rPr>
            </w:pPr>
            <w:r>
              <w:rPr>
                <w:rFonts w:hint="eastAsia" w:ascii="Arial" w:hAnsi="Arial" w:eastAsia="华文细黑"/>
                <w:sz w:val="18"/>
                <w:szCs w:val="21"/>
              </w:rPr>
              <w:t>1.《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14:paraId="0CA4C1A2">
            <w:pPr>
              <w:spacing w:line="360" w:lineRule="auto"/>
              <w:ind w:firstLine="360" w:firstLineChars="200"/>
              <w:rPr>
                <w:rFonts w:ascii="Arial" w:hAnsi="Arial" w:eastAsia="华文细黑"/>
                <w:sz w:val="18"/>
                <w:szCs w:val="21"/>
              </w:rPr>
            </w:pPr>
            <w:r>
              <w:rPr>
                <w:rFonts w:hint="eastAsia" w:ascii="Arial" w:hAnsi="Arial" w:eastAsia="华文细黑"/>
                <w:sz w:val="18"/>
                <w:szCs w:val="21"/>
              </w:rPr>
              <w:t>2.《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14:paraId="27A517A1">
            <w:pPr>
              <w:spacing w:line="360" w:lineRule="auto"/>
              <w:ind w:firstLine="360" w:firstLineChars="200"/>
              <w:rPr>
                <w:rFonts w:ascii="Arial" w:hAnsi="Arial" w:eastAsia="华文细黑"/>
                <w:sz w:val="18"/>
                <w:szCs w:val="21"/>
              </w:rPr>
            </w:pPr>
            <w:r>
              <w:rPr>
                <w:rFonts w:hint="eastAsia" w:ascii="Arial" w:hAnsi="Arial" w:eastAsia="华文细黑"/>
                <w:sz w:val="18"/>
                <w:szCs w:val="21"/>
              </w:rPr>
              <w:t>3.《中华人民共和国城乡规划法》（2007 年 10 月 28 日第十届全国人民代表大会常务委员会第三十次会议通过，中华人民共和国主席令第74号，自公布之日起施行；根据 2015 年 4 月 24 日第十二届全国人民代表大会常务委员会第十四次会议通过第一次修正，中华人民共和国主席令第23号公布，自公布之日起施行）</w:t>
            </w:r>
          </w:p>
          <w:p w14:paraId="038842AD">
            <w:pPr>
              <w:spacing w:line="360" w:lineRule="auto"/>
              <w:ind w:firstLine="360" w:firstLineChars="200"/>
              <w:rPr>
                <w:rFonts w:ascii="Arial" w:hAnsi="Arial" w:eastAsia="华文细黑"/>
                <w:sz w:val="18"/>
                <w:szCs w:val="21"/>
              </w:rPr>
            </w:pPr>
            <w:r>
              <w:rPr>
                <w:rFonts w:hint="eastAsia" w:ascii="Arial" w:hAnsi="Arial" w:eastAsia="华文细黑"/>
                <w:sz w:val="18"/>
                <w:szCs w:val="21"/>
              </w:rPr>
              <w:t>4.</w:t>
            </w:r>
            <w:r>
              <w:rPr>
                <w:rFonts w:hint="eastAsia" w:ascii="Arial" w:hAnsi="Arial" w:eastAsia="华文细黑" w:cs="Arial"/>
                <w:sz w:val="18"/>
                <w:szCs w:val="21"/>
              </w:rPr>
              <w:t>《中华人民共和国资产评估法》（2016年7月2日第十二届全国人民代表大会常务委员会第二十一次会议通过，2016年3月16日中华人民共和国主席令第46号公布，自2016年12月1日起施行）</w:t>
            </w:r>
            <w:r>
              <w:rPr>
                <w:rFonts w:hint="eastAsia" w:ascii="Arial" w:hAnsi="Arial" w:eastAsia="华文细黑"/>
                <w:sz w:val="18"/>
                <w:szCs w:val="21"/>
              </w:rPr>
              <w:t>3. 《中华人民共和国城镇国有土地使用权出让和转让暂行条例》（一九九０年五月十九日中华人民共和国国务院令第五十五号发布　自发布之日起施行）</w:t>
            </w:r>
          </w:p>
          <w:p w14:paraId="1D728964">
            <w:pPr>
              <w:spacing w:line="360" w:lineRule="auto"/>
              <w:ind w:firstLine="360" w:firstLineChars="200"/>
              <w:rPr>
                <w:rFonts w:ascii="Arial" w:hAnsi="Arial" w:eastAsia="华文细黑"/>
                <w:sz w:val="18"/>
                <w:szCs w:val="21"/>
              </w:rPr>
            </w:pPr>
            <w:r>
              <w:rPr>
                <w:rFonts w:hint="eastAsia" w:ascii="Arial" w:hAnsi="Arial" w:eastAsia="华文细黑"/>
                <w:sz w:val="18"/>
                <w:szCs w:val="21"/>
              </w:rPr>
              <w:t>5.《中华人民共和国民法典》（2020年5月28日第十三届全国人大三次会议表决通过，自2021年1月1日起施行）</w:t>
            </w:r>
          </w:p>
          <w:p w14:paraId="4E0D910D">
            <w:pPr>
              <w:spacing w:line="360" w:lineRule="auto"/>
              <w:ind w:firstLine="360" w:firstLineChars="200"/>
              <w:rPr>
                <w:rFonts w:ascii="Arial" w:hAnsi="Arial" w:eastAsia="华文细黑"/>
                <w:sz w:val="18"/>
                <w:szCs w:val="21"/>
              </w:rPr>
            </w:pPr>
            <w:r>
              <w:rPr>
                <w:rFonts w:hint="eastAsia" w:ascii="Arial" w:hAnsi="Arial" w:eastAsia="华文细黑"/>
                <w:sz w:val="18"/>
                <w:szCs w:val="21"/>
              </w:rPr>
              <w:t>6.《中华人民共和国城镇国有土地使用权出让和转让暂行条例》（1990年5月19日中华人民共和国国务院令第55号发布 根据2</w:t>
            </w:r>
            <w:r>
              <w:rPr>
                <w:rFonts w:ascii="Arial" w:hAnsi="Arial" w:eastAsia="华文细黑"/>
                <w:sz w:val="18"/>
                <w:szCs w:val="21"/>
              </w:rPr>
              <w:t>020</w:t>
            </w:r>
            <w:r>
              <w:rPr>
                <w:rFonts w:hint="eastAsia" w:ascii="Arial" w:hAnsi="Arial" w:eastAsia="华文细黑"/>
                <w:sz w:val="18"/>
                <w:szCs w:val="21"/>
              </w:rPr>
              <w:t>年1</w:t>
            </w:r>
            <w:r>
              <w:rPr>
                <w:rFonts w:ascii="Arial" w:hAnsi="Arial" w:eastAsia="华文细黑"/>
                <w:sz w:val="18"/>
                <w:szCs w:val="21"/>
              </w:rPr>
              <w:t>1</w:t>
            </w:r>
            <w:r>
              <w:rPr>
                <w:rFonts w:hint="eastAsia" w:ascii="Arial" w:hAnsi="Arial" w:eastAsia="华文细黑"/>
                <w:sz w:val="18"/>
                <w:szCs w:val="21"/>
              </w:rPr>
              <w:t>月2</w:t>
            </w:r>
            <w:r>
              <w:rPr>
                <w:rFonts w:ascii="Arial" w:hAnsi="Arial" w:eastAsia="华文细黑"/>
                <w:sz w:val="18"/>
                <w:szCs w:val="21"/>
              </w:rPr>
              <w:t>9</w:t>
            </w:r>
            <w:r>
              <w:rPr>
                <w:rFonts w:hint="eastAsia" w:ascii="Arial" w:hAnsi="Arial" w:eastAsia="华文细黑"/>
                <w:sz w:val="18"/>
                <w:szCs w:val="21"/>
              </w:rPr>
              <w:t>日《国务院关于修改和废止部分行政法规的决定》修订）</w:t>
            </w:r>
          </w:p>
          <w:p w14:paraId="798283C0">
            <w:pPr>
              <w:spacing w:line="360" w:lineRule="auto"/>
              <w:ind w:firstLine="360" w:firstLineChars="200"/>
              <w:rPr>
                <w:rFonts w:ascii="Arial" w:hAnsi="Arial" w:eastAsia="华文细黑"/>
                <w:sz w:val="18"/>
                <w:szCs w:val="21"/>
              </w:rPr>
            </w:pPr>
            <w:r>
              <w:rPr>
                <w:rFonts w:hint="eastAsia" w:ascii="Arial" w:hAnsi="Arial" w:eastAsia="华文细黑"/>
                <w:sz w:val="18"/>
                <w:szCs w:val="21"/>
              </w:rPr>
              <w:t>7.《中华人民共和国土地管理法实施条例》（1998年12月24日国务院第12次常务会议通过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中华人民共和国国务院令第653号公布，自公布之日起施行）</w:t>
            </w:r>
          </w:p>
          <w:p w14:paraId="1F054966">
            <w:pPr>
              <w:spacing w:line="360" w:lineRule="auto"/>
              <w:ind w:firstLine="360" w:firstLineChars="200"/>
              <w:rPr>
                <w:rFonts w:ascii="Arial" w:hAnsi="Arial" w:eastAsia="华文细黑"/>
                <w:sz w:val="18"/>
                <w:szCs w:val="21"/>
              </w:rPr>
            </w:pPr>
            <w:r>
              <w:rPr>
                <w:rFonts w:hint="eastAsia" w:ascii="Arial" w:hAnsi="Arial" w:eastAsia="华文细黑"/>
                <w:sz w:val="18"/>
                <w:szCs w:val="21"/>
              </w:rPr>
              <w:t>8.《房地产估价规范》[GB/T 50291-2015]</w:t>
            </w:r>
          </w:p>
          <w:p w14:paraId="28DD9038">
            <w:pPr>
              <w:tabs>
                <w:tab w:val="left" w:pos="2663"/>
              </w:tabs>
              <w:spacing w:line="360" w:lineRule="auto"/>
              <w:ind w:firstLine="360" w:firstLineChars="200"/>
              <w:rPr>
                <w:rStyle w:val="39"/>
              </w:rPr>
            </w:pPr>
            <w:r>
              <w:rPr>
                <w:rFonts w:hint="eastAsia" w:ascii="Arial" w:hAnsi="Arial" w:eastAsia="华文细黑"/>
                <w:sz w:val="18"/>
                <w:szCs w:val="21"/>
              </w:rPr>
              <w:t>9.《房地产估价基本术语标准》[GB/T50899-2013]</w:t>
            </w:r>
          </w:p>
          <w:p w14:paraId="56F276BB">
            <w:pPr>
              <w:tabs>
                <w:tab w:val="left" w:pos="2663"/>
              </w:tabs>
              <w:spacing w:line="360" w:lineRule="auto"/>
              <w:rPr>
                <w:rFonts w:ascii="Arial" w:hAnsi="Arial" w:eastAsia="华文细黑"/>
                <w:sz w:val="18"/>
                <w:szCs w:val="21"/>
              </w:rPr>
            </w:pPr>
            <w:r>
              <w:rPr>
                <w:rStyle w:val="39"/>
                <w:rFonts w:hint="eastAsia"/>
              </w:rPr>
              <w:t xml:space="preserve">  </w:t>
            </w:r>
            <w:r>
              <w:rPr>
                <w:rFonts w:hint="eastAsia" w:ascii="Arial" w:hAnsi="Arial" w:eastAsia="华文细黑"/>
                <w:sz w:val="18"/>
                <w:szCs w:val="21"/>
              </w:rPr>
              <w:t xml:space="preserve"> 10.《住房租赁条例》[国务院令第812号]</w:t>
            </w:r>
          </w:p>
          <w:p w14:paraId="2EC1BB3A">
            <w:pPr>
              <w:spacing w:line="360" w:lineRule="auto"/>
              <w:rPr>
                <w:rFonts w:ascii="Arial" w:hAnsi="Arial" w:eastAsia="华文细黑"/>
                <w:sz w:val="18"/>
                <w:szCs w:val="21"/>
                <w:highlight w:val="yellow"/>
              </w:rPr>
            </w:pPr>
            <w:r>
              <w:rPr>
                <w:rFonts w:hint="eastAsia" w:ascii="Arial" w:hAnsi="Arial" w:eastAsia="华文细黑"/>
                <w:sz w:val="18"/>
                <w:szCs w:val="21"/>
              </w:rPr>
              <w:t>（二）委托方提供的资料</w:t>
            </w:r>
          </w:p>
          <w:p w14:paraId="59386AFF">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《不动产权证书》[京（2023）大不动产权第0028576号]复印件</w:t>
            </w:r>
          </w:p>
          <w:p w14:paraId="646DAB0D">
            <w:pPr>
              <w:spacing w:line="360" w:lineRule="auto"/>
              <w:rPr>
                <w:rFonts w:ascii="Arial" w:hAnsi="Arial" w:eastAsia="华文细黑"/>
                <w:sz w:val="18"/>
                <w:szCs w:val="21"/>
              </w:rPr>
            </w:pPr>
            <w:r>
              <w:rPr>
                <w:rFonts w:hint="eastAsia" w:ascii="Arial" w:hAnsi="Arial" w:eastAsia="华文细黑"/>
                <w:sz w:val="18"/>
                <w:szCs w:val="21"/>
              </w:rPr>
              <w:t>（三）评估专业人员实地查勘的有关资料</w:t>
            </w:r>
          </w:p>
          <w:p w14:paraId="5E47F992">
            <w:pPr>
              <w:spacing w:line="360" w:lineRule="auto"/>
              <w:rPr>
                <w:rFonts w:ascii="Arial" w:hAnsi="Arial" w:eastAsia="华文细黑" w:cs="Arial"/>
                <w:kern w:val="2"/>
                <w:sz w:val="18"/>
                <w:szCs w:val="21"/>
              </w:rPr>
            </w:pPr>
            <w:r>
              <w:rPr>
                <w:rFonts w:hint="eastAsia" w:ascii="Arial" w:hAnsi="Arial" w:eastAsia="华文细黑"/>
                <w:sz w:val="18"/>
                <w:szCs w:val="21"/>
              </w:rPr>
              <w:t>（四）房地产估价机构资质证书</w:t>
            </w:r>
          </w:p>
        </w:tc>
      </w:tr>
      <w:tr w14:paraId="2E0BEB55">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3152A7E">
            <w:pPr>
              <w:spacing w:line="360" w:lineRule="auto"/>
              <w:rPr>
                <w:rFonts w:ascii="Arial" w:hAnsi="Arial" w:eastAsia="华文细黑"/>
                <w:sz w:val="18"/>
                <w:szCs w:val="21"/>
              </w:rPr>
            </w:pPr>
            <w:r>
              <w:rPr>
                <w:rFonts w:hint="eastAsia" w:ascii="Arial" w:hAnsi="Arial" w:eastAsia="华文细黑" w:cs="Arial"/>
                <w:b/>
                <w:kern w:val="2"/>
                <w:sz w:val="18"/>
                <w:szCs w:val="21"/>
              </w:rPr>
              <w:t>十、咨询方法</w:t>
            </w:r>
          </w:p>
        </w:tc>
      </w:tr>
      <w:tr w14:paraId="0581A8D3">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A4FE144">
            <w:pPr>
              <w:spacing w:line="360" w:lineRule="auto"/>
              <w:ind w:firstLine="360" w:firstLineChars="200"/>
              <w:rPr>
                <w:rFonts w:ascii="Arial" w:hAnsi="Arial" w:eastAsia="华文细黑"/>
                <w:sz w:val="18"/>
                <w:szCs w:val="21"/>
              </w:rPr>
            </w:pPr>
            <w:r>
              <w:rPr>
                <w:rFonts w:hint="eastAsia" w:ascii="Arial" w:hAnsi="Arial" w:eastAsia="华文细黑"/>
                <w:sz w:val="18"/>
                <w:szCs w:val="21"/>
              </w:rPr>
              <w:t>由于本次评估是为委托方了解咨询对象在设定条件下的房地产市场租金水平提供参考依据。因此我们在认真分析研究咨询对象的相关资料，并通过对邻近地区同类物业调查的基础上，根据《房地产估价规范》[GB/T 50291-2015]的估价程序，选用比较法为主方法进行估价，扣除客观经营成本及费用，得到咨询对象于设定条件下的房地产市场租金水平。</w:t>
            </w:r>
          </w:p>
        </w:tc>
      </w:tr>
      <w:tr w14:paraId="73FB40D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5A366631">
            <w:pPr>
              <w:spacing w:line="360" w:lineRule="auto"/>
              <w:rPr>
                <w:rFonts w:ascii="Arial" w:hAnsi="Arial" w:eastAsia="华文细黑"/>
                <w:sz w:val="18"/>
                <w:szCs w:val="21"/>
              </w:rPr>
            </w:pPr>
            <w:r>
              <w:rPr>
                <w:rFonts w:hint="eastAsia" w:ascii="Arial" w:hAnsi="Arial" w:eastAsia="华文细黑" w:cs="Arial"/>
                <w:b/>
                <w:kern w:val="2"/>
                <w:sz w:val="18"/>
                <w:szCs w:val="21"/>
              </w:rPr>
              <w:t>十一、测算过程</w:t>
            </w:r>
          </w:p>
        </w:tc>
      </w:tr>
      <w:tr w14:paraId="61389FEF">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494" w:hRule="atLeast"/>
          <w:jc w:val="center"/>
        </w:trPr>
        <w:tc>
          <w:tcPr>
            <w:tcW w:w="9412" w:type="dxa"/>
            <w:gridSpan w:val="11"/>
            <w:noWrap/>
            <w:tcMar>
              <w:top w:w="85" w:type="dxa"/>
              <w:left w:w="85" w:type="dxa"/>
              <w:bottom w:w="85" w:type="dxa"/>
              <w:right w:w="28" w:type="dxa"/>
            </w:tcMar>
            <w:vAlign w:val="center"/>
          </w:tcPr>
          <w:p w14:paraId="08F3462F">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咨询对象为北京市大兴区金时大街13号院1号楼、2号楼、3号楼、4号楼、100幢集体租赁住房及配套用房房地产，即咨询委托人提供的土地自建房屋，其房地产市场租金内涵包含批准拨用的土地租金及毛坯状态下的房屋建筑物租金。</w:t>
            </w:r>
          </w:p>
          <w:p w14:paraId="77D83709">
            <w:pPr>
              <w:spacing w:line="360" w:lineRule="auto"/>
              <w:ind w:firstLine="360" w:firstLineChars="200"/>
              <w:rPr>
                <w:rFonts w:ascii="Arial" w:hAnsi="Arial" w:eastAsia="华文细黑"/>
                <w:sz w:val="18"/>
                <w:szCs w:val="21"/>
              </w:rPr>
            </w:pPr>
            <w:r>
              <w:rPr>
                <w:rFonts w:hint="eastAsia" w:ascii="Arial" w:hAnsi="Arial" w:eastAsia="华文细黑"/>
                <w:sz w:val="18"/>
                <w:szCs w:val="21"/>
              </w:rPr>
              <w:t>因该项目情况特殊，未来承租方以租赁方式取得土地自建房屋，得到租赁住房的经营权，拟通过装修改造后对外出租获得租金收益。经评估专业人员市场调查，市场上同类型的公寓项目出租案例较多，结合项目具体情况，本次评估采用比较法，即通过比较预测咨询对象于价值时点装修改造后集体租赁住房及配套用房的市场客观年租金收入，扣减客观装饰装修及家具家电年折旧摊销费用，扣减维修费、保险费、管理费、投资利息及投资利润等经营成本，得到咨询对象于毛坯状态下的房地产市场租金水平。故：</w:t>
            </w:r>
          </w:p>
          <w:p w14:paraId="3CC45CCA">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咨询对象于设定条件下的房地产市场租金</w:t>
            </w:r>
          </w:p>
          <w:p w14:paraId="5428896C">
            <w:pPr>
              <w:spacing w:line="360" w:lineRule="auto"/>
              <w:ind w:firstLine="360" w:firstLineChars="200"/>
              <w:rPr>
                <w:rFonts w:ascii="Arial" w:hAnsi="Arial" w:eastAsia="华文细黑"/>
                <w:sz w:val="18"/>
                <w:szCs w:val="21"/>
              </w:rPr>
            </w:pPr>
            <w:r>
              <w:rPr>
                <w:rFonts w:hint="eastAsia" w:ascii="Arial" w:hAnsi="Arial" w:eastAsia="华文细黑"/>
                <w:sz w:val="18"/>
                <w:szCs w:val="21"/>
              </w:rPr>
              <w:t>＝装修改造后市场客观年租金收入—装饰装修及家具家电年折旧摊销—维修费—保险费—管理费—投资利息—投资利润</w:t>
            </w:r>
          </w:p>
          <w:p w14:paraId="322CDE7C">
            <w:pPr>
              <w:numPr>
                <w:ilvl w:val="0"/>
                <w:numId w:val="9"/>
              </w:numPr>
              <w:spacing w:line="360" w:lineRule="auto"/>
              <w:rPr>
                <w:rFonts w:ascii="Arial" w:hAnsi="Arial" w:eastAsia="华文细黑" w:cs="Arial"/>
                <w:b/>
                <w:bCs/>
                <w:kern w:val="2"/>
                <w:sz w:val="18"/>
                <w:szCs w:val="21"/>
              </w:rPr>
            </w:pPr>
            <w:r>
              <w:rPr>
                <w:rFonts w:hint="eastAsia" w:ascii="Arial" w:hAnsi="Arial" w:eastAsia="华文细黑"/>
                <w:b/>
                <w:bCs/>
                <w:sz w:val="18"/>
                <w:szCs w:val="21"/>
              </w:rPr>
              <w:t>预测咨询对象装修改造后市场客观年租金收入</w:t>
            </w:r>
          </w:p>
          <w:p w14:paraId="7E600440">
            <w:pPr>
              <w:spacing w:line="360" w:lineRule="auto"/>
              <w:rPr>
                <w:rFonts w:ascii="Arial" w:hAnsi="Arial" w:eastAsia="华文细黑"/>
                <w:sz w:val="18"/>
                <w:szCs w:val="21"/>
              </w:rPr>
            </w:pPr>
            <w:r>
              <w:rPr>
                <w:rFonts w:hint="eastAsia" w:ascii="Arial" w:hAnsi="Arial" w:eastAsia="华文细黑"/>
                <w:sz w:val="18"/>
                <w:szCs w:val="21"/>
              </w:rPr>
              <w:t xml:space="preserve">     根据</w:t>
            </w:r>
            <w:bookmarkStart w:id="12" w:name="OLE_LINK1"/>
            <w:bookmarkStart w:id="13" w:name="OLE_LINK2"/>
            <w:r>
              <w:rPr>
                <w:rFonts w:hint="eastAsia" w:ascii="Arial" w:hAnsi="Arial" w:eastAsia="华文细黑"/>
                <w:sz w:val="18"/>
                <w:szCs w:val="21"/>
              </w:rPr>
              <w:t>《不动产权证书》[京（2023）大不动产权第0028576号]</w:t>
            </w:r>
            <w:bookmarkEnd w:id="12"/>
            <w:bookmarkEnd w:id="13"/>
            <w:r>
              <w:rPr>
                <w:rFonts w:hint="eastAsia" w:ascii="Arial" w:hAnsi="Arial" w:eastAsia="华文细黑"/>
                <w:sz w:val="18"/>
                <w:szCs w:val="21"/>
              </w:rPr>
              <w:t>及咨询委托方介绍，咨询对象大兴区西红门镇“创业之家”集体租赁住房拟被认定为保障性租赁住房项目，经与咨询委托人确认，项目未来可产生收益的经营性用房部分为集体租赁住房19495.72平方米，配套用房中商业（菜站、餐厅、超市）1481.13平方米，汽车库3274.24平方米。本次评估集体租赁住房及配套（商业）、配套（汽车库）租金水平参考同地段同品质的市场租金水平。</w:t>
            </w:r>
          </w:p>
          <w:p w14:paraId="448FF6D9">
            <w:pPr>
              <w:spacing w:line="360" w:lineRule="auto"/>
              <w:ind w:left="450"/>
              <w:rPr>
                <w:rFonts w:ascii="Arial" w:hAnsi="Arial" w:eastAsia="华文细黑"/>
                <w:sz w:val="18"/>
                <w:szCs w:val="21"/>
              </w:rPr>
            </w:pPr>
            <w:r>
              <w:rPr>
                <w:rFonts w:hint="eastAsia" w:ascii="Arial" w:hAnsi="Arial" w:eastAsia="华文细黑"/>
                <w:sz w:val="18"/>
                <w:szCs w:val="21"/>
              </w:rPr>
              <w:t>1.咨询对象装修改造后集体租赁住房市场租金</w:t>
            </w:r>
          </w:p>
          <w:p w14:paraId="61FDB660">
            <w:pPr>
              <w:spacing w:line="360" w:lineRule="auto"/>
              <w:ind w:firstLine="540" w:firstLineChars="300"/>
              <w:rPr>
                <w:rFonts w:ascii="Arial" w:hAnsi="Arial" w:eastAsia="华文细黑"/>
                <w:sz w:val="18"/>
                <w:szCs w:val="21"/>
              </w:rPr>
            </w:pPr>
            <w:r>
              <w:rPr>
                <w:rFonts w:hint="eastAsia" w:ascii="Arial" w:hAnsi="Arial" w:eastAsia="华文细黑"/>
                <w:sz w:val="18"/>
                <w:szCs w:val="21"/>
              </w:rPr>
              <w:t>咨询对象大兴区西红门镇“创业之家”集体租赁住房拟被认定为保障性租赁住房项目，共计440套，包含三种户型，其中开间271套、双人间19套，三人间150套。参照特定保障性租赁住房项目的建筑类型、结构、户型（含面积）、装饰装修、设施设备、家具家电、楼层、朝向等指标进行分类，设定的具有代表性的房屋作为标准房。选取标准房如下：</w:t>
            </w:r>
          </w:p>
          <w:tbl>
            <w:tblPr>
              <w:tblStyle w:val="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50"/>
              <w:gridCol w:w="6039"/>
            </w:tblGrid>
            <w:tr w14:paraId="7841F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blHeader/>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5D4A6F05">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项目名称</w:t>
                  </w:r>
                </w:p>
              </w:tc>
              <w:tc>
                <w:tcPr>
                  <w:tcW w:w="6039" w:type="dxa"/>
                  <w:tcBorders>
                    <w:top w:val="single" w:color="000000" w:sz="4" w:space="0"/>
                    <w:left w:val="single" w:color="auto" w:sz="4" w:space="0"/>
                    <w:bottom w:val="single" w:color="000000" w:sz="4" w:space="0"/>
                    <w:right w:val="single" w:color="auto" w:sz="4" w:space="0"/>
                  </w:tcBorders>
                  <w:vAlign w:val="center"/>
                </w:tcPr>
                <w:p w14:paraId="0B91ED1C">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公寓</w:t>
                  </w:r>
                </w:p>
              </w:tc>
            </w:tr>
            <w:tr w14:paraId="19760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161DE020">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建筑面积（㎡）</w:t>
                  </w:r>
                </w:p>
              </w:tc>
              <w:tc>
                <w:tcPr>
                  <w:tcW w:w="6039" w:type="dxa"/>
                  <w:tcBorders>
                    <w:top w:val="single" w:color="000000" w:sz="4" w:space="0"/>
                    <w:left w:val="single" w:color="auto" w:sz="4" w:space="0"/>
                    <w:bottom w:val="single" w:color="000000" w:sz="4" w:space="0"/>
                    <w:right w:val="single" w:color="auto" w:sz="4" w:space="0"/>
                  </w:tcBorders>
                  <w:vAlign w:val="center"/>
                </w:tcPr>
                <w:p w14:paraId="132BFC2D">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30</w:t>
                  </w:r>
                </w:p>
              </w:tc>
            </w:tr>
            <w:tr w14:paraId="59EF5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601B67DD">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户型</w:t>
                  </w:r>
                </w:p>
              </w:tc>
              <w:tc>
                <w:tcPr>
                  <w:tcW w:w="6039" w:type="dxa"/>
                  <w:tcBorders>
                    <w:top w:val="single" w:color="000000" w:sz="4" w:space="0"/>
                    <w:left w:val="single" w:color="auto" w:sz="4" w:space="0"/>
                    <w:bottom w:val="single" w:color="000000" w:sz="4" w:space="0"/>
                    <w:right w:val="single" w:color="auto" w:sz="4" w:space="0"/>
                  </w:tcBorders>
                  <w:vAlign w:val="center"/>
                </w:tcPr>
                <w:p w14:paraId="166C75C9">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开间</w:t>
                  </w:r>
                </w:p>
              </w:tc>
            </w:tr>
            <w:tr w14:paraId="71249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4D79FFC6">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楼层</w:t>
                  </w:r>
                </w:p>
              </w:tc>
              <w:tc>
                <w:tcPr>
                  <w:tcW w:w="6039" w:type="dxa"/>
                  <w:tcBorders>
                    <w:top w:val="single" w:color="000000" w:sz="4" w:space="0"/>
                    <w:left w:val="single" w:color="auto" w:sz="4" w:space="0"/>
                    <w:bottom w:val="single" w:color="000000" w:sz="4" w:space="0"/>
                    <w:right w:val="single" w:color="auto" w:sz="4" w:space="0"/>
                  </w:tcBorders>
                  <w:vAlign w:val="center"/>
                </w:tcPr>
                <w:p w14:paraId="5C562DB6">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中楼层</w:t>
                  </w:r>
                </w:p>
              </w:tc>
            </w:tr>
            <w:tr w14:paraId="55AD4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23B64D56">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朝向</w:t>
                  </w:r>
                </w:p>
              </w:tc>
              <w:tc>
                <w:tcPr>
                  <w:tcW w:w="6039" w:type="dxa"/>
                  <w:tcBorders>
                    <w:top w:val="single" w:color="000000" w:sz="4" w:space="0"/>
                    <w:left w:val="single" w:color="auto" w:sz="4" w:space="0"/>
                    <w:bottom w:val="single" w:color="000000" w:sz="4" w:space="0"/>
                    <w:right w:val="single" w:color="auto" w:sz="4" w:space="0"/>
                  </w:tcBorders>
                  <w:vAlign w:val="center"/>
                </w:tcPr>
                <w:p w14:paraId="23C19CE8">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南</w:t>
                  </w:r>
                </w:p>
              </w:tc>
            </w:tr>
            <w:tr w14:paraId="53C1B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729A0919">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装修</w:t>
                  </w:r>
                </w:p>
              </w:tc>
              <w:tc>
                <w:tcPr>
                  <w:tcW w:w="6039" w:type="dxa"/>
                  <w:tcBorders>
                    <w:top w:val="single" w:color="000000" w:sz="4" w:space="0"/>
                    <w:left w:val="single" w:color="auto" w:sz="4" w:space="0"/>
                    <w:bottom w:val="single" w:color="000000" w:sz="4" w:space="0"/>
                    <w:right w:val="single" w:color="auto" w:sz="4" w:space="0"/>
                  </w:tcBorders>
                  <w:vAlign w:val="center"/>
                </w:tcPr>
                <w:p w14:paraId="1A5BEDE2">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中档装修（涂料顶棚、涂料墙面、木地板地面）</w:t>
                  </w:r>
                </w:p>
              </w:tc>
            </w:tr>
          </w:tbl>
          <w:p w14:paraId="4A7721E2">
            <w:pPr>
              <w:spacing w:line="360" w:lineRule="auto"/>
              <w:ind w:firstLine="360" w:firstLineChars="200"/>
              <w:rPr>
                <w:rFonts w:ascii="Arial" w:hAnsi="Arial" w:eastAsia="华文细黑"/>
                <w:sz w:val="18"/>
                <w:szCs w:val="21"/>
              </w:rPr>
            </w:pPr>
          </w:p>
          <w:p w14:paraId="575BAC66">
            <w:pPr>
              <w:spacing w:line="360" w:lineRule="auto"/>
              <w:ind w:firstLine="360" w:firstLineChars="200"/>
              <w:rPr>
                <w:rFonts w:ascii="Arial" w:hAnsi="Arial" w:eastAsia="华文细黑"/>
                <w:sz w:val="18"/>
                <w:szCs w:val="21"/>
              </w:rPr>
            </w:pPr>
            <w:r>
              <w:rPr>
                <w:rFonts w:hint="eastAsia" w:ascii="Arial" w:hAnsi="Arial" w:eastAsia="华文细黑"/>
                <w:sz w:val="18"/>
                <w:szCs w:val="21"/>
              </w:rPr>
              <w:t>评估专业人员通过现场调查、调档机构内部积累数据，搜集了与估价对象使用功能相似的6个租赁交易实例数据，案例明细详见下表：</w:t>
            </w:r>
          </w:p>
          <w:p w14:paraId="72F1A1F7">
            <w:pPr>
              <w:spacing w:line="360" w:lineRule="auto"/>
              <w:ind w:firstLine="360" w:firstLineChars="200"/>
              <w:rPr>
                <w:rFonts w:ascii="Arial" w:hAnsi="Arial" w:eastAsia="华文细黑"/>
                <w:sz w:val="18"/>
                <w:szCs w:val="21"/>
              </w:rPr>
            </w:pPr>
            <w:r>
              <w:rPr>
                <w:rFonts w:hint="eastAsia" w:ascii="Arial" w:hAnsi="Arial" w:eastAsia="华文细黑"/>
                <w:sz w:val="18"/>
                <w:szCs w:val="21"/>
              </w:rPr>
              <w:t>周边租金案例调查表</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324"/>
              <w:gridCol w:w="1358"/>
              <w:gridCol w:w="931"/>
              <w:gridCol w:w="996"/>
              <w:gridCol w:w="1050"/>
              <w:gridCol w:w="1548"/>
              <w:gridCol w:w="1548"/>
            </w:tblGrid>
            <w:tr w14:paraId="1FFA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4" w:type="pct"/>
                  <w:vAlign w:val="center"/>
                </w:tcPr>
                <w:p w14:paraId="3ADF6390">
                  <w:pPr>
                    <w:spacing w:line="240" w:lineRule="auto"/>
                    <w:jc w:val="center"/>
                    <w:rPr>
                      <w:rFonts w:hint="eastAsia" w:ascii="华文细黑" w:hAnsi="华文细黑" w:eastAsia="华文细黑" w:cs="Arial"/>
                      <w:sz w:val="16"/>
                      <w:szCs w:val="16"/>
                    </w:rPr>
                  </w:pPr>
                  <w:r>
                    <w:rPr>
                      <w:rFonts w:ascii="华文细黑" w:hAnsi="华文细黑" w:eastAsia="华文细黑" w:cs="Arial"/>
                      <w:sz w:val="16"/>
                      <w:szCs w:val="16"/>
                    </w:rPr>
                    <w:t>序号</w:t>
                  </w:r>
                </w:p>
              </w:tc>
              <w:tc>
                <w:tcPr>
                  <w:tcW w:w="713" w:type="pct"/>
                  <w:vAlign w:val="center"/>
                </w:tcPr>
                <w:p w14:paraId="26FB5545">
                  <w:pPr>
                    <w:spacing w:line="240" w:lineRule="auto"/>
                    <w:jc w:val="center"/>
                    <w:rPr>
                      <w:rFonts w:hint="eastAsia" w:ascii="华文细黑" w:hAnsi="华文细黑" w:eastAsia="华文细黑" w:cs="Arial"/>
                      <w:sz w:val="16"/>
                      <w:szCs w:val="16"/>
                    </w:rPr>
                  </w:pPr>
                  <w:r>
                    <w:rPr>
                      <w:rFonts w:ascii="华文细黑" w:hAnsi="华文细黑" w:eastAsia="华文细黑" w:cs="Arial"/>
                      <w:sz w:val="16"/>
                      <w:szCs w:val="16"/>
                    </w:rPr>
                    <w:t>小区名称</w:t>
                  </w:r>
                </w:p>
              </w:tc>
              <w:tc>
                <w:tcPr>
                  <w:tcW w:w="731" w:type="pct"/>
                  <w:vAlign w:val="center"/>
                </w:tcPr>
                <w:p w14:paraId="1302F643">
                  <w:pPr>
                    <w:spacing w:line="240" w:lineRule="auto"/>
                    <w:jc w:val="center"/>
                    <w:rPr>
                      <w:rFonts w:hint="eastAsia" w:ascii="华文细黑" w:hAnsi="华文细黑" w:eastAsia="华文细黑" w:cs="Arial"/>
                      <w:sz w:val="16"/>
                      <w:szCs w:val="16"/>
                    </w:rPr>
                  </w:pPr>
                  <w:r>
                    <w:rPr>
                      <w:rFonts w:ascii="华文细黑" w:hAnsi="华文细黑" w:eastAsia="华文细黑" w:cs="Arial"/>
                      <w:sz w:val="16"/>
                      <w:szCs w:val="16"/>
                    </w:rPr>
                    <w:t>项目所在位置</w:t>
                  </w:r>
                </w:p>
              </w:tc>
              <w:tc>
                <w:tcPr>
                  <w:tcW w:w="501" w:type="pct"/>
                  <w:vAlign w:val="center"/>
                </w:tcPr>
                <w:p w14:paraId="73AE12AC">
                  <w:pPr>
                    <w:spacing w:line="240" w:lineRule="auto"/>
                    <w:jc w:val="center"/>
                    <w:rPr>
                      <w:rFonts w:hint="eastAsia" w:ascii="华文细黑" w:hAnsi="华文细黑" w:eastAsia="华文细黑" w:cs="Arial"/>
                      <w:sz w:val="16"/>
                      <w:szCs w:val="16"/>
                    </w:rPr>
                  </w:pPr>
                  <w:r>
                    <w:rPr>
                      <w:rFonts w:ascii="华文细黑" w:hAnsi="华文细黑" w:eastAsia="华文细黑" w:cs="Arial"/>
                      <w:sz w:val="16"/>
                      <w:szCs w:val="16"/>
                    </w:rPr>
                    <w:t>用途</w:t>
                  </w:r>
                </w:p>
              </w:tc>
              <w:tc>
                <w:tcPr>
                  <w:tcW w:w="536" w:type="pct"/>
                  <w:vAlign w:val="center"/>
                </w:tcPr>
                <w:p w14:paraId="780F425F">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建筑</w:t>
                  </w:r>
                  <w:r>
                    <w:rPr>
                      <w:rFonts w:ascii="华文细黑" w:hAnsi="华文细黑" w:eastAsia="华文细黑" w:cs="Arial"/>
                      <w:sz w:val="16"/>
                      <w:szCs w:val="16"/>
                    </w:rPr>
                    <w:t>面积</w:t>
                  </w:r>
                </w:p>
                <w:p w14:paraId="7C723A4F">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（平方米）</w:t>
                  </w:r>
                </w:p>
              </w:tc>
              <w:tc>
                <w:tcPr>
                  <w:tcW w:w="565" w:type="pct"/>
                  <w:vAlign w:val="center"/>
                </w:tcPr>
                <w:p w14:paraId="4533D605">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户型</w:t>
                  </w:r>
                </w:p>
              </w:tc>
              <w:tc>
                <w:tcPr>
                  <w:tcW w:w="833" w:type="pct"/>
                </w:tcPr>
                <w:p w14:paraId="70A65841">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挂牌单位租金</w:t>
                  </w:r>
                </w:p>
                <w:p w14:paraId="389498AB">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（元/间·月）</w:t>
                  </w:r>
                </w:p>
              </w:tc>
              <w:tc>
                <w:tcPr>
                  <w:tcW w:w="833" w:type="pct"/>
                </w:tcPr>
                <w:p w14:paraId="37B1B70E">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挂牌单位租金</w:t>
                  </w:r>
                </w:p>
                <w:p w14:paraId="37C8733F">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（元/平方米·天）</w:t>
                  </w:r>
                </w:p>
              </w:tc>
            </w:tr>
            <w:tr w14:paraId="0D26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84" w:type="pct"/>
                  <w:vAlign w:val="center"/>
                </w:tcPr>
                <w:p w14:paraId="55B53331">
                  <w:pPr>
                    <w:snapToGrid w:val="0"/>
                    <w:spacing w:line="240" w:lineRule="auto"/>
                    <w:jc w:val="center"/>
                    <w:rPr>
                      <w:rFonts w:ascii="Arial" w:hAnsi="Arial" w:eastAsia="华文细黑" w:cs="Arial"/>
                      <w:sz w:val="16"/>
                      <w:szCs w:val="16"/>
                    </w:rPr>
                  </w:pPr>
                  <w:r>
                    <w:rPr>
                      <w:rFonts w:hint="eastAsia" w:ascii="Arial" w:hAnsi="Arial" w:eastAsia="华文细黑" w:cs="Arial"/>
                      <w:sz w:val="16"/>
                      <w:szCs w:val="16"/>
                    </w:rPr>
                    <w:t>1</w:t>
                  </w:r>
                </w:p>
              </w:tc>
              <w:tc>
                <w:tcPr>
                  <w:tcW w:w="713" w:type="pct"/>
                  <w:vAlign w:val="center"/>
                </w:tcPr>
                <w:p w14:paraId="2379C7A1">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鑫苑鑫都汇</w:t>
                  </w:r>
                </w:p>
              </w:tc>
              <w:tc>
                <w:tcPr>
                  <w:tcW w:w="731" w:type="pct"/>
                  <w:vAlign w:val="center"/>
                </w:tcPr>
                <w:p w14:paraId="11EC2363">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永大路1号</w:t>
                  </w:r>
                </w:p>
              </w:tc>
              <w:tc>
                <w:tcPr>
                  <w:tcW w:w="501" w:type="pct"/>
                  <w:vAlign w:val="center"/>
                </w:tcPr>
                <w:p w14:paraId="2B1653C6">
                  <w:pPr>
                    <w:snapToGrid w:val="0"/>
                    <w:spacing w:line="240" w:lineRule="auto"/>
                    <w:jc w:val="center"/>
                    <w:rPr>
                      <w:rFonts w:ascii="Arial" w:hAnsi="Arial" w:eastAsia="华文细黑" w:cs="Arial"/>
                      <w:color w:val="000000"/>
                      <w:sz w:val="16"/>
                      <w:szCs w:val="16"/>
                    </w:rPr>
                  </w:pPr>
                  <w:r>
                    <w:rPr>
                      <w:rFonts w:ascii="Arial" w:hAnsi="Arial" w:eastAsia="华文细黑" w:cs="Arial"/>
                      <w:color w:val="000000"/>
                      <w:sz w:val="16"/>
                      <w:szCs w:val="16"/>
                    </w:rPr>
                    <w:t>公寓</w:t>
                  </w:r>
                </w:p>
              </w:tc>
              <w:tc>
                <w:tcPr>
                  <w:tcW w:w="536" w:type="pct"/>
                  <w:vAlign w:val="center"/>
                </w:tcPr>
                <w:p w14:paraId="12989F5C">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30</w:t>
                  </w:r>
                </w:p>
              </w:tc>
              <w:tc>
                <w:tcPr>
                  <w:tcW w:w="565" w:type="pct"/>
                  <w:vAlign w:val="center"/>
                </w:tcPr>
                <w:p w14:paraId="04264A64">
                  <w:pPr>
                    <w:snapToGrid w:val="0"/>
                    <w:spacing w:line="240" w:lineRule="auto"/>
                    <w:jc w:val="center"/>
                    <w:rPr>
                      <w:rFonts w:ascii="Arial" w:hAnsi="Arial" w:eastAsia="华文细黑" w:cs="Arial"/>
                      <w:color w:val="000000"/>
                      <w:sz w:val="16"/>
                      <w:szCs w:val="16"/>
                    </w:rPr>
                  </w:pPr>
                  <w:r>
                    <w:rPr>
                      <w:rFonts w:ascii="Arial" w:hAnsi="Arial" w:eastAsia="华文细黑" w:cs="Arial"/>
                      <w:color w:val="000000"/>
                      <w:sz w:val="16"/>
                      <w:szCs w:val="16"/>
                    </w:rPr>
                    <w:t>一居室</w:t>
                  </w:r>
                </w:p>
              </w:tc>
              <w:tc>
                <w:tcPr>
                  <w:tcW w:w="833" w:type="pct"/>
                  <w:vAlign w:val="center"/>
                </w:tcPr>
                <w:p w14:paraId="4C009A1F">
                  <w:pPr>
                    <w:snapToGrid w:val="0"/>
                    <w:spacing w:line="240" w:lineRule="auto"/>
                    <w:jc w:val="center"/>
                    <w:rPr>
                      <w:rFonts w:ascii="Arial" w:hAnsi="Arial" w:eastAsia="华文细黑" w:cs="Arial"/>
                      <w:sz w:val="16"/>
                      <w:szCs w:val="16"/>
                    </w:rPr>
                  </w:pPr>
                  <w:r>
                    <w:rPr>
                      <w:rFonts w:hint="eastAsia" w:ascii="Arial" w:hAnsi="Arial" w:eastAsia="华文细黑" w:cs="Arial"/>
                      <w:sz w:val="16"/>
                      <w:szCs w:val="16"/>
                    </w:rPr>
                    <w:t>1950</w:t>
                  </w:r>
                </w:p>
              </w:tc>
              <w:tc>
                <w:tcPr>
                  <w:tcW w:w="833" w:type="pct"/>
                  <w:vAlign w:val="center"/>
                </w:tcPr>
                <w:p w14:paraId="4E256F27">
                  <w:pPr>
                    <w:snapToGrid w:val="0"/>
                    <w:spacing w:line="240" w:lineRule="auto"/>
                    <w:jc w:val="center"/>
                    <w:rPr>
                      <w:rFonts w:ascii="Arial" w:hAnsi="Arial" w:eastAsia="华文细黑" w:cs="Arial"/>
                      <w:sz w:val="16"/>
                      <w:szCs w:val="16"/>
                    </w:rPr>
                  </w:pPr>
                  <w:r>
                    <w:rPr>
                      <w:rFonts w:hint="eastAsia" w:ascii="Arial" w:hAnsi="Arial" w:eastAsia="华文细黑" w:cs="Arial"/>
                      <w:sz w:val="16"/>
                      <w:szCs w:val="16"/>
                    </w:rPr>
                    <w:t>2.20</w:t>
                  </w:r>
                </w:p>
              </w:tc>
            </w:tr>
            <w:tr w14:paraId="3693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24" w:type="dxa"/>
                  <w:vAlign w:val="center"/>
                </w:tcPr>
                <w:p w14:paraId="06F9CB22">
                  <w:pPr>
                    <w:snapToGrid w:val="0"/>
                    <w:spacing w:line="240" w:lineRule="auto"/>
                    <w:jc w:val="center"/>
                    <w:rPr>
                      <w:rFonts w:ascii="Arial" w:hAnsi="Arial" w:eastAsia="华文细黑" w:cs="Arial"/>
                      <w:b/>
                      <w:bCs/>
                      <w:sz w:val="16"/>
                      <w:szCs w:val="16"/>
                    </w:rPr>
                  </w:pPr>
                  <w:r>
                    <w:rPr>
                      <w:rFonts w:hint="eastAsia" w:ascii="Arial" w:hAnsi="Arial" w:eastAsia="华文细黑" w:cs="Arial"/>
                      <w:b/>
                      <w:bCs/>
                      <w:sz w:val="16"/>
                      <w:szCs w:val="16"/>
                    </w:rPr>
                    <w:t>2</w:t>
                  </w:r>
                </w:p>
              </w:tc>
              <w:tc>
                <w:tcPr>
                  <w:tcW w:w="1316" w:type="dxa"/>
                  <w:vAlign w:val="center"/>
                </w:tcPr>
                <w:p w14:paraId="37F29BD6">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中海寰宇时代瀛川府</w:t>
                  </w:r>
                </w:p>
              </w:tc>
              <w:tc>
                <w:tcPr>
                  <w:tcW w:w="1349" w:type="dxa"/>
                  <w:vAlign w:val="center"/>
                </w:tcPr>
                <w:p w14:paraId="71513B54">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瀛坤路18号</w:t>
                  </w:r>
                </w:p>
              </w:tc>
              <w:tc>
                <w:tcPr>
                  <w:tcW w:w="925" w:type="dxa"/>
                  <w:vAlign w:val="center"/>
                </w:tcPr>
                <w:p w14:paraId="545DF682">
                  <w:pPr>
                    <w:snapToGrid w:val="0"/>
                    <w:spacing w:line="240" w:lineRule="auto"/>
                    <w:jc w:val="center"/>
                    <w:rPr>
                      <w:rFonts w:ascii="Arial" w:hAnsi="Arial" w:eastAsia="华文细黑" w:cs="Arial"/>
                      <w:b/>
                      <w:bCs/>
                      <w:color w:val="000000"/>
                      <w:sz w:val="16"/>
                      <w:szCs w:val="16"/>
                    </w:rPr>
                  </w:pPr>
                  <w:r>
                    <w:rPr>
                      <w:rFonts w:ascii="Arial" w:hAnsi="Arial" w:eastAsia="华文细黑" w:cs="Arial"/>
                      <w:b/>
                      <w:bCs/>
                      <w:color w:val="000000"/>
                      <w:sz w:val="16"/>
                      <w:szCs w:val="16"/>
                    </w:rPr>
                    <w:t>公寓</w:t>
                  </w:r>
                </w:p>
              </w:tc>
              <w:tc>
                <w:tcPr>
                  <w:tcW w:w="989" w:type="dxa"/>
                  <w:vAlign w:val="center"/>
                </w:tcPr>
                <w:p w14:paraId="33C6AFC5">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sz w:val="16"/>
                      <w:szCs w:val="16"/>
                    </w:rPr>
                    <w:t>30</w:t>
                  </w:r>
                </w:p>
              </w:tc>
              <w:tc>
                <w:tcPr>
                  <w:tcW w:w="1043" w:type="dxa"/>
                  <w:vAlign w:val="center"/>
                </w:tcPr>
                <w:p w14:paraId="6851EA89">
                  <w:pPr>
                    <w:snapToGrid w:val="0"/>
                    <w:spacing w:line="240" w:lineRule="auto"/>
                    <w:jc w:val="center"/>
                    <w:rPr>
                      <w:rFonts w:ascii="Arial" w:hAnsi="Arial" w:eastAsia="华文细黑" w:cs="Arial"/>
                      <w:b/>
                      <w:bCs/>
                      <w:color w:val="000000"/>
                      <w:sz w:val="16"/>
                      <w:szCs w:val="16"/>
                    </w:rPr>
                  </w:pPr>
                  <w:r>
                    <w:rPr>
                      <w:rFonts w:ascii="Arial" w:hAnsi="Arial" w:eastAsia="华文细黑" w:cs="Arial"/>
                      <w:b/>
                      <w:bCs/>
                      <w:color w:val="000000"/>
                      <w:sz w:val="16"/>
                      <w:szCs w:val="16"/>
                    </w:rPr>
                    <w:t>一居室</w:t>
                  </w:r>
                </w:p>
              </w:tc>
              <w:tc>
                <w:tcPr>
                  <w:tcW w:w="1538" w:type="dxa"/>
                  <w:vAlign w:val="center"/>
                </w:tcPr>
                <w:p w14:paraId="299F7F09">
                  <w:pPr>
                    <w:snapToGrid w:val="0"/>
                    <w:spacing w:line="240" w:lineRule="auto"/>
                    <w:jc w:val="center"/>
                    <w:rPr>
                      <w:rFonts w:ascii="Arial" w:hAnsi="Arial" w:eastAsia="华文细黑" w:cs="Arial"/>
                      <w:b/>
                      <w:bCs/>
                      <w:sz w:val="16"/>
                      <w:szCs w:val="16"/>
                    </w:rPr>
                  </w:pPr>
                  <w:r>
                    <w:rPr>
                      <w:rFonts w:hint="eastAsia" w:ascii="Arial" w:hAnsi="Arial" w:eastAsia="华文细黑" w:cs="Arial"/>
                      <w:b/>
                      <w:bCs/>
                      <w:sz w:val="16"/>
                      <w:szCs w:val="16"/>
                    </w:rPr>
                    <w:t>1900</w:t>
                  </w:r>
                </w:p>
              </w:tc>
              <w:tc>
                <w:tcPr>
                  <w:tcW w:w="1538" w:type="dxa"/>
                  <w:vAlign w:val="center"/>
                </w:tcPr>
                <w:p w14:paraId="66D93A02">
                  <w:pPr>
                    <w:snapToGrid w:val="0"/>
                    <w:spacing w:line="240" w:lineRule="auto"/>
                    <w:jc w:val="center"/>
                    <w:rPr>
                      <w:rFonts w:ascii="Arial" w:hAnsi="Arial" w:eastAsia="华文细黑" w:cs="Arial"/>
                      <w:b/>
                      <w:bCs/>
                      <w:sz w:val="16"/>
                      <w:szCs w:val="16"/>
                    </w:rPr>
                  </w:pPr>
                  <w:r>
                    <w:rPr>
                      <w:rFonts w:hint="eastAsia" w:ascii="Arial" w:hAnsi="Arial" w:eastAsia="华文细黑" w:cs="Arial"/>
                      <w:b/>
                      <w:bCs/>
                      <w:sz w:val="16"/>
                      <w:szCs w:val="16"/>
                    </w:rPr>
                    <w:t>2.10</w:t>
                  </w:r>
                </w:p>
              </w:tc>
            </w:tr>
            <w:tr w14:paraId="10EC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24" w:type="dxa"/>
                  <w:vAlign w:val="center"/>
                </w:tcPr>
                <w:p w14:paraId="4CCAB7DC">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3</w:t>
                  </w:r>
                </w:p>
              </w:tc>
              <w:tc>
                <w:tcPr>
                  <w:tcW w:w="1316" w:type="dxa"/>
                  <w:vAlign w:val="center"/>
                </w:tcPr>
                <w:p w14:paraId="17FC4E1D">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金科天宸荟</w:t>
                  </w:r>
                </w:p>
              </w:tc>
              <w:tc>
                <w:tcPr>
                  <w:tcW w:w="1349" w:type="dxa"/>
                  <w:vAlign w:val="center"/>
                </w:tcPr>
                <w:p w14:paraId="454D642F">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永旺路1号</w:t>
                  </w:r>
                </w:p>
              </w:tc>
              <w:tc>
                <w:tcPr>
                  <w:tcW w:w="925" w:type="dxa"/>
                  <w:vAlign w:val="center"/>
                </w:tcPr>
                <w:p w14:paraId="45093B03">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公寓</w:t>
                  </w:r>
                </w:p>
              </w:tc>
              <w:tc>
                <w:tcPr>
                  <w:tcW w:w="989" w:type="dxa"/>
                  <w:vAlign w:val="center"/>
                </w:tcPr>
                <w:p w14:paraId="0E29B710">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30</w:t>
                  </w:r>
                </w:p>
              </w:tc>
              <w:tc>
                <w:tcPr>
                  <w:tcW w:w="1043" w:type="dxa"/>
                  <w:vAlign w:val="center"/>
                </w:tcPr>
                <w:p w14:paraId="71609389">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一居室</w:t>
                  </w:r>
                </w:p>
              </w:tc>
              <w:tc>
                <w:tcPr>
                  <w:tcW w:w="1538" w:type="dxa"/>
                  <w:vAlign w:val="center"/>
                </w:tcPr>
                <w:p w14:paraId="2108EDDA">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2000</w:t>
                  </w:r>
                </w:p>
              </w:tc>
              <w:tc>
                <w:tcPr>
                  <w:tcW w:w="1538" w:type="dxa"/>
                  <w:vAlign w:val="center"/>
                </w:tcPr>
                <w:p w14:paraId="6E997A11">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2.22</w:t>
                  </w:r>
                </w:p>
              </w:tc>
            </w:tr>
            <w:tr w14:paraId="7593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24" w:type="dxa"/>
                  <w:vAlign w:val="center"/>
                </w:tcPr>
                <w:p w14:paraId="67CEBB92">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4</w:t>
                  </w:r>
                </w:p>
              </w:tc>
              <w:tc>
                <w:tcPr>
                  <w:tcW w:w="1316" w:type="dxa"/>
                  <w:vAlign w:val="center"/>
                </w:tcPr>
                <w:p w14:paraId="00FEB832">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龙湖时代天街东区</w:t>
                  </w:r>
                </w:p>
              </w:tc>
              <w:tc>
                <w:tcPr>
                  <w:tcW w:w="1349" w:type="dxa"/>
                  <w:vAlign w:val="center"/>
                </w:tcPr>
                <w:p w14:paraId="46ECF5B5">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永兴路5号</w:t>
                  </w:r>
                </w:p>
              </w:tc>
              <w:tc>
                <w:tcPr>
                  <w:tcW w:w="925" w:type="dxa"/>
                  <w:vAlign w:val="center"/>
                </w:tcPr>
                <w:p w14:paraId="0B9B0CA8">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公寓</w:t>
                  </w:r>
                </w:p>
              </w:tc>
              <w:tc>
                <w:tcPr>
                  <w:tcW w:w="989" w:type="dxa"/>
                  <w:vAlign w:val="center"/>
                </w:tcPr>
                <w:p w14:paraId="56413730">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30</w:t>
                  </w:r>
                </w:p>
              </w:tc>
              <w:tc>
                <w:tcPr>
                  <w:tcW w:w="1043" w:type="dxa"/>
                  <w:vAlign w:val="center"/>
                </w:tcPr>
                <w:p w14:paraId="1EEF0215">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一居室</w:t>
                  </w:r>
                </w:p>
              </w:tc>
              <w:tc>
                <w:tcPr>
                  <w:tcW w:w="1538" w:type="dxa"/>
                  <w:vAlign w:val="center"/>
                </w:tcPr>
                <w:p w14:paraId="522FAAB5">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2000</w:t>
                  </w:r>
                </w:p>
              </w:tc>
              <w:tc>
                <w:tcPr>
                  <w:tcW w:w="1538" w:type="dxa"/>
                  <w:vAlign w:val="center"/>
                </w:tcPr>
                <w:p w14:paraId="09B4BBBF">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2.22</w:t>
                  </w:r>
                </w:p>
              </w:tc>
            </w:tr>
            <w:tr w14:paraId="1A58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24" w:type="dxa"/>
                  <w:vAlign w:val="center"/>
                </w:tcPr>
                <w:p w14:paraId="2E2FE300">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5</w:t>
                  </w:r>
                </w:p>
              </w:tc>
              <w:tc>
                <w:tcPr>
                  <w:tcW w:w="1316" w:type="dxa"/>
                  <w:vAlign w:val="center"/>
                </w:tcPr>
                <w:p w14:paraId="7E24460C">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住总万科城</w:t>
                  </w:r>
                </w:p>
              </w:tc>
              <w:tc>
                <w:tcPr>
                  <w:tcW w:w="1349" w:type="dxa"/>
                  <w:vAlign w:val="center"/>
                </w:tcPr>
                <w:p w14:paraId="50A02C66">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天和西路2号</w:t>
                  </w:r>
                </w:p>
              </w:tc>
              <w:tc>
                <w:tcPr>
                  <w:tcW w:w="925" w:type="dxa"/>
                  <w:vAlign w:val="center"/>
                </w:tcPr>
                <w:p w14:paraId="2BD43094">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公寓</w:t>
                  </w:r>
                </w:p>
              </w:tc>
              <w:tc>
                <w:tcPr>
                  <w:tcW w:w="989" w:type="dxa"/>
                  <w:vAlign w:val="center"/>
                </w:tcPr>
                <w:p w14:paraId="06586A59">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30</w:t>
                  </w:r>
                </w:p>
              </w:tc>
              <w:tc>
                <w:tcPr>
                  <w:tcW w:w="1043" w:type="dxa"/>
                  <w:vAlign w:val="center"/>
                </w:tcPr>
                <w:p w14:paraId="08F47DE0">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一居室</w:t>
                  </w:r>
                </w:p>
              </w:tc>
              <w:tc>
                <w:tcPr>
                  <w:tcW w:w="1538" w:type="dxa"/>
                  <w:vAlign w:val="center"/>
                </w:tcPr>
                <w:p w14:paraId="268DADED">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2100</w:t>
                  </w:r>
                </w:p>
              </w:tc>
              <w:tc>
                <w:tcPr>
                  <w:tcW w:w="1538" w:type="dxa"/>
                  <w:vAlign w:val="center"/>
                </w:tcPr>
                <w:p w14:paraId="245635BD">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2.33</w:t>
                  </w:r>
                </w:p>
              </w:tc>
            </w:tr>
            <w:tr w14:paraId="5570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24" w:type="dxa"/>
                  <w:vAlign w:val="center"/>
                </w:tcPr>
                <w:p w14:paraId="4CBE410F">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6</w:t>
                  </w:r>
                </w:p>
              </w:tc>
              <w:tc>
                <w:tcPr>
                  <w:tcW w:w="1316" w:type="dxa"/>
                  <w:vAlign w:val="center"/>
                </w:tcPr>
                <w:p w14:paraId="39D2CB0B">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北京密码</w:t>
                  </w:r>
                </w:p>
              </w:tc>
              <w:tc>
                <w:tcPr>
                  <w:tcW w:w="1349" w:type="dxa"/>
                  <w:vAlign w:val="center"/>
                </w:tcPr>
                <w:p w14:paraId="66C442BB">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龙发大街1号</w:t>
                  </w:r>
                </w:p>
              </w:tc>
              <w:tc>
                <w:tcPr>
                  <w:tcW w:w="925" w:type="dxa"/>
                  <w:vAlign w:val="center"/>
                </w:tcPr>
                <w:p w14:paraId="1240E2B1">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公寓</w:t>
                  </w:r>
                </w:p>
              </w:tc>
              <w:tc>
                <w:tcPr>
                  <w:tcW w:w="989" w:type="dxa"/>
                  <w:vAlign w:val="center"/>
                </w:tcPr>
                <w:p w14:paraId="5E456336">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30</w:t>
                  </w:r>
                </w:p>
              </w:tc>
              <w:tc>
                <w:tcPr>
                  <w:tcW w:w="1043" w:type="dxa"/>
                  <w:vAlign w:val="center"/>
                </w:tcPr>
                <w:p w14:paraId="26FBF053">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一居室</w:t>
                  </w:r>
                </w:p>
              </w:tc>
              <w:tc>
                <w:tcPr>
                  <w:tcW w:w="1538" w:type="dxa"/>
                  <w:vAlign w:val="center"/>
                </w:tcPr>
                <w:p w14:paraId="2A3F7499">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1600</w:t>
                  </w:r>
                </w:p>
              </w:tc>
              <w:tc>
                <w:tcPr>
                  <w:tcW w:w="1538" w:type="dxa"/>
                  <w:vAlign w:val="center"/>
                </w:tcPr>
                <w:p w14:paraId="5F68E041">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1.78</w:t>
                  </w:r>
                </w:p>
              </w:tc>
            </w:tr>
          </w:tbl>
          <w:p w14:paraId="479C7EF6">
            <w:pPr>
              <w:spacing w:line="360" w:lineRule="auto"/>
              <w:rPr>
                <w:rFonts w:ascii="Arial" w:hAnsi="Arial" w:eastAsia="华文细黑"/>
                <w:sz w:val="18"/>
                <w:szCs w:val="21"/>
              </w:rPr>
            </w:pPr>
          </w:p>
          <w:p w14:paraId="59BF867F">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本次采用同品质优先原则，综合区位、小区规模、户型结构等因素筛选租赁交易案例作为本次咨询对象租金的可比实例，最终选取了案例2、3、5作为可比实例。</w:t>
            </w:r>
          </w:p>
          <w:p w14:paraId="23979BE4">
            <w:pPr>
              <w:spacing w:line="360" w:lineRule="auto"/>
              <w:ind w:firstLine="360" w:firstLineChars="200"/>
              <w:rPr>
                <w:rFonts w:ascii="Arial" w:hAnsi="Arial" w:eastAsia="华文细黑"/>
                <w:sz w:val="18"/>
                <w:szCs w:val="21"/>
              </w:rPr>
            </w:pPr>
            <w:r>
              <w:rPr>
                <w:rFonts w:hint="eastAsia" w:ascii="Arial" w:hAnsi="Arial" w:eastAsia="华文细黑"/>
                <w:sz w:val="18"/>
                <w:szCs w:val="21"/>
              </w:rPr>
              <w:t>因上述租金案例均为挂牌价格，根据现状租赁市场情况，实际成交租金同挂牌租金存在一定差异，在此进行修正：</w:t>
            </w:r>
          </w:p>
          <w:p w14:paraId="0A4446EF">
            <w:pPr>
              <w:spacing w:line="360" w:lineRule="auto"/>
              <w:ind w:firstLine="360" w:firstLineChars="200"/>
              <w:rPr>
                <w:rFonts w:ascii="Arial" w:hAnsi="Arial" w:eastAsia="华文细黑"/>
                <w:sz w:val="18"/>
                <w:szCs w:val="21"/>
              </w:rPr>
            </w:pPr>
            <w:r>
              <w:rPr>
                <w:rFonts w:hint="eastAsia" w:ascii="Arial" w:hAnsi="Arial" w:eastAsia="华文细黑"/>
                <w:sz w:val="18"/>
                <w:szCs w:val="21"/>
              </w:rPr>
              <w:t>案例2 中海寰宇时代瀛川府平均租金=挂牌租金×交易情况修正系数=2.10×0.9=1.90元/平方米·天</w:t>
            </w:r>
          </w:p>
          <w:p w14:paraId="7861EEC6">
            <w:pPr>
              <w:spacing w:line="360" w:lineRule="auto"/>
              <w:ind w:firstLine="360" w:firstLineChars="200"/>
              <w:rPr>
                <w:rFonts w:ascii="Arial" w:hAnsi="Arial" w:eastAsia="华文细黑"/>
                <w:sz w:val="18"/>
                <w:szCs w:val="21"/>
              </w:rPr>
            </w:pPr>
            <w:r>
              <w:rPr>
                <w:rFonts w:hint="eastAsia" w:ascii="Arial" w:hAnsi="Arial" w:eastAsia="华文细黑"/>
                <w:sz w:val="18"/>
                <w:szCs w:val="21"/>
              </w:rPr>
              <w:t xml:space="preserve">案例5 </w:t>
            </w:r>
            <w:r>
              <w:rPr>
                <w:rFonts w:ascii="Arial" w:hAnsi="Arial" w:eastAsia="华文细黑"/>
                <w:sz w:val="18"/>
                <w:szCs w:val="21"/>
              </w:rPr>
              <w:t>住总万科城</w:t>
            </w:r>
            <w:r>
              <w:rPr>
                <w:rFonts w:hint="eastAsia" w:ascii="Arial" w:hAnsi="Arial" w:eastAsia="华文细黑"/>
                <w:sz w:val="18"/>
                <w:szCs w:val="21"/>
              </w:rPr>
              <w:t>平均租金=挂牌租金×交易情况修正系数=2.33×0.9=2.10元/平方米·天</w:t>
            </w:r>
          </w:p>
          <w:p w14:paraId="60122BB9">
            <w:pPr>
              <w:spacing w:line="360" w:lineRule="auto"/>
              <w:ind w:firstLine="360" w:firstLineChars="200"/>
              <w:rPr>
                <w:rFonts w:ascii="Arial" w:hAnsi="Arial" w:eastAsia="华文细黑"/>
                <w:sz w:val="18"/>
                <w:szCs w:val="21"/>
              </w:rPr>
            </w:pPr>
            <w:r>
              <w:rPr>
                <w:rFonts w:hint="eastAsia" w:ascii="Arial" w:hAnsi="Arial" w:eastAsia="华文细黑"/>
                <w:sz w:val="18"/>
                <w:szCs w:val="21"/>
              </w:rPr>
              <w:t>案例3 金科天宸荟平均租金=挂牌租金×交易情况修正系数=2.22×0.9=2.00元/平方米·天</w:t>
            </w:r>
          </w:p>
          <w:p w14:paraId="3424338C">
            <w:pPr>
              <w:spacing w:line="360" w:lineRule="auto"/>
              <w:rPr>
                <w:rFonts w:ascii="Arial" w:hAnsi="Arial" w:eastAsia="华文细黑"/>
                <w:sz w:val="18"/>
                <w:szCs w:val="21"/>
              </w:rPr>
            </w:pPr>
          </w:p>
          <w:p w14:paraId="6BDA4571">
            <w:pPr>
              <w:spacing w:line="360" w:lineRule="auto"/>
              <w:rPr>
                <w:rFonts w:ascii="Arial" w:hAnsi="Arial" w:eastAsia="华文细黑"/>
                <w:sz w:val="18"/>
                <w:szCs w:val="21"/>
              </w:rPr>
            </w:pPr>
            <w:r>
              <w:rPr>
                <w:rFonts w:hint="eastAsia" w:ascii="Arial" w:hAnsi="Arial" w:eastAsia="华文细黑"/>
                <w:sz w:val="18"/>
                <w:szCs w:val="21"/>
              </w:rPr>
              <w:t>各案例位置如下：</w:t>
            </w:r>
          </w:p>
          <w:tbl>
            <w:tblPr>
              <w:tblStyle w:val="32"/>
              <w:tblW w:w="9240" w:type="dxa"/>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autofit"/>
              <w:tblCellMar>
                <w:top w:w="28" w:type="dxa"/>
                <w:left w:w="28" w:type="dxa"/>
                <w:bottom w:w="28" w:type="dxa"/>
                <w:right w:w="28" w:type="dxa"/>
              </w:tblCellMar>
            </w:tblPr>
            <w:tblGrid>
              <w:gridCol w:w="9294"/>
            </w:tblGrid>
            <w:tr w14:paraId="33D5D9F7">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PrEx>
              <w:trPr>
                <w:cantSplit/>
                <w:trHeight w:val="338" w:hRule="atLeast"/>
                <w:jc w:val="center"/>
              </w:trPr>
              <w:tc>
                <w:tcPr>
                  <w:tcW w:w="9240" w:type="dxa"/>
                  <w:tcBorders>
                    <w:top w:val="dotted" w:color="404040" w:sz="2" w:space="0"/>
                    <w:left w:val="dotted" w:color="404040" w:sz="2" w:space="0"/>
                    <w:bottom w:val="dotted" w:color="404040" w:sz="2" w:space="0"/>
                    <w:right w:val="dotted" w:color="404040" w:sz="2" w:space="0"/>
                  </w:tcBorders>
                </w:tcPr>
                <w:p w14:paraId="2FA6FA1C">
                  <w:pPr>
                    <w:jc w:val="center"/>
                    <w:rPr>
                      <w:rFonts w:hint="eastAsia" w:ascii="华文细黑" w:hAnsi="华文细黑" w:eastAsia="华文细黑"/>
                    </w:rPr>
                  </w:pPr>
                  <w:r>
                    <w:rPr>
                      <w:rFonts w:hint="eastAsia" w:ascii="Arial" w:hAnsi="Arial" w:eastAsia="华文细黑"/>
                      <w:sz w:val="18"/>
                      <w:szCs w:val="21"/>
                    </w:rPr>
                    <w:t>案例位置</w:t>
                  </w:r>
                </w:p>
              </w:tc>
            </w:tr>
            <w:tr w14:paraId="5E0ABE22">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28" w:type="dxa"/>
                  <w:left w:w="108" w:type="dxa"/>
                  <w:bottom w:w="28" w:type="dxa"/>
                  <w:right w:w="108" w:type="dxa"/>
                </w:tblCellMar>
              </w:tblPrEx>
              <w:trPr>
                <w:cantSplit/>
                <w:trHeight w:val="5926" w:hRule="atLeast"/>
                <w:jc w:val="center"/>
              </w:trPr>
              <w:tc>
                <w:tcPr>
                  <w:tcW w:w="9240" w:type="dxa"/>
                  <w:tcBorders>
                    <w:top w:val="dotted" w:color="404040" w:sz="2" w:space="0"/>
                    <w:left w:val="dotted" w:color="404040" w:sz="2" w:space="0"/>
                    <w:bottom w:val="dotted" w:color="404040" w:sz="2" w:space="0"/>
                    <w:right w:val="dotted" w:color="404040" w:sz="2" w:space="0"/>
                  </w:tcBorders>
                </w:tcPr>
                <w:p w14:paraId="2E17B1BF">
                  <w:pPr>
                    <w:jc w:val="center"/>
                    <w:rPr>
                      <w:rFonts w:ascii="Calibri" w:hAnsi="Calibri"/>
                    </w:rPr>
                  </w:pPr>
                  <w:r>
                    <w:rPr>
                      <w:rFonts w:hint="eastAsia" w:ascii="Calibri" w:hAnsi="Calibri"/>
                    </w:rPr>
                    <mc:AlternateContent>
                      <mc:Choice Requires="wps">
                        <w:drawing>
                          <wp:anchor distT="0" distB="0" distL="114300" distR="114300" simplePos="0" relativeHeight="251659264" behindDoc="0" locked="0" layoutInCell="1" allowOverlap="1">
                            <wp:simplePos x="0" y="0"/>
                            <wp:positionH relativeFrom="column">
                              <wp:posOffset>2809875</wp:posOffset>
                            </wp:positionH>
                            <wp:positionV relativeFrom="paragraph">
                              <wp:posOffset>1117600</wp:posOffset>
                            </wp:positionV>
                            <wp:extent cx="1092200" cy="381000"/>
                            <wp:effectExtent l="8255" t="6985" r="80645" b="135890"/>
                            <wp:wrapNone/>
                            <wp:docPr id="1589474402" name="AutoShape 18"/>
                            <wp:cNvGraphicFramePr/>
                            <a:graphic xmlns:a="http://schemas.openxmlformats.org/drawingml/2006/main">
                              <a:graphicData uri="http://schemas.microsoft.com/office/word/2010/wordprocessingShape">
                                <wps:wsp>
                                  <wps:cNvSpPr>
                                    <a:spLocks noChangeArrowheads="1"/>
                                  </wps:cNvSpPr>
                                  <wps:spPr bwMode="auto">
                                    <a:xfrm>
                                      <a:off x="0" y="0"/>
                                      <a:ext cx="1092200" cy="381000"/>
                                    </a:xfrm>
                                    <a:prstGeom prst="wedgeEllipseCallout">
                                      <a:avLst>
                                        <a:gd name="adj1" fmla="val 54014"/>
                                        <a:gd name="adj2" fmla="val 80667"/>
                                      </a:avLst>
                                    </a:prstGeom>
                                    <a:solidFill>
                                      <a:srgbClr val="FF0000"/>
                                    </a:solidFill>
                                    <a:ln w="9525" cmpd="sng">
                                      <a:solidFill>
                                        <a:srgbClr val="000000"/>
                                      </a:solidFill>
                                      <a:miter lim="800000"/>
                                    </a:ln>
                                    <a:effectLst/>
                                  </wps:spPr>
                                  <wps:txbx>
                                    <w:txbxContent>
                                      <w:p w14:paraId="121CC0AD">
                                        <w:pPr>
                                          <w:spacing w:line="240" w:lineRule="auto"/>
                                          <w:jc w:val="center"/>
                                          <w:rPr>
                                            <w:b/>
                                            <w:bCs/>
                                            <w:color w:val="FFFFFF"/>
                                            <w:sz w:val="22"/>
                                            <w:szCs w:val="18"/>
                                          </w:rPr>
                                        </w:pPr>
                                        <w:r>
                                          <w:rPr>
                                            <w:rFonts w:hint="eastAsia"/>
                                            <w:b/>
                                            <w:bCs/>
                                            <w:color w:val="FFFFFF"/>
                                            <w:sz w:val="22"/>
                                            <w:szCs w:val="18"/>
                                          </w:rPr>
                                          <w:t>估价对象</w:t>
                                        </w:r>
                                      </w:p>
                                    </w:txbxContent>
                                  </wps:txbx>
                                  <wps:bodyPr rot="0" vert="horz" wrap="square" lIns="91440" tIns="45720" rIns="91440" bIns="45720" anchor="t" anchorCtr="0" upright="1">
                                    <a:noAutofit/>
                                  </wps:bodyPr>
                                </wps:wsp>
                              </a:graphicData>
                            </a:graphic>
                          </wp:anchor>
                        </w:drawing>
                      </mc:Choice>
                      <mc:Fallback>
                        <w:pict>
                          <v:shape id="AutoShape 18" o:spid="_x0000_s1026" o:spt="63" type="#_x0000_t63" style="position:absolute;left:0pt;margin-left:221.25pt;margin-top:88pt;height:30pt;width:86pt;z-index:251659264;mso-width-relative:page;mso-height-relative:page;" fillcolor="#FF0000" filled="t" stroked="t" coordsize="21600,21600" o:gfxdata="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rfbyXYAAAACwEAAA8AAAAAAAAAAQAgAAAAIgAAAGRycy9kb3ducmV2&#10;LnhtbFBLAQIUABQAAAAIAIdO4kDZRvivbgIAAAAFAAAOAAAAAAAAAAEAIAAAACcBAABkcnMvZTJv&#10;RG9jLnhtbFBLBQYAAAAABgAGAFkBAAAHBgAAAAA=&#10;" adj="22467,28224">
                            <v:fill on="t" focussize="0,0"/>
                            <v:stroke color="#000000" miterlimit="8" joinstyle="miter"/>
                            <v:imagedata o:title=""/>
                            <o:lock v:ext="edit" aspectratio="f"/>
                            <v:textbox>
                              <w:txbxContent>
                                <w:p w14:paraId="121CC0AD">
                                  <w:pPr>
                                    <w:spacing w:line="240" w:lineRule="auto"/>
                                    <w:jc w:val="center"/>
                                    <w:rPr>
                                      <w:b/>
                                      <w:bCs/>
                                      <w:color w:val="FFFFFF"/>
                                      <w:sz w:val="22"/>
                                      <w:szCs w:val="18"/>
                                    </w:rPr>
                                  </w:pPr>
                                  <w:r>
                                    <w:rPr>
                                      <w:rFonts w:hint="eastAsia"/>
                                      <w:b/>
                                      <w:bCs/>
                                      <w:color w:val="FFFFFF"/>
                                      <w:sz w:val="22"/>
                                      <w:szCs w:val="18"/>
                                    </w:rPr>
                                    <w:t>估价对象</w:t>
                                  </w:r>
                                </w:p>
                              </w:txbxContent>
                            </v:textbox>
                          </v:shape>
                        </w:pict>
                      </mc:Fallback>
                    </mc:AlternateContent>
                  </w:r>
                  <w:r>
                    <w:rPr>
                      <w:rFonts w:hint="eastAsia" w:ascii="Calibri" w:hAnsi="Calibri"/>
                    </w:rPr>
                    <mc:AlternateContent>
                      <mc:Choice Requires="wps">
                        <w:drawing>
                          <wp:anchor distT="0" distB="0" distL="114300" distR="114300" simplePos="0" relativeHeight="251662336" behindDoc="0" locked="0" layoutInCell="1" allowOverlap="1">
                            <wp:simplePos x="0" y="0"/>
                            <wp:positionH relativeFrom="column">
                              <wp:posOffset>4651375</wp:posOffset>
                            </wp:positionH>
                            <wp:positionV relativeFrom="paragraph">
                              <wp:posOffset>262255</wp:posOffset>
                            </wp:positionV>
                            <wp:extent cx="606425" cy="304165"/>
                            <wp:effectExtent l="392430" t="8890" r="10795" b="10795"/>
                            <wp:wrapNone/>
                            <wp:docPr id="1034531194" name="AutoShape 19"/>
                            <wp:cNvGraphicFramePr/>
                            <a:graphic xmlns:a="http://schemas.openxmlformats.org/drawingml/2006/main">
                              <a:graphicData uri="http://schemas.microsoft.com/office/word/2010/wordprocessingShape">
                                <wps:wsp>
                                  <wps:cNvSpPr>
                                    <a:spLocks noChangeArrowheads="1"/>
                                  </wps:cNvSpPr>
                                  <wps:spPr bwMode="auto">
                                    <a:xfrm flipV="1">
                                      <a:off x="0" y="0"/>
                                      <a:ext cx="606425" cy="304165"/>
                                    </a:xfrm>
                                    <a:prstGeom prst="wedgeRoundRectCallout">
                                      <a:avLst>
                                        <a:gd name="adj1" fmla="val -106644"/>
                                        <a:gd name="adj2" fmla="val 523"/>
                                        <a:gd name="adj3" fmla="val 16667"/>
                                      </a:avLst>
                                    </a:prstGeom>
                                    <a:solidFill>
                                      <a:srgbClr val="FF0000"/>
                                    </a:solidFill>
                                    <a:ln w="9525" cmpd="sng">
                                      <a:solidFill>
                                        <a:srgbClr val="FF0000"/>
                                      </a:solidFill>
                                      <a:miter lim="800000"/>
                                    </a:ln>
                                    <a:effectLst/>
                                  </wps:spPr>
                                  <wps:txbx>
                                    <w:txbxContent>
                                      <w:p w14:paraId="6645610C">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2</w:t>
                                        </w:r>
                                      </w:p>
                                    </w:txbxContent>
                                  </wps:txbx>
                                  <wps:bodyPr rot="0" vert="horz" wrap="square" lIns="91440" tIns="45720" rIns="91440" bIns="45720" anchor="t" anchorCtr="0" upright="1">
                                    <a:noAutofit/>
                                  </wps:bodyPr>
                                </wps:wsp>
                              </a:graphicData>
                            </a:graphic>
                          </wp:anchor>
                        </w:drawing>
                      </mc:Choice>
                      <mc:Fallback>
                        <w:pict>
                          <v:shape id="AutoShape 19" o:spid="_x0000_s1026" o:spt="62" type="#_x0000_t62" style="position:absolute;left:0pt;flip:y;margin-left:366.25pt;margin-top:20.65pt;height:23.95pt;width:47.75pt;z-index:251662336;mso-width-relative:page;mso-height-relative:page;" fillcolor="#FF0000" filled="t" stroked="t" coordsize="21600,21600" o:gfxdata="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jnYuLZAAAACQEAAA8AAAAAAAAAAQAgAAAAIgAA&#10;AGRycy9kb3ducmV2LnhtbFBLAQIUABQAAAAIAIdO4kDZN0QbeQIAAC8FAAAOAAAAAAAAAAEAIAAA&#10;ACgBAABkcnMvZTJvRG9jLnhtbFBLBQYAAAAABgAGAFkBAAATBgAAAAA=&#10;" adj="-12235,10913,14400">
                            <v:fill on="t" focussize="0,0"/>
                            <v:stroke color="#FF0000" miterlimit="8" joinstyle="miter"/>
                            <v:imagedata o:title=""/>
                            <o:lock v:ext="edit" aspectratio="f"/>
                            <v:textbox>
                              <w:txbxContent>
                                <w:p w14:paraId="6645610C">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2</w:t>
                                  </w:r>
                                </w:p>
                              </w:txbxContent>
                            </v:textbox>
                          </v:shape>
                        </w:pict>
                      </mc:Fallback>
                    </mc:AlternateContent>
                  </w:r>
                  <w:r>
                    <w:rPr>
                      <w:rFonts w:hint="eastAsia" w:ascii="Calibri" w:hAnsi="Calibri"/>
                    </w:rPr>
                    <mc:AlternateContent>
                      <mc:Choice Requires="wps">
                        <w:drawing>
                          <wp:anchor distT="0" distB="0" distL="114300" distR="114300" simplePos="0" relativeHeight="251661312" behindDoc="0" locked="0" layoutInCell="1" allowOverlap="1">
                            <wp:simplePos x="0" y="0"/>
                            <wp:positionH relativeFrom="column">
                              <wp:posOffset>692150</wp:posOffset>
                            </wp:positionH>
                            <wp:positionV relativeFrom="paragraph">
                              <wp:posOffset>2792730</wp:posOffset>
                            </wp:positionV>
                            <wp:extent cx="606425" cy="304165"/>
                            <wp:effectExtent l="24130" t="5715" r="7620" b="223520"/>
                            <wp:wrapNone/>
                            <wp:docPr id="511092905" name="AutoShape 19"/>
                            <wp:cNvGraphicFramePr/>
                            <a:graphic xmlns:a="http://schemas.openxmlformats.org/drawingml/2006/main">
                              <a:graphicData uri="http://schemas.microsoft.com/office/word/2010/wordprocessingShape">
                                <wps:wsp>
                                  <wps:cNvSpPr>
                                    <a:spLocks noChangeArrowheads="1"/>
                                  </wps:cNvSpPr>
                                  <wps:spPr bwMode="auto">
                                    <a:xfrm flipV="1">
                                      <a:off x="0" y="0"/>
                                      <a:ext cx="606425" cy="304165"/>
                                    </a:xfrm>
                                    <a:prstGeom prst="wedgeRoundRectCallout">
                                      <a:avLst>
                                        <a:gd name="adj1" fmla="val -50588"/>
                                        <a:gd name="adj2" fmla="val -115306"/>
                                        <a:gd name="adj3" fmla="val 16667"/>
                                      </a:avLst>
                                    </a:prstGeom>
                                    <a:solidFill>
                                      <a:srgbClr val="FF0000"/>
                                    </a:solidFill>
                                    <a:ln w="9525" cmpd="sng">
                                      <a:solidFill>
                                        <a:srgbClr val="FF0000"/>
                                      </a:solidFill>
                                      <a:miter lim="800000"/>
                                    </a:ln>
                                  </wps:spPr>
                                  <wps:txbx>
                                    <w:txbxContent>
                                      <w:p w14:paraId="021AD671">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5</w:t>
                                        </w:r>
                                      </w:p>
                                    </w:txbxContent>
                                  </wps:txbx>
                                  <wps:bodyPr rot="0" vert="horz" wrap="square" lIns="91440" tIns="45720" rIns="91440" bIns="45720" anchor="t" anchorCtr="0" upright="1">
                                    <a:noAutofit/>
                                  </wps:bodyPr>
                                </wps:wsp>
                              </a:graphicData>
                            </a:graphic>
                          </wp:anchor>
                        </w:drawing>
                      </mc:Choice>
                      <mc:Fallback>
                        <w:pict>
                          <v:shape id="AutoShape 19" o:spid="_x0000_s1026" o:spt="62" type="#_x0000_t62" style="position:absolute;left:0pt;flip:y;margin-left:54.5pt;margin-top:219.9pt;height:23.95pt;width:47.75pt;z-index:251661312;mso-width-relative:page;mso-height-relative:page;" fillcolor="#FF0000" filled="t" stroked="t" coordsize="21600,21600" o:gfxdata="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rTSdcAAAALAQAADwAAAAAAAAABACAAAAAiAAAAZHJzL2Rv&#10;d25yZXYueG1sUEsBAhQAFAAAAAgAh07iQEvwLcd0AgAAIwUAAA4AAAAAAAAAAQAgAAAAJgEAAGRy&#10;cy9lMm9Eb2MueG1sUEsFBgAAAAAGAAYAWQEAAAwGAAAAAA==&#10;" adj="-127,-14106,14400">
                            <v:fill on="t" focussize="0,0"/>
                            <v:stroke color="#FF0000" miterlimit="8" joinstyle="miter"/>
                            <v:imagedata o:title=""/>
                            <o:lock v:ext="edit" aspectratio="f"/>
                            <v:textbox>
                              <w:txbxContent>
                                <w:p w14:paraId="021AD671">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5</w:t>
                                  </w:r>
                                </w:p>
                              </w:txbxContent>
                            </v:textbox>
                          </v:shape>
                        </w:pict>
                      </mc:Fallback>
                    </mc:AlternateContent>
                  </w:r>
                  <w:r>
                    <w:rPr>
                      <w:rFonts w:hint="eastAsia" w:ascii="Calibri" w:hAnsi="Calibri"/>
                    </w:rPr>
                    <mc:AlternateContent>
                      <mc:Choice Requires="wps">
                        <w:drawing>
                          <wp:anchor distT="0" distB="0" distL="114300" distR="114300" simplePos="0" relativeHeight="251660288" behindDoc="0" locked="0" layoutInCell="1" allowOverlap="1">
                            <wp:simplePos x="0" y="0"/>
                            <wp:positionH relativeFrom="column">
                              <wp:posOffset>842010</wp:posOffset>
                            </wp:positionH>
                            <wp:positionV relativeFrom="paragraph">
                              <wp:posOffset>3640455</wp:posOffset>
                            </wp:positionV>
                            <wp:extent cx="606425" cy="304165"/>
                            <wp:effectExtent l="202565" t="100965" r="10160" b="13970"/>
                            <wp:wrapNone/>
                            <wp:docPr id="1064079558" name="AutoShape 19"/>
                            <wp:cNvGraphicFramePr/>
                            <a:graphic xmlns:a="http://schemas.openxmlformats.org/drawingml/2006/main">
                              <a:graphicData uri="http://schemas.microsoft.com/office/word/2010/wordprocessingShape">
                                <wps:wsp>
                                  <wps:cNvSpPr>
                                    <a:spLocks noChangeArrowheads="1"/>
                                  </wps:cNvSpPr>
                                  <wps:spPr bwMode="auto">
                                    <a:xfrm flipV="1">
                                      <a:off x="0" y="0"/>
                                      <a:ext cx="606425" cy="304165"/>
                                    </a:xfrm>
                                    <a:prstGeom prst="wedgeRoundRectCallout">
                                      <a:avLst>
                                        <a:gd name="adj1" fmla="val -77532"/>
                                        <a:gd name="adj2" fmla="val 71921"/>
                                        <a:gd name="adj3" fmla="val 16667"/>
                                      </a:avLst>
                                    </a:prstGeom>
                                    <a:solidFill>
                                      <a:srgbClr val="FF0000"/>
                                    </a:solidFill>
                                    <a:ln w="9525" cmpd="sng">
                                      <a:solidFill>
                                        <a:srgbClr val="FF0000"/>
                                      </a:solidFill>
                                      <a:miter lim="800000"/>
                                    </a:ln>
                                    <a:effectLst/>
                                  </wps:spPr>
                                  <wps:txbx>
                                    <w:txbxContent>
                                      <w:p w14:paraId="7C79A748">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3</w:t>
                                        </w:r>
                                      </w:p>
                                    </w:txbxContent>
                                  </wps:txbx>
                                  <wps:bodyPr rot="0" vert="horz" wrap="square" lIns="91440" tIns="45720" rIns="91440" bIns="45720" anchor="t" anchorCtr="0" upright="1">
                                    <a:noAutofit/>
                                  </wps:bodyPr>
                                </wps:wsp>
                              </a:graphicData>
                            </a:graphic>
                          </wp:anchor>
                        </w:drawing>
                      </mc:Choice>
                      <mc:Fallback>
                        <w:pict>
                          <v:shape id="AutoShape 19" o:spid="_x0000_s1026" o:spt="62" type="#_x0000_t62" style="position:absolute;left:0pt;flip:y;margin-left:66.3pt;margin-top:286.65pt;height:23.95pt;width:47.75pt;z-index:251660288;mso-width-relative:page;mso-height-relative:page;" fillcolor="#FF0000" filled="t" stroked="t" coordsize="21600,21600" o:gfxdata="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WAuIPZAAAACwEAAA8AAAAAAAAAAQAgAAAA&#10;IgAAAGRycy9kb3ducmV2LnhtbFBLAQIUABQAAAAIAIdO4kBpP2pEfAIAADAFAAAOAAAAAAAAAAEA&#10;IAAAACgBAABkcnMvZTJvRG9jLnhtbFBLBQYAAAAABgAGAFkBAAAWBgAAAAA=&#10;" adj="-5947,26335,14400">
                            <v:fill on="t" focussize="0,0"/>
                            <v:stroke color="#FF0000" miterlimit="8" joinstyle="miter"/>
                            <v:imagedata o:title=""/>
                            <o:lock v:ext="edit" aspectratio="f"/>
                            <v:textbox>
                              <w:txbxContent>
                                <w:p w14:paraId="7C79A748">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3</w:t>
                                  </w:r>
                                </w:p>
                              </w:txbxContent>
                            </v:textbox>
                          </v:shape>
                        </w:pict>
                      </mc:Fallback>
                    </mc:AlternateContent>
                  </w:r>
                  <w:r>
                    <w:drawing>
                      <wp:inline distT="0" distB="0" distL="0" distR="0">
                        <wp:extent cx="5969000" cy="3996055"/>
                        <wp:effectExtent l="0" t="0" r="0" b="0"/>
                        <wp:docPr id="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69000" cy="3996055"/>
                                </a:xfrm>
                                <a:prstGeom prst="rect">
                                  <a:avLst/>
                                </a:prstGeom>
                                <a:noFill/>
                                <a:ln>
                                  <a:noFill/>
                                </a:ln>
                              </pic:spPr>
                            </pic:pic>
                          </a:graphicData>
                        </a:graphic>
                      </wp:inline>
                    </w:drawing>
                  </w:r>
                </w:p>
              </w:tc>
            </w:tr>
          </w:tbl>
          <w:p w14:paraId="5D2CFEB5">
            <w:pPr>
              <w:spacing w:line="360" w:lineRule="auto"/>
              <w:ind w:firstLine="360" w:firstLineChars="200"/>
              <w:rPr>
                <w:rFonts w:ascii="Arial" w:hAnsi="Arial" w:eastAsia="华文细黑"/>
                <w:sz w:val="18"/>
                <w:szCs w:val="21"/>
              </w:rPr>
            </w:pPr>
          </w:p>
          <w:p w14:paraId="22345639">
            <w:pPr>
              <w:spacing w:line="360" w:lineRule="auto"/>
              <w:ind w:firstLine="360" w:firstLineChars="200"/>
              <w:rPr>
                <w:rFonts w:ascii="Arial" w:hAnsi="Arial" w:eastAsia="华文细黑"/>
                <w:sz w:val="18"/>
                <w:szCs w:val="21"/>
              </w:rPr>
            </w:pPr>
            <w:r>
              <w:rPr>
                <w:rFonts w:hint="eastAsia" w:ascii="Arial" w:hAnsi="Arial" w:eastAsia="华文细黑"/>
                <w:sz w:val="18"/>
                <w:szCs w:val="21"/>
              </w:rPr>
              <w:t>参与比较的因素条件应是对咨询对象标准房与可比案例小区之间的价格差异产生作用的因素，通过对估价对象各自特点的分析，本次估价选择了区域状况、实物状况进行比较，详见比较因素情况描述表：</w:t>
            </w:r>
          </w:p>
          <w:tbl>
            <w:tblPr>
              <w:tblStyle w:val="32"/>
              <w:tblW w:w="4979" w:type="pct"/>
              <w:jc w:val="center"/>
              <w:tblLayout w:type="autofit"/>
              <w:tblCellMar>
                <w:top w:w="0" w:type="dxa"/>
                <w:left w:w="108" w:type="dxa"/>
                <w:bottom w:w="0" w:type="dxa"/>
                <w:right w:w="108" w:type="dxa"/>
              </w:tblCellMar>
            </w:tblPr>
            <w:tblGrid>
              <w:gridCol w:w="376"/>
              <w:gridCol w:w="850"/>
              <w:gridCol w:w="1512"/>
              <w:gridCol w:w="537"/>
              <w:gridCol w:w="1408"/>
              <w:gridCol w:w="502"/>
              <w:gridCol w:w="1542"/>
              <w:gridCol w:w="535"/>
              <w:gridCol w:w="1464"/>
              <w:gridCol w:w="534"/>
            </w:tblGrid>
            <w:tr w14:paraId="530B6CBC">
              <w:tblPrEx>
                <w:tblCellMar>
                  <w:top w:w="0" w:type="dxa"/>
                  <w:left w:w="108" w:type="dxa"/>
                  <w:bottom w:w="0" w:type="dxa"/>
                  <w:right w:w="108" w:type="dxa"/>
                </w:tblCellMar>
              </w:tblPrEx>
              <w:trPr>
                <w:trHeight w:val="283" w:hRule="atLeast"/>
                <w:tblHeader/>
                <w:jc w:val="center"/>
              </w:trPr>
              <w:tc>
                <w:tcPr>
                  <w:tcW w:w="662" w:type="pct"/>
                  <w:gridSpan w:val="2"/>
                  <w:tcBorders>
                    <w:top w:val="single" w:color="auto" w:sz="4" w:space="0"/>
                    <w:left w:val="single" w:color="auto" w:sz="4" w:space="0"/>
                    <w:bottom w:val="single" w:color="auto" w:sz="4" w:space="0"/>
                    <w:right w:val="single" w:color="000000" w:sz="4" w:space="0"/>
                  </w:tcBorders>
                  <w:vAlign w:val="center"/>
                </w:tcPr>
                <w:p w14:paraId="4CDC94D5">
                  <w:pPr>
                    <w:widowControl/>
                    <w:adjustRightInd/>
                    <w:spacing w:line="240" w:lineRule="auto"/>
                    <w:jc w:val="center"/>
                    <w:textAlignment w:val="auto"/>
                    <w:rPr>
                      <w:rFonts w:ascii="Arial" w:hAnsi="Arial" w:cs="Arial"/>
                      <w:sz w:val="16"/>
                      <w:szCs w:val="18"/>
                    </w:rPr>
                  </w:pPr>
                  <w:r>
                    <w:rPr>
                      <w:rFonts w:ascii="Arial" w:hAnsi="Arial" w:cs="Arial"/>
                      <w:sz w:val="16"/>
                      <w:szCs w:val="18"/>
                    </w:rPr>
                    <w:t>项目</w:t>
                  </w:r>
                </w:p>
              </w:tc>
              <w:tc>
                <w:tcPr>
                  <w:tcW w:w="1106" w:type="pct"/>
                  <w:gridSpan w:val="2"/>
                  <w:tcBorders>
                    <w:top w:val="single" w:color="auto" w:sz="4" w:space="0"/>
                    <w:left w:val="nil"/>
                    <w:bottom w:val="single" w:color="auto" w:sz="4" w:space="0"/>
                    <w:right w:val="single" w:color="auto" w:sz="4" w:space="0"/>
                  </w:tcBorders>
                  <w:vAlign w:val="center"/>
                </w:tcPr>
                <w:p w14:paraId="45469E3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咨询</w:t>
                  </w:r>
                  <w:r>
                    <w:rPr>
                      <w:rFonts w:ascii="Arial" w:hAnsi="Arial" w:cs="Arial"/>
                      <w:sz w:val="16"/>
                      <w:szCs w:val="18"/>
                    </w:rPr>
                    <w:t>对象</w:t>
                  </w:r>
                </w:p>
              </w:tc>
              <w:tc>
                <w:tcPr>
                  <w:tcW w:w="1031" w:type="pct"/>
                  <w:gridSpan w:val="2"/>
                  <w:tcBorders>
                    <w:top w:val="single" w:color="auto" w:sz="4" w:space="0"/>
                    <w:left w:val="nil"/>
                    <w:bottom w:val="single" w:color="auto" w:sz="4" w:space="0"/>
                    <w:right w:val="single" w:color="auto" w:sz="4" w:space="0"/>
                  </w:tcBorders>
                  <w:vAlign w:val="center"/>
                </w:tcPr>
                <w:p w14:paraId="412FD6CE">
                  <w:pPr>
                    <w:widowControl/>
                    <w:adjustRightInd/>
                    <w:spacing w:line="240" w:lineRule="auto"/>
                    <w:jc w:val="center"/>
                    <w:textAlignment w:val="auto"/>
                    <w:rPr>
                      <w:rFonts w:ascii="Arial" w:hAnsi="Arial" w:cs="Arial"/>
                      <w:sz w:val="16"/>
                      <w:szCs w:val="18"/>
                    </w:rPr>
                  </w:pPr>
                  <w:r>
                    <w:rPr>
                      <w:rFonts w:ascii="Arial" w:hAnsi="Arial" w:cs="Arial"/>
                      <w:sz w:val="16"/>
                      <w:szCs w:val="18"/>
                    </w:rPr>
                    <w:t>可比</w:t>
                  </w:r>
                  <w:r>
                    <w:rPr>
                      <w:rFonts w:hint="eastAsia" w:ascii="Arial" w:hAnsi="Arial" w:cs="Arial"/>
                      <w:sz w:val="16"/>
                      <w:szCs w:val="18"/>
                    </w:rPr>
                    <w:t>案例2</w:t>
                  </w:r>
                </w:p>
              </w:tc>
              <w:tc>
                <w:tcPr>
                  <w:tcW w:w="1121" w:type="pct"/>
                  <w:gridSpan w:val="2"/>
                  <w:tcBorders>
                    <w:top w:val="single" w:color="auto" w:sz="4" w:space="0"/>
                    <w:left w:val="nil"/>
                    <w:bottom w:val="single" w:color="auto" w:sz="4" w:space="0"/>
                    <w:right w:val="single" w:color="auto" w:sz="4" w:space="0"/>
                  </w:tcBorders>
                  <w:vAlign w:val="center"/>
                </w:tcPr>
                <w:p w14:paraId="6350733A">
                  <w:pPr>
                    <w:widowControl/>
                    <w:adjustRightInd/>
                    <w:spacing w:line="240" w:lineRule="auto"/>
                    <w:jc w:val="center"/>
                    <w:textAlignment w:val="auto"/>
                    <w:rPr>
                      <w:rFonts w:ascii="Arial" w:hAnsi="Arial" w:cs="Arial"/>
                      <w:sz w:val="16"/>
                      <w:szCs w:val="18"/>
                    </w:rPr>
                  </w:pPr>
                  <w:r>
                    <w:rPr>
                      <w:rFonts w:ascii="Arial" w:hAnsi="Arial" w:cs="Arial"/>
                      <w:sz w:val="16"/>
                      <w:szCs w:val="18"/>
                    </w:rPr>
                    <w:t>可比</w:t>
                  </w:r>
                  <w:r>
                    <w:rPr>
                      <w:rFonts w:hint="eastAsia" w:ascii="Arial" w:hAnsi="Arial" w:cs="Arial"/>
                      <w:sz w:val="16"/>
                      <w:szCs w:val="18"/>
                    </w:rPr>
                    <w:t>案例5</w:t>
                  </w:r>
                </w:p>
              </w:tc>
              <w:tc>
                <w:tcPr>
                  <w:tcW w:w="1078" w:type="pct"/>
                  <w:gridSpan w:val="2"/>
                  <w:tcBorders>
                    <w:top w:val="single" w:color="auto" w:sz="4" w:space="0"/>
                    <w:left w:val="nil"/>
                    <w:bottom w:val="single" w:color="auto" w:sz="4" w:space="0"/>
                    <w:right w:val="single" w:color="auto" w:sz="4" w:space="0"/>
                  </w:tcBorders>
                  <w:vAlign w:val="center"/>
                </w:tcPr>
                <w:p w14:paraId="20616279">
                  <w:pPr>
                    <w:widowControl/>
                    <w:adjustRightInd/>
                    <w:spacing w:line="240" w:lineRule="auto"/>
                    <w:jc w:val="center"/>
                    <w:textAlignment w:val="auto"/>
                    <w:rPr>
                      <w:rFonts w:ascii="Arial" w:hAnsi="Arial" w:cs="Arial"/>
                      <w:sz w:val="16"/>
                      <w:szCs w:val="18"/>
                    </w:rPr>
                  </w:pPr>
                  <w:r>
                    <w:rPr>
                      <w:rFonts w:ascii="Arial" w:hAnsi="Arial" w:cs="Arial"/>
                      <w:sz w:val="16"/>
                      <w:szCs w:val="18"/>
                    </w:rPr>
                    <w:t>可比</w:t>
                  </w:r>
                  <w:r>
                    <w:rPr>
                      <w:rFonts w:hint="eastAsia" w:ascii="Arial" w:hAnsi="Arial" w:cs="Arial"/>
                      <w:sz w:val="16"/>
                      <w:szCs w:val="18"/>
                    </w:rPr>
                    <w:t>案例</w:t>
                  </w:r>
                  <w:r>
                    <w:rPr>
                      <w:rFonts w:ascii="Arial" w:hAnsi="Arial" w:cs="Arial"/>
                      <w:sz w:val="16"/>
                      <w:szCs w:val="18"/>
                    </w:rPr>
                    <w:t>3</w:t>
                  </w:r>
                </w:p>
              </w:tc>
            </w:tr>
            <w:tr w14:paraId="1F8764BB">
              <w:tblPrEx>
                <w:tblCellMar>
                  <w:top w:w="0" w:type="dxa"/>
                  <w:left w:w="108" w:type="dxa"/>
                  <w:bottom w:w="0" w:type="dxa"/>
                  <w:right w:w="108" w:type="dxa"/>
                </w:tblCellMar>
              </w:tblPrEx>
              <w:trPr>
                <w:trHeight w:val="283" w:hRule="atLeast"/>
                <w:tblHeader/>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78574BA6">
                  <w:pPr>
                    <w:widowControl/>
                    <w:adjustRightInd/>
                    <w:spacing w:line="240" w:lineRule="auto"/>
                    <w:jc w:val="center"/>
                    <w:textAlignment w:val="auto"/>
                    <w:rPr>
                      <w:rFonts w:ascii="Arial" w:hAnsi="Arial" w:cs="Arial"/>
                      <w:sz w:val="16"/>
                      <w:szCs w:val="18"/>
                    </w:rPr>
                  </w:pPr>
                  <w:r>
                    <w:rPr>
                      <w:rFonts w:ascii="Arial" w:hAnsi="Arial" w:cs="Arial"/>
                      <w:sz w:val="16"/>
                      <w:szCs w:val="18"/>
                    </w:rPr>
                    <w:t>小区名称</w:t>
                  </w:r>
                </w:p>
              </w:tc>
              <w:tc>
                <w:tcPr>
                  <w:tcW w:w="1106" w:type="pct"/>
                  <w:gridSpan w:val="2"/>
                  <w:tcBorders>
                    <w:top w:val="nil"/>
                    <w:left w:val="nil"/>
                    <w:bottom w:val="single" w:color="auto" w:sz="4" w:space="0"/>
                    <w:right w:val="single" w:color="auto" w:sz="4" w:space="0"/>
                  </w:tcBorders>
                  <w:vAlign w:val="center"/>
                </w:tcPr>
                <w:p w14:paraId="47FE19F6">
                  <w:pPr>
                    <w:widowControl/>
                    <w:adjustRightInd/>
                    <w:spacing w:line="240" w:lineRule="auto"/>
                    <w:jc w:val="center"/>
                    <w:textAlignment w:val="auto"/>
                    <w:rPr>
                      <w:rFonts w:ascii="Arial" w:hAnsi="Arial" w:cs="Arial"/>
                      <w:sz w:val="16"/>
                      <w:szCs w:val="18"/>
                    </w:rPr>
                  </w:pPr>
                  <w:r>
                    <w:rPr>
                      <w:rFonts w:ascii="Arial" w:hAnsi="Arial" w:cs="Arial"/>
                      <w:sz w:val="16"/>
                      <w:szCs w:val="18"/>
                    </w:rPr>
                    <w:t>CCB建融家园·创业之家</w:t>
                  </w:r>
                </w:p>
              </w:tc>
              <w:tc>
                <w:tcPr>
                  <w:tcW w:w="1031" w:type="pct"/>
                  <w:gridSpan w:val="2"/>
                  <w:tcBorders>
                    <w:top w:val="nil"/>
                    <w:left w:val="nil"/>
                    <w:bottom w:val="single" w:color="auto" w:sz="4" w:space="0"/>
                    <w:right w:val="single" w:color="auto" w:sz="4" w:space="0"/>
                  </w:tcBorders>
                  <w:vAlign w:val="center"/>
                </w:tcPr>
                <w:p w14:paraId="7A36D98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中海寰宇时代瀛川府</w:t>
                  </w:r>
                </w:p>
              </w:tc>
              <w:tc>
                <w:tcPr>
                  <w:tcW w:w="1121" w:type="pct"/>
                  <w:gridSpan w:val="2"/>
                  <w:tcBorders>
                    <w:top w:val="nil"/>
                    <w:left w:val="nil"/>
                    <w:bottom w:val="single" w:color="auto" w:sz="4" w:space="0"/>
                    <w:right w:val="single" w:color="auto" w:sz="4" w:space="0"/>
                  </w:tcBorders>
                  <w:vAlign w:val="center"/>
                </w:tcPr>
                <w:p w14:paraId="254487E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住总万科城</w:t>
                  </w:r>
                </w:p>
              </w:tc>
              <w:tc>
                <w:tcPr>
                  <w:tcW w:w="1078" w:type="pct"/>
                  <w:gridSpan w:val="2"/>
                  <w:tcBorders>
                    <w:top w:val="nil"/>
                    <w:left w:val="nil"/>
                    <w:bottom w:val="single" w:color="auto" w:sz="4" w:space="0"/>
                    <w:right w:val="single" w:color="auto" w:sz="4" w:space="0"/>
                  </w:tcBorders>
                  <w:vAlign w:val="center"/>
                </w:tcPr>
                <w:p w14:paraId="511EA40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金科天宸荟</w:t>
                  </w:r>
                </w:p>
              </w:tc>
            </w:tr>
            <w:tr w14:paraId="0DFAAF2E">
              <w:tblPrEx>
                <w:tblCellMar>
                  <w:top w:w="0" w:type="dxa"/>
                  <w:left w:w="108" w:type="dxa"/>
                  <w:bottom w:w="0" w:type="dxa"/>
                  <w:right w:w="108" w:type="dxa"/>
                </w:tblCellMar>
              </w:tblPrEx>
              <w:trPr>
                <w:trHeight w:val="283"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283018A6">
                  <w:pPr>
                    <w:widowControl/>
                    <w:adjustRightInd/>
                    <w:spacing w:line="240" w:lineRule="auto"/>
                    <w:jc w:val="center"/>
                    <w:textAlignment w:val="auto"/>
                    <w:rPr>
                      <w:rFonts w:ascii="Arial" w:hAnsi="Arial" w:cs="Arial"/>
                      <w:sz w:val="16"/>
                      <w:szCs w:val="18"/>
                    </w:rPr>
                  </w:pPr>
                  <w:r>
                    <w:rPr>
                      <w:rFonts w:ascii="Arial" w:hAnsi="Arial" w:cs="Arial"/>
                      <w:sz w:val="16"/>
                      <w:szCs w:val="18"/>
                    </w:rPr>
                    <w:t>平均租金（元/</w:t>
                  </w:r>
                  <w:r>
                    <w:rPr>
                      <w:rFonts w:hint="eastAsia" w:ascii="Arial" w:hAnsi="Arial" w:cs="Arial"/>
                      <w:sz w:val="16"/>
                      <w:szCs w:val="18"/>
                    </w:rPr>
                    <w:t>平方米</w:t>
                  </w:r>
                  <w:r>
                    <w:rPr>
                      <w:rFonts w:ascii="Arial" w:hAnsi="Arial" w:cs="Arial"/>
                      <w:sz w:val="16"/>
                      <w:szCs w:val="18"/>
                    </w:rPr>
                    <w:t>·</w:t>
                  </w:r>
                  <w:r>
                    <w:rPr>
                      <w:rFonts w:hint="eastAsia" w:ascii="Arial" w:hAnsi="Arial" w:cs="Arial"/>
                      <w:sz w:val="16"/>
                      <w:szCs w:val="18"/>
                    </w:rPr>
                    <w:t>天</w:t>
                  </w:r>
                  <w:r>
                    <w:rPr>
                      <w:rFonts w:ascii="Arial" w:hAnsi="Arial" w:cs="Arial"/>
                      <w:sz w:val="16"/>
                      <w:szCs w:val="18"/>
                    </w:rPr>
                    <w:t>）</w:t>
                  </w:r>
                </w:p>
              </w:tc>
              <w:tc>
                <w:tcPr>
                  <w:tcW w:w="1106" w:type="pct"/>
                  <w:gridSpan w:val="2"/>
                  <w:tcBorders>
                    <w:top w:val="nil"/>
                    <w:left w:val="nil"/>
                    <w:bottom w:val="single" w:color="auto" w:sz="4" w:space="0"/>
                    <w:right w:val="single" w:color="auto" w:sz="4" w:space="0"/>
                  </w:tcBorders>
                  <w:vAlign w:val="center"/>
                </w:tcPr>
                <w:p w14:paraId="582E736B">
                  <w:pPr>
                    <w:widowControl/>
                    <w:adjustRightInd/>
                    <w:spacing w:line="240" w:lineRule="auto"/>
                    <w:jc w:val="center"/>
                    <w:textAlignment w:val="auto"/>
                    <w:rPr>
                      <w:rFonts w:ascii="Arial" w:hAnsi="Arial" w:cs="Arial"/>
                      <w:sz w:val="16"/>
                      <w:szCs w:val="18"/>
                    </w:rPr>
                  </w:pPr>
                  <w:r>
                    <w:rPr>
                      <w:rFonts w:ascii="Arial" w:hAnsi="Arial" w:cs="Arial"/>
                      <w:sz w:val="16"/>
                      <w:szCs w:val="18"/>
                    </w:rPr>
                    <w:t>待估</w:t>
                  </w:r>
                </w:p>
              </w:tc>
              <w:tc>
                <w:tcPr>
                  <w:tcW w:w="1031" w:type="pct"/>
                  <w:gridSpan w:val="2"/>
                  <w:tcBorders>
                    <w:top w:val="nil"/>
                    <w:left w:val="nil"/>
                    <w:bottom w:val="single" w:color="auto" w:sz="4" w:space="0"/>
                    <w:right w:val="single" w:color="auto" w:sz="4" w:space="0"/>
                  </w:tcBorders>
                  <w:vAlign w:val="center"/>
                </w:tcPr>
                <w:p w14:paraId="090EA4E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1.90</w:t>
                  </w:r>
                </w:p>
              </w:tc>
              <w:tc>
                <w:tcPr>
                  <w:tcW w:w="1121" w:type="pct"/>
                  <w:gridSpan w:val="2"/>
                  <w:tcBorders>
                    <w:top w:val="nil"/>
                    <w:left w:val="nil"/>
                    <w:bottom w:val="single" w:color="auto" w:sz="4" w:space="0"/>
                    <w:right w:val="single" w:color="auto" w:sz="4" w:space="0"/>
                  </w:tcBorders>
                  <w:vAlign w:val="center"/>
                </w:tcPr>
                <w:p w14:paraId="11D9851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2.10</w:t>
                  </w:r>
                </w:p>
              </w:tc>
              <w:tc>
                <w:tcPr>
                  <w:tcW w:w="1078" w:type="pct"/>
                  <w:gridSpan w:val="2"/>
                  <w:tcBorders>
                    <w:top w:val="nil"/>
                    <w:left w:val="nil"/>
                    <w:bottom w:val="single" w:color="auto" w:sz="4" w:space="0"/>
                    <w:right w:val="single" w:color="auto" w:sz="4" w:space="0"/>
                  </w:tcBorders>
                  <w:vAlign w:val="center"/>
                </w:tcPr>
                <w:p w14:paraId="60D2B1C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2.00</w:t>
                  </w:r>
                </w:p>
              </w:tc>
            </w:tr>
            <w:tr w14:paraId="68A7A713">
              <w:tblPrEx>
                <w:tblCellMar>
                  <w:top w:w="0" w:type="dxa"/>
                  <w:left w:w="108" w:type="dxa"/>
                  <w:bottom w:w="0" w:type="dxa"/>
                  <w:right w:w="108" w:type="dxa"/>
                </w:tblCellMar>
              </w:tblPrEx>
              <w:trPr>
                <w:trHeight w:val="283"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651F3EAB">
                  <w:pPr>
                    <w:widowControl/>
                    <w:adjustRightInd/>
                    <w:spacing w:line="240" w:lineRule="auto"/>
                    <w:jc w:val="center"/>
                    <w:textAlignment w:val="auto"/>
                    <w:rPr>
                      <w:rFonts w:ascii="Arial" w:hAnsi="Arial" w:cs="Arial"/>
                      <w:sz w:val="16"/>
                      <w:szCs w:val="18"/>
                    </w:rPr>
                  </w:pPr>
                  <w:r>
                    <w:rPr>
                      <w:rFonts w:ascii="Arial" w:hAnsi="Arial" w:cs="Arial"/>
                      <w:sz w:val="16"/>
                      <w:szCs w:val="18"/>
                    </w:rPr>
                    <w:t>交易时间</w:t>
                  </w:r>
                </w:p>
              </w:tc>
              <w:tc>
                <w:tcPr>
                  <w:tcW w:w="816" w:type="pct"/>
                  <w:tcBorders>
                    <w:top w:val="nil"/>
                    <w:left w:val="nil"/>
                    <w:bottom w:val="single" w:color="auto" w:sz="4" w:space="0"/>
                    <w:right w:val="single" w:color="auto" w:sz="4" w:space="0"/>
                  </w:tcBorders>
                  <w:vAlign w:val="center"/>
                </w:tcPr>
                <w:p w14:paraId="7AB4007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2025年9月10日</w:t>
                  </w:r>
                </w:p>
              </w:tc>
              <w:tc>
                <w:tcPr>
                  <w:tcW w:w="290" w:type="pct"/>
                  <w:tcBorders>
                    <w:top w:val="nil"/>
                    <w:left w:val="nil"/>
                    <w:bottom w:val="single" w:color="auto" w:sz="4" w:space="0"/>
                    <w:right w:val="single" w:color="auto" w:sz="4" w:space="0"/>
                  </w:tcBorders>
                  <w:vAlign w:val="center"/>
                </w:tcPr>
                <w:p w14:paraId="66837122">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5B980855">
                  <w:pPr>
                    <w:widowControl/>
                    <w:adjustRightInd/>
                    <w:spacing w:line="240" w:lineRule="auto"/>
                    <w:jc w:val="center"/>
                    <w:textAlignment w:val="auto"/>
                    <w:rPr>
                      <w:rFonts w:ascii="Arial" w:hAnsi="Arial" w:cs="Arial"/>
                      <w:sz w:val="16"/>
                      <w:szCs w:val="18"/>
                    </w:rPr>
                  </w:pPr>
                  <w:r>
                    <w:rPr>
                      <w:rFonts w:ascii="Arial" w:hAnsi="Arial" w:cs="Arial"/>
                      <w:sz w:val="16"/>
                      <w:szCs w:val="18"/>
                    </w:rPr>
                    <w:t>2025年8月</w:t>
                  </w:r>
                </w:p>
              </w:tc>
              <w:tc>
                <w:tcPr>
                  <w:tcW w:w="271" w:type="pct"/>
                  <w:tcBorders>
                    <w:top w:val="nil"/>
                    <w:left w:val="nil"/>
                    <w:bottom w:val="single" w:color="auto" w:sz="4" w:space="0"/>
                    <w:right w:val="single" w:color="auto" w:sz="4" w:space="0"/>
                  </w:tcBorders>
                  <w:vAlign w:val="center"/>
                </w:tcPr>
                <w:p w14:paraId="72847CB1">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832" w:type="pct"/>
                  <w:tcBorders>
                    <w:top w:val="nil"/>
                    <w:left w:val="nil"/>
                    <w:bottom w:val="single" w:color="auto" w:sz="4" w:space="0"/>
                    <w:right w:val="single" w:color="auto" w:sz="4" w:space="0"/>
                  </w:tcBorders>
                  <w:vAlign w:val="center"/>
                </w:tcPr>
                <w:p w14:paraId="5FB08E01">
                  <w:pPr>
                    <w:widowControl/>
                    <w:adjustRightInd/>
                    <w:spacing w:line="240" w:lineRule="auto"/>
                    <w:jc w:val="center"/>
                    <w:textAlignment w:val="auto"/>
                    <w:rPr>
                      <w:rFonts w:ascii="Arial" w:hAnsi="Arial" w:cs="Arial"/>
                      <w:sz w:val="16"/>
                      <w:szCs w:val="18"/>
                    </w:rPr>
                  </w:pPr>
                  <w:r>
                    <w:rPr>
                      <w:rFonts w:ascii="Arial" w:hAnsi="Arial" w:cs="Arial"/>
                      <w:sz w:val="16"/>
                      <w:szCs w:val="18"/>
                    </w:rPr>
                    <w:t>2025年8月</w:t>
                  </w:r>
                </w:p>
              </w:tc>
              <w:tc>
                <w:tcPr>
                  <w:tcW w:w="289" w:type="pct"/>
                  <w:tcBorders>
                    <w:top w:val="nil"/>
                    <w:left w:val="nil"/>
                    <w:bottom w:val="single" w:color="auto" w:sz="4" w:space="0"/>
                    <w:right w:val="single" w:color="auto" w:sz="4" w:space="0"/>
                  </w:tcBorders>
                  <w:vAlign w:val="center"/>
                </w:tcPr>
                <w:p w14:paraId="1344B85F">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90" w:type="pct"/>
                  <w:tcBorders>
                    <w:top w:val="nil"/>
                    <w:left w:val="nil"/>
                    <w:bottom w:val="single" w:color="auto" w:sz="4" w:space="0"/>
                    <w:right w:val="single" w:color="auto" w:sz="4" w:space="0"/>
                  </w:tcBorders>
                  <w:vAlign w:val="center"/>
                </w:tcPr>
                <w:p w14:paraId="4E61DF97">
                  <w:pPr>
                    <w:widowControl/>
                    <w:adjustRightInd/>
                    <w:spacing w:line="240" w:lineRule="auto"/>
                    <w:jc w:val="center"/>
                    <w:textAlignment w:val="auto"/>
                    <w:rPr>
                      <w:rFonts w:ascii="Arial" w:hAnsi="Arial" w:cs="Arial"/>
                      <w:sz w:val="16"/>
                      <w:szCs w:val="18"/>
                    </w:rPr>
                  </w:pPr>
                  <w:r>
                    <w:rPr>
                      <w:rFonts w:ascii="Arial" w:hAnsi="Arial" w:cs="Arial"/>
                      <w:sz w:val="16"/>
                      <w:szCs w:val="18"/>
                    </w:rPr>
                    <w:t>2025年8月</w:t>
                  </w:r>
                </w:p>
              </w:tc>
              <w:tc>
                <w:tcPr>
                  <w:tcW w:w="288" w:type="pct"/>
                  <w:tcBorders>
                    <w:top w:val="nil"/>
                    <w:left w:val="nil"/>
                    <w:bottom w:val="single" w:color="auto" w:sz="4" w:space="0"/>
                    <w:right w:val="single" w:color="auto" w:sz="4" w:space="0"/>
                  </w:tcBorders>
                  <w:vAlign w:val="center"/>
                </w:tcPr>
                <w:p w14:paraId="1BCB7DD9">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r>
            <w:tr w14:paraId="270CE5E6">
              <w:tblPrEx>
                <w:tblCellMar>
                  <w:top w:w="0" w:type="dxa"/>
                  <w:left w:w="108" w:type="dxa"/>
                  <w:bottom w:w="0" w:type="dxa"/>
                  <w:right w:w="108" w:type="dxa"/>
                </w:tblCellMar>
              </w:tblPrEx>
              <w:trPr>
                <w:trHeight w:val="283" w:hRule="atLeast"/>
                <w:jc w:val="center"/>
              </w:trPr>
              <w:tc>
                <w:tcPr>
                  <w:tcW w:w="203" w:type="pct"/>
                  <w:vMerge w:val="restart"/>
                  <w:tcBorders>
                    <w:top w:val="nil"/>
                    <w:left w:val="single" w:color="auto" w:sz="4" w:space="0"/>
                    <w:bottom w:val="single" w:color="000000" w:sz="4" w:space="0"/>
                    <w:right w:val="single" w:color="auto" w:sz="4" w:space="0"/>
                  </w:tcBorders>
                  <w:vAlign w:val="center"/>
                </w:tcPr>
                <w:p w14:paraId="02C17B6B">
                  <w:pPr>
                    <w:widowControl/>
                    <w:adjustRightInd/>
                    <w:spacing w:line="240" w:lineRule="auto"/>
                    <w:jc w:val="center"/>
                    <w:textAlignment w:val="auto"/>
                    <w:rPr>
                      <w:rFonts w:ascii="Arial" w:hAnsi="Arial" w:cs="Arial"/>
                      <w:sz w:val="16"/>
                      <w:szCs w:val="18"/>
                    </w:rPr>
                  </w:pPr>
                  <w:r>
                    <w:rPr>
                      <w:rFonts w:ascii="Arial" w:hAnsi="Arial" w:cs="Arial"/>
                      <w:sz w:val="16"/>
                      <w:szCs w:val="18"/>
                    </w:rPr>
                    <w:t>区域状况</w:t>
                  </w:r>
                </w:p>
              </w:tc>
              <w:tc>
                <w:tcPr>
                  <w:tcW w:w="458" w:type="pct"/>
                  <w:tcBorders>
                    <w:top w:val="nil"/>
                    <w:left w:val="nil"/>
                    <w:bottom w:val="single" w:color="auto" w:sz="4" w:space="0"/>
                    <w:right w:val="single" w:color="auto" w:sz="4" w:space="0"/>
                  </w:tcBorders>
                  <w:vAlign w:val="center"/>
                </w:tcPr>
                <w:p w14:paraId="53A8607B">
                  <w:pPr>
                    <w:widowControl/>
                    <w:adjustRightInd/>
                    <w:spacing w:line="240" w:lineRule="auto"/>
                    <w:jc w:val="center"/>
                    <w:textAlignment w:val="auto"/>
                    <w:rPr>
                      <w:rFonts w:ascii="Arial" w:hAnsi="Arial" w:cs="Arial"/>
                      <w:sz w:val="16"/>
                      <w:szCs w:val="18"/>
                    </w:rPr>
                  </w:pPr>
                  <w:r>
                    <w:rPr>
                      <w:rFonts w:ascii="Arial" w:hAnsi="Arial" w:cs="Arial"/>
                      <w:sz w:val="16"/>
                      <w:szCs w:val="18"/>
                    </w:rPr>
                    <w:t>居住区成熟度</w:t>
                  </w:r>
                </w:p>
              </w:tc>
              <w:tc>
                <w:tcPr>
                  <w:tcW w:w="816" w:type="pct"/>
                  <w:tcBorders>
                    <w:top w:val="nil"/>
                    <w:left w:val="nil"/>
                    <w:bottom w:val="single" w:color="auto" w:sz="4" w:space="0"/>
                    <w:right w:val="single" w:color="auto" w:sz="4" w:space="0"/>
                  </w:tcBorders>
                  <w:vAlign w:val="center"/>
                </w:tcPr>
                <w:p w14:paraId="7D8A39C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咨询</w:t>
                  </w:r>
                  <w:r>
                    <w:rPr>
                      <w:rFonts w:ascii="Arial" w:hAnsi="Arial" w:cs="Arial"/>
                      <w:sz w:val="16"/>
                      <w:szCs w:val="18"/>
                    </w:rPr>
                    <w:t>对象周边有金鼎欣盛家园、紫薇兰庭、春雪四季公寓等居住小区，居住小区规模较小，入住率一般，综合评价居住区成熟度较差。</w:t>
                  </w:r>
                </w:p>
              </w:tc>
              <w:tc>
                <w:tcPr>
                  <w:tcW w:w="290" w:type="pct"/>
                  <w:tcBorders>
                    <w:top w:val="nil"/>
                    <w:left w:val="nil"/>
                    <w:bottom w:val="single" w:color="auto" w:sz="4" w:space="0"/>
                    <w:right w:val="single" w:color="auto" w:sz="4" w:space="0"/>
                  </w:tcBorders>
                  <w:vAlign w:val="center"/>
                </w:tcPr>
                <w:p w14:paraId="3AD6A79C">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57E8E74F">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周边2公里内有兴瀛嘉苑、瀛海家园、永旭家园、龙湖天琅等居住小区，居住小区规模较大，入住率较好，综合评价居住区成熟度较好。</w:t>
                  </w:r>
                </w:p>
              </w:tc>
              <w:tc>
                <w:tcPr>
                  <w:tcW w:w="271" w:type="pct"/>
                  <w:tcBorders>
                    <w:top w:val="nil"/>
                    <w:left w:val="nil"/>
                    <w:bottom w:val="single" w:color="auto" w:sz="4" w:space="0"/>
                    <w:right w:val="single" w:color="auto" w:sz="4" w:space="0"/>
                  </w:tcBorders>
                  <w:vAlign w:val="center"/>
                </w:tcPr>
                <w:p w14:paraId="1CFEA12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c>
                <w:tcPr>
                  <w:tcW w:w="832" w:type="pct"/>
                  <w:tcBorders>
                    <w:top w:val="nil"/>
                    <w:left w:val="nil"/>
                    <w:bottom w:val="single" w:color="auto" w:sz="4" w:space="0"/>
                    <w:right w:val="single" w:color="auto" w:sz="4" w:space="0"/>
                  </w:tcBorders>
                  <w:vAlign w:val="center"/>
                </w:tcPr>
                <w:p w14:paraId="6F79651A">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周边2公里内有新源时代小区、鑫苑新都汇、金科嘉苑等</w:t>
                  </w:r>
                  <w:r>
                    <w:rPr>
                      <w:rFonts w:hint="eastAsia" w:ascii="Arial" w:hAnsi="Arial" w:cs="Arial"/>
                      <w:sz w:val="16"/>
                      <w:szCs w:val="18"/>
                    </w:rPr>
                    <w:t>居住</w:t>
                  </w:r>
                  <w:r>
                    <w:rPr>
                      <w:rFonts w:ascii="Arial" w:hAnsi="Arial" w:cs="Arial"/>
                      <w:sz w:val="16"/>
                      <w:szCs w:val="18"/>
                    </w:rPr>
                    <w:t>小区，居住小区规模较大，入住率较好，综合评价居住区成熟度较好。</w:t>
                  </w:r>
                </w:p>
              </w:tc>
              <w:tc>
                <w:tcPr>
                  <w:tcW w:w="289" w:type="pct"/>
                  <w:tcBorders>
                    <w:top w:val="nil"/>
                    <w:left w:val="nil"/>
                    <w:bottom w:val="single" w:color="auto" w:sz="4" w:space="0"/>
                    <w:right w:val="single" w:color="auto" w:sz="4" w:space="0"/>
                  </w:tcBorders>
                  <w:vAlign w:val="center"/>
                </w:tcPr>
                <w:p w14:paraId="1F28940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c>
                <w:tcPr>
                  <w:tcW w:w="790" w:type="pct"/>
                  <w:tcBorders>
                    <w:top w:val="nil"/>
                    <w:left w:val="nil"/>
                    <w:bottom w:val="single" w:color="auto" w:sz="4" w:space="0"/>
                    <w:right w:val="single" w:color="auto" w:sz="4" w:space="0"/>
                  </w:tcBorders>
                  <w:vAlign w:val="center"/>
                </w:tcPr>
                <w:p w14:paraId="72C39480">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周边2公里内有</w:t>
                  </w:r>
                  <w:r>
                    <w:rPr>
                      <w:rFonts w:hint="eastAsia" w:ascii="Arial" w:hAnsi="Arial" w:cs="Arial"/>
                      <w:sz w:val="16"/>
                      <w:szCs w:val="18"/>
                    </w:rPr>
                    <w:t>天宫院小区、</w:t>
                  </w:r>
                  <w:r>
                    <w:rPr>
                      <w:rFonts w:ascii="Arial" w:hAnsi="Arial" w:cs="Arial"/>
                      <w:sz w:val="16"/>
                      <w:szCs w:val="18"/>
                    </w:rPr>
                    <w:t>新源时代小区、鑫苑新都汇等</w:t>
                  </w:r>
                  <w:r>
                    <w:rPr>
                      <w:rFonts w:hint="eastAsia" w:ascii="Arial" w:hAnsi="Arial" w:cs="Arial"/>
                      <w:sz w:val="16"/>
                      <w:szCs w:val="18"/>
                    </w:rPr>
                    <w:t>居住</w:t>
                  </w:r>
                  <w:r>
                    <w:rPr>
                      <w:rFonts w:ascii="Arial" w:hAnsi="Arial" w:cs="Arial"/>
                      <w:sz w:val="16"/>
                      <w:szCs w:val="18"/>
                    </w:rPr>
                    <w:t>小区，居住小区规模较大，入住率较好，综合评价居住区成熟度较好。</w:t>
                  </w:r>
                </w:p>
              </w:tc>
              <w:tc>
                <w:tcPr>
                  <w:tcW w:w="288" w:type="pct"/>
                  <w:tcBorders>
                    <w:top w:val="nil"/>
                    <w:left w:val="nil"/>
                    <w:bottom w:val="single" w:color="auto" w:sz="4" w:space="0"/>
                    <w:right w:val="single" w:color="auto" w:sz="4" w:space="0"/>
                  </w:tcBorders>
                  <w:vAlign w:val="center"/>
                </w:tcPr>
                <w:p w14:paraId="5424E90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r>
            <w:tr w14:paraId="6F7FFEC2">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34DC640C">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color="auto" w:sz="4" w:space="0"/>
                    <w:right w:val="single" w:color="auto" w:sz="4" w:space="0"/>
                  </w:tcBorders>
                  <w:vAlign w:val="center"/>
                </w:tcPr>
                <w:p w14:paraId="05F702BE">
                  <w:pPr>
                    <w:widowControl/>
                    <w:adjustRightInd/>
                    <w:spacing w:line="240" w:lineRule="auto"/>
                    <w:jc w:val="center"/>
                    <w:textAlignment w:val="auto"/>
                    <w:rPr>
                      <w:rFonts w:ascii="Arial" w:hAnsi="Arial" w:cs="Arial"/>
                      <w:sz w:val="16"/>
                      <w:szCs w:val="18"/>
                    </w:rPr>
                  </w:pPr>
                  <w:r>
                    <w:rPr>
                      <w:rFonts w:ascii="Arial" w:hAnsi="Arial" w:cs="Arial"/>
                      <w:sz w:val="16"/>
                      <w:szCs w:val="18"/>
                    </w:rPr>
                    <w:t>道路通达度</w:t>
                  </w:r>
                </w:p>
              </w:tc>
              <w:tc>
                <w:tcPr>
                  <w:tcW w:w="816" w:type="pct"/>
                  <w:tcBorders>
                    <w:top w:val="nil"/>
                    <w:left w:val="nil"/>
                    <w:bottom w:val="single" w:color="auto" w:sz="4" w:space="0"/>
                    <w:right w:val="single" w:color="auto" w:sz="4" w:space="0"/>
                  </w:tcBorders>
                  <w:vAlign w:val="center"/>
                </w:tcPr>
                <w:p w14:paraId="7030F974">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周边500米内有次干道——金时大街</w:t>
                  </w:r>
                </w:p>
              </w:tc>
              <w:tc>
                <w:tcPr>
                  <w:tcW w:w="290" w:type="pct"/>
                  <w:tcBorders>
                    <w:top w:val="nil"/>
                    <w:left w:val="nil"/>
                    <w:bottom w:val="single" w:color="auto" w:sz="4" w:space="0"/>
                    <w:right w:val="single" w:color="auto" w:sz="4" w:space="0"/>
                  </w:tcBorders>
                  <w:vAlign w:val="center"/>
                </w:tcPr>
                <w:p w14:paraId="21DECD74">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7B7CADC9">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周边500米内有高速路——京台高速</w:t>
                  </w:r>
                </w:p>
              </w:tc>
              <w:tc>
                <w:tcPr>
                  <w:tcW w:w="271" w:type="pct"/>
                  <w:tcBorders>
                    <w:top w:val="nil"/>
                    <w:left w:val="nil"/>
                    <w:bottom w:val="single" w:color="auto" w:sz="4" w:space="0"/>
                    <w:right w:val="single" w:color="auto" w:sz="4" w:space="0"/>
                  </w:tcBorders>
                  <w:vAlign w:val="center"/>
                </w:tcPr>
                <w:p w14:paraId="7923DF4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c>
                <w:tcPr>
                  <w:tcW w:w="832" w:type="pct"/>
                  <w:tcBorders>
                    <w:top w:val="nil"/>
                    <w:left w:val="nil"/>
                    <w:bottom w:val="single" w:color="auto" w:sz="4" w:space="0"/>
                    <w:right w:val="single" w:color="auto" w:sz="4" w:space="0"/>
                  </w:tcBorders>
                  <w:vAlign w:val="center"/>
                </w:tcPr>
                <w:p w14:paraId="70393F97">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周边500米内有高速路——大</w:t>
                  </w:r>
                  <w:r>
                    <w:rPr>
                      <w:rFonts w:hint="eastAsia" w:ascii="Arial" w:hAnsi="Arial" w:cs="Arial"/>
                      <w:sz w:val="16"/>
                      <w:szCs w:val="18"/>
                    </w:rPr>
                    <w:t>广</w:t>
                  </w:r>
                  <w:r>
                    <w:rPr>
                      <w:rFonts w:ascii="Arial" w:hAnsi="Arial" w:cs="Arial"/>
                      <w:sz w:val="16"/>
                      <w:szCs w:val="18"/>
                    </w:rPr>
                    <w:t>高速</w:t>
                  </w:r>
                </w:p>
              </w:tc>
              <w:tc>
                <w:tcPr>
                  <w:tcW w:w="289" w:type="pct"/>
                  <w:tcBorders>
                    <w:top w:val="nil"/>
                    <w:left w:val="nil"/>
                    <w:bottom w:val="single" w:color="auto" w:sz="4" w:space="0"/>
                    <w:right w:val="single" w:color="auto" w:sz="4" w:space="0"/>
                  </w:tcBorders>
                  <w:vAlign w:val="center"/>
                </w:tcPr>
                <w:p w14:paraId="5F4988D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c>
                <w:tcPr>
                  <w:tcW w:w="790" w:type="pct"/>
                  <w:tcBorders>
                    <w:top w:val="nil"/>
                    <w:left w:val="nil"/>
                    <w:bottom w:val="single" w:color="auto" w:sz="4" w:space="0"/>
                    <w:right w:val="single" w:color="auto" w:sz="4" w:space="0"/>
                  </w:tcBorders>
                  <w:vAlign w:val="center"/>
                </w:tcPr>
                <w:p w14:paraId="2313FCEC">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周边500米内有高速路——大</w:t>
                  </w:r>
                  <w:r>
                    <w:rPr>
                      <w:rFonts w:hint="eastAsia" w:ascii="Arial" w:hAnsi="Arial" w:cs="Arial"/>
                      <w:sz w:val="16"/>
                      <w:szCs w:val="18"/>
                    </w:rPr>
                    <w:t>广</w:t>
                  </w:r>
                  <w:r>
                    <w:rPr>
                      <w:rFonts w:ascii="Arial" w:hAnsi="Arial" w:cs="Arial"/>
                      <w:sz w:val="16"/>
                      <w:szCs w:val="18"/>
                    </w:rPr>
                    <w:t>高速</w:t>
                  </w:r>
                </w:p>
              </w:tc>
              <w:tc>
                <w:tcPr>
                  <w:tcW w:w="288" w:type="pct"/>
                  <w:tcBorders>
                    <w:top w:val="nil"/>
                    <w:left w:val="nil"/>
                    <w:bottom w:val="single" w:color="auto" w:sz="4" w:space="0"/>
                    <w:right w:val="single" w:color="auto" w:sz="4" w:space="0"/>
                  </w:tcBorders>
                  <w:vAlign w:val="center"/>
                </w:tcPr>
                <w:p w14:paraId="50DAA88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r>
            <w:tr w14:paraId="74789C0B">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1C5D4FC4">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color="auto" w:sz="4" w:space="0"/>
                    <w:right w:val="single" w:color="auto" w:sz="4" w:space="0"/>
                  </w:tcBorders>
                  <w:vAlign w:val="center"/>
                </w:tcPr>
                <w:p w14:paraId="42C9CC46">
                  <w:pPr>
                    <w:widowControl/>
                    <w:adjustRightInd/>
                    <w:spacing w:line="240" w:lineRule="auto"/>
                    <w:jc w:val="center"/>
                    <w:textAlignment w:val="auto"/>
                    <w:rPr>
                      <w:rFonts w:ascii="Arial" w:hAnsi="Arial" w:cs="Arial"/>
                      <w:sz w:val="16"/>
                      <w:szCs w:val="18"/>
                    </w:rPr>
                  </w:pPr>
                  <w:r>
                    <w:rPr>
                      <w:rFonts w:ascii="Arial" w:hAnsi="Arial" w:cs="Arial"/>
                      <w:sz w:val="16"/>
                      <w:szCs w:val="18"/>
                    </w:rPr>
                    <w:t>距离轨道交通站点距离</w:t>
                  </w:r>
                </w:p>
              </w:tc>
              <w:tc>
                <w:tcPr>
                  <w:tcW w:w="816" w:type="pct"/>
                  <w:tcBorders>
                    <w:top w:val="nil"/>
                    <w:left w:val="nil"/>
                    <w:bottom w:val="single" w:color="auto" w:sz="4" w:space="0"/>
                    <w:right w:val="single" w:color="auto" w:sz="4" w:space="0"/>
                  </w:tcBorders>
                  <w:vAlign w:val="center"/>
                </w:tcPr>
                <w:p w14:paraId="52AE6A80">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周边2公里内无地铁站点</w:t>
                  </w:r>
                </w:p>
              </w:tc>
              <w:tc>
                <w:tcPr>
                  <w:tcW w:w="290" w:type="pct"/>
                  <w:tcBorders>
                    <w:top w:val="nil"/>
                    <w:left w:val="nil"/>
                    <w:bottom w:val="single" w:color="auto" w:sz="4" w:space="0"/>
                    <w:right w:val="single" w:color="auto" w:sz="4" w:space="0"/>
                  </w:tcBorders>
                  <w:vAlign w:val="center"/>
                </w:tcPr>
                <w:p w14:paraId="08389EE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7F3399D7">
                  <w:pPr>
                    <w:widowControl/>
                    <w:adjustRightInd/>
                    <w:spacing w:line="240" w:lineRule="auto"/>
                    <w:jc w:val="center"/>
                    <w:textAlignment w:val="auto"/>
                    <w:rPr>
                      <w:rFonts w:ascii="Arial" w:hAnsi="Arial" w:cs="Arial"/>
                      <w:sz w:val="16"/>
                      <w:szCs w:val="18"/>
                    </w:rPr>
                  </w:pPr>
                  <w:r>
                    <w:rPr>
                      <w:rFonts w:ascii="Arial" w:hAnsi="Arial" w:cs="Arial"/>
                      <w:sz w:val="16"/>
                      <w:szCs w:val="18"/>
                    </w:rPr>
                    <w:t>周边1公里内有地铁8号线（瀛海站）</w:t>
                  </w:r>
                </w:p>
              </w:tc>
              <w:tc>
                <w:tcPr>
                  <w:tcW w:w="271" w:type="pct"/>
                  <w:tcBorders>
                    <w:top w:val="nil"/>
                    <w:left w:val="nil"/>
                    <w:bottom w:val="single" w:color="auto" w:sz="4" w:space="0"/>
                    <w:right w:val="single" w:color="auto" w:sz="4" w:space="0"/>
                  </w:tcBorders>
                  <w:vAlign w:val="center"/>
                </w:tcPr>
                <w:p w14:paraId="79A1BC39">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hint="eastAsia" w:ascii="Arial" w:hAnsi="Arial" w:cs="Arial"/>
                      <w:sz w:val="16"/>
                      <w:szCs w:val="18"/>
                    </w:rPr>
                    <w:t>3</w:t>
                  </w:r>
                </w:p>
              </w:tc>
              <w:tc>
                <w:tcPr>
                  <w:tcW w:w="832" w:type="pct"/>
                  <w:tcBorders>
                    <w:top w:val="nil"/>
                    <w:left w:val="nil"/>
                    <w:bottom w:val="single" w:color="auto" w:sz="4" w:space="0"/>
                    <w:right w:val="single" w:color="auto" w:sz="4" w:space="0"/>
                  </w:tcBorders>
                  <w:vAlign w:val="center"/>
                </w:tcPr>
                <w:p w14:paraId="4CBEBEEF">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周边500米内有地铁4号线大兴线（生物医药基地站）</w:t>
                  </w:r>
                </w:p>
              </w:tc>
              <w:tc>
                <w:tcPr>
                  <w:tcW w:w="289" w:type="pct"/>
                  <w:tcBorders>
                    <w:top w:val="nil"/>
                    <w:left w:val="nil"/>
                    <w:bottom w:val="single" w:color="auto" w:sz="4" w:space="0"/>
                    <w:right w:val="single" w:color="auto" w:sz="4" w:space="0"/>
                  </w:tcBorders>
                  <w:vAlign w:val="center"/>
                </w:tcPr>
                <w:p w14:paraId="4CAFA3C6">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hint="eastAsia" w:ascii="Arial" w:hAnsi="Arial" w:cs="Arial"/>
                      <w:sz w:val="16"/>
                      <w:szCs w:val="18"/>
                    </w:rPr>
                    <w:t>06</w:t>
                  </w:r>
                </w:p>
              </w:tc>
              <w:tc>
                <w:tcPr>
                  <w:tcW w:w="790" w:type="pct"/>
                  <w:tcBorders>
                    <w:top w:val="nil"/>
                    <w:left w:val="nil"/>
                    <w:bottom w:val="single" w:color="auto" w:sz="4" w:space="0"/>
                    <w:right w:val="single" w:color="auto" w:sz="4" w:space="0"/>
                  </w:tcBorders>
                  <w:vAlign w:val="center"/>
                </w:tcPr>
                <w:p w14:paraId="092AD1AD">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周边500米内有地铁4号线大兴线（生物医药基地站）</w:t>
                  </w:r>
                </w:p>
              </w:tc>
              <w:tc>
                <w:tcPr>
                  <w:tcW w:w="288" w:type="pct"/>
                  <w:tcBorders>
                    <w:top w:val="nil"/>
                    <w:left w:val="nil"/>
                    <w:bottom w:val="single" w:color="auto" w:sz="4" w:space="0"/>
                    <w:right w:val="single" w:color="auto" w:sz="4" w:space="0"/>
                  </w:tcBorders>
                  <w:vAlign w:val="center"/>
                </w:tcPr>
                <w:p w14:paraId="4ABA9F28">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hint="eastAsia" w:ascii="Arial" w:hAnsi="Arial" w:cs="Arial"/>
                      <w:sz w:val="16"/>
                      <w:szCs w:val="18"/>
                    </w:rPr>
                    <w:t>06</w:t>
                  </w:r>
                </w:p>
              </w:tc>
            </w:tr>
            <w:tr w14:paraId="19A3676A">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52073C05">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single" w:color="auto" w:sz="4" w:space="0"/>
                    <w:bottom w:val="single" w:color="auto" w:sz="4" w:space="0"/>
                    <w:right w:val="single" w:color="auto" w:sz="4" w:space="0"/>
                  </w:tcBorders>
                  <w:vAlign w:val="center"/>
                </w:tcPr>
                <w:p w14:paraId="7A96668D">
                  <w:pPr>
                    <w:widowControl/>
                    <w:adjustRightInd/>
                    <w:spacing w:line="240" w:lineRule="auto"/>
                    <w:jc w:val="center"/>
                    <w:textAlignment w:val="auto"/>
                    <w:rPr>
                      <w:rFonts w:ascii="Arial" w:hAnsi="Arial" w:cs="Arial"/>
                      <w:sz w:val="16"/>
                      <w:szCs w:val="18"/>
                    </w:rPr>
                  </w:pPr>
                  <w:r>
                    <w:rPr>
                      <w:rFonts w:ascii="Arial" w:hAnsi="Arial" w:cs="Arial"/>
                      <w:sz w:val="16"/>
                      <w:szCs w:val="18"/>
                    </w:rPr>
                    <w:t>距离公交站点距离</w:t>
                  </w:r>
                </w:p>
              </w:tc>
              <w:tc>
                <w:tcPr>
                  <w:tcW w:w="816" w:type="pct"/>
                  <w:tcBorders>
                    <w:top w:val="single" w:color="auto" w:sz="4" w:space="0"/>
                    <w:left w:val="nil"/>
                    <w:bottom w:val="single" w:color="auto" w:sz="4" w:space="0"/>
                    <w:right w:val="single" w:color="auto" w:sz="4" w:space="0"/>
                  </w:tcBorders>
                  <w:vAlign w:val="center"/>
                </w:tcPr>
                <w:p w14:paraId="76E92E26">
                  <w:pPr>
                    <w:widowControl/>
                    <w:adjustRightInd/>
                    <w:spacing w:line="240" w:lineRule="auto"/>
                    <w:jc w:val="center"/>
                    <w:textAlignment w:val="auto"/>
                    <w:rPr>
                      <w:rFonts w:ascii="Arial" w:hAnsi="Arial" w:cs="Arial"/>
                      <w:sz w:val="16"/>
                      <w:szCs w:val="18"/>
                    </w:rPr>
                  </w:pPr>
                  <w:r>
                    <w:rPr>
                      <w:rFonts w:ascii="Arial" w:hAnsi="Arial" w:cs="Arial"/>
                      <w:sz w:val="16"/>
                      <w:szCs w:val="18"/>
                    </w:rPr>
                    <w:t>周边1000米内有兴29路、兴63路、兴80路等公交线路途径并设立站点</w:t>
                  </w:r>
                  <w:r>
                    <w:rPr>
                      <w:rFonts w:hint="eastAsia" w:ascii="Arial" w:hAnsi="Arial" w:cs="Arial"/>
                      <w:sz w:val="16"/>
                      <w:szCs w:val="18"/>
                    </w:rPr>
                    <w:t>。</w:t>
                  </w:r>
                </w:p>
              </w:tc>
              <w:tc>
                <w:tcPr>
                  <w:tcW w:w="290" w:type="pct"/>
                  <w:tcBorders>
                    <w:top w:val="single" w:color="auto" w:sz="4" w:space="0"/>
                    <w:left w:val="nil"/>
                    <w:bottom w:val="single" w:color="auto" w:sz="4" w:space="0"/>
                    <w:right w:val="single" w:color="auto" w:sz="4" w:space="0"/>
                  </w:tcBorders>
                  <w:vAlign w:val="center"/>
                </w:tcPr>
                <w:p w14:paraId="6A9C5C9E">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0B99FA22">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周边500米内有573路、526路、兴31路、兴38路等公交线路途径并设立站点</w:t>
                  </w:r>
                  <w:r>
                    <w:rPr>
                      <w:rFonts w:hint="eastAsia" w:ascii="Arial" w:hAnsi="Arial" w:cs="Arial"/>
                      <w:sz w:val="16"/>
                      <w:szCs w:val="18"/>
                    </w:rPr>
                    <w:t>。</w:t>
                  </w:r>
                </w:p>
              </w:tc>
              <w:tc>
                <w:tcPr>
                  <w:tcW w:w="271" w:type="pct"/>
                  <w:tcBorders>
                    <w:top w:val="single" w:color="auto" w:sz="4" w:space="0"/>
                    <w:left w:val="nil"/>
                    <w:bottom w:val="single" w:color="auto" w:sz="4" w:space="0"/>
                    <w:right w:val="single" w:color="auto" w:sz="4" w:space="0"/>
                  </w:tcBorders>
                  <w:vAlign w:val="center"/>
                </w:tcPr>
                <w:p w14:paraId="2D1DB0EF">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hint="eastAsia" w:ascii="Arial" w:hAnsi="Arial" w:cs="Arial"/>
                      <w:sz w:val="16"/>
                      <w:szCs w:val="18"/>
                    </w:rPr>
                    <w:t>3</w:t>
                  </w:r>
                </w:p>
              </w:tc>
              <w:tc>
                <w:tcPr>
                  <w:tcW w:w="832" w:type="pct"/>
                  <w:tcBorders>
                    <w:top w:val="single" w:color="auto" w:sz="4" w:space="0"/>
                    <w:left w:val="nil"/>
                    <w:bottom w:val="single" w:color="auto" w:sz="4" w:space="0"/>
                    <w:right w:val="single" w:color="auto" w:sz="4" w:space="0"/>
                  </w:tcBorders>
                  <w:vAlign w:val="center"/>
                </w:tcPr>
                <w:p w14:paraId="67199EB5">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周边500米内有456路、827路、兴23路、兴27路等公交线路途径并设立站点</w:t>
                  </w:r>
                  <w:r>
                    <w:rPr>
                      <w:rFonts w:hint="eastAsia" w:ascii="Arial" w:hAnsi="Arial" w:cs="Arial"/>
                      <w:sz w:val="16"/>
                      <w:szCs w:val="18"/>
                    </w:rPr>
                    <w:t>。</w:t>
                  </w:r>
                </w:p>
              </w:tc>
              <w:tc>
                <w:tcPr>
                  <w:tcW w:w="289" w:type="pct"/>
                  <w:tcBorders>
                    <w:top w:val="single" w:color="auto" w:sz="4" w:space="0"/>
                    <w:left w:val="nil"/>
                    <w:bottom w:val="single" w:color="auto" w:sz="4" w:space="0"/>
                    <w:right w:val="single" w:color="auto" w:sz="4" w:space="0"/>
                  </w:tcBorders>
                  <w:vAlign w:val="center"/>
                </w:tcPr>
                <w:p w14:paraId="5CEA7672">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hint="eastAsia" w:ascii="Arial" w:hAnsi="Arial" w:cs="Arial"/>
                      <w:sz w:val="16"/>
                      <w:szCs w:val="18"/>
                    </w:rPr>
                    <w:t>3</w:t>
                  </w:r>
                </w:p>
              </w:tc>
              <w:tc>
                <w:tcPr>
                  <w:tcW w:w="790" w:type="pct"/>
                  <w:tcBorders>
                    <w:top w:val="single" w:color="auto" w:sz="4" w:space="0"/>
                    <w:left w:val="nil"/>
                    <w:bottom w:val="single" w:color="auto" w:sz="4" w:space="0"/>
                    <w:right w:val="single" w:color="auto" w:sz="4" w:space="0"/>
                  </w:tcBorders>
                  <w:vAlign w:val="center"/>
                </w:tcPr>
                <w:p w14:paraId="29CED473">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周边500米内有456路、827路、兴23路、兴27路等公交线路途径并设立站点</w:t>
                  </w:r>
                  <w:r>
                    <w:rPr>
                      <w:rFonts w:hint="eastAsia" w:ascii="Arial" w:hAnsi="Arial" w:cs="Arial"/>
                      <w:sz w:val="16"/>
                      <w:szCs w:val="18"/>
                    </w:rPr>
                    <w:t>。</w:t>
                  </w:r>
                </w:p>
              </w:tc>
              <w:tc>
                <w:tcPr>
                  <w:tcW w:w="288" w:type="pct"/>
                  <w:tcBorders>
                    <w:top w:val="nil"/>
                    <w:left w:val="nil"/>
                    <w:bottom w:val="single" w:color="auto" w:sz="4" w:space="0"/>
                    <w:right w:val="single" w:color="auto" w:sz="4" w:space="0"/>
                  </w:tcBorders>
                  <w:vAlign w:val="center"/>
                </w:tcPr>
                <w:p w14:paraId="7EB8FBDE">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hint="eastAsia" w:ascii="Arial" w:hAnsi="Arial" w:cs="Arial"/>
                      <w:sz w:val="16"/>
                      <w:szCs w:val="18"/>
                    </w:rPr>
                    <w:t>03</w:t>
                  </w:r>
                </w:p>
              </w:tc>
            </w:tr>
            <w:tr w14:paraId="77913E32">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2CC31969">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53B2AB0F">
                  <w:pPr>
                    <w:widowControl/>
                    <w:adjustRightInd/>
                    <w:spacing w:line="240" w:lineRule="auto"/>
                    <w:jc w:val="center"/>
                    <w:textAlignment w:val="auto"/>
                    <w:rPr>
                      <w:rFonts w:ascii="Arial" w:hAnsi="Arial" w:cs="Arial"/>
                      <w:sz w:val="16"/>
                      <w:szCs w:val="18"/>
                    </w:rPr>
                  </w:pPr>
                  <w:r>
                    <w:rPr>
                      <w:rFonts w:ascii="Arial" w:hAnsi="Arial" w:cs="Arial"/>
                      <w:sz w:val="16"/>
                      <w:szCs w:val="18"/>
                    </w:rPr>
                    <w:t>自然环境和人文环境</w:t>
                  </w:r>
                </w:p>
              </w:tc>
              <w:tc>
                <w:tcPr>
                  <w:tcW w:w="816" w:type="pct"/>
                  <w:tcBorders>
                    <w:top w:val="single" w:color="auto" w:sz="4" w:space="0"/>
                    <w:left w:val="nil"/>
                    <w:bottom w:val="single" w:color="auto" w:sz="4" w:space="0"/>
                    <w:right w:val="single" w:color="auto" w:sz="4" w:space="0"/>
                  </w:tcBorders>
                  <w:vAlign w:val="center"/>
                </w:tcPr>
                <w:p w14:paraId="08593718">
                  <w:pPr>
                    <w:widowControl/>
                    <w:adjustRightInd/>
                    <w:spacing w:line="240" w:lineRule="auto"/>
                    <w:jc w:val="center"/>
                    <w:textAlignment w:val="auto"/>
                    <w:rPr>
                      <w:rFonts w:ascii="Arial" w:hAnsi="Arial" w:cs="Arial"/>
                      <w:sz w:val="16"/>
                      <w:szCs w:val="18"/>
                    </w:rPr>
                  </w:pPr>
                  <w:r>
                    <w:rPr>
                      <w:rFonts w:ascii="Arial" w:hAnsi="Arial" w:cs="Arial"/>
                      <w:sz w:val="16"/>
                      <w:szCs w:val="18"/>
                    </w:rPr>
                    <w:t>估价对象周边有新西凤渠湿地、新凤河等自然景观，绿化面积较大，自然与人文环境较好。住区内道路较整洁，周边5km内无污染源。</w:t>
                  </w:r>
                </w:p>
              </w:tc>
              <w:tc>
                <w:tcPr>
                  <w:tcW w:w="290" w:type="pct"/>
                  <w:tcBorders>
                    <w:top w:val="single" w:color="auto" w:sz="4" w:space="0"/>
                    <w:left w:val="nil"/>
                    <w:bottom w:val="single" w:color="auto" w:sz="4" w:space="0"/>
                    <w:right w:val="single" w:color="auto" w:sz="4" w:space="0"/>
                  </w:tcBorders>
                  <w:vAlign w:val="center"/>
                </w:tcPr>
                <w:p w14:paraId="61A3429F">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4F3FC2B9">
                  <w:pPr>
                    <w:widowControl/>
                    <w:adjustRightInd/>
                    <w:spacing w:line="240" w:lineRule="auto"/>
                    <w:jc w:val="center"/>
                    <w:textAlignment w:val="auto"/>
                    <w:rPr>
                      <w:rFonts w:ascii="Arial" w:hAnsi="Arial" w:cs="Arial"/>
                      <w:sz w:val="16"/>
                      <w:szCs w:val="18"/>
                    </w:rPr>
                  </w:pPr>
                  <w:r>
                    <w:rPr>
                      <w:rFonts w:ascii="Arial" w:hAnsi="Arial" w:cs="Arial"/>
                      <w:sz w:val="16"/>
                      <w:szCs w:val="18"/>
                    </w:rPr>
                    <w:t>周边有瀛达公园、瀛海休闲公园、兴海公园等自然景观，绿化面积较大，自然与人文环境较好。周边5km内无污染源。</w:t>
                  </w:r>
                </w:p>
              </w:tc>
              <w:tc>
                <w:tcPr>
                  <w:tcW w:w="271" w:type="pct"/>
                  <w:tcBorders>
                    <w:top w:val="single" w:color="auto" w:sz="4" w:space="0"/>
                    <w:left w:val="nil"/>
                    <w:bottom w:val="single" w:color="auto" w:sz="4" w:space="0"/>
                    <w:right w:val="single" w:color="auto" w:sz="4" w:space="0"/>
                  </w:tcBorders>
                  <w:vAlign w:val="center"/>
                </w:tcPr>
                <w:p w14:paraId="5C1E21CD">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0B039336">
                  <w:pPr>
                    <w:widowControl/>
                    <w:adjustRightInd/>
                    <w:spacing w:line="240" w:lineRule="auto"/>
                    <w:jc w:val="center"/>
                    <w:textAlignment w:val="auto"/>
                    <w:rPr>
                      <w:rFonts w:ascii="Arial" w:hAnsi="Arial" w:cs="Arial"/>
                      <w:sz w:val="16"/>
                      <w:szCs w:val="18"/>
                    </w:rPr>
                  </w:pPr>
                  <w:r>
                    <w:rPr>
                      <w:rFonts w:ascii="Arial" w:hAnsi="Arial" w:cs="Arial"/>
                      <w:sz w:val="16"/>
                      <w:szCs w:val="18"/>
                    </w:rPr>
                    <w:t>周边有念坛公园、永定公园、天堂河等自然景观，绿化面积较大，自然与人文环境较好。周边5km内无污染源。</w:t>
                  </w:r>
                </w:p>
              </w:tc>
              <w:tc>
                <w:tcPr>
                  <w:tcW w:w="289" w:type="pct"/>
                  <w:tcBorders>
                    <w:top w:val="single" w:color="auto" w:sz="4" w:space="0"/>
                    <w:left w:val="nil"/>
                    <w:bottom w:val="single" w:color="auto" w:sz="4" w:space="0"/>
                    <w:right w:val="single" w:color="auto" w:sz="4" w:space="0"/>
                  </w:tcBorders>
                  <w:vAlign w:val="center"/>
                </w:tcPr>
                <w:p w14:paraId="23333B03">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7F6BA4FF">
                  <w:pPr>
                    <w:widowControl/>
                    <w:adjustRightInd/>
                    <w:spacing w:line="240" w:lineRule="auto"/>
                    <w:jc w:val="center"/>
                    <w:textAlignment w:val="auto"/>
                    <w:rPr>
                      <w:rFonts w:ascii="Arial" w:hAnsi="Arial" w:cs="Arial"/>
                      <w:sz w:val="16"/>
                      <w:szCs w:val="18"/>
                    </w:rPr>
                  </w:pPr>
                  <w:r>
                    <w:rPr>
                      <w:rFonts w:ascii="Arial" w:hAnsi="Arial" w:cs="Arial"/>
                      <w:sz w:val="16"/>
                      <w:szCs w:val="18"/>
                    </w:rPr>
                    <w:t>周边有念坛公园、永定公园、天堂河等自然景观，绿化面积较大，自然与人文环境较好。周边5km内无污染源。</w:t>
                  </w:r>
                </w:p>
              </w:tc>
              <w:tc>
                <w:tcPr>
                  <w:tcW w:w="288" w:type="pct"/>
                  <w:tcBorders>
                    <w:top w:val="nil"/>
                    <w:left w:val="nil"/>
                    <w:bottom w:val="single" w:color="auto" w:sz="4" w:space="0"/>
                    <w:right w:val="single" w:color="auto" w:sz="4" w:space="0"/>
                  </w:tcBorders>
                  <w:vAlign w:val="center"/>
                </w:tcPr>
                <w:p w14:paraId="5FA5D2B4">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r>
            <w:tr w14:paraId="3AFBF1CC">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1A0BF934">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color="auto" w:sz="4" w:space="0"/>
                    <w:right w:val="single" w:color="auto" w:sz="4" w:space="0"/>
                  </w:tcBorders>
                  <w:vAlign w:val="center"/>
                </w:tcPr>
                <w:p w14:paraId="58640F3D">
                  <w:pPr>
                    <w:widowControl/>
                    <w:adjustRightInd/>
                    <w:spacing w:line="240" w:lineRule="auto"/>
                    <w:jc w:val="center"/>
                    <w:textAlignment w:val="auto"/>
                    <w:rPr>
                      <w:rFonts w:ascii="Arial" w:hAnsi="Arial" w:cs="Arial"/>
                      <w:sz w:val="16"/>
                      <w:szCs w:val="18"/>
                    </w:rPr>
                  </w:pPr>
                  <w:r>
                    <w:rPr>
                      <w:rFonts w:ascii="Arial" w:hAnsi="Arial" w:cs="Arial"/>
                      <w:sz w:val="16"/>
                      <w:szCs w:val="18"/>
                    </w:rPr>
                    <w:t>公共配套</w:t>
                  </w:r>
                </w:p>
              </w:tc>
              <w:tc>
                <w:tcPr>
                  <w:tcW w:w="816" w:type="pct"/>
                  <w:tcBorders>
                    <w:top w:val="nil"/>
                    <w:left w:val="nil"/>
                    <w:bottom w:val="single" w:color="auto" w:sz="4" w:space="0"/>
                    <w:right w:val="single" w:color="auto" w:sz="4" w:space="0"/>
                  </w:tcBorders>
                  <w:vAlign w:val="center"/>
                </w:tcPr>
                <w:p w14:paraId="11A97EB7">
                  <w:pPr>
                    <w:widowControl/>
                    <w:adjustRightInd/>
                    <w:spacing w:line="240" w:lineRule="auto"/>
                    <w:jc w:val="center"/>
                    <w:textAlignment w:val="auto"/>
                    <w:rPr>
                      <w:rFonts w:ascii="Arial" w:hAnsi="Arial" w:cs="Arial"/>
                      <w:sz w:val="16"/>
                      <w:szCs w:val="18"/>
                    </w:rPr>
                  </w:pPr>
                  <w:r>
                    <w:rPr>
                      <w:rFonts w:ascii="Arial" w:hAnsi="Arial" w:cs="Arial"/>
                      <w:sz w:val="16"/>
                      <w:szCs w:val="18"/>
                    </w:rPr>
                    <w:t>估价对象所在区域周边无大型购物中心，有多喜多超市、春雷生活超市等生活配套商业；有北京市大兴区黄村镇三间房社区卫生服务站等医疗机构，有北京现代艺术学校、北京三间房中心幼儿园等教育设施；北京农商银行（新建分理处）等金融服务机构，公共配套设施状况较差。</w:t>
                  </w:r>
                </w:p>
              </w:tc>
              <w:tc>
                <w:tcPr>
                  <w:tcW w:w="290" w:type="pct"/>
                  <w:tcBorders>
                    <w:top w:val="nil"/>
                    <w:left w:val="nil"/>
                    <w:bottom w:val="single" w:color="auto" w:sz="4" w:space="0"/>
                    <w:right w:val="single" w:color="auto" w:sz="4" w:space="0"/>
                  </w:tcBorders>
                  <w:vAlign w:val="center"/>
                </w:tcPr>
                <w:p w14:paraId="2E6EE702">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6FA0F7DD">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范围内有北京瀛海环宇坊等商业场所；有瀛海镇第一中心小学、北京是大兴区太和中学、北京市大兴区红星中学等教育设施；中国邮政储蓄银行、北京农商银行等金融服务机构，公共配套设施状况较好。</w:t>
                  </w:r>
                </w:p>
              </w:tc>
              <w:tc>
                <w:tcPr>
                  <w:tcW w:w="271" w:type="pct"/>
                  <w:tcBorders>
                    <w:top w:val="nil"/>
                    <w:left w:val="nil"/>
                    <w:bottom w:val="single" w:color="auto" w:sz="4" w:space="0"/>
                    <w:right w:val="single" w:color="auto" w:sz="4" w:space="0"/>
                  </w:tcBorders>
                  <w:vAlign w:val="center"/>
                </w:tcPr>
                <w:p w14:paraId="0D51C5B6">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hint="eastAsia" w:ascii="Arial" w:hAnsi="Arial" w:cs="Arial"/>
                      <w:sz w:val="16"/>
                      <w:szCs w:val="18"/>
                    </w:rPr>
                    <w:t>3</w:t>
                  </w:r>
                </w:p>
              </w:tc>
              <w:tc>
                <w:tcPr>
                  <w:tcW w:w="832" w:type="pct"/>
                  <w:tcBorders>
                    <w:top w:val="nil"/>
                    <w:left w:val="nil"/>
                    <w:bottom w:val="single" w:color="auto" w:sz="4" w:space="0"/>
                    <w:right w:val="single" w:color="auto" w:sz="4" w:space="0"/>
                  </w:tcBorders>
                  <w:vAlign w:val="center"/>
                </w:tcPr>
                <w:p w14:paraId="151A844D">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范围内有龙湖北京大兴天街、凯德MALL大兴等商业场所；北京育才学校（大兴分校）、北京市邮政学校、清华附中大大兴学校等教育设施；中国银行、中国工商银行等金融服务机构，公共配套设施状况较好。</w:t>
                  </w:r>
                </w:p>
              </w:tc>
              <w:tc>
                <w:tcPr>
                  <w:tcW w:w="289" w:type="pct"/>
                  <w:tcBorders>
                    <w:top w:val="nil"/>
                    <w:left w:val="nil"/>
                    <w:bottom w:val="single" w:color="auto" w:sz="4" w:space="0"/>
                    <w:right w:val="single" w:color="auto" w:sz="4" w:space="0"/>
                  </w:tcBorders>
                  <w:vAlign w:val="center"/>
                </w:tcPr>
                <w:p w14:paraId="355245C1">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hint="eastAsia" w:ascii="Arial" w:hAnsi="Arial" w:cs="Arial"/>
                      <w:sz w:val="16"/>
                      <w:szCs w:val="18"/>
                    </w:rPr>
                    <w:t>03</w:t>
                  </w:r>
                </w:p>
              </w:tc>
              <w:tc>
                <w:tcPr>
                  <w:tcW w:w="790" w:type="pct"/>
                  <w:tcBorders>
                    <w:top w:val="nil"/>
                    <w:left w:val="nil"/>
                    <w:bottom w:val="single" w:color="auto" w:sz="4" w:space="0"/>
                    <w:right w:val="single" w:color="auto" w:sz="4" w:space="0"/>
                  </w:tcBorders>
                  <w:vAlign w:val="center"/>
                </w:tcPr>
                <w:p w14:paraId="304AD767">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范围内有龙湖北京大兴天街、凯德MALL大兴等商业场所；北京育才学校（大兴分校）、北京市邮政学校、清华附中大大兴学校等教育设施；中国银行、中国工商银行等金融服务机构，公共配套设施状况较好。</w:t>
                  </w:r>
                </w:p>
              </w:tc>
              <w:tc>
                <w:tcPr>
                  <w:tcW w:w="288" w:type="pct"/>
                  <w:tcBorders>
                    <w:top w:val="nil"/>
                    <w:left w:val="nil"/>
                    <w:bottom w:val="single" w:color="auto" w:sz="4" w:space="0"/>
                    <w:right w:val="single" w:color="auto" w:sz="4" w:space="0"/>
                  </w:tcBorders>
                  <w:vAlign w:val="center"/>
                </w:tcPr>
                <w:p w14:paraId="42365F8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r>
            <w:tr w14:paraId="06BC5F69">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6E77EF94">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color="auto" w:sz="4" w:space="0"/>
                    <w:right w:val="single" w:color="auto" w:sz="4" w:space="0"/>
                  </w:tcBorders>
                  <w:vAlign w:val="center"/>
                </w:tcPr>
                <w:p w14:paraId="0A2F041E">
                  <w:pPr>
                    <w:widowControl/>
                    <w:adjustRightInd/>
                    <w:spacing w:line="240" w:lineRule="auto"/>
                    <w:jc w:val="center"/>
                    <w:textAlignment w:val="auto"/>
                    <w:rPr>
                      <w:rFonts w:ascii="Arial" w:hAnsi="Arial" w:cs="Arial"/>
                      <w:sz w:val="16"/>
                      <w:szCs w:val="18"/>
                    </w:rPr>
                  </w:pPr>
                  <w:r>
                    <w:rPr>
                      <w:rFonts w:ascii="Arial" w:hAnsi="Arial" w:cs="Arial"/>
                      <w:sz w:val="16"/>
                      <w:szCs w:val="18"/>
                    </w:rPr>
                    <w:t>楼层</w:t>
                  </w:r>
                </w:p>
              </w:tc>
              <w:tc>
                <w:tcPr>
                  <w:tcW w:w="816" w:type="pct"/>
                  <w:tcBorders>
                    <w:top w:val="nil"/>
                    <w:left w:val="nil"/>
                    <w:bottom w:val="single" w:color="auto" w:sz="4" w:space="0"/>
                    <w:right w:val="single" w:color="auto" w:sz="4" w:space="0"/>
                  </w:tcBorders>
                  <w:vAlign w:val="center"/>
                </w:tcPr>
                <w:p w14:paraId="48BDB669">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90" w:type="pct"/>
                  <w:tcBorders>
                    <w:top w:val="nil"/>
                    <w:left w:val="nil"/>
                    <w:bottom w:val="single" w:color="auto" w:sz="4" w:space="0"/>
                    <w:right w:val="single" w:color="auto" w:sz="4" w:space="0"/>
                  </w:tcBorders>
                  <w:vAlign w:val="center"/>
                </w:tcPr>
                <w:p w14:paraId="310BA6D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270D92DA">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71" w:type="pct"/>
                  <w:tcBorders>
                    <w:top w:val="nil"/>
                    <w:left w:val="nil"/>
                    <w:bottom w:val="single" w:color="auto" w:sz="4" w:space="0"/>
                    <w:right w:val="single" w:color="auto" w:sz="4" w:space="0"/>
                  </w:tcBorders>
                  <w:vAlign w:val="center"/>
                </w:tcPr>
                <w:p w14:paraId="4EC786D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nil"/>
                    <w:left w:val="nil"/>
                    <w:bottom w:val="single" w:color="auto" w:sz="4" w:space="0"/>
                    <w:right w:val="single" w:color="auto" w:sz="4" w:space="0"/>
                  </w:tcBorders>
                  <w:vAlign w:val="center"/>
                </w:tcPr>
                <w:p w14:paraId="578DCC09">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89" w:type="pct"/>
                  <w:tcBorders>
                    <w:top w:val="nil"/>
                    <w:left w:val="nil"/>
                    <w:bottom w:val="single" w:color="auto" w:sz="4" w:space="0"/>
                    <w:right w:val="single" w:color="auto" w:sz="4" w:space="0"/>
                  </w:tcBorders>
                  <w:vAlign w:val="center"/>
                </w:tcPr>
                <w:p w14:paraId="75D969D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nil"/>
                    <w:left w:val="nil"/>
                    <w:bottom w:val="single" w:color="auto" w:sz="4" w:space="0"/>
                    <w:right w:val="single" w:color="auto" w:sz="4" w:space="0"/>
                  </w:tcBorders>
                  <w:vAlign w:val="center"/>
                </w:tcPr>
                <w:p w14:paraId="30BEE8AD">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88" w:type="pct"/>
                  <w:tcBorders>
                    <w:top w:val="nil"/>
                    <w:left w:val="nil"/>
                    <w:bottom w:val="single" w:color="auto" w:sz="4" w:space="0"/>
                    <w:right w:val="single" w:color="auto" w:sz="4" w:space="0"/>
                  </w:tcBorders>
                  <w:vAlign w:val="center"/>
                </w:tcPr>
                <w:p w14:paraId="26F100E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59B9EC47">
              <w:tblPrEx>
                <w:tblCellMar>
                  <w:top w:w="0" w:type="dxa"/>
                  <w:left w:w="108" w:type="dxa"/>
                  <w:bottom w:w="0" w:type="dxa"/>
                  <w:right w:w="108" w:type="dxa"/>
                </w:tblCellMar>
              </w:tblPrEx>
              <w:trPr>
                <w:trHeight w:val="283" w:hRule="atLeast"/>
                <w:jc w:val="center"/>
              </w:trPr>
              <w:tc>
                <w:tcPr>
                  <w:tcW w:w="203" w:type="pct"/>
                  <w:vMerge w:val="restart"/>
                  <w:tcBorders>
                    <w:top w:val="single" w:color="auto" w:sz="4" w:space="0"/>
                    <w:left w:val="single" w:color="auto" w:sz="4" w:space="0"/>
                    <w:bottom w:val="single" w:color="auto" w:sz="4" w:space="0"/>
                    <w:right w:val="single" w:color="auto" w:sz="4" w:space="0"/>
                  </w:tcBorders>
                  <w:vAlign w:val="center"/>
                </w:tcPr>
                <w:p w14:paraId="03A4E92F">
                  <w:pPr>
                    <w:widowControl/>
                    <w:adjustRightInd/>
                    <w:spacing w:line="240" w:lineRule="auto"/>
                    <w:jc w:val="center"/>
                    <w:textAlignment w:val="auto"/>
                    <w:rPr>
                      <w:rFonts w:ascii="Arial" w:hAnsi="Arial" w:cs="Arial"/>
                      <w:sz w:val="16"/>
                      <w:szCs w:val="18"/>
                    </w:rPr>
                  </w:pPr>
                  <w:r>
                    <w:rPr>
                      <w:rFonts w:ascii="Arial" w:hAnsi="Arial" w:cs="Arial"/>
                      <w:sz w:val="16"/>
                      <w:szCs w:val="18"/>
                    </w:rPr>
                    <w:t>实物状况</w:t>
                  </w:r>
                </w:p>
              </w:tc>
              <w:tc>
                <w:tcPr>
                  <w:tcW w:w="458" w:type="pct"/>
                  <w:tcBorders>
                    <w:top w:val="single" w:color="auto" w:sz="4" w:space="0"/>
                    <w:left w:val="nil"/>
                    <w:bottom w:val="single" w:color="auto" w:sz="4" w:space="0"/>
                    <w:right w:val="single" w:color="auto" w:sz="4" w:space="0"/>
                  </w:tcBorders>
                  <w:vAlign w:val="center"/>
                </w:tcPr>
                <w:p w14:paraId="68925FBA">
                  <w:pPr>
                    <w:widowControl/>
                    <w:adjustRightInd/>
                    <w:spacing w:line="240" w:lineRule="auto"/>
                    <w:jc w:val="center"/>
                    <w:textAlignment w:val="auto"/>
                    <w:rPr>
                      <w:rFonts w:ascii="Arial" w:hAnsi="Arial" w:cs="Arial"/>
                      <w:sz w:val="16"/>
                      <w:szCs w:val="18"/>
                    </w:rPr>
                  </w:pPr>
                  <w:r>
                    <w:rPr>
                      <w:rFonts w:ascii="Arial" w:hAnsi="Arial" w:cs="Arial"/>
                      <w:sz w:val="16"/>
                      <w:szCs w:val="18"/>
                    </w:rPr>
                    <w:t>物业外观</w:t>
                  </w:r>
                </w:p>
              </w:tc>
              <w:tc>
                <w:tcPr>
                  <w:tcW w:w="816" w:type="pct"/>
                  <w:tcBorders>
                    <w:top w:val="single" w:color="auto" w:sz="4" w:space="0"/>
                    <w:left w:val="nil"/>
                    <w:bottom w:val="single" w:color="auto" w:sz="4" w:space="0"/>
                    <w:right w:val="single" w:color="auto" w:sz="4" w:space="0"/>
                  </w:tcBorders>
                  <w:vAlign w:val="center"/>
                </w:tcPr>
                <w:p w14:paraId="526F507D">
                  <w:pPr>
                    <w:widowControl/>
                    <w:adjustRightInd/>
                    <w:spacing w:line="240" w:lineRule="auto"/>
                    <w:jc w:val="center"/>
                    <w:textAlignment w:val="auto"/>
                    <w:rPr>
                      <w:rFonts w:ascii="Arial" w:hAnsi="Arial" w:cs="Arial"/>
                      <w:sz w:val="16"/>
                      <w:szCs w:val="18"/>
                    </w:rPr>
                  </w:pPr>
                  <w:r>
                    <w:rPr>
                      <w:rFonts w:ascii="Arial" w:hAnsi="Arial" w:cs="Arial"/>
                      <w:sz w:val="16"/>
                      <w:szCs w:val="18"/>
                    </w:rPr>
                    <w:t>较好</w:t>
                  </w:r>
                </w:p>
              </w:tc>
              <w:tc>
                <w:tcPr>
                  <w:tcW w:w="290" w:type="pct"/>
                  <w:tcBorders>
                    <w:top w:val="single" w:color="auto" w:sz="4" w:space="0"/>
                    <w:left w:val="nil"/>
                    <w:bottom w:val="single" w:color="auto" w:sz="4" w:space="0"/>
                    <w:right w:val="single" w:color="auto" w:sz="4" w:space="0"/>
                  </w:tcBorders>
                  <w:vAlign w:val="center"/>
                </w:tcPr>
                <w:p w14:paraId="136FB72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3FD25B03">
                  <w:pPr>
                    <w:widowControl/>
                    <w:adjustRightInd/>
                    <w:spacing w:line="240" w:lineRule="auto"/>
                    <w:jc w:val="center"/>
                    <w:textAlignment w:val="auto"/>
                    <w:rPr>
                      <w:rFonts w:ascii="Arial" w:hAnsi="Arial" w:cs="Arial"/>
                      <w:sz w:val="16"/>
                      <w:szCs w:val="18"/>
                    </w:rPr>
                  </w:pPr>
                  <w:r>
                    <w:rPr>
                      <w:rFonts w:ascii="Arial" w:hAnsi="Arial" w:cs="Arial"/>
                      <w:sz w:val="16"/>
                      <w:szCs w:val="18"/>
                    </w:rPr>
                    <w:t>较好</w:t>
                  </w:r>
                </w:p>
              </w:tc>
              <w:tc>
                <w:tcPr>
                  <w:tcW w:w="271" w:type="pct"/>
                  <w:tcBorders>
                    <w:top w:val="single" w:color="auto" w:sz="4" w:space="0"/>
                    <w:left w:val="nil"/>
                    <w:bottom w:val="single" w:color="auto" w:sz="4" w:space="0"/>
                    <w:right w:val="single" w:color="auto" w:sz="4" w:space="0"/>
                  </w:tcBorders>
                  <w:vAlign w:val="center"/>
                </w:tcPr>
                <w:p w14:paraId="03FA67F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38745650">
                  <w:pPr>
                    <w:widowControl/>
                    <w:adjustRightInd/>
                    <w:spacing w:line="240" w:lineRule="auto"/>
                    <w:jc w:val="center"/>
                    <w:textAlignment w:val="auto"/>
                    <w:rPr>
                      <w:rFonts w:ascii="Arial" w:hAnsi="Arial" w:cs="Arial"/>
                      <w:sz w:val="16"/>
                      <w:szCs w:val="18"/>
                    </w:rPr>
                  </w:pPr>
                  <w:r>
                    <w:rPr>
                      <w:rFonts w:ascii="Arial" w:hAnsi="Arial" w:cs="Arial"/>
                      <w:sz w:val="16"/>
                      <w:szCs w:val="18"/>
                    </w:rPr>
                    <w:t>一般</w:t>
                  </w:r>
                </w:p>
              </w:tc>
              <w:tc>
                <w:tcPr>
                  <w:tcW w:w="289" w:type="pct"/>
                  <w:tcBorders>
                    <w:top w:val="single" w:color="auto" w:sz="4" w:space="0"/>
                    <w:left w:val="nil"/>
                    <w:bottom w:val="single" w:color="auto" w:sz="4" w:space="0"/>
                    <w:right w:val="single" w:color="auto" w:sz="4" w:space="0"/>
                  </w:tcBorders>
                  <w:vAlign w:val="center"/>
                </w:tcPr>
                <w:p w14:paraId="6220092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020B67E6">
                  <w:pPr>
                    <w:widowControl/>
                    <w:adjustRightInd/>
                    <w:spacing w:line="240" w:lineRule="auto"/>
                    <w:jc w:val="center"/>
                    <w:textAlignment w:val="auto"/>
                    <w:rPr>
                      <w:rFonts w:ascii="Arial" w:hAnsi="Arial" w:cs="Arial"/>
                      <w:sz w:val="16"/>
                      <w:szCs w:val="18"/>
                    </w:rPr>
                  </w:pPr>
                  <w:r>
                    <w:rPr>
                      <w:rFonts w:ascii="Arial" w:hAnsi="Arial" w:cs="Arial"/>
                      <w:sz w:val="16"/>
                      <w:szCs w:val="18"/>
                    </w:rPr>
                    <w:t>较好</w:t>
                  </w:r>
                </w:p>
              </w:tc>
              <w:tc>
                <w:tcPr>
                  <w:tcW w:w="288" w:type="pct"/>
                  <w:tcBorders>
                    <w:top w:val="single" w:color="auto" w:sz="4" w:space="0"/>
                    <w:left w:val="nil"/>
                    <w:bottom w:val="single" w:color="auto" w:sz="4" w:space="0"/>
                    <w:right w:val="single" w:color="auto" w:sz="4" w:space="0"/>
                  </w:tcBorders>
                  <w:vAlign w:val="center"/>
                </w:tcPr>
                <w:p w14:paraId="0A9D906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655B18D0">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4CAA5259">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3D2606D6">
                  <w:pPr>
                    <w:widowControl/>
                    <w:adjustRightInd/>
                    <w:spacing w:line="240" w:lineRule="auto"/>
                    <w:jc w:val="center"/>
                    <w:textAlignment w:val="auto"/>
                    <w:rPr>
                      <w:rFonts w:ascii="Arial" w:hAnsi="Arial" w:cs="Arial"/>
                      <w:sz w:val="16"/>
                      <w:szCs w:val="18"/>
                    </w:rPr>
                  </w:pPr>
                  <w:r>
                    <w:rPr>
                      <w:rFonts w:ascii="Arial" w:hAnsi="Arial" w:cs="Arial"/>
                      <w:sz w:val="16"/>
                      <w:szCs w:val="18"/>
                    </w:rPr>
                    <w:t>公共区域装修</w:t>
                  </w:r>
                </w:p>
              </w:tc>
              <w:tc>
                <w:tcPr>
                  <w:tcW w:w="816" w:type="pct"/>
                  <w:tcBorders>
                    <w:top w:val="single" w:color="auto" w:sz="4" w:space="0"/>
                    <w:left w:val="nil"/>
                    <w:bottom w:val="single" w:color="auto" w:sz="4" w:space="0"/>
                    <w:right w:val="single" w:color="auto" w:sz="4" w:space="0"/>
                  </w:tcBorders>
                  <w:vAlign w:val="center"/>
                </w:tcPr>
                <w:p w14:paraId="76E105CC">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90" w:type="pct"/>
                  <w:tcBorders>
                    <w:top w:val="single" w:color="auto" w:sz="4" w:space="0"/>
                    <w:left w:val="nil"/>
                    <w:bottom w:val="single" w:color="auto" w:sz="4" w:space="0"/>
                    <w:right w:val="single" w:color="auto" w:sz="4" w:space="0"/>
                  </w:tcBorders>
                  <w:vAlign w:val="center"/>
                </w:tcPr>
                <w:p w14:paraId="31A85CF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230270E1">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71" w:type="pct"/>
                  <w:tcBorders>
                    <w:top w:val="single" w:color="auto" w:sz="4" w:space="0"/>
                    <w:left w:val="nil"/>
                    <w:bottom w:val="single" w:color="auto" w:sz="4" w:space="0"/>
                    <w:right w:val="single" w:color="auto" w:sz="4" w:space="0"/>
                  </w:tcBorders>
                  <w:vAlign w:val="center"/>
                </w:tcPr>
                <w:p w14:paraId="2FB12DB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3B33DEB6">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9" w:type="pct"/>
                  <w:tcBorders>
                    <w:top w:val="single" w:color="auto" w:sz="4" w:space="0"/>
                    <w:left w:val="nil"/>
                    <w:bottom w:val="single" w:color="auto" w:sz="4" w:space="0"/>
                    <w:right w:val="single" w:color="auto" w:sz="4" w:space="0"/>
                  </w:tcBorders>
                  <w:vAlign w:val="center"/>
                </w:tcPr>
                <w:p w14:paraId="4FF3B10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52DC1DC2">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8" w:type="pct"/>
                  <w:tcBorders>
                    <w:top w:val="single" w:color="auto" w:sz="4" w:space="0"/>
                    <w:left w:val="nil"/>
                    <w:bottom w:val="single" w:color="auto" w:sz="4" w:space="0"/>
                    <w:right w:val="single" w:color="auto" w:sz="4" w:space="0"/>
                  </w:tcBorders>
                  <w:vAlign w:val="center"/>
                </w:tcPr>
                <w:p w14:paraId="616E73B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3B059AF5">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72D3C6C4">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417D39ED">
                  <w:pPr>
                    <w:widowControl/>
                    <w:adjustRightInd/>
                    <w:spacing w:line="240" w:lineRule="auto"/>
                    <w:jc w:val="center"/>
                    <w:textAlignment w:val="auto"/>
                    <w:rPr>
                      <w:rFonts w:ascii="Arial" w:hAnsi="Arial" w:cs="Arial"/>
                      <w:sz w:val="16"/>
                      <w:szCs w:val="18"/>
                    </w:rPr>
                  </w:pPr>
                  <w:r>
                    <w:rPr>
                      <w:rFonts w:ascii="Arial" w:hAnsi="Arial" w:cs="Arial"/>
                      <w:sz w:val="16"/>
                      <w:szCs w:val="18"/>
                    </w:rPr>
                    <w:t>室内装饰装修</w:t>
                  </w:r>
                </w:p>
              </w:tc>
              <w:tc>
                <w:tcPr>
                  <w:tcW w:w="816" w:type="pct"/>
                  <w:tcBorders>
                    <w:top w:val="single" w:color="auto" w:sz="4" w:space="0"/>
                    <w:left w:val="nil"/>
                    <w:bottom w:val="single" w:color="auto" w:sz="4" w:space="0"/>
                    <w:right w:val="single" w:color="auto" w:sz="4" w:space="0"/>
                  </w:tcBorders>
                  <w:vAlign w:val="center"/>
                </w:tcPr>
                <w:p w14:paraId="7C240226">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90" w:type="pct"/>
                  <w:tcBorders>
                    <w:top w:val="single" w:color="auto" w:sz="4" w:space="0"/>
                    <w:left w:val="nil"/>
                    <w:bottom w:val="single" w:color="auto" w:sz="4" w:space="0"/>
                    <w:right w:val="single" w:color="auto" w:sz="4" w:space="0"/>
                  </w:tcBorders>
                  <w:vAlign w:val="center"/>
                </w:tcPr>
                <w:p w14:paraId="0C736FD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4395F3F4">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71" w:type="pct"/>
                  <w:tcBorders>
                    <w:top w:val="single" w:color="auto" w:sz="4" w:space="0"/>
                    <w:left w:val="nil"/>
                    <w:bottom w:val="single" w:color="auto" w:sz="4" w:space="0"/>
                    <w:right w:val="single" w:color="auto" w:sz="4" w:space="0"/>
                  </w:tcBorders>
                  <w:vAlign w:val="center"/>
                </w:tcPr>
                <w:p w14:paraId="6ABCAC9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6336B5C3">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9" w:type="pct"/>
                  <w:tcBorders>
                    <w:top w:val="single" w:color="auto" w:sz="4" w:space="0"/>
                    <w:left w:val="nil"/>
                    <w:bottom w:val="single" w:color="auto" w:sz="4" w:space="0"/>
                    <w:right w:val="single" w:color="auto" w:sz="4" w:space="0"/>
                  </w:tcBorders>
                  <w:vAlign w:val="center"/>
                </w:tcPr>
                <w:p w14:paraId="44E7D28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0C856DD3">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8" w:type="pct"/>
                  <w:tcBorders>
                    <w:top w:val="single" w:color="auto" w:sz="4" w:space="0"/>
                    <w:left w:val="nil"/>
                    <w:bottom w:val="single" w:color="auto" w:sz="4" w:space="0"/>
                    <w:right w:val="single" w:color="auto" w:sz="4" w:space="0"/>
                  </w:tcBorders>
                  <w:vAlign w:val="center"/>
                </w:tcPr>
                <w:p w14:paraId="75D3022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6D12E73F">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6116834A">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37B7A95E">
                  <w:pPr>
                    <w:widowControl/>
                    <w:adjustRightInd/>
                    <w:spacing w:line="240" w:lineRule="auto"/>
                    <w:jc w:val="center"/>
                    <w:textAlignment w:val="auto"/>
                    <w:rPr>
                      <w:rFonts w:ascii="Arial" w:hAnsi="Arial" w:cs="Arial"/>
                      <w:sz w:val="16"/>
                      <w:szCs w:val="18"/>
                    </w:rPr>
                  </w:pPr>
                  <w:r>
                    <w:rPr>
                      <w:rFonts w:ascii="Arial" w:hAnsi="Arial" w:cs="Arial"/>
                      <w:sz w:val="16"/>
                      <w:szCs w:val="18"/>
                    </w:rPr>
                    <w:t>设施设备</w:t>
                  </w:r>
                </w:p>
              </w:tc>
              <w:tc>
                <w:tcPr>
                  <w:tcW w:w="816" w:type="pct"/>
                  <w:tcBorders>
                    <w:top w:val="single" w:color="auto" w:sz="4" w:space="0"/>
                    <w:left w:val="nil"/>
                    <w:bottom w:val="single" w:color="auto" w:sz="4" w:space="0"/>
                    <w:right w:val="single" w:color="auto" w:sz="4" w:space="0"/>
                  </w:tcBorders>
                  <w:vAlign w:val="center"/>
                </w:tcPr>
                <w:p w14:paraId="1BE93BD0">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90" w:type="pct"/>
                  <w:tcBorders>
                    <w:top w:val="single" w:color="auto" w:sz="4" w:space="0"/>
                    <w:left w:val="nil"/>
                    <w:bottom w:val="single" w:color="auto" w:sz="4" w:space="0"/>
                    <w:right w:val="single" w:color="auto" w:sz="4" w:space="0"/>
                  </w:tcBorders>
                  <w:vAlign w:val="center"/>
                </w:tcPr>
                <w:p w14:paraId="5DA86B0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211F1542">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71" w:type="pct"/>
                  <w:tcBorders>
                    <w:top w:val="single" w:color="auto" w:sz="4" w:space="0"/>
                    <w:left w:val="nil"/>
                    <w:bottom w:val="single" w:color="auto" w:sz="4" w:space="0"/>
                    <w:right w:val="single" w:color="auto" w:sz="4" w:space="0"/>
                  </w:tcBorders>
                  <w:vAlign w:val="center"/>
                </w:tcPr>
                <w:p w14:paraId="407F486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6E09D043">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89" w:type="pct"/>
                  <w:tcBorders>
                    <w:top w:val="single" w:color="auto" w:sz="4" w:space="0"/>
                    <w:left w:val="nil"/>
                    <w:bottom w:val="single" w:color="auto" w:sz="4" w:space="0"/>
                    <w:right w:val="single" w:color="auto" w:sz="4" w:space="0"/>
                  </w:tcBorders>
                  <w:vAlign w:val="center"/>
                </w:tcPr>
                <w:p w14:paraId="09879EA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32DEB135">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88" w:type="pct"/>
                  <w:tcBorders>
                    <w:top w:val="single" w:color="auto" w:sz="4" w:space="0"/>
                    <w:left w:val="nil"/>
                    <w:bottom w:val="single" w:color="auto" w:sz="4" w:space="0"/>
                    <w:right w:val="single" w:color="auto" w:sz="4" w:space="0"/>
                  </w:tcBorders>
                  <w:vAlign w:val="center"/>
                </w:tcPr>
                <w:p w14:paraId="244102B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61915106">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093E4CE2">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36182A48">
                  <w:pPr>
                    <w:widowControl/>
                    <w:adjustRightInd/>
                    <w:spacing w:line="240" w:lineRule="auto"/>
                    <w:jc w:val="center"/>
                    <w:textAlignment w:val="auto"/>
                    <w:rPr>
                      <w:rFonts w:ascii="Arial" w:hAnsi="Arial" w:cs="Arial"/>
                      <w:sz w:val="16"/>
                      <w:szCs w:val="18"/>
                    </w:rPr>
                  </w:pPr>
                  <w:r>
                    <w:rPr>
                      <w:rFonts w:ascii="Arial" w:hAnsi="Arial" w:cs="Arial"/>
                      <w:sz w:val="16"/>
                      <w:szCs w:val="18"/>
                    </w:rPr>
                    <w:t>综合管理服务设施</w:t>
                  </w:r>
                </w:p>
              </w:tc>
              <w:tc>
                <w:tcPr>
                  <w:tcW w:w="816" w:type="pct"/>
                  <w:tcBorders>
                    <w:top w:val="single" w:color="auto" w:sz="4" w:space="0"/>
                    <w:left w:val="nil"/>
                    <w:bottom w:val="single" w:color="auto" w:sz="4" w:space="0"/>
                    <w:right w:val="single" w:color="auto" w:sz="4" w:space="0"/>
                  </w:tcBorders>
                  <w:vAlign w:val="center"/>
                </w:tcPr>
                <w:p w14:paraId="581ADE2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设有快递柜、小区内设有净水机、垃圾分类收集点</w:t>
                  </w:r>
                </w:p>
              </w:tc>
              <w:tc>
                <w:tcPr>
                  <w:tcW w:w="290" w:type="pct"/>
                  <w:tcBorders>
                    <w:top w:val="single" w:color="auto" w:sz="4" w:space="0"/>
                    <w:left w:val="nil"/>
                    <w:bottom w:val="single" w:color="auto" w:sz="4" w:space="0"/>
                    <w:right w:val="single" w:color="auto" w:sz="4" w:space="0"/>
                  </w:tcBorders>
                  <w:vAlign w:val="center"/>
                </w:tcPr>
                <w:p w14:paraId="19C866E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381FF692">
                  <w:pPr>
                    <w:widowControl/>
                    <w:adjustRightInd/>
                    <w:spacing w:line="240" w:lineRule="auto"/>
                    <w:jc w:val="center"/>
                    <w:textAlignment w:val="auto"/>
                    <w:rPr>
                      <w:rFonts w:ascii="Arial" w:hAnsi="Arial" w:cs="Arial"/>
                      <w:sz w:val="16"/>
                      <w:szCs w:val="18"/>
                    </w:rPr>
                  </w:pPr>
                  <w:r>
                    <w:rPr>
                      <w:rFonts w:ascii="Arial" w:hAnsi="Arial" w:cs="Arial"/>
                      <w:sz w:val="16"/>
                      <w:szCs w:val="18"/>
                    </w:rPr>
                    <w:t>快递柜、垃圾分类收集点</w:t>
                  </w:r>
                </w:p>
              </w:tc>
              <w:tc>
                <w:tcPr>
                  <w:tcW w:w="271" w:type="pct"/>
                  <w:tcBorders>
                    <w:top w:val="single" w:color="auto" w:sz="4" w:space="0"/>
                    <w:left w:val="nil"/>
                    <w:bottom w:val="single" w:color="auto" w:sz="4" w:space="0"/>
                    <w:right w:val="single" w:color="auto" w:sz="4" w:space="0"/>
                  </w:tcBorders>
                  <w:vAlign w:val="center"/>
                </w:tcPr>
                <w:p w14:paraId="3D430C4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503B5723">
                  <w:pPr>
                    <w:widowControl/>
                    <w:adjustRightInd/>
                    <w:spacing w:line="240" w:lineRule="auto"/>
                    <w:jc w:val="center"/>
                    <w:textAlignment w:val="auto"/>
                    <w:rPr>
                      <w:rFonts w:ascii="Arial" w:hAnsi="Arial" w:cs="Arial"/>
                      <w:sz w:val="16"/>
                      <w:szCs w:val="18"/>
                    </w:rPr>
                  </w:pPr>
                  <w:r>
                    <w:rPr>
                      <w:rFonts w:ascii="Arial" w:hAnsi="Arial" w:cs="Arial"/>
                      <w:sz w:val="16"/>
                      <w:szCs w:val="18"/>
                    </w:rPr>
                    <w:t>快递柜、垃圾分类收集点</w:t>
                  </w:r>
                </w:p>
              </w:tc>
              <w:tc>
                <w:tcPr>
                  <w:tcW w:w="289" w:type="pct"/>
                  <w:tcBorders>
                    <w:top w:val="single" w:color="auto" w:sz="4" w:space="0"/>
                    <w:left w:val="nil"/>
                    <w:bottom w:val="single" w:color="auto" w:sz="4" w:space="0"/>
                    <w:right w:val="single" w:color="auto" w:sz="4" w:space="0"/>
                  </w:tcBorders>
                  <w:vAlign w:val="center"/>
                </w:tcPr>
                <w:p w14:paraId="0F8AB4E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574ADDEE">
                  <w:pPr>
                    <w:widowControl/>
                    <w:adjustRightInd/>
                    <w:spacing w:line="240" w:lineRule="auto"/>
                    <w:jc w:val="center"/>
                    <w:textAlignment w:val="auto"/>
                    <w:rPr>
                      <w:rFonts w:ascii="Arial" w:hAnsi="Arial" w:cs="Arial"/>
                      <w:sz w:val="16"/>
                      <w:szCs w:val="18"/>
                    </w:rPr>
                  </w:pPr>
                  <w:r>
                    <w:rPr>
                      <w:rFonts w:ascii="Arial" w:hAnsi="Arial" w:cs="Arial"/>
                      <w:sz w:val="16"/>
                      <w:szCs w:val="18"/>
                    </w:rPr>
                    <w:t>快递柜、垃圾分类收集点</w:t>
                  </w:r>
                </w:p>
              </w:tc>
              <w:tc>
                <w:tcPr>
                  <w:tcW w:w="288" w:type="pct"/>
                  <w:tcBorders>
                    <w:top w:val="single" w:color="auto" w:sz="4" w:space="0"/>
                    <w:left w:val="nil"/>
                    <w:bottom w:val="single" w:color="auto" w:sz="4" w:space="0"/>
                    <w:right w:val="single" w:color="auto" w:sz="4" w:space="0"/>
                  </w:tcBorders>
                  <w:vAlign w:val="center"/>
                </w:tcPr>
                <w:p w14:paraId="6E30CF6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7EDCB8D6">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1EDE2C6C">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4C5AEB86">
                  <w:pPr>
                    <w:widowControl/>
                    <w:adjustRightInd/>
                    <w:spacing w:line="240" w:lineRule="auto"/>
                    <w:jc w:val="center"/>
                    <w:textAlignment w:val="auto"/>
                    <w:rPr>
                      <w:rFonts w:ascii="Arial" w:hAnsi="Arial" w:cs="Arial"/>
                      <w:sz w:val="16"/>
                      <w:szCs w:val="18"/>
                    </w:rPr>
                  </w:pPr>
                  <w:r>
                    <w:rPr>
                      <w:rFonts w:ascii="Arial" w:hAnsi="Arial" w:cs="Arial"/>
                      <w:sz w:val="16"/>
                      <w:szCs w:val="18"/>
                    </w:rPr>
                    <w:t>户型布局</w:t>
                  </w:r>
                </w:p>
              </w:tc>
              <w:tc>
                <w:tcPr>
                  <w:tcW w:w="816" w:type="pct"/>
                  <w:tcBorders>
                    <w:top w:val="single" w:color="auto" w:sz="4" w:space="0"/>
                    <w:left w:val="nil"/>
                    <w:bottom w:val="single" w:color="auto" w:sz="4" w:space="0"/>
                    <w:right w:val="single" w:color="auto" w:sz="4" w:space="0"/>
                  </w:tcBorders>
                  <w:vAlign w:val="center"/>
                </w:tcPr>
                <w:p w14:paraId="570A47AC">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开间</w:t>
                  </w:r>
                </w:p>
              </w:tc>
              <w:tc>
                <w:tcPr>
                  <w:tcW w:w="290" w:type="pct"/>
                  <w:tcBorders>
                    <w:top w:val="single" w:color="auto" w:sz="4" w:space="0"/>
                    <w:left w:val="nil"/>
                    <w:bottom w:val="single" w:color="auto" w:sz="4" w:space="0"/>
                    <w:right w:val="single" w:color="auto" w:sz="4" w:space="0"/>
                  </w:tcBorders>
                  <w:vAlign w:val="center"/>
                </w:tcPr>
                <w:p w14:paraId="406C831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1DED57D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开间</w:t>
                  </w:r>
                </w:p>
              </w:tc>
              <w:tc>
                <w:tcPr>
                  <w:tcW w:w="271" w:type="pct"/>
                  <w:tcBorders>
                    <w:top w:val="single" w:color="auto" w:sz="4" w:space="0"/>
                    <w:left w:val="nil"/>
                    <w:bottom w:val="single" w:color="auto" w:sz="4" w:space="0"/>
                    <w:right w:val="single" w:color="auto" w:sz="4" w:space="0"/>
                  </w:tcBorders>
                  <w:vAlign w:val="center"/>
                </w:tcPr>
                <w:p w14:paraId="354F376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3B0C7C8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开间</w:t>
                  </w:r>
                </w:p>
              </w:tc>
              <w:tc>
                <w:tcPr>
                  <w:tcW w:w="289" w:type="pct"/>
                  <w:tcBorders>
                    <w:top w:val="single" w:color="auto" w:sz="4" w:space="0"/>
                    <w:left w:val="nil"/>
                    <w:bottom w:val="single" w:color="auto" w:sz="4" w:space="0"/>
                    <w:right w:val="single" w:color="auto" w:sz="4" w:space="0"/>
                  </w:tcBorders>
                  <w:vAlign w:val="center"/>
                </w:tcPr>
                <w:p w14:paraId="6911026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4C971E3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开间</w:t>
                  </w:r>
                </w:p>
              </w:tc>
              <w:tc>
                <w:tcPr>
                  <w:tcW w:w="288" w:type="pct"/>
                  <w:tcBorders>
                    <w:top w:val="single" w:color="auto" w:sz="4" w:space="0"/>
                    <w:left w:val="nil"/>
                    <w:bottom w:val="single" w:color="auto" w:sz="4" w:space="0"/>
                    <w:right w:val="single" w:color="auto" w:sz="4" w:space="0"/>
                  </w:tcBorders>
                  <w:vAlign w:val="center"/>
                </w:tcPr>
                <w:p w14:paraId="5C6DE45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26666379">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74ABD988">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7FC536E8">
                  <w:pPr>
                    <w:widowControl/>
                    <w:adjustRightInd/>
                    <w:spacing w:line="240" w:lineRule="auto"/>
                    <w:jc w:val="center"/>
                    <w:textAlignment w:val="auto"/>
                    <w:rPr>
                      <w:rFonts w:ascii="Arial" w:hAnsi="Arial" w:cs="Arial"/>
                      <w:sz w:val="16"/>
                      <w:szCs w:val="18"/>
                    </w:rPr>
                  </w:pPr>
                  <w:r>
                    <w:rPr>
                      <w:rFonts w:ascii="Arial" w:hAnsi="Arial" w:cs="Arial"/>
                      <w:sz w:val="16"/>
                      <w:szCs w:val="18"/>
                    </w:rPr>
                    <w:t>建筑面积（㎡）</w:t>
                  </w:r>
                </w:p>
              </w:tc>
              <w:tc>
                <w:tcPr>
                  <w:tcW w:w="816" w:type="pct"/>
                  <w:tcBorders>
                    <w:top w:val="single" w:color="auto" w:sz="4" w:space="0"/>
                    <w:left w:val="nil"/>
                    <w:bottom w:val="single" w:color="auto" w:sz="4" w:space="0"/>
                    <w:right w:val="single" w:color="auto" w:sz="4" w:space="0"/>
                  </w:tcBorders>
                  <w:vAlign w:val="center"/>
                </w:tcPr>
                <w:p w14:paraId="4BD84FE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30</w:t>
                  </w:r>
                </w:p>
              </w:tc>
              <w:tc>
                <w:tcPr>
                  <w:tcW w:w="290" w:type="pct"/>
                  <w:tcBorders>
                    <w:top w:val="single" w:color="auto" w:sz="4" w:space="0"/>
                    <w:left w:val="nil"/>
                    <w:bottom w:val="single" w:color="auto" w:sz="4" w:space="0"/>
                    <w:right w:val="single" w:color="auto" w:sz="4" w:space="0"/>
                  </w:tcBorders>
                  <w:vAlign w:val="center"/>
                </w:tcPr>
                <w:p w14:paraId="447E20D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35BFB738">
                  <w:pPr>
                    <w:widowControl/>
                    <w:adjustRightInd/>
                    <w:spacing w:line="240" w:lineRule="auto"/>
                    <w:jc w:val="center"/>
                    <w:textAlignment w:val="auto"/>
                    <w:rPr>
                      <w:rFonts w:ascii="Arial" w:hAnsi="Arial" w:cs="Arial"/>
                      <w:sz w:val="16"/>
                      <w:szCs w:val="18"/>
                    </w:rPr>
                  </w:pPr>
                  <w:r>
                    <w:rPr>
                      <w:rFonts w:ascii="Arial" w:hAnsi="Arial" w:cs="Arial"/>
                      <w:sz w:val="16"/>
                      <w:szCs w:val="18"/>
                    </w:rPr>
                    <w:t>30</w:t>
                  </w:r>
                </w:p>
              </w:tc>
              <w:tc>
                <w:tcPr>
                  <w:tcW w:w="271" w:type="pct"/>
                  <w:tcBorders>
                    <w:top w:val="single" w:color="auto" w:sz="4" w:space="0"/>
                    <w:left w:val="nil"/>
                    <w:bottom w:val="single" w:color="auto" w:sz="4" w:space="0"/>
                    <w:right w:val="single" w:color="auto" w:sz="4" w:space="0"/>
                  </w:tcBorders>
                  <w:vAlign w:val="center"/>
                </w:tcPr>
                <w:p w14:paraId="16E4BFA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6098469F">
                  <w:pPr>
                    <w:widowControl/>
                    <w:adjustRightInd/>
                    <w:spacing w:line="240" w:lineRule="auto"/>
                    <w:jc w:val="center"/>
                    <w:textAlignment w:val="auto"/>
                    <w:rPr>
                      <w:rFonts w:ascii="Arial" w:hAnsi="Arial" w:cs="Arial"/>
                      <w:sz w:val="16"/>
                      <w:szCs w:val="18"/>
                    </w:rPr>
                  </w:pPr>
                  <w:r>
                    <w:rPr>
                      <w:rFonts w:ascii="Arial" w:hAnsi="Arial" w:cs="Arial"/>
                      <w:sz w:val="16"/>
                      <w:szCs w:val="18"/>
                    </w:rPr>
                    <w:t>30</w:t>
                  </w:r>
                </w:p>
              </w:tc>
              <w:tc>
                <w:tcPr>
                  <w:tcW w:w="289" w:type="pct"/>
                  <w:tcBorders>
                    <w:top w:val="single" w:color="auto" w:sz="4" w:space="0"/>
                    <w:left w:val="nil"/>
                    <w:bottom w:val="single" w:color="auto" w:sz="4" w:space="0"/>
                    <w:right w:val="single" w:color="auto" w:sz="4" w:space="0"/>
                  </w:tcBorders>
                  <w:vAlign w:val="center"/>
                </w:tcPr>
                <w:p w14:paraId="4CDA385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6AB182F4">
                  <w:pPr>
                    <w:widowControl/>
                    <w:adjustRightInd/>
                    <w:spacing w:line="240" w:lineRule="auto"/>
                    <w:jc w:val="center"/>
                    <w:textAlignment w:val="auto"/>
                    <w:rPr>
                      <w:rFonts w:ascii="Arial" w:hAnsi="Arial" w:cs="Arial"/>
                      <w:sz w:val="16"/>
                      <w:szCs w:val="18"/>
                    </w:rPr>
                  </w:pPr>
                  <w:r>
                    <w:rPr>
                      <w:rFonts w:ascii="Arial" w:hAnsi="Arial" w:cs="Arial"/>
                      <w:sz w:val="16"/>
                      <w:szCs w:val="18"/>
                    </w:rPr>
                    <w:t>30</w:t>
                  </w:r>
                </w:p>
              </w:tc>
              <w:tc>
                <w:tcPr>
                  <w:tcW w:w="288" w:type="pct"/>
                  <w:tcBorders>
                    <w:top w:val="single" w:color="auto" w:sz="4" w:space="0"/>
                    <w:left w:val="nil"/>
                    <w:bottom w:val="single" w:color="auto" w:sz="4" w:space="0"/>
                    <w:right w:val="single" w:color="auto" w:sz="4" w:space="0"/>
                  </w:tcBorders>
                  <w:vAlign w:val="center"/>
                </w:tcPr>
                <w:p w14:paraId="36F9C0C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6D0EBD91">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4102DB1E">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259CF6A6">
                  <w:pPr>
                    <w:widowControl/>
                    <w:adjustRightInd/>
                    <w:spacing w:line="240" w:lineRule="auto"/>
                    <w:jc w:val="center"/>
                    <w:textAlignment w:val="auto"/>
                    <w:rPr>
                      <w:rFonts w:ascii="Arial" w:hAnsi="Arial" w:cs="Arial"/>
                      <w:sz w:val="16"/>
                      <w:szCs w:val="18"/>
                    </w:rPr>
                  </w:pPr>
                  <w:r>
                    <w:rPr>
                      <w:rFonts w:ascii="Arial" w:hAnsi="Arial" w:cs="Arial"/>
                      <w:sz w:val="16"/>
                      <w:szCs w:val="18"/>
                    </w:rPr>
                    <w:t>家具家电</w:t>
                  </w:r>
                </w:p>
              </w:tc>
              <w:tc>
                <w:tcPr>
                  <w:tcW w:w="816" w:type="pct"/>
                  <w:tcBorders>
                    <w:top w:val="single" w:color="auto" w:sz="4" w:space="0"/>
                    <w:left w:val="nil"/>
                    <w:bottom w:val="single" w:color="auto" w:sz="4" w:space="0"/>
                    <w:right w:val="single" w:color="auto" w:sz="4" w:space="0"/>
                  </w:tcBorders>
                  <w:vAlign w:val="center"/>
                </w:tcPr>
                <w:p w14:paraId="11AF159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配备床、衣柜、书桌、洗衣机、冰箱、空调、热水器等家具家电功能正常，质量有保证，房屋内无暖气，无厨房及燃气，综合评估家具家电齐备度较好。</w:t>
                  </w:r>
                </w:p>
              </w:tc>
              <w:tc>
                <w:tcPr>
                  <w:tcW w:w="290" w:type="pct"/>
                  <w:tcBorders>
                    <w:top w:val="single" w:color="auto" w:sz="4" w:space="0"/>
                    <w:left w:val="nil"/>
                    <w:bottom w:val="single" w:color="auto" w:sz="4" w:space="0"/>
                    <w:right w:val="single" w:color="auto" w:sz="4" w:space="0"/>
                  </w:tcBorders>
                  <w:vAlign w:val="center"/>
                </w:tcPr>
                <w:p w14:paraId="04DC598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1462C2A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配备床、衣柜、书桌、洗衣机、冰箱、空调、热水器等家具家电功能正常，质量有保证，房屋内无暖气，无厨房及燃气，综合评估家具家电齐备度较好。</w:t>
                  </w:r>
                </w:p>
              </w:tc>
              <w:tc>
                <w:tcPr>
                  <w:tcW w:w="271" w:type="pct"/>
                  <w:tcBorders>
                    <w:top w:val="single" w:color="auto" w:sz="4" w:space="0"/>
                    <w:left w:val="nil"/>
                    <w:bottom w:val="single" w:color="auto" w:sz="4" w:space="0"/>
                    <w:right w:val="single" w:color="auto" w:sz="4" w:space="0"/>
                  </w:tcBorders>
                  <w:vAlign w:val="center"/>
                </w:tcPr>
                <w:p w14:paraId="2BD1F56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30C14D5C">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配备床、衣柜、书桌、洗衣机、冰箱、空调、热水器等家具家电功能正常，质量有保证，房屋内无暖气，无厨房及燃气，综合评估家具家电齐备度较好。</w:t>
                  </w:r>
                </w:p>
              </w:tc>
              <w:tc>
                <w:tcPr>
                  <w:tcW w:w="289" w:type="pct"/>
                  <w:tcBorders>
                    <w:top w:val="single" w:color="auto" w:sz="4" w:space="0"/>
                    <w:left w:val="nil"/>
                    <w:bottom w:val="single" w:color="auto" w:sz="4" w:space="0"/>
                    <w:right w:val="single" w:color="auto" w:sz="4" w:space="0"/>
                  </w:tcBorders>
                  <w:vAlign w:val="center"/>
                </w:tcPr>
                <w:p w14:paraId="02C1987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5801EE9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配备床、衣柜、书桌、洗衣机、冰箱、空调、热水器等家具家电功能正常，质量有保证，房屋内无暖气，无厨房及燃气，综合评估家具家电齐备度较好。</w:t>
                  </w:r>
                </w:p>
              </w:tc>
              <w:tc>
                <w:tcPr>
                  <w:tcW w:w="288" w:type="pct"/>
                  <w:tcBorders>
                    <w:top w:val="single" w:color="auto" w:sz="4" w:space="0"/>
                    <w:left w:val="nil"/>
                    <w:bottom w:val="single" w:color="auto" w:sz="4" w:space="0"/>
                    <w:right w:val="single" w:color="auto" w:sz="4" w:space="0"/>
                  </w:tcBorders>
                  <w:vAlign w:val="center"/>
                </w:tcPr>
                <w:p w14:paraId="5D2B9C0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4B49F3EF">
              <w:tblPrEx>
                <w:tblCellMar>
                  <w:top w:w="0" w:type="dxa"/>
                  <w:left w:w="108" w:type="dxa"/>
                  <w:bottom w:w="0" w:type="dxa"/>
                  <w:right w:w="108" w:type="dxa"/>
                </w:tblCellMar>
              </w:tblPrEx>
              <w:trPr>
                <w:trHeight w:val="283"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698B66D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租赁价格</w:t>
                  </w:r>
                  <w:r>
                    <w:rPr>
                      <w:rFonts w:ascii="Arial" w:hAnsi="Arial" w:cs="Arial"/>
                      <w:sz w:val="16"/>
                      <w:szCs w:val="18"/>
                    </w:rPr>
                    <w:t>（元/</w:t>
                  </w:r>
                  <w:r>
                    <w:rPr>
                      <w:rFonts w:hint="eastAsia" w:ascii="Arial" w:hAnsi="Arial" w:cs="Arial"/>
                      <w:sz w:val="16"/>
                      <w:szCs w:val="18"/>
                    </w:rPr>
                    <w:t>平方米</w:t>
                  </w:r>
                  <w:r>
                    <w:rPr>
                      <w:rFonts w:ascii="Arial" w:hAnsi="Arial" w:cs="Arial"/>
                      <w:sz w:val="16"/>
                      <w:szCs w:val="18"/>
                    </w:rPr>
                    <w:t>·</w:t>
                  </w:r>
                  <w:r>
                    <w:rPr>
                      <w:rFonts w:hint="eastAsia" w:ascii="Arial" w:hAnsi="Arial" w:cs="Arial"/>
                      <w:sz w:val="16"/>
                      <w:szCs w:val="18"/>
                    </w:rPr>
                    <w:t>天</w:t>
                  </w:r>
                  <w:r>
                    <w:rPr>
                      <w:rFonts w:ascii="Arial" w:hAnsi="Arial" w:cs="Arial"/>
                      <w:sz w:val="16"/>
                      <w:szCs w:val="18"/>
                    </w:rPr>
                    <w:t>）</w:t>
                  </w:r>
                </w:p>
              </w:tc>
              <w:tc>
                <w:tcPr>
                  <w:tcW w:w="1106" w:type="pct"/>
                  <w:gridSpan w:val="2"/>
                  <w:tcBorders>
                    <w:top w:val="single" w:color="auto" w:sz="4" w:space="0"/>
                    <w:left w:val="nil"/>
                    <w:bottom w:val="single" w:color="auto" w:sz="4" w:space="0"/>
                    <w:right w:val="single" w:color="auto" w:sz="4" w:space="0"/>
                  </w:tcBorders>
                  <w:vAlign w:val="center"/>
                </w:tcPr>
                <w:p w14:paraId="23F67B5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w:t>
                  </w:r>
                </w:p>
              </w:tc>
              <w:tc>
                <w:tcPr>
                  <w:tcW w:w="1031" w:type="pct"/>
                  <w:gridSpan w:val="2"/>
                  <w:tcBorders>
                    <w:top w:val="single" w:color="auto" w:sz="4" w:space="0"/>
                    <w:left w:val="nil"/>
                    <w:bottom w:val="single" w:color="auto" w:sz="4" w:space="0"/>
                    <w:right w:val="single" w:color="auto" w:sz="4" w:space="0"/>
                  </w:tcBorders>
                  <w:vAlign w:val="center"/>
                </w:tcPr>
                <w:p w14:paraId="41E5810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1.90</w:t>
                  </w:r>
                </w:p>
              </w:tc>
              <w:tc>
                <w:tcPr>
                  <w:tcW w:w="1121" w:type="pct"/>
                  <w:gridSpan w:val="2"/>
                  <w:tcBorders>
                    <w:top w:val="single" w:color="auto" w:sz="4" w:space="0"/>
                    <w:left w:val="nil"/>
                    <w:bottom w:val="single" w:color="auto" w:sz="4" w:space="0"/>
                    <w:right w:val="single" w:color="auto" w:sz="4" w:space="0"/>
                  </w:tcBorders>
                  <w:vAlign w:val="center"/>
                </w:tcPr>
                <w:p w14:paraId="1C93E90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2.10</w:t>
                  </w:r>
                </w:p>
              </w:tc>
              <w:tc>
                <w:tcPr>
                  <w:tcW w:w="1078" w:type="pct"/>
                  <w:gridSpan w:val="2"/>
                  <w:tcBorders>
                    <w:top w:val="single" w:color="auto" w:sz="4" w:space="0"/>
                    <w:left w:val="nil"/>
                    <w:bottom w:val="single" w:color="auto" w:sz="4" w:space="0"/>
                    <w:right w:val="single" w:color="auto" w:sz="4" w:space="0"/>
                  </w:tcBorders>
                  <w:vAlign w:val="center"/>
                </w:tcPr>
                <w:p w14:paraId="715E575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2.00</w:t>
                  </w:r>
                </w:p>
              </w:tc>
            </w:tr>
            <w:tr w14:paraId="741496B1">
              <w:tblPrEx>
                <w:tblCellMar>
                  <w:top w:w="0" w:type="dxa"/>
                  <w:left w:w="108" w:type="dxa"/>
                  <w:bottom w:w="0" w:type="dxa"/>
                  <w:right w:w="108" w:type="dxa"/>
                </w:tblCellMar>
              </w:tblPrEx>
              <w:trPr>
                <w:trHeight w:val="374"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6F1FE26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修正系数</w:t>
                  </w:r>
                </w:p>
              </w:tc>
              <w:tc>
                <w:tcPr>
                  <w:tcW w:w="1106" w:type="pct"/>
                  <w:gridSpan w:val="2"/>
                  <w:tcBorders>
                    <w:top w:val="single" w:color="auto" w:sz="4" w:space="0"/>
                    <w:left w:val="nil"/>
                    <w:bottom w:val="single" w:color="auto" w:sz="4" w:space="0"/>
                    <w:right w:val="single" w:color="auto" w:sz="4" w:space="0"/>
                  </w:tcBorders>
                  <w:vAlign w:val="center"/>
                </w:tcPr>
                <w:p w14:paraId="353C72D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w:t>
                  </w:r>
                </w:p>
              </w:tc>
              <w:tc>
                <w:tcPr>
                  <w:tcW w:w="1031" w:type="pct"/>
                  <w:gridSpan w:val="2"/>
                  <w:tcBorders>
                    <w:top w:val="single" w:color="auto" w:sz="4" w:space="0"/>
                    <w:left w:val="nil"/>
                    <w:bottom w:val="single" w:color="auto" w:sz="4" w:space="0"/>
                    <w:right w:val="single" w:color="auto" w:sz="4" w:space="0"/>
                  </w:tcBorders>
                  <w:vAlign w:val="center"/>
                </w:tcPr>
                <w:p w14:paraId="6B0D6BC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0.8631</w:t>
                  </w:r>
                </w:p>
              </w:tc>
              <w:tc>
                <w:tcPr>
                  <w:tcW w:w="1121" w:type="pct"/>
                  <w:gridSpan w:val="2"/>
                  <w:tcBorders>
                    <w:top w:val="single" w:color="auto" w:sz="4" w:space="0"/>
                    <w:left w:val="nil"/>
                    <w:bottom w:val="single" w:color="auto" w:sz="4" w:space="0"/>
                    <w:right w:val="single" w:color="auto" w:sz="4" w:space="0"/>
                  </w:tcBorders>
                  <w:vAlign w:val="center"/>
                </w:tcPr>
                <w:p w14:paraId="7CED9A4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0.8380</w:t>
                  </w:r>
                </w:p>
              </w:tc>
              <w:tc>
                <w:tcPr>
                  <w:tcW w:w="1078" w:type="pct"/>
                  <w:gridSpan w:val="2"/>
                  <w:tcBorders>
                    <w:top w:val="single" w:color="auto" w:sz="4" w:space="0"/>
                    <w:left w:val="nil"/>
                    <w:bottom w:val="single" w:color="auto" w:sz="4" w:space="0"/>
                    <w:right w:val="single" w:color="auto" w:sz="4" w:space="0"/>
                  </w:tcBorders>
                  <w:vAlign w:val="center"/>
                </w:tcPr>
                <w:p w14:paraId="4245352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0.8350</w:t>
                  </w:r>
                </w:p>
              </w:tc>
            </w:tr>
            <w:tr w14:paraId="18C233C3">
              <w:tblPrEx>
                <w:tblCellMar>
                  <w:top w:w="0" w:type="dxa"/>
                  <w:left w:w="108" w:type="dxa"/>
                  <w:bottom w:w="0" w:type="dxa"/>
                  <w:right w:w="108" w:type="dxa"/>
                </w:tblCellMar>
              </w:tblPrEx>
              <w:trPr>
                <w:trHeight w:val="283"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54E604B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比较价值</w:t>
                  </w:r>
                  <w:r>
                    <w:rPr>
                      <w:rFonts w:ascii="Arial" w:hAnsi="Arial" w:cs="Arial"/>
                      <w:sz w:val="16"/>
                      <w:szCs w:val="18"/>
                    </w:rPr>
                    <w:t>（元/</w:t>
                  </w:r>
                  <w:r>
                    <w:rPr>
                      <w:rFonts w:hint="eastAsia" w:ascii="Arial" w:hAnsi="Arial" w:cs="Arial"/>
                      <w:sz w:val="16"/>
                      <w:szCs w:val="18"/>
                    </w:rPr>
                    <w:t>平方米</w:t>
                  </w:r>
                  <w:r>
                    <w:rPr>
                      <w:rFonts w:ascii="Arial" w:hAnsi="Arial" w:cs="Arial"/>
                      <w:sz w:val="16"/>
                      <w:szCs w:val="18"/>
                    </w:rPr>
                    <w:t>·</w:t>
                  </w:r>
                  <w:r>
                    <w:rPr>
                      <w:rFonts w:hint="eastAsia" w:ascii="Arial" w:hAnsi="Arial" w:cs="Arial"/>
                      <w:sz w:val="16"/>
                      <w:szCs w:val="18"/>
                    </w:rPr>
                    <w:t>天</w:t>
                  </w:r>
                  <w:r>
                    <w:rPr>
                      <w:rFonts w:ascii="Arial" w:hAnsi="Arial" w:cs="Arial"/>
                      <w:sz w:val="16"/>
                      <w:szCs w:val="18"/>
                    </w:rPr>
                    <w:t>）</w:t>
                  </w:r>
                </w:p>
              </w:tc>
              <w:tc>
                <w:tcPr>
                  <w:tcW w:w="1106" w:type="pct"/>
                  <w:gridSpan w:val="2"/>
                  <w:tcBorders>
                    <w:top w:val="single" w:color="auto" w:sz="4" w:space="0"/>
                    <w:left w:val="nil"/>
                    <w:bottom w:val="single" w:color="auto" w:sz="4" w:space="0"/>
                    <w:right w:val="single" w:color="auto" w:sz="4" w:space="0"/>
                  </w:tcBorders>
                  <w:vAlign w:val="center"/>
                </w:tcPr>
                <w:p w14:paraId="17503A4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w:t>
                  </w:r>
                </w:p>
              </w:tc>
              <w:tc>
                <w:tcPr>
                  <w:tcW w:w="1031" w:type="pct"/>
                  <w:gridSpan w:val="2"/>
                  <w:tcBorders>
                    <w:top w:val="single" w:color="auto" w:sz="4" w:space="0"/>
                    <w:left w:val="nil"/>
                    <w:bottom w:val="single" w:color="auto" w:sz="4" w:space="0"/>
                    <w:right w:val="single" w:color="auto" w:sz="4" w:space="0"/>
                  </w:tcBorders>
                  <w:vAlign w:val="center"/>
                </w:tcPr>
                <w:p w14:paraId="7BD9509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1.64</w:t>
                  </w:r>
                </w:p>
              </w:tc>
              <w:tc>
                <w:tcPr>
                  <w:tcW w:w="1121" w:type="pct"/>
                  <w:gridSpan w:val="2"/>
                  <w:tcBorders>
                    <w:top w:val="single" w:color="auto" w:sz="4" w:space="0"/>
                    <w:left w:val="nil"/>
                    <w:bottom w:val="single" w:color="auto" w:sz="4" w:space="0"/>
                    <w:right w:val="single" w:color="auto" w:sz="4" w:space="0"/>
                  </w:tcBorders>
                  <w:vAlign w:val="center"/>
                </w:tcPr>
                <w:p w14:paraId="5AF4DE8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1.76</w:t>
                  </w:r>
                </w:p>
              </w:tc>
              <w:tc>
                <w:tcPr>
                  <w:tcW w:w="1078" w:type="pct"/>
                  <w:gridSpan w:val="2"/>
                  <w:tcBorders>
                    <w:top w:val="single" w:color="auto" w:sz="4" w:space="0"/>
                    <w:left w:val="nil"/>
                    <w:bottom w:val="single" w:color="auto" w:sz="4" w:space="0"/>
                    <w:right w:val="single" w:color="auto" w:sz="4" w:space="0"/>
                  </w:tcBorders>
                  <w:vAlign w:val="center"/>
                </w:tcPr>
                <w:p w14:paraId="7F09099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1.67</w:t>
                  </w:r>
                </w:p>
              </w:tc>
            </w:tr>
          </w:tbl>
          <w:p w14:paraId="6D487902">
            <w:pPr>
              <w:spacing w:line="360" w:lineRule="auto"/>
              <w:ind w:firstLine="360" w:firstLineChars="200"/>
              <w:rPr>
                <w:rFonts w:ascii="Arial" w:hAnsi="Arial" w:eastAsia="华文细黑"/>
                <w:color w:val="000000"/>
                <w:sz w:val="18"/>
                <w:szCs w:val="21"/>
              </w:rPr>
            </w:pPr>
          </w:p>
          <w:p w14:paraId="10573246">
            <w:pPr>
              <w:spacing w:line="360" w:lineRule="auto"/>
              <w:ind w:firstLine="360" w:firstLineChars="200"/>
              <w:rPr>
                <w:rFonts w:ascii="Arial" w:hAnsi="Arial" w:eastAsia="华文细黑"/>
                <w:color w:val="000000"/>
                <w:sz w:val="18"/>
                <w:szCs w:val="21"/>
              </w:rPr>
            </w:pPr>
          </w:p>
          <w:p w14:paraId="7C30544F">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经比较分析，采用各因素修正系数连乘法，求算各可比案例经因素修正后达到估价对象条件时的比准价格，虽然有一定的差距，但案例均选取真实，修正过程客观合理，修正后能反映客观水平，因此本次咨询确定取以上3个可比案例的比准价格的简单算术平均值作为集体租赁住房客观年租金水平。则：</w:t>
            </w:r>
          </w:p>
          <w:p w14:paraId="651F5355">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咨询对象装修改造后</w:t>
            </w:r>
            <w:r>
              <w:rPr>
                <w:rFonts w:hint="eastAsia" w:ascii="Arial" w:hAnsi="Arial" w:eastAsia="华文细黑"/>
                <w:color w:val="000000"/>
                <w:sz w:val="18"/>
                <w:szCs w:val="21"/>
              </w:rPr>
              <w:t>集体租赁住房市场租金单价</w:t>
            </w:r>
          </w:p>
          <w:p w14:paraId="7DCCCECC">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=（1.64+1.76+1.67）÷3</w:t>
            </w:r>
          </w:p>
          <w:p w14:paraId="35267008">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=1.69（元/平方米·天）</w:t>
            </w:r>
          </w:p>
          <w:p w14:paraId="1EA4A991">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根据评估专业人员对于周边类似用途空置率的调查及分析，本次空置率取10%。每年按365天计算，则：</w:t>
            </w:r>
          </w:p>
          <w:p w14:paraId="2E09DE2B">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咨询对象装修改造后</w:t>
            </w:r>
            <w:r>
              <w:rPr>
                <w:rFonts w:hint="eastAsia" w:ascii="Arial" w:hAnsi="Arial" w:eastAsia="华文细黑"/>
                <w:color w:val="000000"/>
                <w:sz w:val="18"/>
                <w:szCs w:val="21"/>
              </w:rPr>
              <w:t>集体租赁住房客观年租金收入</w:t>
            </w:r>
          </w:p>
          <w:p w14:paraId="4B9CDDD4">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=1.69×19495.75×365×（1-10%）÷10000</w:t>
            </w:r>
          </w:p>
          <w:p w14:paraId="5BF6EF6C">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=1082.33（万元）</w:t>
            </w:r>
          </w:p>
          <w:p w14:paraId="2B4BE12C">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2.</w:t>
            </w:r>
            <w:r>
              <w:rPr>
                <w:rFonts w:hint="eastAsia" w:ascii="Arial" w:hAnsi="Arial" w:eastAsia="华文细黑"/>
                <w:sz w:val="18"/>
                <w:szCs w:val="21"/>
              </w:rPr>
              <w:t>咨询对象装修改造后</w:t>
            </w:r>
            <w:r>
              <w:rPr>
                <w:rFonts w:hint="eastAsia" w:ascii="Arial" w:hAnsi="Arial" w:eastAsia="华文细黑"/>
                <w:color w:val="000000"/>
                <w:sz w:val="18"/>
                <w:szCs w:val="21"/>
              </w:rPr>
              <w:t>配套（商业）用房市场租金</w:t>
            </w:r>
          </w:p>
          <w:p w14:paraId="190A0DC8">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咨询对象周边配套（商业）用房需求较少，经评估专业人员市场调查，南六环路周边临街商铺租赁情况如下：</w:t>
            </w:r>
          </w:p>
          <w:tbl>
            <w:tblPr>
              <w:tblStyle w:val="32"/>
              <w:tblW w:w="4709" w:type="pct"/>
              <w:tblInd w:w="0" w:type="dxa"/>
              <w:tblLayout w:type="autofit"/>
              <w:tblCellMar>
                <w:top w:w="0" w:type="dxa"/>
                <w:left w:w="108" w:type="dxa"/>
                <w:bottom w:w="0" w:type="dxa"/>
                <w:right w:w="108" w:type="dxa"/>
              </w:tblCellMar>
            </w:tblPr>
            <w:tblGrid>
              <w:gridCol w:w="809"/>
              <w:gridCol w:w="2467"/>
              <w:gridCol w:w="2049"/>
              <w:gridCol w:w="3433"/>
            </w:tblGrid>
            <w:tr w14:paraId="346D009B">
              <w:tblPrEx>
                <w:tblCellMar>
                  <w:top w:w="0" w:type="dxa"/>
                  <w:left w:w="108" w:type="dxa"/>
                  <w:bottom w:w="0" w:type="dxa"/>
                  <w:right w:w="108" w:type="dxa"/>
                </w:tblCellMar>
              </w:tblPrEx>
              <w:trPr>
                <w:trHeight w:val="280"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31BF7F5C">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序号</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1A85ADC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位置</w:t>
                  </w:r>
                </w:p>
              </w:tc>
              <w:tc>
                <w:tcPr>
                  <w:tcW w:w="1169" w:type="pct"/>
                  <w:tcBorders>
                    <w:top w:val="single" w:color="000000" w:sz="4" w:space="0"/>
                    <w:left w:val="single" w:color="000000" w:sz="4" w:space="0"/>
                    <w:bottom w:val="single" w:color="000000" w:sz="4" w:space="0"/>
                    <w:right w:val="single" w:color="000000" w:sz="4" w:space="0"/>
                  </w:tcBorders>
                  <w:noWrap/>
                  <w:vAlign w:val="center"/>
                </w:tcPr>
                <w:p w14:paraId="1567D44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面积（平方米）</w:t>
                  </w:r>
                </w:p>
              </w:tc>
              <w:tc>
                <w:tcPr>
                  <w:tcW w:w="1959" w:type="pct"/>
                  <w:tcBorders>
                    <w:top w:val="single" w:color="000000" w:sz="4" w:space="0"/>
                    <w:left w:val="single" w:color="000000" w:sz="4" w:space="0"/>
                    <w:bottom w:val="single" w:color="000000" w:sz="4" w:space="0"/>
                    <w:right w:val="single" w:color="000000" w:sz="4" w:space="0"/>
                  </w:tcBorders>
                  <w:noWrap/>
                  <w:vAlign w:val="center"/>
                </w:tcPr>
                <w:p w14:paraId="4B486C3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租金水平（元/平方米/天）</w:t>
                  </w:r>
                </w:p>
              </w:tc>
            </w:tr>
            <w:tr w14:paraId="671C3469">
              <w:tblPrEx>
                <w:tblCellMar>
                  <w:top w:w="0" w:type="dxa"/>
                  <w:left w:w="108" w:type="dxa"/>
                  <w:bottom w:w="0" w:type="dxa"/>
                  <w:right w:w="108" w:type="dxa"/>
                </w:tblCellMar>
              </w:tblPrEx>
              <w:trPr>
                <w:trHeight w:val="280"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54BD06BC">
                  <w:pPr>
                    <w:widowControl/>
                    <w:adjustRightInd/>
                    <w:spacing w:line="240" w:lineRule="auto"/>
                    <w:jc w:val="center"/>
                    <w:textAlignment w:val="auto"/>
                    <w:rPr>
                      <w:rFonts w:ascii="Arial" w:hAnsi="Arial" w:cs="Arial"/>
                      <w:sz w:val="16"/>
                      <w:szCs w:val="18"/>
                    </w:rPr>
                  </w:pPr>
                  <w:r>
                    <w:fldChar w:fldCharType="begin"/>
                  </w:r>
                  <w:r>
                    <w:instrText xml:space="preserve"> HYPERLINK "https://bj.58.com/shangpu/58888382798747x.shtml?utm_source=market&amp;spm=u-2d2yxv86y3v43nkddh1.BDPCPZ_BT&amp;prd=x0NAXiR1wlSETnm4cICGelmbgsGTAeYjJtKaV0Zbf+4=&amp;houseId=3615671314292746&amp;urlParamsMap=9A546DA3E79E7CB1DE5CF9B31DA65895B93839B4BBA3F76BF12BDABBA25316F8DF6AA7176FD7616CEE8C2A0510BADCBDA58D50FBDC884203A143BB622FF746842AE3EED784FC23787FE9B68DF67E756F74D11110935F7C029D5BC86413F112A8B1519E2CF62254E72E9676AD8479A0B3&amp;gpos=16&amp;positionType=anxuanhouse&amp;filterJson=eyJTSEFOR1FVQU4iOlt7ImtleSI6IiIsImxhYmVsIjoi54Cb5rW36ZWHIiwidmFsIjoiYmp5aHoifV0sIlFVWVUiOlt7ImtleSI6IiIsImxhYmVsIjoi5aSn5YW0IiwidmFsIjoiZGF4aW5nIn1dfQ&amp;jx_abtest=ZWljX3N5ZGNfcGNfcmVjb21tZW5kX3Rlc3QscHRyX2ZhbmdfYnVkZ2V0X2JvdHRvbXwxLHVzZXJfcGhhc2VfbA&amp;list_type=main&amp;PGTID=0d306b35-0000-1d74-3bed-9c54eba3fd5f&amp;ClickID=34" </w:instrText>
                  </w:r>
                  <w:r>
                    <w:fldChar w:fldCharType="separate"/>
                  </w:r>
                  <w:r>
                    <w:rPr>
                      <w:rFonts w:hint="eastAsia" w:ascii="Arial" w:hAnsi="Arial" w:cs="Arial"/>
                      <w:sz w:val="16"/>
                      <w:szCs w:val="18"/>
                    </w:rPr>
                    <w:t>1</w:t>
                  </w:r>
                  <w:r>
                    <w:rPr>
                      <w:rFonts w:hint="eastAsia" w:ascii="Arial" w:hAnsi="Arial" w:cs="Arial"/>
                      <w:sz w:val="16"/>
                      <w:szCs w:val="18"/>
                    </w:rPr>
                    <w:fldChar w:fldCharType="end"/>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72B83EA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北辛屯村双北路商铺</w:t>
                  </w:r>
                </w:p>
              </w:tc>
              <w:tc>
                <w:tcPr>
                  <w:tcW w:w="1169" w:type="pct"/>
                  <w:tcBorders>
                    <w:top w:val="single" w:color="000000" w:sz="4" w:space="0"/>
                    <w:left w:val="single" w:color="000000" w:sz="4" w:space="0"/>
                    <w:bottom w:val="single" w:color="000000" w:sz="4" w:space="0"/>
                    <w:right w:val="single" w:color="000000" w:sz="4" w:space="0"/>
                  </w:tcBorders>
                  <w:noWrap/>
                  <w:vAlign w:val="center"/>
                </w:tcPr>
                <w:p w14:paraId="2147624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110</w:t>
                  </w:r>
                </w:p>
              </w:tc>
              <w:tc>
                <w:tcPr>
                  <w:tcW w:w="1959" w:type="pct"/>
                  <w:tcBorders>
                    <w:top w:val="single" w:color="000000" w:sz="4" w:space="0"/>
                    <w:left w:val="single" w:color="000000" w:sz="4" w:space="0"/>
                    <w:bottom w:val="single" w:color="000000" w:sz="4" w:space="0"/>
                    <w:right w:val="single" w:color="000000" w:sz="4" w:space="0"/>
                  </w:tcBorders>
                  <w:noWrap/>
                  <w:vAlign w:val="center"/>
                </w:tcPr>
                <w:p w14:paraId="4A923C3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1.79</w:t>
                  </w:r>
                </w:p>
              </w:tc>
            </w:tr>
            <w:tr w14:paraId="26034271">
              <w:tblPrEx>
                <w:tblCellMar>
                  <w:top w:w="0" w:type="dxa"/>
                  <w:left w:w="108" w:type="dxa"/>
                  <w:bottom w:w="0" w:type="dxa"/>
                  <w:right w:w="108" w:type="dxa"/>
                </w:tblCellMar>
              </w:tblPrEx>
              <w:trPr>
                <w:trHeight w:val="280"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40138FB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497D24B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亦庄金茂府四海路商铺</w:t>
                  </w:r>
                </w:p>
              </w:tc>
              <w:tc>
                <w:tcPr>
                  <w:tcW w:w="1169" w:type="pct"/>
                  <w:tcBorders>
                    <w:top w:val="single" w:color="000000" w:sz="4" w:space="0"/>
                    <w:left w:val="single" w:color="000000" w:sz="4" w:space="0"/>
                    <w:bottom w:val="single" w:color="000000" w:sz="4" w:space="0"/>
                    <w:right w:val="single" w:color="000000" w:sz="4" w:space="0"/>
                  </w:tcBorders>
                  <w:noWrap/>
                  <w:vAlign w:val="center"/>
                </w:tcPr>
                <w:p w14:paraId="60F6540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1500</w:t>
                  </w:r>
                </w:p>
              </w:tc>
              <w:tc>
                <w:tcPr>
                  <w:tcW w:w="1959" w:type="pct"/>
                  <w:tcBorders>
                    <w:top w:val="single" w:color="000000" w:sz="4" w:space="0"/>
                    <w:left w:val="single" w:color="000000" w:sz="4" w:space="0"/>
                    <w:bottom w:val="single" w:color="000000" w:sz="4" w:space="0"/>
                    <w:right w:val="single" w:color="000000" w:sz="4" w:space="0"/>
                  </w:tcBorders>
                  <w:noWrap/>
                  <w:vAlign w:val="center"/>
                </w:tcPr>
                <w:p w14:paraId="6502585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2.10</w:t>
                  </w:r>
                </w:p>
              </w:tc>
            </w:tr>
            <w:tr w14:paraId="7DE026AA">
              <w:tblPrEx>
                <w:tblCellMar>
                  <w:top w:w="0" w:type="dxa"/>
                  <w:left w:w="108" w:type="dxa"/>
                  <w:bottom w:w="0" w:type="dxa"/>
                  <w:right w:w="108" w:type="dxa"/>
                </w:tblCellMar>
              </w:tblPrEx>
              <w:trPr>
                <w:trHeight w:val="290"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6618BE2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3</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5E445EA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磁各庄孙郭路商铺</w:t>
                  </w:r>
                </w:p>
              </w:tc>
              <w:tc>
                <w:tcPr>
                  <w:tcW w:w="1169" w:type="pct"/>
                  <w:tcBorders>
                    <w:top w:val="single" w:color="000000" w:sz="4" w:space="0"/>
                    <w:left w:val="single" w:color="000000" w:sz="4" w:space="0"/>
                    <w:bottom w:val="single" w:color="000000" w:sz="4" w:space="0"/>
                    <w:right w:val="single" w:color="000000" w:sz="4" w:space="0"/>
                  </w:tcBorders>
                  <w:noWrap/>
                  <w:vAlign w:val="center"/>
                </w:tcPr>
                <w:p w14:paraId="7FEFD6C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1959" w:type="pct"/>
                  <w:tcBorders>
                    <w:top w:val="single" w:color="000000" w:sz="4" w:space="0"/>
                    <w:left w:val="single" w:color="000000" w:sz="4" w:space="0"/>
                    <w:bottom w:val="single" w:color="000000" w:sz="4" w:space="0"/>
                    <w:right w:val="single" w:color="000000" w:sz="4" w:space="0"/>
                  </w:tcBorders>
                  <w:noWrap/>
                  <w:vAlign w:val="center"/>
                </w:tcPr>
                <w:p w14:paraId="2F0F6D4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1.50</w:t>
                  </w:r>
                </w:p>
              </w:tc>
            </w:tr>
          </w:tbl>
          <w:p w14:paraId="1B383ADA">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本次确定配套（商业）用房租金水平采用简单算术平均值作为市场租金水平。则：</w:t>
            </w:r>
          </w:p>
          <w:p w14:paraId="573670AC">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咨询对象装修改造后配套</w:t>
            </w:r>
            <w:r>
              <w:rPr>
                <w:rFonts w:hint="eastAsia" w:ascii="Arial" w:hAnsi="Arial" w:eastAsia="华文细黑"/>
                <w:color w:val="000000"/>
                <w:sz w:val="18"/>
                <w:szCs w:val="21"/>
              </w:rPr>
              <w:t>（商业）</w:t>
            </w:r>
            <w:r>
              <w:rPr>
                <w:rFonts w:hint="eastAsia" w:ascii="Arial" w:hAnsi="Arial" w:eastAsia="华文细黑"/>
                <w:sz w:val="18"/>
                <w:szCs w:val="21"/>
              </w:rPr>
              <w:t>用房市场租金单价</w:t>
            </w:r>
          </w:p>
          <w:p w14:paraId="5E8D4828">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=（1.79+2.10+1.50）÷3</w:t>
            </w:r>
          </w:p>
          <w:p w14:paraId="6D15FFEB">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=1.80（元/平方米·天）</w:t>
            </w:r>
          </w:p>
          <w:p w14:paraId="0007CEF7">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根据评估专业人员对于周边类似用途空置率的调查及分析，本次空置率取10%。每年按365天计算，则：</w:t>
            </w:r>
          </w:p>
          <w:p w14:paraId="469B7F1F">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咨询对象装修改造后</w:t>
            </w:r>
            <w:r>
              <w:rPr>
                <w:rFonts w:hint="eastAsia" w:ascii="Arial" w:hAnsi="Arial" w:eastAsia="华文细黑"/>
                <w:color w:val="000000"/>
                <w:sz w:val="18"/>
                <w:szCs w:val="21"/>
              </w:rPr>
              <w:t>配套（商业）用房客观年租金收入</w:t>
            </w:r>
          </w:p>
          <w:p w14:paraId="5668943D">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=1.80×1481.13×365×（1-10%）÷10000</w:t>
            </w:r>
          </w:p>
          <w:p w14:paraId="050BD6AF">
            <w:pPr>
              <w:spacing w:line="360" w:lineRule="auto"/>
              <w:ind w:firstLine="360" w:firstLineChars="200"/>
              <w:rPr>
                <w:rFonts w:ascii="Arial" w:hAnsi="Arial" w:eastAsia="华文细黑"/>
                <w:sz w:val="18"/>
                <w:szCs w:val="21"/>
              </w:rPr>
            </w:pPr>
            <w:r>
              <w:rPr>
                <w:rFonts w:hint="eastAsia" w:ascii="Arial" w:hAnsi="Arial" w:eastAsia="华文细黑"/>
                <w:color w:val="000000"/>
                <w:sz w:val="18"/>
                <w:szCs w:val="21"/>
              </w:rPr>
              <w:t>=87.58（万元）</w:t>
            </w:r>
          </w:p>
          <w:p w14:paraId="3237A7FB">
            <w:pPr>
              <w:spacing w:line="360" w:lineRule="auto"/>
              <w:ind w:firstLine="360" w:firstLineChars="200"/>
              <w:rPr>
                <w:rFonts w:ascii="Arial" w:hAnsi="Arial" w:eastAsia="华文细黑"/>
                <w:sz w:val="18"/>
                <w:szCs w:val="21"/>
              </w:rPr>
            </w:pPr>
            <w:r>
              <w:rPr>
                <w:rFonts w:hint="eastAsia" w:ascii="Arial" w:hAnsi="Arial" w:eastAsia="华文细黑"/>
                <w:sz w:val="18"/>
                <w:szCs w:val="21"/>
              </w:rPr>
              <w:t>3.咨询对象装修改造后配套（汽车库）用房市场租金</w:t>
            </w:r>
          </w:p>
          <w:p w14:paraId="1C3408B3">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根据《不动产权证书》[京（2023）大不动产权第0028576号]，咨询对象汽车库建筑面积为3274.24平方米，共计103个车位，因项目所属区域车位租赁市场并不活跃，居住小区稀少，需求量小，无法获取市场数据，参照城区平均水平，按市场平均租金300元/个/月估算，</w:t>
            </w:r>
            <w:r>
              <w:rPr>
                <w:rFonts w:hint="eastAsia" w:ascii="Arial" w:hAnsi="Arial" w:eastAsia="华文细黑"/>
                <w:color w:val="000000"/>
                <w:sz w:val="18"/>
                <w:szCs w:val="21"/>
              </w:rPr>
              <w:t>根据评估专业人员对于周边类似用途空置率的调查及分析，本次空置率取10%。每年按365天计算，则：</w:t>
            </w:r>
          </w:p>
          <w:p w14:paraId="133E7D91">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咨询对象装修改造后配套（汽车库）用房</w:t>
            </w:r>
            <w:r>
              <w:rPr>
                <w:rFonts w:hint="eastAsia" w:ascii="Arial" w:hAnsi="Arial" w:eastAsia="华文细黑"/>
                <w:color w:val="000000"/>
                <w:sz w:val="18"/>
                <w:szCs w:val="21"/>
              </w:rPr>
              <w:t>客观年租金收入</w:t>
            </w:r>
          </w:p>
          <w:p w14:paraId="5F63E28A">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=300×103×12×（1-10%）÷10000</w:t>
            </w:r>
          </w:p>
          <w:p w14:paraId="15F6B12F">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=33.37（万元）</w:t>
            </w:r>
          </w:p>
          <w:p w14:paraId="33F824E0">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咨询对象装修改造后配套（汽车库）用房市场租金单价</w:t>
            </w:r>
          </w:p>
          <w:p w14:paraId="51AB862E">
            <w:pPr>
              <w:spacing w:line="360" w:lineRule="auto"/>
              <w:ind w:firstLine="360" w:firstLineChars="200"/>
              <w:rPr>
                <w:rFonts w:ascii="Arial" w:hAnsi="Arial" w:eastAsia="华文细黑"/>
                <w:sz w:val="18"/>
                <w:szCs w:val="21"/>
              </w:rPr>
            </w:pPr>
            <w:r>
              <w:rPr>
                <w:rFonts w:hint="eastAsia" w:ascii="Arial" w:hAnsi="Arial" w:eastAsia="华文细黑"/>
                <w:sz w:val="18"/>
                <w:szCs w:val="21"/>
              </w:rPr>
              <w:t>=33.37×10000</w:t>
            </w:r>
            <w:r>
              <w:rPr>
                <w:rFonts w:hint="eastAsia" w:ascii="Arial" w:hAnsi="Arial" w:eastAsia="华文细黑"/>
                <w:color w:val="000000"/>
                <w:sz w:val="18"/>
                <w:szCs w:val="21"/>
              </w:rPr>
              <w:t>÷3274.24÷365</w:t>
            </w:r>
          </w:p>
          <w:p w14:paraId="3C4786A0">
            <w:pPr>
              <w:spacing w:line="360" w:lineRule="auto"/>
              <w:ind w:firstLine="360" w:firstLineChars="200"/>
              <w:rPr>
                <w:rFonts w:ascii="Arial" w:hAnsi="Arial" w:eastAsia="华文细黑"/>
                <w:b/>
                <w:bCs/>
                <w:sz w:val="18"/>
                <w:szCs w:val="21"/>
              </w:rPr>
            </w:pPr>
            <w:r>
              <w:rPr>
                <w:rFonts w:hint="eastAsia" w:ascii="Arial" w:hAnsi="Arial" w:eastAsia="华文细黑"/>
                <w:sz w:val="18"/>
                <w:szCs w:val="21"/>
              </w:rPr>
              <w:t>=0.28</w:t>
            </w:r>
            <w:r>
              <w:rPr>
                <w:rFonts w:hint="eastAsia" w:ascii="Arial" w:hAnsi="Arial" w:eastAsia="华文细黑"/>
                <w:color w:val="000000"/>
                <w:sz w:val="18"/>
                <w:szCs w:val="21"/>
              </w:rPr>
              <w:t>（元/平方米·天）</w:t>
            </w:r>
          </w:p>
          <w:p w14:paraId="1F0481E4">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咨询对象装修改造后市场客观年租金收入</w:t>
            </w:r>
          </w:p>
          <w:p w14:paraId="0AF7D289">
            <w:pPr>
              <w:spacing w:line="360" w:lineRule="auto"/>
              <w:ind w:firstLine="360"/>
              <w:rPr>
                <w:rFonts w:ascii="Arial" w:hAnsi="Arial" w:eastAsia="华文细黑"/>
                <w:sz w:val="18"/>
                <w:szCs w:val="21"/>
              </w:rPr>
            </w:pPr>
            <w:r>
              <w:rPr>
                <w:rFonts w:hint="eastAsia" w:ascii="Arial" w:hAnsi="Arial" w:eastAsia="华文细黑"/>
                <w:sz w:val="18"/>
                <w:szCs w:val="21"/>
              </w:rPr>
              <w:t>=集体租赁住房客观年租金收入+配套（商业）用房客观年租金收入+配套（汽车库）用房客观年租金收入</w:t>
            </w:r>
          </w:p>
          <w:p w14:paraId="605488EA">
            <w:pPr>
              <w:spacing w:line="360" w:lineRule="auto"/>
              <w:ind w:firstLine="360"/>
              <w:rPr>
                <w:rFonts w:ascii="Arial" w:hAnsi="Arial" w:eastAsia="华文细黑"/>
                <w:sz w:val="18"/>
                <w:szCs w:val="21"/>
              </w:rPr>
            </w:pPr>
            <w:r>
              <w:rPr>
                <w:rFonts w:hint="eastAsia" w:ascii="Arial" w:hAnsi="Arial" w:eastAsia="华文细黑"/>
                <w:sz w:val="18"/>
                <w:szCs w:val="21"/>
              </w:rPr>
              <w:t>=</w:t>
            </w:r>
            <w:r>
              <w:rPr>
                <w:rFonts w:hint="eastAsia" w:ascii="Arial" w:hAnsi="Arial" w:eastAsia="华文细黑"/>
                <w:color w:val="000000"/>
                <w:sz w:val="18"/>
                <w:szCs w:val="21"/>
              </w:rPr>
              <w:t>1082.33</w:t>
            </w:r>
            <w:r>
              <w:rPr>
                <w:rFonts w:hint="eastAsia" w:ascii="Arial" w:hAnsi="Arial" w:eastAsia="华文细黑"/>
                <w:sz w:val="18"/>
                <w:szCs w:val="21"/>
              </w:rPr>
              <w:t>+87.58+33.37</w:t>
            </w:r>
          </w:p>
          <w:p w14:paraId="26156D39">
            <w:pPr>
              <w:spacing w:line="360" w:lineRule="auto"/>
              <w:ind w:firstLine="360"/>
              <w:rPr>
                <w:rFonts w:ascii="Arial" w:hAnsi="Arial" w:eastAsia="华文细黑"/>
                <w:sz w:val="18"/>
                <w:szCs w:val="21"/>
              </w:rPr>
            </w:pPr>
            <w:r>
              <w:rPr>
                <w:rFonts w:hint="eastAsia" w:ascii="Arial" w:hAnsi="Arial" w:eastAsia="华文细黑"/>
                <w:sz w:val="18"/>
                <w:szCs w:val="21"/>
              </w:rPr>
              <w:t>=1203.28（万元）</w:t>
            </w:r>
          </w:p>
          <w:p w14:paraId="1F0BF2FC">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装饰装修及家具家电折旧摊销成本</w:t>
            </w:r>
          </w:p>
          <w:p w14:paraId="287567C5">
            <w:pPr>
              <w:spacing w:line="360" w:lineRule="auto"/>
              <w:ind w:firstLine="360"/>
              <w:rPr>
                <w:rFonts w:ascii="Arial" w:hAnsi="Arial" w:eastAsia="华文细黑"/>
                <w:sz w:val="18"/>
                <w:szCs w:val="21"/>
              </w:rPr>
            </w:pPr>
            <w:r>
              <w:rPr>
                <w:rFonts w:hint="eastAsia" w:ascii="Arial" w:hAnsi="Arial" w:eastAsia="华文细黑"/>
                <w:sz w:val="18"/>
                <w:szCs w:val="21"/>
              </w:rPr>
              <w:t>参照现行《北京市房屋重置成新价评估技术标准》、《北京市建设工程概算定额》、《北京市建设工程技术经济指标》及建设同类物业实际客观费用等，结合项目结构、设施设备、装修情况等合理取费。确定咨询对象装饰装修工程费及家具家电费用为1500元/平方米。经咨询委托人介绍，预测项目需进行装修改造部分涉及全部集体租赁住房19495.72平方米及配套用房中商业（菜站、餐厅、超市）1481.13平方米。</w:t>
            </w:r>
          </w:p>
          <w:p w14:paraId="3B1AA936">
            <w:pPr>
              <w:spacing w:line="360" w:lineRule="auto"/>
              <w:ind w:firstLine="360" w:firstLineChars="200"/>
              <w:rPr>
                <w:rFonts w:ascii="Arial" w:hAnsi="Arial" w:eastAsia="华文细黑"/>
                <w:sz w:val="18"/>
                <w:szCs w:val="21"/>
              </w:rPr>
            </w:pPr>
            <w:r>
              <w:rPr>
                <w:rFonts w:hint="eastAsia" w:ascii="Arial" w:hAnsi="Arial" w:eastAsia="华文细黑"/>
                <w:sz w:val="18"/>
                <w:szCs w:val="21"/>
              </w:rPr>
              <w:t>经评估专业人员市场调查，装饰装修、家具家电，以合理预计最佳使用年限计算折旧，原则上不长于10年、不短于5年。结合实地查勘的装修情况及家具家电品牌配置，本次评估按照折旧摊销年限为10年进行计算。则：</w:t>
            </w:r>
          </w:p>
          <w:p w14:paraId="08DA62C0">
            <w:pPr>
              <w:spacing w:line="360" w:lineRule="auto"/>
              <w:ind w:firstLine="360"/>
              <w:rPr>
                <w:rFonts w:ascii="Arial" w:hAnsi="Arial" w:eastAsia="华文细黑"/>
                <w:sz w:val="18"/>
                <w:szCs w:val="21"/>
              </w:rPr>
            </w:pPr>
            <w:r>
              <w:rPr>
                <w:rFonts w:hint="eastAsia" w:ascii="Arial" w:hAnsi="Arial" w:eastAsia="华文细黑"/>
                <w:sz w:val="18"/>
                <w:szCs w:val="21"/>
              </w:rPr>
              <w:t>装饰装修及家具家电年折旧摊销成本</w:t>
            </w:r>
          </w:p>
          <w:p w14:paraId="3D0B02F8">
            <w:pPr>
              <w:spacing w:line="360" w:lineRule="auto"/>
              <w:ind w:firstLine="360"/>
              <w:rPr>
                <w:rFonts w:ascii="Arial" w:hAnsi="Arial" w:eastAsia="华文细黑"/>
                <w:sz w:val="18"/>
                <w:szCs w:val="21"/>
              </w:rPr>
            </w:pPr>
            <w:r>
              <w:rPr>
                <w:rFonts w:hint="eastAsia" w:ascii="Arial" w:hAnsi="Arial" w:eastAsia="华文细黑"/>
                <w:sz w:val="18"/>
                <w:szCs w:val="21"/>
              </w:rPr>
              <w:t>＝（19495.72+1481.13）×1500÷10÷10000</w:t>
            </w:r>
          </w:p>
          <w:p w14:paraId="6A7DA5CE">
            <w:pPr>
              <w:spacing w:line="360" w:lineRule="auto"/>
              <w:ind w:firstLine="360"/>
              <w:rPr>
                <w:rFonts w:ascii="Arial" w:hAnsi="Arial" w:eastAsia="华文细黑" w:cs="Arial"/>
                <w:b/>
                <w:kern w:val="2"/>
                <w:sz w:val="18"/>
                <w:szCs w:val="21"/>
              </w:rPr>
            </w:pPr>
            <w:r>
              <w:rPr>
                <w:rFonts w:hint="eastAsia" w:ascii="Arial" w:hAnsi="Arial" w:eastAsia="华文细黑"/>
                <w:sz w:val="18"/>
                <w:szCs w:val="21"/>
              </w:rPr>
              <w:t>＝314.65（万元）</w:t>
            </w:r>
          </w:p>
          <w:p w14:paraId="714EB523">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维修费</w:t>
            </w:r>
          </w:p>
          <w:p w14:paraId="7387EFBB">
            <w:pPr>
              <w:spacing w:line="360" w:lineRule="auto"/>
              <w:ind w:firstLine="360" w:firstLineChars="200"/>
              <w:rPr>
                <w:rFonts w:ascii="Arial" w:hAnsi="Arial" w:eastAsia="华文细黑"/>
                <w:sz w:val="18"/>
                <w:szCs w:val="21"/>
              </w:rPr>
            </w:pPr>
            <w:r>
              <w:rPr>
                <w:rFonts w:hint="eastAsia" w:ascii="Arial" w:hAnsi="Arial" w:eastAsia="华文细黑"/>
                <w:sz w:val="18"/>
                <w:szCs w:val="21"/>
              </w:rPr>
              <w:t>建筑安装工程费主要包括建造职工住宅及附属工程所发生的的土建工程费、安装工程费等。参照现行《北京市房屋重置成新价评估技术标准》、《北京市建设工程概算定额》及建设同类物业实际客观成本等，确定估价对象建筑安装工程费为2500元/平方米。</w:t>
            </w:r>
          </w:p>
          <w:p w14:paraId="4104C80D">
            <w:pPr>
              <w:spacing w:line="360" w:lineRule="auto"/>
              <w:ind w:firstLine="360" w:firstLineChars="200"/>
              <w:rPr>
                <w:rFonts w:ascii="Arial" w:hAnsi="Arial" w:eastAsia="华文细黑"/>
                <w:sz w:val="18"/>
                <w:szCs w:val="21"/>
              </w:rPr>
            </w:pPr>
            <w:r>
              <w:rPr>
                <w:rFonts w:hint="eastAsia" w:ascii="Arial" w:hAnsi="Arial" w:eastAsia="华文细黑"/>
                <w:sz w:val="18"/>
                <w:szCs w:val="21"/>
              </w:rPr>
              <w:t>项目整体建筑安装工程费＝30069.39×2500÷10000</w:t>
            </w:r>
          </w:p>
          <w:p w14:paraId="6F7B82F2">
            <w:pPr>
              <w:spacing w:line="360" w:lineRule="auto"/>
              <w:ind w:firstLine="2340" w:firstLineChars="1300"/>
              <w:rPr>
                <w:rFonts w:ascii="Arial" w:hAnsi="Arial" w:eastAsia="华文细黑"/>
                <w:sz w:val="18"/>
                <w:szCs w:val="21"/>
              </w:rPr>
            </w:pPr>
            <w:r>
              <w:rPr>
                <w:rFonts w:hint="eastAsia" w:ascii="Arial" w:hAnsi="Arial" w:eastAsia="华文细黑"/>
                <w:sz w:val="18"/>
                <w:szCs w:val="21"/>
              </w:rPr>
              <w:t>＝7517.34（万元）</w:t>
            </w:r>
          </w:p>
          <w:p w14:paraId="705B7127">
            <w:pPr>
              <w:spacing w:line="360" w:lineRule="auto"/>
              <w:ind w:firstLine="360" w:firstLineChars="200"/>
              <w:rPr>
                <w:rFonts w:ascii="Arial" w:hAnsi="Arial" w:eastAsia="华文细黑"/>
                <w:sz w:val="18"/>
                <w:szCs w:val="21"/>
              </w:rPr>
            </w:pPr>
            <w:r>
              <w:rPr>
                <w:rFonts w:hint="eastAsia" w:ascii="Arial" w:hAnsi="Arial" w:eastAsia="华文细黑"/>
                <w:sz w:val="18"/>
                <w:szCs w:val="21"/>
              </w:rPr>
              <w:t>维修费通常指为保障房产在原设计施工状态下正常使用，每年需支付的维护费用，主要包含房屋结构、装修、设备等日常维护，包括屋顶、墙面、门窗、水电燃气系统等易损部位的定期检查与修缮。通常以项目整体建筑安装工程费为基数，维修费一般为建筑安装工程费的2%-3%，本次评估维修费率按照2%进行计算。则：</w:t>
            </w:r>
          </w:p>
          <w:p w14:paraId="7F10CD17">
            <w:pPr>
              <w:spacing w:line="360" w:lineRule="auto"/>
              <w:ind w:firstLine="360" w:firstLineChars="200"/>
              <w:rPr>
                <w:rFonts w:ascii="Arial" w:hAnsi="Arial" w:eastAsia="华文细黑"/>
                <w:sz w:val="18"/>
                <w:szCs w:val="21"/>
              </w:rPr>
            </w:pPr>
            <w:r>
              <w:rPr>
                <w:rFonts w:hint="eastAsia" w:ascii="Arial" w:hAnsi="Arial" w:eastAsia="华文细黑"/>
                <w:sz w:val="18"/>
                <w:szCs w:val="21"/>
              </w:rPr>
              <w:t>维修费＝项目整体建筑安装工程费×2%</w:t>
            </w:r>
          </w:p>
          <w:p w14:paraId="4298E929">
            <w:pPr>
              <w:spacing w:line="360" w:lineRule="auto"/>
              <w:ind w:firstLine="900" w:firstLineChars="500"/>
              <w:rPr>
                <w:rFonts w:ascii="Arial" w:hAnsi="Arial" w:eastAsia="华文细黑"/>
                <w:sz w:val="18"/>
                <w:szCs w:val="21"/>
              </w:rPr>
            </w:pPr>
            <w:r>
              <w:rPr>
                <w:rFonts w:hint="eastAsia" w:ascii="Arial" w:hAnsi="Arial" w:eastAsia="华文细黑"/>
                <w:sz w:val="18"/>
                <w:szCs w:val="21"/>
              </w:rPr>
              <w:t>＝7517.34×2%</w:t>
            </w:r>
          </w:p>
          <w:p w14:paraId="7F35A2D5">
            <w:pPr>
              <w:spacing w:line="360" w:lineRule="auto"/>
              <w:ind w:firstLine="900" w:firstLineChars="500"/>
              <w:rPr>
                <w:rFonts w:ascii="Arial" w:hAnsi="Arial" w:eastAsia="华文细黑" w:cs="Arial"/>
                <w:b/>
                <w:kern w:val="2"/>
                <w:sz w:val="18"/>
                <w:szCs w:val="21"/>
              </w:rPr>
            </w:pPr>
            <w:r>
              <w:rPr>
                <w:rFonts w:hint="eastAsia" w:ascii="Arial" w:hAnsi="Arial" w:eastAsia="华文细黑"/>
                <w:sz w:val="18"/>
                <w:szCs w:val="21"/>
              </w:rPr>
              <w:t>＝150.35（万元）</w:t>
            </w:r>
          </w:p>
          <w:p w14:paraId="47B4B685">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保险费</w:t>
            </w:r>
          </w:p>
          <w:p w14:paraId="7ACAF0F1">
            <w:pPr>
              <w:spacing w:line="360" w:lineRule="auto"/>
              <w:ind w:firstLine="360" w:firstLineChars="200"/>
              <w:rPr>
                <w:rFonts w:ascii="Arial" w:hAnsi="Arial" w:eastAsia="华文细黑"/>
                <w:sz w:val="18"/>
                <w:szCs w:val="21"/>
              </w:rPr>
            </w:pPr>
            <w:r>
              <w:rPr>
                <w:rFonts w:hint="eastAsia" w:ascii="Arial" w:hAnsi="Arial" w:eastAsia="华文细黑"/>
                <w:sz w:val="18"/>
                <w:szCs w:val="21"/>
              </w:rPr>
              <w:t>保险费指房屋产权人为使自己的房产避免意外损失而向保险公司支付的费用，通常以项目整体建筑安装工程费为基数，保险费一般为建筑安装工程费的0.1%-0.2%，本次评估保险费率按照0.1%进行计算。则：</w:t>
            </w:r>
          </w:p>
          <w:p w14:paraId="568A4B94">
            <w:pPr>
              <w:spacing w:line="360" w:lineRule="auto"/>
              <w:ind w:firstLine="360" w:firstLineChars="200"/>
              <w:rPr>
                <w:rFonts w:ascii="Arial" w:hAnsi="Arial" w:eastAsia="华文细黑"/>
                <w:sz w:val="18"/>
                <w:szCs w:val="21"/>
              </w:rPr>
            </w:pPr>
            <w:r>
              <w:rPr>
                <w:rFonts w:hint="eastAsia" w:ascii="Arial" w:hAnsi="Arial" w:eastAsia="华文细黑"/>
                <w:sz w:val="18"/>
                <w:szCs w:val="21"/>
              </w:rPr>
              <w:t>保险费＝项目整体建筑安装工程费×0.1%</w:t>
            </w:r>
          </w:p>
          <w:p w14:paraId="12825AB0">
            <w:pPr>
              <w:spacing w:line="360" w:lineRule="auto"/>
              <w:ind w:firstLine="900" w:firstLineChars="500"/>
              <w:rPr>
                <w:rFonts w:ascii="Arial" w:hAnsi="Arial" w:eastAsia="华文细黑"/>
                <w:sz w:val="18"/>
                <w:szCs w:val="21"/>
              </w:rPr>
            </w:pPr>
            <w:r>
              <w:rPr>
                <w:rFonts w:hint="eastAsia" w:ascii="Arial" w:hAnsi="Arial" w:eastAsia="华文细黑"/>
                <w:sz w:val="18"/>
                <w:szCs w:val="21"/>
              </w:rPr>
              <w:t>＝7517.34×0.1%</w:t>
            </w:r>
          </w:p>
          <w:p w14:paraId="2DDDD753">
            <w:pPr>
              <w:spacing w:line="360" w:lineRule="auto"/>
              <w:ind w:firstLine="900" w:firstLineChars="500"/>
              <w:rPr>
                <w:rFonts w:ascii="Arial" w:hAnsi="Arial" w:eastAsia="华文细黑"/>
                <w:sz w:val="18"/>
                <w:szCs w:val="21"/>
              </w:rPr>
            </w:pPr>
            <w:r>
              <w:rPr>
                <w:rFonts w:hint="eastAsia" w:ascii="Arial" w:hAnsi="Arial" w:eastAsia="华文细黑"/>
                <w:sz w:val="18"/>
                <w:szCs w:val="21"/>
              </w:rPr>
              <w:t>＝7.52（万元）</w:t>
            </w:r>
          </w:p>
          <w:p w14:paraId="329A4646">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管理费</w:t>
            </w:r>
          </w:p>
          <w:p w14:paraId="6386AAF8">
            <w:pPr>
              <w:spacing w:line="360" w:lineRule="auto"/>
              <w:ind w:firstLine="360" w:firstLineChars="200"/>
              <w:rPr>
                <w:rFonts w:ascii="Arial" w:hAnsi="Arial" w:eastAsia="华文细黑"/>
                <w:sz w:val="18"/>
                <w:szCs w:val="21"/>
              </w:rPr>
            </w:pPr>
            <w:r>
              <w:rPr>
                <w:rFonts w:hint="eastAsia" w:ascii="Arial" w:hAnsi="Arial" w:eastAsia="华文细黑"/>
                <w:sz w:val="18"/>
                <w:szCs w:val="21"/>
              </w:rPr>
              <w:t>管理费指为组织和管理房地产开发经营活动所必需的费用，包括房地产开发人员工资及福利费、办公费、差旅费等。通常以年租金收入为基数，管理费一般为年租金收入的3%-5%，结合咨询对象自身情况，本次评估管理费率按照5%进行计算。则：</w:t>
            </w:r>
          </w:p>
          <w:p w14:paraId="4059C722">
            <w:pPr>
              <w:spacing w:line="360" w:lineRule="auto"/>
              <w:ind w:firstLine="360" w:firstLineChars="200"/>
              <w:rPr>
                <w:rFonts w:ascii="Arial" w:hAnsi="Arial" w:eastAsia="华文细黑"/>
                <w:sz w:val="18"/>
                <w:szCs w:val="21"/>
              </w:rPr>
            </w:pPr>
            <w:r>
              <w:rPr>
                <w:rFonts w:hint="eastAsia" w:ascii="Arial" w:hAnsi="Arial" w:eastAsia="华文细黑"/>
                <w:sz w:val="18"/>
                <w:szCs w:val="21"/>
              </w:rPr>
              <w:t>管理费＝年租金收入×5%</w:t>
            </w:r>
          </w:p>
          <w:p w14:paraId="4F39316D">
            <w:pPr>
              <w:spacing w:line="360" w:lineRule="auto"/>
              <w:ind w:firstLine="360" w:firstLineChars="200"/>
              <w:rPr>
                <w:rFonts w:ascii="Arial" w:hAnsi="Arial" w:eastAsia="华文细黑"/>
                <w:sz w:val="18"/>
                <w:szCs w:val="21"/>
              </w:rPr>
            </w:pPr>
            <w:r>
              <w:rPr>
                <w:rFonts w:hint="eastAsia" w:ascii="Arial" w:hAnsi="Arial" w:eastAsia="华文细黑"/>
                <w:sz w:val="18"/>
                <w:szCs w:val="21"/>
              </w:rPr>
              <w:t xml:space="preserve">      ＝1203.28×5%</w:t>
            </w:r>
          </w:p>
          <w:p w14:paraId="602A06C6">
            <w:pPr>
              <w:spacing w:line="360" w:lineRule="auto"/>
              <w:ind w:firstLine="900" w:firstLineChars="500"/>
              <w:rPr>
                <w:rFonts w:ascii="Arial" w:hAnsi="Arial" w:eastAsia="华文细黑"/>
                <w:sz w:val="18"/>
                <w:szCs w:val="21"/>
              </w:rPr>
            </w:pPr>
            <w:r>
              <w:rPr>
                <w:rFonts w:hint="eastAsia" w:ascii="Arial" w:hAnsi="Arial" w:eastAsia="华文细黑"/>
                <w:sz w:val="18"/>
                <w:szCs w:val="21"/>
              </w:rPr>
              <w:t>＝60.16（万元）</w:t>
            </w:r>
          </w:p>
          <w:p w14:paraId="4752D483">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投资利息</w:t>
            </w:r>
          </w:p>
          <w:p w14:paraId="4FAF85B9">
            <w:pPr>
              <w:spacing w:line="360" w:lineRule="auto"/>
              <w:ind w:firstLine="360" w:firstLineChars="200"/>
              <w:rPr>
                <w:rFonts w:ascii="Arial" w:hAnsi="Arial" w:eastAsia="华文细黑"/>
                <w:sz w:val="18"/>
                <w:szCs w:val="21"/>
              </w:rPr>
            </w:pPr>
            <w:r>
              <w:rPr>
                <w:rFonts w:hint="eastAsia" w:ascii="Arial" w:hAnsi="Arial" w:eastAsia="华文细黑"/>
                <w:sz w:val="18"/>
                <w:szCs w:val="21"/>
              </w:rPr>
              <w:t>投资利息指在房地产开发完成或者实现销售之前发生的所有必要费用应计算的利息，根据项目实际情况，本次评估设定咨询对象装修改造期为1年，装饰装修及家具家电成本均于改造期内均匀投入。根据设定情况，本项目融资成本率取2025年6月20日贷款市场报价利率（LPR）1年期3.0%，单利计息，则：</w:t>
            </w:r>
          </w:p>
          <w:p w14:paraId="1BA9E5C6">
            <w:pPr>
              <w:spacing w:line="360" w:lineRule="auto"/>
              <w:ind w:firstLine="360" w:firstLineChars="200"/>
              <w:rPr>
                <w:rFonts w:ascii="Arial" w:hAnsi="Arial" w:eastAsia="华文细黑"/>
                <w:sz w:val="18"/>
                <w:szCs w:val="21"/>
              </w:rPr>
            </w:pPr>
            <w:r>
              <w:rPr>
                <w:rFonts w:hint="eastAsia" w:ascii="Arial" w:hAnsi="Arial" w:eastAsia="华文细黑"/>
                <w:sz w:val="18"/>
                <w:szCs w:val="21"/>
              </w:rPr>
              <w:t>利息＝314.65×3%</w:t>
            </w:r>
          </w:p>
          <w:p w14:paraId="5FE08F0E">
            <w:pPr>
              <w:spacing w:line="360" w:lineRule="auto"/>
              <w:ind w:firstLine="720" w:firstLineChars="400"/>
              <w:rPr>
                <w:rFonts w:ascii="Arial" w:hAnsi="Arial" w:eastAsia="华文细黑"/>
                <w:sz w:val="18"/>
                <w:szCs w:val="21"/>
              </w:rPr>
            </w:pPr>
            <w:r>
              <w:rPr>
                <w:rFonts w:hint="eastAsia" w:ascii="Arial" w:hAnsi="Arial" w:eastAsia="华文细黑"/>
                <w:sz w:val="18"/>
                <w:szCs w:val="21"/>
              </w:rPr>
              <w:t>＝9.44（万元）</w:t>
            </w:r>
          </w:p>
          <w:p w14:paraId="44DCF9C8">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投资利润</w:t>
            </w:r>
          </w:p>
          <w:p w14:paraId="6C67447F">
            <w:pPr>
              <w:spacing w:line="360" w:lineRule="auto"/>
              <w:ind w:firstLine="360" w:firstLineChars="200"/>
              <w:rPr>
                <w:rFonts w:ascii="Arial" w:hAnsi="Arial" w:eastAsia="华文细黑"/>
                <w:sz w:val="18"/>
                <w:szCs w:val="21"/>
              </w:rPr>
            </w:pPr>
            <w:r>
              <w:rPr>
                <w:rFonts w:hint="eastAsia" w:ascii="Arial" w:hAnsi="Arial" w:eastAsia="华文细黑"/>
                <w:sz w:val="18"/>
                <w:szCs w:val="21"/>
              </w:rPr>
              <w:t>投资利润指该类房地产投资项目在正常条件下房地产企业所能获得的平均利润，本项目为保障性住房，参照《国家计委、建设部&lt;关于印发经济适用住房价格管理办法&gt;的通知》（计价格[2002]2503号），利润取3%。以年租金收入为基数。即：</w:t>
            </w:r>
          </w:p>
          <w:p w14:paraId="50BBA9FB">
            <w:pPr>
              <w:spacing w:line="360" w:lineRule="auto"/>
              <w:ind w:firstLine="360" w:firstLineChars="200"/>
              <w:rPr>
                <w:rFonts w:ascii="Arial" w:hAnsi="Arial" w:eastAsia="华文细黑"/>
                <w:sz w:val="18"/>
                <w:szCs w:val="21"/>
              </w:rPr>
            </w:pPr>
            <w:r>
              <w:rPr>
                <w:rFonts w:hint="eastAsia" w:ascii="Arial" w:hAnsi="Arial" w:eastAsia="华文细黑"/>
                <w:sz w:val="18"/>
                <w:szCs w:val="21"/>
              </w:rPr>
              <w:t>投资利润＝年租金收入×费率</w:t>
            </w:r>
          </w:p>
          <w:p w14:paraId="4A74E71D">
            <w:pPr>
              <w:spacing w:line="360" w:lineRule="auto"/>
              <w:ind w:firstLine="1080" w:firstLineChars="600"/>
              <w:rPr>
                <w:rFonts w:ascii="Arial" w:hAnsi="Arial" w:eastAsia="华文细黑"/>
                <w:sz w:val="18"/>
                <w:szCs w:val="21"/>
              </w:rPr>
            </w:pPr>
            <w:r>
              <w:rPr>
                <w:rFonts w:hint="eastAsia" w:ascii="Arial" w:hAnsi="Arial" w:eastAsia="华文细黑"/>
                <w:sz w:val="18"/>
                <w:szCs w:val="21"/>
              </w:rPr>
              <w:t>＝1203.28×3%</w:t>
            </w:r>
          </w:p>
          <w:p w14:paraId="01D310B7">
            <w:pPr>
              <w:spacing w:line="360" w:lineRule="auto"/>
              <w:ind w:firstLine="1080" w:firstLineChars="600"/>
              <w:rPr>
                <w:rFonts w:ascii="Arial" w:hAnsi="Arial" w:eastAsia="华文细黑" w:cs="Arial"/>
                <w:b/>
                <w:kern w:val="2"/>
                <w:sz w:val="18"/>
                <w:szCs w:val="21"/>
              </w:rPr>
            </w:pPr>
            <w:r>
              <w:rPr>
                <w:rFonts w:hint="eastAsia" w:ascii="Arial" w:hAnsi="Arial" w:eastAsia="华文细黑"/>
                <w:sz w:val="18"/>
                <w:szCs w:val="21"/>
              </w:rPr>
              <w:t>＝36.10（万元）</w:t>
            </w:r>
          </w:p>
          <w:p w14:paraId="1934F368">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咨询对象于设定条件下的房地产市场租金</w:t>
            </w:r>
          </w:p>
          <w:p w14:paraId="1F6A95BB">
            <w:pPr>
              <w:spacing w:line="360" w:lineRule="auto"/>
              <w:ind w:firstLine="540" w:firstLineChars="300"/>
              <w:rPr>
                <w:rFonts w:ascii="Arial" w:hAnsi="Arial" w:eastAsia="华文细黑"/>
                <w:sz w:val="18"/>
                <w:szCs w:val="21"/>
              </w:rPr>
            </w:pPr>
            <w:r>
              <w:rPr>
                <w:rFonts w:hint="eastAsia" w:ascii="Arial" w:hAnsi="Arial" w:eastAsia="华文细黑"/>
                <w:sz w:val="18"/>
                <w:szCs w:val="21"/>
              </w:rPr>
              <w:t>咨询对象于设定条件下的房地产市场租金</w:t>
            </w:r>
          </w:p>
          <w:p w14:paraId="56FEF336">
            <w:pPr>
              <w:spacing w:line="360" w:lineRule="auto"/>
              <w:ind w:firstLine="540" w:firstLineChars="300"/>
              <w:rPr>
                <w:rFonts w:ascii="Arial" w:hAnsi="Arial" w:eastAsia="华文细黑" w:cs="Arial"/>
                <w:b/>
                <w:kern w:val="2"/>
                <w:sz w:val="18"/>
                <w:szCs w:val="21"/>
              </w:rPr>
            </w:pPr>
            <w:r>
              <w:rPr>
                <w:rFonts w:hint="eastAsia" w:ascii="Arial" w:hAnsi="Arial" w:eastAsia="华文细黑"/>
                <w:sz w:val="18"/>
                <w:szCs w:val="21"/>
              </w:rPr>
              <w:t>＝装修改造后市场客观年租金收入—装饰装修及家具家电年折旧摊销—出租房承担的维修费—出租房承担的保险费—出租方承担的管理费—投资利息—投资利润</w:t>
            </w:r>
          </w:p>
          <w:p w14:paraId="0DC53503">
            <w:pPr>
              <w:spacing w:line="360" w:lineRule="auto"/>
              <w:rPr>
                <w:rFonts w:ascii="Arial" w:hAnsi="Arial" w:eastAsia="华文细黑"/>
                <w:sz w:val="18"/>
                <w:szCs w:val="21"/>
              </w:rPr>
            </w:pPr>
            <w:r>
              <w:rPr>
                <w:rFonts w:hint="eastAsia" w:ascii="Arial" w:hAnsi="Arial" w:eastAsia="华文细黑" w:cs="Arial"/>
                <w:b/>
                <w:kern w:val="2"/>
                <w:sz w:val="18"/>
                <w:szCs w:val="21"/>
              </w:rPr>
              <w:t xml:space="preserve">      </w:t>
            </w:r>
            <w:r>
              <w:rPr>
                <w:rFonts w:hint="eastAsia" w:ascii="Arial" w:hAnsi="Arial" w:eastAsia="华文细黑"/>
                <w:sz w:val="18"/>
                <w:szCs w:val="21"/>
              </w:rPr>
              <w:t>＝1203.28—314.65—150.35—7.52—60.16—9.44—36.10</w:t>
            </w:r>
          </w:p>
          <w:p w14:paraId="618F781F">
            <w:pPr>
              <w:spacing w:line="360" w:lineRule="auto"/>
              <w:rPr>
                <w:rFonts w:ascii="Arial" w:hAnsi="Arial" w:eastAsia="华文细黑"/>
                <w:sz w:val="18"/>
                <w:szCs w:val="21"/>
              </w:rPr>
            </w:pPr>
            <w:r>
              <w:rPr>
                <w:rFonts w:hint="eastAsia" w:ascii="Arial" w:hAnsi="Arial" w:eastAsia="华文细黑" w:cs="Arial"/>
                <w:b/>
                <w:kern w:val="2"/>
                <w:sz w:val="18"/>
                <w:szCs w:val="21"/>
              </w:rPr>
              <w:t xml:space="preserve">      </w:t>
            </w:r>
            <w:r>
              <w:rPr>
                <w:rFonts w:hint="eastAsia" w:ascii="Arial" w:hAnsi="Arial" w:eastAsia="华文细黑"/>
                <w:sz w:val="18"/>
                <w:szCs w:val="21"/>
              </w:rPr>
              <w:t>＝625.06（万元）</w:t>
            </w:r>
          </w:p>
          <w:p w14:paraId="58003AC4">
            <w:pPr>
              <w:spacing w:line="360" w:lineRule="auto"/>
              <w:rPr>
                <w:rFonts w:ascii="Arial" w:hAnsi="Arial" w:eastAsia="华文细黑"/>
                <w:sz w:val="18"/>
                <w:szCs w:val="21"/>
              </w:rPr>
            </w:pPr>
            <w:r>
              <w:rPr>
                <w:rFonts w:hint="eastAsia" w:ascii="Arial" w:hAnsi="Arial" w:eastAsia="华文细黑"/>
                <w:sz w:val="18"/>
                <w:szCs w:val="21"/>
              </w:rPr>
              <w:t xml:space="preserve">      房地产市场租金单价</w:t>
            </w:r>
          </w:p>
          <w:p w14:paraId="1BDB5490">
            <w:pPr>
              <w:spacing w:line="360" w:lineRule="auto"/>
              <w:ind w:firstLine="540" w:firstLineChars="300"/>
              <w:rPr>
                <w:rFonts w:ascii="Arial" w:hAnsi="Arial" w:eastAsia="华文细黑"/>
                <w:sz w:val="18"/>
                <w:szCs w:val="21"/>
              </w:rPr>
            </w:pPr>
            <w:r>
              <w:rPr>
                <w:rFonts w:hint="eastAsia" w:ascii="Arial" w:hAnsi="Arial" w:eastAsia="华文细黑"/>
                <w:sz w:val="18"/>
                <w:szCs w:val="21"/>
              </w:rPr>
              <w:t>=625.06×10000÷30069.39÷365</w:t>
            </w:r>
          </w:p>
          <w:p w14:paraId="4847C63E">
            <w:pPr>
              <w:spacing w:line="360" w:lineRule="auto"/>
              <w:ind w:firstLine="540" w:firstLineChars="300"/>
              <w:rPr>
                <w:rFonts w:ascii="Arial" w:hAnsi="Arial" w:eastAsia="华文细黑"/>
                <w:sz w:val="18"/>
                <w:szCs w:val="21"/>
              </w:rPr>
            </w:pPr>
            <w:r>
              <w:rPr>
                <w:rFonts w:hint="eastAsia" w:ascii="Arial" w:hAnsi="Arial" w:eastAsia="华文细黑"/>
                <w:sz w:val="18"/>
                <w:szCs w:val="21"/>
              </w:rPr>
              <w:t>=0.57（元/平方米/天）</w:t>
            </w:r>
          </w:p>
          <w:p w14:paraId="048D1FA1">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经营性用房各用途市场租金</w:t>
            </w:r>
          </w:p>
          <w:p w14:paraId="35031491">
            <w:pPr>
              <w:spacing w:line="360" w:lineRule="auto"/>
              <w:ind w:firstLine="360" w:firstLineChars="200"/>
              <w:rPr>
                <w:rFonts w:ascii="Arial" w:hAnsi="Arial" w:eastAsia="华文细黑"/>
                <w:sz w:val="18"/>
                <w:szCs w:val="21"/>
              </w:rPr>
            </w:pPr>
            <w:r>
              <w:rPr>
                <w:rFonts w:hint="eastAsia" w:ascii="Arial" w:hAnsi="Arial" w:eastAsia="华文细黑"/>
                <w:sz w:val="18"/>
                <w:szCs w:val="21"/>
              </w:rPr>
              <w:t>根据《不动产权证书》[京（2023）大不动产权第0028576号]，所属项目总建筑面积30069.39平方米，发证面积25025.15平方米（其中集体租赁住房19495.72平方米，配套用房5529.43平方米（包含商业（菜站、餐厅、超市）1481.13平方米，活动用房721.39平方米，管理用房52.67平方米，汽车库3274.24平方米）），其他附属设备用房5044.24平方米。项目整体出租时，已考虑其他附属用房（非经营性用房）对项目整体运营的影响。</w:t>
            </w:r>
          </w:p>
          <w:p w14:paraId="5238D78A">
            <w:pPr>
              <w:spacing w:line="360" w:lineRule="auto"/>
              <w:ind w:firstLine="348"/>
              <w:rPr>
                <w:rFonts w:ascii="Arial" w:hAnsi="Arial" w:eastAsia="华文细黑"/>
                <w:sz w:val="18"/>
                <w:szCs w:val="21"/>
              </w:rPr>
            </w:pPr>
            <w:r>
              <w:rPr>
                <w:rFonts w:hint="eastAsia" w:ascii="Arial" w:hAnsi="Arial" w:eastAsia="华文细黑"/>
                <w:sz w:val="18"/>
                <w:szCs w:val="21"/>
              </w:rPr>
              <w:t>经上述估算，按照各经营性用途装修改造后的市场租金收益比例对项目整体租金进行分配，则咨询对象于设定条件下的各经营性用途租金单价分别为，集体租赁住房0.60元/平方米/天、配套（商业）用房0.64元/平方米/天、 配套（汽车库）用房0.10元/平方米/天。</w:t>
            </w:r>
            <w:bookmarkStart w:id="14" w:name="OLE_LINK6"/>
            <w:bookmarkStart w:id="15" w:name="OLE_LINK5"/>
          </w:p>
          <w:p w14:paraId="69B1B34E">
            <w:pPr>
              <w:spacing w:line="360" w:lineRule="auto"/>
              <w:ind w:firstLine="348"/>
              <w:rPr>
                <w:rFonts w:ascii="Arial" w:hAnsi="Arial" w:eastAsia="华文细黑"/>
                <w:color w:val="000000"/>
                <w:sz w:val="18"/>
                <w:szCs w:val="21"/>
              </w:rPr>
            </w:pPr>
            <w:r>
              <w:rPr>
                <w:rFonts w:hint="eastAsia" w:ascii="Arial" w:hAnsi="Arial" w:eastAsia="华文细黑"/>
                <w:sz w:val="18"/>
                <w:szCs w:val="21"/>
              </w:rPr>
              <w:t>本次</w:t>
            </w:r>
            <w:bookmarkEnd w:id="14"/>
            <w:bookmarkEnd w:id="15"/>
            <w:r>
              <w:rPr>
                <w:rFonts w:hint="eastAsia" w:ascii="Arial" w:hAnsi="Arial" w:eastAsia="华文细黑"/>
                <w:sz w:val="18"/>
                <w:szCs w:val="21"/>
              </w:rPr>
              <w:t>各用途租金分配仅考虑经营性用房部分。实际分用途出租时，应考虑各用途所分摊的附属设备用房面积对整体租金收入的影响，以保证房屋功能的完整性。</w:t>
            </w:r>
          </w:p>
        </w:tc>
      </w:tr>
      <w:tr w14:paraId="7C2F3EA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545C838B">
            <w:pPr>
              <w:pStyle w:val="53"/>
              <w:autoSpaceDE w:val="0"/>
              <w:autoSpaceDN w:val="0"/>
              <w:spacing w:line="360" w:lineRule="auto"/>
              <w:ind w:left="2" w:leftChars="-1" w:right="140" w:hanging="4" w:hangingChars="2"/>
              <w:textAlignment w:val="bottom"/>
              <w:rPr>
                <w:rFonts w:ascii="Arial" w:hAnsi="Arial" w:eastAsia="华文细黑" w:cs="Arial"/>
                <w:b/>
                <w:sz w:val="18"/>
                <w:szCs w:val="21"/>
              </w:rPr>
            </w:pPr>
            <w:r>
              <w:rPr>
                <w:rFonts w:hint="eastAsia" w:ascii="Arial" w:hAnsi="Arial" w:eastAsia="华文细黑" w:cs="Arial"/>
                <w:b/>
                <w:kern w:val="2"/>
                <w:sz w:val="18"/>
                <w:szCs w:val="21"/>
              </w:rPr>
              <w:t>十二、咨询结果</w:t>
            </w:r>
          </w:p>
        </w:tc>
      </w:tr>
      <w:tr w14:paraId="3B6870F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6052" w:hRule="atLeast"/>
          <w:jc w:val="center"/>
        </w:trPr>
        <w:tc>
          <w:tcPr>
            <w:tcW w:w="9412" w:type="dxa"/>
            <w:gridSpan w:val="11"/>
            <w:noWrap/>
            <w:tcMar>
              <w:top w:w="85" w:type="dxa"/>
              <w:left w:w="85" w:type="dxa"/>
              <w:bottom w:w="85" w:type="dxa"/>
              <w:right w:w="28" w:type="dxa"/>
            </w:tcMar>
            <w:vAlign w:val="center"/>
          </w:tcPr>
          <w:p w14:paraId="3B83F16D">
            <w:pPr>
              <w:pStyle w:val="53"/>
              <w:autoSpaceDE w:val="0"/>
              <w:autoSpaceDN w:val="0"/>
              <w:spacing w:line="360" w:lineRule="auto"/>
              <w:ind w:left="-2" w:leftChars="-1" w:right="142" w:firstLine="360" w:firstLineChars="200"/>
              <w:textAlignment w:val="bottom"/>
              <w:rPr>
                <w:rFonts w:ascii="Arial" w:hAnsi="Arial" w:eastAsia="华文细黑" w:cs="Arial"/>
                <w:sz w:val="18"/>
                <w:szCs w:val="21"/>
              </w:rPr>
            </w:pPr>
            <w:r>
              <w:rPr>
                <w:rFonts w:hint="eastAsia" w:ascii="Arial" w:hAnsi="Arial" w:eastAsia="华文细黑" w:cs="Arial"/>
                <w:sz w:val="18"/>
                <w:szCs w:val="21"/>
              </w:rPr>
              <w:t>评估专业人员根据估价的目的，按照估价的程序，采用科学的咨询方法，在认真分析现有资料的基础上，结合本次估价的特殊要求通过仔细测算和认真分析各种影响房地产租赁价格的因素, 确定咨询对象于价值时点在设定条件下的房地产市场租金水平，详见咨询结果一览表。</w:t>
            </w:r>
          </w:p>
          <w:p w14:paraId="4FD1AB34">
            <w:pPr>
              <w:spacing w:line="360" w:lineRule="auto"/>
              <w:jc w:val="center"/>
              <w:outlineLvl w:val="0"/>
              <w:rPr>
                <w:rFonts w:ascii="Arial" w:hAnsi="Arial" w:eastAsia="方正黑体简体"/>
                <w:szCs w:val="24"/>
              </w:rPr>
            </w:pPr>
            <w:r>
              <w:rPr>
                <w:rFonts w:hint="eastAsia" w:ascii="Arial" w:hAnsi="Arial" w:eastAsia="方正黑体简体"/>
                <w:szCs w:val="24"/>
              </w:rPr>
              <w:t>咨询结果一览表</w:t>
            </w:r>
          </w:p>
          <w:tbl>
            <w:tblPr>
              <w:tblStyle w:val="32"/>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0"/>
              <w:gridCol w:w="3257"/>
            </w:tblGrid>
            <w:tr w14:paraId="5A3D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10" w:type="dxa"/>
                  <w:vAlign w:val="center"/>
                </w:tcPr>
                <w:p w14:paraId="39A1C41B">
                  <w:pPr>
                    <w:widowControl/>
                    <w:adjustRightInd/>
                    <w:spacing w:line="240" w:lineRule="auto"/>
                    <w:jc w:val="center"/>
                    <w:textAlignment w:val="auto"/>
                    <w:rPr>
                      <w:rFonts w:hint="eastAsia" w:ascii="华文细黑" w:hAnsi="华文细黑" w:eastAsia="华文细黑" w:cs="宋体"/>
                      <w:color w:val="000000"/>
                      <w:sz w:val="15"/>
                      <w:szCs w:val="15"/>
                    </w:rPr>
                  </w:pPr>
                  <w:r>
                    <w:rPr>
                      <w:rFonts w:hint="eastAsia" w:ascii="华文细黑" w:hAnsi="华文细黑" w:eastAsia="华文细黑" w:cs="宋体"/>
                      <w:color w:val="000000"/>
                      <w:sz w:val="16"/>
                      <w:szCs w:val="16"/>
                    </w:rPr>
                    <w:t>咨询对象</w:t>
                  </w:r>
                </w:p>
              </w:tc>
              <w:tc>
                <w:tcPr>
                  <w:tcW w:w="3257" w:type="dxa"/>
                  <w:vAlign w:val="center"/>
                </w:tcPr>
                <w:p w14:paraId="0DED0DF6">
                  <w:pPr>
                    <w:widowControl/>
                    <w:adjustRightInd/>
                    <w:spacing w:line="240" w:lineRule="auto"/>
                    <w:jc w:val="center"/>
                    <w:textAlignment w:val="auto"/>
                    <w:rPr>
                      <w:rFonts w:hint="eastAsia" w:ascii="华文细黑" w:hAnsi="华文细黑" w:eastAsia="华文细黑" w:cs="宋体"/>
                      <w:b/>
                      <w:bCs/>
                      <w:color w:val="000000"/>
                      <w:sz w:val="15"/>
                      <w:szCs w:val="15"/>
                    </w:rPr>
                  </w:pPr>
                  <w:r>
                    <w:rPr>
                      <w:rFonts w:hint="eastAsia" w:ascii="华文细黑" w:hAnsi="华文细黑" w:eastAsia="华文细黑" w:cs="宋体"/>
                      <w:b/>
                      <w:bCs/>
                      <w:color w:val="000000"/>
                      <w:sz w:val="16"/>
                      <w:szCs w:val="16"/>
                    </w:rPr>
                    <w:t>房地产市场租金水平（元/平方米·天）</w:t>
                  </w:r>
                </w:p>
              </w:tc>
            </w:tr>
            <w:tr w14:paraId="71F4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410" w:type="dxa"/>
                  <w:vAlign w:val="center"/>
                </w:tcPr>
                <w:p w14:paraId="7EDEB743">
                  <w:pPr>
                    <w:spacing w:line="240" w:lineRule="auto"/>
                    <w:jc w:val="center"/>
                    <w:rPr>
                      <w:rFonts w:hint="eastAsia" w:ascii="华文细黑" w:hAnsi="华文细黑" w:eastAsia="华文细黑" w:cs="Arial"/>
                      <w:sz w:val="15"/>
                      <w:szCs w:val="15"/>
                    </w:rPr>
                  </w:pPr>
                  <w:r>
                    <w:rPr>
                      <w:rFonts w:hint="eastAsia" w:ascii="华文细黑" w:hAnsi="华文细黑" w:eastAsia="华文细黑" w:cs="Arial"/>
                      <w:sz w:val="16"/>
                      <w:szCs w:val="16"/>
                    </w:rPr>
                    <w:t>北京市大兴区金时大街13号院1号楼、2号楼、3号楼、4号楼、100幢集体租赁住房及配套用房在设定条件下的房地产市场租金水平（项目整租）</w:t>
                  </w:r>
                </w:p>
              </w:tc>
              <w:tc>
                <w:tcPr>
                  <w:tcW w:w="3257" w:type="dxa"/>
                  <w:vAlign w:val="center"/>
                </w:tcPr>
                <w:p w14:paraId="41298C36">
                  <w:pPr>
                    <w:widowControl/>
                    <w:adjustRightInd/>
                    <w:spacing w:line="240" w:lineRule="auto"/>
                    <w:jc w:val="center"/>
                    <w:textAlignment w:val="auto"/>
                    <w:rPr>
                      <w:rFonts w:ascii="Arial" w:hAnsi="Arial"/>
                      <w:sz w:val="16"/>
                      <w:szCs w:val="16"/>
                    </w:rPr>
                  </w:pPr>
                  <w:r>
                    <w:rPr>
                      <w:rFonts w:hint="eastAsia" w:ascii="Arial" w:hAnsi="Arial"/>
                      <w:sz w:val="18"/>
                      <w:szCs w:val="18"/>
                    </w:rPr>
                    <w:t>0.57</w:t>
                  </w:r>
                </w:p>
              </w:tc>
            </w:tr>
          </w:tbl>
          <w:p w14:paraId="5735D647">
            <w:pPr>
              <w:spacing w:before="120" w:beforeLines="50" w:line="360" w:lineRule="auto"/>
              <w:ind w:firstLine="422" w:firstLineChars="200"/>
              <w:rPr>
                <w:rFonts w:ascii="Arial" w:hAnsi="Arial" w:cs="Arial"/>
                <w:b/>
                <w:bCs/>
                <w:sz w:val="21"/>
              </w:rPr>
            </w:pPr>
            <w:r>
              <w:rPr>
                <w:rFonts w:hint="eastAsia" w:ascii="Arial" w:hAnsi="Arial" w:cs="Arial"/>
                <w:b/>
                <w:bCs/>
                <w:sz w:val="21"/>
              </w:rPr>
              <w:t>特别提示：</w:t>
            </w:r>
          </w:p>
          <w:p w14:paraId="476A5183">
            <w:pPr>
              <w:spacing w:line="360" w:lineRule="auto"/>
              <w:ind w:firstLine="360" w:firstLineChars="200"/>
              <w:rPr>
                <w:rFonts w:ascii="Arial" w:hAnsi="Arial" w:eastAsia="华文细黑"/>
                <w:sz w:val="18"/>
                <w:szCs w:val="21"/>
              </w:rPr>
            </w:pPr>
            <w:r>
              <w:rPr>
                <w:rFonts w:hint="eastAsia" w:ascii="Arial" w:hAnsi="Arial" w:eastAsia="华文细黑"/>
                <w:sz w:val="18"/>
                <w:szCs w:val="21"/>
              </w:rPr>
              <w:t>1.若采用分用途出租方式，按照各经营性用途装修改造后的市场租金收益比例对项目整体租金进行分配，则咨询对象于设定条件下的各经营性用途租金单价分别为，集体租赁住房0.60元/平方米/天、配套（商业）用房0.64元/平方米/天、 配套（汽车库）用房0.10元/平方米/天。上述各用途租金分配仅考虑经营性用房部分。实际分用途出租时，应考虑各用途所分摊的附属设备用房面积对整体租金收入的影响，以保证房屋功能的完整性。</w:t>
            </w:r>
          </w:p>
          <w:p w14:paraId="54C5E1C2">
            <w:pPr>
              <w:spacing w:line="360" w:lineRule="auto"/>
              <w:ind w:firstLine="360" w:firstLineChars="200"/>
              <w:rPr>
                <w:rFonts w:ascii="Arial" w:hAnsi="Arial" w:eastAsia="华文细黑"/>
                <w:sz w:val="18"/>
                <w:szCs w:val="21"/>
              </w:rPr>
            </w:pPr>
            <w:r>
              <w:rPr>
                <w:rFonts w:hint="eastAsia" w:ascii="Arial" w:hAnsi="Arial" w:eastAsia="华文细黑"/>
                <w:sz w:val="18"/>
                <w:szCs w:val="21"/>
              </w:rPr>
              <w:t>2.根据《不动产权证书》[京（2023）大不动产权第0028576号]复印件及评估专业人员实地查勘，咨询对象部分房屋已出租，本报告是为委托方了解咨询对象在设定条件下的房地产市场租金水平提供参考依据，故本次咨询结果未考虑上述租赁权对咨询结果的影响。截至价值时点，咨询对象除上述租赁权外，未见咨询对象存在抵押权、地役权等他项权利的记录。</w:t>
            </w:r>
          </w:p>
          <w:p w14:paraId="4672C125">
            <w:pPr>
              <w:spacing w:line="360" w:lineRule="auto"/>
              <w:ind w:firstLine="360" w:firstLineChars="200"/>
              <w:rPr>
                <w:rFonts w:ascii="Arial" w:hAnsi="Arial" w:eastAsia="华文细黑" w:cs="Arial"/>
                <w:sz w:val="18"/>
                <w:szCs w:val="21"/>
              </w:rPr>
            </w:pPr>
            <w:r>
              <w:rPr>
                <w:rFonts w:hint="eastAsia" w:ascii="Arial" w:hAnsi="Arial" w:eastAsia="华文细黑"/>
                <w:sz w:val="18"/>
                <w:szCs w:val="21"/>
              </w:rPr>
              <w:t>3.本咨询结果同时受本报告正文中“估价的假设和限制条件”限制。</w:t>
            </w:r>
          </w:p>
        </w:tc>
      </w:tr>
      <w:tr w14:paraId="3D4072A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0C2D3B4">
            <w:pPr>
              <w:pStyle w:val="53"/>
              <w:autoSpaceDE w:val="0"/>
              <w:autoSpaceDN w:val="0"/>
              <w:spacing w:line="360" w:lineRule="auto"/>
              <w:ind w:right="142"/>
              <w:textAlignment w:val="bottom"/>
              <w:rPr>
                <w:rFonts w:ascii="Arial" w:hAnsi="Arial" w:eastAsia="华文细黑"/>
                <w:sz w:val="18"/>
                <w:szCs w:val="21"/>
              </w:rPr>
            </w:pPr>
            <w:r>
              <w:rPr>
                <w:rFonts w:hint="eastAsia" w:ascii="Arial" w:hAnsi="Arial" w:eastAsia="华文细黑" w:cs="Arial"/>
                <w:b/>
                <w:kern w:val="2"/>
                <w:sz w:val="18"/>
                <w:szCs w:val="24"/>
              </w:rPr>
              <w:t>十三、报告附件</w:t>
            </w:r>
          </w:p>
        </w:tc>
      </w:tr>
      <w:tr w14:paraId="39433003">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6C7BA82A">
            <w:pPr>
              <w:numPr>
                <w:ilvl w:val="0"/>
                <w:numId w:val="10"/>
              </w:numPr>
              <w:spacing w:line="360" w:lineRule="auto"/>
              <w:ind w:left="0" w:firstLine="0"/>
              <w:rPr>
                <w:rFonts w:ascii="Arial" w:hAnsi="Arial" w:eastAsia="华文细黑"/>
                <w:sz w:val="18"/>
                <w:szCs w:val="21"/>
              </w:rPr>
            </w:pPr>
            <w:r>
              <w:rPr>
                <w:rFonts w:hint="eastAsia" w:ascii="Arial" w:hAnsi="Arial" w:eastAsia="华文细黑"/>
                <w:sz w:val="18"/>
                <w:szCs w:val="21"/>
              </w:rPr>
              <w:t>《咨询委托书》复印件</w:t>
            </w:r>
          </w:p>
          <w:p w14:paraId="5EEF4D3D">
            <w:pPr>
              <w:numPr>
                <w:ilvl w:val="0"/>
                <w:numId w:val="10"/>
              </w:numPr>
              <w:spacing w:line="360" w:lineRule="auto"/>
              <w:ind w:left="0" w:firstLine="0"/>
              <w:rPr>
                <w:rFonts w:ascii="Arial" w:hAnsi="Arial" w:eastAsia="华文细黑"/>
                <w:sz w:val="18"/>
                <w:szCs w:val="21"/>
              </w:rPr>
            </w:pPr>
            <w:r>
              <w:rPr>
                <w:rFonts w:hint="eastAsia" w:ascii="Arial" w:hAnsi="Arial" w:eastAsia="华文细黑"/>
                <w:sz w:val="18"/>
                <w:szCs w:val="21"/>
              </w:rPr>
              <w:t>咨询对象所在位置示意图</w:t>
            </w:r>
          </w:p>
          <w:p w14:paraId="1D731247">
            <w:pPr>
              <w:numPr>
                <w:ilvl w:val="0"/>
                <w:numId w:val="10"/>
              </w:numPr>
              <w:spacing w:line="360" w:lineRule="auto"/>
              <w:ind w:left="0" w:firstLine="0"/>
              <w:rPr>
                <w:rFonts w:ascii="Arial" w:hAnsi="Arial" w:eastAsia="华文细黑"/>
                <w:sz w:val="18"/>
                <w:szCs w:val="21"/>
              </w:rPr>
            </w:pPr>
            <w:r>
              <w:rPr>
                <w:rFonts w:hint="eastAsia" w:ascii="Arial" w:hAnsi="Arial" w:eastAsia="华文细黑"/>
                <w:sz w:val="18"/>
                <w:szCs w:val="21"/>
              </w:rPr>
              <w:t>咨询对象实地查勘相关照片</w:t>
            </w:r>
          </w:p>
          <w:p w14:paraId="6290DD98">
            <w:pPr>
              <w:numPr>
                <w:ilvl w:val="0"/>
                <w:numId w:val="10"/>
              </w:numPr>
              <w:spacing w:line="360" w:lineRule="auto"/>
              <w:ind w:left="0" w:firstLine="0"/>
              <w:rPr>
                <w:rFonts w:ascii="Arial" w:hAnsi="Arial" w:eastAsia="华文细黑"/>
                <w:sz w:val="18"/>
                <w:szCs w:val="21"/>
              </w:rPr>
            </w:pPr>
            <w:r>
              <w:rPr>
                <w:rFonts w:hint="eastAsia" w:ascii="Arial" w:hAnsi="Arial" w:eastAsia="华文细黑" w:cs="Arial"/>
                <w:sz w:val="18"/>
                <w:szCs w:val="21"/>
              </w:rPr>
              <w:t>《不动产权证书》[京（2023）大不动产权第0028576号]复印件</w:t>
            </w:r>
          </w:p>
          <w:p w14:paraId="6A920C13">
            <w:pPr>
              <w:numPr>
                <w:ilvl w:val="0"/>
                <w:numId w:val="10"/>
              </w:numPr>
              <w:spacing w:line="360" w:lineRule="auto"/>
              <w:ind w:left="0" w:firstLine="0"/>
              <w:rPr>
                <w:rFonts w:ascii="Arial" w:hAnsi="Arial" w:eastAsia="华文细黑"/>
                <w:sz w:val="18"/>
                <w:szCs w:val="21"/>
              </w:rPr>
            </w:pPr>
            <w:r>
              <w:rPr>
                <w:rFonts w:ascii="Arial" w:hAnsi="Arial" w:eastAsia="华文细黑" w:cs="Arial"/>
                <w:sz w:val="18"/>
                <w:szCs w:val="21"/>
              </w:rPr>
              <w:t>估价机构资质证书复印件</w:t>
            </w:r>
          </w:p>
          <w:p w14:paraId="7FE61867">
            <w:pPr>
              <w:numPr>
                <w:ilvl w:val="0"/>
                <w:numId w:val="10"/>
              </w:numPr>
              <w:spacing w:line="360" w:lineRule="auto"/>
              <w:ind w:left="0" w:firstLine="0"/>
              <w:rPr>
                <w:rFonts w:ascii="Arial" w:hAnsi="Arial" w:eastAsia="华文细黑"/>
                <w:sz w:val="18"/>
                <w:szCs w:val="21"/>
              </w:rPr>
            </w:pPr>
            <w:r>
              <w:rPr>
                <w:rFonts w:ascii="Arial" w:hAnsi="Arial" w:eastAsia="华文细黑" w:cs="Arial"/>
                <w:sz w:val="18"/>
                <w:szCs w:val="21"/>
              </w:rPr>
              <w:t>评估专业人员执业证书复印件</w:t>
            </w:r>
          </w:p>
        </w:tc>
      </w:tr>
    </w:tbl>
    <w:p w14:paraId="6195C206">
      <w:pPr>
        <w:spacing w:line="480" w:lineRule="auto"/>
        <w:jc w:val="both"/>
        <w:rPr>
          <w:rFonts w:hint="eastAsia" w:ascii="宋体" w:hAnsi="宋体"/>
          <w:b/>
          <w:sz w:val="21"/>
          <w:szCs w:val="21"/>
        </w:rPr>
      </w:pPr>
    </w:p>
    <w:sectPr>
      <w:headerReference r:id="rId13" w:type="default"/>
      <w:pgSz w:w="11907" w:h="16840"/>
      <w:pgMar w:top="1843" w:right="1134" w:bottom="1191" w:left="1134" w:header="1134" w:footer="1134" w:gutter="34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ngsuh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00"/>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F783">
    <w:pPr>
      <w:pStyle w:val="20"/>
      <w:pBdr>
        <w:top w:val="single" w:color="404040" w:sz="4" w:space="1"/>
      </w:pBdr>
      <w:tabs>
        <w:tab w:val="right" w:pos="8647"/>
        <w:tab w:val="clear" w:pos="8306"/>
      </w:tabs>
      <w:ind w:right="17"/>
    </w:pPr>
    <w:r>
      <w:rPr>
        <w:rFonts w:hint="eastAsia"/>
      </w:rPr>
      <w:t>评估编号：</w:t>
    </w:r>
    <w:r>
      <w:t>2025-1-0</w:t>
    </w:r>
    <w:r>
      <w:rPr>
        <w:rFonts w:hint="eastAsia"/>
      </w:rPr>
      <w:t>6</w:t>
    </w:r>
    <w:r>
      <w:t>80-F01ZLGJ6</w:t>
    </w:r>
    <w:r>
      <w:rPr>
        <w:rFonts w:hint="eastAsia"/>
      </w:rPr>
      <w:t xml:space="preserve">                                                                    </w:t>
    </w:r>
    <w:r>
      <w:fldChar w:fldCharType="begin"/>
    </w:r>
    <w:r>
      <w:instrText xml:space="preserve">PAGE   \* MERGEFORMAT</w:instrText>
    </w:r>
    <w:r>
      <w:fldChar w:fldCharType="separate"/>
    </w:r>
    <w:r>
      <w:rPr>
        <w:rFonts w:ascii="Arial" w:hAnsi="Arial"/>
        <w:lang w:val="zh-CN"/>
      </w:rPr>
      <w:t>19</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50FE7">
    <w:pPr>
      <w:pStyle w:val="20"/>
      <w:framePr w:wrap="around" w:vAnchor="text" w:hAnchor="margin" w:xAlign="center" w:y="1"/>
      <w:rPr>
        <w:rStyle w:val="36"/>
      </w:rPr>
    </w:pPr>
    <w:r>
      <w:fldChar w:fldCharType="begin"/>
    </w:r>
    <w:r>
      <w:rPr>
        <w:rStyle w:val="36"/>
      </w:rPr>
      <w:instrText xml:space="preserve">PAGE  </w:instrText>
    </w:r>
    <w:r>
      <w:fldChar w:fldCharType="end"/>
    </w:r>
  </w:p>
  <w:p w14:paraId="4E0FD75A">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A994">
    <w:pPr>
      <w:pStyle w:val="20"/>
      <w:jc w:val="center"/>
    </w:pPr>
    <w:r>
      <w:fldChar w:fldCharType="begin"/>
    </w:r>
    <w:r>
      <w:instrText xml:space="preserve">PAGE   \* MERGEFORMAT</w:instrText>
    </w:r>
    <w:r>
      <w:fldChar w:fldCharType="separate"/>
    </w:r>
    <w:r>
      <w:rPr>
        <w:rFonts w:ascii="Arial" w:hAnsi="Arial"/>
        <w:lang w:val="zh-CN"/>
      </w:rPr>
      <w:t>12</w:t>
    </w:r>
    <w:r>
      <w:fldChar w:fldCharType="end"/>
    </w:r>
  </w:p>
  <w:p w14:paraId="29265B26">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2F956">
    <w:pPr>
      <w:pStyle w:val="21"/>
      <w:pBdr>
        <w:bottom w:val="none" w:color="auto" w:sz="0" w:space="0"/>
      </w:pBdr>
    </w:pPr>
    <w:r>
      <w:drawing>
        <wp:inline distT="0" distB="0" distL="0" distR="0">
          <wp:extent cx="5490845" cy="279400"/>
          <wp:effectExtent l="0" t="0" r="0" b="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90845" cy="279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2082">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2D43">
    <w:pPr>
      <w:pStyle w:val="21"/>
      <w:pBdr>
        <w:bottom w:val="none" w:color="auto" w:sz="0" w:space="0"/>
      </w:pBdr>
      <w:jc w:val="both"/>
      <w:rPr>
        <w:rFonts w:ascii="楷体_GB2312" w:eastAsia="楷体_GB2312"/>
        <w:color w:val="FF0000"/>
        <w:spacing w:val="-20"/>
        <w:sz w:val="21"/>
      </w:rPr>
    </w:pPr>
    <w:r>
      <w:drawing>
        <wp:inline distT="0" distB="0" distL="0" distR="0">
          <wp:extent cx="5909945" cy="287655"/>
          <wp:effectExtent l="0" t="0" r="0" b="0"/>
          <wp:docPr id="1" name="图片 0" descr="评估报告内页页眉.jpg"/>
          <wp:cNvGraphicFramePr/>
          <a:graphic xmlns:a="http://schemas.openxmlformats.org/drawingml/2006/main">
            <a:graphicData uri="http://schemas.openxmlformats.org/drawingml/2006/picture">
              <pic:pic xmlns:pic="http://schemas.openxmlformats.org/drawingml/2006/picture">
                <pic:nvPicPr>
                  <pic:cNvPr id="1"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9945" cy="287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D04AF">
    <w:pPr>
      <w:pStyle w:val="21"/>
      <w:pBdr>
        <w:bottom w:val="none" w:color="auto" w:sz="0" w:space="0"/>
      </w:pBdr>
      <w:jc w:val="both"/>
      <w:rPr>
        <w:rFonts w:ascii="楷体_GB2312" w:eastAsia="楷体_GB2312"/>
        <w:color w:val="FF0000"/>
        <w:spacing w:val="-20"/>
        <w:sz w:val="21"/>
      </w:rPr>
    </w:pPr>
    <w:r>
      <w:drawing>
        <wp:inline distT="0" distB="0" distL="0" distR="0">
          <wp:extent cx="5909945" cy="287655"/>
          <wp:effectExtent l="0" t="0" r="0" b="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9945" cy="28765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E852F">
    <w:pPr>
      <w:pStyle w:val="21"/>
    </w:pPr>
    <w:r>
      <w:drawing>
        <wp:inline distT="0" distB="0" distL="0" distR="0">
          <wp:extent cx="5490845" cy="279400"/>
          <wp:effectExtent l="0" t="0" r="0"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90845" cy="27940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E10D">
    <w:pPr>
      <w:pStyle w:val="21"/>
      <w:pBdr>
        <w:bottom w:val="none" w:color="auto" w:sz="0" w:space="0"/>
      </w:pBdr>
    </w:pPr>
    <w:r>
      <w:drawing>
        <wp:inline distT="0" distB="0" distL="0" distR="0">
          <wp:extent cx="5909945" cy="287655"/>
          <wp:effectExtent l="0" t="0" r="0"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9945" cy="2876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5F6E5"/>
    <w:multiLevelType w:val="singleLevel"/>
    <w:tmpl w:val="B065F6E5"/>
    <w:lvl w:ilvl="0" w:tentative="0">
      <w:start w:val="1"/>
      <w:numFmt w:val="chineseCounting"/>
      <w:suff w:val="nothing"/>
      <w:lvlText w:val="（%1）"/>
      <w:lvlJc w:val="left"/>
      <w:rPr>
        <w:rFonts w:hint="eastAsia"/>
      </w:rPr>
    </w:lvl>
  </w:abstractNum>
  <w:abstractNum w:abstractNumId="1">
    <w:nsid w:val="11163656"/>
    <w:multiLevelType w:val="multilevel"/>
    <w:tmpl w:val="11163656"/>
    <w:lvl w:ilvl="0" w:tentative="0">
      <w:start w:val="3"/>
      <w:numFmt w:val="decimal"/>
      <w:lvlText w:val="（%1）"/>
      <w:lvlJc w:val="left"/>
      <w:pPr>
        <w:tabs>
          <w:tab w:val="left" w:pos="2597"/>
        </w:tabs>
        <w:ind w:left="2597" w:hanging="720"/>
      </w:pPr>
      <w:rPr>
        <w:rFonts w:hint="eastAsia"/>
      </w:rPr>
    </w:lvl>
    <w:lvl w:ilvl="1" w:tentative="0">
      <w:start w:val="1"/>
      <w:numFmt w:val="upperLetter"/>
      <w:pStyle w:val="4"/>
      <w:lvlText w:val="%2、"/>
      <w:lvlJc w:val="left"/>
      <w:pPr>
        <w:tabs>
          <w:tab w:val="left" w:pos="3017"/>
        </w:tabs>
        <w:ind w:left="3017" w:hanging="720"/>
      </w:pPr>
      <w:rPr>
        <w:rFonts w:hint="eastAsia"/>
      </w:rPr>
    </w:lvl>
    <w:lvl w:ilvl="2" w:tentative="0">
      <w:start w:val="1"/>
      <w:numFmt w:val="lowerRoman"/>
      <w:lvlText w:val="%3."/>
      <w:lvlJc w:val="right"/>
      <w:pPr>
        <w:tabs>
          <w:tab w:val="left" w:pos="3137"/>
        </w:tabs>
        <w:ind w:left="3137" w:hanging="420"/>
      </w:pPr>
    </w:lvl>
    <w:lvl w:ilvl="3" w:tentative="0">
      <w:start w:val="1"/>
      <w:numFmt w:val="decimal"/>
      <w:lvlText w:val="%4."/>
      <w:lvlJc w:val="left"/>
      <w:pPr>
        <w:tabs>
          <w:tab w:val="left" w:pos="3557"/>
        </w:tabs>
        <w:ind w:left="3557" w:hanging="420"/>
      </w:pPr>
    </w:lvl>
    <w:lvl w:ilvl="4" w:tentative="0">
      <w:start w:val="1"/>
      <w:numFmt w:val="lowerLetter"/>
      <w:lvlText w:val="%5)"/>
      <w:lvlJc w:val="left"/>
      <w:pPr>
        <w:tabs>
          <w:tab w:val="left" w:pos="3977"/>
        </w:tabs>
        <w:ind w:left="3977" w:hanging="420"/>
      </w:pPr>
    </w:lvl>
    <w:lvl w:ilvl="5" w:tentative="0">
      <w:start w:val="1"/>
      <w:numFmt w:val="lowerRoman"/>
      <w:lvlText w:val="%6."/>
      <w:lvlJc w:val="right"/>
      <w:pPr>
        <w:tabs>
          <w:tab w:val="left" w:pos="4397"/>
        </w:tabs>
        <w:ind w:left="4397" w:hanging="420"/>
      </w:pPr>
    </w:lvl>
    <w:lvl w:ilvl="6" w:tentative="0">
      <w:start w:val="1"/>
      <w:numFmt w:val="decimal"/>
      <w:lvlText w:val="%7."/>
      <w:lvlJc w:val="left"/>
      <w:pPr>
        <w:tabs>
          <w:tab w:val="left" w:pos="4817"/>
        </w:tabs>
        <w:ind w:left="4817" w:hanging="420"/>
      </w:pPr>
    </w:lvl>
    <w:lvl w:ilvl="7" w:tentative="0">
      <w:start w:val="1"/>
      <w:numFmt w:val="lowerLetter"/>
      <w:lvlText w:val="%8)"/>
      <w:lvlJc w:val="left"/>
      <w:pPr>
        <w:tabs>
          <w:tab w:val="left" w:pos="5237"/>
        </w:tabs>
        <w:ind w:left="5237" w:hanging="420"/>
      </w:pPr>
    </w:lvl>
    <w:lvl w:ilvl="8" w:tentative="0">
      <w:start w:val="1"/>
      <w:numFmt w:val="lowerRoman"/>
      <w:lvlText w:val="%9."/>
      <w:lvlJc w:val="right"/>
      <w:pPr>
        <w:tabs>
          <w:tab w:val="left" w:pos="5657"/>
        </w:tabs>
        <w:ind w:left="5657" w:hanging="420"/>
      </w:pPr>
    </w:lvl>
  </w:abstractNum>
  <w:abstractNum w:abstractNumId="2">
    <w:nsid w:val="207D1A26"/>
    <w:multiLevelType w:val="multilevel"/>
    <w:tmpl w:val="207D1A26"/>
    <w:lvl w:ilvl="0" w:tentative="0">
      <w:start w:val="1"/>
      <w:numFmt w:val="decimal"/>
      <w:lvlText w:val="%1."/>
      <w:lvlJc w:val="left"/>
      <w:pPr>
        <w:ind w:left="8784" w:hanging="420"/>
      </w:pPr>
      <w:rPr>
        <w:rFonts w:hint="default" w:ascii="Arial" w:hAnsi="Arial" w:eastAsia="Arial Unicode M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D5CD4D3"/>
    <w:multiLevelType w:val="singleLevel"/>
    <w:tmpl w:val="2D5CD4D3"/>
    <w:lvl w:ilvl="0" w:tentative="0">
      <w:start w:val="1"/>
      <w:numFmt w:val="decimal"/>
      <w:lvlText w:val="%1."/>
      <w:lvlJc w:val="left"/>
      <w:pPr>
        <w:tabs>
          <w:tab w:val="left" w:pos="312"/>
        </w:tabs>
      </w:pPr>
    </w:lvl>
  </w:abstractNum>
  <w:abstractNum w:abstractNumId="4">
    <w:nsid w:val="3F544A14"/>
    <w:multiLevelType w:val="multilevel"/>
    <w:tmpl w:val="3F544A14"/>
    <w:lvl w:ilvl="0" w:tentative="0">
      <w:start w:val="1"/>
      <w:numFmt w:val="decimal"/>
      <w:lvlText w:val="%1."/>
      <w:lvlJc w:val="left"/>
      <w:pPr>
        <w:tabs>
          <w:tab w:val="left" w:pos="568"/>
        </w:tabs>
        <w:ind w:left="982" w:hanging="414"/>
      </w:pPr>
      <w:rPr>
        <w:rFonts w:hint="eastAsia"/>
        <w:color w:val="auto"/>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5">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7">
    <w:nsid w:val="6B9D3368"/>
    <w:multiLevelType w:val="multilevel"/>
    <w:tmpl w:val="6B9D3368"/>
    <w:lvl w:ilvl="0" w:tentative="0">
      <w:start w:val="1"/>
      <w:numFmt w:val="decimal"/>
      <w:lvlText w:val="%1."/>
      <w:lvlJc w:val="left"/>
      <w:pPr>
        <w:ind w:left="3170" w:hanging="420"/>
      </w:pPr>
    </w:lvl>
    <w:lvl w:ilvl="1" w:tentative="0">
      <w:start w:val="1"/>
      <w:numFmt w:val="lowerLetter"/>
      <w:lvlText w:val="%2)"/>
      <w:lvlJc w:val="left"/>
      <w:pPr>
        <w:ind w:left="3590" w:hanging="420"/>
      </w:pPr>
    </w:lvl>
    <w:lvl w:ilvl="2" w:tentative="0">
      <w:start w:val="1"/>
      <w:numFmt w:val="lowerRoman"/>
      <w:lvlText w:val="%3."/>
      <w:lvlJc w:val="right"/>
      <w:pPr>
        <w:ind w:left="4010" w:hanging="420"/>
      </w:pPr>
    </w:lvl>
    <w:lvl w:ilvl="3" w:tentative="0">
      <w:start w:val="1"/>
      <w:numFmt w:val="decimal"/>
      <w:lvlText w:val="%4."/>
      <w:lvlJc w:val="left"/>
      <w:pPr>
        <w:ind w:left="4430" w:hanging="420"/>
      </w:pPr>
    </w:lvl>
    <w:lvl w:ilvl="4" w:tentative="0">
      <w:start w:val="1"/>
      <w:numFmt w:val="lowerLetter"/>
      <w:lvlText w:val="%5)"/>
      <w:lvlJc w:val="left"/>
      <w:pPr>
        <w:ind w:left="4850" w:hanging="420"/>
      </w:pPr>
    </w:lvl>
    <w:lvl w:ilvl="5" w:tentative="0">
      <w:start w:val="1"/>
      <w:numFmt w:val="lowerRoman"/>
      <w:lvlText w:val="%6."/>
      <w:lvlJc w:val="right"/>
      <w:pPr>
        <w:ind w:left="5270" w:hanging="420"/>
      </w:pPr>
    </w:lvl>
    <w:lvl w:ilvl="6" w:tentative="0">
      <w:start w:val="1"/>
      <w:numFmt w:val="decimal"/>
      <w:lvlText w:val="%7."/>
      <w:lvlJc w:val="left"/>
      <w:pPr>
        <w:ind w:left="5690" w:hanging="420"/>
      </w:pPr>
    </w:lvl>
    <w:lvl w:ilvl="7" w:tentative="0">
      <w:start w:val="1"/>
      <w:numFmt w:val="lowerLetter"/>
      <w:lvlText w:val="%8)"/>
      <w:lvlJc w:val="left"/>
      <w:pPr>
        <w:ind w:left="6110" w:hanging="420"/>
      </w:pPr>
    </w:lvl>
    <w:lvl w:ilvl="8" w:tentative="0">
      <w:start w:val="1"/>
      <w:numFmt w:val="lowerRoman"/>
      <w:lvlText w:val="%9."/>
      <w:lvlJc w:val="right"/>
      <w:pPr>
        <w:ind w:left="6530" w:hanging="420"/>
      </w:pPr>
    </w:lvl>
  </w:abstractNum>
  <w:abstractNum w:abstractNumId="8">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
  </w:num>
  <w:num w:numId="4">
    <w:abstractNumId w:val="6"/>
  </w:num>
  <w:num w:numId="5">
    <w:abstractNumId w:val="5"/>
  </w:num>
  <w:num w:numId="6">
    <w:abstractNumId w:val="3"/>
  </w:num>
  <w:num w:numId="7">
    <w:abstractNumId w:val="4"/>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5"/>
  <w:doNotHyphenateCaps/>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976"/>
    <w:rsid w:val="00002574"/>
    <w:rsid w:val="00003712"/>
    <w:rsid w:val="00004D42"/>
    <w:rsid w:val="0001031A"/>
    <w:rsid w:val="000113F7"/>
    <w:rsid w:val="0001225D"/>
    <w:rsid w:val="0001237C"/>
    <w:rsid w:val="0001354F"/>
    <w:rsid w:val="00013655"/>
    <w:rsid w:val="000147F0"/>
    <w:rsid w:val="00014F2D"/>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77C9"/>
    <w:rsid w:val="000728BE"/>
    <w:rsid w:val="0007460A"/>
    <w:rsid w:val="00074C60"/>
    <w:rsid w:val="00076979"/>
    <w:rsid w:val="000769BB"/>
    <w:rsid w:val="000815F8"/>
    <w:rsid w:val="00082C75"/>
    <w:rsid w:val="00084265"/>
    <w:rsid w:val="00085690"/>
    <w:rsid w:val="00086B8E"/>
    <w:rsid w:val="000906AA"/>
    <w:rsid w:val="00090ADF"/>
    <w:rsid w:val="00090DD5"/>
    <w:rsid w:val="00092F3C"/>
    <w:rsid w:val="00092F51"/>
    <w:rsid w:val="0009464C"/>
    <w:rsid w:val="00097039"/>
    <w:rsid w:val="000A1B10"/>
    <w:rsid w:val="000A33AA"/>
    <w:rsid w:val="000B0322"/>
    <w:rsid w:val="000B060E"/>
    <w:rsid w:val="000B35B2"/>
    <w:rsid w:val="000B652F"/>
    <w:rsid w:val="000B737B"/>
    <w:rsid w:val="000B7C3D"/>
    <w:rsid w:val="000B7E14"/>
    <w:rsid w:val="000C0922"/>
    <w:rsid w:val="000C1708"/>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D45"/>
    <w:rsid w:val="000E5067"/>
    <w:rsid w:val="000E5749"/>
    <w:rsid w:val="000E5FC5"/>
    <w:rsid w:val="000E78E1"/>
    <w:rsid w:val="000E7D56"/>
    <w:rsid w:val="000F059C"/>
    <w:rsid w:val="000F09EC"/>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50A2F"/>
    <w:rsid w:val="0015101C"/>
    <w:rsid w:val="00153D34"/>
    <w:rsid w:val="00153F50"/>
    <w:rsid w:val="001544E7"/>
    <w:rsid w:val="001545B8"/>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413"/>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985"/>
    <w:rsid w:val="00212AAF"/>
    <w:rsid w:val="00212AEE"/>
    <w:rsid w:val="00213DCB"/>
    <w:rsid w:val="00221C8C"/>
    <w:rsid w:val="00221F38"/>
    <w:rsid w:val="00223A3D"/>
    <w:rsid w:val="0022545A"/>
    <w:rsid w:val="00226056"/>
    <w:rsid w:val="00227521"/>
    <w:rsid w:val="0023046D"/>
    <w:rsid w:val="00230505"/>
    <w:rsid w:val="002314A3"/>
    <w:rsid w:val="00233D66"/>
    <w:rsid w:val="002353C8"/>
    <w:rsid w:val="00235EFE"/>
    <w:rsid w:val="002361E9"/>
    <w:rsid w:val="002373E3"/>
    <w:rsid w:val="00237F00"/>
    <w:rsid w:val="002422F5"/>
    <w:rsid w:val="002429D0"/>
    <w:rsid w:val="0024320B"/>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3CAF"/>
    <w:rsid w:val="00296579"/>
    <w:rsid w:val="002975A8"/>
    <w:rsid w:val="002A136E"/>
    <w:rsid w:val="002A24B2"/>
    <w:rsid w:val="002A4036"/>
    <w:rsid w:val="002A4C30"/>
    <w:rsid w:val="002A53A9"/>
    <w:rsid w:val="002A56FC"/>
    <w:rsid w:val="002A7EB3"/>
    <w:rsid w:val="002B19D4"/>
    <w:rsid w:val="002B2198"/>
    <w:rsid w:val="002B3378"/>
    <w:rsid w:val="002B35F7"/>
    <w:rsid w:val="002B384D"/>
    <w:rsid w:val="002B410A"/>
    <w:rsid w:val="002B44AD"/>
    <w:rsid w:val="002B4C66"/>
    <w:rsid w:val="002C167B"/>
    <w:rsid w:val="002C3EAB"/>
    <w:rsid w:val="002C4410"/>
    <w:rsid w:val="002C4416"/>
    <w:rsid w:val="002C6A9B"/>
    <w:rsid w:val="002C784D"/>
    <w:rsid w:val="002C789A"/>
    <w:rsid w:val="002D0B6A"/>
    <w:rsid w:val="002D1972"/>
    <w:rsid w:val="002D19AE"/>
    <w:rsid w:val="002D3A09"/>
    <w:rsid w:val="002D3BA9"/>
    <w:rsid w:val="002D400F"/>
    <w:rsid w:val="002D4553"/>
    <w:rsid w:val="002D5430"/>
    <w:rsid w:val="002D58AA"/>
    <w:rsid w:val="002E1286"/>
    <w:rsid w:val="002E261C"/>
    <w:rsid w:val="002E33E3"/>
    <w:rsid w:val="002E58B3"/>
    <w:rsid w:val="002E6BD0"/>
    <w:rsid w:val="002E77A6"/>
    <w:rsid w:val="002E7F97"/>
    <w:rsid w:val="002F18D8"/>
    <w:rsid w:val="002F2BF2"/>
    <w:rsid w:val="002F41E0"/>
    <w:rsid w:val="002F42FA"/>
    <w:rsid w:val="002F6A0D"/>
    <w:rsid w:val="002F7B1B"/>
    <w:rsid w:val="003068C4"/>
    <w:rsid w:val="00306AEA"/>
    <w:rsid w:val="0030795F"/>
    <w:rsid w:val="003118D4"/>
    <w:rsid w:val="00312D2B"/>
    <w:rsid w:val="00314291"/>
    <w:rsid w:val="00314DF4"/>
    <w:rsid w:val="00315C85"/>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67B5E"/>
    <w:rsid w:val="0037049D"/>
    <w:rsid w:val="0037442F"/>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4BDF"/>
    <w:rsid w:val="0039506B"/>
    <w:rsid w:val="003958DE"/>
    <w:rsid w:val="00396D86"/>
    <w:rsid w:val="00397D5D"/>
    <w:rsid w:val="003A0322"/>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F0142"/>
    <w:rsid w:val="003F01F2"/>
    <w:rsid w:val="003F17E9"/>
    <w:rsid w:val="003F32AE"/>
    <w:rsid w:val="003F4B05"/>
    <w:rsid w:val="003F6AC8"/>
    <w:rsid w:val="003F6ED2"/>
    <w:rsid w:val="003F716A"/>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765"/>
    <w:rsid w:val="00436D80"/>
    <w:rsid w:val="0043741A"/>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3F3F"/>
    <w:rsid w:val="004948EA"/>
    <w:rsid w:val="004956CE"/>
    <w:rsid w:val="00495B8D"/>
    <w:rsid w:val="00496EDE"/>
    <w:rsid w:val="004A15B7"/>
    <w:rsid w:val="004A1653"/>
    <w:rsid w:val="004A42DB"/>
    <w:rsid w:val="004A541C"/>
    <w:rsid w:val="004A548D"/>
    <w:rsid w:val="004A79D8"/>
    <w:rsid w:val="004B0198"/>
    <w:rsid w:val="004B0FC7"/>
    <w:rsid w:val="004B1E21"/>
    <w:rsid w:val="004B20E9"/>
    <w:rsid w:val="004B2641"/>
    <w:rsid w:val="004B312F"/>
    <w:rsid w:val="004B3670"/>
    <w:rsid w:val="004B60D1"/>
    <w:rsid w:val="004C1FE6"/>
    <w:rsid w:val="004C294D"/>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7AC3"/>
    <w:rsid w:val="00571224"/>
    <w:rsid w:val="00572F07"/>
    <w:rsid w:val="00573359"/>
    <w:rsid w:val="00573494"/>
    <w:rsid w:val="00575536"/>
    <w:rsid w:val="00575B58"/>
    <w:rsid w:val="005774F5"/>
    <w:rsid w:val="0057778B"/>
    <w:rsid w:val="00577B2B"/>
    <w:rsid w:val="005827A4"/>
    <w:rsid w:val="00583EA2"/>
    <w:rsid w:val="00585457"/>
    <w:rsid w:val="00586422"/>
    <w:rsid w:val="00587A7D"/>
    <w:rsid w:val="005925BC"/>
    <w:rsid w:val="00593409"/>
    <w:rsid w:val="005934D2"/>
    <w:rsid w:val="00593B33"/>
    <w:rsid w:val="00594D48"/>
    <w:rsid w:val="005964B4"/>
    <w:rsid w:val="005973FD"/>
    <w:rsid w:val="00597BD4"/>
    <w:rsid w:val="005A2C8D"/>
    <w:rsid w:val="005A33D9"/>
    <w:rsid w:val="005A678E"/>
    <w:rsid w:val="005A7110"/>
    <w:rsid w:val="005B0290"/>
    <w:rsid w:val="005B30DC"/>
    <w:rsid w:val="005B39D9"/>
    <w:rsid w:val="005B5015"/>
    <w:rsid w:val="005B6F2A"/>
    <w:rsid w:val="005B7015"/>
    <w:rsid w:val="005B741B"/>
    <w:rsid w:val="005C0B3D"/>
    <w:rsid w:val="005C2098"/>
    <w:rsid w:val="005C5572"/>
    <w:rsid w:val="005C6031"/>
    <w:rsid w:val="005C6706"/>
    <w:rsid w:val="005D262F"/>
    <w:rsid w:val="005D4241"/>
    <w:rsid w:val="005D4276"/>
    <w:rsid w:val="005D4B6E"/>
    <w:rsid w:val="005D5C55"/>
    <w:rsid w:val="005D6D24"/>
    <w:rsid w:val="005D7924"/>
    <w:rsid w:val="005E038C"/>
    <w:rsid w:val="005E10CB"/>
    <w:rsid w:val="005E1228"/>
    <w:rsid w:val="005E1258"/>
    <w:rsid w:val="005E1E54"/>
    <w:rsid w:val="005E28F2"/>
    <w:rsid w:val="005E50F5"/>
    <w:rsid w:val="005E6BC0"/>
    <w:rsid w:val="005E6E39"/>
    <w:rsid w:val="005E708A"/>
    <w:rsid w:val="005E7A2D"/>
    <w:rsid w:val="005F00BB"/>
    <w:rsid w:val="005F04FC"/>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CA0"/>
    <w:rsid w:val="006470B4"/>
    <w:rsid w:val="00653EBF"/>
    <w:rsid w:val="00654BA2"/>
    <w:rsid w:val="00655331"/>
    <w:rsid w:val="00655626"/>
    <w:rsid w:val="00656A9C"/>
    <w:rsid w:val="0066156E"/>
    <w:rsid w:val="00661701"/>
    <w:rsid w:val="00662CC7"/>
    <w:rsid w:val="00664273"/>
    <w:rsid w:val="00666D8F"/>
    <w:rsid w:val="00670B9F"/>
    <w:rsid w:val="006715BF"/>
    <w:rsid w:val="006717DA"/>
    <w:rsid w:val="00674EC0"/>
    <w:rsid w:val="0067577D"/>
    <w:rsid w:val="00675B0B"/>
    <w:rsid w:val="00676198"/>
    <w:rsid w:val="00676850"/>
    <w:rsid w:val="00680B97"/>
    <w:rsid w:val="00681BB7"/>
    <w:rsid w:val="006827BC"/>
    <w:rsid w:val="00683DFE"/>
    <w:rsid w:val="00684490"/>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D02"/>
    <w:rsid w:val="006A5399"/>
    <w:rsid w:val="006A53A8"/>
    <w:rsid w:val="006A71D7"/>
    <w:rsid w:val="006B0A06"/>
    <w:rsid w:val="006B4A2F"/>
    <w:rsid w:val="006C082D"/>
    <w:rsid w:val="006C178D"/>
    <w:rsid w:val="006C188F"/>
    <w:rsid w:val="006C1AE5"/>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0761"/>
    <w:rsid w:val="007917D9"/>
    <w:rsid w:val="007920AD"/>
    <w:rsid w:val="007922A9"/>
    <w:rsid w:val="00792A75"/>
    <w:rsid w:val="00792E8C"/>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46D9"/>
    <w:rsid w:val="007D4826"/>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32C1"/>
    <w:rsid w:val="00823E5E"/>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82A0B"/>
    <w:rsid w:val="00883D07"/>
    <w:rsid w:val="00886064"/>
    <w:rsid w:val="008869A6"/>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4CA6"/>
    <w:rsid w:val="009160B0"/>
    <w:rsid w:val="00917024"/>
    <w:rsid w:val="009171C2"/>
    <w:rsid w:val="009173A0"/>
    <w:rsid w:val="00920CF1"/>
    <w:rsid w:val="00921FB4"/>
    <w:rsid w:val="009316D6"/>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4957"/>
    <w:rsid w:val="009B5FD8"/>
    <w:rsid w:val="009B6FE9"/>
    <w:rsid w:val="009C5027"/>
    <w:rsid w:val="009C5287"/>
    <w:rsid w:val="009C530D"/>
    <w:rsid w:val="009C6A20"/>
    <w:rsid w:val="009D0170"/>
    <w:rsid w:val="009D30C4"/>
    <w:rsid w:val="009D5925"/>
    <w:rsid w:val="009E1A87"/>
    <w:rsid w:val="009E3C3F"/>
    <w:rsid w:val="009E3D3D"/>
    <w:rsid w:val="009E424F"/>
    <w:rsid w:val="009E464E"/>
    <w:rsid w:val="009E5BD0"/>
    <w:rsid w:val="009E669B"/>
    <w:rsid w:val="009E6A66"/>
    <w:rsid w:val="009E7AF8"/>
    <w:rsid w:val="009E7CCC"/>
    <w:rsid w:val="009F0A10"/>
    <w:rsid w:val="009F76AD"/>
    <w:rsid w:val="00A0033C"/>
    <w:rsid w:val="00A02B5A"/>
    <w:rsid w:val="00A02C7E"/>
    <w:rsid w:val="00A02FE1"/>
    <w:rsid w:val="00A03E05"/>
    <w:rsid w:val="00A03F45"/>
    <w:rsid w:val="00A05480"/>
    <w:rsid w:val="00A05DF6"/>
    <w:rsid w:val="00A06A7D"/>
    <w:rsid w:val="00A07398"/>
    <w:rsid w:val="00A0775F"/>
    <w:rsid w:val="00A07B78"/>
    <w:rsid w:val="00A1102B"/>
    <w:rsid w:val="00A11F38"/>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1236"/>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C09D8"/>
    <w:rsid w:val="00AC1C21"/>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5092"/>
    <w:rsid w:val="00AD644C"/>
    <w:rsid w:val="00AD6E6E"/>
    <w:rsid w:val="00AD6E94"/>
    <w:rsid w:val="00AE0BD2"/>
    <w:rsid w:val="00AE22A0"/>
    <w:rsid w:val="00AE2B5C"/>
    <w:rsid w:val="00AE3F70"/>
    <w:rsid w:val="00AE47DA"/>
    <w:rsid w:val="00AE57BA"/>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293C"/>
    <w:rsid w:val="00B04D69"/>
    <w:rsid w:val="00B05087"/>
    <w:rsid w:val="00B06966"/>
    <w:rsid w:val="00B06BF5"/>
    <w:rsid w:val="00B07EB9"/>
    <w:rsid w:val="00B07F9E"/>
    <w:rsid w:val="00B10026"/>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22CC"/>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2A74"/>
    <w:rsid w:val="00B53D64"/>
    <w:rsid w:val="00B556B1"/>
    <w:rsid w:val="00B558AE"/>
    <w:rsid w:val="00B55B3C"/>
    <w:rsid w:val="00B56814"/>
    <w:rsid w:val="00B57521"/>
    <w:rsid w:val="00B6090E"/>
    <w:rsid w:val="00B63BF4"/>
    <w:rsid w:val="00B648DA"/>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666F"/>
    <w:rsid w:val="00BE08B5"/>
    <w:rsid w:val="00BE198C"/>
    <w:rsid w:val="00BE3800"/>
    <w:rsid w:val="00BE4971"/>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7913"/>
    <w:rsid w:val="00C604F8"/>
    <w:rsid w:val="00C624CF"/>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80823"/>
    <w:rsid w:val="00C8580E"/>
    <w:rsid w:val="00C85CAA"/>
    <w:rsid w:val="00C86C09"/>
    <w:rsid w:val="00C86F6F"/>
    <w:rsid w:val="00C87B29"/>
    <w:rsid w:val="00C905E9"/>
    <w:rsid w:val="00C92838"/>
    <w:rsid w:val="00C92F5F"/>
    <w:rsid w:val="00C93857"/>
    <w:rsid w:val="00C93D5B"/>
    <w:rsid w:val="00C93EB4"/>
    <w:rsid w:val="00C956E6"/>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AE1"/>
    <w:rsid w:val="00CC4C78"/>
    <w:rsid w:val="00CC5AC7"/>
    <w:rsid w:val="00CC7449"/>
    <w:rsid w:val="00CC7C92"/>
    <w:rsid w:val="00CD1323"/>
    <w:rsid w:val="00CD1407"/>
    <w:rsid w:val="00CD412F"/>
    <w:rsid w:val="00CD571A"/>
    <w:rsid w:val="00CE0A5D"/>
    <w:rsid w:val="00CE2713"/>
    <w:rsid w:val="00CE348E"/>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13DEC"/>
    <w:rsid w:val="00D1465F"/>
    <w:rsid w:val="00D169F0"/>
    <w:rsid w:val="00D175B4"/>
    <w:rsid w:val="00D344FB"/>
    <w:rsid w:val="00D3604C"/>
    <w:rsid w:val="00D373E7"/>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25DB"/>
    <w:rsid w:val="00D732D7"/>
    <w:rsid w:val="00D732F5"/>
    <w:rsid w:val="00D73494"/>
    <w:rsid w:val="00D74467"/>
    <w:rsid w:val="00D74494"/>
    <w:rsid w:val="00D766EE"/>
    <w:rsid w:val="00D82FDF"/>
    <w:rsid w:val="00D83E3C"/>
    <w:rsid w:val="00D86B58"/>
    <w:rsid w:val="00D87DDB"/>
    <w:rsid w:val="00D90D06"/>
    <w:rsid w:val="00D916A1"/>
    <w:rsid w:val="00D93B61"/>
    <w:rsid w:val="00D93E44"/>
    <w:rsid w:val="00D9438C"/>
    <w:rsid w:val="00D95EC0"/>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5857"/>
    <w:rsid w:val="00DD6F20"/>
    <w:rsid w:val="00DE11DC"/>
    <w:rsid w:val="00DE12F8"/>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10134"/>
    <w:rsid w:val="00E10FBF"/>
    <w:rsid w:val="00E124F3"/>
    <w:rsid w:val="00E13EEC"/>
    <w:rsid w:val="00E1448B"/>
    <w:rsid w:val="00E14E05"/>
    <w:rsid w:val="00E21169"/>
    <w:rsid w:val="00E222D9"/>
    <w:rsid w:val="00E23AE8"/>
    <w:rsid w:val="00E243D7"/>
    <w:rsid w:val="00E24711"/>
    <w:rsid w:val="00E25DE2"/>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3ADB"/>
    <w:rsid w:val="00E95178"/>
    <w:rsid w:val="00E95CA0"/>
    <w:rsid w:val="00EA1693"/>
    <w:rsid w:val="00EA3469"/>
    <w:rsid w:val="00EA3C39"/>
    <w:rsid w:val="00EA53E6"/>
    <w:rsid w:val="00EB0E19"/>
    <w:rsid w:val="00EB1105"/>
    <w:rsid w:val="00EB3CC9"/>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619A"/>
    <w:rsid w:val="00ED6221"/>
    <w:rsid w:val="00ED657F"/>
    <w:rsid w:val="00ED70A9"/>
    <w:rsid w:val="00ED749D"/>
    <w:rsid w:val="00EE05EE"/>
    <w:rsid w:val="00EE1B38"/>
    <w:rsid w:val="00EE470C"/>
    <w:rsid w:val="00EF19D8"/>
    <w:rsid w:val="00EF30D4"/>
    <w:rsid w:val="00EF3B9C"/>
    <w:rsid w:val="00EF3D23"/>
    <w:rsid w:val="00EF4826"/>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B6BE6"/>
    <w:rsid w:val="00FC19FE"/>
    <w:rsid w:val="00FC1D97"/>
    <w:rsid w:val="00FC297E"/>
    <w:rsid w:val="00FC2E46"/>
    <w:rsid w:val="00FC4345"/>
    <w:rsid w:val="00FC74F1"/>
    <w:rsid w:val="00FD0F3E"/>
    <w:rsid w:val="00FD1B27"/>
    <w:rsid w:val="00FD2047"/>
    <w:rsid w:val="00FD4B28"/>
    <w:rsid w:val="00FD5203"/>
    <w:rsid w:val="00FD5726"/>
    <w:rsid w:val="00FD5F20"/>
    <w:rsid w:val="00FD6804"/>
    <w:rsid w:val="00FD69DF"/>
    <w:rsid w:val="00FD6AF6"/>
    <w:rsid w:val="00FD72A9"/>
    <w:rsid w:val="00FD7818"/>
    <w:rsid w:val="00FD7926"/>
    <w:rsid w:val="00FE0B94"/>
    <w:rsid w:val="00FE0F91"/>
    <w:rsid w:val="00FE1935"/>
    <w:rsid w:val="00FE4618"/>
    <w:rsid w:val="00FE51FE"/>
    <w:rsid w:val="00FE542D"/>
    <w:rsid w:val="00FE6669"/>
    <w:rsid w:val="00FE669E"/>
    <w:rsid w:val="00FE68B2"/>
    <w:rsid w:val="00FE7E03"/>
    <w:rsid w:val="00FF1746"/>
    <w:rsid w:val="00FF1ABE"/>
    <w:rsid w:val="00FF242D"/>
    <w:rsid w:val="00FF3196"/>
    <w:rsid w:val="00FF32E2"/>
    <w:rsid w:val="00FF3527"/>
    <w:rsid w:val="00FF3DD4"/>
    <w:rsid w:val="00FF5E18"/>
    <w:rsid w:val="00FF6986"/>
    <w:rsid w:val="00FF6E8C"/>
    <w:rsid w:val="012F7D7A"/>
    <w:rsid w:val="0159126E"/>
    <w:rsid w:val="04087EEF"/>
    <w:rsid w:val="05900FD6"/>
    <w:rsid w:val="05FE0636"/>
    <w:rsid w:val="06383B48"/>
    <w:rsid w:val="067C74CD"/>
    <w:rsid w:val="08601134"/>
    <w:rsid w:val="095C5D9F"/>
    <w:rsid w:val="09BF694B"/>
    <w:rsid w:val="0B627DF9"/>
    <w:rsid w:val="0C564D28"/>
    <w:rsid w:val="0CC31C91"/>
    <w:rsid w:val="0D5374B9"/>
    <w:rsid w:val="0E6D0107"/>
    <w:rsid w:val="0F837E15"/>
    <w:rsid w:val="10685029"/>
    <w:rsid w:val="113D2012"/>
    <w:rsid w:val="12306C3A"/>
    <w:rsid w:val="12686D38"/>
    <w:rsid w:val="133B36BF"/>
    <w:rsid w:val="135D699C"/>
    <w:rsid w:val="147C5547"/>
    <w:rsid w:val="14AA6FC4"/>
    <w:rsid w:val="151E215B"/>
    <w:rsid w:val="153D727A"/>
    <w:rsid w:val="15921765"/>
    <w:rsid w:val="15AC057E"/>
    <w:rsid w:val="178830DF"/>
    <w:rsid w:val="17C171B9"/>
    <w:rsid w:val="18853C74"/>
    <w:rsid w:val="18EF0319"/>
    <w:rsid w:val="1A085187"/>
    <w:rsid w:val="1C9E55C6"/>
    <w:rsid w:val="1E3C5E72"/>
    <w:rsid w:val="1EFC5406"/>
    <w:rsid w:val="1FB849B7"/>
    <w:rsid w:val="20CA5AF5"/>
    <w:rsid w:val="20EF12BA"/>
    <w:rsid w:val="21584C46"/>
    <w:rsid w:val="220D7F1E"/>
    <w:rsid w:val="226715E5"/>
    <w:rsid w:val="2283769E"/>
    <w:rsid w:val="23460557"/>
    <w:rsid w:val="238F5391"/>
    <w:rsid w:val="239972CB"/>
    <w:rsid w:val="276F7DF0"/>
    <w:rsid w:val="2ABC587B"/>
    <w:rsid w:val="318B1854"/>
    <w:rsid w:val="31950BC9"/>
    <w:rsid w:val="33784CD4"/>
    <w:rsid w:val="34112F8F"/>
    <w:rsid w:val="350275D3"/>
    <w:rsid w:val="35B71AE4"/>
    <w:rsid w:val="35C4382F"/>
    <w:rsid w:val="35EA0584"/>
    <w:rsid w:val="3615273F"/>
    <w:rsid w:val="365B5F26"/>
    <w:rsid w:val="376932B2"/>
    <w:rsid w:val="378E260D"/>
    <w:rsid w:val="37F45271"/>
    <w:rsid w:val="39AB55BD"/>
    <w:rsid w:val="39CC1390"/>
    <w:rsid w:val="39EB26A4"/>
    <w:rsid w:val="3B55346F"/>
    <w:rsid w:val="3B5E2A01"/>
    <w:rsid w:val="3CB1383A"/>
    <w:rsid w:val="3CDF4973"/>
    <w:rsid w:val="3CF03B2D"/>
    <w:rsid w:val="3F3E3276"/>
    <w:rsid w:val="3FB7447B"/>
    <w:rsid w:val="401D10DD"/>
    <w:rsid w:val="40DE261A"/>
    <w:rsid w:val="40FB7670"/>
    <w:rsid w:val="411E510D"/>
    <w:rsid w:val="447119F7"/>
    <w:rsid w:val="44CB55AC"/>
    <w:rsid w:val="44E459AB"/>
    <w:rsid w:val="44F13FEA"/>
    <w:rsid w:val="454D7A35"/>
    <w:rsid w:val="45D64208"/>
    <w:rsid w:val="461B7E6D"/>
    <w:rsid w:val="46CA5481"/>
    <w:rsid w:val="4A1C329E"/>
    <w:rsid w:val="4A565917"/>
    <w:rsid w:val="4AB32D6A"/>
    <w:rsid w:val="4AF83B28"/>
    <w:rsid w:val="4B951F36"/>
    <w:rsid w:val="4DED6593"/>
    <w:rsid w:val="4E2E5830"/>
    <w:rsid w:val="500827BD"/>
    <w:rsid w:val="502363A9"/>
    <w:rsid w:val="50CA5E46"/>
    <w:rsid w:val="51A52CE0"/>
    <w:rsid w:val="538A0E13"/>
    <w:rsid w:val="538A27CE"/>
    <w:rsid w:val="53AB0A82"/>
    <w:rsid w:val="53BA5954"/>
    <w:rsid w:val="53E2646E"/>
    <w:rsid w:val="540168F4"/>
    <w:rsid w:val="545F547F"/>
    <w:rsid w:val="548337AD"/>
    <w:rsid w:val="57A76A63"/>
    <w:rsid w:val="582F73E6"/>
    <w:rsid w:val="58C85C32"/>
    <w:rsid w:val="5939268C"/>
    <w:rsid w:val="5A16092D"/>
    <w:rsid w:val="5B9B13DC"/>
    <w:rsid w:val="5DB92175"/>
    <w:rsid w:val="5DC866D4"/>
    <w:rsid w:val="5E2733FB"/>
    <w:rsid w:val="5EFB03E4"/>
    <w:rsid w:val="602E5B6D"/>
    <w:rsid w:val="60673F83"/>
    <w:rsid w:val="60ED2C81"/>
    <w:rsid w:val="630945E4"/>
    <w:rsid w:val="63B82D47"/>
    <w:rsid w:val="644B7717"/>
    <w:rsid w:val="651D2E62"/>
    <w:rsid w:val="65431B12"/>
    <w:rsid w:val="66416905"/>
    <w:rsid w:val="6749058A"/>
    <w:rsid w:val="676F7BC1"/>
    <w:rsid w:val="695F764A"/>
    <w:rsid w:val="6AB87B21"/>
    <w:rsid w:val="6AEA1A38"/>
    <w:rsid w:val="73012015"/>
    <w:rsid w:val="75774810"/>
    <w:rsid w:val="75DA6B4D"/>
    <w:rsid w:val="76094F98"/>
    <w:rsid w:val="761E4C8C"/>
    <w:rsid w:val="772B7F6B"/>
    <w:rsid w:val="796432FD"/>
    <w:rsid w:val="79AC6701"/>
    <w:rsid w:val="7A364E54"/>
    <w:rsid w:val="7D600C3F"/>
    <w:rsid w:val="7DE60785"/>
    <w:rsid w:val="7F225C3B"/>
    <w:rsid w:val="7F8A15E4"/>
    <w:rsid w:val="FEFF8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40"/>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41"/>
    <w:qFormat/>
    <w:uiPriority w:val="99"/>
    <w:pPr>
      <w:tabs>
        <w:tab w:val="center" w:pos="4153"/>
        <w:tab w:val="right" w:pos="8306"/>
      </w:tabs>
      <w:spacing w:line="240" w:lineRule="atLeast"/>
    </w:pPr>
    <w:rPr>
      <w:sz w:val="18"/>
    </w:rPr>
  </w:style>
  <w:style w:type="paragraph" w:styleId="21">
    <w:name w:val="header"/>
    <w:basedOn w:val="1"/>
    <w:link w:val="42"/>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文档结构图 字符"/>
    <w:link w:val="9"/>
    <w:semiHidden/>
    <w:qFormat/>
    <w:uiPriority w:val="0"/>
    <w:rPr>
      <w:sz w:val="24"/>
      <w:shd w:val="clear" w:color="auto" w:fill="000080"/>
    </w:rPr>
  </w:style>
  <w:style w:type="character" w:customStyle="1" w:styleId="41">
    <w:name w:val="页脚 字符"/>
    <w:link w:val="20"/>
    <w:qFormat/>
    <w:uiPriority w:val="99"/>
    <w:rPr>
      <w:sz w:val="18"/>
    </w:rPr>
  </w:style>
  <w:style w:type="character" w:customStyle="1" w:styleId="42">
    <w:name w:val="页眉 字符"/>
    <w:link w:val="21"/>
    <w:qFormat/>
    <w:uiPriority w:val="99"/>
    <w:rPr>
      <w:sz w:val="18"/>
    </w:rPr>
  </w:style>
  <w:style w:type="character" w:customStyle="1" w:styleId="43">
    <w:name w:val="text1"/>
    <w:qFormat/>
    <w:uiPriority w:val="0"/>
    <w:rPr>
      <w:spacing w:val="10"/>
      <w:sz w:val="28"/>
      <w:szCs w:val="28"/>
    </w:rPr>
  </w:style>
  <w:style w:type="character" w:customStyle="1" w:styleId="44">
    <w:name w:val="unnamed11"/>
    <w:qFormat/>
    <w:uiPriority w:val="0"/>
    <w:rPr>
      <w:rFonts w:hint="eastAsia" w:ascii="宋体" w:hAnsi="宋体" w:eastAsia="宋体"/>
      <w:color w:val="000000"/>
      <w:sz w:val="18"/>
      <w:szCs w:val="18"/>
      <w:u w:val="none"/>
    </w:rPr>
  </w:style>
  <w:style w:type="character" w:customStyle="1" w:styleId="45">
    <w:name w:val="nr1"/>
    <w:qFormat/>
    <w:uiPriority w:val="0"/>
    <w:rPr>
      <w:rFonts w:hint="eastAsia" w:ascii="楷体_GB2312" w:eastAsia="楷体_GB2312"/>
      <w:color w:val="000000"/>
      <w:sz w:val="24"/>
      <w:szCs w:val="24"/>
    </w:rPr>
  </w:style>
  <w:style w:type="character" w:customStyle="1" w:styleId="46">
    <w:name w:val="标题 5 Char"/>
    <w:qFormat/>
    <w:uiPriority w:val="0"/>
    <w:rPr>
      <w:rFonts w:ascii="楷体_GB2312" w:eastAsia="楷体_GB2312"/>
      <w:color w:val="000000"/>
      <w:sz w:val="28"/>
    </w:rPr>
  </w:style>
  <w:style w:type="character" w:customStyle="1" w:styleId="47">
    <w:name w:val="中等深浅网格 2 字符"/>
    <w:link w:val="48"/>
    <w:qFormat/>
    <w:uiPriority w:val="1"/>
    <w:rPr>
      <w:sz w:val="22"/>
      <w:szCs w:val="22"/>
      <w:lang w:val="en-US" w:eastAsia="zh-CN" w:bidi="ar-SA"/>
    </w:rPr>
  </w:style>
  <w:style w:type="paragraph" w:customStyle="1" w:styleId="48">
    <w:name w:val="中等深浅网格 211"/>
    <w:link w:val="47"/>
    <w:qFormat/>
    <w:uiPriority w:val="1"/>
    <w:rPr>
      <w:rFonts w:ascii="Times New Roman" w:hAnsi="Times New Roman" w:eastAsia="宋体" w:cs="Times New Roman"/>
      <w:sz w:val="22"/>
      <w:szCs w:val="22"/>
      <w:lang w:val="en-US" w:eastAsia="zh-CN" w:bidi="ar-SA"/>
    </w:rPr>
  </w:style>
  <w:style w:type="character" w:customStyle="1" w:styleId="49">
    <w:name w:val="中等深浅网格 2 Char"/>
    <w:link w:val="50"/>
    <w:qFormat/>
    <w:uiPriority w:val="1"/>
    <w:rPr>
      <w:sz w:val="22"/>
      <w:szCs w:val="22"/>
      <w:lang w:val="en-US" w:eastAsia="zh-CN" w:bidi="ar-SA"/>
    </w:rPr>
  </w:style>
  <w:style w:type="paragraph" w:customStyle="1" w:styleId="50">
    <w:name w:val="中等深浅网格 21"/>
    <w:link w:val="49"/>
    <w:qFormat/>
    <w:uiPriority w:val="1"/>
    <w:pPr>
      <w:spacing w:before="20" w:after="20" w:line="400" w:lineRule="exact"/>
    </w:pPr>
    <w:rPr>
      <w:rFonts w:ascii="Times New Roman" w:hAnsi="Times New Roman" w:eastAsia="宋体" w:cs="Times New Roman"/>
      <w:sz w:val="22"/>
      <w:szCs w:val="22"/>
      <w:lang w:val="en-US" w:eastAsia="zh-CN" w:bidi="ar-SA"/>
    </w:rPr>
  </w:style>
  <w:style w:type="character" w:customStyle="1" w:styleId="51">
    <w:name w:val="t12h291"/>
    <w:qFormat/>
    <w:uiPriority w:val="0"/>
    <w:rPr>
      <w:color w:val="000000"/>
      <w:sz w:val="24"/>
      <w:szCs w:val="24"/>
    </w:rPr>
  </w:style>
  <w:style w:type="paragraph" w:customStyle="1" w:styleId="52">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53">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54">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55">
    <w:name w:val="彩色列表 - 强调文字颜色 11"/>
    <w:basedOn w:val="1"/>
    <w:qFormat/>
    <w:uiPriority w:val="34"/>
    <w:pPr>
      <w:ind w:firstLine="420" w:firstLineChars="200"/>
    </w:pPr>
  </w:style>
  <w:style w:type="paragraph" w:customStyle="1" w:styleId="5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57">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58">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59">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60">
    <w:name w:val="正文111"/>
    <w:qFormat/>
    <w:uiPriority w:val="0"/>
    <w:pPr>
      <w:widowControl w:val="0"/>
      <w:adjustRightInd w:val="0"/>
      <w:spacing w:line="360" w:lineRule="atLeast"/>
      <w:jc w:val="center"/>
      <w:textAlignment w:val="baseline"/>
    </w:pPr>
    <w:rPr>
      <w:rFonts w:ascii="宋体" w:hAnsi="Times New Roman" w:eastAsia="宋体" w:cs="Times New Roman"/>
      <w:sz w:val="34"/>
      <w:lang w:val="en-US" w:eastAsia="zh-CN" w:bidi="ar-SA"/>
    </w:rPr>
  </w:style>
  <w:style w:type="paragraph" w:customStyle="1" w:styleId="61">
    <w:name w:val="LO-Normal"/>
    <w:qFormat/>
    <w:uiPriority w:val="0"/>
    <w:pPr>
      <w:widowControl w:val="0"/>
      <w:suppressAutoHyphens/>
      <w:spacing w:line="360" w:lineRule="atLeast"/>
      <w:textAlignment w:val="baseline"/>
    </w:pPr>
    <w:rPr>
      <w:rFonts w:ascii="宋体" w:hAnsi="宋体" w:eastAsia="宋体" w:cs="Times New Roman"/>
      <w:sz w:val="34"/>
      <w:lang w:val="en-US" w:eastAsia="zh-CN" w:bidi="ar-SA"/>
    </w:rPr>
  </w:style>
  <w:style w:type="paragraph" w:customStyle="1" w:styleId="62">
    <w:name w:val="正文11"/>
    <w:qFormat/>
    <w:uiPriority w:val="0"/>
    <w:pPr>
      <w:widowControl w:val="0"/>
      <w:adjustRightInd w:val="0"/>
      <w:spacing w:line="360" w:lineRule="atLeast"/>
      <w:jc w:val="center"/>
      <w:textAlignment w:val="baseline"/>
    </w:pPr>
    <w:rPr>
      <w:rFonts w:ascii="宋体" w:hAnsi="Times New Roman" w:eastAsia="宋体" w:cs="Times New Roman"/>
      <w:sz w:val="34"/>
      <w:lang w:val="en-US" w:eastAsia="zh-CN" w:bidi="ar-SA"/>
    </w:rPr>
  </w:style>
  <w:style w:type="character" w:customStyle="1" w:styleId="63">
    <w:name w:val="font21"/>
    <w:basedOn w:val="34"/>
    <w:qFormat/>
    <w:uiPriority w:val="0"/>
    <w:rPr>
      <w:rFonts w:ascii="仿宋_GB2312" w:eastAsia="仿宋_GB2312" w:cs="仿宋_GB2312"/>
      <w:color w:val="000000"/>
      <w:sz w:val="20"/>
      <w:szCs w:val="20"/>
      <w:u w:val="none"/>
    </w:rPr>
  </w:style>
  <w:style w:type="character" w:customStyle="1" w:styleId="64">
    <w:name w:val="font51"/>
    <w:basedOn w:val="34"/>
    <w:qFormat/>
    <w:uiPriority w:val="0"/>
    <w:rPr>
      <w:rFonts w:ascii="微软雅黑" w:hAnsi="微软雅黑" w:eastAsia="微软雅黑" w:cs="微软雅黑"/>
      <w:color w:val="000000"/>
      <w:sz w:val="20"/>
      <w:szCs w:val="20"/>
      <w:u w:val="none"/>
    </w:rPr>
  </w:style>
  <w:style w:type="character" w:customStyle="1" w:styleId="65">
    <w:name w:val="font11"/>
    <w:basedOn w:val="34"/>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1390</Words>
  <Characters>1550</Characters>
  <Lines>124</Lines>
  <Paragraphs>35</Paragraphs>
  <TotalTime>38</TotalTime>
  <ScaleCrop>false</ScaleCrop>
  <LinksUpToDate>false</LinksUpToDate>
  <CharactersWithSpaces>1595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2025-09-09T03:40:00Z</dcterms:created>
  <dc:creator>djg</dc:creator>
  <cp:lastModifiedBy>诗霖</cp:lastModifiedBy>
  <cp:lastPrinted>2020-07-20T01:54:00Z</cp:lastPrinted>
  <dcterms:modified xsi:type="dcterms:W3CDTF">2025-09-10T07:38:14Z</dcterms:modified>
  <dc:title>电 话：82253558  传真：82253565</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eyJoZGlkIjoiOTcwMTMwZTgwZjBhOWY5ZDIzMzA3YjZmYWI3ZGQ5NjUiLCJ1c2VySWQiOiIyMDkxMDc5NzUifQ==</vt:lpwstr>
  </property>
  <property fmtid="{D5CDD505-2E9C-101B-9397-08002B2CF9AE}" pid="4" name="ICV">
    <vt:lpwstr>D0C903E058A1483488B9C90FC870FA46_13</vt:lpwstr>
  </property>
</Properties>
</file>