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color w:val="auto"/>
        </w:rPr>
        <w:sectPr>
          <w:headerReference r:id="rId5" w:type="first"/>
          <w:footerReference r:id="rId8" w:type="first"/>
          <w:headerReference r:id="rId3" w:type="default"/>
          <w:footerReference r:id="rId6" w:type="default"/>
          <w:headerReference r:id="rId4" w:type="even"/>
          <w:footerReference r:id="rId7" w:type="even"/>
          <w:type w:val="continuous"/>
          <w:pgSz w:w="11907" w:h="16840"/>
          <w:pgMar w:top="1843" w:right="1134" w:bottom="1134" w:left="1134" w:header="850" w:footer="1134" w:gutter="340"/>
          <w:cols w:space="720" w:num="1"/>
          <w:titlePg/>
          <w:docGrid w:linePitch="326" w:charSpace="0"/>
        </w:sectPr>
      </w:pPr>
    </w:p>
    <w:p>
      <w:pPr>
        <w:pStyle w:val="6"/>
        <w:rPr>
          <w:color w:val="auto"/>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spacing w:line="300" w:lineRule="exact"/>
        <w:rPr>
          <w:rFonts w:ascii="Arial" w:hAnsi="Arial" w:cs="Arial"/>
        </w:rPr>
      </w:pPr>
    </w:p>
    <w:p>
      <w:pPr>
        <w:pStyle w:val="55"/>
        <w:numPr>
          <w:ilvl w:val="0"/>
          <w:numId w:val="4"/>
        </w:numPr>
        <w:spacing w:line="300" w:lineRule="exact"/>
        <w:ind w:right="-93" w:firstLineChars="0"/>
        <w:jc w:val="both"/>
        <w:outlineLvl w:val="0"/>
        <w:rPr>
          <w:rFonts w:ascii="Arial" w:hAnsi="Arial" w:eastAsia="方正黑体简体" w:cs="Arial"/>
          <w:b/>
          <w:bCs/>
          <w:sz w:val="21"/>
          <w:szCs w:val="21"/>
        </w:rPr>
      </w:pPr>
      <w:r>
        <w:rPr>
          <w:rFonts w:ascii="Arial" w:hAnsi="Arial" w:eastAsia="方正黑体简体" w:cs="Arial"/>
          <w:b/>
          <w:bCs/>
          <w:sz w:val="21"/>
          <w:szCs w:val="21"/>
        </w:rPr>
        <w:t>估价项目名称：</w:t>
      </w:r>
    </w:p>
    <w:p>
      <w:pPr>
        <w:pStyle w:val="55"/>
        <w:spacing w:line="300" w:lineRule="exact"/>
        <w:ind w:left="360" w:firstLine="0" w:firstLineChars="0"/>
        <w:jc w:val="both"/>
        <w:rPr>
          <w:rFonts w:ascii="Arial" w:hAnsi="Arial" w:eastAsia="方正黑体简体" w:cs="Arial"/>
          <w:sz w:val="21"/>
          <w:szCs w:val="21"/>
        </w:rPr>
      </w:pPr>
      <w:r>
        <w:rPr>
          <w:rFonts w:hint="eastAsia" w:ascii="Arial" w:hAnsi="Arial" w:eastAsia="方正黑体简体" w:cs="Arial"/>
          <w:sz w:val="21"/>
          <w:szCs w:val="21"/>
          <w:lang w:eastAsia="zh-CN"/>
        </w:rPr>
        <w:t>北京市房山区西雅路17号院1号楼4层二单元401等共计356套</w:t>
      </w:r>
      <w:r>
        <w:rPr>
          <w:rFonts w:ascii="Arial" w:hAnsi="Arial" w:eastAsia="方正黑体简体" w:cs="Arial"/>
          <w:sz w:val="21"/>
          <w:szCs w:val="21"/>
        </w:rPr>
        <w:t>共有产权住房市场租金评估</w:t>
      </w:r>
    </w:p>
    <w:p>
      <w:pPr>
        <w:spacing w:line="300" w:lineRule="exact"/>
        <w:rPr>
          <w:rFonts w:ascii="Arial" w:hAnsi="Arial" w:eastAsia="方正黑体简体" w:cs="Arial"/>
          <w:b/>
          <w:bCs/>
          <w:sz w:val="21"/>
          <w:szCs w:val="21"/>
        </w:rPr>
      </w:pPr>
    </w:p>
    <w:p>
      <w:pPr>
        <w:pStyle w:val="55"/>
        <w:numPr>
          <w:ilvl w:val="0"/>
          <w:numId w:val="4"/>
        </w:numPr>
        <w:spacing w:line="300" w:lineRule="exact"/>
        <w:ind w:firstLineChars="0"/>
        <w:jc w:val="both"/>
        <w:outlineLvl w:val="0"/>
        <w:rPr>
          <w:rFonts w:ascii="Arial" w:hAnsi="Arial" w:eastAsia="方正黑体简体" w:cs="Arial"/>
          <w:b/>
          <w:sz w:val="21"/>
          <w:szCs w:val="21"/>
        </w:rPr>
      </w:pPr>
      <w:r>
        <w:rPr>
          <w:rFonts w:ascii="Arial" w:hAnsi="Arial" w:eastAsia="方正黑体简体" w:cs="Arial"/>
          <w:b/>
          <w:sz w:val="21"/>
          <w:szCs w:val="21"/>
        </w:rPr>
        <w:t>估价委托人：</w:t>
      </w:r>
    </w:p>
    <w:p>
      <w:pPr>
        <w:pStyle w:val="55"/>
        <w:spacing w:line="300" w:lineRule="exact"/>
        <w:ind w:left="360" w:firstLine="0" w:firstLineChars="0"/>
        <w:jc w:val="both"/>
        <w:rPr>
          <w:rFonts w:hint="eastAsia" w:ascii="Arial" w:hAnsi="Arial" w:eastAsia="方正黑体简体" w:cs="Arial"/>
          <w:sz w:val="21"/>
          <w:szCs w:val="21"/>
          <w:lang w:eastAsia="zh-CN"/>
        </w:rPr>
      </w:pPr>
      <w:r>
        <w:rPr>
          <w:rFonts w:hint="eastAsia" w:ascii="Arial" w:hAnsi="Arial" w:eastAsia="方正黑体简体" w:cs="Arial"/>
          <w:sz w:val="21"/>
          <w:szCs w:val="21"/>
          <w:lang w:eastAsia="zh-CN"/>
        </w:rPr>
        <w:t>北京市燕房保障性住房建设投资有限公司</w:t>
      </w:r>
    </w:p>
    <w:p>
      <w:pPr>
        <w:pStyle w:val="55"/>
        <w:spacing w:line="300" w:lineRule="exact"/>
        <w:ind w:left="360" w:firstLine="0" w:firstLineChars="0"/>
        <w:jc w:val="both"/>
        <w:rPr>
          <w:rFonts w:ascii="Arial" w:hAnsi="Arial" w:eastAsia="方正黑体简体" w:cs="Arial"/>
          <w:sz w:val="21"/>
          <w:szCs w:val="21"/>
        </w:rPr>
      </w:pPr>
    </w:p>
    <w:p>
      <w:pPr>
        <w:pStyle w:val="55"/>
        <w:numPr>
          <w:ilvl w:val="0"/>
          <w:numId w:val="4"/>
        </w:numPr>
        <w:spacing w:line="300" w:lineRule="exact"/>
        <w:ind w:firstLineChars="0"/>
        <w:jc w:val="both"/>
        <w:outlineLvl w:val="0"/>
        <w:rPr>
          <w:rFonts w:ascii="Arial" w:hAnsi="Arial" w:eastAsia="方正黑体简体" w:cs="Arial"/>
          <w:b/>
          <w:sz w:val="21"/>
          <w:szCs w:val="21"/>
        </w:rPr>
      </w:pPr>
      <w:r>
        <w:rPr>
          <w:rFonts w:ascii="Arial" w:hAnsi="Arial" w:eastAsia="方正黑体简体" w:cs="Arial"/>
          <w:b/>
          <w:sz w:val="21"/>
          <w:szCs w:val="21"/>
        </w:rPr>
        <w:t>房地产估价机构：</w:t>
      </w:r>
    </w:p>
    <w:p>
      <w:pPr>
        <w:pStyle w:val="55"/>
        <w:spacing w:line="300" w:lineRule="exact"/>
        <w:ind w:left="360" w:firstLine="0" w:firstLineChars="0"/>
        <w:jc w:val="both"/>
        <w:rPr>
          <w:rFonts w:ascii="Arial" w:hAnsi="Arial" w:eastAsia="方正黑体简体" w:cs="Arial"/>
          <w:sz w:val="21"/>
          <w:szCs w:val="21"/>
        </w:rPr>
      </w:pPr>
      <w:r>
        <w:rPr>
          <w:rFonts w:ascii="Arial" w:hAnsi="Arial" w:eastAsia="方正黑体简体" w:cs="Arial"/>
          <w:sz w:val="21"/>
          <w:szCs w:val="21"/>
        </w:rPr>
        <w:t>北京康正宏基房地产评估有限公司</w:t>
      </w:r>
    </w:p>
    <w:p>
      <w:pPr>
        <w:spacing w:line="300" w:lineRule="exact"/>
        <w:jc w:val="both"/>
        <w:rPr>
          <w:rFonts w:ascii="Arial" w:hAnsi="Arial" w:eastAsia="方正黑体简体" w:cs="Arial"/>
          <w:b/>
          <w:sz w:val="21"/>
          <w:szCs w:val="21"/>
        </w:rPr>
      </w:pPr>
    </w:p>
    <w:p>
      <w:pPr>
        <w:pStyle w:val="55"/>
        <w:numPr>
          <w:ilvl w:val="0"/>
          <w:numId w:val="4"/>
        </w:numPr>
        <w:spacing w:line="300" w:lineRule="exact"/>
        <w:ind w:firstLineChars="0"/>
        <w:jc w:val="both"/>
        <w:outlineLvl w:val="0"/>
        <w:rPr>
          <w:rFonts w:ascii="Arial" w:hAnsi="Arial" w:eastAsia="方正黑体简体" w:cs="Arial"/>
          <w:b/>
          <w:sz w:val="21"/>
          <w:szCs w:val="21"/>
        </w:rPr>
      </w:pPr>
      <w:r>
        <w:rPr>
          <w:rFonts w:ascii="Arial" w:hAnsi="Arial" w:eastAsia="方正黑体简体" w:cs="Arial"/>
          <w:b/>
          <w:sz w:val="21"/>
          <w:szCs w:val="21"/>
        </w:rPr>
        <w:t>注册房地产估价师：</w:t>
      </w:r>
    </w:p>
    <w:p>
      <w:pPr>
        <w:pStyle w:val="55"/>
        <w:spacing w:line="300" w:lineRule="exact"/>
        <w:ind w:left="360" w:firstLine="0" w:firstLineChars="0"/>
        <w:jc w:val="both"/>
        <w:rPr>
          <w:rFonts w:ascii="Arial" w:hAnsi="Arial" w:eastAsia="方正黑体简体" w:cs="Arial"/>
          <w:sz w:val="21"/>
          <w:szCs w:val="21"/>
        </w:rPr>
      </w:pPr>
      <w:r>
        <w:rPr>
          <w:rFonts w:ascii="Arial" w:hAnsi="Arial" w:eastAsia="方正黑体简体" w:cs="Arial"/>
          <w:sz w:val="21"/>
          <w:szCs w:val="21"/>
        </w:rPr>
        <w:t>陈  颖（注册号：1120060040）、叶  凌（注册号：1119970111）</w:t>
      </w:r>
    </w:p>
    <w:p>
      <w:pPr>
        <w:spacing w:line="300" w:lineRule="exact"/>
        <w:jc w:val="both"/>
        <w:rPr>
          <w:rFonts w:ascii="Arial" w:hAnsi="Arial" w:eastAsia="方正黑体简体" w:cs="Arial"/>
          <w:b/>
          <w:sz w:val="21"/>
          <w:szCs w:val="21"/>
        </w:rPr>
      </w:pPr>
    </w:p>
    <w:p>
      <w:pPr>
        <w:pStyle w:val="55"/>
        <w:numPr>
          <w:ilvl w:val="0"/>
          <w:numId w:val="4"/>
        </w:numPr>
        <w:spacing w:line="300" w:lineRule="exact"/>
        <w:ind w:firstLineChars="0"/>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pPr>
        <w:pStyle w:val="55"/>
        <w:spacing w:line="300" w:lineRule="exact"/>
        <w:ind w:left="360" w:firstLine="0" w:firstLineChars="0"/>
        <w:jc w:val="both"/>
        <w:rPr>
          <w:rFonts w:ascii="Arial" w:hAnsi="Arial" w:eastAsia="方正黑体简体" w:cs="Arial"/>
          <w:sz w:val="21"/>
          <w:szCs w:val="21"/>
          <w:highlight w:val="yellow"/>
        </w:rPr>
      </w:pPr>
      <w:r>
        <w:rPr>
          <w:rFonts w:ascii="Arial" w:hAnsi="Arial" w:eastAsia="方正黑体简体" w:cs="Arial"/>
          <w:sz w:val="21"/>
          <w:szCs w:val="21"/>
          <w:highlight w:val="yellow"/>
        </w:rPr>
        <w:t>20</w:t>
      </w:r>
      <w:r>
        <w:rPr>
          <w:rFonts w:hint="eastAsia" w:ascii="Arial" w:hAnsi="Arial" w:eastAsia="方正黑体简体" w:cs="Arial"/>
          <w:sz w:val="21"/>
          <w:szCs w:val="21"/>
          <w:highlight w:val="yellow"/>
          <w:lang w:val="en-US" w:eastAsia="zh-CN"/>
        </w:rPr>
        <w:t>23</w:t>
      </w:r>
      <w:r>
        <w:rPr>
          <w:rFonts w:ascii="Arial" w:hAnsi="Arial" w:eastAsia="方正黑体简体" w:cs="Arial"/>
          <w:sz w:val="21"/>
          <w:szCs w:val="21"/>
          <w:highlight w:val="yellow"/>
        </w:rPr>
        <w:t>年</w:t>
      </w:r>
      <w:r>
        <w:rPr>
          <w:rFonts w:hint="eastAsia" w:ascii="Arial" w:hAnsi="Arial" w:eastAsia="方正黑体简体" w:cs="Arial"/>
          <w:sz w:val="21"/>
          <w:szCs w:val="21"/>
          <w:highlight w:val="yellow"/>
          <w:lang w:val="en-US" w:eastAsia="zh-CN"/>
        </w:rPr>
        <w:t>5</w:t>
      </w:r>
      <w:r>
        <w:rPr>
          <w:rFonts w:ascii="Arial" w:hAnsi="Arial" w:eastAsia="方正黑体简体" w:cs="Arial"/>
          <w:sz w:val="21"/>
          <w:szCs w:val="21"/>
          <w:highlight w:val="yellow"/>
        </w:rPr>
        <w:t>月</w:t>
      </w:r>
      <w:r>
        <w:rPr>
          <w:rFonts w:hint="eastAsia" w:ascii="Arial" w:hAnsi="Arial" w:eastAsia="方正黑体简体" w:cs="Arial"/>
          <w:sz w:val="21"/>
          <w:szCs w:val="21"/>
          <w:highlight w:val="yellow"/>
          <w:lang w:val="en-US" w:eastAsia="zh-CN"/>
        </w:rPr>
        <w:t>12</w:t>
      </w:r>
      <w:r>
        <w:rPr>
          <w:rFonts w:ascii="Arial" w:hAnsi="Arial" w:eastAsia="方正黑体简体" w:cs="Arial"/>
          <w:sz w:val="21"/>
          <w:szCs w:val="21"/>
          <w:highlight w:val="yellow"/>
        </w:rPr>
        <w:t>日</w:t>
      </w:r>
    </w:p>
    <w:p>
      <w:pPr>
        <w:spacing w:line="300" w:lineRule="exact"/>
        <w:jc w:val="both"/>
        <w:rPr>
          <w:rFonts w:ascii="Arial" w:hAnsi="Arial" w:eastAsia="方正黑体简体" w:cs="Arial"/>
          <w:b/>
          <w:sz w:val="21"/>
          <w:szCs w:val="21"/>
        </w:rPr>
      </w:pPr>
    </w:p>
    <w:p>
      <w:pPr>
        <w:pStyle w:val="55"/>
        <w:numPr>
          <w:ilvl w:val="0"/>
          <w:numId w:val="4"/>
        </w:numPr>
        <w:spacing w:line="300" w:lineRule="exact"/>
        <w:ind w:firstLineChars="0"/>
        <w:jc w:val="both"/>
        <w:outlineLvl w:val="0"/>
        <w:rPr>
          <w:rFonts w:ascii="Arial" w:hAnsi="Arial" w:eastAsia="方正黑体简体" w:cs="Arial"/>
          <w:sz w:val="21"/>
          <w:szCs w:val="21"/>
        </w:rPr>
      </w:pPr>
      <w:r>
        <w:rPr>
          <w:rFonts w:ascii="Arial" w:hAnsi="Arial" w:eastAsia="方正黑体简体" w:cs="Arial"/>
          <w:b/>
          <w:sz w:val="21"/>
          <w:szCs w:val="21"/>
        </w:rPr>
        <w:t>估价报告编号：</w:t>
      </w:r>
    </w:p>
    <w:p>
      <w:pPr>
        <w:pStyle w:val="55"/>
        <w:spacing w:line="300" w:lineRule="exact"/>
        <w:ind w:left="360" w:firstLine="0" w:firstLineChars="0"/>
        <w:jc w:val="both"/>
        <w:rPr>
          <w:rFonts w:ascii="Arial" w:hAnsi="Arial" w:eastAsia="方正黑体简体" w:cs="Arial"/>
          <w:sz w:val="21"/>
          <w:szCs w:val="21"/>
        </w:rPr>
        <w:sectPr>
          <w:pgSz w:w="11907" w:h="16840"/>
          <w:pgMar w:top="1843" w:right="1134" w:bottom="1134" w:left="1134" w:header="850" w:footer="1134" w:gutter="340"/>
          <w:cols w:space="720" w:num="1"/>
          <w:titlePg/>
          <w:docGrid w:linePitch="326" w:charSpace="0"/>
        </w:sectPr>
      </w:pPr>
      <w:r>
        <w:rPr>
          <w:rFonts w:ascii="Arial" w:hAnsi="Arial" w:eastAsia="方正黑体简体" w:cs="Arial"/>
          <w:sz w:val="21"/>
          <w:szCs w:val="21"/>
        </w:rPr>
        <w:t>康正评字</w:t>
      </w:r>
      <w:r>
        <w:rPr>
          <w:rFonts w:ascii="Arial" w:hAnsi="Arial" w:eastAsia="方正黑体简体" w:cs="Arial"/>
          <w:sz w:val="21"/>
          <w:szCs w:val="21"/>
        </w:rPr>
        <w:tab/>
      </w:r>
      <w:r>
        <w:rPr>
          <w:rFonts w:ascii="Arial" w:hAnsi="Arial" w:eastAsia="方正黑体简体" w:cs="Arial"/>
          <w:sz w:val="21"/>
          <w:szCs w:val="21"/>
        </w:rPr>
        <w:t>2022-1-0650-F01ZLGJ6号</w:t>
      </w:r>
    </w:p>
    <w:p>
      <w:pPr>
        <w:pStyle w:val="2"/>
        <w:spacing w:line="480" w:lineRule="auto"/>
        <w:jc w:val="center"/>
        <w:rPr>
          <w:rFonts w:eastAsia="方正黑体简体"/>
          <w:b w:val="0"/>
          <w:kern w:val="2"/>
          <w:sz w:val="32"/>
          <w:szCs w:val="32"/>
        </w:rPr>
      </w:pPr>
      <w:bookmarkStart w:id="0" w:name="_Toc525655414"/>
      <w:bookmarkStart w:id="1" w:name="_Toc379795040"/>
      <w:bookmarkStart w:id="2" w:name="_Toc477252437"/>
      <w:bookmarkStart w:id="3" w:name="_Hlk79351574"/>
      <w:r>
        <w:rPr>
          <w:rFonts w:eastAsia="方正黑体简体"/>
          <w:b w:val="0"/>
          <w:kern w:val="2"/>
          <w:sz w:val="32"/>
          <w:szCs w:val="32"/>
        </w:rPr>
        <w:t>致估价委托人函</w:t>
      </w:r>
      <w:bookmarkEnd w:id="0"/>
      <w:bookmarkEnd w:id="1"/>
      <w:bookmarkEnd w:id="2"/>
    </w:p>
    <w:p>
      <w:pPr>
        <w:overflowPunct w:val="0"/>
        <w:spacing w:line="480" w:lineRule="auto"/>
        <w:jc w:val="both"/>
        <w:rPr>
          <w:rFonts w:ascii="Arial" w:hAnsi="Arial" w:cs="Arial"/>
          <w:b/>
          <w:bCs/>
          <w:sz w:val="21"/>
          <w:szCs w:val="21"/>
        </w:rPr>
      </w:pPr>
      <w:r>
        <w:rPr>
          <w:rFonts w:hint="eastAsia" w:ascii="Arial" w:hAnsi="Arial" w:cs="Arial"/>
          <w:b/>
          <w:bCs/>
          <w:sz w:val="21"/>
          <w:szCs w:val="21"/>
          <w:lang w:eastAsia="zh-CN"/>
        </w:rPr>
        <w:t>北京市燕房保障性住房建设投资有限公司</w:t>
      </w:r>
      <w:r>
        <w:rPr>
          <w:rFonts w:ascii="Arial" w:hAnsi="Arial" w:cs="Arial"/>
          <w:b/>
          <w:bCs/>
          <w:sz w:val="21"/>
          <w:szCs w:val="21"/>
        </w:rPr>
        <w:t>：</w:t>
      </w:r>
    </w:p>
    <w:p>
      <w:pPr>
        <w:overflowPunct w:val="0"/>
        <w:spacing w:line="480" w:lineRule="auto"/>
        <w:ind w:firstLine="420" w:firstLineChars="200"/>
        <w:jc w:val="both"/>
        <w:rPr>
          <w:rFonts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lang w:eastAsia="zh-CN"/>
        </w:rPr>
        <w:t>北京市房山区西雅路17号院1号楼4层二单元401等共356套</w:t>
      </w:r>
      <w:r>
        <w:rPr>
          <w:rFonts w:hint="eastAsia" w:ascii="Arial" w:hAnsi="Arial" w:cs="Arial"/>
          <w:kern w:val="2"/>
          <w:sz w:val="21"/>
          <w:szCs w:val="21"/>
        </w:rPr>
        <w:t>共有产权住房</w:t>
      </w:r>
      <w:r>
        <w:rPr>
          <w:rFonts w:ascii="Arial" w:hAnsi="Arial" w:cs="Arial"/>
          <w:kern w:val="2"/>
          <w:sz w:val="21"/>
          <w:szCs w:val="21"/>
        </w:rPr>
        <w:t>市场租金水平进行</w:t>
      </w:r>
      <w:r>
        <w:rPr>
          <w:rFonts w:ascii="Arial" w:hAnsi="Arial" w:cs="Arial"/>
          <w:sz w:val="21"/>
          <w:szCs w:val="21"/>
        </w:rPr>
        <w:t>了评估</w:t>
      </w:r>
      <w:r>
        <w:rPr>
          <w:rFonts w:ascii="Arial" w:hAnsi="Arial" w:cs="Arial"/>
          <w:kern w:val="2"/>
          <w:sz w:val="21"/>
          <w:szCs w:val="21"/>
        </w:rPr>
        <w:t>。</w:t>
      </w:r>
    </w:p>
    <w:p>
      <w:pPr>
        <w:overflowPunct w:val="0"/>
        <w:spacing w:line="480" w:lineRule="auto"/>
        <w:ind w:firstLine="422" w:firstLineChars="200"/>
        <w:jc w:val="both"/>
        <w:rPr>
          <w:rFonts w:ascii="Arial" w:hAnsi="Arial" w:cs="Arial"/>
          <w:kern w:val="2"/>
          <w:sz w:val="21"/>
          <w:szCs w:val="21"/>
        </w:rPr>
      </w:pPr>
      <w:r>
        <w:rPr>
          <w:rFonts w:ascii="Arial" w:hAnsi="Arial" w:cs="Arial"/>
          <w:b/>
          <w:bCs/>
          <w:sz w:val="21"/>
          <w:szCs w:val="21"/>
        </w:rPr>
        <w:t>估价对象：</w:t>
      </w:r>
      <w:r>
        <w:rPr>
          <w:rFonts w:ascii="Arial" w:hAnsi="Arial" w:cs="Arial"/>
          <w:bCs/>
          <w:sz w:val="21"/>
          <w:szCs w:val="21"/>
        </w:rPr>
        <w:t>估价对象为</w:t>
      </w:r>
      <w:r>
        <w:rPr>
          <w:rFonts w:hint="eastAsia" w:ascii="Arial" w:hAnsi="Arial" w:cs="Arial"/>
          <w:kern w:val="2"/>
          <w:sz w:val="21"/>
          <w:szCs w:val="21"/>
          <w:lang w:eastAsia="zh-CN"/>
        </w:rPr>
        <w:t>北京市房山区西雅路17号院1号楼4层二单元401等共356套</w:t>
      </w:r>
      <w:r>
        <w:rPr>
          <w:rFonts w:hint="eastAsia" w:ascii="Arial" w:hAnsi="Arial" w:cs="Arial"/>
          <w:kern w:val="2"/>
          <w:sz w:val="21"/>
          <w:szCs w:val="21"/>
        </w:rPr>
        <w:t>共有产权住房</w:t>
      </w:r>
      <w:r>
        <w:rPr>
          <w:rFonts w:ascii="Arial" w:hAnsi="Arial" w:cs="Arial"/>
          <w:kern w:val="2"/>
          <w:sz w:val="21"/>
          <w:szCs w:val="21"/>
        </w:rPr>
        <w:t>，估价对象所属项目证载四至为东至</w:t>
      </w:r>
      <w:r>
        <w:rPr>
          <w:rFonts w:hint="eastAsia" w:ascii="Arial" w:hAnsi="Arial" w:cs="Arial"/>
          <w:kern w:val="2"/>
          <w:sz w:val="21"/>
          <w:szCs w:val="21"/>
          <w:lang w:eastAsia="zh-CN"/>
        </w:rPr>
        <w:t>公共绿地</w:t>
      </w:r>
      <w:r>
        <w:rPr>
          <w:rFonts w:ascii="Arial" w:hAnsi="Arial" w:cs="Arial"/>
          <w:kern w:val="2"/>
          <w:sz w:val="21"/>
          <w:szCs w:val="21"/>
        </w:rPr>
        <w:t>，南至</w:t>
      </w:r>
      <w:r>
        <w:rPr>
          <w:rFonts w:hint="eastAsia" w:ascii="Arial" w:hAnsi="Arial" w:cs="Arial"/>
          <w:kern w:val="2"/>
          <w:sz w:val="21"/>
          <w:szCs w:val="21"/>
          <w:lang w:eastAsia="zh-CN"/>
        </w:rPr>
        <w:t>代征道路</w:t>
      </w:r>
      <w:r>
        <w:rPr>
          <w:rFonts w:ascii="Arial" w:hAnsi="Arial" w:cs="Arial"/>
          <w:kern w:val="2"/>
          <w:sz w:val="21"/>
          <w:szCs w:val="21"/>
        </w:rPr>
        <w:t>，西至</w:t>
      </w:r>
      <w:r>
        <w:rPr>
          <w:rFonts w:hint="eastAsia" w:ascii="Arial" w:hAnsi="Arial" w:cs="Arial"/>
          <w:kern w:val="2"/>
          <w:sz w:val="21"/>
          <w:szCs w:val="21"/>
          <w:lang w:eastAsia="zh-CN"/>
        </w:rPr>
        <w:t>代征道路</w:t>
      </w:r>
      <w:r>
        <w:rPr>
          <w:rFonts w:ascii="Arial" w:hAnsi="Arial" w:cs="Arial"/>
          <w:kern w:val="2"/>
          <w:sz w:val="21"/>
          <w:szCs w:val="21"/>
        </w:rPr>
        <w:t>，北至</w:t>
      </w:r>
      <w:r>
        <w:rPr>
          <w:rFonts w:hint="eastAsia" w:ascii="Arial" w:hAnsi="Arial" w:cs="Arial"/>
          <w:kern w:val="2"/>
          <w:sz w:val="21"/>
          <w:szCs w:val="21"/>
          <w:lang w:eastAsia="zh-CN"/>
        </w:rPr>
        <w:t>代征道路</w:t>
      </w:r>
      <w:r>
        <w:rPr>
          <w:rFonts w:ascii="Arial" w:hAnsi="Arial" w:cs="Arial"/>
          <w:kern w:val="2"/>
          <w:sz w:val="21"/>
          <w:szCs w:val="21"/>
        </w:rPr>
        <w:t>，现状四至</w:t>
      </w:r>
      <w:r>
        <w:rPr>
          <w:rFonts w:hint="eastAsia" w:ascii="Arial" w:hAnsi="Arial" w:cs="Arial"/>
          <w:kern w:val="2"/>
          <w:sz w:val="21"/>
          <w:szCs w:val="21"/>
        </w:rPr>
        <w:t>为东至</w:t>
      </w:r>
      <w:r>
        <w:rPr>
          <w:rFonts w:hint="eastAsia" w:ascii="Arial" w:hAnsi="Arial" w:cs="Arial"/>
          <w:kern w:val="2"/>
          <w:sz w:val="21"/>
          <w:szCs w:val="21"/>
          <w:lang w:eastAsia="zh-CN"/>
        </w:rPr>
        <w:t>春和印象小区</w:t>
      </w:r>
      <w:r>
        <w:rPr>
          <w:rFonts w:hint="eastAsia" w:ascii="Arial" w:hAnsi="Arial" w:cs="Arial"/>
          <w:kern w:val="2"/>
          <w:sz w:val="21"/>
          <w:szCs w:val="21"/>
        </w:rPr>
        <w:t>，南至中建京西印玥</w:t>
      </w:r>
      <w:r>
        <w:rPr>
          <w:rFonts w:hint="eastAsia" w:ascii="Arial" w:hAnsi="Arial" w:cs="Arial"/>
          <w:kern w:val="2"/>
          <w:sz w:val="21"/>
          <w:szCs w:val="21"/>
          <w:lang w:eastAsia="zh-CN"/>
        </w:rPr>
        <w:t>商品房项目</w:t>
      </w:r>
      <w:r>
        <w:rPr>
          <w:rFonts w:hint="eastAsia" w:ascii="Arial" w:hAnsi="Arial" w:cs="Arial"/>
          <w:kern w:val="2"/>
          <w:sz w:val="21"/>
          <w:szCs w:val="21"/>
        </w:rPr>
        <w:t>，西至</w:t>
      </w:r>
      <w:r>
        <w:rPr>
          <w:rFonts w:hint="eastAsia" w:ascii="Arial" w:hAnsi="Arial" w:cs="Arial"/>
          <w:kern w:val="2"/>
          <w:sz w:val="21"/>
          <w:szCs w:val="21"/>
          <w:lang w:eastAsia="zh-CN"/>
        </w:rPr>
        <w:t>公共绿地</w:t>
      </w:r>
      <w:r>
        <w:rPr>
          <w:rFonts w:hint="eastAsia" w:ascii="Arial" w:hAnsi="Arial" w:cs="Arial"/>
          <w:kern w:val="2"/>
          <w:sz w:val="21"/>
          <w:szCs w:val="21"/>
        </w:rPr>
        <w:t>，北至</w:t>
      </w:r>
      <w:r>
        <w:rPr>
          <w:rFonts w:hint="eastAsia" w:ascii="Arial" w:hAnsi="Arial" w:cs="Arial"/>
          <w:kern w:val="2"/>
          <w:sz w:val="21"/>
          <w:szCs w:val="21"/>
          <w:lang w:eastAsia="zh-CN"/>
        </w:rPr>
        <w:t>公共绿地</w:t>
      </w:r>
      <w:r>
        <w:rPr>
          <w:rFonts w:ascii="Arial" w:hAnsi="Arial" w:cs="Arial"/>
          <w:kern w:val="2"/>
          <w:sz w:val="21"/>
          <w:szCs w:val="21"/>
        </w:rPr>
        <w:t>。</w:t>
      </w:r>
    </w:p>
    <w:p>
      <w:pPr>
        <w:overflowPunct w:val="0"/>
        <w:spacing w:line="480" w:lineRule="auto"/>
        <w:ind w:firstLine="420" w:firstLineChars="200"/>
        <w:jc w:val="both"/>
        <w:rPr>
          <w:rFonts w:ascii="Arial" w:hAnsi="Arial" w:cs="Arial"/>
          <w:sz w:val="21"/>
          <w:szCs w:val="21"/>
        </w:rPr>
      </w:pPr>
      <w:r>
        <w:rPr>
          <w:rFonts w:ascii="Arial" w:hAnsi="Arial" w:cs="Arial"/>
          <w:kern w:val="2"/>
          <w:sz w:val="21"/>
          <w:szCs w:val="21"/>
        </w:rPr>
        <w:t>根据估价委托人提供的</w:t>
      </w:r>
      <w:r>
        <w:rPr>
          <w:rFonts w:ascii="Arial" w:hAnsi="Arial" w:cs="Arial"/>
          <w:sz w:val="21"/>
          <w:szCs w:val="21"/>
        </w:rPr>
        <w:t>《不动产权证书》[</w:t>
      </w:r>
      <w:r>
        <w:rPr>
          <w:rFonts w:hint="default" w:ascii="Arial" w:hAnsi="Arial" w:cs="Arial"/>
          <w:sz w:val="21"/>
          <w:szCs w:val="21"/>
        </w:rPr>
        <w:t>京（20</w:t>
      </w:r>
      <w:r>
        <w:rPr>
          <w:rFonts w:hint="default" w:ascii="Arial" w:hAnsi="Arial" w:cs="Arial"/>
          <w:sz w:val="21"/>
          <w:szCs w:val="21"/>
          <w:lang w:val="en-US" w:eastAsia="zh-CN"/>
        </w:rPr>
        <w:t>22</w:t>
      </w:r>
      <w:r>
        <w:rPr>
          <w:rFonts w:hint="default" w:ascii="Arial" w:hAnsi="Arial" w:cs="Arial"/>
          <w:sz w:val="21"/>
          <w:szCs w:val="21"/>
        </w:rPr>
        <w:t>）</w:t>
      </w:r>
      <w:r>
        <w:rPr>
          <w:rFonts w:hint="default" w:ascii="Arial" w:hAnsi="Arial" w:cs="Arial"/>
          <w:sz w:val="21"/>
          <w:szCs w:val="21"/>
          <w:lang w:eastAsia="zh-CN"/>
        </w:rPr>
        <w:t>房</w:t>
      </w:r>
      <w:r>
        <w:rPr>
          <w:rFonts w:hint="default" w:ascii="Arial" w:hAnsi="Arial" w:cs="Arial"/>
          <w:sz w:val="21"/>
          <w:szCs w:val="21"/>
        </w:rPr>
        <w:t>不动产权第</w:t>
      </w:r>
      <w:r>
        <w:rPr>
          <w:rFonts w:hint="eastAsia" w:ascii="Arial" w:hAnsi="Arial" w:cs="Arial"/>
          <w:sz w:val="21"/>
          <w:szCs w:val="21"/>
          <w:lang w:val="en-US" w:eastAsia="zh-CN"/>
        </w:rPr>
        <w:t>0022348</w:t>
      </w:r>
      <w:r>
        <w:rPr>
          <w:rFonts w:hint="default" w:ascii="Arial" w:hAnsi="Arial" w:cs="Arial"/>
          <w:sz w:val="21"/>
          <w:szCs w:val="21"/>
        </w:rPr>
        <w:t>号</w:t>
      </w:r>
      <w:r>
        <w:rPr>
          <w:rFonts w:ascii="Arial" w:hAnsi="Arial" w:cs="Arial"/>
          <w:sz w:val="21"/>
          <w:szCs w:val="21"/>
        </w:rPr>
        <w:t>]</w:t>
      </w:r>
      <w:r>
        <w:rPr>
          <w:rFonts w:hint="eastAsia" w:ascii="Arial" w:hAnsi="Arial" w:cs="Arial"/>
          <w:sz w:val="21"/>
          <w:szCs w:val="21"/>
          <w:lang w:eastAsia="zh-CN"/>
        </w:rPr>
        <w:t>等</w:t>
      </w:r>
      <w:r>
        <w:rPr>
          <w:rFonts w:hint="eastAsia" w:ascii="Arial" w:hAnsi="Arial" w:cs="Arial"/>
          <w:sz w:val="21"/>
          <w:szCs w:val="21"/>
          <w:lang w:val="en-US" w:eastAsia="zh-CN"/>
        </w:rPr>
        <w:t>9本</w:t>
      </w:r>
      <w:r>
        <w:rPr>
          <w:rFonts w:ascii="Arial" w:hAnsi="Arial" w:cs="Arial"/>
          <w:sz w:val="21"/>
          <w:szCs w:val="21"/>
        </w:rPr>
        <w:t>复印件</w:t>
      </w:r>
      <w:r>
        <w:rPr>
          <w:rFonts w:ascii="Arial" w:hAnsi="Arial" w:cs="Arial"/>
        </w:rPr>
        <w:t>，</w:t>
      </w:r>
      <w:r>
        <w:rPr>
          <w:rFonts w:ascii="Arial" w:hAnsi="Arial" w:cs="Arial"/>
          <w:kern w:val="2"/>
          <w:sz w:val="21"/>
          <w:szCs w:val="21"/>
        </w:rPr>
        <w:t>估价对象</w:t>
      </w:r>
      <w:r>
        <w:rPr>
          <w:rFonts w:hint="eastAsia" w:ascii="Arial" w:hAnsi="Arial" w:cs="Arial"/>
          <w:kern w:val="2"/>
          <w:sz w:val="21"/>
          <w:szCs w:val="21"/>
        </w:rPr>
        <w:t>不动产权利人为</w:t>
      </w:r>
      <w:r>
        <w:rPr>
          <w:rFonts w:hint="eastAsia" w:ascii="Arial" w:hAnsi="Arial" w:cs="Arial"/>
          <w:kern w:val="2"/>
          <w:sz w:val="21"/>
          <w:szCs w:val="21"/>
          <w:lang w:eastAsia="zh-CN"/>
        </w:rPr>
        <w:t>北京智地兴辰房地产开发有限公司</w:t>
      </w:r>
      <w:r>
        <w:rPr>
          <w:rFonts w:hint="eastAsia" w:ascii="Arial" w:hAnsi="Arial" w:cs="Arial"/>
          <w:kern w:val="2"/>
          <w:sz w:val="21"/>
          <w:szCs w:val="21"/>
        </w:rPr>
        <w:t>，共有情况为单独所有，坐落为</w:t>
      </w:r>
      <w:r>
        <w:rPr>
          <w:rFonts w:hint="eastAsia" w:ascii="Arial" w:hAnsi="Arial" w:cs="Arial"/>
          <w:kern w:val="2"/>
          <w:sz w:val="21"/>
          <w:szCs w:val="21"/>
          <w:lang w:eastAsia="zh-CN"/>
        </w:rPr>
        <w:t>北京市房山区西雅路17号院1号楼4层二单元401等</w:t>
      </w:r>
      <w:r>
        <w:rPr>
          <w:rFonts w:hint="eastAsia" w:ascii="Arial" w:hAnsi="Arial" w:cs="Arial"/>
          <w:kern w:val="2"/>
          <w:sz w:val="21"/>
          <w:szCs w:val="21"/>
          <w:lang w:val="en-US" w:eastAsia="zh-CN"/>
        </w:rPr>
        <w:t>356套</w:t>
      </w:r>
      <w:r>
        <w:rPr>
          <w:rFonts w:hint="eastAsia" w:ascii="Arial" w:hAnsi="Arial" w:cs="Arial"/>
          <w:kern w:val="2"/>
          <w:sz w:val="21"/>
          <w:szCs w:val="21"/>
        </w:rPr>
        <w:t>，</w:t>
      </w:r>
      <w:r>
        <w:rPr>
          <w:rFonts w:ascii="Arial" w:hAnsi="Arial" w:cs="Arial"/>
          <w:kern w:val="2"/>
          <w:sz w:val="21"/>
          <w:szCs w:val="21"/>
        </w:rPr>
        <w:t>权利类型为国有建设用地使用权</w:t>
      </w:r>
      <w:r>
        <w:rPr>
          <w:rFonts w:hint="eastAsia" w:ascii="Arial" w:hAnsi="Arial" w:cs="Arial"/>
          <w:kern w:val="2"/>
          <w:sz w:val="21"/>
          <w:szCs w:val="21"/>
          <w:lang w:val="en-US" w:eastAsia="zh-CN"/>
        </w:rPr>
        <w:t>/房屋所有权</w:t>
      </w:r>
      <w:r>
        <w:rPr>
          <w:rFonts w:ascii="Arial" w:hAnsi="Arial" w:cs="Arial"/>
          <w:kern w:val="2"/>
          <w:sz w:val="21"/>
          <w:szCs w:val="21"/>
        </w:rPr>
        <w:t>，权利性质为出让</w:t>
      </w:r>
      <w:r>
        <w:rPr>
          <w:rFonts w:hint="eastAsia" w:ascii="Arial" w:hAnsi="Arial" w:cs="Arial"/>
          <w:kern w:val="2"/>
          <w:sz w:val="21"/>
          <w:szCs w:val="21"/>
          <w:lang w:val="en-US" w:eastAsia="zh-CN"/>
        </w:rPr>
        <w:t>/共有产权住房</w:t>
      </w:r>
      <w:r>
        <w:rPr>
          <w:rFonts w:ascii="Arial" w:hAnsi="Arial" w:cs="Arial"/>
          <w:kern w:val="2"/>
          <w:sz w:val="21"/>
          <w:szCs w:val="21"/>
        </w:rPr>
        <w:t>，用途为</w:t>
      </w:r>
      <w:r>
        <w:rPr>
          <w:rFonts w:hint="eastAsia" w:ascii="Arial" w:hAnsi="Arial" w:cs="Arial"/>
          <w:kern w:val="2"/>
          <w:sz w:val="21"/>
          <w:szCs w:val="21"/>
        </w:rPr>
        <w:t>城镇</w:t>
      </w:r>
      <w:r>
        <w:rPr>
          <w:rFonts w:ascii="Arial" w:hAnsi="Arial" w:cs="Arial"/>
          <w:kern w:val="2"/>
          <w:sz w:val="21"/>
          <w:szCs w:val="21"/>
        </w:rPr>
        <w:t>住宅</w:t>
      </w:r>
      <w:r>
        <w:rPr>
          <w:rFonts w:hint="eastAsia" w:ascii="Arial" w:hAnsi="Arial" w:cs="Arial"/>
          <w:kern w:val="2"/>
          <w:sz w:val="21"/>
          <w:szCs w:val="21"/>
        </w:rPr>
        <w:t>用地</w:t>
      </w:r>
      <w:r>
        <w:rPr>
          <w:rFonts w:hint="eastAsia" w:ascii="Arial" w:hAnsi="Arial" w:cs="Arial"/>
          <w:kern w:val="2"/>
          <w:sz w:val="21"/>
          <w:szCs w:val="21"/>
          <w:lang w:val="en-US" w:eastAsia="zh-CN"/>
        </w:rPr>
        <w:t>/住宅</w:t>
      </w:r>
      <w:r>
        <w:rPr>
          <w:rFonts w:ascii="Arial" w:hAnsi="Arial" w:cs="Arial"/>
          <w:kern w:val="2"/>
          <w:sz w:val="21"/>
          <w:szCs w:val="21"/>
        </w:rPr>
        <w:t>，估价对象所属项目出让国有建设用地使用权总面积为</w:t>
      </w:r>
      <w:r>
        <w:rPr>
          <w:rFonts w:hint="eastAsia" w:ascii="Arial" w:hAnsi="Arial" w:cs="Arial"/>
          <w:kern w:val="2"/>
          <w:sz w:val="21"/>
          <w:szCs w:val="21"/>
          <w:lang w:val="en-US" w:eastAsia="zh-CN"/>
        </w:rPr>
        <w:t>19926.49</w:t>
      </w:r>
      <w:r>
        <w:rPr>
          <w:rFonts w:ascii="Arial" w:hAnsi="Arial" w:cs="Arial"/>
          <w:kern w:val="2"/>
          <w:sz w:val="21"/>
          <w:szCs w:val="21"/>
        </w:rPr>
        <w:t>平方米，</w:t>
      </w:r>
      <w:r>
        <w:rPr>
          <w:rFonts w:hint="eastAsia" w:ascii="Arial" w:hAnsi="Arial" w:cs="Arial"/>
          <w:kern w:val="2"/>
          <w:sz w:val="21"/>
          <w:szCs w:val="21"/>
          <w:lang w:eastAsia="zh-CN"/>
        </w:rPr>
        <w:t>估价对象</w:t>
      </w:r>
      <w:r>
        <w:rPr>
          <w:rFonts w:ascii="Arial" w:hAnsi="Arial" w:cs="Arial"/>
          <w:kern w:val="2"/>
          <w:sz w:val="21"/>
          <w:szCs w:val="21"/>
        </w:rPr>
        <w:t>建筑面积</w:t>
      </w:r>
      <w:r>
        <w:rPr>
          <w:rFonts w:hint="eastAsia" w:ascii="Arial" w:hAnsi="Arial" w:cs="Arial"/>
          <w:kern w:val="2"/>
          <w:sz w:val="21"/>
          <w:szCs w:val="21"/>
          <w:lang w:eastAsia="zh-CN"/>
        </w:rPr>
        <w:t>共计</w:t>
      </w:r>
      <w:r>
        <w:rPr>
          <w:rFonts w:hint="eastAsia" w:ascii="Arial" w:hAnsi="Arial" w:cs="Arial"/>
          <w:kern w:val="2"/>
          <w:sz w:val="21"/>
          <w:szCs w:val="21"/>
        </w:rPr>
        <w:t>30214.52</w:t>
      </w:r>
      <w:r>
        <w:rPr>
          <w:rFonts w:ascii="Arial" w:hAnsi="Arial" w:cs="Arial"/>
          <w:kern w:val="2"/>
          <w:sz w:val="21"/>
          <w:szCs w:val="21"/>
        </w:rPr>
        <w:t>平方米。</w:t>
      </w:r>
    </w:p>
    <w:p>
      <w:pPr>
        <w:tabs>
          <w:tab w:val="left" w:pos="3544"/>
        </w:tabs>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估价对象所属项目坐落为</w:t>
      </w:r>
      <w:r>
        <w:rPr>
          <w:rFonts w:hint="eastAsia" w:ascii="Arial" w:hAnsi="Arial" w:cs="Arial"/>
          <w:kern w:val="2"/>
          <w:sz w:val="21"/>
          <w:szCs w:val="21"/>
          <w:lang w:eastAsia="zh-CN"/>
        </w:rPr>
        <w:t>北京市房山区西雅路</w:t>
      </w:r>
      <w:r>
        <w:rPr>
          <w:rFonts w:hint="eastAsia" w:ascii="Arial" w:hAnsi="Arial" w:cs="Arial"/>
          <w:kern w:val="2"/>
          <w:sz w:val="21"/>
          <w:szCs w:val="21"/>
          <w:lang w:val="en-US" w:eastAsia="zh-CN"/>
        </w:rPr>
        <w:t>17号院（</w:t>
      </w:r>
      <w:r>
        <w:rPr>
          <w:rFonts w:hint="eastAsia" w:ascii="Arial" w:hAnsi="Arial" w:cs="Arial"/>
          <w:kern w:val="2"/>
          <w:sz w:val="21"/>
          <w:szCs w:val="21"/>
        </w:rPr>
        <w:t>中建京西印玥</w:t>
      </w:r>
      <w:r>
        <w:rPr>
          <w:rFonts w:hint="eastAsia" w:ascii="Arial" w:hAnsi="Arial" w:cs="Arial"/>
          <w:kern w:val="2"/>
          <w:sz w:val="21"/>
          <w:szCs w:val="21"/>
          <w:lang w:eastAsia="zh-CN"/>
        </w:rPr>
        <w:t>共有产权住房</w:t>
      </w:r>
      <w:r>
        <w:rPr>
          <w:rFonts w:hint="eastAsia" w:ascii="Arial" w:hAnsi="Arial" w:cs="Arial"/>
          <w:kern w:val="2"/>
          <w:sz w:val="21"/>
          <w:szCs w:val="21"/>
          <w:lang w:val="en-US" w:eastAsia="zh-CN"/>
        </w:rPr>
        <w:t>）</w:t>
      </w:r>
      <w:r>
        <w:rPr>
          <w:rFonts w:ascii="Arial" w:hAnsi="Arial" w:cs="Arial"/>
          <w:kern w:val="2"/>
          <w:sz w:val="21"/>
          <w:szCs w:val="21"/>
        </w:rPr>
        <w:t>，该项目有</w:t>
      </w:r>
      <w:r>
        <w:rPr>
          <w:rFonts w:hint="eastAsia" w:ascii="Arial" w:hAnsi="Arial" w:cs="Arial"/>
          <w:kern w:val="2"/>
          <w:sz w:val="21"/>
          <w:szCs w:val="21"/>
        </w:rPr>
        <w:t>1#</w:t>
      </w:r>
      <w:r>
        <w:rPr>
          <w:rFonts w:hint="eastAsia" w:ascii="Arial" w:hAnsi="Arial" w:cs="Arial"/>
          <w:kern w:val="2"/>
          <w:sz w:val="21"/>
          <w:szCs w:val="21"/>
          <w:lang w:eastAsia="zh-CN"/>
        </w:rPr>
        <w:t>至</w:t>
      </w:r>
      <w:r>
        <w:rPr>
          <w:rFonts w:hint="eastAsia" w:ascii="Arial" w:hAnsi="Arial" w:cs="Arial"/>
          <w:kern w:val="2"/>
          <w:sz w:val="21"/>
          <w:szCs w:val="21"/>
          <w:lang w:val="en-US" w:eastAsia="zh-CN"/>
        </w:rPr>
        <w:t>9</w:t>
      </w:r>
      <w:r>
        <w:rPr>
          <w:rFonts w:hint="eastAsia" w:ascii="Arial" w:hAnsi="Arial" w:cs="Arial"/>
          <w:kern w:val="2"/>
          <w:sz w:val="21"/>
          <w:szCs w:val="21"/>
        </w:rPr>
        <w:t>#共</w:t>
      </w:r>
      <w:r>
        <w:rPr>
          <w:rFonts w:hint="eastAsia" w:ascii="Arial" w:hAnsi="Arial" w:cs="Arial"/>
          <w:kern w:val="2"/>
          <w:sz w:val="21"/>
          <w:szCs w:val="21"/>
          <w:lang w:eastAsia="zh-CN"/>
        </w:rPr>
        <w:t>九</w:t>
      </w:r>
      <w:r>
        <w:rPr>
          <w:rFonts w:ascii="Arial" w:hAnsi="Arial" w:cs="Arial"/>
          <w:kern w:val="2"/>
          <w:sz w:val="21"/>
          <w:szCs w:val="21"/>
        </w:rPr>
        <w:t>栋共有产权住房，建成于</w:t>
      </w:r>
      <w:r>
        <w:rPr>
          <w:rFonts w:hint="eastAsia" w:ascii="Arial" w:hAnsi="Arial" w:cs="Arial"/>
          <w:kern w:val="2"/>
          <w:sz w:val="21"/>
          <w:szCs w:val="21"/>
        </w:rPr>
        <w:t>2022</w:t>
      </w:r>
      <w:r>
        <w:rPr>
          <w:rFonts w:ascii="Arial" w:hAnsi="Arial" w:cs="Arial"/>
          <w:kern w:val="2"/>
          <w:sz w:val="21"/>
          <w:szCs w:val="21"/>
        </w:rPr>
        <w:t>年。根据估价委托人提供的</w:t>
      </w:r>
      <w:r>
        <w:rPr>
          <w:rFonts w:ascii="Arial" w:hAnsi="Arial" w:cs="Arial"/>
          <w:sz w:val="21"/>
          <w:szCs w:val="21"/>
        </w:rPr>
        <w:t>《不动产权证书》[</w:t>
      </w:r>
      <w:r>
        <w:rPr>
          <w:rFonts w:hint="default" w:ascii="Arial" w:hAnsi="Arial" w:cs="Arial"/>
          <w:sz w:val="21"/>
          <w:szCs w:val="21"/>
        </w:rPr>
        <w:t>京（20</w:t>
      </w:r>
      <w:r>
        <w:rPr>
          <w:rFonts w:hint="default" w:ascii="Arial" w:hAnsi="Arial" w:cs="Arial"/>
          <w:sz w:val="21"/>
          <w:szCs w:val="21"/>
          <w:lang w:val="en-US" w:eastAsia="zh-CN"/>
        </w:rPr>
        <w:t>22</w:t>
      </w:r>
      <w:r>
        <w:rPr>
          <w:rFonts w:hint="default" w:ascii="Arial" w:hAnsi="Arial" w:cs="Arial"/>
          <w:sz w:val="21"/>
          <w:szCs w:val="21"/>
        </w:rPr>
        <w:t>）</w:t>
      </w:r>
      <w:r>
        <w:rPr>
          <w:rFonts w:hint="default" w:ascii="Arial" w:hAnsi="Arial" w:cs="Arial"/>
          <w:sz w:val="21"/>
          <w:szCs w:val="21"/>
          <w:lang w:eastAsia="zh-CN"/>
        </w:rPr>
        <w:t>房</w:t>
      </w:r>
      <w:r>
        <w:rPr>
          <w:rFonts w:hint="default" w:ascii="Arial" w:hAnsi="Arial" w:cs="Arial"/>
          <w:sz w:val="21"/>
          <w:szCs w:val="21"/>
        </w:rPr>
        <w:t>不动产权第</w:t>
      </w:r>
      <w:r>
        <w:rPr>
          <w:rFonts w:hint="eastAsia" w:ascii="Arial" w:hAnsi="Arial" w:cs="Arial"/>
          <w:sz w:val="21"/>
          <w:szCs w:val="21"/>
          <w:lang w:val="en-US" w:eastAsia="zh-CN"/>
        </w:rPr>
        <w:t>0022348</w:t>
      </w:r>
      <w:r>
        <w:rPr>
          <w:rFonts w:hint="default" w:ascii="Arial" w:hAnsi="Arial" w:cs="Arial"/>
          <w:sz w:val="21"/>
          <w:szCs w:val="21"/>
        </w:rPr>
        <w:t>号</w:t>
      </w:r>
      <w:r>
        <w:rPr>
          <w:rFonts w:ascii="Arial" w:hAnsi="Arial" w:cs="Arial"/>
          <w:sz w:val="21"/>
          <w:szCs w:val="21"/>
        </w:rPr>
        <w:t>]</w:t>
      </w:r>
      <w:r>
        <w:rPr>
          <w:rFonts w:hint="eastAsia" w:ascii="Arial" w:hAnsi="Arial" w:cs="Arial"/>
          <w:sz w:val="21"/>
          <w:szCs w:val="21"/>
          <w:lang w:eastAsia="zh-CN"/>
        </w:rPr>
        <w:t>等</w:t>
      </w:r>
      <w:r>
        <w:rPr>
          <w:rFonts w:hint="eastAsia" w:ascii="Arial" w:hAnsi="Arial" w:cs="Arial"/>
          <w:sz w:val="21"/>
          <w:szCs w:val="21"/>
          <w:lang w:val="en-US" w:eastAsia="zh-CN"/>
        </w:rPr>
        <w:t>9本复印件</w:t>
      </w:r>
      <w:r>
        <w:rPr>
          <w:rFonts w:ascii="Arial" w:hAnsi="Arial" w:cs="Arial"/>
          <w:kern w:val="2"/>
          <w:sz w:val="21"/>
          <w:szCs w:val="21"/>
        </w:rPr>
        <w:t>，本次估价</w:t>
      </w:r>
      <w:r>
        <w:rPr>
          <w:rFonts w:hint="eastAsia" w:ascii="Arial" w:hAnsi="Arial" w:cs="Arial"/>
          <w:kern w:val="2"/>
          <w:sz w:val="21"/>
          <w:szCs w:val="21"/>
          <w:lang w:eastAsia="zh-CN"/>
        </w:rPr>
        <w:t>估价对象</w:t>
      </w:r>
      <w:r>
        <w:rPr>
          <w:rFonts w:ascii="Arial" w:hAnsi="Arial" w:cs="Arial"/>
          <w:kern w:val="2"/>
          <w:sz w:val="21"/>
          <w:szCs w:val="21"/>
        </w:rPr>
        <w:t>建筑面积</w:t>
      </w:r>
      <w:r>
        <w:rPr>
          <w:rFonts w:hint="eastAsia" w:ascii="Arial" w:hAnsi="Arial" w:cs="Arial"/>
          <w:kern w:val="2"/>
          <w:sz w:val="21"/>
          <w:szCs w:val="21"/>
          <w:lang w:eastAsia="zh-CN"/>
        </w:rPr>
        <w:t>共计</w:t>
      </w:r>
      <w:r>
        <w:rPr>
          <w:rFonts w:hint="eastAsia" w:ascii="Arial" w:hAnsi="Arial" w:cs="Arial"/>
          <w:kern w:val="2"/>
          <w:sz w:val="21"/>
          <w:szCs w:val="21"/>
        </w:rPr>
        <w:t>30214.52</w:t>
      </w:r>
      <w:r>
        <w:rPr>
          <w:rFonts w:ascii="Arial" w:hAnsi="Arial" w:cs="Arial"/>
          <w:kern w:val="2"/>
          <w:sz w:val="21"/>
          <w:szCs w:val="21"/>
        </w:rPr>
        <w:t>平方米，可对外配租房屋共计</w:t>
      </w:r>
      <w:r>
        <w:rPr>
          <w:rFonts w:hint="eastAsia" w:ascii="Arial" w:hAnsi="Arial" w:cs="Arial"/>
          <w:kern w:val="2"/>
          <w:sz w:val="21"/>
          <w:szCs w:val="21"/>
          <w:lang w:val="en-US" w:eastAsia="zh-CN"/>
        </w:rPr>
        <w:t>356</w:t>
      </w:r>
      <w:r>
        <w:rPr>
          <w:rFonts w:ascii="Arial" w:hAnsi="Arial" w:cs="Arial"/>
          <w:kern w:val="2"/>
          <w:sz w:val="21"/>
          <w:szCs w:val="21"/>
        </w:rPr>
        <w:t>套。房源具体户型等情况详见下表：</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30"/>
        <w:gridCol w:w="1300"/>
        <w:gridCol w:w="1938"/>
        <w:gridCol w:w="1918"/>
        <w:gridCol w:w="1398"/>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户型</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朝向</w:t>
            </w:r>
          </w:p>
        </w:tc>
        <w:tc>
          <w:tcPr>
            <w:tcW w:w="1971"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面积范围</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所属楼宇</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套数</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三室两厅两卫</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南北</w:t>
            </w:r>
          </w:p>
        </w:tc>
        <w:tc>
          <w:tcPr>
            <w:tcW w:w="1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88.38-89.46</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3#、4#、6#、7#</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156</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13849.92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三室两厅一卫</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南北</w:t>
            </w:r>
          </w:p>
        </w:tc>
        <w:tc>
          <w:tcPr>
            <w:tcW w:w="1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81.59-82.25</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1#、2#、5#、8#、9#</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200</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16364.6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　合计</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97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356</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30214.52</w:t>
            </w:r>
          </w:p>
        </w:tc>
      </w:tr>
    </w:tbl>
    <w:p>
      <w:pPr>
        <w:keepNext w:val="0"/>
        <w:keepLines w:val="0"/>
        <w:pageBreakBefore w:val="0"/>
        <w:widowControl/>
        <w:kinsoku/>
        <w:wordWrap/>
        <w:overflowPunct w:val="0"/>
        <w:topLinePunct w:val="0"/>
        <w:autoSpaceDE/>
        <w:autoSpaceDN/>
        <w:bidi w:val="0"/>
        <w:adjustRightInd w:val="0"/>
        <w:snapToGrid w:val="0"/>
        <w:spacing w:line="240" w:lineRule="auto"/>
        <w:ind w:firstLine="360" w:firstLineChars="200"/>
        <w:jc w:val="both"/>
        <w:textAlignment w:val="auto"/>
        <w:rPr>
          <w:rFonts w:ascii="Arial" w:hAnsi="Arial" w:cs="Arial"/>
          <w:kern w:val="2"/>
          <w:sz w:val="18"/>
          <w:szCs w:val="18"/>
        </w:rPr>
      </w:pPr>
    </w:p>
    <w:p>
      <w:pPr>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于价值时点，估价对象已</w:t>
      </w:r>
      <w:r>
        <w:rPr>
          <w:rFonts w:hint="eastAsia" w:ascii="Arial" w:hAnsi="Arial" w:cs="Arial"/>
          <w:kern w:val="2"/>
          <w:sz w:val="21"/>
          <w:szCs w:val="21"/>
        </w:rPr>
        <w:t>竣工备案</w:t>
      </w:r>
      <w:r>
        <w:rPr>
          <w:rFonts w:ascii="Arial" w:hAnsi="Arial" w:cs="Arial"/>
          <w:kern w:val="2"/>
          <w:sz w:val="21"/>
          <w:szCs w:val="21"/>
        </w:rPr>
        <w:t>，室内装修情况为全装修。</w:t>
      </w:r>
    </w:p>
    <w:p>
      <w:pPr>
        <w:overflowPunct w:val="0"/>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参照</w:t>
      </w:r>
      <w:r>
        <w:rPr>
          <w:rFonts w:ascii="Arial" w:hAnsi="Arial" w:cs="Arial"/>
          <w:kern w:val="2"/>
          <w:sz w:val="21"/>
          <w:szCs w:val="21"/>
        </w:rPr>
        <w:t>《北京市共有产权住房价格评估技术指引（试行）》及</w:t>
      </w:r>
      <w:r>
        <w:rPr>
          <w:rFonts w:ascii="Arial" w:hAnsi="Arial" w:cs="Arial"/>
          <w:sz w:val="21"/>
          <w:szCs w:val="21"/>
        </w:rPr>
        <w:t>《不动产权证书》[</w:t>
      </w:r>
      <w:r>
        <w:rPr>
          <w:rFonts w:hint="default" w:ascii="Arial" w:hAnsi="Arial" w:cs="Arial"/>
          <w:sz w:val="21"/>
          <w:szCs w:val="21"/>
        </w:rPr>
        <w:t>京（20</w:t>
      </w:r>
      <w:r>
        <w:rPr>
          <w:rFonts w:hint="default" w:ascii="Arial" w:hAnsi="Arial" w:cs="Arial"/>
          <w:sz w:val="21"/>
          <w:szCs w:val="21"/>
          <w:lang w:val="en-US" w:eastAsia="zh-CN"/>
        </w:rPr>
        <w:t>22</w:t>
      </w:r>
      <w:r>
        <w:rPr>
          <w:rFonts w:hint="default" w:ascii="Arial" w:hAnsi="Arial" w:cs="Arial"/>
          <w:sz w:val="21"/>
          <w:szCs w:val="21"/>
        </w:rPr>
        <w:t>）</w:t>
      </w:r>
      <w:r>
        <w:rPr>
          <w:rFonts w:hint="default" w:ascii="Arial" w:hAnsi="Arial" w:cs="Arial"/>
          <w:sz w:val="21"/>
          <w:szCs w:val="21"/>
          <w:lang w:eastAsia="zh-CN"/>
        </w:rPr>
        <w:t>房</w:t>
      </w:r>
      <w:r>
        <w:rPr>
          <w:rFonts w:hint="default" w:ascii="Arial" w:hAnsi="Arial" w:cs="Arial"/>
          <w:sz w:val="21"/>
          <w:szCs w:val="21"/>
        </w:rPr>
        <w:t>不动产权第</w:t>
      </w:r>
      <w:r>
        <w:rPr>
          <w:rFonts w:hint="eastAsia" w:ascii="Arial" w:hAnsi="Arial" w:cs="Arial"/>
          <w:sz w:val="21"/>
          <w:szCs w:val="21"/>
          <w:lang w:val="en-US" w:eastAsia="zh-CN"/>
        </w:rPr>
        <w:t>0022348</w:t>
      </w:r>
      <w:r>
        <w:rPr>
          <w:rFonts w:hint="default" w:ascii="Arial" w:hAnsi="Arial" w:cs="Arial"/>
          <w:sz w:val="21"/>
          <w:szCs w:val="21"/>
        </w:rPr>
        <w:t>号</w:t>
      </w:r>
      <w:r>
        <w:rPr>
          <w:rFonts w:ascii="Arial" w:hAnsi="Arial" w:cs="Arial"/>
          <w:sz w:val="21"/>
          <w:szCs w:val="21"/>
        </w:rPr>
        <w:t>]</w:t>
      </w:r>
      <w:r>
        <w:rPr>
          <w:rFonts w:hint="eastAsia" w:ascii="Arial" w:hAnsi="Arial" w:cs="Arial"/>
          <w:sz w:val="21"/>
          <w:szCs w:val="21"/>
          <w:lang w:eastAsia="zh-CN"/>
        </w:rPr>
        <w:t>等</w:t>
      </w:r>
      <w:r>
        <w:rPr>
          <w:rFonts w:hint="eastAsia" w:ascii="Arial" w:hAnsi="Arial" w:cs="Arial"/>
          <w:sz w:val="21"/>
          <w:szCs w:val="21"/>
          <w:lang w:val="en-US" w:eastAsia="zh-CN"/>
        </w:rPr>
        <w:t>9本复印件</w:t>
      </w:r>
      <w:r>
        <w:rPr>
          <w:rFonts w:ascii="Arial" w:hAnsi="Arial" w:cs="Arial"/>
          <w:kern w:val="2"/>
          <w:sz w:val="21"/>
          <w:szCs w:val="21"/>
        </w:rPr>
        <w:t xml:space="preserve">，本次估价按照众数原则设定具有代表性的标准房屋，具体标准房详见下表： </w:t>
      </w:r>
    </w:p>
    <w:p>
      <w:pPr>
        <w:overflowPunct w:val="0"/>
        <w:spacing w:line="480" w:lineRule="auto"/>
        <w:ind w:firstLine="420" w:firstLineChars="200"/>
        <w:jc w:val="both"/>
        <w:rPr>
          <w:rFonts w:ascii="Arial" w:hAnsi="Arial" w:cs="Arial"/>
          <w:kern w:val="2"/>
          <w:sz w:val="21"/>
          <w:szCs w:val="21"/>
        </w:rPr>
      </w:pPr>
    </w:p>
    <w:tbl>
      <w:tblPr>
        <w:tblStyle w:val="32"/>
        <w:tblW w:w="92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4503"/>
        <w:gridCol w:w="4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项目</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标准房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93"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楼层</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中楼层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户型</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三室两厅一卫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面积</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81.59-82.25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朝向</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南北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装修</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全装修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设备设施</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齐全</w:t>
            </w:r>
          </w:p>
        </w:tc>
      </w:tr>
    </w:tbl>
    <w:p>
      <w:pPr>
        <w:keepNext w:val="0"/>
        <w:keepLines w:val="0"/>
        <w:pageBreakBefore w:val="0"/>
        <w:widowControl/>
        <w:kinsoku/>
        <w:wordWrap/>
        <w:overflowPunct/>
        <w:topLinePunct w:val="0"/>
        <w:autoSpaceDE/>
        <w:autoSpaceDN/>
        <w:bidi w:val="0"/>
        <w:adjustRightInd w:val="0"/>
        <w:snapToGrid w:val="0"/>
        <w:spacing w:line="240" w:lineRule="auto"/>
        <w:ind w:firstLine="361" w:firstLineChars="200"/>
        <w:jc w:val="both"/>
        <w:textAlignment w:val="auto"/>
        <w:rPr>
          <w:rFonts w:ascii="Arial" w:hAnsi="Arial" w:cs="Arial"/>
          <w:b/>
          <w:bCs/>
          <w:sz w:val="18"/>
          <w:szCs w:val="18"/>
        </w:rPr>
      </w:pPr>
    </w:p>
    <w:p>
      <w:pPr>
        <w:spacing w:before="120" w:beforeLines="50" w:line="480" w:lineRule="auto"/>
        <w:ind w:firstLine="422" w:firstLineChars="200"/>
        <w:jc w:val="both"/>
        <w:rPr>
          <w:rFonts w:ascii="Arial" w:hAnsi="Arial" w:cs="Arial"/>
          <w:kern w:val="2"/>
          <w:sz w:val="21"/>
          <w:szCs w:val="21"/>
        </w:rPr>
      </w:pPr>
      <w:r>
        <w:rPr>
          <w:rFonts w:ascii="Arial" w:hAnsi="Arial" w:cs="Arial"/>
          <w:b/>
          <w:bCs/>
          <w:sz w:val="21"/>
          <w:szCs w:val="21"/>
        </w:rPr>
        <w:t>估价目的：</w:t>
      </w:r>
      <w:r>
        <w:rPr>
          <w:rFonts w:ascii="Arial" w:hAnsi="Arial" w:cs="Arial"/>
          <w:kern w:val="2"/>
          <w:sz w:val="21"/>
          <w:szCs w:val="21"/>
        </w:rPr>
        <w:t>为规范本市共有产权住房项目区域市场租金，维护共有产权住房项目相关各方的合法权益，依据《北京市共有产权住房管理暂行办法》（京建法〔2017〕16号）、《关于规范共有产权住房出租管理工作的通知（试行）》、《房地产估价规范》（GB/T 50291-2015）、《北京市共有产权住房价格评估技术指引（试行）》(北估秘[2018]012号)</w:t>
      </w:r>
      <w:r>
        <w:rPr>
          <w:rFonts w:hint="eastAsia" w:ascii="Arial" w:hAnsi="Arial" w:cs="Arial"/>
          <w:kern w:val="2"/>
          <w:sz w:val="21"/>
          <w:szCs w:val="21"/>
        </w:rPr>
        <w:t>、</w:t>
      </w:r>
      <w:r>
        <w:rPr>
          <w:rFonts w:ascii="Arial" w:hAnsi="Arial" w:cs="Arial"/>
          <w:kern w:val="2"/>
          <w:sz w:val="21"/>
          <w:szCs w:val="21"/>
        </w:rPr>
        <w:t>参照</w:t>
      </w:r>
      <w:r>
        <w:rPr>
          <w:rFonts w:hint="eastAsia" w:ascii="Arial" w:hAnsi="Arial" w:cs="Arial"/>
          <w:kern w:val="2"/>
          <w:sz w:val="21"/>
          <w:szCs w:val="21"/>
        </w:rPr>
        <w:t>《关于发布《北京市公共租赁住房项目市场租金评估技术指引》的通知》 [北估秘[2019]020号]</w:t>
      </w:r>
      <w:r>
        <w:rPr>
          <w:rFonts w:ascii="Arial" w:hAnsi="Arial" w:cs="Arial"/>
          <w:kern w:val="2"/>
          <w:sz w:val="21"/>
          <w:szCs w:val="21"/>
        </w:rPr>
        <w:t>，为估价委托人确定共有产权住房项目市场租金提供价格参考依据。</w:t>
      </w:r>
    </w:p>
    <w:p>
      <w:pPr>
        <w:spacing w:line="480" w:lineRule="auto"/>
        <w:ind w:firstLine="413" w:firstLineChars="196"/>
        <w:jc w:val="both"/>
        <w:rPr>
          <w:rFonts w:ascii="Arial" w:hAnsi="Arial" w:cs="Arial"/>
          <w:kern w:val="2"/>
          <w:sz w:val="21"/>
          <w:szCs w:val="21"/>
        </w:rPr>
      </w:pPr>
      <w:r>
        <w:rPr>
          <w:rFonts w:ascii="Arial" w:hAnsi="Arial" w:cs="Arial"/>
          <w:b/>
          <w:kern w:val="2"/>
          <w:sz w:val="21"/>
          <w:szCs w:val="21"/>
        </w:rPr>
        <w:t>价值时点：</w:t>
      </w:r>
      <w:r>
        <w:rPr>
          <w:rFonts w:ascii="Arial" w:hAnsi="Arial" w:cs="Arial"/>
          <w:kern w:val="2"/>
          <w:sz w:val="21"/>
          <w:szCs w:val="21"/>
        </w:rPr>
        <w:t>202</w:t>
      </w:r>
      <w:r>
        <w:rPr>
          <w:rFonts w:hint="eastAsia" w:ascii="Arial" w:hAnsi="Arial" w:cs="Arial"/>
          <w:kern w:val="2"/>
          <w:sz w:val="21"/>
          <w:szCs w:val="21"/>
          <w:lang w:val="en-US" w:eastAsia="zh-CN"/>
        </w:rPr>
        <w:t>3</w:t>
      </w:r>
      <w:r>
        <w:rPr>
          <w:rFonts w:ascii="Arial" w:hAnsi="Arial" w:cs="Arial"/>
          <w:kern w:val="2"/>
          <w:sz w:val="21"/>
          <w:szCs w:val="21"/>
        </w:rPr>
        <w:t>年</w:t>
      </w:r>
      <w:r>
        <w:rPr>
          <w:rFonts w:hint="eastAsia" w:ascii="Arial" w:hAnsi="Arial" w:cs="Arial"/>
          <w:kern w:val="2"/>
          <w:sz w:val="21"/>
          <w:szCs w:val="21"/>
          <w:lang w:val="en-US" w:eastAsia="zh-CN"/>
        </w:rPr>
        <w:t>4</w:t>
      </w:r>
      <w:r>
        <w:rPr>
          <w:rFonts w:ascii="Arial" w:hAnsi="Arial" w:cs="Arial"/>
          <w:kern w:val="2"/>
          <w:sz w:val="21"/>
          <w:szCs w:val="21"/>
        </w:rPr>
        <w:t>月</w:t>
      </w:r>
      <w:r>
        <w:rPr>
          <w:rFonts w:hint="eastAsia" w:ascii="Arial" w:hAnsi="Arial" w:cs="Arial"/>
          <w:kern w:val="2"/>
          <w:sz w:val="21"/>
          <w:szCs w:val="21"/>
        </w:rPr>
        <w:t>2</w:t>
      </w:r>
      <w:r>
        <w:rPr>
          <w:rFonts w:hint="eastAsia" w:ascii="Arial" w:hAnsi="Arial" w:cs="Arial"/>
          <w:kern w:val="2"/>
          <w:sz w:val="21"/>
          <w:szCs w:val="21"/>
          <w:lang w:val="en-US" w:eastAsia="zh-CN"/>
        </w:rPr>
        <w:t>7</w:t>
      </w:r>
      <w:r>
        <w:rPr>
          <w:rFonts w:ascii="Arial" w:hAnsi="Arial" w:cs="Arial"/>
          <w:kern w:val="2"/>
          <w:sz w:val="21"/>
          <w:szCs w:val="21"/>
        </w:rPr>
        <w:t>日（</w:t>
      </w:r>
      <w:r>
        <w:rPr>
          <w:rFonts w:hint="eastAsia" w:ascii="Arial" w:hAnsi="Arial" w:cs="Arial"/>
          <w:kern w:val="2"/>
          <w:sz w:val="21"/>
          <w:szCs w:val="21"/>
        </w:rPr>
        <w:t>实地查勘之日</w:t>
      </w:r>
      <w:r>
        <w:rPr>
          <w:rFonts w:ascii="Arial" w:hAnsi="Arial" w:cs="Arial"/>
          <w:kern w:val="2"/>
          <w:sz w:val="21"/>
          <w:szCs w:val="21"/>
        </w:rPr>
        <w:t>）</w:t>
      </w:r>
    </w:p>
    <w:p>
      <w:pPr>
        <w:tabs>
          <w:tab w:val="left" w:pos="709"/>
        </w:tabs>
        <w:overflowPunct w:val="0"/>
        <w:spacing w:line="480" w:lineRule="auto"/>
        <w:ind w:firstLine="422" w:firstLineChars="200"/>
        <w:jc w:val="both"/>
        <w:rPr>
          <w:rFonts w:ascii="Arial" w:hAnsi="Arial" w:cs="Arial"/>
          <w:sz w:val="21"/>
          <w:szCs w:val="21"/>
        </w:rPr>
      </w:pPr>
      <w:r>
        <w:rPr>
          <w:rFonts w:ascii="Arial" w:hAnsi="Arial" w:cs="Arial"/>
          <w:b/>
          <w:bCs/>
          <w:sz w:val="21"/>
          <w:szCs w:val="21"/>
        </w:rPr>
        <w:t>估价时段：</w:t>
      </w:r>
      <w:r>
        <w:rPr>
          <w:rFonts w:ascii="Arial" w:hAnsi="Arial" w:cs="Arial"/>
          <w:sz w:val="21"/>
          <w:szCs w:val="21"/>
        </w:rPr>
        <w:t>估价时段为价值时点前12个月（202</w:t>
      </w:r>
      <w:r>
        <w:rPr>
          <w:rFonts w:hint="eastAsia" w:ascii="Arial" w:hAnsi="Arial" w:cs="Arial"/>
          <w:sz w:val="21"/>
          <w:szCs w:val="21"/>
          <w:lang w:val="en-US" w:eastAsia="zh-CN"/>
        </w:rPr>
        <w:t>2</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月至202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3</w:t>
      </w:r>
      <w:r>
        <w:rPr>
          <w:rFonts w:ascii="Arial" w:hAnsi="Arial" w:cs="Arial"/>
          <w:sz w:val="21"/>
          <w:szCs w:val="21"/>
        </w:rPr>
        <w:t>月）</w:t>
      </w:r>
    </w:p>
    <w:p>
      <w:pPr>
        <w:overflowPunct w:val="0"/>
        <w:spacing w:line="480" w:lineRule="auto"/>
        <w:ind w:firstLine="422" w:firstLineChars="200"/>
        <w:jc w:val="both"/>
        <w:rPr>
          <w:rFonts w:ascii="Arial" w:hAnsi="Arial" w:cs="Arial"/>
          <w:sz w:val="21"/>
          <w:szCs w:val="21"/>
        </w:rPr>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根据房地产评估的技术规程和本次估价目的，本次估价采用的是市场价值标准。估价结果中的房地产租金价格是指估价对象在估价时段（202</w:t>
      </w:r>
      <w:r>
        <w:rPr>
          <w:rFonts w:hint="eastAsia" w:ascii="Arial" w:hAnsi="Arial" w:cs="Arial"/>
          <w:sz w:val="21"/>
          <w:szCs w:val="21"/>
          <w:lang w:val="en-US" w:eastAsia="zh-CN"/>
        </w:rPr>
        <w:t>2</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月至202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3</w:t>
      </w:r>
      <w:r>
        <w:rPr>
          <w:rFonts w:ascii="Arial" w:hAnsi="Arial" w:cs="Arial"/>
          <w:sz w:val="21"/>
          <w:szCs w:val="21"/>
        </w:rPr>
        <w:t xml:space="preserve">月）规划利用条件及下述设定条件下的市场平均租金价格： </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 xml:space="preserve">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 </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 xml:space="preserve">（1）同地段是指按照就近原则，能够满足共有产权住房项目市场租金评估所需要的可比小区数量所形成的同质区域。 </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 xml:space="preserve">（2）同类型是指使用功能、建筑结构、面积、户型、装修、家具家电设备及周边环境与配套相同或相似的住房。 </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（3）估价时段是指价值时点前一年（202</w:t>
      </w:r>
      <w:r>
        <w:rPr>
          <w:rFonts w:hint="eastAsia" w:ascii="Arial" w:hAnsi="Arial" w:cs="Arial"/>
          <w:sz w:val="21"/>
          <w:szCs w:val="21"/>
          <w:lang w:val="en-US" w:eastAsia="zh-CN"/>
        </w:rPr>
        <w:t>2</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月至202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3</w:t>
      </w:r>
      <w:r>
        <w:rPr>
          <w:rFonts w:ascii="Arial" w:hAnsi="Arial" w:cs="Arial"/>
          <w:sz w:val="21"/>
          <w:szCs w:val="21"/>
        </w:rPr>
        <w:t>月）。</w:t>
      </w:r>
    </w:p>
    <w:p>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（4）装修状况</w:t>
      </w:r>
      <w:r>
        <w:rPr>
          <w:rFonts w:ascii="Arial" w:hAnsi="Arial" w:cs="Arial"/>
          <w:sz w:val="21"/>
          <w:szCs w:val="21"/>
        </w:rPr>
        <w:t>依据共有产权住房</w:t>
      </w:r>
      <w:r>
        <w:rPr>
          <w:rFonts w:hint="eastAsia" w:ascii="Arial" w:hAnsi="Arial" w:cs="Arial"/>
          <w:sz w:val="21"/>
          <w:szCs w:val="21"/>
        </w:rPr>
        <w:t>现状</w:t>
      </w:r>
      <w:r>
        <w:rPr>
          <w:rFonts w:ascii="Arial" w:hAnsi="Arial" w:cs="Arial"/>
          <w:sz w:val="21"/>
          <w:szCs w:val="21"/>
        </w:rPr>
        <w:t>条件设定为</w:t>
      </w:r>
      <w:r>
        <w:rPr>
          <w:rFonts w:hint="eastAsia" w:ascii="Arial" w:hAnsi="Arial" w:cs="Arial"/>
          <w:sz w:val="21"/>
          <w:szCs w:val="21"/>
        </w:rPr>
        <w:t>全</w:t>
      </w:r>
      <w:r>
        <w:rPr>
          <w:rFonts w:ascii="Arial" w:hAnsi="Arial" w:cs="Arial"/>
          <w:sz w:val="21"/>
          <w:szCs w:val="21"/>
        </w:rPr>
        <w:t>装修。</w:t>
      </w:r>
    </w:p>
    <w:bookmarkEnd w:id="3"/>
    <w:p>
      <w:pPr>
        <w:overflowPunct w:val="0"/>
        <w:spacing w:line="480" w:lineRule="auto"/>
        <w:ind w:firstLine="422" w:firstLineChars="200"/>
        <w:jc w:val="both"/>
        <w:rPr>
          <w:rFonts w:ascii="Arial" w:hAnsi="Arial" w:cs="Arial"/>
          <w:sz w:val="21"/>
          <w:szCs w:val="21"/>
        </w:rPr>
      </w:pPr>
      <w:r>
        <w:rPr>
          <w:rFonts w:ascii="Arial" w:hAnsi="Arial" w:cs="Arial"/>
          <w:b/>
          <w:bCs/>
          <w:sz w:val="21"/>
          <w:szCs w:val="21"/>
        </w:rPr>
        <w:t>估价方法：</w:t>
      </w:r>
      <w:r>
        <w:rPr>
          <w:rFonts w:ascii="Arial" w:hAnsi="Arial" w:cs="Arial"/>
          <w:sz w:val="21"/>
          <w:szCs w:val="21"/>
        </w:rPr>
        <w:t>比较法</w:t>
      </w:r>
    </w:p>
    <w:p>
      <w:pPr>
        <w:overflowPunct w:val="0"/>
        <w:spacing w:line="480" w:lineRule="auto"/>
        <w:ind w:firstLine="422" w:firstLineChars="200"/>
        <w:jc w:val="both"/>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月2</w:t>
      </w:r>
      <w:r>
        <w:rPr>
          <w:rFonts w:hint="eastAsia" w:ascii="Arial" w:hAnsi="Arial" w:cs="Arial"/>
          <w:sz w:val="21"/>
          <w:szCs w:val="21"/>
          <w:lang w:val="en-US" w:eastAsia="zh-CN"/>
        </w:rPr>
        <w:t>7</w:t>
      </w:r>
      <w:r>
        <w:rPr>
          <w:rFonts w:ascii="Arial" w:hAnsi="Arial" w:cs="Arial"/>
          <w:sz w:val="21"/>
          <w:szCs w:val="21"/>
        </w:rPr>
        <w:t xml:space="preserve">日前12个月的平均市场租金水平为： </w:t>
      </w:r>
    </w:p>
    <w:p>
      <w:pPr>
        <w:overflowPunct w:val="0"/>
        <w:spacing w:line="480" w:lineRule="auto"/>
        <w:ind w:firstLine="422" w:firstLineChars="200"/>
        <w:rPr>
          <w:rFonts w:ascii="Arial" w:hAnsi="Arial" w:cs="Arial"/>
          <w:b/>
          <w:bCs/>
          <w:sz w:val="21"/>
          <w:szCs w:val="21"/>
        </w:rPr>
      </w:pPr>
      <w:r>
        <w:rPr>
          <w:rFonts w:ascii="Arial" w:hAnsi="Arial" w:cs="Arial"/>
          <w:b/>
          <w:bCs/>
          <w:sz w:val="21"/>
          <w:szCs w:val="21"/>
        </w:rPr>
        <w:t>租金单价：</w:t>
      </w:r>
      <w:r>
        <w:rPr>
          <w:rFonts w:hint="eastAsia" w:ascii="Arial" w:hAnsi="Arial" w:cs="Arial"/>
          <w:b/>
          <w:bCs/>
          <w:sz w:val="21"/>
          <w:szCs w:val="21"/>
          <w:lang w:val="en-US" w:eastAsia="zh-CN"/>
        </w:rPr>
        <w:t>43.8</w:t>
      </w:r>
      <w:r>
        <w:rPr>
          <w:rFonts w:ascii="Arial" w:hAnsi="Arial" w:cs="Arial"/>
          <w:b/>
          <w:bCs/>
          <w:sz w:val="21"/>
          <w:szCs w:val="21"/>
        </w:rPr>
        <w:t>元/平方米·月（货币种类：人民币）</w:t>
      </w:r>
    </w:p>
    <w:p>
      <w:pPr>
        <w:overflowPunct w:val="0"/>
        <w:spacing w:line="480" w:lineRule="auto"/>
        <w:ind w:firstLine="360" w:firstLineChars="200"/>
        <w:jc w:val="both"/>
        <w:rPr>
          <w:rFonts w:ascii="Arial" w:hAnsi="Arial" w:cs="Arial"/>
          <w:sz w:val="18"/>
          <w:szCs w:val="18"/>
        </w:rPr>
      </w:pPr>
      <w:r>
        <w:rPr>
          <w:rFonts w:ascii="Arial" w:hAnsi="Arial" w:cs="Arial"/>
          <w:sz w:val="18"/>
          <w:szCs w:val="18"/>
        </w:rPr>
        <w:t>注：1、评估的详细结果、过程及有关说明，见附后的《估价结果报告》及《估价技术报告》。</w:t>
      </w:r>
    </w:p>
    <w:p>
      <w:pPr>
        <w:overflowPunct w:val="0"/>
        <w:spacing w:line="480" w:lineRule="auto"/>
        <w:ind w:firstLine="360" w:firstLineChars="200"/>
        <w:jc w:val="both"/>
        <w:rPr>
          <w:rFonts w:ascii="Arial" w:hAnsi="Arial" w:cs="Arial"/>
          <w:sz w:val="18"/>
          <w:szCs w:val="18"/>
        </w:rPr>
      </w:pPr>
      <w:r>
        <w:rPr>
          <w:rFonts w:ascii="Arial" w:hAnsi="Arial" w:cs="Arial"/>
          <w:sz w:val="18"/>
          <w:szCs w:val="18"/>
        </w:rPr>
        <w:t xml:space="preserve">    2、估价结果为项目同地段、同类型普通住宅前12个月的市场平均月租金价格。</w:t>
      </w:r>
    </w:p>
    <w:p>
      <w:pPr>
        <w:overflowPunct w:val="0"/>
        <w:spacing w:line="480" w:lineRule="auto"/>
        <w:ind w:left="707" w:leftChars="150" w:hanging="347" w:hangingChars="193"/>
        <w:jc w:val="both"/>
        <w:rPr>
          <w:rFonts w:ascii="Arial" w:hAnsi="Arial" w:cs="Arial"/>
          <w:sz w:val="18"/>
          <w:szCs w:val="18"/>
        </w:rPr>
      </w:pPr>
      <w:r>
        <w:rPr>
          <w:rFonts w:ascii="Arial" w:hAnsi="Arial" w:cs="Arial"/>
          <w:sz w:val="18"/>
          <w:szCs w:val="18"/>
        </w:rPr>
        <w:t xml:space="preserve">    3、估价结果包括地租、房屋折旧、设备折旧、维修费、保险费、物业费、管理费、利息、利润等；不含供暖费、水电费、天然气费、通信费、有线电视费、上网宽带费和家具、家电租赁费及租赁税费等。</w:t>
      </w:r>
    </w:p>
    <w:p>
      <w:pPr>
        <w:spacing w:line="480" w:lineRule="auto"/>
        <w:ind w:firstLine="4200" w:firstLineChars="2000"/>
        <w:jc w:val="both"/>
        <w:rPr>
          <w:rFonts w:ascii="Arial" w:hAnsi="Arial" w:cs="Arial"/>
          <w:sz w:val="21"/>
          <w:szCs w:val="21"/>
        </w:rPr>
      </w:pPr>
    </w:p>
    <w:p>
      <w:pPr>
        <w:spacing w:line="480" w:lineRule="auto"/>
        <w:ind w:firstLine="4200" w:firstLineChars="2000"/>
        <w:jc w:val="both"/>
        <w:rPr>
          <w:rFonts w:ascii="Arial" w:hAnsi="Arial" w:cs="Arial"/>
          <w:sz w:val="21"/>
          <w:szCs w:val="21"/>
        </w:rPr>
      </w:pPr>
      <w:r>
        <w:rPr>
          <w:rFonts w:ascii="Arial" w:hAnsi="Arial" w:cs="Arial"/>
          <w:sz w:val="21"/>
          <w:szCs w:val="21"/>
        </w:rPr>
        <w:t>顺致</w:t>
      </w:r>
    </w:p>
    <w:p>
      <w:pPr>
        <w:spacing w:line="480" w:lineRule="auto"/>
        <w:ind w:firstLine="420" w:firstLineChars="200"/>
        <w:jc w:val="both"/>
        <w:rPr>
          <w:rFonts w:ascii="Arial" w:hAnsi="Arial" w:cs="Arial"/>
          <w:sz w:val="21"/>
          <w:szCs w:val="21"/>
        </w:rPr>
      </w:pPr>
      <w:r>
        <w:rPr>
          <w:rFonts w:ascii="Arial" w:hAnsi="Arial" w:cs="Arial"/>
          <w:sz w:val="21"/>
          <w:szCs w:val="21"/>
        </w:rPr>
        <w:t>商祺</w:t>
      </w:r>
    </w:p>
    <w:p>
      <w:pPr>
        <w:spacing w:line="480" w:lineRule="auto"/>
        <w:ind w:firstLine="420" w:firstLineChars="200"/>
        <w:jc w:val="both"/>
        <w:rPr>
          <w:rFonts w:ascii="Arial" w:hAnsi="Arial" w:cs="Arial"/>
          <w:sz w:val="21"/>
          <w:szCs w:val="21"/>
        </w:rPr>
      </w:pPr>
    </w:p>
    <w:tbl>
      <w:tblPr>
        <w:tblStyle w:val="32"/>
        <w:tblW w:w="0" w:type="auto"/>
        <w:tblInd w:w="5920" w:type="dxa"/>
        <w:tblLayout w:type="autofit"/>
        <w:tblCellMar>
          <w:top w:w="0" w:type="dxa"/>
          <w:left w:w="108" w:type="dxa"/>
          <w:bottom w:w="0" w:type="dxa"/>
          <w:right w:w="108" w:type="dxa"/>
        </w:tblCellMar>
      </w:tblPr>
      <w:tblGrid>
        <w:gridCol w:w="3402"/>
      </w:tblGrid>
      <w:tr>
        <w:tblPrEx>
          <w:tblCellMar>
            <w:top w:w="0" w:type="dxa"/>
            <w:left w:w="108" w:type="dxa"/>
            <w:bottom w:w="0" w:type="dxa"/>
            <w:right w:w="108" w:type="dxa"/>
          </w:tblCellMar>
        </w:tblPrEx>
        <w:tc>
          <w:tcPr>
            <w:tcW w:w="3402" w:type="dxa"/>
            <w:shd w:val="clear" w:color="auto" w:fill="auto"/>
          </w:tcPr>
          <w:p>
            <w:pPr>
              <w:spacing w:line="480" w:lineRule="auto"/>
              <w:rPr>
                <w:rFonts w:ascii="Arial" w:hAnsi="Arial" w:cs="Arial"/>
                <w:sz w:val="21"/>
                <w:szCs w:val="21"/>
              </w:rPr>
            </w:pPr>
            <w:r>
              <w:rPr>
                <w:rFonts w:ascii="Arial" w:hAnsi="Arial" w:cs="Arial"/>
                <w:sz w:val="21"/>
                <w:szCs w:val="21"/>
              </w:rPr>
              <w:t>北京康正宏基房地产评估有限公司</w:t>
            </w:r>
          </w:p>
        </w:tc>
      </w:tr>
      <w:tr>
        <w:tblPrEx>
          <w:tblCellMar>
            <w:top w:w="0" w:type="dxa"/>
            <w:left w:w="108" w:type="dxa"/>
            <w:bottom w:w="0" w:type="dxa"/>
            <w:right w:w="108" w:type="dxa"/>
          </w:tblCellMar>
        </w:tblPrEx>
        <w:trPr>
          <w:trHeight w:val="1431" w:hRule="atLeast"/>
        </w:trPr>
        <w:tc>
          <w:tcPr>
            <w:tcW w:w="3402" w:type="dxa"/>
            <w:shd w:val="clear" w:color="auto" w:fill="auto"/>
          </w:tcPr>
          <w:p>
            <w:pPr>
              <w:spacing w:line="480" w:lineRule="auto"/>
              <w:rPr>
                <w:rFonts w:ascii="Arial" w:hAnsi="Arial" w:cs="Arial"/>
                <w:sz w:val="21"/>
                <w:szCs w:val="21"/>
              </w:rPr>
            </w:pPr>
            <w:r>
              <w:rPr>
                <w:rFonts w:ascii="Arial" w:hAnsi="Arial" w:cs="Arial"/>
                <w:sz w:val="21"/>
                <w:szCs w:val="21"/>
              </w:rPr>
              <w:t>法定代表人：</w:t>
            </w:r>
          </w:p>
        </w:tc>
      </w:tr>
      <w:tr>
        <w:tblPrEx>
          <w:tblCellMar>
            <w:top w:w="0" w:type="dxa"/>
            <w:left w:w="108" w:type="dxa"/>
            <w:bottom w:w="0" w:type="dxa"/>
            <w:right w:w="108" w:type="dxa"/>
          </w:tblCellMar>
        </w:tblPrEx>
        <w:tc>
          <w:tcPr>
            <w:tcW w:w="3402" w:type="dxa"/>
            <w:shd w:val="clear" w:color="auto" w:fill="auto"/>
          </w:tcPr>
          <w:p>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lang w:eastAsia="zh-CN"/>
              </w:rPr>
              <w:t>三</w:t>
            </w:r>
            <w:r>
              <w:rPr>
                <w:rFonts w:ascii="Arial" w:hAnsi="Arial" w:cs="Arial"/>
                <w:sz w:val="21"/>
                <w:szCs w:val="21"/>
              </w:rPr>
              <w:t>年</w:t>
            </w:r>
            <w:r>
              <w:rPr>
                <w:rFonts w:hint="eastAsia" w:ascii="Arial" w:hAnsi="Arial" w:cs="Arial"/>
                <w:sz w:val="21"/>
                <w:szCs w:val="21"/>
                <w:lang w:eastAsia="zh-CN"/>
              </w:rPr>
              <w:t>五</w:t>
            </w:r>
            <w:r>
              <w:rPr>
                <w:rFonts w:ascii="Arial" w:hAnsi="Arial" w:cs="Arial"/>
                <w:sz w:val="21"/>
                <w:szCs w:val="21"/>
              </w:rPr>
              <w:t>月</w:t>
            </w:r>
            <w:r>
              <w:rPr>
                <w:rFonts w:hint="eastAsia" w:ascii="Arial" w:hAnsi="Arial" w:cs="Arial"/>
                <w:sz w:val="21"/>
                <w:szCs w:val="21"/>
                <w:lang w:eastAsia="zh-CN"/>
              </w:rPr>
              <w:t>十二</w:t>
            </w:r>
            <w:r>
              <w:rPr>
                <w:rFonts w:ascii="Arial" w:hAnsi="Arial" w:cs="Arial"/>
                <w:sz w:val="21"/>
                <w:szCs w:val="21"/>
              </w:rPr>
              <w:t>日</w:t>
            </w:r>
          </w:p>
        </w:tc>
      </w:tr>
    </w:tbl>
    <w:p>
      <w:pPr>
        <w:spacing w:line="480" w:lineRule="auto"/>
        <w:rPr>
          <w:rFonts w:ascii="Arial" w:hAnsi="Arial" w:cs="Arial"/>
          <w:sz w:val="21"/>
          <w:szCs w:val="21"/>
        </w:rPr>
        <w:sectPr>
          <w:headerReference r:id="rId9" w:type="default"/>
          <w:pgSz w:w="11907" w:h="16840"/>
          <w:pgMar w:top="1843" w:right="1134" w:bottom="1134" w:left="1134" w:header="1134" w:footer="907" w:gutter="340"/>
          <w:pgNumType w:start="1"/>
          <w:cols w:space="720" w:num="1"/>
          <w:docGrid w:linePitch="326" w:charSpace="0"/>
        </w:sectPr>
      </w:pPr>
    </w:p>
    <w:p>
      <w:pPr>
        <w:spacing w:line="480" w:lineRule="auto"/>
        <w:jc w:val="center"/>
        <w:outlineLvl w:val="0"/>
        <w:rPr>
          <w:rFonts w:ascii="Arial" w:hAnsi="Arial" w:eastAsia="方正黑体简体" w:cs="Arial"/>
          <w:sz w:val="32"/>
          <w:szCs w:val="32"/>
        </w:rPr>
      </w:pPr>
      <w:r>
        <w:rPr>
          <w:rFonts w:ascii="Arial" w:hAnsi="Arial" w:eastAsia="方正黑体简体" w:cs="Arial"/>
          <w:sz w:val="32"/>
          <w:szCs w:val="32"/>
        </w:rPr>
        <w:t>目   录</w:t>
      </w:r>
    </w:p>
    <w:p>
      <w:pPr>
        <w:pStyle w:val="22"/>
        <w:rPr>
          <w:rFonts w:ascii="Arial" w:hAnsi="Arial" w:eastAsia="宋体" w:cs="Arial"/>
          <w:b w:val="0"/>
          <w:bCs w:val="0"/>
          <w:kern w:val="2"/>
          <w:sz w:val="24"/>
          <w:szCs w:val="24"/>
        </w:rPr>
      </w:pPr>
      <w:r>
        <w:rPr>
          <w:rFonts w:ascii="Arial" w:hAnsi="Arial" w:eastAsia="宋体" w:cs="Arial"/>
          <w:sz w:val="24"/>
          <w:szCs w:val="24"/>
        </w:rPr>
        <w:fldChar w:fldCharType="begin"/>
      </w:r>
      <w:r>
        <w:rPr>
          <w:rFonts w:ascii="Arial" w:hAnsi="Arial" w:eastAsia="宋体" w:cs="Arial"/>
          <w:sz w:val="24"/>
          <w:szCs w:val="24"/>
        </w:rPr>
        <w:instrText xml:space="preserve"> TOC \o "1-3" \h \z </w:instrText>
      </w:r>
      <w:r>
        <w:rPr>
          <w:rFonts w:ascii="Arial" w:hAnsi="Arial" w:eastAsia="宋体" w:cs="Arial"/>
          <w:sz w:val="24"/>
          <w:szCs w:val="24"/>
        </w:rPr>
        <w:fldChar w:fldCharType="separate"/>
      </w:r>
      <w:r>
        <w:fldChar w:fldCharType="begin"/>
      </w:r>
      <w:r>
        <w:instrText xml:space="preserve"> HYPERLINK \l "_Toc525655414" </w:instrText>
      </w:r>
      <w:r>
        <w:fldChar w:fldCharType="separate"/>
      </w:r>
      <w:r>
        <w:rPr>
          <w:rStyle w:val="38"/>
          <w:rFonts w:ascii="Arial" w:hAnsi="Arial" w:eastAsia="宋体" w:cs="Arial"/>
          <w:color w:val="auto"/>
          <w:sz w:val="24"/>
          <w:szCs w:val="24"/>
        </w:rPr>
        <w:t>致估价委托人函</w:t>
      </w:r>
      <w:r>
        <w:rPr>
          <w:rFonts w:ascii="Arial" w:hAnsi="Arial" w:eastAsia="宋体" w:cs="Arial"/>
          <w:sz w:val="24"/>
          <w:szCs w:val="24"/>
        </w:rPr>
        <w:tab/>
      </w:r>
      <w:r>
        <w:rPr>
          <w:rFonts w:ascii="Arial" w:hAnsi="Arial" w:eastAsia="宋体" w:cs="Arial"/>
          <w:sz w:val="24"/>
          <w:szCs w:val="24"/>
        </w:rPr>
        <w:fldChar w:fldCharType="begin"/>
      </w:r>
      <w:r>
        <w:rPr>
          <w:rFonts w:ascii="Arial" w:hAnsi="Arial" w:eastAsia="宋体" w:cs="Arial"/>
          <w:sz w:val="24"/>
          <w:szCs w:val="24"/>
        </w:rPr>
        <w:instrText xml:space="preserve"> PAGEREF _Toc525655414 \h </w:instrText>
      </w:r>
      <w:r>
        <w:rPr>
          <w:rFonts w:ascii="Arial" w:hAnsi="Arial" w:eastAsia="宋体" w:cs="Arial"/>
          <w:sz w:val="24"/>
          <w:szCs w:val="24"/>
        </w:rPr>
        <w:fldChar w:fldCharType="separate"/>
      </w:r>
      <w:r>
        <w:rPr>
          <w:rFonts w:ascii="Arial" w:hAnsi="Arial" w:eastAsia="宋体" w:cs="Arial"/>
          <w:sz w:val="24"/>
          <w:szCs w:val="24"/>
        </w:rPr>
        <w:t>1</w:t>
      </w:r>
      <w:r>
        <w:rPr>
          <w:rFonts w:ascii="Arial" w:hAnsi="Arial" w:eastAsia="宋体" w:cs="Arial"/>
          <w:sz w:val="24"/>
          <w:szCs w:val="24"/>
        </w:rPr>
        <w:fldChar w:fldCharType="end"/>
      </w:r>
      <w:r>
        <w:rPr>
          <w:rFonts w:ascii="Arial" w:hAnsi="Arial" w:eastAsia="宋体" w:cs="Arial"/>
          <w:sz w:val="24"/>
          <w:szCs w:val="24"/>
        </w:rPr>
        <w:fldChar w:fldCharType="end"/>
      </w:r>
    </w:p>
    <w:p>
      <w:pPr>
        <w:pStyle w:val="22"/>
        <w:rPr>
          <w:rFonts w:ascii="Arial" w:hAnsi="Arial" w:eastAsia="宋体" w:cs="Arial"/>
          <w:b w:val="0"/>
          <w:bCs w:val="0"/>
          <w:kern w:val="2"/>
          <w:sz w:val="24"/>
          <w:szCs w:val="24"/>
        </w:rPr>
      </w:pPr>
      <w:r>
        <w:fldChar w:fldCharType="begin"/>
      </w:r>
      <w:r>
        <w:instrText xml:space="preserve"> HYPERLINK \l "_Toc525655415" </w:instrText>
      </w:r>
      <w:r>
        <w:fldChar w:fldCharType="separate"/>
      </w:r>
      <w:r>
        <w:rPr>
          <w:rStyle w:val="38"/>
          <w:rFonts w:ascii="Arial" w:hAnsi="Arial" w:eastAsia="宋体" w:cs="Arial"/>
          <w:color w:val="auto"/>
          <w:sz w:val="24"/>
          <w:szCs w:val="24"/>
        </w:rPr>
        <w:t>估价师声明</w:t>
      </w:r>
      <w:r>
        <w:rPr>
          <w:rFonts w:ascii="Arial" w:hAnsi="Arial" w:eastAsia="宋体" w:cs="Arial"/>
          <w:sz w:val="24"/>
          <w:szCs w:val="24"/>
        </w:rPr>
        <w:tab/>
      </w:r>
      <w:r>
        <w:rPr>
          <w:rFonts w:ascii="Arial" w:hAnsi="Arial" w:eastAsia="宋体" w:cs="Arial"/>
          <w:sz w:val="24"/>
          <w:szCs w:val="24"/>
        </w:rPr>
        <w:fldChar w:fldCharType="begin"/>
      </w:r>
      <w:r>
        <w:rPr>
          <w:rFonts w:ascii="Arial" w:hAnsi="Arial" w:eastAsia="宋体" w:cs="Arial"/>
          <w:sz w:val="24"/>
          <w:szCs w:val="24"/>
        </w:rPr>
        <w:instrText xml:space="preserve"> PAGEREF _Toc525655415 \h </w:instrText>
      </w:r>
      <w:r>
        <w:rPr>
          <w:rFonts w:ascii="Arial" w:hAnsi="Arial" w:eastAsia="宋体" w:cs="Arial"/>
          <w:sz w:val="24"/>
          <w:szCs w:val="24"/>
        </w:rPr>
        <w:fldChar w:fldCharType="separate"/>
      </w:r>
      <w:r>
        <w:rPr>
          <w:rFonts w:ascii="Arial" w:hAnsi="Arial" w:eastAsia="宋体" w:cs="Arial"/>
          <w:sz w:val="24"/>
          <w:szCs w:val="24"/>
        </w:rPr>
        <w:t>5</w:t>
      </w:r>
      <w:r>
        <w:rPr>
          <w:rFonts w:ascii="Arial" w:hAnsi="Arial" w:eastAsia="宋体" w:cs="Arial"/>
          <w:sz w:val="24"/>
          <w:szCs w:val="24"/>
        </w:rPr>
        <w:fldChar w:fldCharType="end"/>
      </w:r>
      <w:r>
        <w:rPr>
          <w:rFonts w:ascii="Arial" w:hAnsi="Arial" w:eastAsia="宋体" w:cs="Arial"/>
          <w:sz w:val="24"/>
          <w:szCs w:val="24"/>
        </w:rPr>
        <w:fldChar w:fldCharType="end"/>
      </w:r>
    </w:p>
    <w:p>
      <w:pPr>
        <w:pStyle w:val="22"/>
        <w:rPr>
          <w:rFonts w:ascii="Arial" w:hAnsi="Arial" w:eastAsia="宋体" w:cs="Arial"/>
          <w:b w:val="0"/>
          <w:bCs w:val="0"/>
          <w:kern w:val="2"/>
          <w:sz w:val="24"/>
          <w:szCs w:val="24"/>
        </w:rPr>
      </w:pPr>
      <w:r>
        <w:fldChar w:fldCharType="begin"/>
      </w:r>
      <w:r>
        <w:instrText xml:space="preserve"> HYPERLINK \l "_Toc525655416" </w:instrText>
      </w:r>
      <w:r>
        <w:fldChar w:fldCharType="separate"/>
      </w:r>
      <w:r>
        <w:rPr>
          <w:rStyle w:val="38"/>
          <w:rFonts w:ascii="Arial" w:hAnsi="Arial" w:eastAsia="宋体" w:cs="Arial"/>
          <w:color w:val="auto"/>
          <w:sz w:val="24"/>
          <w:szCs w:val="24"/>
        </w:rPr>
        <w:t>估价假设和限制条件</w:t>
      </w:r>
      <w:r>
        <w:rPr>
          <w:rFonts w:ascii="Arial" w:hAnsi="Arial" w:eastAsia="宋体" w:cs="Arial"/>
          <w:sz w:val="24"/>
          <w:szCs w:val="24"/>
        </w:rPr>
        <w:tab/>
      </w:r>
      <w:r>
        <w:rPr>
          <w:rFonts w:ascii="Arial" w:hAnsi="Arial" w:eastAsia="宋体" w:cs="Arial"/>
          <w:sz w:val="24"/>
          <w:szCs w:val="24"/>
        </w:rPr>
        <w:fldChar w:fldCharType="begin"/>
      </w:r>
      <w:r>
        <w:rPr>
          <w:rFonts w:ascii="Arial" w:hAnsi="Arial" w:eastAsia="宋体" w:cs="Arial"/>
          <w:sz w:val="24"/>
          <w:szCs w:val="24"/>
        </w:rPr>
        <w:instrText xml:space="preserve"> PAGEREF _Toc525655416 \h </w:instrText>
      </w:r>
      <w:r>
        <w:rPr>
          <w:rFonts w:ascii="Arial" w:hAnsi="Arial" w:eastAsia="宋体" w:cs="Arial"/>
          <w:sz w:val="24"/>
          <w:szCs w:val="24"/>
        </w:rPr>
        <w:fldChar w:fldCharType="separate"/>
      </w:r>
      <w:r>
        <w:rPr>
          <w:rFonts w:ascii="Arial" w:hAnsi="Arial" w:eastAsia="宋体" w:cs="Arial"/>
          <w:sz w:val="24"/>
          <w:szCs w:val="24"/>
        </w:rPr>
        <w:t>7</w:t>
      </w:r>
      <w:r>
        <w:rPr>
          <w:rFonts w:ascii="Arial" w:hAnsi="Arial" w:eastAsia="宋体" w:cs="Arial"/>
          <w:sz w:val="24"/>
          <w:szCs w:val="24"/>
        </w:rPr>
        <w:fldChar w:fldCharType="end"/>
      </w:r>
      <w:r>
        <w:rPr>
          <w:rFonts w:ascii="Arial" w:hAnsi="Arial" w:eastAsia="宋体" w:cs="Arial"/>
          <w:sz w:val="24"/>
          <w:szCs w:val="24"/>
        </w:rPr>
        <w:fldChar w:fldCharType="end"/>
      </w:r>
    </w:p>
    <w:p>
      <w:pPr>
        <w:pStyle w:val="22"/>
        <w:rPr>
          <w:rFonts w:ascii="Arial" w:hAnsi="Arial" w:eastAsia="宋体" w:cs="Arial"/>
          <w:b w:val="0"/>
          <w:bCs w:val="0"/>
          <w:kern w:val="2"/>
          <w:sz w:val="24"/>
          <w:szCs w:val="24"/>
        </w:rPr>
      </w:pPr>
      <w:r>
        <w:fldChar w:fldCharType="begin"/>
      </w:r>
      <w:r>
        <w:instrText xml:space="preserve"> HYPERLINK \l "_Toc525655417" </w:instrText>
      </w:r>
      <w:r>
        <w:fldChar w:fldCharType="separate"/>
      </w:r>
      <w:r>
        <w:rPr>
          <w:rStyle w:val="38"/>
          <w:rFonts w:ascii="Arial" w:hAnsi="Arial" w:eastAsia="宋体" w:cs="Arial"/>
          <w:color w:val="auto"/>
          <w:sz w:val="24"/>
          <w:szCs w:val="24"/>
        </w:rPr>
        <w:t>估价结果报告</w:t>
      </w:r>
      <w:r>
        <w:rPr>
          <w:rFonts w:ascii="Arial" w:hAnsi="Arial" w:eastAsia="宋体" w:cs="Arial"/>
          <w:sz w:val="24"/>
          <w:szCs w:val="24"/>
        </w:rPr>
        <w:tab/>
      </w:r>
      <w:r>
        <w:rPr>
          <w:rFonts w:ascii="Arial" w:hAnsi="Arial" w:eastAsia="宋体" w:cs="Arial"/>
          <w:sz w:val="24"/>
          <w:szCs w:val="24"/>
        </w:rPr>
        <w:fldChar w:fldCharType="begin"/>
      </w:r>
      <w:r>
        <w:rPr>
          <w:rFonts w:ascii="Arial" w:hAnsi="Arial" w:eastAsia="宋体" w:cs="Arial"/>
          <w:sz w:val="24"/>
          <w:szCs w:val="24"/>
        </w:rPr>
        <w:instrText xml:space="preserve"> PAGEREF _Toc525655417 \h </w:instrText>
      </w:r>
      <w:r>
        <w:rPr>
          <w:rFonts w:ascii="Arial" w:hAnsi="Arial" w:eastAsia="宋体" w:cs="Arial"/>
          <w:sz w:val="24"/>
          <w:szCs w:val="24"/>
        </w:rPr>
        <w:fldChar w:fldCharType="separate"/>
      </w:r>
      <w:r>
        <w:rPr>
          <w:rFonts w:ascii="Arial" w:hAnsi="Arial" w:eastAsia="宋体" w:cs="Arial"/>
          <w:sz w:val="24"/>
          <w:szCs w:val="24"/>
        </w:rPr>
        <w:t>10</w:t>
      </w:r>
      <w:r>
        <w:rPr>
          <w:rFonts w:ascii="Arial" w:hAnsi="Arial" w:eastAsia="宋体" w:cs="Arial"/>
          <w:sz w:val="24"/>
          <w:szCs w:val="24"/>
        </w:rPr>
        <w:fldChar w:fldCharType="end"/>
      </w:r>
      <w:r>
        <w:rPr>
          <w:rFonts w:ascii="Arial" w:hAnsi="Arial" w:eastAsia="宋体" w:cs="Arial"/>
          <w:sz w:val="24"/>
          <w:szCs w:val="24"/>
        </w:rPr>
        <w:fldChar w:fldCharType="end"/>
      </w:r>
    </w:p>
    <w:p>
      <w:pPr>
        <w:pStyle w:val="26"/>
        <w:rPr>
          <w:rFonts w:ascii="Arial" w:hAnsi="Arial" w:eastAsia="宋体" w:cs="Arial"/>
          <w:kern w:val="2"/>
          <w:sz w:val="21"/>
          <w:szCs w:val="21"/>
        </w:rPr>
      </w:pPr>
      <w:r>
        <w:fldChar w:fldCharType="begin"/>
      </w:r>
      <w:r>
        <w:instrText xml:space="preserve"> HYPERLINK \l "_Toc525655418" </w:instrText>
      </w:r>
      <w:r>
        <w:fldChar w:fldCharType="separate"/>
      </w:r>
      <w:r>
        <w:rPr>
          <w:rStyle w:val="38"/>
          <w:rFonts w:ascii="Arial" w:hAnsi="Arial" w:eastAsia="宋体" w:cs="Arial"/>
          <w:color w:val="auto"/>
          <w:sz w:val="21"/>
          <w:szCs w:val="21"/>
        </w:rPr>
        <w:t>一、估价委托人</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_Toc525655418 \h </w:instrText>
      </w:r>
      <w:r>
        <w:rPr>
          <w:rFonts w:ascii="Arial" w:hAnsi="Arial" w:eastAsia="宋体" w:cs="Arial"/>
          <w:sz w:val="21"/>
          <w:szCs w:val="21"/>
        </w:rPr>
        <w:fldChar w:fldCharType="separate"/>
      </w:r>
      <w:r>
        <w:rPr>
          <w:rFonts w:ascii="Arial" w:hAnsi="Arial" w:eastAsia="宋体" w:cs="Arial"/>
          <w:sz w:val="21"/>
          <w:szCs w:val="21"/>
        </w:rPr>
        <w:t>10</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"_Toc525655419" </w:instrText>
      </w:r>
      <w:r>
        <w:fldChar w:fldCharType="separate"/>
      </w:r>
      <w:r>
        <w:rPr>
          <w:rStyle w:val="38"/>
          <w:rFonts w:ascii="Arial" w:hAnsi="Arial" w:eastAsia="宋体" w:cs="Arial"/>
          <w:color w:val="auto"/>
          <w:sz w:val="21"/>
          <w:szCs w:val="21"/>
        </w:rPr>
        <w:t>二、房地产估价机构</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_Toc525655419 \h </w:instrText>
      </w:r>
      <w:r>
        <w:rPr>
          <w:rFonts w:ascii="Arial" w:hAnsi="Arial" w:eastAsia="宋体" w:cs="Arial"/>
          <w:sz w:val="21"/>
          <w:szCs w:val="21"/>
        </w:rPr>
        <w:fldChar w:fldCharType="separate"/>
      </w:r>
      <w:r>
        <w:rPr>
          <w:rFonts w:ascii="Arial" w:hAnsi="Arial" w:eastAsia="宋体" w:cs="Arial"/>
          <w:sz w:val="21"/>
          <w:szCs w:val="21"/>
        </w:rPr>
        <w:t>10</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"_Toc525655420" </w:instrText>
      </w:r>
      <w:r>
        <w:fldChar w:fldCharType="separate"/>
      </w:r>
      <w:r>
        <w:rPr>
          <w:rStyle w:val="38"/>
          <w:rFonts w:ascii="Arial" w:hAnsi="Arial" w:eastAsia="宋体" w:cs="Arial"/>
          <w:color w:val="auto"/>
          <w:sz w:val="21"/>
          <w:szCs w:val="21"/>
        </w:rPr>
        <w:t>三、估价目的</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_Toc525655420 \h </w:instrText>
      </w:r>
      <w:r>
        <w:rPr>
          <w:rFonts w:ascii="Arial" w:hAnsi="Arial" w:eastAsia="宋体" w:cs="Arial"/>
          <w:sz w:val="21"/>
          <w:szCs w:val="21"/>
        </w:rPr>
        <w:fldChar w:fldCharType="separate"/>
      </w:r>
      <w:r>
        <w:rPr>
          <w:rFonts w:ascii="Arial" w:hAnsi="Arial" w:eastAsia="宋体" w:cs="Arial"/>
          <w:sz w:val="21"/>
          <w:szCs w:val="21"/>
        </w:rPr>
        <w:t>10</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"_Toc525655421" </w:instrText>
      </w:r>
      <w:r>
        <w:fldChar w:fldCharType="separate"/>
      </w:r>
      <w:r>
        <w:rPr>
          <w:rStyle w:val="38"/>
          <w:rFonts w:ascii="Arial" w:hAnsi="Arial" w:eastAsia="宋体" w:cs="Arial"/>
          <w:color w:val="auto"/>
          <w:sz w:val="21"/>
          <w:szCs w:val="21"/>
        </w:rPr>
        <w:t>四、估价对象</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_Toc525655421 \h </w:instrText>
      </w:r>
      <w:r>
        <w:rPr>
          <w:rFonts w:ascii="Arial" w:hAnsi="Arial" w:eastAsia="宋体" w:cs="Arial"/>
          <w:sz w:val="21"/>
          <w:szCs w:val="21"/>
        </w:rPr>
        <w:fldChar w:fldCharType="separate"/>
      </w:r>
      <w:r>
        <w:rPr>
          <w:rFonts w:ascii="Arial" w:hAnsi="Arial" w:eastAsia="宋体" w:cs="Arial"/>
          <w:sz w:val="21"/>
          <w:szCs w:val="21"/>
        </w:rPr>
        <w:t>10</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"_Toc525655422" </w:instrText>
      </w:r>
      <w:r>
        <w:fldChar w:fldCharType="separate"/>
      </w:r>
      <w:r>
        <w:rPr>
          <w:rStyle w:val="38"/>
          <w:rFonts w:ascii="Arial" w:hAnsi="Arial" w:eastAsia="宋体" w:cs="Arial"/>
          <w:color w:val="auto"/>
          <w:sz w:val="21"/>
          <w:szCs w:val="21"/>
        </w:rPr>
        <w:t>五、价值时点</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_Toc525655422 \h </w:instrText>
      </w:r>
      <w:r>
        <w:rPr>
          <w:rFonts w:ascii="Arial" w:hAnsi="Arial" w:eastAsia="宋体" w:cs="Arial"/>
          <w:sz w:val="21"/>
          <w:szCs w:val="21"/>
        </w:rPr>
        <w:fldChar w:fldCharType="separate"/>
      </w:r>
      <w:r>
        <w:rPr>
          <w:rFonts w:ascii="Arial" w:hAnsi="Arial" w:eastAsia="宋体" w:cs="Arial"/>
          <w:sz w:val="21"/>
          <w:szCs w:val="21"/>
        </w:rPr>
        <w:t>14</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"_Toc525655423" </w:instrText>
      </w:r>
      <w:r>
        <w:fldChar w:fldCharType="separate"/>
      </w:r>
      <w:r>
        <w:rPr>
          <w:rStyle w:val="38"/>
          <w:rFonts w:ascii="Arial" w:hAnsi="Arial" w:eastAsia="宋体" w:cs="Arial"/>
          <w:color w:val="auto"/>
          <w:sz w:val="21"/>
          <w:szCs w:val="21"/>
        </w:rPr>
        <w:t>六、价值类型</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_Toc525655423 \h </w:instrText>
      </w:r>
      <w:r>
        <w:rPr>
          <w:rFonts w:ascii="Arial" w:hAnsi="Arial" w:eastAsia="宋体" w:cs="Arial"/>
          <w:sz w:val="21"/>
          <w:szCs w:val="21"/>
        </w:rPr>
        <w:fldChar w:fldCharType="separate"/>
      </w:r>
      <w:r>
        <w:rPr>
          <w:rFonts w:ascii="Arial" w:hAnsi="Arial" w:eastAsia="宋体" w:cs="Arial"/>
          <w:sz w:val="21"/>
          <w:szCs w:val="21"/>
        </w:rPr>
        <w:t>14</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"_Toc525655424" </w:instrText>
      </w:r>
      <w:r>
        <w:fldChar w:fldCharType="separate"/>
      </w:r>
      <w:r>
        <w:rPr>
          <w:rStyle w:val="38"/>
          <w:rFonts w:ascii="Arial" w:hAnsi="Arial" w:eastAsia="宋体" w:cs="Arial"/>
          <w:color w:val="auto"/>
          <w:sz w:val="21"/>
          <w:szCs w:val="21"/>
        </w:rPr>
        <w:t>七、估价原则</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_Toc525655424 \h </w:instrText>
      </w:r>
      <w:r>
        <w:rPr>
          <w:rFonts w:ascii="Arial" w:hAnsi="Arial" w:eastAsia="宋体" w:cs="Arial"/>
          <w:sz w:val="21"/>
          <w:szCs w:val="21"/>
        </w:rPr>
        <w:fldChar w:fldCharType="separate"/>
      </w:r>
      <w:r>
        <w:rPr>
          <w:rFonts w:ascii="Arial" w:hAnsi="Arial" w:eastAsia="宋体" w:cs="Arial"/>
          <w:sz w:val="21"/>
          <w:szCs w:val="21"/>
        </w:rPr>
        <w:t>14</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"_Toc525655425" </w:instrText>
      </w:r>
      <w:r>
        <w:fldChar w:fldCharType="separate"/>
      </w:r>
      <w:r>
        <w:rPr>
          <w:rStyle w:val="38"/>
          <w:rFonts w:ascii="Arial" w:hAnsi="Arial" w:eastAsia="宋体" w:cs="Arial"/>
          <w:color w:val="auto"/>
          <w:sz w:val="21"/>
          <w:szCs w:val="21"/>
        </w:rPr>
        <w:t>八、估价依据</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_Toc525655425 \h </w:instrText>
      </w:r>
      <w:r>
        <w:rPr>
          <w:rFonts w:ascii="Arial" w:hAnsi="Arial" w:eastAsia="宋体" w:cs="Arial"/>
          <w:sz w:val="21"/>
          <w:szCs w:val="21"/>
        </w:rPr>
        <w:fldChar w:fldCharType="separate"/>
      </w:r>
      <w:r>
        <w:rPr>
          <w:rFonts w:ascii="Arial" w:hAnsi="Arial" w:eastAsia="宋体" w:cs="Arial"/>
          <w:sz w:val="21"/>
          <w:szCs w:val="21"/>
        </w:rPr>
        <w:t>16</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"_Toc525655426" </w:instrText>
      </w:r>
      <w:r>
        <w:fldChar w:fldCharType="separate"/>
      </w:r>
      <w:r>
        <w:rPr>
          <w:rStyle w:val="38"/>
          <w:rFonts w:ascii="Arial" w:hAnsi="Arial" w:eastAsia="宋体" w:cs="Arial"/>
          <w:color w:val="auto"/>
          <w:sz w:val="21"/>
          <w:szCs w:val="21"/>
        </w:rPr>
        <w:t>九、估价方法</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_Toc525655426 \h </w:instrText>
      </w:r>
      <w:r>
        <w:rPr>
          <w:rFonts w:ascii="Arial" w:hAnsi="Arial" w:eastAsia="宋体" w:cs="Arial"/>
          <w:sz w:val="21"/>
          <w:szCs w:val="21"/>
        </w:rPr>
        <w:fldChar w:fldCharType="separate"/>
      </w:r>
      <w:r>
        <w:rPr>
          <w:rFonts w:ascii="Arial" w:hAnsi="Arial" w:eastAsia="宋体" w:cs="Arial"/>
          <w:sz w:val="21"/>
          <w:szCs w:val="21"/>
        </w:rPr>
        <w:t>18</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"_Toc525655427" </w:instrText>
      </w:r>
      <w:r>
        <w:fldChar w:fldCharType="separate"/>
      </w:r>
      <w:r>
        <w:rPr>
          <w:rStyle w:val="38"/>
          <w:rFonts w:ascii="Arial" w:hAnsi="Arial" w:eastAsia="宋体" w:cs="Arial"/>
          <w:color w:val="auto"/>
          <w:sz w:val="21"/>
          <w:szCs w:val="21"/>
        </w:rPr>
        <w:t>十、估价结果</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_Toc525655427 \h </w:instrText>
      </w:r>
      <w:r>
        <w:rPr>
          <w:rFonts w:ascii="Arial" w:hAnsi="Arial" w:eastAsia="宋体" w:cs="Arial"/>
          <w:sz w:val="21"/>
          <w:szCs w:val="21"/>
        </w:rPr>
        <w:fldChar w:fldCharType="separate"/>
      </w:r>
      <w:r>
        <w:rPr>
          <w:rFonts w:ascii="Arial" w:hAnsi="Arial" w:eastAsia="宋体" w:cs="Arial"/>
          <w:sz w:val="21"/>
          <w:szCs w:val="21"/>
        </w:rPr>
        <w:t>19</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"_Toc525655428" </w:instrText>
      </w:r>
      <w:r>
        <w:fldChar w:fldCharType="separate"/>
      </w:r>
      <w:r>
        <w:rPr>
          <w:rStyle w:val="38"/>
          <w:rFonts w:ascii="Arial" w:hAnsi="Arial" w:eastAsia="宋体" w:cs="Arial"/>
          <w:color w:val="auto"/>
          <w:sz w:val="21"/>
          <w:szCs w:val="21"/>
        </w:rPr>
        <w:t>十一、参与本次估价工作的评估专业人员</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_Toc525655428 \h </w:instrText>
      </w:r>
      <w:r>
        <w:rPr>
          <w:rFonts w:ascii="Arial" w:hAnsi="Arial" w:eastAsia="宋体" w:cs="Arial"/>
          <w:sz w:val="21"/>
          <w:szCs w:val="21"/>
        </w:rPr>
        <w:fldChar w:fldCharType="separate"/>
      </w:r>
      <w:r>
        <w:rPr>
          <w:rFonts w:ascii="Arial" w:hAnsi="Arial" w:eastAsia="宋体" w:cs="Arial"/>
          <w:sz w:val="21"/>
          <w:szCs w:val="21"/>
        </w:rPr>
        <w:t>20</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"_Toc525655429" </w:instrText>
      </w:r>
      <w:r>
        <w:fldChar w:fldCharType="separate"/>
      </w:r>
      <w:r>
        <w:rPr>
          <w:rStyle w:val="38"/>
          <w:rFonts w:ascii="Arial" w:hAnsi="Arial" w:eastAsia="宋体" w:cs="Arial"/>
          <w:color w:val="auto"/>
          <w:sz w:val="21"/>
          <w:szCs w:val="21"/>
        </w:rPr>
        <w:t>十二、实地查勘期</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_Toc525655429 \h </w:instrText>
      </w:r>
      <w:r>
        <w:rPr>
          <w:rFonts w:ascii="Arial" w:hAnsi="Arial" w:eastAsia="宋体" w:cs="Arial"/>
          <w:sz w:val="21"/>
          <w:szCs w:val="21"/>
        </w:rPr>
        <w:fldChar w:fldCharType="separate"/>
      </w:r>
      <w:r>
        <w:rPr>
          <w:rFonts w:ascii="Arial" w:hAnsi="Arial" w:eastAsia="宋体" w:cs="Arial"/>
          <w:sz w:val="21"/>
          <w:szCs w:val="21"/>
        </w:rPr>
        <w:t>20</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Cs w:val="24"/>
        </w:rPr>
      </w:pPr>
      <w:r>
        <w:fldChar w:fldCharType="begin"/>
      </w:r>
      <w:r>
        <w:instrText xml:space="preserve"> HYPERLINK \l "_Toc525655430" </w:instrText>
      </w:r>
      <w:r>
        <w:fldChar w:fldCharType="separate"/>
      </w:r>
      <w:r>
        <w:rPr>
          <w:rStyle w:val="38"/>
          <w:rFonts w:ascii="Arial" w:hAnsi="Arial" w:eastAsia="宋体" w:cs="Arial"/>
          <w:color w:val="auto"/>
          <w:sz w:val="21"/>
          <w:szCs w:val="21"/>
        </w:rPr>
        <w:t>十三、估价作业期</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_Toc525655430 \h </w:instrText>
      </w:r>
      <w:r>
        <w:rPr>
          <w:rFonts w:ascii="Arial" w:hAnsi="Arial" w:eastAsia="宋体" w:cs="Arial"/>
          <w:sz w:val="21"/>
          <w:szCs w:val="21"/>
        </w:rPr>
        <w:fldChar w:fldCharType="separate"/>
      </w:r>
      <w:r>
        <w:rPr>
          <w:rFonts w:ascii="Arial" w:hAnsi="Arial" w:eastAsia="宋体" w:cs="Arial"/>
          <w:sz w:val="21"/>
          <w:szCs w:val="21"/>
        </w:rPr>
        <w:t>20</w:t>
      </w:r>
      <w:r>
        <w:rPr>
          <w:rFonts w:ascii="Arial" w:hAnsi="Arial" w:eastAsia="宋体" w:cs="Arial"/>
          <w:sz w:val="21"/>
          <w:szCs w:val="21"/>
        </w:rPr>
        <w:fldChar w:fldCharType="end"/>
      </w:r>
      <w:r>
        <w:rPr>
          <w:rFonts w:ascii="Arial" w:hAnsi="Arial" w:eastAsia="宋体" w:cs="Arial"/>
          <w:sz w:val="21"/>
          <w:szCs w:val="21"/>
        </w:rPr>
        <w:fldChar w:fldCharType="end"/>
      </w:r>
    </w:p>
    <w:p>
      <w:pPr>
        <w:pStyle w:val="22"/>
        <w:rPr>
          <w:rFonts w:ascii="Arial" w:hAnsi="Arial" w:eastAsia="宋体" w:cs="Arial"/>
          <w:b w:val="0"/>
          <w:bCs w:val="0"/>
          <w:kern w:val="2"/>
          <w:sz w:val="24"/>
          <w:szCs w:val="24"/>
        </w:rPr>
      </w:pPr>
      <w:r>
        <w:fldChar w:fldCharType="begin"/>
      </w:r>
      <w:r>
        <w:instrText xml:space="preserve"> HYPERLINK \l "_Toc525655431" </w:instrText>
      </w:r>
      <w:r>
        <w:fldChar w:fldCharType="separate"/>
      </w:r>
      <w:r>
        <w:rPr>
          <w:rStyle w:val="38"/>
          <w:rFonts w:ascii="Arial" w:hAnsi="Arial" w:eastAsia="宋体" w:cs="Arial"/>
          <w:color w:val="auto"/>
          <w:sz w:val="24"/>
          <w:szCs w:val="24"/>
        </w:rPr>
        <w:t>估价技术报告</w:t>
      </w:r>
      <w:r>
        <w:rPr>
          <w:rFonts w:ascii="Arial" w:hAnsi="Arial" w:eastAsia="宋体" w:cs="Arial"/>
          <w:sz w:val="24"/>
          <w:szCs w:val="24"/>
        </w:rPr>
        <w:tab/>
      </w:r>
      <w:r>
        <w:rPr>
          <w:rFonts w:ascii="Arial" w:hAnsi="Arial" w:eastAsia="宋体" w:cs="Arial"/>
          <w:sz w:val="24"/>
          <w:szCs w:val="24"/>
        </w:rPr>
        <w:fldChar w:fldCharType="begin"/>
      </w:r>
      <w:r>
        <w:rPr>
          <w:rFonts w:ascii="Arial" w:hAnsi="Arial" w:eastAsia="宋体" w:cs="Arial"/>
          <w:sz w:val="24"/>
          <w:szCs w:val="24"/>
        </w:rPr>
        <w:instrText xml:space="preserve"> PAGEREF _Toc525655431 \h </w:instrText>
      </w:r>
      <w:r>
        <w:rPr>
          <w:rFonts w:ascii="Arial" w:hAnsi="Arial" w:eastAsia="宋体" w:cs="Arial"/>
          <w:sz w:val="24"/>
          <w:szCs w:val="24"/>
        </w:rPr>
        <w:fldChar w:fldCharType="separate"/>
      </w:r>
      <w:r>
        <w:rPr>
          <w:rFonts w:ascii="Arial" w:hAnsi="Arial" w:eastAsia="宋体" w:cs="Arial"/>
          <w:sz w:val="24"/>
          <w:szCs w:val="24"/>
        </w:rPr>
        <w:t>21</w:t>
      </w:r>
      <w:r>
        <w:rPr>
          <w:rFonts w:ascii="Arial" w:hAnsi="Arial" w:eastAsia="宋体" w:cs="Arial"/>
          <w:sz w:val="24"/>
          <w:szCs w:val="24"/>
        </w:rPr>
        <w:fldChar w:fldCharType="end"/>
      </w:r>
      <w:r>
        <w:rPr>
          <w:rFonts w:ascii="Arial" w:hAnsi="Arial" w:eastAsia="宋体" w:cs="Arial"/>
          <w:sz w:val="24"/>
          <w:szCs w:val="24"/>
        </w:rPr>
        <w:fldChar w:fldCharType="end"/>
      </w:r>
    </w:p>
    <w:p>
      <w:pPr>
        <w:pStyle w:val="26"/>
        <w:rPr>
          <w:rFonts w:ascii="Arial" w:hAnsi="Arial" w:eastAsia="宋体" w:cs="Arial"/>
          <w:kern w:val="2"/>
          <w:sz w:val="21"/>
          <w:szCs w:val="21"/>
        </w:rPr>
      </w:pPr>
      <w:r>
        <w:fldChar w:fldCharType="begin"/>
      </w:r>
      <w:r>
        <w:instrText xml:space="preserve"> HYPERLINK \l "_Toc525655432" </w:instrText>
      </w:r>
      <w:r>
        <w:fldChar w:fldCharType="separate"/>
      </w:r>
      <w:r>
        <w:rPr>
          <w:rStyle w:val="38"/>
          <w:rFonts w:ascii="Arial" w:hAnsi="Arial" w:eastAsia="宋体" w:cs="Arial"/>
          <w:color w:val="auto"/>
          <w:sz w:val="21"/>
          <w:szCs w:val="21"/>
        </w:rPr>
        <w:t>一、估价对象描述与分析</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_Toc525655432 \h </w:instrText>
      </w:r>
      <w:r>
        <w:rPr>
          <w:rFonts w:ascii="Arial" w:hAnsi="Arial" w:eastAsia="宋体" w:cs="Arial"/>
          <w:sz w:val="21"/>
          <w:szCs w:val="21"/>
        </w:rPr>
        <w:fldChar w:fldCharType="separate"/>
      </w:r>
      <w:r>
        <w:rPr>
          <w:rFonts w:ascii="Arial" w:hAnsi="Arial" w:eastAsia="宋体" w:cs="Arial"/>
          <w:sz w:val="21"/>
          <w:szCs w:val="21"/>
        </w:rPr>
        <w:t>21</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"_Toc525655433" </w:instrText>
      </w:r>
      <w:r>
        <w:fldChar w:fldCharType="separate"/>
      </w:r>
      <w:r>
        <w:rPr>
          <w:rStyle w:val="38"/>
          <w:rFonts w:ascii="Arial" w:hAnsi="Arial" w:eastAsia="宋体" w:cs="Arial"/>
          <w:color w:val="auto"/>
          <w:sz w:val="21"/>
          <w:szCs w:val="21"/>
        </w:rPr>
        <w:t>（一）区位状况分析</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_Toc525655433 \h </w:instrText>
      </w:r>
      <w:r>
        <w:rPr>
          <w:rFonts w:ascii="Arial" w:hAnsi="Arial" w:eastAsia="宋体" w:cs="Arial"/>
          <w:sz w:val="21"/>
          <w:szCs w:val="21"/>
        </w:rPr>
        <w:fldChar w:fldCharType="separate"/>
      </w:r>
      <w:r>
        <w:rPr>
          <w:rFonts w:ascii="Arial" w:hAnsi="Arial" w:eastAsia="宋体" w:cs="Arial"/>
          <w:sz w:val="21"/>
          <w:szCs w:val="21"/>
        </w:rPr>
        <w:t>21</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"_Toc525655435" </w:instrText>
      </w:r>
      <w:r>
        <w:fldChar w:fldCharType="separate"/>
      </w:r>
      <w:r>
        <w:rPr>
          <w:rStyle w:val="38"/>
          <w:rFonts w:ascii="Arial" w:hAnsi="Arial" w:eastAsia="宋体" w:cs="Arial"/>
          <w:color w:val="auto"/>
          <w:sz w:val="21"/>
          <w:szCs w:val="21"/>
        </w:rPr>
        <w:t>（二）实物状况分析</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_Toc525655435 \h </w:instrText>
      </w:r>
      <w:r>
        <w:rPr>
          <w:rFonts w:ascii="Arial" w:hAnsi="Arial" w:eastAsia="宋体" w:cs="Arial"/>
          <w:sz w:val="21"/>
          <w:szCs w:val="21"/>
        </w:rPr>
        <w:fldChar w:fldCharType="separate"/>
      </w:r>
      <w:r>
        <w:rPr>
          <w:rFonts w:ascii="Arial" w:hAnsi="Arial" w:eastAsia="宋体" w:cs="Arial"/>
          <w:sz w:val="21"/>
          <w:szCs w:val="21"/>
        </w:rPr>
        <w:t>22</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"_Toc525655436" </w:instrText>
      </w:r>
      <w:r>
        <w:fldChar w:fldCharType="separate"/>
      </w:r>
      <w:r>
        <w:rPr>
          <w:rStyle w:val="38"/>
          <w:rFonts w:ascii="Arial" w:hAnsi="Arial" w:eastAsia="宋体" w:cs="Arial"/>
          <w:color w:val="auto"/>
          <w:sz w:val="21"/>
          <w:szCs w:val="21"/>
        </w:rPr>
        <w:t>（三）权益状况分析</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_Toc525655436 \h </w:instrText>
      </w:r>
      <w:r>
        <w:rPr>
          <w:rFonts w:ascii="Arial" w:hAnsi="Arial" w:eastAsia="宋体" w:cs="Arial"/>
          <w:sz w:val="21"/>
          <w:szCs w:val="21"/>
        </w:rPr>
        <w:fldChar w:fldCharType="separate"/>
      </w:r>
      <w:r>
        <w:rPr>
          <w:rFonts w:ascii="Arial" w:hAnsi="Arial" w:eastAsia="宋体" w:cs="Arial"/>
          <w:sz w:val="21"/>
          <w:szCs w:val="21"/>
        </w:rPr>
        <w:t>24</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"_Toc525655437" </w:instrText>
      </w:r>
      <w:r>
        <w:fldChar w:fldCharType="separate"/>
      </w:r>
      <w:r>
        <w:rPr>
          <w:rStyle w:val="38"/>
          <w:rFonts w:ascii="Arial" w:hAnsi="Arial" w:eastAsia="宋体" w:cs="Arial"/>
          <w:color w:val="auto"/>
          <w:sz w:val="21"/>
          <w:szCs w:val="21"/>
        </w:rPr>
        <w:t>二、市场背景描述与分析</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_Toc525655437 \h </w:instrText>
      </w:r>
      <w:r>
        <w:rPr>
          <w:rFonts w:ascii="Arial" w:hAnsi="Arial" w:eastAsia="宋体" w:cs="Arial"/>
          <w:sz w:val="21"/>
          <w:szCs w:val="21"/>
        </w:rPr>
        <w:fldChar w:fldCharType="separate"/>
      </w:r>
      <w:r>
        <w:rPr>
          <w:rFonts w:ascii="Arial" w:hAnsi="Arial" w:eastAsia="宋体" w:cs="Arial"/>
          <w:sz w:val="21"/>
          <w:szCs w:val="21"/>
        </w:rPr>
        <w:t>24</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"_Toc525655438" </w:instrText>
      </w:r>
      <w:r>
        <w:fldChar w:fldCharType="separate"/>
      </w:r>
      <w:r>
        <w:rPr>
          <w:rStyle w:val="38"/>
          <w:rFonts w:ascii="Arial" w:hAnsi="Arial" w:eastAsia="宋体" w:cs="Arial"/>
          <w:color w:val="auto"/>
          <w:sz w:val="21"/>
          <w:szCs w:val="21"/>
        </w:rPr>
        <w:t>三、最高最佳利用分析</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_Toc525655438 \h </w:instrText>
      </w:r>
      <w:r>
        <w:rPr>
          <w:rFonts w:ascii="Arial" w:hAnsi="Arial" w:eastAsia="宋体" w:cs="Arial"/>
          <w:sz w:val="21"/>
          <w:szCs w:val="21"/>
        </w:rPr>
        <w:fldChar w:fldCharType="separate"/>
      </w:r>
      <w:r>
        <w:rPr>
          <w:rFonts w:ascii="Arial" w:hAnsi="Arial" w:eastAsia="宋体" w:cs="Arial"/>
          <w:sz w:val="21"/>
          <w:szCs w:val="21"/>
        </w:rPr>
        <w:t>37</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"_Toc525655439" </w:instrText>
      </w:r>
      <w:r>
        <w:fldChar w:fldCharType="separate"/>
      </w:r>
      <w:r>
        <w:rPr>
          <w:rStyle w:val="38"/>
          <w:rFonts w:ascii="Arial" w:hAnsi="Arial" w:eastAsia="宋体" w:cs="Arial"/>
          <w:color w:val="auto"/>
          <w:sz w:val="21"/>
          <w:szCs w:val="21"/>
        </w:rPr>
        <w:t>四、估价方法适用性分析</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_Toc525655439 \h </w:instrText>
      </w:r>
      <w:r>
        <w:rPr>
          <w:rFonts w:ascii="Arial" w:hAnsi="Arial" w:eastAsia="宋体" w:cs="Arial"/>
          <w:sz w:val="21"/>
          <w:szCs w:val="21"/>
        </w:rPr>
        <w:fldChar w:fldCharType="separate"/>
      </w:r>
      <w:r>
        <w:rPr>
          <w:rFonts w:ascii="Arial" w:hAnsi="Arial" w:eastAsia="宋体" w:cs="Arial"/>
          <w:sz w:val="21"/>
          <w:szCs w:val="21"/>
        </w:rPr>
        <w:t>40</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 w:val="21"/>
          <w:szCs w:val="21"/>
        </w:rPr>
      </w:pPr>
      <w:r>
        <w:fldChar w:fldCharType="begin"/>
      </w:r>
      <w:r>
        <w:instrText xml:space="preserve"> HYPERLINK \l "_Toc525655440" </w:instrText>
      </w:r>
      <w:r>
        <w:fldChar w:fldCharType="separate"/>
      </w:r>
      <w:r>
        <w:rPr>
          <w:rStyle w:val="38"/>
          <w:rFonts w:ascii="Arial" w:hAnsi="Arial" w:eastAsia="宋体" w:cs="Arial"/>
          <w:color w:val="auto"/>
          <w:sz w:val="21"/>
          <w:szCs w:val="21"/>
        </w:rPr>
        <w:t>五、估价测算过程</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_Toc525655440 \h </w:instrText>
      </w:r>
      <w:r>
        <w:rPr>
          <w:rFonts w:ascii="Arial" w:hAnsi="Arial" w:eastAsia="宋体" w:cs="Arial"/>
          <w:sz w:val="21"/>
          <w:szCs w:val="21"/>
        </w:rPr>
        <w:fldChar w:fldCharType="separate"/>
      </w:r>
      <w:r>
        <w:rPr>
          <w:rFonts w:ascii="Arial" w:hAnsi="Arial" w:eastAsia="宋体" w:cs="Arial"/>
          <w:sz w:val="21"/>
          <w:szCs w:val="21"/>
        </w:rPr>
        <w:t>42</w:t>
      </w:r>
      <w:r>
        <w:rPr>
          <w:rFonts w:ascii="Arial" w:hAnsi="Arial" w:eastAsia="宋体" w:cs="Arial"/>
          <w:sz w:val="21"/>
          <w:szCs w:val="21"/>
        </w:rPr>
        <w:fldChar w:fldCharType="end"/>
      </w:r>
      <w:r>
        <w:rPr>
          <w:rFonts w:ascii="Arial" w:hAnsi="Arial" w:eastAsia="宋体" w:cs="Arial"/>
          <w:sz w:val="21"/>
          <w:szCs w:val="21"/>
        </w:rPr>
        <w:fldChar w:fldCharType="end"/>
      </w:r>
    </w:p>
    <w:p>
      <w:pPr>
        <w:pStyle w:val="26"/>
        <w:rPr>
          <w:rFonts w:ascii="Arial" w:hAnsi="Arial" w:eastAsia="宋体" w:cs="Arial"/>
          <w:kern w:val="2"/>
          <w:szCs w:val="24"/>
        </w:rPr>
      </w:pPr>
      <w:r>
        <w:fldChar w:fldCharType="begin"/>
      </w:r>
      <w:r>
        <w:instrText xml:space="preserve"> HYPERLINK \l "_Toc525655441" </w:instrText>
      </w:r>
      <w:r>
        <w:fldChar w:fldCharType="separate"/>
      </w:r>
      <w:r>
        <w:rPr>
          <w:rStyle w:val="38"/>
          <w:rFonts w:ascii="Arial" w:hAnsi="Arial" w:eastAsia="宋体" w:cs="Arial"/>
          <w:color w:val="auto"/>
          <w:sz w:val="21"/>
          <w:szCs w:val="21"/>
        </w:rPr>
        <w:t>六、估价结果确定</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_Toc525655441 \h </w:instrText>
      </w:r>
      <w:r>
        <w:rPr>
          <w:rFonts w:ascii="Arial" w:hAnsi="Arial" w:eastAsia="宋体" w:cs="Arial"/>
          <w:sz w:val="21"/>
          <w:szCs w:val="21"/>
        </w:rPr>
        <w:fldChar w:fldCharType="separate"/>
      </w:r>
      <w:r>
        <w:rPr>
          <w:rFonts w:ascii="Arial" w:hAnsi="Arial" w:eastAsia="宋体" w:cs="Arial"/>
          <w:sz w:val="21"/>
          <w:szCs w:val="21"/>
        </w:rPr>
        <w:t>55</w:t>
      </w:r>
      <w:r>
        <w:rPr>
          <w:rFonts w:ascii="Arial" w:hAnsi="Arial" w:eastAsia="宋体" w:cs="Arial"/>
          <w:sz w:val="21"/>
          <w:szCs w:val="21"/>
        </w:rPr>
        <w:fldChar w:fldCharType="end"/>
      </w:r>
      <w:r>
        <w:rPr>
          <w:rFonts w:ascii="Arial" w:hAnsi="Arial" w:eastAsia="宋体" w:cs="Arial"/>
          <w:sz w:val="21"/>
          <w:szCs w:val="21"/>
        </w:rPr>
        <w:fldChar w:fldCharType="end"/>
      </w:r>
    </w:p>
    <w:p>
      <w:pPr>
        <w:pStyle w:val="22"/>
        <w:rPr>
          <w:rFonts w:ascii="Arial" w:hAnsi="Arial" w:eastAsia="宋体" w:cs="Arial"/>
          <w:b w:val="0"/>
          <w:bCs w:val="0"/>
          <w:kern w:val="2"/>
          <w:sz w:val="24"/>
          <w:szCs w:val="24"/>
        </w:rPr>
      </w:pPr>
      <w:r>
        <w:fldChar w:fldCharType="begin"/>
      </w:r>
      <w:r>
        <w:instrText xml:space="preserve"> HYPERLINK \l "_Toc525655442" </w:instrText>
      </w:r>
      <w:r>
        <w:fldChar w:fldCharType="separate"/>
      </w:r>
      <w:r>
        <w:rPr>
          <w:rStyle w:val="38"/>
          <w:rFonts w:ascii="Arial" w:hAnsi="Arial" w:eastAsia="宋体" w:cs="Arial"/>
          <w:color w:val="auto"/>
          <w:sz w:val="24"/>
          <w:szCs w:val="24"/>
        </w:rPr>
        <w:t>附   件</w:t>
      </w:r>
      <w:r>
        <w:rPr>
          <w:rFonts w:ascii="Arial" w:hAnsi="Arial" w:eastAsia="宋体" w:cs="Arial"/>
          <w:sz w:val="24"/>
          <w:szCs w:val="24"/>
        </w:rPr>
        <w:tab/>
      </w:r>
      <w:r>
        <w:rPr>
          <w:rFonts w:ascii="Arial" w:hAnsi="Arial" w:eastAsia="宋体" w:cs="Arial"/>
          <w:sz w:val="24"/>
          <w:szCs w:val="24"/>
        </w:rPr>
        <w:fldChar w:fldCharType="begin"/>
      </w:r>
      <w:r>
        <w:rPr>
          <w:rFonts w:ascii="Arial" w:hAnsi="Arial" w:eastAsia="宋体" w:cs="Arial"/>
          <w:sz w:val="24"/>
          <w:szCs w:val="24"/>
        </w:rPr>
        <w:instrText xml:space="preserve"> PAGEREF _Toc525655442 \h </w:instrText>
      </w:r>
      <w:r>
        <w:rPr>
          <w:rFonts w:ascii="Arial" w:hAnsi="Arial" w:eastAsia="宋体" w:cs="Arial"/>
          <w:sz w:val="24"/>
          <w:szCs w:val="24"/>
        </w:rPr>
        <w:fldChar w:fldCharType="separate"/>
      </w:r>
      <w:r>
        <w:rPr>
          <w:rFonts w:ascii="Arial" w:hAnsi="Arial" w:eastAsia="宋体" w:cs="Arial"/>
          <w:sz w:val="24"/>
          <w:szCs w:val="24"/>
        </w:rPr>
        <w:t>56</w:t>
      </w:r>
      <w:r>
        <w:rPr>
          <w:rFonts w:ascii="Arial" w:hAnsi="Arial" w:eastAsia="宋体" w:cs="Arial"/>
          <w:sz w:val="24"/>
          <w:szCs w:val="24"/>
        </w:rPr>
        <w:fldChar w:fldCharType="end"/>
      </w:r>
      <w:r>
        <w:rPr>
          <w:rFonts w:ascii="Arial" w:hAnsi="Arial" w:eastAsia="宋体" w:cs="Arial"/>
          <w:sz w:val="24"/>
          <w:szCs w:val="24"/>
        </w:rPr>
        <w:fldChar w:fldCharType="end"/>
      </w:r>
    </w:p>
    <w:p>
      <w:pPr>
        <w:numPr>
          <w:ilvl w:val="0"/>
          <w:numId w:val="5"/>
        </w:numPr>
        <w:spacing w:line="360" w:lineRule="auto"/>
        <w:jc w:val="both"/>
        <w:rPr>
          <w:rFonts w:ascii="Arial" w:hAnsi="Arial" w:cs="Arial"/>
          <w:sz w:val="21"/>
          <w:szCs w:val="21"/>
        </w:rPr>
      </w:pPr>
      <w:r>
        <w:rPr>
          <w:rFonts w:ascii="Arial" w:hAnsi="Arial" w:cs="Arial"/>
        </w:rPr>
        <w:fldChar w:fldCharType="end"/>
      </w:r>
      <w:r>
        <w:rPr>
          <w:rFonts w:ascii="Arial" w:hAnsi="Arial" w:cs="Arial"/>
          <w:sz w:val="21"/>
          <w:szCs w:val="21"/>
        </w:rPr>
        <w:t>《估价委托书》复印件</w:t>
      </w:r>
    </w:p>
    <w:p>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pPr>
        <w:numPr>
          <w:ilvl w:val="0"/>
          <w:numId w:val="5"/>
        </w:numPr>
        <w:spacing w:line="360" w:lineRule="auto"/>
        <w:jc w:val="both"/>
        <w:rPr>
          <w:rFonts w:ascii="Arial" w:hAnsi="Arial" w:cs="Arial"/>
          <w:sz w:val="21"/>
          <w:szCs w:val="21"/>
        </w:rPr>
      </w:pPr>
      <w:r>
        <w:rPr>
          <w:rFonts w:ascii="Arial" w:hAnsi="Arial" w:cs="Arial"/>
          <w:sz w:val="21"/>
          <w:szCs w:val="21"/>
        </w:rPr>
        <w:t>估价对象现状相关照片</w:t>
      </w:r>
    </w:p>
    <w:p>
      <w:pPr>
        <w:numPr>
          <w:ilvl w:val="0"/>
          <w:numId w:val="5"/>
        </w:numPr>
        <w:spacing w:line="360" w:lineRule="auto"/>
        <w:jc w:val="both"/>
        <w:rPr>
          <w:rFonts w:ascii="Arial" w:hAnsi="Arial" w:cs="Arial"/>
          <w:sz w:val="21"/>
          <w:szCs w:val="21"/>
        </w:rPr>
      </w:pPr>
      <w:r>
        <w:rPr>
          <w:rFonts w:hint="eastAsia" w:ascii="Arial" w:hAnsi="Arial" w:cs="Arial"/>
          <w:sz w:val="21"/>
          <w:szCs w:val="21"/>
        </w:rPr>
        <w:t>《关于</w:t>
      </w:r>
      <w:r>
        <w:rPr>
          <w:rFonts w:hint="eastAsia" w:ascii="Arial" w:hAnsi="Arial" w:cs="Arial"/>
          <w:sz w:val="21"/>
          <w:szCs w:val="21"/>
          <w:lang w:eastAsia="zh-CN"/>
        </w:rPr>
        <w:t>北京市房山区拱辰街道办事处</w:t>
      </w:r>
      <w:r>
        <w:rPr>
          <w:rFonts w:hint="eastAsia" w:ascii="Arial" w:hAnsi="Arial" w:cs="Arial"/>
          <w:sz w:val="21"/>
          <w:szCs w:val="21"/>
          <w:lang w:val="en-US" w:eastAsia="zh-CN"/>
        </w:rPr>
        <w:t>FS00-LX05-0046、0056地块R2二类居住用地项目“多规合一”协同平台综合会商意见的函</w:t>
      </w:r>
      <w:r>
        <w:rPr>
          <w:rFonts w:hint="eastAsia" w:ascii="Arial" w:hAnsi="Arial" w:cs="Arial"/>
          <w:sz w:val="21"/>
          <w:szCs w:val="21"/>
        </w:rPr>
        <w:t>》</w:t>
      </w:r>
      <w:r>
        <w:rPr>
          <w:rFonts w:hint="eastAsia" w:ascii="Arial" w:hAnsi="Arial" w:cs="Arial"/>
          <w:sz w:val="21"/>
          <w:szCs w:val="21"/>
          <w:lang w:val="en-US" w:eastAsia="zh-CN"/>
        </w:rPr>
        <w:t>[京规自（房）综审函[2020]0047号]</w:t>
      </w:r>
      <w:r>
        <w:rPr>
          <w:rFonts w:hint="eastAsia" w:ascii="Arial" w:hAnsi="Arial" w:cs="Arial"/>
          <w:sz w:val="21"/>
          <w:szCs w:val="21"/>
        </w:rPr>
        <w:t>复印件</w:t>
      </w:r>
    </w:p>
    <w:p>
      <w:pPr>
        <w:numPr>
          <w:ilvl w:val="0"/>
          <w:numId w:val="5"/>
        </w:numPr>
        <w:spacing w:line="360" w:lineRule="auto"/>
        <w:jc w:val="both"/>
        <w:rPr>
          <w:rFonts w:ascii="Arial" w:hAnsi="Arial" w:cs="Arial"/>
          <w:sz w:val="21"/>
          <w:szCs w:val="21"/>
        </w:rPr>
      </w:pPr>
      <w:r>
        <w:rPr>
          <w:rFonts w:hint="eastAsia" w:ascii="Arial" w:hAnsi="Arial" w:cs="Arial"/>
          <w:sz w:val="21"/>
          <w:szCs w:val="21"/>
          <w:lang w:eastAsia="zh-CN"/>
        </w:rPr>
        <w:t>《国有建设用地使用权出让合同》[电子监管号：1101002020B00714]及其补充协议复印件</w:t>
      </w:r>
    </w:p>
    <w:p>
      <w:pPr>
        <w:numPr>
          <w:ilvl w:val="0"/>
          <w:numId w:val="5"/>
        </w:numPr>
        <w:spacing w:line="360" w:lineRule="auto"/>
        <w:jc w:val="both"/>
        <w:rPr>
          <w:rFonts w:ascii="Arial" w:hAnsi="Arial" w:cs="Arial"/>
          <w:sz w:val="21"/>
          <w:szCs w:val="21"/>
        </w:rPr>
      </w:pPr>
      <w:r>
        <w:rPr>
          <w:rFonts w:ascii="Arial" w:hAnsi="Arial" w:cs="Arial"/>
          <w:sz w:val="21"/>
          <w:szCs w:val="21"/>
        </w:rPr>
        <w:t>《建设工程规划许可证》[2</w:t>
      </w:r>
      <w:r>
        <w:rPr>
          <w:rFonts w:hint="eastAsia" w:ascii="Arial" w:hAnsi="Arial" w:cs="Arial"/>
          <w:sz w:val="21"/>
          <w:szCs w:val="21"/>
          <w:lang w:val="en-US" w:eastAsia="zh-CN"/>
        </w:rPr>
        <w:t>020</w:t>
      </w:r>
      <w:r>
        <w:rPr>
          <w:rFonts w:ascii="Arial" w:hAnsi="Arial" w:cs="Arial"/>
          <w:sz w:val="21"/>
          <w:szCs w:val="21"/>
        </w:rPr>
        <w:t>规自（</w:t>
      </w:r>
      <w:r>
        <w:rPr>
          <w:rFonts w:hint="eastAsia" w:ascii="Arial" w:hAnsi="Arial" w:cs="Arial"/>
          <w:sz w:val="21"/>
          <w:szCs w:val="21"/>
          <w:lang w:eastAsia="zh-CN"/>
        </w:rPr>
        <w:t>房</w:t>
      </w:r>
      <w:r>
        <w:rPr>
          <w:rFonts w:ascii="Arial" w:hAnsi="Arial" w:cs="Arial"/>
          <w:sz w:val="21"/>
          <w:szCs w:val="21"/>
        </w:rPr>
        <w:t>）建字</w:t>
      </w:r>
      <w:r>
        <w:rPr>
          <w:rFonts w:hint="eastAsia" w:ascii="Arial" w:hAnsi="Arial" w:cs="Arial"/>
          <w:sz w:val="21"/>
          <w:szCs w:val="21"/>
          <w:lang w:val="en-US" w:eastAsia="zh-CN"/>
        </w:rPr>
        <w:t>0052</w:t>
      </w:r>
      <w:r>
        <w:rPr>
          <w:rFonts w:ascii="Arial" w:hAnsi="Arial" w:cs="Arial"/>
          <w:sz w:val="21"/>
          <w:szCs w:val="21"/>
        </w:rPr>
        <w:t>号]及附件复印件</w:t>
      </w:r>
    </w:p>
    <w:p>
      <w:pPr>
        <w:numPr>
          <w:ilvl w:val="0"/>
          <w:numId w:val="5"/>
        </w:numPr>
        <w:spacing w:line="360" w:lineRule="auto"/>
        <w:jc w:val="both"/>
        <w:rPr>
          <w:rFonts w:ascii="Arial" w:hAnsi="Arial" w:cs="Arial"/>
          <w:sz w:val="21"/>
          <w:szCs w:val="21"/>
        </w:rPr>
      </w:pPr>
      <w:r>
        <w:rPr>
          <w:rFonts w:ascii="Arial" w:hAnsi="Arial" w:cs="Arial"/>
          <w:sz w:val="21"/>
          <w:szCs w:val="21"/>
        </w:rPr>
        <w:t>《建筑工程施工许可证》[编号：</w:t>
      </w:r>
      <w:r>
        <w:rPr>
          <w:rFonts w:hint="eastAsia" w:ascii="Arial" w:hAnsi="Arial" w:cs="Arial"/>
          <w:sz w:val="21"/>
          <w:szCs w:val="21"/>
          <w:lang w:val="en-US" w:eastAsia="zh-CN"/>
        </w:rPr>
        <w:t>[</w:t>
      </w:r>
      <w:r>
        <w:rPr>
          <w:rFonts w:ascii="Arial" w:hAnsi="Arial" w:cs="Arial"/>
          <w:sz w:val="21"/>
          <w:szCs w:val="21"/>
        </w:rPr>
        <w:t>20</w:t>
      </w:r>
      <w:r>
        <w:rPr>
          <w:rFonts w:hint="eastAsia" w:ascii="Arial" w:hAnsi="Arial" w:cs="Arial"/>
          <w:sz w:val="21"/>
          <w:szCs w:val="21"/>
          <w:lang w:val="en-US" w:eastAsia="zh-CN"/>
        </w:rPr>
        <w:t>20]</w:t>
      </w:r>
      <w:r>
        <w:rPr>
          <w:rFonts w:ascii="Arial" w:hAnsi="Arial" w:cs="Arial"/>
          <w:sz w:val="21"/>
          <w:szCs w:val="21"/>
        </w:rPr>
        <w:t>施</w:t>
      </w:r>
      <w:r>
        <w:rPr>
          <w:rFonts w:hint="eastAsia" w:ascii="Arial" w:hAnsi="Arial" w:cs="Arial"/>
          <w:sz w:val="21"/>
          <w:szCs w:val="21"/>
          <w:lang w:val="en-US" w:eastAsia="zh-CN"/>
        </w:rPr>
        <w:t>[房]</w:t>
      </w:r>
      <w:r>
        <w:rPr>
          <w:rFonts w:ascii="Arial" w:hAnsi="Arial" w:cs="Arial"/>
          <w:sz w:val="21"/>
          <w:szCs w:val="21"/>
        </w:rPr>
        <w:t>建字</w:t>
      </w:r>
      <w:r>
        <w:rPr>
          <w:rFonts w:hint="eastAsia" w:ascii="Arial" w:hAnsi="Arial" w:cs="Arial"/>
          <w:sz w:val="21"/>
          <w:szCs w:val="21"/>
          <w:lang w:val="en-US" w:eastAsia="zh-CN"/>
        </w:rPr>
        <w:t>0063</w:t>
      </w:r>
      <w:r>
        <w:rPr>
          <w:rFonts w:ascii="Arial" w:hAnsi="Arial" w:cs="Arial"/>
          <w:sz w:val="21"/>
          <w:szCs w:val="21"/>
        </w:rPr>
        <w:t>号]及附件复印件</w:t>
      </w:r>
    </w:p>
    <w:p>
      <w:pPr>
        <w:numPr>
          <w:ilvl w:val="0"/>
          <w:numId w:val="5"/>
        </w:numPr>
        <w:spacing w:line="360" w:lineRule="auto"/>
        <w:jc w:val="both"/>
        <w:rPr>
          <w:rFonts w:ascii="Arial" w:hAnsi="Arial" w:cs="Arial"/>
          <w:sz w:val="21"/>
          <w:szCs w:val="21"/>
        </w:rPr>
      </w:pPr>
      <w:r>
        <w:rPr>
          <w:rFonts w:ascii="Arial" w:hAnsi="Arial" w:cs="Arial"/>
          <w:sz w:val="21"/>
          <w:szCs w:val="21"/>
        </w:rPr>
        <w:t>《工程竣工验收备案表》[备案编号：</w:t>
      </w:r>
      <w:r>
        <w:rPr>
          <w:rFonts w:hint="eastAsia" w:ascii="Arial" w:hAnsi="Arial" w:cs="Arial"/>
          <w:sz w:val="21"/>
          <w:szCs w:val="21"/>
          <w:lang w:val="en-US" w:eastAsia="zh-CN"/>
        </w:rPr>
        <w:t>0547房竣2022（建）0041号</w:t>
      </w:r>
      <w:r>
        <w:rPr>
          <w:rFonts w:ascii="Arial" w:hAnsi="Arial" w:cs="Arial"/>
          <w:sz w:val="21"/>
          <w:szCs w:val="21"/>
        </w:rPr>
        <w:t>]复印件</w:t>
      </w:r>
    </w:p>
    <w:p>
      <w:pPr>
        <w:numPr>
          <w:ilvl w:val="0"/>
          <w:numId w:val="5"/>
        </w:numPr>
        <w:spacing w:line="360" w:lineRule="auto"/>
        <w:jc w:val="both"/>
        <w:rPr>
          <w:rFonts w:ascii="Arial" w:hAnsi="Arial" w:cs="Arial"/>
          <w:sz w:val="21"/>
          <w:szCs w:val="21"/>
        </w:rPr>
      </w:pPr>
      <w:r>
        <w:rPr>
          <w:rFonts w:hint="eastAsia" w:ascii="Arial" w:hAnsi="Arial" w:cs="Arial"/>
          <w:sz w:val="21"/>
          <w:szCs w:val="21"/>
        </w:rPr>
        <w:t>《不动产权证书》[京（2022）房不动产权第0022348号]等9本复印件</w:t>
      </w:r>
    </w:p>
    <w:p>
      <w:pPr>
        <w:numPr>
          <w:ilvl w:val="0"/>
          <w:numId w:val="5"/>
        </w:numPr>
        <w:spacing w:line="360" w:lineRule="auto"/>
        <w:jc w:val="both"/>
        <w:rPr>
          <w:rFonts w:ascii="Arial" w:hAnsi="Arial" w:cs="Arial"/>
          <w:sz w:val="21"/>
          <w:szCs w:val="21"/>
        </w:rPr>
      </w:pPr>
      <w:r>
        <w:rPr>
          <w:rFonts w:ascii="Arial" w:hAnsi="Arial" w:cs="Arial"/>
          <w:sz w:val="21"/>
          <w:szCs w:val="21"/>
        </w:rPr>
        <w:t>估价委托方《营业执照（副本）》复印件</w:t>
      </w:r>
    </w:p>
    <w:p>
      <w:pPr>
        <w:numPr>
          <w:ilvl w:val="0"/>
          <w:numId w:val="5"/>
        </w:numPr>
        <w:spacing w:line="360" w:lineRule="auto"/>
        <w:jc w:val="both"/>
        <w:rPr>
          <w:rFonts w:ascii="Arial" w:hAnsi="Arial" w:cs="Arial"/>
          <w:sz w:val="21"/>
          <w:szCs w:val="21"/>
        </w:rPr>
      </w:pPr>
      <w:r>
        <w:rPr>
          <w:rFonts w:ascii="Arial" w:hAnsi="Arial" w:cs="Arial"/>
          <w:sz w:val="21"/>
          <w:szCs w:val="21"/>
        </w:rPr>
        <w:t>房地产估价机构《营业执照（副本）》复印件</w:t>
      </w:r>
    </w:p>
    <w:p>
      <w:pPr>
        <w:numPr>
          <w:ilvl w:val="0"/>
          <w:numId w:val="5"/>
        </w:numPr>
        <w:spacing w:line="360" w:lineRule="auto"/>
        <w:jc w:val="both"/>
        <w:rPr>
          <w:rFonts w:ascii="Arial" w:hAnsi="Arial" w:cs="Arial"/>
          <w:sz w:val="21"/>
          <w:szCs w:val="21"/>
        </w:rPr>
      </w:pPr>
      <w:r>
        <w:rPr>
          <w:rFonts w:ascii="Arial" w:hAnsi="Arial" w:cs="Arial"/>
          <w:sz w:val="21"/>
          <w:szCs w:val="21"/>
        </w:rPr>
        <w:t>估价机构资质证书复印件</w:t>
      </w:r>
    </w:p>
    <w:p>
      <w:pPr>
        <w:numPr>
          <w:ilvl w:val="0"/>
          <w:numId w:val="5"/>
        </w:numPr>
        <w:spacing w:line="360" w:lineRule="auto"/>
        <w:jc w:val="both"/>
        <w:rPr>
          <w:rFonts w:ascii="Arial" w:hAnsi="Arial" w:cs="Arial"/>
          <w:sz w:val="21"/>
          <w:szCs w:val="21"/>
        </w:rPr>
      </w:pPr>
      <w:r>
        <w:rPr>
          <w:rFonts w:ascii="Arial" w:hAnsi="Arial" w:cs="Arial"/>
          <w:sz w:val="21"/>
          <w:szCs w:val="21"/>
        </w:rPr>
        <w:t>评估专业人员执业证书复印件</w:t>
      </w:r>
    </w:p>
    <w:p>
      <w:pPr>
        <w:pStyle w:val="2"/>
        <w:spacing w:line="480" w:lineRule="auto"/>
        <w:jc w:val="center"/>
        <w:rPr>
          <w:rFonts w:eastAsia="方正黑体简体"/>
          <w:b w:val="0"/>
          <w:kern w:val="2"/>
          <w:sz w:val="32"/>
          <w:szCs w:val="32"/>
        </w:rPr>
        <w:sectPr>
          <w:headerReference r:id="rId11" w:type="first"/>
          <w:footerReference r:id="rId12" w:type="first"/>
          <w:headerReference r:id="rId10" w:type="default"/>
          <w:pgSz w:w="11907" w:h="16840"/>
          <w:pgMar w:top="1843" w:right="1134" w:bottom="1134" w:left="1134" w:header="1134" w:footer="907" w:gutter="340"/>
          <w:cols w:space="720" w:num="1"/>
          <w:docGrid w:linePitch="326" w:charSpace="0"/>
        </w:sectPr>
      </w:pPr>
      <w:bookmarkStart w:id="4" w:name="_Toc525655415"/>
      <w:bookmarkStart w:id="5" w:name="_Toc379795041"/>
    </w:p>
    <w:bookmarkEnd w:id="4"/>
    <w:bookmarkEnd w:id="5"/>
    <w:p>
      <w:pPr>
        <w:pStyle w:val="2"/>
        <w:spacing w:line="480" w:lineRule="auto"/>
        <w:jc w:val="center"/>
        <w:rPr>
          <w:rFonts w:eastAsia="方正黑体简体"/>
          <w:b w:val="0"/>
          <w:kern w:val="2"/>
          <w:sz w:val="32"/>
          <w:szCs w:val="32"/>
        </w:rPr>
      </w:pPr>
      <w:bookmarkStart w:id="6" w:name="_Toc168225811"/>
      <w:r>
        <w:rPr>
          <w:rFonts w:eastAsia="方正黑体简体"/>
          <w:b w:val="0"/>
          <w:kern w:val="2"/>
          <w:sz w:val="32"/>
          <w:szCs w:val="32"/>
        </w:rPr>
        <w:t>估价师声明</w:t>
      </w:r>
    </w:p>
    <w:p>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pPr>
        <w:spacing w:line="480" w:lineRule="auto"/>
        <w:jc w:val="both"/>
        <w:outlineLvl w:val="0"/>
        <w:rPr>
          <w:rFonts w:ascii="Arial" w:hAnsi="Arial" w:cs="Arial"/>
          <w:kern w:val="2"/>
          <w:sz w:val="21"/>
          <w:szCs w:val="21"/>
        </w:rPr>
      </w:pPr>
      <w:r>
        <w:rPr>
          <w:rFonts w:ascii="Arial" w:hAnsi="Arial" w:cs="Arial"/>
          <w:kern w:val="2"/>
          <w:sz w:val="21"/>
          <w:szCs w:val="21"/>
        </w:rPr>
        <w:t>（三）评估专业人员已于202</w:t>
      </w:r>
      <w:r>
        <w:rPr>
          <w:rFonts w:hint="eastAsia" w:ascii="Arial" w:hAnsi="Arial" w:cs="Arial"/>
          <w:kern w:val="2"/>
          <w:sz w:val="21"/>
          <w:szCs w:val="21"/>
          <w:lang w:val="en-US" w:eastAsia="zh-CN"/>
        </w:rPr>
        <w:t>3</w:t>
      </w:r>
      <w:r>
        <w:rPr>
          <w:rFonts w:ascii="Arial" w:hAnsi="Arial" w:cs="Arial"/>
          <w:kern w:val="2"/>
          <w:sz w:val="21"/>
          <w:szCs w:val="21"/>
        </w:rPr>
        <w:t>年</w:t>
      </w:r>
      <w:r>
        <w:rPr>
          <w:rFonts w:hint="eastAsia" w:ascii="Arial" w:hAnsi="Arial" w:cs="Arial"/>
          <w:kern w:val="2"/>
          <w:sz w:val="21"/>
          <w:szCs w:val="21"/>
          <w:lang w:val="en-US" w:eastAsia="zh-CN"/>
        </w:rPr>
        <w:t>4</w:t>
      </w:r>
      <w:r>
        <w:rPr>
          <w:rFonts w:ascii="Arial" w:hAnsi="Arial" w:cs="Arial"/>
          <w:kern w:val="2"/>
          <w:sz w:val="21"/>
          <w:szCs w:val="21"/>
        </w:rPr>
        <w:t>月2</w:t>
      </w:r>
      <w:r>
        <w:rPr>
          <w:rFonts w:hint="eastAsia" w:ascii="Arial" w:hAnsi="Arial" w:cs="Arial"/>
          <w:kern w:val="2"/>
          <w:sz w:val="21"/>
          <w:szCs w:val="21"/>
          <w:lang w:val="en-US" w:eastAsia="zh-CN"/>
        </w:rPr>
        <w:t>7</w:t>
      </w:r>
      <w:r>
        <w:rPr>
          <w:rFonts w:ascii="Arial" w:hAnsi="Arial" w:cs="Arial"/>
          <w:kern w:val="2"/>
          <w:sz w:val="21"/>
          <w:szCs w:val="21"/>
        </w:rPr>
        <w:t>日对估价对象进行了实地查勘。我们与估价报告中的估价对象没有现实或潜在的利益，与估价委托人及估价利害关系人没有利害关系，也对本估价报告中的估价对象、估价委托人及估价利害关系人没有偏见。</w:t>
      </w:r>
    </w:p>
    <w:p>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r>
        <w:rPr>
          <w:rFonts w:hint="eastAsia" w:ascii="Arial" w:hAnsi="Arial" w:cs="Arial"/>
          <w:kern w:val="2"/>
          <w:sz w:val="21"/>
          <w:szCs w:val="21"/>
        </w:rPr>
        <w:t>、参照</w:t>
      </w:r>
      <w:r>
        <w:rPr>
          <w:rFonts w:hint="eastAsia" w:ascii="Arial" w:hAnsi="Arial" w:cs="Arial"/>
          <w:sz w:val="21"/>
          <w:szCs w:val="21"/>
        </w:rPr>
        <w:t>《关于发布《北京市公共租赁住房项目市场租金评估技术指引》的通知》 [北估秘[2019]020号]</w:t>
      </w:r>
      <w:r>
        <w:rPr>
          <w:rFonts w:ascii="Arial" w:hAnsi="Arial" w:cs="Arial"/>
          <w:kern w:val="2"/>
          <w:sz w:val="21"/>
          <w:szCs w:val="21"/>
        </w:rPr>
        <w:t>以及相关房地产估价专项标准进行估价工作，撰写本估价报告。</w:t>
      </w:r>
    </w:p>
    <w:p>
      <w:pPr>
        <w:rPr>
          <w:rFonts w:ascii="Arial" w:hAnsi="Arial" w:eastAsia="楷体_GB2312" w:cs="Arial"/>
          <w:kern w:val="2"/>
          <w:sz w:val="28"/>
        </w:rPr>
        <w:sectPr>
          <w:pgSz w:w="11907" w:h="16840"/>
          <w:pgMar w:top="1843" w:right="1134" w:bottom="1134" w:left="1134" w:header="1134" w:footer="907" w:gutter="340"/>
          <w:cols w:space="720" w:num="1"/>
          <w:docGrid w:linePitch="326" w:charSpace="0"/>
        </w:sectPr>
      </w:pPr>
    </w:p>
    <w:p>
      <w:pPr>
        <w:pStyle w:val="2"/>
        <w:spacing w:line="480" w:lineRule="auto"/>
        <w:jc w:val="center"/>
        <w:rPr>
          <w:rFonts w:eastAsia="方正黑体简体"/>
          <w:b w:val="0"/>
          <w:kern w:val="2"/>
          <w:sz w:val="32"/>
          <w:szCs w:val="32"/>
        </w:rPr>
      </w:pPr>
      <w:bookmarkStart w:id="7" w:name="_Toc525655416"/>
      <w:bookmarkStart w:id="8" w:name="_Toc379795042"/>
      <w:r>
        <w:rPr>
          <w:rFonts w:eastAsia="方正黑体简体"/>
          <w:b w:val="0"/>
          <w:kern w:val="2"/>
          <w:sz w:val="32"/>
          <w:szCs w:val="32"/>
        </w:rPr>
        <w:t>估价假设和限制条件</w:t>
      </w:r>
      <w:bookmarkEnd w:id="7"/>
      <w:bookmarkEnd w:id="8"/>
    </w:p>
    <w:p>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1.在调查时段的房地产租赁市场为公开、平等、自愿的交易市场。</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2.以估价对象符合规划设计条件，能够按规划共有产权住房用途持续使用，对外出租为假设前提。</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3.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pPr>
        <w:spacing w:line="480" w:lineRule="auto"/>
        <w:ind w:firstLine="420" w:firstLineChars="200"/>
        <w:jc w:val="both"/>
        <w:rPr>
          <w:rFonts w:ascii="Arial" w:hAnsi="Arial" w:cs="Arial"/>
          <w:sz w:val="21"/>
          <w:szCs w:val="21"/>
        </w:rPr>
      </w:pPr>
      <w:r>
        <w:rPr>
          <w:rFonts w:ascii="Arial" w:hAnsi="Arial" w:cs="Arial"/>
          <w:kern w:val="2"/>
          <w:sz w:val="21"/>
          <w:szCs w:val="21"/>
        </w:rPr>
        <w:t>4. 本次估价结果是在满足全部假设与限制条件下，于价值时点202</w:t>
      </w:r>
      <w:r>
        <w:rPr>
          <w:rFonts w:hint="eastAsia" w:ascii="Arial" w:hAnsi="Arial" w:cs="Arial"/>
          <w:kern w:val="2"/>
          <w:sz w:val="21"/>
          <w:szCs w:val="21"/>
          <w:lang w:val="en-US" w:eastAsia="zh-CN"/>
        </w:rPr>
        <w:t>3</w:t>
      </w:r>
      <w:r>
        <w:rPr>
          <w:rFonts w:ascii="Arial" w:hAnsi="Arial" w:cs="Arial"/>
          <w:kern w:val="2"/>
          <w:sz w:val="21"/>
          <w:szCs w:val="21"/>
        </w:rPr>
        <w:t>年</w:t>
      </w:r>
      <w:r>
        <w:rPr>
          <w:rFonts w:hint="eastAsia" w:ascii="Arial" w:hAnsi="Arial" w:cs="Arial"/>
          <w:kern w:val="2"/>
          <w:sz w:val="21"/>
          <w:szCs w:val="21"/>
          <w:lang w:val="en-US" w:eastAsia="zh-CN"/>
        </w:rPr>
        <w:t>4</w:t>
      </w:r>
      <w:r>
        <w:rPr>
          <w:rFonts w:ascii="Arial" w:hAnsi="Arial" w:cs="Arial"/>
          <w:kern w:val="2"/>
          <w:sz w:val="21"/>
          <w:szCs w:val="21"/>
        </w:rPr>
        <w:t>月2</w:t>
      </w:r>
      <w:r>
        <w:rPr>
          <w:rFonts w:hint="eastAsia" w:ascii="Arial" w:hAnsi="Arial" w:cs="Arial"/>
          <w:kern w:val="2"/>
          <w:sz w:val="21"/>
          <w:szCs w:val="21"/>
          <w:lang w:val="en-US" w:eastAsia="zh-CN"/>
        </w:rPr>
        <w:t>7</w:t>
      </w:r>
      <w:r>
        <w:rPr>
          <w:rFonts w:ascii="Arial" w:hAnsi="Arial" w:cs="Arial"/>
          <w:kern w:val="2"/>
          <w:sz w:val="21"/>
          <w:szCs w:val="21"/>
        </w:rPr>
        <w:t>日前12个月估价对象同地段、同类型普通住房的市场平均租金价格水平，估价结果</w:t>
      </w:r>
      <w:r>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5.估价对象户型、建筑面积、套数等情况均以估价委托人</w:t>
      </w:r>
      <w:r>
        <w:rPr>
          <w:rFonts w:hint="eastAsia" w:ascii="Arial" w:hAnsi="Arial" w:cs="Arial"/>
          <w:kern w:val="2"/>
          <w:sz w:val="21"/>
          <w:szCs w:val="21"/>
        </w:rPr>
        <w:t>提供的</w:t>
      </w:r>
      <w:r>
        <w:rPr>
          <w:rFonts w:hint="eastAsia" w:ascii="Arial" w:hAnsi="Arial" w:cs="Arial"/>
          <w:sz w:val="21"/>
          <w:szCs w:val="21"/>
        </w:rPr>
        <w:t>《诺德彩园共有产权住房房源表》</w:t>
      </w:r>
      <w:r>
        <w:rPr>
          <w:rFonts w:ascii="Arial" w:hAnsi="Arial" w:cs="Arial"/>
          <w:kern w:val="2"/>
          <w:sz w:val="21"/>
          <w:szCs w:val="21"/>
        </w:rPr>
        <w:t>为</w:t>
      </w:r>
      <w:r>
        <w:rPr>
          <w:rFonts w:ascii="Arial" w:hAnsi="Arial" w:cs="Arial"/>
          <w:sz w:val="21"/>
          <w:szCs w:val="21"/>
        </w:rPr>
        <w:t>依据。</w:t>
      </w:r>
    </w:p>
    <w:p>
      <w:pPr>
        <w:spacing w:line="480" w:lineRule="auto"/>
        <w:ind w:firstLine="420" w:firstLineChars="200"/>
        <w:jc w:val="both"/>
        <w:rPr>
          <w:rFonts w:ascii="Arial" w:hAnsi="Arial" w:cs="Arial"/>
          <w:kern w:val="2"/>
          <w:sz w:val="21"/>
          <w:szCs w:val="21"/>
        </w:rPr>
      </w:pPr>
      <w:r>
        <w:rPr>
          <w:rFonts w:ascii="Arial" w:hAnsi="Arial" w:cs="Arial"/>
          <w:sz w:val="21"/>
          <w:szCs w:val="21"/>
        </w:rPr>
        <w:t>6.</w:t>
      </w:r>
      <w:r>
        <w:rPr>
          <w:rFonts w:ascii="Arial" w:hAnsi="Arial" w:cs="Arial"/>
          <w:kern w:val="2"/>
          <w:sz w:val="21"/>
          <w:szCs w:val="21"/>
        </w:rPr>
        <w:t>评估专业人员</w:t>
      </w:r>
      <w:r>
        <w:rPr>
          <w:rFonts w:hint="eastAsia" w:ascii="Arial" w:hAnsi="Arial" w:cs="Arial"/>
          <w:kern w:val="2"/>
          <w:sz w:val="21"/>
          <w:szCs w:val="21"/>
        </w:rPr>
        <w:t>于202</w:t>
      </w:r>
      <w:r>
        <w:rPr>
          <w:rFonts w:hint="eastAsia" w:ascii="Arial" w:hAnsi="Arial" w:cs="Arial"/>
          <w:kern w:val="2"/>
          <w:sz w:val="21"/>
          <w:szCs w:val="21"/>
          <w:lang w:val="en-US" w:eastAsia="zh-CN"/>
        </w:rPr>
        <w:t>3</w:t>
      </w:r>
      <w:r>
        <w:rPr>
          <w:rFonts w:hint="eastAsia" w:ascii="Arial" w:hAnsi="Arial" w:cs="Arial"/>
          <w:kern w:val="2"/>
          <w:sz w:val="21"/>
          <w:szCs w:val="21"/>
        </w:rPr>
        <w:t>年</w:t>
      </w:r>
      <w:r>
        <w:rPr>
          <w:rFonts w:hint="eastAsia" w:ascii="Arial" w:hAnsi="Arial" w:cs="Arial"/>
          <w:kern w:val="2"/>
          <w:sz w:val="21"/>
          <w:szCs w:val="21"/>
          <w:lang w:val="en-US" w:eastAsia="zh-CN"/>
        </w:rPr>
        <w:t>4</w:t>
      </w:r>
      <w:r>
        <w:rPr>
          <w:rFonts w:hint="eastAsia" w:ascii="Arial" w:hAnsi="Arial" w:cs="Arial"/>
          <w:kern w:val="2"/>
          <w:sz w:val="21"/>
          <w:szCs w:val="21"/>
        </w:rPr>
        <w:t>月</w:t>
      </w:r>
      <w:r>
        <w:rPr>
          <w:rFonts w:hint="eastAsia" w:ascii="Arial" w:hAnsi="Arial" w:cs="Arial"/>
          <w:kern w:val="2"/>
          <w:sz w:val="21"/>
          <w:szCs w:val="21"/>
          <w:lang w:val="en-US" w:eastAsia="zh-CN"/>
        </w:rPr>
        <w:t>27</w:t>
      </w:r>
      <w:r>
        <w:rPr>
          <w:rFonts w:hint="eastAsia" w:ascii="Arial" w:hAnsi="Arial" w:cs="Arial"/>
          <w:kern w:val="2"/>
          <w:sz w:val="21"/>
          <w:szCs w:val="21"/>
        </w:rPr>
        <w:t>日</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Pr>
          <w:rFonts w:hint="eastAsia" w:ascii="Arial" w:hAnsi="Arial" w:cs="Arial"/>
          <w:kern w:val="2"/>
          <w:sz w:val="21"/>
          <w:szCs w:val="21"/>
        </w:rPr>
        <w:t>。</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7.任何有关估价对象的运作方式、程序符合国家、地方的有关法律、法规。</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8.本次估价结果未考虑国家宏观政策发生重大变化以及遇有自然力和其他不可抗力对估价结果的影响。</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9.估价结果未考虑估价对象及其运营企业已承担的债务、或有债务及经营决策失误或市场运作失当对其租赁价格水平的影响。</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10.根据估价目的，本次估价设定估价对象于价值时点不存在抵押、地役、查封等他项权利限制。</w:t>
      </w:r>
    </w:p>
    <w:p>
      <w:pPr>
        <w:spacing w:line="480" w:lineRule="auto"/>
        <w:jc w:val="both"/>
        <w:outlineLvl w:val="0"/>
        <w:rPr>
          <w:rFonts w:ascii="Arial" w:hAnsi="Arial" w:cs="Arial"/>
          <w:b/>
          <w:kern w:val="2"/>
          <w:sz w:val="21"/>
          <w:szCs w:val="21"/>
        </w:rPr>
      </w:pPr>
      <w:r>
        <w:rPr>
          <w:rFonts w:ascii="Arial" w:hAnsi="Arial" w:cs="Arial"/>
          <w:b/>
          <w:kern w:val="2"/>
          <w:sz w:val="21"/>
          <w:szCs w:val="21"/>
        </w:rPr>
        <w:t>（二）本次估价的未定事项假设</w:t>
      </w:r>
    </w:p>
    <w:p>
      <w:pPr>
        <w:spacing w:line="480" w:lineRule="auto"/>
        <w:ind w:firstLine="420" w:firstLineChars="200"/>
        <w:jc w:val="both"/>
        <w:rPr>
          <w:rFonts w:ascii="Arial" w:hAnsi="Arial" w:cs="Arial"/>
          <w:sz w:val="21"/>
          <w:szCs w:val="21"/>
        </w:rPr>
      </w:pPr>
      <w:r>
        <w:rPr>
          <w:rFonts w:ascii="Arial" w:hAnsi="Arial" w:cs="Arial"/>
          <w:sz w:val="21"/>
          <w:szCs w:val="21"/>
        </w:rPr>
        <w:t>无未定事项假设。</w:t>
      </w:r>
    </w:p>
    <w:p>
      <w:pPr>
        <w:spacing w:line="480" w:lineRule="auto"/>
        <w:jc w:val="both"/>
        <w:outlineLvl w:val="0"/>
        <w:rPr>
          <w:rFonts w:ascii="Arial" w:hAnsi="Arial" w:cs="Arial"/>
          <w:b/>
          <w:kern w:val="2"/>
          <w:sz w:val="21"/>
          <w:szCs w:val="21"/>
        </w:rPr>
      </w:pPr>
      <w:r>
        <w:rPr>
          <w:rFonts w:ascii="Arial" w:hAnsi="Arial" w:cs="Arial"/>
          <w:b/>
          <w:kern w:val="2"/>
          <w:sz w:val="21"/>
          <w:szCs w:val="21"/>
        </w:rPr>
        <w:t>（三）本次估价的背离事实假设</w:t>
      </w:r>
    </w:p>
    <w:p>
      <w:pPr>
        <w:spacing w:line="480" w:lineRule="auto"/>
        <w:ind w:firstLine="420" w:firstLineChars="200"/>
        <w:jc w:val="both"/>
        <w:rPr>
          <w:rFonts w:ascii="Arial" w:hAnsi="Arial" w:cs="Arial"/>
          <w:kern w:val="2"/>
          <w:sz w:val="21"/>
          <w:szCs w:val="21"/>
        </w:rPr>
      </w:pPr>
      <w:r>
        <w:rPr>
          <w:rFonts w:ascii="Arial" w:hAnsi="Arial" w:cs="Arial"/>
          <w:sz w:val="21"/>
          <w:szCs w:val="21"/>
        </w:rPr>
        <w:t>无背离事实假设。</w:t>
      </w:r>
    </w:p>
    <w:p>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pPr>
        <w:spacing w:line="480" w:lineRule="auto"/>
        <w:ind w:firstLine="411" w:firstLineChars="196"/>
        <w:jc w:val="both"/>
        <w:outlineLvl w:val="0"/>
        <w:rPr>
          <w:rFonts w:ascii="Arial" w:hAnsi="Arial" w:cs="Arial"/>
          <w:kern w:val="2"/>
          <w:sz w:val="21"/>
          <w:szCs w:val="21"/>
        </w:rPr>
      </w:pPr>
      <w:r>
        <w:rPr>
          <w:rFonts w:ascii="Arial" w:hAnsi="Arial" w:cs="Arial"/>
          <w:kern w:val="2"/>
          <w:sz w:val="21"/>
          <w:szCs w:val="21"/>
        </w:rPr>
        <w:t>根据估价委托人提供的</w:t>
      </w:r>
      <w:r>
        <w:rPr>
          <w:rFonts w:ascii="Arial" w:hAnsi="Arial" w:cs="Arial"/>
          <w:sz w:val="21"/>
          <w:szCs w:val="21"/>
        </w:rPr>
        <w:t>《不动产权证书》[</w:t>
      </w:r>
      <w:r>
        <w:rPr>
          <w:rFonts w:hint="default" w:ascii="Arial" w:hAnsi="Arial" w:cs="Arial"/>
          <w:sz w:val="21"/>
          <w:szCs w:val="21"/>
        </w:rPr>
        <w:t>京（20</w:t>
      </w:r>
      <w:r>
        <w:rPr>
          <w:rFonts w:hint="default" w:ascii="Arial" w:hAnsi="Arial" w:cs="Arial"/>
          <w:sz w:val="21"/>
          <w:szCs w:val="21"/>
          <w:lang w:val="en-US" w:eastAsia="zh-CN"/>
        </w:rPr>
        <w:t>22</w:t>
      </w:r>
      <w:r>
        <w:rPr>
          <w:rFonts w:hint="default" w:ascii="Arial" w:hAnsi="Arial" w:cs="Arial"/>
          <w:sz w:val="21"/>
          <w:szCs w:val="21"/>
        </w:rPr>
        <w:t>）</w:t>
      </w:r>
      <w:r>
        <w:rPr>
          <w:rFonts w:hint="default" w:ascii="Arial" w:hAnsi="Arial" w:cs="Arial"/>
          <w:sz w:val="21"/>
          <w:szCs w:val="21"/>
          <w:lang w:eastAsia="zh-CN"/>
        </w:rPr>
        <w:t>房</w:t>
      </w:r>
      <w:r>
        <w:rPr>
          <w:rFonts w:hint="default" w:ascii="Arial" w:hAnsi="Arial" w:cs="Arial"/>
          <w:sz w:val="21"/>
          <w:szCs w:val="21"/>
        </w:rPr>
        <w:t>不动产权第</w:t>
      </w:r>
      <w:r>
        <w:rPr>
          <w:rFonts w:hint="eastAsia" w:ascii="Arial" w:hAnsi="Arial" w:cs="Arial"/>
          <w:sz w:val="21"/>
          <w:szCs w:val="21"/>
          <w:lang w:val="en-US" w:eastAsia="zh-CN"/>
        </w:rPr>
        <w:t>0022348</w:t>
      </w:r>
      <w:r>
        <w:rPr>
          <w:rFonts w:hint="default" w:ascii="Arial" w:hAnsi="Arial" w:cs="Arial"/>
          <w:sz w:val="21"/>
          <w:szCs w:val="21"/>
        </w:rPr>
        <w:t>号</w:t>
      </w:r>
      <w:r>
        <w:rPr>
          <w:rFonts w:ascii="Arial" w:hAnsi="Arial" w:cs="Arial"/>
          <w:sz w:val="21"/>
          <w:szCs w:val="21"/>
        </w:rPr>
        <w:t>]</w:t>
      </w:r>
      <w:r>
        <w:rPr>
          <w:rFonts w:hint="eastAsia" w:ascii="Arial" w:hAnsi="Arial" w:cs="Arial"/>
          <w:sz w:val="21"/>
          <w:szCs w:val="21"/>
          <w:lang w:eastAsia="zh-CN"/>
        </w:rPr>
        <w:t>等</w:t>
      </w:r>
      <w:r>
        <w:rPr>
          <w:rFonts w:hint="eastAsia" w:ascii="Arial" w:hAnsi="Arial" w:cs="Arial"/>
          <w:sz w:val="21"/>
          <w:szCs w:val="21"/>
          <w:lang w:val="en-US" w:eastAsia="zh-CN"/>
        </w:rPr>
        <w:t>9本</w:t>
      </w:r>
      <w:r>
        <w:rPr>
          <w:rFonts w:ascii="Arial" w:hAnsi="Arial" w:cs="Arial"/>
          <w:sz w:val="21"/>
          <w:szCs w:val="21"/>
        </w:rPr>
        <w:t>复印件</w:t>
      </w:r>
      <w:r>
        <w:rPr>
          <w:rFonts w:ascii="Arial" w:hAnsi="Arial" w:cs="Arial"/>
          <w:kern w:val="2"/>
          <w:sz w:val="21"/>
          <w:szCs w:val="21"/>
        </w:rPr>
        <w:t>，本次评估估价对象建筑面积为</w:t>
      </w:r>
      <w:r>
        <w:rPr>
          <w:rFonts w:hint="eastAsia" w:ascii="Arial" w:hAnsi="Arial" w:cs="Arial"/>
          <w:kern w:val="2"/>
          <w:sz w:val="21"/>
          <w:szCs w:val="21"/>
          <w:lang w:val="en-US" w:eastAsia="zh-CN"/>
        </w:rPr>
        <w:t>81</w:t>
      </w:r>
      <w:r>
        <w:rPr>
          <w:rFonts w:hint="eastAsia" w:ascii="Arial" w:hAnsi="Arial" w:cs="Arial"/>
          <w:kern w:val="2"/>
          <w:sz w:val="21"/>
          <w:szCs w:val="21"/>
        </w:rPr>
        <w:t>-</w:t>
      </w:r>
      <w:r>
        <w:rPr>
          <w:rFonts w:hint="eastAsia" w:ascii="Arial" w:hAnsi="Arial" w:cs="Arial"/>
          <w:kern w:val="2"/>
          <w:sz w:val="21"/>
          <w:szCs w:val="21"/>
          <w:lang w:val="en-US" w:eastAsia="zh-CN"/>
        </w:rPr>
        <w:t>90</w:t>
      </w:r>
      <w:r>
        <w:rPr>
          <w:rFonts w:ascii="Arial" w:hAnsi="Arial" w:cs="Arial"/>
          <w:kern w:val="2"/>
          <w:sz w:val="21"/>
          <w:szCs w:val="21"/>
        </w:rPr>
        <w:t>平方米。根据《北京市共有产权住房规划设计宜居建设导则（试行）》[京建发（2017）20号]相关规定，共有产权住房户型设计套型总建筑面积不应大于90平方米，估价对象</w:t>
      </w:r>
      <w:r>
        <w:rPr>
          <w:rFonts w:hint="eastAsia" w:ascii="Arial" w:hAnsi="Arial" w:cs="Arial"/>
          <w:kern w:val="2"/>
          <w:sz w:val="21"/>
          <w:szCs w:val="21"/>
        </w:rPr>
        <w:t>符合</w:t>
      </w:r>
      <w:r>
        <w:rPr>
          <w:rFonts w:ascii="Arial" w:hAnsi="Arial" w:cs="Arial"/>
          <w:kern w:val="2"/>
          <w:sz w:val="21"/>
          <w:szCs w:val="21"/>
        </w:rPr>
        <w:t>上述导则相关规定致。根据众数原则，估价对象中套数占比最大的为</w:t>
      </w:r>
      <w:r>
        <w:rPr>
          <w:rFonts w:hint="eastAsia" w:ascii="Arial" w:hAnsi="Arial" w:cs="Arial"/>
          <w:kern w:val="2"/>
          <w:sz w:val="21"/>
          <w:szCs w:val="21"/>
          <w:lang w:val="en-US" w:eastAsia="zh-CN"/>
        </w:rPr>
        <w:t>81.59-82.25</w:t>
      </w:r>
      <w:r>
        <w:rPr>
          <w:rFonts w:ascii="Arial" w:hAnsi="Arial" w:cs="Arial"/>
          <w:kern w:val="2"/>
          <w:sz w:val="21"/>
          <w:szCs w:val="21"/>
        </w:rPr>
        <w:t>平方米的</w:t>
      </w:r>
      <w:r>
        <w:rPr>
          <w:rFonts w:hint="eastAsia" w:ascii="Arial" w:hAnsi="Arial" w:cs="Arial"/>
          <w:kern w:val="2"/>
          <w:sz w:val="21"/>
          <w:szCs w:val="21"/>
          <w:lang w:eastAsia="zh-CN"/>
        </w:rPr>
        <w:t>三</w:t>
      </w:r>
      <w:r>
        <w:rPr>
          <w:rFonts w:ascii="Arial" w:hAnsi="Arial" w:cs="Arial"/>
          <w:kern w:val="2"/>
          <w:sz w:val="21"/>
          <w:szCs w:val="21"/>
        </w:rPr>
        <w:t>居室，故本次租金评估标准房是指参照被评估共有产权房项目的户型、面积、装修设备等因素及</w:t>
      </w:r>
      <w:r>
        <w:rPr>
          <w:rFonts w:ascii="Arial" w:hAnsi="Arial" w:cs="Arial"/>
          <w:bCs/>
          <w:sz w:val="21"/>
        </w:rPr>
        <w:t>《北京市共有产权住房价格评估技术指引（试行）》(北估秘[2018]012号)</w:t>
      </w:r>
      <w:r>
        <w:rPr>
          <w:rFonts w:ascii="Arial" w:hAnsi="Arial" w:cs="Arial"/>
          <w:kern w:val="2"/>
          <w:sz w:val="21"/>
          <w:szCs w:val="21"/>
        </w:rPr>
        <w:t>设定的房屋状况。</w:t>
      </w:r>
    </w:p>
    <w:p>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pPr>
        <w:overflowPunct w:val="0"/>
        <w:spacing w:line="480" w:lineRule="auto"/>
        <w:ind w:firstLine="420" w:firstLineChars="200"/>
        <w:jc w:val="both"/>
        <w:rPr>
          <w:rFonts w:ascii="Arial" w:hAnsi="Arial" w:cs="Arial"/>
          <w:sz w:val="21"/>
          <w:szCs w:val="21"/>
        </w:rPr>
      </w:pPr>
      <w:r>
        <w:rPr>
          <w:rFonts w:hint="eastAsia" w:ascii="Arial" w:hAnsi="Arial" w:cs="Arial"/>
          <w:color w:val="000000"/>
          <w:sz w:val="21"/>
          <w:szCs w:val="21"/>
        </w:rPr>
        <w:t>截至本评估报告出具之日，估价委托人未能提供</w:t>
      </w:r>
      <w:r>
        <w:rPr>
          <w:rFonts w:hint="eastAsia" w:ascii="Arial" w:hAnsi="Arial" w:cs="Arial"/>
          <w:sz w:val="21"/>
          <w:szCs w:val="21"/>
        </w:rPr>
        <w:t>《关于</w:t>
      </w:r>
      <w:r>
        <w:rPr>
          <w:rFonts w:hint="eastAsia" w:ascii="Arial" w:hAnsi="Arial" w:cs="Arial"/>
          <w:sz w:val="21"/>
          <w:szCs w:val="21"/>
          <w:lang w:eastAsia="zh-CN"/>
        </w:rPr>
        <w:t>北京市房山区拱辰街道办事处</w:t>
      </w:r>
      <w:r>
        <w:rPr>
          <w:rFonts w:hint="eastAsia" w:ascii="Arial" w:hAnsi="Arial" w:cs="Arial"/>
          <w:sz w:val="21"/>
          <w:szCs w:val="21"/>
          <w:lang w:val="en-US" w:eastAsia="zh-CN"/>
        </w:rPr>
        <w:t>FS00-LX05-0046、0056地块R2二类居住用地项目“多规合一”协同平台综合会商意见的函</w:t>
      </w:r>
      <w:r>
        <w:rPr>
          <w:rFonts w:hint="eastAsia" w:ascii="Arial" w:hAnsi="Arial" w:cs="Arial"/>
          <w:sz w:val="21"/>
          <w:szCs w:val="21"/>
        </w:rPr>
        <w:t>》</w:t>
      </w:r>
      <w:r>
        <w:rPr>
          <w:rFonts w:hint="eastAsia" w:ascii="Arial" w:hAnsi="Arial" w:cs="Arial"/>
          <w:sz w:val="21"/>
          <w:szCs w:val="21"/>
          <w:lang w:val="en-US" w:eastAsia="zh-CN"/>
        </w:rPr>
        <w:t>[京规自（房）综审函[2020]0047号]</w:t>
      </w:r>
      <w:r>
        <w:rPr>
          <w:rFonts w:hint="eastAsia" w:ascii="Arial" w:hAnsi="Arial" w:cs="Arial"/>
          <w:color w:val="000000"/>
          <w:sz w:val="21"/>
          <w:szCs w:val="21"/>
        </w:rPr>
        <w:t>、</w:t>
      </w:r>
      <w:r>
        <w:rPr>
          <w:rFonts w:hint="eastAsia" w:ascii="Arial" w:hAnsi="Arial" w:cs="Arial"/>
          <w:sz w:val="21"/>
          <w:szCs w:val="21"/>
          <w:lang w:eastAsia="zh-CN"/>
        </w:rPr>
        <w:t>《国有建设用地使用权出让合同》[电子监管号：1101002020B00714]及其补充协议</w:t>
      </w:r>
      <w:r>
        <w:rPr>
          <w:rFonts w:hint="eastAsia" w:ascii="Arial" w:hAnsi="Arial" w:cs="Arial"/>
          <w:sz w:val="21"/>
          <w:szCs w:val="21"/>
        </w:rPr>
        <w:t>、</w:t>
      </w:r>
      <w:r>
        <w:rPr>
          <w:rFonts w:ascii="Arial" w:hAnsi="Arial" w:cs="Arial"/>
          <w:sz w:val="21"/>
          <w:szCs w:val="21"/>
        </w:rPr>
        <w:t>《建设工程规划许可证》[2</w:t>
      </w:r>
      <w:r>
        <w:rPr>
          <w:rFonts w:hint="eastAsia" w:ascii="Arial" w:hAnsi="Arial" w:cs="Arial"/>
          <w:sz w:val="21"/>
          <w:szCs w:val="21"/>
          <w:lang w:val="en-US" w:eastAsia="zh-CN"/>
        </w:rPr>
        <w:t>020</w:t>
      </w:r>
      <w:r>
        <w:rPr>
          <w:rFonts w:ascii="Arial" w:hAnsi="Arial" w:cs="Arial"/>
          <w:sz w:val="21"/>
          <w:szCs w:val="21"/>
        </w:rPr>
        <w:t>规自（</w:t>
      </w:r>
      <w:r>
        <w:rPr>
          <w:rFonts w:hint="eastAsia" w:ascii="Arial" w:hAnsi="Arial" w:cs="Arial"/>
          <w:sz w:val="21"/>
          <w:szCs w:val="21"/>
          <w:lang w:eastAsia="zh-CN"/>
        </w:rPr>
        <w:t>房</w:t>
      </w:r>
      <w:r>
        <w:rPr>
          <w:rFonts w:ascii="Arial" w:hAnsi="Arial" w:cs="Arial"/>
          <w:sz w:val="21"/>
          <w:szCs w:val="21"/>
        </w:rPr>
        <w:t>）建字</w:t>
      </w:r>
      <w:r>
        <w:rPr>
          <w:rFonts w:hint="eastAsia" w:ascii="Arial" w:hAnsi="Arial" w:cs="Arial"/>
          <w:sz w:val="21"/>
          <w:szCs w:val="21"/>
          <w:lang w:val="en-US" w:eastAsia="zh-CN"/>
        </w:rPr>
        <w:t>0052</w:t>
      </w:r>
      <w:r>
        <w:rPr>
          <w:rFonts w:ascii="Arial" w:hAnsi="Arial" w:cs="Arial"/>
          <w:sz w:val="21"/>
          <w:szCs w:val="21"/>
        </w:rPr>
        <w:t>号]及附件</w:t>
      </w:r>
      <w:r>
        <w:rPr>
          <w:rFonts w:hint="eastAsia" w:ascii="Arial" w:hAnsi="Arial" w:cs="Arial"/>
          <w:sz w:val="21"/>
          <w:szCs w:val="21"/>
          <w:lang w:eastAsia="zh-CN"/>
        </w:rPr>
        <w:t>、</w:t>
      </w:r>
      <w:r>
        <w:rPr>
          <w:rFonts w:ascii="Arial" w:hAnsi="Arial" w:cs="Arial"/>
          <w:sz w:val="21"/>
          <w:szCs w:val="21"/>
        </w:rPr>
        <w:t>《建筑工程施工许可证》[编号：</w:t>
      </w:r>
      <w:r>
        <w:rPr>
          <w:rFonts w:hint="eastAsia" w:ascii="Arial" w:hAnsi="Arial" w:cs="Arial"/>
          <w:sz w:val="21"/>
          <w:szCs w:val="21"/>
          <w:lang w:val="en-US" w:eastAsia="zh-CN"/>
        </w:rPr>
        <w:t>[</w:t>
      </w:r>
      <w:r>
        <w:rPr>
          <w:rFonts w:ascii="Arial" w:hAnsi="Arial" w:cs="Arial"/>
          <w:sz w:val="21"/>
          <w:szCs w:val="21"/>
        </w:rPr>
        <w:t>20</w:t>
      </w:r>
      <w:r>
        <w:rPr>
          <w:rFonts w:hint="eastAsia" w:ascii="Arial" w:hAnsi="Arial" w:cs="Arial"/>
          <w:sz w:val="21"/>
          <w:szCs w:val="21"/>
          <w:lang w:val="en-US" w:eastAsia="zh-CN"/>
        </w:rPr>
        <w:t>20]</w:t>
      </w:r>
      <w:r>
        <w:rPr>
          <w:rFonts w:ascii="Arial" w:hAnsi="Arial" w:cs="Arial"/>
          <w:sz w:val="21"/>
          <w:szCs w:val="21"/>
        </w:rPr>
        <w:t>施</w:t>
      </w:r>
      <w:r>
        <w:rPr>
          <w:rFonts w:hint="eastAsia" w:ascii="Arial" w:hAnsi="Arial" w:cs="Arial"/>
          <w:sz w:val="21"/>
          <w:szCs w:val="21"/>
          <w:lang w:val="en-US" w:eastAsia="zh-CN"/>
        </w:rPr>
        <w:t>[房]</w:t>
      </w:r>
      <w:r>
        <w:rPr>
          <w:rFonts w:ascii="Arial" w:hAnsi="Arial" w:cs="Arial"/>
          <w:sz w:val="21"/>
          <w:szCs w:val="21"/>
        </w:rPr>
        <w:t>建字</w:t>
      </w:r>
      <w:r>
        <w:rPr>
          <w:rFonts w:hint="eastAsia" w:ascii="Arial" w:hAnsi="Arial" w:cs="Arial"/>
          <w:sz w:val="21"/>
          <w:szCs w:val="21"/>
          <w:lang w:val="en-US" w:eastAsia="zh-CN"/>
        </w:rPr>
        <w:t>0063</w:t>
      </w:r>
      <w:r>
        <w:rPr>
          <w:rFonts w:ascii="Arial" w:hAnsi="Arial" w:cs="Arial"/>
          <w:sz w:val="21"/>
          <w:szCs w:val="21"/>
        </w:rPr>
        <w:t>号]及附件</w:t>
      </w:r>
      <w:r>
        <w:rPr>
          <w:rFonts w:hint="eastAsia" w:ascii="Arial" w:hAnsi="Arial" w:cs="Arial"/>
          <w:sz w:val="21"/>
          <w:szCs w:val="21"/>
          <w:lang w:eastAsia="zh-CN"/>
        </w:rPr>
        <w:t>、</w:t>
      </w:r>
      <w:r>
        <w:rPr>
          <w:rFonts w:ascii="Arial" w:hAnsi="Arial" w:cs="Arial"/>
          <w:sz w:val="21"/>
          <w:szCs w:val="21"/>
        </w:rPr>
        <w:t>《工程竣工验收备案表》[备案编号：</w:t>
      </w:r>
      <w:r>
        <w:rPr>
          <w:rFonts w:hint="eastAsia" w:ascii="Arial" w:hAnsi="Arial" w:cs="Arial"/>
          <w:sz w:val="21"/>
          <w:szCs w:val="21"/>
          <w:lang w:val="en-US" w:eastAsia="zh-CN"/>
        </w:rPr>
        <w:t>0547房竣2022（建）0041号</w:t>
      </w:r>
      <w:r>
        <w:rPr>
          <w:rFonts w:ascii="Arial" w:hAnsi="Arial" w:cs="Arial"/>
          <w:sz w:val="21"/>
          <w:szCs w:val="21"/>
        </w:rPr>
        <w:t>]</w:t>
      </w:r>
      <w:r>
        <w:rPr>
          <w:rFonts w:hint="eastAsia" w:ascii="Arial" w:hAnsi="Arial" w:cs="Arial"/>
          <w:sz w:val="21"/>
          <w:szCs w:val="21"/>
          <w:lang w:eastAsia="zh-CN"/>
        </w:rPr>
        <w:t>、</w:t>
      </w:r>
      <w:r>
        <w:rPr>
          <w:rFonts w:hint="eastAsia" w:ascii="Arial" w:hAnsi="Arial" w:cs="Arial"/>
          <w:sz w:val="21"/>
          <w:szCs w:val="21"/>
        </w:rPr>
        <w:t>《不动产权证书》[京（2022）房不动产权第0022348号]等9本</w:t>
      </w:r>
      <w:r>
        <w:rPr>
          <w:rFonts w:hint="eastAsia" w:ascii="Arial" w:hAnsi="Arial" w:cs="Arial"/>
          <w:color w:val="000000"/>
          <w:sz w:val="21"/>
          <w:szCs w:val="21"/>
        </w:rPr>
        <w:t>原件供评估专业人员核对。本次评估以不动产权利人提供的</w:t>
      </w:r>
      <w:r>
        <w:rPr>
          <w:rFonts w:hint="eastAsia" w:ascii="Arial" w:hAnsi="Arial" w:cs="Arial"/>
          <w:sz w:val="21"/>
          <w:szCs w:val="21"/>
        </w:rPr>
        <w:t>《关于</w:t>
      </w:r>
      <w:r>
        <w:rPr>
          <w:rFonts w:hint="eastAsia" w:ascii="Arial" w:hAnsi="Arial" w:cs="Arial"/>
          <w:sz w:val="21"/>
          <w:szCs w:val="21"/>
          <w:lang w:eastAsia="zh-CN"/>
        </w:rPr>
        <w:t>北京市房山区拱辰街道办事处</w:t>
      </w:r>
      <w:r>
        <w:rPr>
          <w:rFonts w:hint="eastAsia" w:ascii="Arial" w:hAnsi="Arial" w:cs="Arial"/>
          <w:sz w:val="21"/>
          <w:szCs w:val="21"/>
          <w:lang w:val="en-US" w:eastAsia="zh-CN"/>
        </w:rPr>
        <w:t>FS00-LX05-0046、0056地块R2二类居住用地项目“多规合一”协同平台综合会商意见的函</w:t>
      </w:r>
      <w:r>
        <w:rPr>
          <w:rFonts w:hint="eastAsia" w:ascii="Arial" w:hAnsi="Arial" w:cs="Arial"/>
          <w:sz w:val="21"/>
          <w:szCs w:val="21"/>
        </w:rPr>
        <w:t>》</w:t>
      </w:r>
      <w:r>
        <w:rPr>
          <w:rFonts w:hint="eastAsia" w:ascii="Arial" w:hAnsi="Arial" w:cs="Arial"/>
          <w:sz w:val="21"/>
          <w:szCs w:val="21"/>
          <w:lang w:val="en-US" w:eastAsia="zh-CN"/>
        </w:rPr>
        <w:t>[京规自（房）综审函[2020]0047号]</w:t>
      </w:r>
      <w:r>
        <w:rPr>
          <w:rFonts w:hint="eastAsia" w:ascii="Arial" w:hAnsi="Arial" w:cs="Arial"/>
          <w:color w:val="000000"/>
          <w:sz w:val="21"/>
          <w:szCs w:val="21"/>
        </w:rPr>
        <w:t>、</w:t>
      </w:r>
      <w:r>
        <w:rPr>
          <w:rFonts w:hint="eastAsia" w:ascii="Arial" w:hAnsi="Arial" w:cs="Arial"/>
          <w:sz w:val="21"/>
          <w:szCs w:val="21"/>
          <w:lang w:eastAsia="zh-CN"/>
        </w:rPr>
        <w:t>《国有建设用地使用权出让合同》[电子监管号：1101002020B00714]及其补充协议</w:t>
      </w:r>
      <w:r>
        <w:rPr>
          <w:rFonts w:hint="eastAsia" w:ascii="Arial" w:hAnsi="Arial" w:cs="Arial"/>
          <w:sz w:val="21"/>
          <w:szCs w:val="21"/>
        </w:rPr>
        <w:t>、</w:t>
      </w:r>
      <w:r>
        <w:rPr>
          <w:rFonts w:ascii="Arial" w:hAnsi="Arial" w:cs="Arial"/>
          <w:sz w:val="21"/>
          <w:szCs w:val="21"/>
        </w:rPr>
        <w:t>《建设工程规划许可证》[2</w:t>
      </w:r>
      <w:r>
        <w:rPr>
          <w:rFonts w:hint="eastAsia" w:ascii="Arial" w:hAnsi="Arial" w:cs="Arial"/>
          <w:sz w:val="21"/>
          <w:szCs w:val="21"/>
          <w:lang w:val="en-US" w:eastAsia="zh-CN"/>
        </w:rPr>
        <w:t>020</w:t>
      </w:r>
      <w:r>
        <w:rPr>
          <w:rFonts w:ascii="Arial" w:hAnsi="Arial" w:cs="Arial"/>
          <w:sz w:val="21"/>
          <w:szCs w:val="21"/>
        </w:rPr>
        <w:t>规自（</w:t>
      </w:r>
      <w:r>
        <w:rPr>
          <w:rFonts w:hint="eastAsia" w:ascii="Arial" w:hAnsi="Arial" w:cs="Arial"/>
          <w:sz w:val="21"/>
          <w:szCs w:val="21"/>
          <w:lang w:eastAsia="zh-CN"/>
        </w:rPr>
        <w:t>房</w:t>
      </w:r>
      <w:r>
        <w:rPr>
          <w:rFonts w:ascii="Arial" w:hAnsi="Arial" w:cs="Arial"/>
          <w:sz w:val="21"/>
          <w:szCs w:val="21"/>
        </w:rPr>
        <w:t>）建字</w:t>
      </w:r>
      <w:r>
        <w:rPr>
          <w:rFonts w:hint="eastAsia" w:ascii="Arial" w:hAnsi="Arial" w:cs="Arial"/>
          <w:sz w:val="21"/>
          <w:szCs w:val="21"/>
          <w:lang w:val="en-US" w:eastAsia="zh-CN"/>
        </w:rPr>
        <w:t>0052</w:t>
      </w:r>
      <w:r>
        <w:rPr>
          <w:rFonts w:ascii="Arial" w:hAnsi="Arial" w:cs="Arial"/>
          <w:sz w:val="21"/>
          <w:szCs w:val="21"/>
        </w:rPr>
        <w:t>号]及附件</w:t>
      </w:r>
      <w:r>
        <w:rPr>
          <w:rFonts w:hint="eastAsia" w:ascii="Arial" w:hAnsi="Arial" w:cs="Arial"/>
          <w:sz w:val="21"/>
          <w:szCs w:val="21"/>
          <w:lang w:eastAsia="zh-CN"/>
        </w:rPr>
        <w:t>、</w:t>
      </w:r>
      <w:r>
        <w:rPr>
          <w:rFonts w:ascii="Arial" w:hAnsi="Arial" w:cs="Arial"/>
          <w:sz w:val="21"/>
          <w:szCs w:val="21"/>
        </w:rPr>
        <w:t>《建筑工程施工许可证》[编号：</w:t>
      </w:r>
      <w:r>
        <w:rPr>
          <w:rFonts w:hint="eastAsia" w:ascii="Arial" w:hAnsi="Arial" w:cs="Arial"/>
          <w:sz w:val="21"/>
          <w:szCs w:val="21"/>
          <w:lang w:val="en-US" w:eastAsia="zh-CN"/>
        </w:rPr>
        <w:t>[</w:t>
      </w:r>
      <w:r>
        <w:rPr>
          <w:rFonts w:ascii="Arial" w:hAnsi="Arial" w:cs="Arial"/>
          <w:sz w:val="21"/>
          <w:szCs w:val="21"/>
        </w:rPr>
        <w:t>20</w:t>
      </w:r>
      <w:r>
        <w:rPr>
          <w:rFonts w:hint="eastAsia" w:ascii="Arial" w:hAnsi="Arial" w:cs="Arial"/>
          <w:sz w:val="21"/>
          <w:szCs w:val="21"/>
          <w:lang w:val="en-US" w:eastAsia="zh-CN"/>
        </w:rPr>
        <w:t>20]</w:t>
      </w:r>
      <w:r>
        <w:rPr>
          <w:rFonts w:ascii="Arial" w:hAnsi="Arial" w:cs="Arial"/>
          <w:sz w:val="21"/>
          <w:szCs w:val="21"/>
        </w:rPr>
        <w:t>施</w:t>
      </w:r>
      <w:r>
        <w:rPr>
          <w:rFonts w:hint="eastAsia" w:ascii="Arial" w:hAnsi="Arial" w:cs="Arial"/>
          <w:sz w:val="21"/>
          <w:szCs w:val="21"/>
          <w:lang w:val="en-US" w:eastAsia="zh-CN"/>
        </w:rPr>
        <w:t>[房]</w:t>
      </w:r>
      <w:r>
        <w:rPr>
          <w:rFonts w:ascii="Arial" w:hAnsi="Arial" w:cs="Arial"/>
          <w:sz w:val="21"/>
          <w:szCs w:val="21"/>
        </w:rPr>
        <w:t>建字</w:t>
      </w:r>
      <w:r>
        <w:rPr>
          <w:rFonts w:hint="eastAsia" w:ascii="Arial" w:hAnsi="Arial" w:cs="Arial"/>
          <w:sz w:val="21"/>
          <w:szCs w:val="21"/>
          <w:lang w:val="en-US" w:eastAsia="zh-CN"/>
        </w:rPr>
        <w:t>0063</w:t>
      </w:r>
      <w:r>
        <w:rPr>
          <w:rFonts w:ascii="Arial" w:hAnsi="Arial" w:cs="Arial"/>
          <w:sz w:val="21"/>
          <w:szCs w:val="21"/>
        </w:rPr>
        <w:t>号]及附件</w:t>
      </w:r>
      <w:r>
        <w:rPr>
          <w:rFonts w:hint="eastAsia" w:ascii="Arial" w:hAnsi="Arial" w:cs="Arial"/>
          <w:sz w:val="21"/>
          <w:szCs w:val="21"/>
          <w:lang w:eastAsia="zh-CN"/>
        </w:rPr>
        <w:t>、</w:t>
      </w:r>
      <w:r>
        <w:rPr>
          <w:rFonts w:ascii="Arial" w:hAnsi="Arial" w:cs="Arial"/>
          <w:sz w:val="21"/>
          <w:szCs w:val="21"/>
        </w:rPr>
        <w:t>《工程竣工验收备案表》[备案编号：</w:t>
      </w:r>
      <w:r>
        <w:rPr>
          <w:rFonts w:hint="eastAsia" w:ascii="Arial" w:hAnsi="Arial" w:cs="Arial"/>
          <w:sz w:val="21"/>
          <w:szCs w:val="21"/>
          <w:lang w:val="en-US" w:eastAsia="zh-CN"/>
        </w:rPr>
        <w:t>0547房竣2022（建）0041号</w:t>
      </w:r>
      <w:r>
        <w:rPr>
          <w:rFonts w:ascii="Arial" w:hAnsi="Arial" w:cs="Arial"/>
          <w:sz w:val="21"/>
          <w:szCs w:val="21"/>
        </w:rPr>
        <w:t>]</w:t>
      </w:r>
      <w:r>
        <w:rPr>
          <w:rFonts w:hint="eastAsia" w:ascii="Arial" w:hAnsi="Arial" w:cs="Arial"/>
          <w:sz w:val="21"/>
          <w:szCs w:val="21"/>
          <w:lang w:eastAsia="zh-CN"/>
        </w:rPr>
        <w:t>、</w:t>
      </w:r>
      <w:r>
        <w:rPr>
          <w:rFonts w:hint="eastAsia" w:ascii="Arial" w:hAnsi="Arial" w:cs="Arial"/>
          <w:sz w:val="21"/>
          <w:szCs w:val="21"/>
        </w:rPr>
        <w:t>《不动产权证书》[京（2022）房不动产权第0022348号]等9本</w:t>
      </w:r>
      <w:r>
        <w:rPr>
          <w:rFonts w:hint="eastAsia" w:ascii="Arial" w:hAnsi="Arial" w:cs="Arial"/>
          <w:color w:val="000000"/>
          <w:sz w:val="21"/>
          <w:szCs w:val="21"/>
        </w:rPr>
        <w:t>复印件与原件一致为估价的假设前提</w:t>
      </w:r>
      <w:r>
        <w:rPr>
          <w:rFonts w:hint="eastAsia" w:ascii="Arial" w:hAnsi="Arial" w:cs="Arial"/>
          <w:sz w:val="21"/>
          <w:szCs w:val="21"/>
        </w:rPr>
        <w:t>。</w:t>
      </w:r>
    </w:p>
    <w:p>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1.使用范围：本估价报告只能由估价报告载明的报告使用者使用，且只能用于本报告载明的唯一估价目的和用途。</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4.估价报告使用人应当正确理解估价结论。估价结论不等同于估价对象可实现价格，估价结论不应当被认为是对估价对象可实现价格的保证。</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5.本</w:t>
      </w:r>
      <w:r>
        <w:rPr>
          <w:rFonts w:ascii="Arial" w:hAnsi="Arial" w:cs="Arial"/>
          <w:sz w:val="21"/>
          <w:szCs w:val="21"/>
        </w:rPr>
        <w:t>估价报告</w:t>
      </w:r>
      <w:r>
        <w:rPr>
          <w:rFonts w:ascii="Arial" w:hAnsi="Arial" w:cs="Arial"/>
          <w:kern w:val="2"/>
          <w:sz w:val="21"/>
          <w:szCs w:val="21"/>
        </w:rPr>
        <w:t>评估目的是</w:t>
      </w:r>
      <w:r>
        <w:rPr>
          <w:rFonts w:ascii="Arial" w:hAnsi="Arial" w:cs="Arial"/>
          <w:sz w:val="21"/>
          <w:szCs w:val="21"/>
        </w:rPr>
        <w:t>为估价委托人确定共有产权住房项目市场租金提供价格参考依据</w:t>
      </w:r>
      <w:r>
        <w:rPr>
          <w:rFonts w:ascii="Arial" w:hAnsi="Arial" w:cs="Arial"/>
          <w:kern w:val="2"/>
          <w:sz w:val="21"/>
          <w:szCs w:val="21"/>
        </w:rPr>
        <w:t>，不做其他评估目的之用。如果估价对象的评估条件或目的发生变化，需重新进行评估。</w:t>
      </w:r>
    </w:p>
    <w:p>
      <w:pPr>
        <w:spacing w:line="480" w:lineRule="auto"/>
        <w:ind w:firstLine="420" w:firstLineChars="200"/>
        <w:jc w:val="both"/>
        <w:rPr>
          <w:rFonts w:ascii="Arial" w:hAnsi="Arial" w:cs="Arial"/>
          <w:kern w:val="2"/>
          <w:sz w:val="21"/>
          <w:szCs w:val="21"/>
        </w:rPr>
      </w:pPr>
      <w:r>
        <w:rPr>
          <w:rFonts w:ascii="Arial" w:hAnsi="Arial" w:cs="Arial"/>
          <w:sz w:val="21"/>
          <w:szCs w:val="21"/>
        </w:rPr>
        <w:t>6.</w:t>
      </w:r>
      <w:r>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pPr>
        <w:spacing w:line="480" w:lineRule="auto"/>
        <w:ind w:firstLine="420" w:firstLineChars="200"/>
        <w:jc w:val="both"/>
        <w:rPr>
          <w:rFonts w:ascii="Arial" w:hAnsi="Arial" w:cs="Arial"/>
          <w:sz w:val="21"/>
          <w:szCs w:val="21"/>
        </w:rPr>
      </w:pPr>
      <w:r>
        <w:rPr>
          <w:rFonts w:ascii="Arial" w:hAnsi="Arial" w:cs="Arial"/>
          <w:sz w:val="21"/>
          <w:szCs w:val="21"/>
        </w:rPr>
        <w:t>8.本估价报告中数据全部采用电算化连续计算得出，由于在报告中计算的数据均按四舍五入保留两位小数或取整，故可能出现个别等式左右不完全相等的情况，但不影响计算结果及最终评估结论的准确性。</w:t>
      </w:r>
    </w:p>
    <w:p>
      <w:pPr>
        <w:spacing w:line="480" w:lineRule="auto"/>
        <w:ind w:firstLine="420" w:firstLineChars="200"/>
        <w:jc w:val="both"/>
        <w:rPr>
          <w:rFonts w:ascii="Arial" w:hAnsi="Arial" w:cs="Arial"/>
          <w:sz w:val="21"/>
          <w:szCs w:val="21"/>
        </w:rPr>
      </w:pPr>
      <w:r>
        <w:rPr>
          <w:rFonts w:ascii="Arial" w:hAnsi="Arial" w:cs="Arial"/>
          <w:sz w:val="21"/>
          <w:szCs w:val="21"/>
        </w:rPr>
        <w:t>9.本估价报告在估价机构盖章和注册房地产估价师签字盖章的条件下有效。</w:t>
      </w:r>
    </w:p>
    <w:p>
      <w:pPr>
        <w:spacing w:line="480" w:lineRule="auto"/>
        <w:ind w:firstLine="420" w:firstLineChars="200"/>
        <w:jc w:val="both"/>
        <w:rPr>
          <w:rFonts w:ascii="Arial" w:hAnsi="Arial" w:cs="Arial"/>
          <w:sz w:val="21"/>
          <w:szCs w:val="21"/>
        </w:rPr>
      </w:pPr>
      <w:r>
        <w:rPr>
          <w:rFonts w:ascii="Arial" w:hAnsi="Arial" w:cs="Arial"/>
          <w:kern w:val="2"/>
          <w:sz w:val="21"/>
          <w:szCs w:val="21"/>
        </w:rPr>
        <w:t>10.</w:t>
      </w:r>
      <w:r>
        <w:rPr>
          <w:rFonts w:ascii="Arial" w:hAnsi="Arial" w:cs="Arial"/>
          <w:sz w:val="21"/>
          <w:szCs w:val="21"/>
        </w:rPr>
        <w:t>价值时点后，估价报告有效期内估价对象的质量及价格标准发生变化，并对估价对象租赁价值产生明显影响时，不能直接使用本次估价结论。</w:t>
      </w:r>
    </w:p>
    <w:p>
      <w:pPr>
        <w:spacing w:line="480" w:lineRule="auto"/>
        <w:ind w:firstLine="420" w:firstLineChars="200"/>
        <w:jc w:val="both"/>
        <w:rPr>
          <w:rFonts w:ascii="Arial" w:hAnsi="Arial" w:cs="Arial"/>
          <w:sz w:val="21"/>
          <w:szCs w:val="21"/>
        </w:rPr>
      </w:pPr>
      <w:r>
        <w:rPr>
          <w:rFonts w:ascii="Arial" w:hAnsi="Arial" w:cs="Arial"/>
          <w:sz w:val="21"/>
          <w:szCs w:val="21"/>
        </w:rPr>
        <w:t>11.本次估价未考虑特殊交易方式对估价结果的影响。</w:t>
      </w:r>
    </w:p>
    <w:p>
      <w:pPr>
        <w:spacing w:line="480" w:lineRule="auto"/>
        <w:ind w:firstLine="420" w:firstLineChars="200"/>
        <w:jc w:val="both"/>
        <w:rPr>
          <w:rFonts w:ascii="Arial" w:hAnsi="Arial" w:cs="Arial"/>
          <w:sz w:val="21"/>
          <w:szCs w:val="21"/>
        </w:rPr>
      </w:pPr>
      <w:r>
        <w:rPr>
          <w:rFonts w:ascii="Arial" w:hAnsi="Arial" w:cs="Arial"/>
          <w:sz w:val="21"/>
          <w:szCs w:val="21"/>
        </w:rPr>
        <w:t>12.根据估价委托人提供的资料，估价对象不存在抵押、担保等他项权利登记，本次估价不考虑抵押等他项权利及现利用状况对估价对象租金价格产生的影响。</w:t>
      </w:r>
    </w:p>
    <w:p>
      <w:pPr>
        <w:spacing w:line="480" w:lineRule="auto"/>
        <w:ind w:firstLine="420" w:firstLineChars="200"/>
        <w:jc w:val="both"/>
        <w:rPr>
          <w:rFonts w:ascii="Arial" w:hAnsi="Arial" w:cs="Arial"/>
          <w:sz w:val="21"/>
          <w:szCs w:val="21"/>
        </w:rPr>
      </w:pPr>
      <w:r>
        <w:rPr>
          <w:rFonts w:ascii="Arial" w:hAnsi="Arial" w:cs="Arial"/>
          <w:kern w:val="2"/>
          <w:sz w:val="21"/>
          <w:szCs w:val="21"/>
        </w:rPr>
        <w:t>13.本估价报告自报告出具日起计算，自202</w:t>
      </w:r>
      <w:r>
        <w:rPr>
          <w:rFonts w:hint="eastAsia" w:ascii="Arial" w:hAnsi="Arial" w:cs="Arial"/>
          <w:kern w:val="2"/>
          <w:sz w:val="21"/>
          <w:szCs w:val="21"/>
          <w:lang w:val="en-US" w:eastAsia="zh-CN"/>
        </w:rPr>
        <w:t>3</w:t>
      </w:r>
      <w:r>
        <w:rPr>
          <w:rFonts w:ascii="Arial" w:hAnsi="Arial" w:cs="Arial"/>
          <w:kern w:val="2"/>
          <w:sz w:val="21"/>
          <w:szCs w:val="21"/>
        </w:rPr>
        <w:t>年</w:t>
      </w:r>
      <w:r>
        <w:rPr>
          <w:rFonts w:hint="eastAsia" w:ascii="Arial" w:hAnsi="Arial" w:cs="Arial"/>
          <w:kern w:val="2"/>
          <w:sz w:val="21"/>
          <w:szCs w:val="21"/>
          <w:lang w:val="en-US" w:eastAsia="zh-CN"/>
        </w:rPr>
        <w:t>5</w:t>
      </w:r>
      <w:r>
        <w:rPr>
          <w:rFonts w:ascii="Arial" w:hAnsi="Arial" w:cs="Arial"/>
          <w:kern w:val="2"/>
          <w:sz w:val="21"/>
          <w:szCs w:val="21"/>
        </w:rPr>
        <w:t>月</w:t>
      </w:r>
      <w:r>
        <w:rPr>
          <w:rFonts w:hint="eastAsia" w:ascii="Arial" w:hAnsi="Arial" w:cs="Arial"/>
          <w:kern w:val="2"/>
          <w:sz w:val="21"/>
          <w:szCs w:val="21"/>
          <w:lang w:val="en-US" w:eastAsia="zh-CN"/>
        </w:rPr>
        <w:t>12</w:t>
      </w:r>
      <w:r>
        <w:rPr>
          <w:rFonts w:ascii="Arial" w:hAnsi="Arial" w:cs="Arial"/>
          <w:kern w:val="2"/>
          <w:sz w:val="21"/>
          <w:szCs w:val="21"/>
        </w:rPr>
        <w:t>日至202</w:t>
      </w:r>
      <w:r>
        <w:rPr>
          <w:rFonts w:hint="eastAsia" w:ascii="Arial" w:hAnsi="Arial" w:cs="Arial"/>
          <w:kern w:val="2"/>
          <w:sz w:val="21"/>
          <w:szCs w:val="21"/>
          <w:lang w:val="en-US" w:eastAsia="zh-CN"/>
        </w:rPr>
        <w:t>4</w:t>
      </w:r>
      <w:r>
        <w:rPr>
          <w:rFonts w:ascii="Arial" w:hAnsi="Arial" w:cs="Arial"/>
          <w:kern w:val="2"/>
          <w:sz w:val="21"/>
          <w:szCs w:val="21"/>
        </w:rPr>
        <w:t>年</w:t>
      </w:r>
      <w:r>
        <w:rPr>
          <w:rFonts w:hint="eastAsia" w:ascii="Arial" w:hAnsi="Arial" w:cs="Arial"/>
          <w:kern w:val="2"/>
          <w:sz w:val="21"/>
          <w:szCs w:val="21"/>
          <w:lang w:val="en-US" w:eastAsia="zh-CN"/>
        </w:rPr>
        <w:t>5</w:t>
      </w:r>
      <w:r>
        <w:rPr>
          <w:rFonts w:ascii="Arial" w:hAnsi="Arial" w:cs="Arial"/>
          <w:kern w:val="2"/>
          <w:sz w:val="21"/>
          <w:szCs w:val="21"/>
        </w:rPr>
        <w:t>月</w:t>
      </w:r>
      <w:r>
        <w:rPr>
          <w:rFonts w:hint="eastAsia" w:ascii="Arial" w:hAnsi="Arial" w:cs="Arial"/>
          <w:kern w:val="2"/>
          <w:sz w:val="21"/>
          <w:szCs w:val="21"/>
          <w:lang w:val="en-US" w:eastAsia="zh-CN"/>
        </w:rPr>
        <w:t>11</w:t>
      </w:r>
      <w:r>
        <w:rPr>
          <w:rFonts w:ascii="Arial" w:hAnsi="Arial" w:cs="Arial"/>
          <w:kern w:val="2"/>
          <w:sz w:val="21"/>
          <w:szCs w:val="21"/>
        </w:rPr>
        <w:t>日有效。</w:t>
      </w:r>
    </w:p>
    <w:bookmarkEnd w:id="6"/>
    <w:p>
      <w:pPr>
        <w:spacing w:line="480" w:lineRule="auto"/>
        <w:ind w:firstLine="560"/>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pPr>
        <w:pStyle w:val="2"/>
        <w:spacing w:line="360" w:lineRule="auto"/>
        <w:jc w:val="center"/>
        <w:rPr>
          <w:rFonts w:eastAsia="方正黑体简体"/>
          <w:b w:val="0"/>
          <w:kern w:val="2"/>
          <w:sz w:val="32"/>
          <w:szCs w:val="32"/>
        </w:rPr>
      </w:pPr>
      <w:bookmarkStart w:id="9" w:name="_Toc525655417"/>
      <w:bookmarkStart w:id="10" w:name="_Toc168225812"/>
      <w:r>
        <w:rPr>
          <w:rFonts w:eastAsia="方正黑体简体"/>
          <w:b w:val="0"/>
          <w:kern w:val="2"/>
          <w:sz w:val="32"/>
          <w:szCs w:val="32"/>
        </w:rPr>
        <w:t>估价结果报告</w:t>
      </w:r>
      <w:bookmarkEnd w:id="9"/>
      <w:bookmarkEnd w:id="10"/>
    </w:p>
    <w:p>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1" w:name="_Toc216083223"/>
      <w:bookmarkStart w:id="12" w:name="_Toc525655418"/>
      <w:r>
        <w:rPr>
          <w:rFonts w:eastAsia="宋体"/>
          <w:kern w:val="2"/>
          <w:sz w:val="21"/>
          <w:szCs w:val="21"/>
        </w:rPr>
        <w:t>一</w:t>
      </w:r>
      <w:bookmarkEnd w:id="11"/>
      <w:r>
        <w:rPr>
          <w:rFonts w:eastAsia="宋体"/>
          <w:kern w:val="2"/>
          <w:sz w:val="21"/>
          <w:szCs w:val="21"/>
        </w:rPr>
        <w:t>、估价委托人</w:t>
      </w:r>
      <w:bookmarkEnd w:id="12"/>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估价委托人为</w:t>
      </w:r>
      <w:r>
        <w:rPr>
          <w:rFonts w:hint="eastAsia" w:ascii="Arial" w:hAnsi="Arial" w:cs="Arial"/>
          <w:sz w:val="21"/>
          <w:szCs w:val="21"/>
          <w:lang w:eastAsia="zh-CN"/>
        </w:rPr>
        <w:t>北京市燕房保障性住房建设投资有限公司</w:t>
      </w:r>
      <w:r>
        <w:rPr>
          <w:rFonts w:ascii="Arial" w:hAnsi="Arial" w:cs="Arial"/>
          <w:sz w:val="21"/>
          <w:szCs w:val="21"/>
        </w:rPr>
        <w:t>。</w:t>
      </w:r>
    </w:p>
    <w:p>
      <w:pPr>
        <w:wordWrap w:val="0"/>
        <w:overflowPunct w:val="0"/>
        <w:spacing w:line="480" w:lineRule="auto"/>
        <w:ind w:firstLine="420" w:firstLineChars="200"/>
        <w:jc w:val="both"/>
        <w:rPr>
          <w:rFonts w:hint="eastAsia" w:ascii="Arial" w:hAnsi="Arial" w:eastAsia="宋体" w:cs="Arial"/>
          <w:sz w:val="21"/>
          <w:szCs w:val="21"/>
          <w:lang w:eastAsia="zh-CN"/>
        </w:rPr>
      </w:pPr>
      <w:r>
        <w:rPr>
          <w:rFonts w:ascii="Arial" w:hAnsi="Arial" w:cs="Arial"/>
          <w:sz w:val="21"/>
          <w:szCs w:val="21"/>
        </w:rPr>
        <w:t>单位名称：</w:t>
      </w:r>
      <w:r>
        <w:rPr>
          <w:rFonts w:hint="eastAsia" w:ascii="Arial" w:hAnsi="Arial" w:cs="Arial"/>
          <w:sz w:val="21"/>
          <w:szCs w:val="21"/>
          <w:lang w:eastAsia="zh-CN"/>
        </w:rPr>
        <w:t>北京市燕房保障性住房建设投资有限公司</w:t>
      </w:r>
    </w:p>
    <w:p>
      <w:pPr>
        <w:wordWrap w:val="0"/>
        <w:overflowPunct w:val="0"/>
        <w:spacing w:line="480" w:lineRule="auto"/>
        <w:ind w:firstLine="420" w:firstLineChars="200"/>
        <w:jc w:val="both"/>
        <w:rPr>
          <w:rFonts w:ascii="Arial" w:hAnsi="Arial" w:cs="Arial"/>
          <w:sz w:val="21"/>
          <w:szCs w:val="21"/>
        </w:rPr>
      </w:pPr>
    </w:p>
    <w:p>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3" w:name="_Toc168225814"/>
      <w:bookmarkStart w:id="14" w:name="_Toc525655419"/>
      <w:r>
        <w:rPr>
          <w:rFonts w:eastAsia="宋体"/>
          <w:kern w:val="2"/>
          <w:sz w:val="21"/>
          <w:szCs w:val="21"/>
        </w:rPr>
        <w:t>二、房地产估价机构</w:t>
      </w:r>
      <w:bookmarkEnd w:id="13"/>
      <w:bookmarkEnd w:id="14"/>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受托机构：北京康正宏基房地产评估有限公司</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资质级别：壹级</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资格证书号：建房估备字[2013]081号</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有效期限：</w:t>
      </w:r>
      <w:r>
        <w:rPr>
          <w:rFonts w:ascii="Arial" w:hAnsi="Arial"/>
          <w:sz w:val="21"/>
          <w:szCs w:val="21"/>
        </w:rPr>
        <w:t>2022</w:t>
      </w:r>
      <w:r>
        <w:rPr>
          <w:rFonts w:hint="eastAsia" w:ascii="Arial" w:hAnsi="Arial"/>
          <w:sz w:val="21"/>
          <w:szCs w:val="21"/>
        </w:rPr>
        <w:t>年</w:t>
      </w:r>
      <w:r>
        <w:rPr>
          <w:rFonts w:ascii="Arial" w:hAnsi="Arial"/>
          <w:sz w:val="21"/>
          <w:szCs w:val="21"/>
        </w:rPr>
        <w:t>8</w:t>
      </w:r>
      <w:r>
        <w:rPr>
          <w:rFonts w:hint="eastAsia" w:ascii="Arial" w:hAnsi="Arial"/>
          <w:sz w:val="21"/>
          <w:szCs w:val="21"/>
        </w:rPr>
        <w:t>月</w:t>
      </w:r>
      <w:r>
        <w:rPr>
          <w:rFonts w:ascii="Arial" w:hAnsi="Arial"/>
          <w:sz w:val="21"/>
          <w:szCs w:val="21"/>
        </w:rPr>
        <w:t>30</w:t>
      </w:r>
      <w:r>
        <w:rPr>
          <w:rFonts w:hint="eastAsia" w:ascii="Arial" w:hAnsi="Arial"/>
          <w:sz w:val="21"/>
          <w:szCs w:val="21"/>
        </w:rPr>
        <w:t>日至</w:t>
      </w:r>
      <w:r>
        <w:rPr>
          <w:rFonts w:ascii="Arial" w:hAnsi="Arial"/>
          <w:sz w:val="21"/>
          <w:szCs w:val="21"/>
        </w:rPr>
        <w:t>2025</w:t>
      </w:r>
      <w:r>
        <w:rPr>
          <w:rFonts w:hint="eastAsia" w:ascii="Arial" w:hAnsi="Arial"/>
          <w:sz w:val="21"/>
          <w:szCs w:val="21"/>
        </w:rPr>
        <w:t>年</w:t>
      </w:r>
      <w:r>
        <w:rPr>
          <w:rFonts w:ascii="Arial" w:hAnsi="Arial"/>
          <w:sz w:val="21"/>
          <w:szCs w:val="21"/>
        </w:rPr>
        <w:t>8</w:t>
      </w:r>
      <w:r>
        <w:rPr>
          <w:rFonts w:hint="eastAsia" w:ascii="Arial" w:hAnsi="Arial"/>
          <w:sz w:val="21"/>
          <w:szCs w:val="21"/>
        </w:rPr>
        <w:t>月</w:t>
      </w:r>
      <w:r>
        <w:rPr>
          <w:rFonts w:ascii="Arial" w:hAnsi="Arial"/>
          <w:sz w:val="21"/>
          <w:szCs w:val="21"/>
        </w:rPr>
        <w:t>29</w:t>
      </w:r>
      <w:r>
        <w:rPr>
          <w:rFonts w:hint="eastAsia" w:ascii="Arial" w:hAnsi="Arial"/>
          <w:sz w:val="21"/>
          <w:szCs w:val="21"/>
        </w:rPr>
        <w:t>日</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注册地址：北京市丰台区芳城园一区16号楼2层2门配套公建01</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法定代表人：齐宏</w:t>
      </w:r>
    </w:p>
    <w:p>
      <w:pPr>
        <w:wordWrap w:val="0"/>
        <w:overflowPunct w:val="0"/>
        <w:spacing w:line="480" w:lineRule="auto"/>
        <w:ind w:firstLine="420" w:firstLineChars="200"/>
        <w:jc w:val="both"/>
        <w:rPr>
          <w:rFonts w:hint="eastAsia" w:ascii="Arial" w:hAnsi="Arial" w:eastAsia="宋体" w:cs="Arial"/>
          <w:sz w:val="21"/>
          <w:szCs w:val="21"/>
          <w:lang w:eastAsia="zh-CN"/>
        </w:rPr>
      </w:pPr>
      <w:r>
        <w:rPr>
          <w:rFonts w:ascii="Arial" w:hAnsi="Arial" w:cs="Arial"/>
          <w:sz w:val="21"/>
          <w:szCs w:val="21"/>
        </w:rPr>
        <w:t>联 系 人：</w:t>
      </w:r>
      <w:r>
        <w:rPr>
          <w:rFonts w:hint="eastAsia" w:ascii="Arial" w:hAnsi="Arial" w:cs="Arial"/>
          <w:sz w:val="21"/>
          <w:szCs w:val="21"/>
          <w:lang w:eastAsia="zh-CN"/>
        </w:rPr>
        <w:t>李诗霖</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联系电话：010-82253558</w:t>
      </w:r>
    </w:p>
    <w:p>
      <w:pPr>
        <w:wordWrap w:val="0"/>
        <w:overflowPunct w:val="0"/>
        <w:spacing w:line="480" w:lineRule="auto"/>
        <w:ind w:firstLine="420" w:firstLineChars="200"/>
        <w:jc w:val="both"/>
        <w:rPr>
          <w:rFonts w:ascii="Arial" w:hAnsi="Arial" w:cs="Arial"/>
          <w:kern w:val="2"/>
          <w:sz w:val="21"/>
          <w:szCs w:val="21"/>
        </w:rPr>
      </w:pPr>
    </w:p>
    <w:p>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5" w:name="_Toc168225815"/>
      <w:bookmarkStart w:id="16" w:name="_Toc525655420"/>
      <w:r>
        <w:rPr>
          <w:rFonts w:eastAsia="宋体"/>
          <w:kern w:val="2"/>
          <w:sz w:val="21"/>
          <w:szCs w:val="21"/>
        </w:rPr>
        <w:t>三、估价目的</w:t>
      </w:r>
      <w:bookmarkEnd w:id="15"/>
      <w:bookmarkEnd w:id="16"/>
    </w:p>
    <w:p>
      <w:pPr>
        <w:wordWrap w:val="0"/>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为规范本市共有产权住房项目区域市场租金，维护共有产权住房项目相关各方的合法权益，</w:t>
      </w:r>
      <w:r>
        <w:rPr>
          <w:rFonts w:hint="eastAsia" w:ascii="Arial" w:hAnsi="Arial" w:cs="Arial"/>
          <w:kern w:val="2"/>
          <w:sz w:val="21"/>
          <w:szCs w:val="21"/>
        </w:rPr>
        <w:t>依据</w:t>
      </w:r>
      <w:r>
        <w:rPr>
          <w:rFonts w:ascii="Arial" w:hAnsi="Arial" w:cs="Arial"/>
          <w:kern w:val="2"/>
          <w:sz w:val="21"/>
          <w:szCs w:val="21"/>
        </w:rPr>
        <w:t>《北京市共有产权住房管理暂行办法》（京建法〔2017〕16号）、《关于规范共有产权住房出租管理工作的通知（试行）》、《房地产估价规范》（GB/T 50291-2015）、《北京市共有产权住房价格评估技术指引（试行）》(北估秘[2018]012号)</w:t>
      </w:r>
      <w:r>
        <w:rPr>
          <w:rFonts w:hint="eastAsia" w:ascii="Arial" w:hAnsi="Arial" w:cs="Arial"/>
          <w:kern w:val="2"/>
          <w:sz w:val="21"/>
          <w:szCs w:val="21"/>
        </w:rPr>
        <w:t>、</w:t>
      </w:r>
      <w:r>
        <w:rPr>
          <w:rFonts w:ascii="Arial" w:hAnsi="Arial" w:cs="Arial"/>
          <w:kern w:val="2"/>
          <w:sz w:val="21"/>
          <w:szCs w:val="21"/>
        </w:rPr>
        <w:t>参照</w:t>
      </w:r>
      <w:r>
        <w:rPr>
          <w:rFonts w:hint="eastAsia" w:ascii="Arial" w:hAnsi="Arial" w:cs="Arial"/>
          <w:kern w:val="2"/>
          <w:sz w:val="21"/>
          <w:szCs w:val="21"/>
        </w:rPr>
        <w:t>《关于发布《北京市公共租赁住房项目市场租金评估技术指引》的通知》 [北估秘[2019]020号]</w:t>
      </w:r>
      <w:r>
        <w:rPr>
          <w:rFonts w:ascii="Arial" w:hAnsi="Arial" w:cs="Arial"/>
          <w:kern w:val="2"/>
          <w:sz w:val="21"/>
          <w:szCs w:val="21"/>
        </w:rPr>
        <w:t>，为估价委托人确定共有产权住房项目市场租金提供价格参考依据。</w:t>
      </w:r>
    </w:p>
    <w:p>
      <w:pPr>
        <w:wordWrap w:val="0"/>
        <w:overflowPunct w:val="0"/>
        <w:spacing w:line="480" w:lineRule="auto"/>
        <w:ind w:firstLine="420" w:firstLineChars="200"/>
        <w:jc w:val="both"/>
        <w:rPr>
          <w:rFonts w:ascii="Arial" w:hAnsi="Arial" w:cs="Arial"/>
          <w:sz w:val="21"/>
          <w:szCs w:val="21"/>
        </w:rPr>
      </w:pPr>
    </w:p>
    <w:p>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7" w:name="_Toc168225816"/>
      <w:bookmarkStart w:id="18" w:name="_Toc525655421"/>
      <w:r>
        <w:rPr>
          <w:rFonts w:eastAsia="宋体"/>
          <w:kern w:val="2"/>
          <w:sz w:val="21"/>
          <w:szCs w:val="21"/>
        </w:rPr>
        <w:t>四、估价对象</w:t>
      </w:r>
      <w:bookmarkEnd w:id="17"/>
      <w:bookmarkEnd w:id="18"/>
    </w:p>
    <w:p>
      <w:pPr>
        <w:wordWrap w:val="0"/>
        <w:overflowPunct w:val="0"/>
        <w:spacing w:line="480" w:lineRule="auto"/>
        <w:jc w:val="both"/>
        <w:rPr>
          <w:rFonts w:ascii="Arial" w:hAnsi="Arial" w:cs="Arial"/>
          <w:b/>
          <w:kern w:val="2"/>
          <w:sz w:val="21"/>
          <w:szCs w:val="21"/>
        </w:rPr>
      </w:pPr>
      <w:r>
        <w:rPr>
          <w:rFonts w:ascii="Arial" w:hAnsi="Arial" w:cs="Arial"/>
          <w:b/>
          <w:kern w:val="2"/>
          <w:sz w:val="21"/>
          <w:szCs w:val="21"/>
        </w:rPr>
        <w:t>（一）估价对象范围</w:t>
      </w:r>
    </w:p>
    <w:p>
      <w:pPr>
        <w:tabs>
          <w:tab w:val="left" w:pos="3544"/>
        </w:tabs>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估价对象所属项目坐落为</w:t>
      </w:r>
      <w:r>
        <w:rPr>
          <w:rFonts w:hint="eastAsia" w:ascii="Arial" w:hAnsi="Arial" w:cs="Arial"/>
          <w:kern w:val="2"/>
          <w:sz w:val="21"/>
          <w:szCs w:val="21"/>
          <w:lang w:eastAsia="zh-CN"/>
        </w:rPr>
        <w:t>北京市房山区西雅路</w:t>
      </w:r>
      <w:r>
        <w:rPr>
          <w:rFonts w:hint="eastAsia" w:ascii="Arial" w:hAnsi="Arial" w:cs="Arial"/>
          <w:kern w:val="2"/>
          <w:sz w:val="21"/>
          <w:szCs w:val="21"/>
          <w:lang w:val="en-US" w:eastAsia="zh-CN"/>
        </w:rPr>
        <w:t>17号院（</w:t>
      </w:r>
      <w:r>
        <w:rPr>
          <w:rFonts w:hint="eastAsia" w:ascii="Arial" w:hAnsi="Arial" w:cs="Arial"/>
          <w:kern w:val="2"/>
          <w:sz w:val="21"/>
          <w:szCs w:val="21"/>
        </w:rPr>
        <w:t>中建京西印玥</w:t>
      </w:r>
      <w:r>
        <w:rPr>
          <w:rFonts w:hint="eastAsia" w:ascii="Arial" w:hAnsi="Arial" w:cs="Arial"/>
          <w:kern w:val="2"/>
          <w:sz w:val="21"/>
          <w:szCs w:val="21"/>
          <w:lang w:eastAsia="zh-CN"/>
        </w:rPr>
        <w:t>共有产权住房</w:t>
      </w:r>
      <w:r>
        <w:rPr>
          <w:rFonts w:hint="eastAsia" w:ascii="Arial" w:hAnsi="Arial" w:cs="Arial"/>
          <w:kern w:val="2"/>
          <w:sz w:val="21"/>
          <w:szCs w:val="21"/>
          <w:lang w:val="en-US" w:eastAsia="zh-CN"/>
        </w:rPr>
        <w:t>）</w:t>
      </w:r>
      <w:r>
        <w:rPr>
          <w:rFonts w:ascii="Arial" w:hAnsi="Arial" w:cs="Arial"/>
          <w:kern w:val="2"/>
          <w:sz w:val="21"/>
          <w:szCs w:val="21"/>
        </w:rPr>
        <w:t>，该项目有</w:t>
      </w:r>
      <w:r>
        <w:rPr>
          <w:rFonts w:hint="eastAsia" w:ascii="Arial" w:hAnsi="Arial" w:cs="Arial"/>
          <w:kern w:val="2"/>
          <w:sz w:val="21"/>
          <w:szCs w:val="21"/>
        </w:rPr>
        <w:t>1#</w:t>
      </w:r>
      <w:r>
        <w:rPr>
          <w:rFonts w:hint="eastAsia" w:ascii="Arial" w:hAnsi="Arial" w:cs="Arial"/>
          <w:kern w:val="2"/>
          <w:sz w:val="21"/>
          <w:szCs w:val="21"/>
          <w:lang w:eastAsia="zh-CN"/>
        </w:rPr>
        <w:t>至</w:t>
      </w:r>
      <w:r>
        <w:rPr>
          <w:rFonts w:hint="eastAsia" w:ascii="Arial" w:hAnsi="Arial" w:cs="Arial"/>
          <w:kern w:val="2"/>
          <w:sz w:val="21"/>
          <w:szCs w:val="21"/>
          <w:lang w:val="en-US" w:eastAsia="zh-CN"/>
        </w:rPr>
        <w:t>9</w:t>
      </w:r>
      <w:r>
        <w:rPr>
          <w:rFonts w:hint="eastAsia" w:ascii="Arial" w:hAnsi="Arial" w:cs="Arial"/>
          <w:kern w:val="2"/>
          <w:sz w:val="21"/>
          <w:szCs w:val="21"/>
        </w:rPr>
        <w:t>#共</w:t>
      </w:r>
      <w:r>
        <w:rPr>
          <w:rFonts w:hint="eastAsia" w:ascii="Arial" w:hAnsi="Arial" w:cs="Arial"/>
          <w:kern w:val="2"/>
          <w:sz w:val="21"/>
          <w:szCs w:val="21"/>
          <w:lang w:eastAsia="zh-CN"/>
        </w:rPr>
        <w:t>九</w:t>
      </w:r>
      <w:r>
        <w:rPr>
          <w:rFonts w:ascii="Arial" w:hAnsi="Arial" w:cs="Arial"/>
          <w:kern w:val="2"/>
          <w:sz w:val="21"/>
          <w:szCs w:val="21"/>
        </w:rPr>
        <w:t>栋共有产权住房，建成于</w:t>
      </w:r>
      <w:r>
        <w:rPr>
          <w:rFonts w:hint="eastAsia" w:ascii="Arial" w:hAnsi="Arial" w:cs="Arial"/>
          <w:kern w:val="2"/>
          <w:sz w:val="21"/>
          <w:szCs w:val="21"/>
        </w:rPr>
        <w:t>2022</w:t>
      </w:r>
      <w:r>
        <w:rPr>
          <w:rFonts w:ascii="Arial" w:hAnsi="Arial" w:cs="Arial"/>
          <w:kern w:val="2"/>
          <w:sz w:val="21"/>
          <w:szCs w:val="21"/>
        </w:rPr>
        <w:t>年。根据估价委托人提供的</w:t>
      </w:r>
      <w:r>
        <w:rPr>
          <w:rFonts w:ascii="Arial" w:hAnsi="Arial" w:cs="Arial"/>
          <w:sz w:val="21"/>
          <w:szCs w:val="21"/>
        </w:rPr>
        <w:t>《不动产权证书》[</w:t>
      </w:r>
      <w:r>
        <w:rPr>
          <w:rFonts w:hint="default" w:ascii="Arial" w:hAnsi="Arial" w:cs="Arial"/>
          <w:sz w:val="21"/>
          <w:szCs w:val="21"/>
        </w:rPr>
        <w:t>京（20</w:t>
      </w:r>
      <w:r>
        <w:rPr>
          <w:rFonts w:hint="default" w:ascii="Arial" w:hAnsi="Arial" w:cs="Arial"/>
          <w:sz w:val="21"/>
          <w:szCs w:val="21"/>
          <w:lang w:val="en-US" w:eastAsia="zh-CN"/>
        </w:rPr>
        <w:t>22</w:t>
      </w:r>
      <w:r>
        <w:rPr>
          <w:rFonts w:hint="default" w:ascii="Arial" w:hAnsi="Arial" w:cs="Arial"/>
          <w:sz w:val="21"/>
          <w:szCs w:val="21"/>
        </w:rPr>
        <w:t>）</w:t>
      </w:r>
      <w:r>
        <w:rPr>
          <w:rFonts w:hint="default" w:ascii="Arial" w:hAnsi="Arial" w:cs="Arial"/>
          <w:sz w:val="21"/>
          <w:szCs w:val="21"/>
          <w:lang w:eastAsia="zh-CN"/>
        </w:rPr>
        <w:t>房</w:t>
      </w:r>
      <w:r>
        <w:rPr>
          <w:rFonts w:hint="default" w:ascii="Arial" w:hAnsi="Arial" w:cs="Arial"/>
          <w:sz w:val="21"/>
          <w:szCs w:val="21"/>
        </w:rPr>
        <w:t>不动产权第</w:t>
      </w:r>
      <w:r>
        <w:rPr>
          <w:rFonts w:hint="eastAsia" w:ascii="Arial" w:hAnsi="Arial" w:cs="Arial"/>
          <w:sz w:val="21"/>
          <w:szCs w:val="21"/>
          <w:lang w:val="en-US" w:eastAsia="zh-CN"/>
        </w:rPr>
        <w:t>0022348</w:t>
      </w:r>
      <w:r>
        <w:rPr>
          <w:rFonts w:hint="default" w:ascii="Arial" w:hAnsi="Arial" w:cs="Arial"/>
          <w:sz w:val="21"/>
          <w:szCs w:val="21"/>
        </w:rPr>
        <w:t>号</w:t>
      </w:r>
      <w:r>
        <w:rPr>
          <w:rFonts w:ascii="Arial" w:hAnsi="Arial" w:cs="Arial"/>
          <w:sz w:val="21"/>
          <w:szCs w:val="21"/>
        </w:rPr>
        <w:t>]</w:t>
      </w:r>
      <w:r>
        <w:rPr>
          <w:rFonts w:hint="eastAsia" w:ascii="Arial" w:hAnsi="Arial" w:cs="Arial"/>
          <w:sz w:val="21"/>
          <w:szCs w:val="21"/>
          <w:lang w:eastAsia="zh-CN"/>
        </w:rPr>
        <w:t>等</w:t>
      </w:r>
      <w:r>
        <w:rPr>
          <w:rFonts w:hint="eastAsia" w:ascii="Arial" w:hAnsi="Arial" w:cs="Arial"/>
          <w:sz w:val="21"/>
          <w:szCs w:val="21"/>
          <w:lang w:val="en-US" w:eastAsia="zh-CN"/>
        </w:rPr>
        <w:t>9本复印件</w:t>
      </w:r>
      <w:r>
        <w:rPr>
          <w:rFonts w:ascii="Arial" w:hAnsi="Arial" w:cs="Arial"/>
          <w:kern w:val="2"/>
          <w:sz w:val="21"/>
          <w:szCs w:val="21"/>
        </w:rPr>
        <w:t>，本次估价</w:t>
      </w:r>
      <w:r>
        <w:rPr>
          <w:rFonts w:hint="eastAsia" w:ascii="Arial" w:hAnsi="Arial" w:cs="Arial"/>
          <w:kern w:val="2"/>
          <w:sz w:val="21"/>
          <w:szCs w:val="21"/>
          <w:lang w:eastAsia="zh-CN"/>
        </w:rPr>
        <w:t>估价对象</w:t>
      </w:r>
      <w:r>
        <w:rPr>
          <w:rFonts w:ascii="Arial" w:hAnsi="Arial" w:cs="Arial"/>
          <w:kern w:val="2"/>
          <w:sz w:val="21"/>
          <w:szCs w:val="21"/>
        </w:rPr>
        <w:t>建筑面积</w:t>
      </w:r>
      <w:r>
        <w:rPr>
          <w:rFonts w:hint="eastAsia" w:ascii="Arial" w:hAnsi="Arial" w:cs="Arial"/>
          <w:kern w:val="2"/>
          <w:sz w:val="21"/>
          <w:szCs w:val="21"/>
          <w:lang w:eastAsia="zh-CN"/>
        </w:rPr>
        <w:t>共计</w:t>
      </w:r>
      <w:r>
        <w:rPr>
          <w:rFonts w:hint="eastAsia" w:ascii="Arial" w:hAnsi="Arial" w:cs="Arial"/>
          <w:kern w:val="2"/>
          <w:sz w:val="21"/>
          <w:szCs w:val="21"/>
        </w:rPr>
        <w:t>30214.52</w:t>
      </w:r>
      <w:r>
        <w:rPr>
          <w:rFonts w:ascii="Arial" w:hAnsi="Arial" w:cs="Arial"/>
          <w:kern w:val="2"/>
          <w:sz w:val="21"/>
          <w:szCs w:val="21"/>
        </w:rPr>
        <w:t>平方米，可对外配租房屋共计</w:t>
      </w:r>
      <w:r>
        <w:rPr>
          <w:rFonts w:hint="eastAsia" w:ascii="Arial" w:hAnsi="Arial" w:cs="Arial"/>
          <w:kern w:val="2"/>
          <w:sz w:val="21"/>
          <w:szCs w:val="21"/>
          <w:lang w:val="en-US" w:eastAsia="zh-CN"/>
        </w:rPr>
        <w:t>356</w:t>
      </w:r>
      <w:r>
        <w:rPr>
          <w:rFonts w:ascii="Arial" w:hAnsi="Arial" w:cs="Arial"/>
          <w:kern w:val="2"/>
          <w:sz w:val="21"/>
          <w:szCs w:val="21"/>
        </w:rPr>
        <w:t>套。房源具体户型等情况详见下表：</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30"/>
        <w:gridCol w:w="1300"/>
        <w:gridCol w:w="1938"/>
        <w:gridCol w:w="1918"/>
        <w:gridCol w:w="1398"/>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户型</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朝向</w:t>
            </w:r>
          </w:p>
        </w:tc>
        <w:tc>
          <w:tcPr>
            <w:tcW w:w="1971"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面积范围</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所属楼宇</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套数</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三室两厅两卫</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南北</w:t>
            </w:r>
          </w:p>
        </w:tc>
        <w:tc>
          <w:tcPr>
            <w:tcW w:w="1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88.38-89.46</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3#、4#、6#、7#</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156</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13849.92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三室两厅一卫</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南北</w:t>
            </w:r>
          </w:p>
        </w:tc>
        <w:tc>
          <w:tcPr>
            <w:tcW w:w="1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81.59-82.25</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1#、2#、5#、8#、9#</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200</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16364.6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　合计</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97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356</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30214.52</w:t>
            </w:r>
          </w:p>
        </w:tc>
      </w:tr>
    </w:tbl>
    <w:p>
      <w:pPr>
        <w:keepNext w:val="0"/>
        <w:keepLines w:val="0"/>
        <w:pageBreakBefore w:val="0"/>
        <w:widowControl/>
        <w:kinsoku/>
        <w:wordWrap/>
        <w:overflowPunct w:val="0"/>
        <w:topLinePunct w:val="0"/>
        <w:autoSpaceDE/>
        <w:autoSpaceDN/>
        <w:bidi w:val="0"/>
        <w:adjustRightInd w:val="0"/>
        <w:snapToGrid w:val="0"/>
        <w:spacing w:line="240" w:lineRule="auto"/>
        <w:ind w:firstLine="420" w:firstLineChars="200"/>
        <w:jc w:val="both"/>
        <w:textAlignment w:val="auto"/>
        <w:rPr>
          <w:rFonts w:hint="eastAsia" w:ascii="Arial" w:hAnsi="Arial" w:cs="Arial"/>
          <w:kern w:val="2"/>
          <w:sz w:val="18"/>
          <w:szCs w:val="18"/>
        </w:rPr>
      </w:pPr>
      <w:r>
        <w:rPr>
          <w:rFonts w:hint="eastAsia" w:ascii="Arial" w:hAnsi="Arial" w:cs="Arial"/>
          <w:kern w:val="2"/>
          <w:sz w:val="21"/>
          <w:szCs w:val="21"/>
        </w:rPr>
        <w:t xml:space="preserve">   </w:t>
      </w:r>
    </w:p>
    <w:p>
      <w:pPr>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于价值时点，估价对象已</w:t>
      </w:r>
      <w:r>
        <w:rPr>
          <w:rFonts w:hint="eastAsia" w:ascii="Arial" w:hAnsi="Arial" w:cs="Arial"/>
          <w:kern w:val="2"/>
          <w:sz w:val="21"/>
          <w:szCs w:val="21"/>
        </w:rPr>
        <w:t>竣工备案</w:t>
      </w:r>
      <w:r>
        <w:rPr>
          <w:rFonts w:ascii="Arial" w:hAnsi="Arial" w:cs="Arial"/>
          <w:kern w:val="2"/>
          <w:sz w:val="21"/>
          <w:szCs w:val="21"/>
        </w:rPr>
        <w:t>，室内装修情况为全装修。</w:t>
      </w:r>
    </w:p>
    <w:p>
      <w:pPr>
        <w:overflowPunct w:val="0"/>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参照</w:t>
      </w:r>
      <w:r>
        <w:rPr>
          <w:rFonts w:ascii="Arial" w:hAnsi="Arial" w:cs="Arial"/>
          <w:kern w:val="2"/>
          <w:sz w:val="21"/>
          <w:szCs w:val="21"/>
        </w:rPr>
        <w:t>《北京市共有产权住房价格评估技术指引（试行）》及</w:t>
      </w:r>
      <w:r>
        <w:rPr>
          <w:rFonts w:ascii="Arial" w:hAnsi="Arial" w:cs="Arial"/>
          <w:sz w:val="21"/>
          <w:szCs w:val="21"/>
        </w:rPr>
        <w:t>《不动产权证书》[</w:t>
      </w:r>
      <w:r>
        <w:rPr>
          <w:rFonts w:hint="default" w:ascii="Arial" w:hAnsi="Arial" w:cs="Arial"/>
          <w:sz w:val="21"/>
          <w:szCs w:val="21"/>
        </w:rPr>
        <w:t>京（20</w:t>
      </w:r>
      <w:r>
        <w:rPr>
          <w:rFonts w:hint="default" w:ascii="Arial" w:hAnsi="Arial" w:cs="Arial"/>
          <w:sz w:val="21"/>
          <w:szCs w:val="21"/>
          <w:lang w:val="en-US" w:eastAsia="zh-CN"/>
        </w:rPr>
        <w:t>22</w:t>
      </w:r>
      <w:r>
        <w:rPr>
          <w:rFonts w:hint="default" w:ascii="Arial" w:hAnsi="Arial" w:cs="Arial"/>
          <w:sz w:val="21"/>
          <w:szCs w:val="21"/>
        </w:rPr>
        <w:t>）</w:t>
      </w:r>
      <w:r>
        <w:rPr>
          <w:rFonts w:hint="default" w:ascii="Arial" w:hAnsi="Arial" w:cs="Arial"/>
          <w:sz w:val="21"/>
          <w:szCs w:val="21"/>
          <w:lang w:eastAsia="zh-CN"/>
        </w:rPr>
        <w:t>房</w:t>
      </w:r>
      <w:r>
        <w:rPr>
          <w:rFonts w:hint="default" w:ascii="Arial" w:hAnsi="Arial" w:cs="Arial"/>
          <w:sz w:val="21"/>
          <w:szCs w:val="21"/>
        </w:rPr>
        <w:t>不动产权第</w:t>
      </w:r>
      <w:r>
        <w:rPr>
          <w:rFonts w:hint="eastAsia" w:ascii="Arial" w:hAnsi="Arial" w:cs="Arial"/>
          <w:sz w:val="21"/>
          <w:szCs w:val="21"/>
          <w:lang w:val="en-US" w:eastAsia="zh-CN"/>
        </w:rPr>
        <w:t>0022348</w:t>
      </w:r>
      <w:r>
        <w:rPr>
          <w:rFonts w:hint="default" w:ascii="Arial" w:hAnsi="Arial" w:cs="Arial"/>
          <w:sz w:val="21"/>
          <w:szCs w:val="21"/>
        </w:rPr>
        <w:t>号</w:t>
      </w:r>
      <w:r>
        <w:rPr>
          <w:rFonts w:ascii="Arial" w:hAnsi="Arial" w:cs="Arial"/>
          <w:sz w:val="21"/>
          <w:szCs w:val="21"/>
        </w:rPr>
        <w:t>]</w:t>
      </w:r>
      <w:r>
        <w:rPr>
          <w:rFonts w:hint="eastAsia" w:ascii="Arial" w:hAnsi="Arial" w:cs="Arial"/>
          <w:sz w:val="21"/>
          <w:szCs w:val="21"/>
          <w:lang w:eastAsia="zh-CN"/>
        </w:rPr>
        <w:t>等</w:t>
      </w:r>
      <w:r>
        <w:rPr>
          <w:rFonts w:hint="eastAsia" w:ascii="Arial" w:hAnsi="Arial" w:cs="Arial"/>
          <w:sz w:val="21"/>
          <w:szCs w:val="21"/>
          <w:lang w:val="en-US" w:eastAsia="zh-CN"/>
        </w:rPr>
        <w:t>9本复印件</w:t>
      </w:r>
      <w:r>
        <w:rPr>
          <w:rFonts w:ascii="Arial" w:hAnsi="Arial" w:cs="Arial"/>
          <w:kern w:val="2"/>
          <w:sz w:val="21"/>
          <w:szCs w:val="21"/>
        </w:rPr>
        <w:t xml:space="preserve">，本次估价按照众数原则设定具有代表性的标准房屋，具体标准房详见下表： </w:t>
      </w:r>
    </w:p>
    <w:tbl>
      <w:tblPr>
        <w:tblStyle w:val="32"/>
        <w:tblW w:w="92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4503"/>
        <w:gridCol w:w="4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项目</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标准房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93"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楼层</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中楼层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户型</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三室两厅一卫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面积</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81.59-82.25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朝向</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南北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装修</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全装修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35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设备设施</w:t>
            </w:r>
          </w:p>
        </w:tc>
        <w:tc>
          <w:tcPr>
            <w:tcW w:w="37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齐全</w:t>
            </w:r>
          </w:p>
        </w:tc>
      </w:tr>
    </w:tbl>
    <w:p>
      <w:pPr>
        <w:overflowPunct w:val="0"/>
        <w:spacing w:before="120" w:beforeLines="50"/>
        <w:jc w:val="center"/>
        <w:rPr>
          <w:rFonts w:ascii="Arial" w:hAnsi="Arial" w:cs="Arial"/>
          <w:kern w:val="2"/>
          <w:sz w:val="21"/>
          <w:szCs w:val="21"/>
        </w:rPr>
      </w:pPr>
      <w:r>
        <w:rPr>
          <w:rFonts w:ascii="Arial" w:hAnsi="Arial" w:cs="Arial"/>
          <w:kern w:val="2"/>
          <w:sz w:val="21"/>
          <w:szCs w:val="21"/>
        </w:rPr>
        <w:br w:type="page"/>
      </w:r>
    </w:p>
    <w:p>
      <w:pPr>
        <w:overflowPunct w:val="0"/>
        <w:spacing w:before="120" w:beforeLines="50"/>
        <w:jc w:val="center"/>
        <w:rPr>
          <w:rFonts w:ascii="Arial" w:hAnsi="Arial" w:cs="Arial"/>
          <w:kern w:val="2"/>
          <w:sz w:val="21"/>
          <w:szCs w:val="21"/>
        </w:rPr>
      </w:pPr>
      <w:r>
        <w:rPr>
          <w:rFonts w:ascii="Arial" w:hAnsi="Arial" w:cs="Arial"/>
          <w:kern w:val="2"/>
          <w:sz w:val="21"/>
          <w:szCs w:val="21"/>
        </w:rPr>
        <w:t>估价对象位置示意图</w:t>
      </w:r>
    </w:p>
    <w:p>
      <w:pPr>
        <w:overflowPunct w:val="0"/>
        <w:spacing w:before="120" w:beforeLines="50"/>
        <w:jc w:val="center"/>
        <w:rPr>
          <w:rFonts w:ascii="Arial" w:hAnsi="Arial" w:cs="Arial"/>
          <w:kern w:val="2"/>
          <w:sz w:val="21"/>
          <w:szCs w:val="21"/>
        </w:rPr>
      </w:pPr>
      <w:r>
        <w:drawing>
          <wp:inline distT="0" distB="0" distL="114300" distR="114300">
            <wp:extent cx="5903595" cy="4770120"/>
            <wp:effectExtent l="0" t="0" r="19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903595" cy="4770120"/>
                    </a:xfrm>
                    <a:prstGeom prst="rect">
                      <a:avLst/>
                    </a:prstGeom>
                    <a:noFill/>
                    <a:ln>
                      <a:noFill/>
                    </a:ln>
                  </pic:spPr>
                </pic:pic>
              </a:graphicData>
            </a:graphic>
          </wp:inline>
        </w:drawing>
      </w:r>
    </w:p>
    <w:p>
      <w:pPr>
        <w:overflowPunct w:val="0"/>
        <w:spacing w:line="480" w:lineRule="auto"/>
        <w:jc w:val="center"/>
        <w:rPr>
          <w:rFonts w:ascii="Arial" w:hAnsi="Arial" w:cs="Arial"/>
          <w:bCs/>
          <w:sz w:val="21"/>
          <w:szCs w:val="21"/>
        </w:rPr>
      </w:pPr>
    </w:p>
    <w:p>
      <w:pPr>
        <w:wordWrap w:val="0"/>
        <w:overflowPunct w:val="0"/>
        <w:spacing w:line="480" w:lineRule="auto"/>
        <w:jc w:val="both"/>
        <w:rPr>
          <w:rFonts w:ascii="Arial" w:hAnsi="Arial" w:cs="Arial"/>
          <w:b/>
          <w:kern w:val="2"/>
          <w:sz w:val="21"/>
          <w:szCs w:val="21"/>
          <w:highlight w:val="none"/>
        </w:rPr>
      </w:pPr>
      <w:r>
        <w:rPr>
          <w:rFonts w:ascii="Arial" w:hAnsi="Arial" w:cs="Arial"/>
          <w:b/>
          <w:kern w:val="2"/>
          <w:sz w:val="21"/>
          <w:szCs w:val="21"/>
        </w:rPr>
        <w:t>（二</w:t>
      </w:r>
      <w:r>
        <w:rPr>
          <w:rFonts w:ascii="Arial" w:hAnsi="Arial" w:cs="Arial"/>
          <w:b/>
          <w:kern w:val="2"/>
          <w:sz w:val="21"/>
          <w:szCs w:val="21"/>
          <w:highlight w:val="none"/>
        </w:rPr>
        <w:t>）土地基本状况</w:t>
      </w:r>
    </w:p>
    <w:p>
      <w:pPr>
        <w:wordWrap w:val="0"/>
        <w:overflowPunct w:val="0"/>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1.</w:t>
      </w:r>
      <w:r>
        <w:rPr>
          <w:rFonts w:ascii="Arial" w:hAnsi="Arial" w:cs="Arial"/>
          <w:kern w:val="2"/>
          <w:sz w:val="21"/>
          <w:szCs w:val="21"/>
          <w:highlight w:val="none"/>
        </w:rPr>
        <w:t>根据估价委托人提供的</w:t>
      </w:r>
      <w:r>
        <w:rPr>
          <w:rFonts w:hint="eastAsia" w:ascii="Arial" w:hAnsi="Arial" w:cs="Arial"/>
          <w:sz w:val="21"/>
          <w:szCs w:val="21"/>
          <w:highlight w:val="none"/>
        </w:rPr>
        <w:t>《关于</w:t>
      </w:r>
      <w:r>
        <w:rPr>
          <w:rFonts w:hint="eastAsia" w:ascii="Arial" w:hAnsi="Arial" w:cs="Arial"/>
          <w:sz w:val="21"/>
          <w:szCs w:val="21"/>
          <w:highlight w:val="none"/>
          <w:lang w:eastAsia="zh-CN"/>
        </w:rPr>
        <w:t>北京市房山区拱辰街道办事处</w:t>
      </w:r>
      <w:r>
        <w:rPr>
          <w:rFonts w:hint="eastAsia" w:ascii="Arial" w:hAnsi="Arial" w:cs="Arial"/>
          <w:sz w:val="21"/>
          <w:szCs w:val="21"/>
          <w:highlight w:val="none"/>
          <w:lang w:val="en-US" w:eastAsia="zh-CN"/>
        </w:rPr>
        <w:t>FS00-LX05-0046、0056地块R2二类居住用地项目“多规合一”协同平台综合会商意见的函</w:t>
      </w:r>
      <w:r>
        <w:rPr>
          <w:rFonts w:hint="eastAsia" w:ascii="Arial" w:hAnsi="Arial" w:cs="Arial"/>
          <w:sz w:val="21"/>
          <w:szCs w:val="21"/>
          <w:highlight w:val="none"/>
        </w:rPr>
        <w:t>》</w:t>
      </w:r>
      <w:r>
        <w:rPr>
          <w:rFonts w:hint="eastAsia" w:ascii="Arial" w:hAnsi="Arial" w:cs="Arial"/>
          <w:sz w:val="21"/>
          <w:szCs w:val="21"/>
          <w:highlight w:val="none"/>
          <w:lang w:val="en-US" w:eastAsia="zh-CN"/>
        </w:rPr>
        <w:t>[京规自（房）综审函[2020]0047号]</w:t>
      </w:r>
      <w:r>
        <w:rPr>
          <w:rFonts w:hint="eastAsia" w:ascii="Arial" w:hAnsi="Arial" w:cs="Arial"/>
          <w:sz w:val="21"/>
          <w:szCs w:val="21"/>
          <w:highlight w:val="none"/>
        </w:rPr>
        <w:t>复印件</w:t>
      </w:r>
      <w:r>
        <w:rPr>
          <w:rFonts w:hint="eastAsia" w:ascii="Arial" w:hAnsi="Arial" w:cs="Arial"/>
          <w:sz w:val="21"/>
          <w:szCs w:val="21"/>
          <w:highlight w:val="none"/>
          <w:lang w:eastAsia="zh-CN"/>
        </w:rPr>
        <w:t>、《国有建设用地使用权出让合同》[电子监管号：1101002020B00714]及其补充协议复印件及</w:t>
      </w:r>
      <w:r>
        <w:rPr>
          <w:rFonts w:ascii="Arial" w:hAnsi="Arial" w:cs="Arial"/>
          <w:sz w:val="21"/>
          <w:szCs w:val="21"/>
          <w:highlight w:val="none"/>
        </w:rPr>
        <w:t>《不动产权证书》[</w:t>
      </w:r>
      <w:r>
        <w:rPr>
          <w:rFonts w:hint="default" w:ascii="Arial" w:hAnsi="Arial" w:cs="Arial"/>
          <w:sz w:val="21"/>
          <w:szCs w:val="21"/>
          <w:highlight w:val="none"/>
        </w:rPr>
        <w:t>京（20</w:t>
      </w:r>
      <w:r>
        <w:rPr>
          <w:rFonts w:hint="default" w:ascii="Arial" w:hAnsi="Arial" w:cs="Arial"/>
          <w:sz w:val="21"/>
          <w:szCs w:val="21"/>
          <w:highlight w:val="none"/>
          <w:lang w:val="en-US" w:eastAsia="zh-CN"/>
        </w:rPr>
        <w:t>22</w:t>
      </w:r>
      <w:r>
        <w:rPr>
          <w:rFonts w:hint="default" w:ascii="Arial" w:hAnsi="Arial" w:cs="Arial"/>
          <w:sz w:val="21"/>
          <w:szCs w:val="21"/>
          <w:highlight w:val="none"/>
        </w:rPr>
        <w:t>）</w:t>
      </w:r>
      <w:r>
        <w:rPr>
          <w:rFonts w:hint="default" w:ascii="Arial" w:hAnsi="Arial" w:cs="Arial"/>
          <w:sz w:val="21"/>
          <w:szCs w:val="21"/>
          <w:highlight w:val="none"/>
          <w:lang w:eastAsia="zh-CN"/>
        </w:rPr>
        <w:t>房</w:t>
      </w:r>
      <w:r>
        <w:rPr>
          <w:rFonts w:hint="default" w:ascii="Arial" w:hAnsi="Arial" w:cs="Arial"/>
          <w:sz w:val="21"/>
          <w:szCs w:val="21"/>
          <w:highlight w:val="none"/>
        </w:rPr>
        <w:t>不动产权第</w:t>
      </w:r>
      <w:r>
        <w:rPr>
          <w:rFonts w:hint="eastAsia" w:ascii="Arial" w:hAnsi="Arial" w:cs="Arial"/>
          <w:sz w:val="21"/>
          <w:szCs w:val="21"/>
          <w:highlight w:val="none"/>
          <w:lang w:val="en-US" w:eastAsia="zh-CN"/>
        </w:rPr>
        <w:t>0022348</w:t>
      </w:r>
      <w:r>
        <w:rPr>
          <w:rFonts w:hint="default" w:ascii="Arial" w:hAnsi="Arial" w:cs="Arial"/>
          <w:sz w:val="21"/>
          <w:szCs w:val="21"/>
          <w:highlight w:val="none"/>
        </w:rPr>
        <w:t>号</w:t>
      </w:r>
      <w:r>
        <w:rPr>
          <w:rFonts w:ascii="Arial" w:hAnsi="Arial" w:cs="Arial"/>
          <w:sz w:val="21"/>
          <w:szCs w:val="21"/>
          <w:highlight w:val="none"/>
        </w:rPr>
        <w:t>]</w:t>
      </w:r>
      <w:r>
        <w:rPr>
          <w:rFonts w:hint="eastAsia" w:ascii="Arial" w:hAnsi="Arial" w:cs="Arial"/>
          <w:sz w:val="21"/>
          <w:szCs w:val="21"/>
          <w:highlight w:val="none"/>
          <w:lang w:eastAsia="zh-CN"/>
        </w:rPr>
        <w:t>等</w:t>
      </w:r>
      <w:r>
        <w:rPr>
          <w:rFonts w:hint="eastAsia" w:ascii="Arial" w:hAnsi="Arial" w:cs="Arial"/>
          <w:sz w:val="21"/>
          <w:szCs w:val="21"/>
          <w:highlight w:val="none"/>
          <w:lang w:val="en-US" w:eastAsia="zh-CN"/>
        </w:rPr>
        <w:t>9本复印件</w:t>
      </w:r>
      <w:r>
        <w:rPr>
          <w:rFonts w:ascii="Arial" w:hAnsi="Arial" w:cs="Arial"/>
          <w:highlight w:val="none"/>
        </w:rPr>
        <w:t>，</w:t>
      </w:r>
      <w:r>
        <w:rPr>
          <w:rFonts w:ascii="Arial" w:hAnsi="Arial" w:cs="Arial"/>
          <w:kern w:val="2"/>
          <w:sz w:val="21"/>
          <w:szCs w:val="21"/>
          <w:highlight w:val="none"/>
        </w:rPr>
        <w:t>估价对象权利人为</w:t>
      </w:r>
      <w:r>
        <w:rPr>
          <w:rFonts w:hint="eastAsia" w:ascii="Arial" w:hAnsi="Arial" w:cs="Arial"/>
          <w:kern w:val="2"/>
          <w:sz w:val="21"/>
          <w:szCs w:val="21"/>
          <w:highlight w:val="none"/>
          <w:lang w:eastAsia="zh-CN"/>
        </w:rPr>
        <w:t>北京智地兴辰房地产开发有限公司</w:t>
      </w:r>
      <w:r>
        <w:rPr>
          <w:rFonts w:ascii="Arial" w:hAnsi="Arial" w:cs="Arial"/>
          <w:kern w:val="2"/>
          <w:sz w:val="21"/>
          <w:szCs w:val="21"/>
          <w:highlight w:val="none"/>
        </w:rPr>
        <w:t>，共有情况为</w:t>
      </w:r>
      <w:r>
        <w:rPr>
          <w:rFonts w:hint="eastAsia" w:ascii="Arial" w:hAnsi="Arial" w:cs="Arial"/>
          <w:kern w:val="2"/>
          <w:sz w:val="21"/>
          <w:szCs w:val="21"/>
          <w:highlight w:val="none"/>
        </w:rPr>
        <w:t>单独所有</w:t>
      </w:r>
      <w:r>
        <w:rPr>
          <w:rFonts w:ascii="Arial" w:hAnsi="Arial" w:cs="Arial"/>
          <w:kern w:val="2"/>
          <w:sz w:val="21"/>
          <w:szCs w:val="21"/>
          <w:highlight w:val="none"/>
        </w:rPr>
        <w:t>，坐落为</w:t>
      </w:r>
      <w:r>
        <w:rPr>
          <w:rFonts w:hint="eastAsia" w:ascii="Arial" w:hAnsi="Arial" w:cs="Arial"/>
          <w:kern w:val="2"/>
          <w:sz w:val="21"/>
          <w:szCs w:val="21"/>
          <w:highlight w:val="none"/>
          <w:lang w:eastAsia="zh-CN"/>
        </w:rPr>
        <w:t>北京市房山区西雅路17号院</w:t>
      </w:r>
      <w:r>
        <w:rPr>
          <w:rFonts w:ascii="Arial" w:hAnsi="Arial" w:cs="Arial"/>
          <w:kern w:val="2"/>
          <w:sz w:val="21"/>
          <w:szCs w:val="21"/>
          <w:highlight w:val="none"/>
        </w:rPr>
        <w:t>。权利类型为国有建设用地使用权，权利性质为出让，用途为</w:t>
      </w:r>
      <w:r>
        <w:rPr>
          <w:rFonts w:hint="eastAsia" w:ascii="Arial" w:hAnsi="Arial" w:cs="Arial"/>
          <w:kern w:val="2"/>
          <w:sz w:val="21"/>
          <w:szCs w:val="21"/>
          <w:highlight w:val="none"/>
        </w:rPr>
        <w:t>城镇</w:t>
      </w:r>
      <w:r>
        <w:rPr>
          <w:rFonts w:ascii="Arial" w:hAnsi="Arial" w:cs="Arial"/>
          <w:kern w:val="2"/>
          <w:sz w:val="21"/>
          <w:szCs w:val="21"/>
          <w:highlight w:val="none"/>
        </w:rPr>
        <w:t>住宅</w:t>
      </w:r>
      <w:r>
        <w:rPr>
          <w:rFonts w:hint="eastAsia" w:ascii="Arial" w:hAnsi="Arial" w:cs="Arial"/>
          <w:kern w:val="2"/>
          <w:sz w:val="21"/>
          <w:szCs w:val="21"/>
          <w:highlight w:val="none"/>
        </w:rPr>
        <w:t>用地</w:t>
      </w:r>
      <w:r>
        <w:rPr>
          <w:rFonts w:ascii="Arial" w:hAnsi="Arial" w:cs="Arial"/>
          <w:kern w:val="2"/>
          <w:sz w:val="21"/>
          <w:szCs w:val="21"/>
          <w:highlight w:val="none"/>
        </w:rPr>
        <w:t>，估价对象所属项目出让国有建设用地使用权总面积为</w:t>
      </w:r>
      <w:r>
        <w:rPr>
          <w:rFonts w:hint="eastAsia" w:ascii="Arial" w:hAnsi="Arial" w:cs="Arial"/>
          <w:kern w:val="2"/>
          <w:sz w:val="21"/>
          <w:szCs w:val="21"/>
          <w:highlight w:val="none"/>
          <w:lang w:val="en-US" w:eastAsia="zh-CN"/>
        </w:rPr>
        <w:t>19926.49</w:t>
      </w:r>
      <w:r>
        <w:rPr>
          <w:rFonts w:ascii="Arial" w:hAnsi="Arial" w:cs="Arial"/>
          <w:kern w:val="2"/>
          <w:sz w:val="21"/>
          <w:szCs w:val="21"/>
          <w:highlight w:val="none"/>
        </w:rPr>
        <w:t>平方米</w:t>
      </w:r>
      <w:r>
        <w:rPr>
          <w:rFonts w:ascii="Arial" w:hAnsi="Arial" w:cs="Arial"/>
          <w:sz w:val="21"/>
          <w:szCs w:val="21"/>
          <w:highlight w:val="none"/>
        </w:rPr>
        <w:t>。</w:t>
      </w:r>
    </w:p>
    <w:p>
      <w:pPr>
        <w:wordWrap w:val="0"/>
        <w:overflowPunct w:val="0"/>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2.估价对象所属项目用地四至：</w:t>
      </w:r>
    </w:p>
    <w:p>
      <w:pPr>
        <w:wordWrap w:val="0"/>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highlight w:val="none"/>
        </w:rPr>
        <w:t>项目证载四至：东至</w:t>
      </w:r>
      <w:r>
        <w:rPr>
          <w:rFonts w:hint="eastAsia" w:ascii="Arial" w:hAnsi="Arial" w:cs="Arial"/>
          <w:kern w:val="2"/>
          <w:sz w:val="21"/>
          <w:szCs w:val="21"/>
          <w:highlight w:val="none"/>
          <w:lang w:eastAsia="zh-CN"/>
        </w:rPr>
        <w:t>公共绿地</w:t>
      </w:r>
      <w:r>
        <w:rPr>
          <w:rFonts w:ascii="Arial" w:hAnsi="Arial" w:cs="Arial"/>
          <w:kern w:val="2"/>
          <w:sz w:val="21"/>
          <w:szCs w:val="21"/>
          <w:highlight w:val="none"/>
        </w:rPr>
        <w:t>，南至</w:t>
      </w:r>
      <w:r>
        <w:rPr>
          <w:rFonts w:hint="eastAsia" w:ascii="Arial" w:hAnsi="Arial" w:cs="Arial"/>
          <w:kern w:val="2"/>
          <w:sz w:val="21"/>
          <w:szCs w:val="21"/>
          <w:highlight w:val="none"/>
          <w:lang w:eastAsia="zh-CN"/>
        </w:rPr>
        <w:t>代征道路</w:t>
      </w:r>
      <w:r>
        <w:rPr>
          <w:rFonts w:ascii="Arial" w:hAnsi="Arial" w:cs="Arial"/>
          <w:kern w:val="2"/>
          <w:sz w:val="21"/>
          <w:szCs w:val="21"/>
          <w:highlight w:val="none"/>
        </w:rPr>
        <w:t>，西至</w:t>
      </w:r>
      <w:r>
        <w:rPr>
          <w:rFonts w:hint="eastAsia" w:ascii="Arial" w:hAnsi="Arial" w:cs="Arial"/>
          <w:kern w:val="2"/>
          <w:sz w:val="21"/>
          <w:szCs w:val="21"/>
          <w:highlight w:val="none"/>
          <w:lang w:eastAsia="zh-CN"/>
        </w:rPr>
        <w:t>代征道路</w:t>
      </w:r>
      <w:r>
        <w:rPr>
          <w:rFonts w:ascii="Arial" w:hAnsi="Arial" w:cs="Arial"/>
          <w:kern w:val="2"/>
          <w:sz w:val="21"/>
          <w:szCs w:val="21"/>
          <w:highlight w:val="none"/>
        </w:rPr>
        <w:t>，北至</w:t>
      </w:r>
      <w:r>
        <w:rPr>
          <w:rFonts w:hint="eastAsia" w:ascii="Arial" w:hAnsi="Arial" w:cs="Arial"/>
          <w:kern w:val="2"/>
          <w:sz w:val="21"/>
          <w:szCs w:val="21"/>
          <w:highlight w:val="none"/>
          <w:lang w:eastAsia="zh-CN"/>
        </w:rPr>
        <w:t>代</w:t>
      </w:r>
      <w:r>
        <w:rPr>
          <w:rFonts w:hint="eastAsia" w:ascii="Arial" w:hAnsi="Arial" w:cs="Arial"/>
          <w:kern w:val="2"/>
          <w:sz w:val="21"/>
          <w:szCs w:val="21"/>
          <w:lang w:eastAsia="zh-CN"/>
        </w:rPr>
        <w:t>征道路</w:t>
      </w:r>
      <w:r>
        <w:rPr>
          <w:rFonts w:ascii="Arial" w:hAnsi="Arial" w:cs="Arial"/>
          <w:kern w:val="2"/>
          <w:sz w:val="21"/>
          <w:szCs w:val="21"/>
        </w:rPr>
        <w:t>。</w:t>
      </w:r>
    </w:p>
    <w:p>
      <w:pPr>
        <w:wordWrap w:val="0"/>
        <w:overflowPunct w:val="0"/>
        <w:spacing w:line="480" w:lineRule="auto"/>
        <w:ind w:firstLine="420" w:firstLineChars="200"/>
        <w:jc w:val="both"/>
        <w:rPr>
          <w:rFonts w:ascii="Arial" w:hAnsi="Arial" w:cs="Arial"/>
          <w:sz w:val="21"/>
          <w:szCs w:val="21"/>
        </w:rPr>
      </w:pPr>
      <w:r>
        <w:rPr>
          <w:rFonts w:ascii="Arial" w:hAnsi="Arial" w:cs="Arial"/>
          <w:kern w:val="2"/>
          <w:sz w:val="21"/>
          <w:szCs w:val="21"/>
        </w:rPr>
        <w:t>项目现状四至：</w:t>
      </w:r>
      <w:r>
        <w:rPr>
          <w:rFonts w:hint="eastAsia" w:ascii="Arial" w:hAnsi="Arial" w:cs="Arial"/>
          <w:kern w:val="2"/>
          <w:sz w:val="21"/>
          <w:szCs w:val="21"/>
        </w:rPr>
        <w:t>东至</w:t>
      </w:r>
      <w:r>
        <w:rPr>
          <w:rFonts w:hint="eastAsia" w:ascii="Arial" w:hAnsi="Arial" w:cs="Arial"/>
          <w:kern w:val="2"/>
          <w:sz w:val="21"/>
          <w:szCs w:val="21"/>
          <w:lang w:eastAsia="zh-CN"/>
        </w:rPr>
        <w:t>春和印象小区</w:t>
      </w:r>
      <w:r>
        <w:rPr>
          <w:rFonts w:hint="eastAsia" w:ascii="Arial" w:hAnsi="Arial" w:cs="Arial"/>
          <w:kern w:val="2"/>
          <w:sz w:val="21"/>
          <w:szCs w:val="21"/>
        </w:rPr>
        <w:t>，南至中建京西印玥</w:t>
      </w:r>
      <w:r>
        <w:rPr>
          <w:rFonts w:hint="eastAsia" w:ascii="Arial" w:hAnsi="Arial" w:cs="Arial"/>
          <w:kern w:val="2"/>
          <w:sz w:val="21"/>
          <w:szCs w:val="21"/>
          <w:lang w:eastAsia="zh-CN"/>
        </w:rPr>
        <w:t>商品房项目</w:t>
      </w:r>
      <w:r>
        <w:rPr>
          <w:rFonts w:hint="eastAsia" w:ascii="Arial" w:hAnsi="Arial" w:cs="Arial"/>
          <w:kern w:val="2"/>
          <w:sz w:val="21"/>
          <w:szCs w:val="21"/>
        </w:rPr>
        <w:t>，西至</w:t>
      </w:r>
      <w:r>
        <w:rPr>
          <w:rFonts w:hint="eastAsia" w:ascii="Arial" w:hAnsi="Arial" w:cs="Arial"/>
          <w:kern w:val="2"/>
          <w:sz w:val="21"/>
          <w:szCs w:val="21"/>
          <w:lang w:eastAsia="zh-CN"/>
        </w:rPr>
        <w:t>公共绿地</w:t>
      </w:r>
      <w:r>
        <w:rPr>
          <w:rFonts w:hint="eastAsia" w:ascii="Arial" w:hAnsi="Arial" w:cs="Arial"/>
          <w:kern w:val="2"/>
          <w:sz w:val="21"/>
          <w:szCs w:val="21"/>
        </w:rPr>
        <w:t>，北至</w:t>
      </w:r>
      <w:r>
        <w:rPr>
          <w:rFonts w:hint="eastAsia" w:ascii="Arial" w:hAnsi="Arial" w:cs="Arial"/>
          <w:kern w:val="2"/>
          <w:sz w:val="21"/>
          <w:szCs w:val="21"/>
          <w:lang w:eastAsia="zh-CN"/>
        </w:rPr>
        <w:t>公共绿地</w:t>
      </w:r>
      <w:r>
        <w:rPr>
          <w:rFonts w:ascii="Arial" w:hAnsi="Arial" w:cs="Arial"/>
          <w:kern w:val="2"/>
          <w:sz w:val="21"/>
          <w:szCs w:val="21"/>
        </w:rPr>
        <w:t>。</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4.开发程度：</w:t>
      </w:r>
    </w:p>
    <w:p>
      <w:pPr>
        <w:wordWrap w:val="0"/>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pPr>
        <w:wordWrap w:val="0"/>
        <w:overflowPunct w:val="0"/>
        <w:spacing w:line="480" w:lineRule="auto"/>
        <w:ind w:firstLine="420" w:firstLineChars="200"/>
        <w:jc w:val="both"/>
        <w:rPr>
          <w:rFonts w:ascii="Arial" w:hAnsi="Arial" w:cs="Arial"/>
          <w:sz w:val="21"/>
          <w:szCs w:val="21"/>
        </w:rPr>
      </w:pPr>
      <w:r>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Pr>
          <w:rFonts w:ascii="Arial" w:hAnsi="Arial" w:cs="Arial"/>
          <w:sz w:val="21"/>
          <w:szCs w:val="21"/>
        </w:rPr>
        <w:t>。</w:t>
      </w:r>
    </w:p>
    <w:p>
      <w:pPr>
        <w:wordWrap w:val="0"/>
        <w:overflowPunct w:val="0"/>
        <w:spacing w:line="480" w:lineRule="auto"/>
        <w:jc w:val="both"/>
        <w:rPr>
          <w:rFonts w:ascii="Arial" w:hAnsi="Arial" w:cs="Arial"/>
          <w:b/>
          <w:kern w:val="2"/>
          <w:sz w:val="21"/>
          <w:szCs w:val="21"/>
        </w:rPr>
      </w:pPr>
      <w:r>
        <w:rPr>
          <w:rFonts w:ascii="Arial" w:hAnsi="Arial" w:cs="Arial"/>
          <w:b/>
          <w:kern w:val="2"/>
          <w:sz w:val="21"/>
          <w:szCs w:val="21"/>
        </w:rPr>
        <w:t>（三）建筑物基本状况</w:t>
      </w:r>
    </w:p>
    <w:p>
      <w:pPr>
        <w:tabs>
          <w:tab w:val="left" w:pos="3544"/>
        </w:tabs>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估价对象所属项目坐落为</w:t>
      </w:r>
      <w:r>
        <w:rPr>
          <w:rFonts w:hint="eastAsia" w:ascii="Arial" w:hAnsi="Arial" w:cs="Arial"/>
          <w:kern w:val="2"/>
          <w:sz w:val="21"/>
          <w:szCs w:val="21"/>
          <w:lang w:eastAsia="zh-CN"/>
        </w:rPr>
        <w:t>北京市房山区西雅路</w:t>
      </w:r>
      <w:r>
        <w:rPr>
          <w:rFonts w:hint="eastAsia" w:ascii="Arial" w:hAnsi="Arial" w:cs="Arial"/>
          <w:kern w:val="2"/>
          <w:sz w:val="21"/>
          <w:szCs w:val="21"/>
          <w:lang w:val="en-US" w:eastAsia="zh-CN"/>
        </w:rPr>
        <w:t>17号院（</w:t>
      </w:r>
      <w:r>
        <w:rPr>
          <w:rFonts w:hint="eastAsia" w:ascii="Arial" w:hAnsi="Arial" w:cs="Arial"/>
          <w:kern w:val="2"/>
          <w:sz w:val="21"/>
          <w:szCs w:val="21"/>
        </w:rPr>
        <w:t>中建京西印玥</w:t>
      </w:r>
      <w:r>
        <w:rPr>
          <w:rFonts w:hint="eastAsia" w:ascii="Arial" w:hAnsi="Arial" w:cs="Arial"/>
          <w:kern w:val="2"/>
          <w:sz w:val="21"/>
          <w:szCs w:val="21"/>
          <w:lang w:eastAsia="zh-CN"/>
        </w:rPr>
        <w:t>共有产权住房</w:t>
      </w:r>
      <w:r>
        <w:rPr>
          <w:rFonts w:hint="eastAsia" w:ascii="Arial" w:hAnsi="Arial" w:cs="Arial"/>
          <w:kern w:val="2"/>
          <w:sz w:val="21"/>
          <w:szCs w:val="21"/>
          <w:lang w:val="en-US" w:eastAsia="zh-CN"/>
        </w:rPr>
        <w:t>）</w:t>
      </w:r>
      <w:r>
        <w:rPr>
          <w:rFonts w:ascii="Arial" w:hAnsi="Arial" w:cs="Arial"/>
          <w:kern w:val="2"/>
          <w:sz w:val="21"/>
          <w:szCs w:val="21"/>
        </w:rPr>
        <w:t>，该项目有</w:t>
      </w:r>
      <w:r>
        <w:rPr>
          <w:rFonts w:hint="eastAsia" w:ascii="Arial" w:hAnsi="Arial" w:cs="Arial"/>
          <w:kern w:val="2"/>
          <w:sz w:val="21"/>
          <w:szCs w:val="21"/>
        </w:rPr>
        <w:t>1#</w:t>
      </w:r>
      <w:r>
        <w:rPr>
          <w:rFonts w:hint="eastAsia" w:ascii="Arial" w:hAnsi="Arial" w:cs="Arial"/>
          <w:kern w:val="2"/>
          <w:sz w:val="21"/>
          <w:szCs w:val="21"/>
          <w:lang w:eastAsia="zh-CN"/>
        </w:rPr>
        <w:t>至</w:t>
      </w:r>
      <w:r>
        <w:rPr>
          <w:rFonts w:hint="eastAsia" w:ascii="Arial" w:hAnsi="Arial" w:cs="Arial"/>
          <w:kern w:val="2"/>
          <w:sz w:val="21"/>
          <w:szCs w:val="21"/>
          <w:lang w:val="en-US" w:eastAsia="zh-CN"/>
        </w:rPr>
        <w:t>9</w:t>
      </w:r>
      <w:r>
        <w:rPr>
          <w:rFonts w:hint="eastAsia" w:ascii="Arial" w:hAnsi="Arial" w:cs="Arial"/>
          <w:kern w:val="2"/>
          <w:sz w:val="21"/>
          <w:szCs w:val="21"/>
        </w:rPr>
        <w:t>#共</w:t>
      </w:r>
      <w:r>
        <w:rPr>
          <w:rFonts w:hint="eastAsia" w:ascii="Arial" w:hAnsi="Arial" w:cs="Arial"/>
          <w:kern w:val="2"/>
          <w:sz w:val="21"/>
          <w:szCs w:val="21"/>
          <w:lang w:eastAsia="zh-CN"/>
        </w:rPr>
        <w:t>九</w:t>
      </w:r>
      <w:r>
        <w:rPr>
          <w:rFonts w:ascii="Arial" w:hAnsi="Arial" w:cs="Arial"/>
          <w:kern w:val="2"/>
          <w:sz w:val="21"/>
          <w:szCs w:val="21"/>
        </w:rPr>
        <w:t>栋共有产权住房，建成于</w:t>
      </w:r>
      <w:r>
        <w:rPr>
          <w:rFonts w:hint="eastAsia" w:ascii="Arial" w:hAnsi="Arial" w:cs="Arial"/>
          <w:kern w:val="2"/>
          <w:sz w:val="21"/>
          <w:szCs w:val="21"/>
        </w:rPr>
        <w:t>2022</w:t>
      </w:r>
      <w:r>
        <w:rPr>
          <w:rFonts w:ascii="Arial" w:hAnsi="Arial" w:cs="Arial"/>
          <w:kern w:val="2"/>
          <w:sz w:val="21"/>
          <w:szCs w:val="21"/>
        </w:rPr>
        <w:t>年。根据估价委托人提供的</w:t>
      </w:r>
      <w:r>
        <w:rPr>
          <w:rFonts w:ascii="Arial" w:hAnsi="Arial" w:cs="Arial"/>
          <w:sz w:val="21"/>
          <w:szCs w:val="21"/>
        </w:rPr>
        <w:t>《不动产权证书》[</w:t>
      </w:r>
      <w:r>
        <w:rPr>
          <w:rFonts w:hint="default" w:ascii="Arial" w:hAnsi="Arial" w:cs="Arial"/>
          <w:sz w:val="21"/>
          <w:szCs w:val="21"/>
        </w:rPr>
        <w:t>京（20</w:t>
      </w:r>
      <w:r>
        <w:rPr>
          <w:rFonts w:hint="default" w:ascii="Arial" w:hAnsi="Arial" w:cs="Arial"/>
          <w:sz w:val="21"/>
          <w:szCs w:val="21"/>
          <w:lang w:val="en-US" w:eastAsia="zh-CN"/>
        </w:rPr>
        <w:t>22</w:t>
      </w:r>
      <w:r>
        <w:rPr>
          <w:rFonts w:hint="default" w:ascii="Arial" w:hAnsi="Arial" w:cs="Arial"/>
          <w:sz w:val="21"/>
          <w:szCs w:val="21"/>
        </w:rPr>
        <w:t>）</w:t>
      </w:r>
      <w:r>
        <w:rPr>
          <w:rFonts w:hint="default" w:ascii="Arial" w:hAnsi="Arial" w:cs="Arial"/>
          <w:sz w:val="21"/>
          <w:szCs w:val="21"/>
          <w:lang w:eastAsia="zh-CN"/>
        </w:rPr>
        <w:t>房</w:t>
      </w:r>
      <w:r>
        <w:rPr>
          <w:rFonts w:hint="default" w:ascii="Arial" w:hAnsi="Arial" w:cs="Arial"/>
          <w:sz w:val="21"/>
          <w:szCs w:val="21"/>
        </w:rPr>
        <w:t>不动产权第</w:t>
      </w:r>
      <w:r>
        <w:rPr>
          <w:rFonts w:hint="eastAsia" w:ascii="Arial" w:hAnsi="Arial" w:cs="Arial"/>
          <w:sz w:val="21"/>
          <w:szCs w:val="21"/>
          <w:lang w:val="en-US" w:eastAsia="zh-CN"/>
        </w:rPr>
        <w:t>0022348</w:t>
      </w:r>
      <w:r>
        <w:rPr>
          <w:rFonts w:hint="default" w:ascii="Arial" w:hAnsi="Arial" w:cs="Arial"/>
          <w:sz w:val="21"/>
          <w:szCs w:val="21"/>
        </w:rPr>
        <w:t>号</w:t>
      </w:r>
      <w:r>
        <w:rPr>
          <w:rFonts w:ascii="Arial" w:hAnsi="Arial" w:cs="Arial"/>
          <w:sz w:val="21"/>
          <w:szCs w:val="21"/>
        </w:rPr>
        <w:t>]</w:t>
      </w:r>
      <w:r>
        <w:rPr>
          <w:rFonts w:hint="eastAsia" w:ascii="Arial" w:hAnsi="Arial" w:cs="Arial"/>
          <w:sz w:val="21"/>
          <w:szCs w:val="21"/>
          <w:lang w:eastAsia="zh-CN"/>
        </w:rPr>
        <w:t>等</w:t>
      </w:r>
      <w:r>
        <w:rPr>
          <w:rFonts w:hint="eastAsia" w:ascii="Arial" w:hAnsi="Arial" w:cs="Arial"/>
          <w:sz w:val="21"/>
          <w:szCs w:val="21"/>
          <w:lang w:val="en-US" w:eastAsia="zh-CN"/>
        </w:rPr>
        <w:t>9本复印件</w:t>
      </w:r>
      <w:r>
        <w:rPr>
          <w:rFonts w:ascii="Arial" w:hAnsi="Arial" w:cs="Arial"/>
          <w:kern w:val="2"/>
          <w:sz w:val="21"/>
          <w:szCs w:val="21"/>
        </w:rPr>
        <w:t>，本次估价</w:t>
      </w:r>
      <w:r>
        <w:rPr>
          <w:rFonts w:hint="eastAsia" w:ascii="Arial" w:hAnsi="Arial" w:cs="Arial"/>
          <w:kern w:val="2"/>
          <w:sz w:val="21"/>
          <w:szCs w:val="21"/>
          <w:lang w:eastAsia="zh-CN"/>
        </w:rPr>
        <w:t>估价对象</w:t>
      </w:r>
      <w:r>
        <w:rPr>
          <w:rFonts w:ascii="Arial" w:hAnsi="Arial" w:cs="Arial"/>
          <w:kern w:val="2"/>
          <w:sz w:val="21"/>
          <w:szCs w:val="21"/>
        </w:rPr>
        <w:t>建筑面积</w:t>
      </w:r>
      <w:r>
        <w:rPr>
          <w:rFonts w:hint="eastAsia" w:ascii="Arial" w:hAnsi="Arial" w:cs="Arial"/>
          <w:kern w:val="2"/>
          <w:sz w:val="21"/>
          <w:szCs w:val="21"/>
          <w:lang w:eastAsia="zh-CN"/>
        </w:rPr>
        <w:t>共计</w:t>
      </w:r>
      <w:r>
        <w:rPr>
          <w:rFonts w:hint="eastAsia" w:ascii="Arial" w:hAnsi="Arial" w:cs="Arial"/>
          <w:kern w:val="2"/>
          <w:sz w:val="21"/>
          <w:szCs w:val="21"/>
        </w:rPr>
        <w:t>30214.52</w:t>
      </w:r>
      <w:r>
        <w:rPr>
          <w:rFonts w:ascii="Arial" w:hAnsi="Arial" w:cs="Arial"/>
          <w:kern w:val="2"/>
          <w:sz w:val="21"/>
          <w:szCs w:val="21"/>
        </w:rPr>
        <w:t>平方米，可对外配租房屋共计</w:t>
      </w:r>
      <w:r>
        <w:rPr>
          <w:rFonts w:hint="eastAsia" w:ascii="Arial" w:hAnsi="Arial" w:cs="Arial"/>
          <w:kern w:val="2"/>
          <w:sz w:val="21"/>
          <w:szCs w:val="21"/>
          <w:lang w:val="en-US" w:eastAsia="zh-CN"/>
        </w:rPr>
        <w:t>356</w:t>
      </w:r>
      <w:r>
        <w:rPr>
          <w:rFonts w:ascii="Arial" w:hAnsi="Arial" w:cs="Arial"/>
          <w:kern w:val="2"/>
          <w:sz w:val="21"/>
          <w:szCs w:val="21"/>
        </w:rPr>
        <w:t>套。房源具体户型等情况详见下表：</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30"/>
        <w:gridCol w:w="1300"/>
        <w:gridCol w:w="1938"/>
        <w:gridCol w:w="1918"/>
        <w:gridCol w:w="1398"/>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户型</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朝向</w:t>
            </w:r>
          </w:p>
        </w:tc>
        <w:tc>
          <w:tcPr>
            <w:tcW w:w="1971"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面积范围</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所属楼宇</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套数</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三室两厅两卫</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南北</w:t>
            </w:r>
          </w:p>
        </w:tc>
        <w:tc>
          <w:tcPr>
            <w:tcW w:w="1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88.38-89.46</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3#、4#、6#、7#</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156</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13849.92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三室两厅一卫</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南北</w:t>
            </w:r>
          </w:p>
        </w:tc>
        <w:tc>
          <w:tcPr>
            <w:tcW w:w="1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81.59-82.25</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1#、2#、5#、8#、9#</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200</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16364.6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　合计</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97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356</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30214.52</w:t>
            </w:r>
          </w:p>
        </w:tc>
      </w:tr>
    </w:tbl>
    <w:p>
      <w:pPr>
        <w:keepNext w:val="0"/>
        <w:keepLines w:val="0"/>
        <w:pageBreakBefore w:val="0"/>
        <w:widowControl/>
        <w:kinsoku/>
        <w:wordWrap/>
        <w:overflowPunct w:val="0"/>
        <w:topLinePunct w:val="0"/>
        <w:autoSpaceDE/>
        <w:autoSpaceDN/>
        <w:bidi w:val="0"/>
        <w:adjustRightInd w:val="0"/>
        <w:snapToGrid w:val="0"/>
        <w:ind w:firstLine="360" w:firstLineChars="200"/>
        <w:jc w:val="both"/>
        <w:textAlignment w:val="auto"/>
        <w:rPr>
          <w:rFonts w:ascii="Arial" w:hAnsi="Arial" w:cs="Arial"/>
          <w:kern w:val="2"/>
          <w:sz w:val="18"/>
          <w:szCs w:val="18"/>
        </w:rPr>
      </w:pPr>
    </w:p>
    <w:p>
      <w:pPr>
        <w:tabs>
          <w:tab w:val="left" w:pos="3544"/>
        </w:tabs>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根据估价人员现场勘查，估价对象</w:t>
      </w:r>
      <w:r>
        <w:rPr>
          <w:rFonts w:hint="eastAsia" w:ascii="Arial" w:hAnsi="Arial" w:cs="Arial"/>
          <w:kern w:val="2"/>
          <w:sz w:val="21"/>
          <w:szCs w:val="21"/>
        </w:rPr>
        <w:t>交付</w:t>
      </w:r>
      <w:r>
        <w:rPr>
          <w:rFonts w:ascii="Arial" w:hAnsi="Arial" w:cs="Arial"/>
          <w:kern w:val="2"/>
          <w:sz w:val="21"/>
          <w:szCs w:val="21"/>
        </w:rPr>
        <w:t>装饰装修标准如下：</w:t>
      </w:r>
    </w:p>
    <w:tbl>
      <w:tblPr>
        <w:tblStyle w:val="32"/>
        <w:tblW w:w="9298" w:type="dxa"/>
        <w:jc w:val="center"/>
        <w:tblLayout w:type="autofit"/>
        <w:tblCellMar>
          <w:top w:w="57" w:type="dxa"/>
          <w:left w:w="57" w:type="dxa"/>
          <w:bottom w:w="57" w:type="dxa"/>
          <w:right w:w="57" w:type="dxa"/>
        </w:tblCellMar>
      </w:tblPr>
      <w:tblGrid>
        <w:gridCol w:w="687"/>
        <w:gridCol w:w="2320"/>
        <w:gridCol w:w="6291"/>
      </w:tblGrid>
      <w:tr>
        <w:tblPrEx>
          <w:tblCellMar>
            <w:top w:w="57" w:type="dxa"/>
            <w:left w:w="57" w:type="dxa"/>
            <w:bottom w:w="57" w:type="dxa"/>
            <w:right w:w="57" w:type="dxa"/>
          </w:tblCellMar>
        </w:tblPrEx>
        <w:trPr>
          <w:trHeight w:val="285"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序号</w:t>
            </w:r>
          </w:p>
        </w:tc>
        <w:tc>
          <w:tcPr>
            <w:tcW w:w="22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部 件</w:t>
            </w:r>
          </w:p>
        </w:tc>
        <w:tc>
          <w:tcPr>
            <w:tcW w:w="622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装修标准</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1</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lang w:eastAsia="zh-CN"/>
              </w:rPr>
              <w:t>外墙</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lang w:eastAsia="zh-CN"/>
              </w:rPr>
              <w:t>墙砖</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2</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单元门</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玻璃门</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3</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户门</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防盗门</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4</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室内门</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rPr>
              <w:t>木门、木玻门</w:t>
            </w:r>
            <w:r>
              <w:rPr>
                <w:rFonts w:hint="default" w:ascii="Arial" w:hAnsi="Arial" w:eastAsia="华文细黑" w:cs="Arial"/>
                <w:sz w:val="18"/>
                <w:szCs w:val="18"/>
                <w:lang w:eastAsia="zh-CN"/>
              </w:rPr>
              <w:t>、铝合金门</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5</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外窗</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lang w:eastAsia="zh-CN"/>
              </w:rPr>
              <w:t>断桥铝</w:t>
            </w:r>
            <w:r>
              <w:rPr>
                <w:rFonts w:hint="default" w:ascii="Arial" w:hAnsi="Arial" w:eastAsia="华文细黑" w:cs="Arial"/>
                <w:sz w:val="18"/>
                <w:szCs w:val="18"/>
              </w:rPr>
              <w:t>窗</w:t>
            </w:r>
          </w:p>
        </w:tc>
      </w:tr>
      <w:tr>
        <w:tblPrEx>
          <w:tblCellMar>
            <w:top w:w="57" w:type="dxa"/>
            <w:left w:w="57" w:type="dxa"/>
            <w:bottom w:w="57" w:type="dxa"/>
            <w:right w:w="57" w:type="dxa"/>
          </w:tblCellMar>
        </w:tblPrEx>
        <w:trPr>
          <w:trHeight w:val="303"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6</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客厅、卧室</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rPr>
              <w:t>顶棚：涂料；墙面：涂料；地面：地砖；</w:t>
            </w:r>
            <w:r>
              <w:rPr>
                <w:rFonts w:hint="default" w:ascii="Arial" w:hAnsi="Arial" w:eastAsia="华文细黑" w:cs="Arial"/>
                <w:sz w:val="18"/>
                <w:szCs w:val="18"/>
                <w:lang w:eastAsia="zh-CN"/>
              </w:rPr>
              <w:t>木质</w:t>
            </w:r>
            <w:r>
              <w:rPr>
                <w:rFonts w:hint="default" w:ascii="Arial" w:hAnsi="Arial" w:eastAsia="华文细黑" w:cs="Arial"/>
                <w:sz w:val="18"/>
                <w:szCs w:val="18"/>
              </w:rPr>
              <w:t>踢脚、木质门框</w:t>
            </w:r>
            <w:r>
              <w:rPr>
                <w:rFonts w:hint="default" w:ascii="Arial" w:hAnsi="Arial" w:eastAsia="华文细黑" w:cs="Arial"/>
                <w:sz w:val="18"/>
                <w:szCs w:val="18"/>
                <w:lang w:eastAsia="zh-CN"/>
              </w:rPr>
              <w:t>、过门石</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7</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厨房</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rPr>
              <w:t>顶棚：铝扣板；墙面：墙砖；地面：地砖；整体橱柜</w:t>
            </w:r>
            <w:r>
              <w:rPr>
                <w:rFonts w:hint="default" w:ascii="Arial" w:hAnsi="Arial" w:eastAsia="华文细黑" w:cs="Arial"/>
                <w:sz w:val="18"/>
                <w:szCs w:val="18"/>
                <w:lang w:eastAsia="zh-CN"/>
              </w:rPr>
              <w:t>、不锈钢洗菜池</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8</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卫生间</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顶棚：铝扣板；墙面：墙砖；地面：地砖；陶瓷洗手池、座便器</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9</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阳台</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rPr>
              <w:t>顶棚：涂料；墙面：涂料；地面：地砖</w:t>
            </w:r>
            <w:r>
              <w:rPr>
                <w:rFonts w:hint="default" w:ascii="Arial" w:hAnsi="Arial" w:eastAsia="华文细黑" w:cs="Arial"/>
                <w:sz w:val="18"/>
                <w:szCs w:val="18"/>
                <w:lang w:eastAsia="zh-CN"/>
              </w:rPr>
              <w:t>；瓷砖踢脚、铁护栏</w:t>
            </w:r>
          </w:p>
        </w:tc>
      </w:tr>
      <w:tr>
        <w:tblPrEx>
          <w:tblCellMar>
            <w:top w:w="57" w:type="dxa"/>
            <w:left w:w="57" w:type="dxa"/>
            <w:bottom w:w="57" w:type="dxa"/>
            <w:right w:w="57" w:type="dxa"/>
          </w:tblCellMar>
        </w:tblPrEx>
        <w:trPr>
          <w:trHeight w:val="291"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10</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设备</w:t>
            </w:r>
          </w:p>
        </w:tc>
        <w:tc>
          <w:tcPr>
            <w:tcW w:w="62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lang w:eastAsia="zh-CN"/>
              </w:rPr>
              <w:t>抽油烟机、灶台</w:t>
            </w:r>
            <w:r>
              <w:rPr>
                <w:rFonts w:hint="default" w:ascii="Arial" w:hAnsi="Arial" w:eastAsia="华文细黑" w:cs="Arial"/>
                <w:sz w:val="18"/>
                <w:szCs w:val="18"/>
              </w:rPr>
              <w:t>、淋浴器</w:t>
            </w:r>
          </w:p>
        </w:tc>
      </w:tr>
    </w:tbl>
    <w:p>
      <w:pPr>
        <w:keepNext w:val="0"/>
        <w:keepLines w:val="0"/>
        <w:pageBreakBefore w:val="0"/>
        <w:widowControl/>
        <w:kinsoku/>
        <w:wordWrap w:val="0"/>
        <w:overflowPunct w:val="0"/>
        <w:topLinePunct w:val="0"/>
        <w:autoSpaceDE/>
        <w:autoSpaceDN/>
        <w:bidi w:val="0"/>
        <w:adjustRightInd w:val="0"/>
        <w:snapToGrid w:val="0"/>
        <w:spacing w:line="240" w:lineRule="auto"/>
        <w:ind w:firstLine="360" w:firstLineChars="200"/>
        <w:jc w:val="both"/>
        <w:textAlignment w:val="auto"/>
        <w:rPr>
          <w:rFonts w:ascii="Arial" w:hAnsi="Arial" w:cs="Arial"/>
          <w:kern w:val="2"/>
          <w:sz w:val="18"/>
          <w:szCs w:val="18"/>
        </w:rPr>
      </w:pP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估价人员实地查勘，于价值时点，估价对象已完工，未发现重大质量缺损情况，综合各项因素认为实物状况较好。</w:t>
      </w:r>
    </w:p>
    <w:p>
      <w:pPr>
        <w:wordWrap w:val="0"/>
        <w:overflowPunct w:val="0"/>
        <w:spacing w:line="480" w:lineRule="auto"/>
        <w:jc w:val="both"/>
        <w:rPr>
          <w:rFonts w:ascii="Arial" w:hAnsi="Arial" w:cs="Arial"/>
          <w:b/>
          <w:kern w:val="2"/>
          <w:sz w:val="21"/>
          <w:szCs w:val="21"/>
        </w:rPr>
      </w:pPr>
      <w:r>
        <w:rPr>
          <w:rFonts w:ascii="Arial" w:hAnsi="Arial" w:cs="Arial"/>
          <w:b/>
          <w:kern w:val="2"/>
          <w:sz w:val="21"/>
          <w:szCs w:val="21"/>
        </w:rPr>
        <w:t>（四）对价格影响的分析</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pPr>
        <w:wordWrap w:val="0"/>
        <w:overflowPunct w:val="0"/>
        <w:spacing w:line="480" w:lineRule="auto"/>
        <w:jc w:val="both"/>
        <w:rPr>
          <w:rFonts w:ascii="Arial" w:hAnsi="Arial" w:cs="Arial"/>
          <w:b/>
          <w:kern w:val="2"/>
          <w:sz w:val="21"/>
          <w:szCs w:val="21"/>
        </w:rPr>
      </w:pPr>
      <w:r>
        <w:rPr>
          <w:rFonts w:ascii="Arial" w:hAnsi="Arial" w:cs="Arial"/>
          <w:b/>
          <w:kern w:val="2"/>
          <w:sz w:val="21"/>
          <w:szCs w:val="21"/>
        </w:rPr>
        <w:t>（五）他项权利状况</w:t>
      </w:r>
    </w:p>
    <w:p>
      <w:pPr>
        <w:wordWrap w:val="0"/>
        <w:overflowPunct w:val="0"/>
        <w:spacing w:line="480" w:lineRule="auto"/>
        <w:ind w:firstLine="420" w:firstLineChars="200"/>
        <w:jc w:val="both"/>
        <w:rPr>
          <w:rFonts w:ascii="Arial" w:hAnsi="Arial" w:cs="Arial"/>
          <w:kern w:val="2"/>
          <w:sz w:val="21"/>
          <w:szCs w:val="21"/>
        </w:rPr>
      </w:pPr>
      <w:r>
        <w:rPr>
          <w:rFonts w:ascii="Arial" w:hAnsi="Arial" w:cs="Arial"/>
          <w:sz w:val="21"/>
          <w:szCs w:val="21"/>
        </w:rPr>
        <w:t>根据估价委托人提供的资料及评估专业人员实地查勘，于价值时点，未发现估价对象存在</w:t>
      </w:r>
      <w:r>
        <w:rPr>
          <w:rFonts w:ascii="Arial" w:hAnsi="Arial" w:cs="Arial"/>
          <w:kern w:val="2"/>
          <w:sz w:val="21"/>
          <w:szCs w:val="21"/>
        </w:rPr>
        <w:t>抵押、地役、查封等他项权利</w:t>
      </w:r>
      <w:r>
        <w:rPr>
          <w:rFonts w:ascii="Arial" w:hAnsi="Arial" w:cs="Arial"/>
          <w:sz w:val="21"/>
          <w:szCs w:val="21"/>
        </w:rPr>
        <w:t>。</w:t>
      </w:r>
      <w:r>
        <w:rPr>
          <w:rFonts w:ascii="Arial" w:hAnsi="Arial" w:cs="Arial"/>
          <w:kern w:val="2"/>
          <w:sz w:val="21"/>
          <w:szCs w:val="21"/>
        </w:rPr>
        <w:t>根据估价目的，本次估价未考虑抵押、地役、查封等他项权利影响，故设定估价对象于价值时点不存在抵押、地役、查封等他项权利限制。</w:t>
      </w:r>
    </w:p>
    <w:p>
      <w:pPr>
        <w:wordWrap w:val="0"/>
        <w:overflowPunct w:val="0"/>
        <w:spacing w:line="480" w:lineRule="auto"/>
        <w:ind w:firstLine="420" w:firstLineChars="200"/>
        <w:jc w:val="both"/>
        <w:rPr>
          <w:rFonts w:ascii="Arial" w:hAnsi="Arial" w:cs="Arial"/>
          <w:sz w:val="21"/>
          <w:szCs w:val="21"/>
        </w:rPr>
      </w:pPr>
    </w:p>
    <w:p>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68225817"/>
      <w:bookmarkStart w:id="20" w:name="_Toc525655422"/>
      <w:r>
        <w:rPr>
          <w:rFonts w:eastAsia="宋体"/>
          <w:kern w:val="2"/>
          <w:sz w:val="21"/>
          <w:szCs w:val="21"/>
        </w:rPr>
        <w:t>五</w:t>
      </w:r>
      <w:bookmarkEnd w:id="19"/>
      <w:r>
        <w:rPr>
          <w:rFonts w:eastAsia="宋体"/>
          <w:kern w:val="2"/>
          <w:sz w:val="21"/>
          <w:szCs w:val="21"/>
        </w:rPr>
        <w:t>、价值时点</w:t>
      </w:r>
      <w:bookmarkEnd w:id="20"/>
    </w:p>
    <w:p>
      <w:pPr>
        <w:wordWrap w:val="0"/>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202</w:t>
      </w:r>
      <w:r>
        <w:rPr>
          <w:rFonts w:hint="eastAsia" w:ascii="Arial" w:hAnsi="Arial" w:cs="Arial"/>
          <w:kern w:val="2"/>
          <w:sz w:val="21"/>
          <w:szCs w:val="21"/>
          <w:lang w:val="en-US" w:eastAsia="zh-CN"/>
        </w:rPr>
        <w:t>3</w:t>
      </w:r>
      <w:r>
        <w:rPr>
          <w:rFonts w:ascii="Arial" w:hAnsi="Arial" w:cs="Arial"/>
          <w:kern w:val="2"/>
          <w:sz w:val="21"/>
          <w:szCs w:val="21"/>
        </w:rPr>
        <w:t>年</w:t>
      </w:r>
      <w:r>
        <w:rPr>
          <w:rFonts w:hint="eastAsia" w:ascii="Arial" w:hAnsi="Arial" w:cs="Arial"/>
          <w:kern w:val="2"/>
          <w:sz w:val="21"/>
          <w:szCs w:val="21"/>
          <w:lang w:val="en-US" w:eastAsia="zh-CN"/>
        </w:rPr>
        <w:t>4</w:t>
      </w:r>
      <w:r>
        <w:rPr>
          <w:rFonts w:ascii="Arial" w:hAnsi="Arial" w:cs="Arial"/>
          <w:kern w:val="2"/>
          <w:sz w:val="21"/>
          <w:szCs w:val="21"/>
        </w:rPr>
        <w:t>月</w:t>
      </w:r>
      <w:r>
        <w:rPr>
          <w:rFonts w:hint="eastAsia" w:ascii="Arial" w:hAnsi="Arial" w:cs="Arial"/>
          <w:kern w:val="2"/>
          <w:sz w:val="21"/>
          <w:szCs w:val="21"/>
        </w:rPr>
        <w:t>2</w:t>
      </w:r>
      <w:r>
        <w:rPr>
          <w:rFonts w:hint="eastAsia" w:ascii="Arial" w:hAnsi="Arial" w:cs="Arial"/>
          <w:kern w:val="2"/>
          <w:sz w:val="21"/>
          <w:szCs w:val="21"/>
          <w:lang w:val="en-US" w:eastAsia="zh-CN"/>
        </w:rPr>
        <w:t>7</w:t>
      </w:r>
      <w:r>
        <w:rPr>
          <w:rFonts w:ascii="Arial" w:hAnsi="Arial" w:cs="Arial"/>
          <w:kern w:val="2"/>
          <w:sz w:val="21"/>
          <w:szCs w:val="21"/>
        </w:rPr>
        <w:t>日（</w:t>
      </w:r>
      <w:r>
        <w:rPr>
          <w:rFonts w:hint="eastAsia" w:ascii="Arial" w:hAnsi="Arial" w:cs="Arial"/>
          <w:kern w:val="2"/>
          <w:sz w:val="21"/>
          <w:szCs w:val="21"/>
        </w:rPr>
        <w:t>实地查勘之日</w:t>
      </w:r>
      <w:r>
        <w:rPr>
          <w:rFonts w:ascii="Arial" w:hAnsi="Arial" w:cs="Arial"/>
          <w:kern w:val="2"/>
          <w:sz w:val="21"/>
          <w:szCs w:val="21"/>
        </w:rPr>
        <w:t>）</w:t>
      </w:r>
    </w:p>
    <w:p>
      <w:pPr>
        <w:wordWrap w:val="0"/>
        <w:overflowPunct w:val="0"/>
        <w:spacing w:line="480" w:lineRule="auto"/>
        <w:ind w:firstLine="420" w:firstLineChars="200"/>
        <w:jc w:val="both"/>
        <w:rPr>
          <w:rFonts w:ascii="Arial" w:hAnsi="Arial" w:cs="Arial"/>
          <w:sz w:val="21"/>
          <w:szCs w:val="21"/>
        </w:rPr>
      </w:pPr>
    </w:p>
    <w:p>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68225818"/>
      <w:bookmarkStart w:id="22" w:name="_Toc525655423"/>
      <w:r>
        <w:rPr>
          <w:rFonts w:eastAsia="宋体"/>
          <w:kern w:val="2"/>
          <w:sz w:val="21"/>
          <w:szCs w:val="21"/>
        </w:rPr>
        <w:t>六</w:t>
      </w:r>
      <w:bookmarkEnd w:id="21"/>
      <w:r>
        <w:rPr>
          <w:rFonts w:eastAsia="宋体"/>
          <w:kern w:val="2"/>
          <w:sz w:val="21"/>
          <w:szCs w:val="21"/>
        </w:rPr>
        <w:t>、价值类型</w:t>
      </w:r>
      <w:bookmarkEnd w:id="22"/>
    </w:p>
    <w:p>
      <w:pPr>
        <w:overflowPunct w:val="0"/>
        <w:spacing w:line="480" w:lineRule="auto"/>
        <w:ind w:firstLine="420" w:firstLineChars="200"/>
        <w:jc w:val="both"/>
        <w:rPr>
          <w:rFonts w:ascii="Arial" w:hAnsi="Arial" w:cs="Arial"/>
          <w:sz w:val="21"/>
          <w:szCs w:val="21"/>
        </w:rPr>
      </w:pPr>
      <w:r>
        <w:rPr>
          <w:rFonts w:ascii="Arial" w:hAnsi="Arial" w:cs="Arial"/>
          <w:kern w:val="2"/>
          <w:sz w:val="21"/>
          <w:szCs w:val="21"/>
        </w:rPr>
        <w:t>共有产权住房项目市场租金是指与共有产权住房项目同地段、同类型的普通住房在估价时段</w:t>
      </w:r>
      <w:r>
        <w:rPr>
          <w:rFonts w:ascii="Arial" w:hAnsi="Arial" w:cs="Arial"/>
          <w:sz w:val="21"/>
          <w:szCs w:val="21"/>
        </w:rPr>
        <w:t>（202</w:t>
      </w:r>
      <w:r>
        <w:rPr>
          <w:rFonts w:hint="eastAsia" w:ascii="Arial" w:hAnsi="Arial" w:cs="Arial"/>
          <w:sz w:val="21"/>
          <w:szCs w:val="21"/>
          <w:lang w:val="en-US" w:eastAsia="zh-CN"/>
        </w:rPr>
        <w:t>2</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月至202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3</w:t>
      </w:r>
      <w:r>
        <w:rPr>
          <w:rFonts w:ascii="Arial" w:hAnsi="Arial" w:cs="Arial"/>
          <w:sz w:val="21"/>
          <w:szCs w:val="21"/>
        </w:rPr>
        <w:t>月）</w:t>
      </w:r>
      <w:r>
        <w:rPr>
          <w:rFonts w:ascii="Arial" w:hAnsi="Arial" w:cs="Arial"/>
          <w:kern w:val="2"/>
          <w:sz w:val="21"/>
          <w:szCs w:val="21"/>
        </w:rPr>
        <w:t>的市场租赁平均价格。</w:t>
      </w:r>
      <w:bookmarkStart w:id="23" w:name="_Toc525655424"/>
      <w:bookmarkStart w:id="24" w:name="_Toc168225819"/>
      <w:r>
        <w:rPr>
          <w:rFonts w:ascii="Arial" w:hAnsi="Arial" w:cs="Arial"/>
          <w:sz w:val="21"/>
          <w:szCs w:val="21"/>
        </w:rPr>
        <w:t>根据房地产评估的技术规程和本次估价目的，本次估价采用的是市场价值标准。估价结果中的房地产租金价格是指估价对象在估价时段（202</w:t>
      </w:r>
      <w:r>
        <w:rPr>
          <w:rFonts w:hint="eastAsia" w:ascii="Arial" w:hAnsi="Arial" w:cs="Arial"/>
          <w:sz w:val="21"/>
          <w:szCs w:val="21"/>
          <w:lang w:val="en-US" w:eastAsia="zh-CN"/>
        </w:rPr>
        <w:t>2</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月至202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3</w:t>
      </w:r>
      <w:r>
        <w:rPr>
          <w:rFonts w:ascii="Arial" w:hAnsi="Arial" w:cs="Arial"/>
          <w:sz w:val="21"/>
          <w:szCs w:val="21"/>
        </w:rPr>
        <w:t xml:space="preserve">月）规划利用条件及下述设定条件下的市场平均租金价格： </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 xml:space="preserve">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 </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 xml:space="preserve">（1）同地段是指按照就近原则，能够满足共有产权住房项目市场租金评估所需要的可比小区数量所形成的同质区域。 </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 xml:space="preserve">（2）同类型是指使用功能、建筑结构、面积、户型、装修、家具家电设备及周边环境与配套相同或相似的住房。 </w:t>
      </w:r>
    </w:p>
    <w:p>
      <w:pPr>
        <w:overflowPunct w:val="0"/>
        <w:spacing w:line="480" w:lineRule="auto"/>
        <w:ind w:firstLine="420" w:firstLineChars="200"/>
        <w:jc w:val="both"/>
        <w:rPr>
          <w:rFonts w:ascii="Arial" w:hAnsi="Arial" w:cs="Arial"/>
          <w:sz w:val="21"/>
          <w:szCs w:val="21"/>
        </w:rPr>
      </w:pPr>
      <w:r>
        <w:rPr>
          <w:rFonts w:ascii="Arial" w:hAnsi="Arial" w:cs="Arial"/>
          <w:sz w:val="21"/>
          <w:szCs w:val="21"/>
        </w:rPr>
        <w:t>（3）估价时段是指价值时点前一年（202</w:t>
      </w:r>
      <w:r>
        <w:rPr>
          <w:rFonts w:hint="eastAsia" w:ascii="Arial" w:hAnsi="Arial" w:cs="Arial"/>
          <w:sz w:val="21"/>
          <w:szCs w:val="21"/>
          <w:lang w:val="en-US" w:eastAsia="zh-CN"/>
        </w:rPr>
        <w:t>2</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月至202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3</w:t>
      </w:r>
      <w:r>
        <w:rPr>
          <w:rFonts w:ascii="Arial" w:hAnsi="Arial" w:cs="Arial"/>
          <w:sz w:val="21"/>
          <w:szCs w:val="21"/>
        </w:rPr>
        <w:t>月）。</w:t>
      </w:r>
    </w:p>
    <w:p>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（4）装修状况</w:t>
      </w:r>
      <w:r>
        <w:rPr>
          <w:rFonts w:ascii="Arial" w:hAnsi="Arial" w:cs="Arial"/>
          <w:sz w:val="21"/>
          <w:szCs w:val="21"/>
        </w:rPr>
        <w:t>依据共有产权住房</w:t>
      </w:r>
      <w:r>
        <w:rPr>
          <w:rFonts w:hint="eastAsia" w:ascii="Arial" w:hAnsi="Arial" w:cs="Arial"/>
          <w:sz w:val="21"/>
          <w:szCs w:val="21"/>
        </w:rPr>
        <w:t>现状</w:t>
      </w:r>
      <w:r>
        <w:rPr>
          <w:rFonts w:ascii="Arial" w:hAnsi="Arial" w:cs="Arial"/>
          <w:sz w:val="21"/>
          <w:szCs w:val="21"/>
        </w:rPr>
        <w:t>条件设定为</w:t>
      </w:r>
      <w:r>
        <w:rPr>
          <w:rFonts w:hint="eastAsia" w:ascii="Arial" w:hAnsi="Arial" w:cs="Arial"/>
          <w:sz w:val="21"/>
          <w:szCs w:val="21"/>
        </w:rPr>
        <w:t>全</w:t>
      </w:r>
      <w:r>
        <w:rPr>
          <w:rFonts w:ascii="Arial" w:hAnsi="Arial" w:cs="Arial"/>
          <w:sz w:val="21"/>
          <w:szCs w:val="21"/>
        </w:rPr>
        <w:t>装修。</w:t>
      </w:r>
    </w:p>
    <w:p>
      <w:pPr>
        <w:overflowPunct w:val="0"/>
        <w:spacing w:line="480" w:lineRule="auto"/>
        <w:ind w:firstLine="420" w:firstLineChars="200"/>
        <w:jc w:val="both"/>
        <w:rPr>
          <w:rFonts w:ascii="Arial" w:hAnsi="Arial" w:cs="Arial"/>
          <w:sz w:val="21"/>
          <w:szCs w:val="21"/>
        </w:rPr>
      </w:pPr>
    </w:p>
    <w:p>
      <w:pPr>
        <w:pStyle w:val="3"/>
        <w:numPr>
          <w:ilvl w:val="0"/>
          <w:numId w:val="0"/>
        </w:numPr>
        <w:wordWrap w:val="0"/>
        <w:overflowPunct w:val="0"/>
        <w:spacing w:line="480" w:lineRule="auto"/>
        <w:jc w:val="both"/>
        <w:textAlignment w:val="auto"/>
        <w:rPr>
          <w:rFonts w:eastAsia="宋体"/>
          <w:kern w:val="2"/>
          <w:sz w:val="21"/>
          <w:szCs w:val="21"/>
        </w:rPr>
      </w:pPr>
      <w:r>
        <w:rPr>
          <w:rFonts w:eastAsia="宋体"/>
          <w:kern w:val="2"/>
          <w:sz w:val="21"/>
          <w:szCs w:val="21"/>
        </w:rPr>
        <w:t>七、估价原则</w:t>
      </w:r>
      <w:bookmarkEnd w:id="23"/>
      <w:bookmarkEnd w:id="24"/>
    </w:p>
    <w:p>
      <w:pPr>
        <w:keepNext w:val="0"/>
        <w:keepLines w:val="0"/>
        <w:pageBreakBefore w:val="0"/>
        <w:widowControl/>
        <w:kinsoku/>
        <w:wordWrap w:val="0"/>
        <w:overflowPunct w:val="0"/>
        <w:topLinePunct w:val="0"/>
        <w:autoSpaceDE/>
        <w:autoSpaceDN/>
        <w:bidi w:val="0"/>
        <w:adjustRightInd/>
        <w:snapToGrid/>
        <w:spacing w:line="480" w:lineRule="auto"/>
        <w:ind w:firstLine="420" w:firstLineChars="200"/>
        <w:jc w:val="both"/>
        <w:textAlignment w:val="auto"/>
        <w:rPr>
          <w:rFonts w:ascii="Arial" w:hAnsi="Arial" w:cs="Arial"/>
          <w:sz w:val="21"/>
          <w:szCs w:val="21"/>
        </w:rPr>
      </w:pPr>
      <w:r>
        <w:rPr>
          <w:rFonts w:ascii="Arial" w:hAnsi="Arial" w:cs="Arial"/>
          <w:sz w:val="21"/>
          <w:szCs w:val="21"/>
        </w:rPr>
        <w:t xml:space="preserve">我们在本次估价时遵循了以下原则： </w:t>
      </w:r>
    </w:p>
    <w:p>
      <w:pPr>
        <w:wordWrap w:val="0"/>
        <w:overflowPunct w:val="0"/>
        <w:spacing w:line="480" w:lineRule="auto"/>
        <w:jc w:val="both"/>
        <w:rPr>
          <w:rFonts w:ascii="Arial" w:hAnsi="Arial" w:cs="Arial"/>
          <w:b/>
          <w:sz w:val="21"/>
          <w:szCs w:val="21"/>
        </w:rPr>
      </w:pPr>
      <w:r>
        <w:rPr>
          <w:rFonts w:ascii="Arial" w:hAnsi="Arial" w:cs="Arial"/>
          <w:b/>
          <w:sz w:val="21"/>
          <w:szCs w:val="21"/>
        </w:rPr>
        <w:t>（一）独立、客观、公正原则</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pPr>
        <w:wordWrap w:val="0"/>
        <w:overflowPunct w:val="0"/>
        <w:spacing w:line="480" w:lineRule="auto"/>
        <w:jc w:val="both"/>
        <w:rPr>
          <w:rFonts w:ascii="Arial" w:hAnsi="Arial" w:cs="Arial"/>
          <w:b/>
          <w:sz w:val="21"/>
          <w:szCs w:val="21"/>
        </w:rPr>
      </w:pPr>
      <w:r>
        <w:rPr>
          <w:rFonts w:ascii="Arial" w:hAnsi="Arial" w:cs="Arial"/>
          <w:b/>
          <w:sz w:val="21"/>
          <w:szCs w:val="21"/>
        </w:rPr>
        <w:t>（二）合法原则</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pPr>
        <w:wordWrap w:val="0"/>
        <w:overflowPunct w:val="0"/>
        <w:spacing w:line="480" w:lineRule="auto"/>
        <w:jc w:val="both"/>
        <w:rPr>
          <w:rFonts w:ascii="Arial" w:hAnsi="Arial" w:cs="Arial"/>
          <w:b/>
          <w:sz w:val="21"/>
          <w:szCs w:val="21"/>
        </w:rPr>
      </w:pPr>
      <w:r>
        <w:rPr>
          <w:rFonts w:ascii="Arial" w:hAnsi="Arial" w:cs="Arial"/>
          <w:b/>
          <w:sz w:val="21"/>
          <w:szCs w:val="21"/>
        </w:rPr>
        <w:t>（三）最高最佳利用原则</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本次估价对象为</w:t>
      </w:r>
      <w:r>
        <w:rPr>
          <w:rFonts w:hint="eastAsia" w:ascii="Arial" w:hAnsi="Arial" w:cs="Arial"/>
          <w:kern w:val="2"/>
          <w:sz w:val="21"/>
          <w:szCs w:val="21"/>
          <w:lang w:eastAsia="zh-CN"/>
        </w:rPr>
        <w:t>北京市房山区西雅路17号院1号楼4层二单元401等共356套</w:t>
      </w:r>
      <w:r>
        <w:rPr>
          <w:rFonts w:hint="eastAsia" w:ascii="Arial" w:hAnsi="Arial" w:cs="Arial"/>
          <w:kern w:val="2"/>
          <w:sz w:val="21"/>
          <w:szCs w:val="21"/>
        </w:rPr>
        <w:t>共有产权住房</w:t>
      </w:r>
      <w:r>
        <w:rPr>
          <w:rFonts w:ascii="Arial" w:hAnsi="Arial" w:cs="Arial"/>
          <w:kern w:val="2"/>
          <w:sz w:val="21"/>
          <w:szCs w:val="21"/>
        </w:rPr>
        <w:t>项目</w:t>
      </w:r>
      <w:r>
        <w:rPr>
          <w:rFonts w:ascii="Arial" w:hAnsi="Arial" w:cs="Arial"/>
          <w:sz w:val="21"/>
          <w:szCs w:val="21"/>
        </w:rPr>
        <w:t>，根据政府相关批文，估价对象为</w:t>
      </w:r>
      <w:r>
        <w:rPr>
          <w:rFonts w:ascii="Arial" w:hAnsi="Arial" w:cs="Arial"/>
          <w:kern w:val="2"/>
          <w:sz w:val="21"/>
          <w:szCs w:val="21"/>
        </w:rPr>
        <w:t>共有产权住房项目</w:t>
      </w:r>
      <w:r>
        <w:rPr>
          <w:rFonts w:ascii="Arial" w:hAnsi="Arial" w:cs="Arial"/>
          <w:sz w:val="21"/>
          <w:szCs w:val="21"/>
        </w:rPr>
        <w:t>，程序上合规；其土地用途为住宅，符合城市规划限制的要求；估价对象依据相关政策及批复进行建设，其建筑结构及布局在技术上能满足</w:t>
      </w:r>
      <w:r>
        <w:rPr>
          <w:rFonts w:ascii="Arial" w:hAnsi="Arial" w:cs="Arial"/>
          <w:kern w:val="2"/>
          <w:sz w:val="21"/>
          <w:szCs w:val="21"/>
        </w:rPr>
        <w:t>共有产权住房项目</w:t>
      </w:r>
      <w:r>
        <w:rPr>
          <w:rFonts w:ascii="Arial" w:hAnsi="Arial" w:cs="Arial"/>
          <w:sz w:val="21"/>
          <w:szCs w:val="21"/>
        </w:rPr>
        <w:t>的要求，按照不高于市场租金水平进行配租，经济效益较普通商品住宅低，作为政策性住房，其主要目的是为满足适配人群对住房的实际需求，因此，建设</w:t>
      </w:r>
      <w:r>
        <w:rPr>
          <w:rFonts w:ascii="Arial" w:hAnsi="Arial" w:cs="Arial"/>
          <w:kern w:val="2"/>
          <w:sz w:val="21"/>
          <w:szCs w:val="21"/>
        </w:rPr>
        <w:t>共有产权住房项目</w:t>
      </w:r>
      <w:r>
        <w:rPr>
          <w:rFonts w:ascii="Arial" w:hAnsi="Arial" w:cs="Arial"/>
          <w:sz w:val="21"/>
          <w:szCs w:val="21"/>
        </w:rPr>
        <w:t>具有很大的社会效益。故估价对象符合最高最佳利用原则。</w:t>
      </w:r>
    </w:p>
    <w:p>
      <w:pPr>
        <w:wordWrap w:val="0"/>
        <w:overflowPunct w:val="0"/>
        <w:spacing w:line="480" w:lineRule="auto"/>
        <w:jc w:val="both"/>
        <w:rPr>
          <w:rFonts w:ascii="Arial" w:hAnsi="Arial" w:cs="Arial"/>
          <w:b/>
          <w:sz w:val="21"/>
          <w:szCs w:val="21"/>
        </w:rPr>
      </w:pPr>
      <w:r>
        <w:rPr>
          <w:rFonts w:ascii="Arial" w:hAnsi="Arial" w:cs="Arial"/>
          <w:b/>
          <w:sz w:val="21"/>
          <w:szCs w:val="21"/>
        </w:rPr>
        <w:t>（四）替代原则</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pPr>
        <w:wordWrap w:val="0"/>
        <w:overflowPunct w:val="0"/>
        <w:spacing w:line="480" w:lineRule="auto"/>
        <w:jc w:val="both"/>
        <w:rPr>
          <w:rFonts w:ascii="Arial" w:hAnsi="Arial" w:cs="Arial"/>
          <w:b/>
          <w:sz w:val="21"/>
          <w:szCs w:val="21"/>
        </w:rPr>
      </w:pPr>
      <w:r>
        <w:rPr>
          <w:rFonts w:ascii="Arial" w:hAnsi="Arial" w:cs="Arial"/>
          <w:b/>
          <w:sz w:val="21"/>
          <w:szCs w:val="21"/>
        </w:rPr>
        <w:t>（五）价值时点原则</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市场平均租金水平，这样可以避免季节性波动带来的时点差异，并在此基础上评估价值时点前一年内的市场平均租金水平，更好地满足估价委托人估价的目的。</w:t>
      </w:r>
    </w:p>
    <w:p>
      <w:pPr>
        <w:wordWrap w:val="0"/>
        <w:overflowPunct w:val="0"/>
        <w:spacing w:line="480" w:lineRule="auto"/>
        <w:ind w:firstLine="422" w:firstLineChars="200"/>
        <w:jc w:val="both"/>
        <w:rPr>
          <w:rFonts w:ascii="Arial" w:hAnsi="Arial" w:cs="Arial"/>
          <w:b/>
          <w:kern w:val="2"/>
          <w:sz w:val="21"/>
          <w:szCs w:val="21"/>
        </w:rPr>
      </w:pPr>
    </w:p>
    <w:p>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5" w:name="_Toc168225820"/>
      <w:bookmarkStart w:id="26" w:name="_Toc525655425"/>
      <w:r>
        <w:rPr>
          <w:rFonts w:eastAsia="宋体"/>
          <w:kern w:val="2"/>
          <w:sz w:val="21"/>
          <w:szCs w:val="21"/>
        </w:rPr>
        <w:t>八、估价</w:t>
      </w:r>
      <w:bookmarkEnd w:id="25"/>
      <w:r>
        <w:rPr>
          <w:rFonts w:eastAsia="宋体"/>
          <w:kern w:val="2"/>
          <w:sz w:val="21"/>
          <w:szCs w:val="21"/>
        </w:rPr>
        <w:t>依据</w:t>
      </w:r>
      <w:bookmarkEnd w:id="26"/>
    </w:p>
    <w:p>
      <w:pPr>
        <w:wordWrap w:val="0"/>
        <w:overflowPunct w:val="0"/>
        <w:spacing w:line="480" w:lineRule="auto"/>
        <w:jc w:val="both"/>
        <w:rPr>
          <w:rFonts w:ascii="Arial" w:hAnsi="Arial" w:cs="Arial"/>
          <w:b/>
          <w:sz w:val="21"/>
          <w:szCs w:val="21"/>
        </w:rPr>
      </w:pPr>
      <w:r>
        <w:rPr>
          <w:rFonts w:ascii="Arial" w:hAnsi="Arial" w:cs="Arial"/>
          <w:b/>
          <w:sz w:val="21"/>
          <w:szCs w:val="21"/>
        </w:rPr>
        <w:t>（一）有关的法律、法规及技术标准文件</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1.</w:t>
      </w:r>
      <w:r>
        <w:rPr>
          <w:rFonts w:ascii="Arial" w:hAnsi="Arial" w:cs="Arial"/>
        </w:rPr>
        <w:t xml:space="preserve"> </w:t>
      </w:r>
      <w:r>
        <w:rPr>
          <w:rFonts w:ascii="Arial" w:hAnsi="Arial" w:cs="Arial"/>
          <w:sz w:val="21"/>
          <w:szCs w:val="21"/>
        </w:rPr>
        <w:t>《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3.《中华人民共和国城镇国有土地使用权出让和转让暂行条例》（一九九０年五月十九日中华人民共和国国务院令第五十五号发布　自发布之日起施行）</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4. 《中华人民共和国民法典》（2020年5月28日第十三届全国人大三次会议表决通过，自2021年1月1日起施行）</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6.住房和城乡建设部等六部委《关于试点城市发展共有产权性质政策性商品住房的指导意见》（建保〔2014〕174号）</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7.《北京市共有产权住房管理暂行办法》（京建法〔2017〕16号）</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8.《北京市共有产权住房规划设计宜居建设导则（试行）》（京建法〔2017〕20号）</w:t>
      </w:r>
    </w:p>
    <w:p>
      <w:pPr>
        <w:numPr>
          <w:ilvl w:val="0"/>
          <w:numId w:val="6"/>
        </w:numPr>
        <w:wordWrap w:val="0"/>
        <w:overflowPunct w:val="0"/>
        <w:spacing w:line="480" w:lineRule="auto"/>
        <w:jc w:val="both"/>
        <w:rPr>
          <w:rFonts w:ascii="Arial" w:hAnsi="Arial" w:cs="Arial"/>
          <w:sz w:val="21"/>
          <w:szCs w:val="21"/>
        </w:rPr>
      </w:pPr>
      <w:r>
        <w:rPr>
          <w:rFonts w:ascii="Arial" w:hAnsi="Arial" w:cs="Arial"/>
          <w:b/>
          <w:sz w:val="21"/>
          <w:szCs w:val="21"/>
        </w:rPr>
        <w:t>技术标准</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1.《房地产估价规范》[</w:t>
      </w:r>
      <w:r>
        <w:rPr>
          <w:rFonts w:ascii="Arial" w:hAnsi="Arial" w:cs="Arial"/>
          <w:bCs/>
          <w:spacing w:val="10"/>
          <w:sz w:val="21"/>
          <w:szCs w:val="21"/>
        </w:rPr>
        <w:t>GB/T 50291-2015</w:t>
      </w:r>
      <w:r>
        <w:rPr>
          <w:rFonts w:ascii="Arial" w:hAnsi="Arial" w:cs="Arial"/>
          <w:sz w:val="21"/>
          <w:szCs w:val="21"/>
        </w:rPr>
        <w:t>]</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2.《房地产估价基本术语标</w:t>
      </w:r>
      <w:r>
        <w:rPr>
          <w:rFonts w:ascii="Arial" w:hAnsi="Arial" w:cs="Arial"/>
          <w:bCs/>
          <w:spacing w:val="10"/>
          <w:sz w:val="21"/>
          <w:szCs w:val="21"/>
        </w:rPr>
        <w:t>准</w:t>
      </w:r>
      <w:r>
        <w:rPr>
          <w:rFonts w:ascii="Arial" w:hAnsi="Arial" w:cs="Arial"/>
          <w:sz w:val="21"/>
          <w:szCs w:val="21"/>
        </w:rPr>
        <w:t>》</w:t>
      </w:r>
      <w:r>
        <w:rPr>
          <w:rFonts w:ascii="Arial" w:hAnsi="Arial" w:cs="Arial"/>
          <w:bCs/>
          <w:spacing w:val="10"/>
          <w:sz w:val="21"/>
          <w:szCs w:val="21"/>
        </w:rPr>
        <w:t>[GB/T 50899-2013]</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3.关于发布《北京市共有产权住房价格评估技术指引(试行)》 [北估秘[2018]012号]</w:t>
      </w:r>
    </w:p>
    <w:p>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4.《关于发布《北京市公共租赁住房项目市场租金评估技术指引》的通知》 [北估秘[2019]020号]</w:t>
      </w:r>
    </w:p>
    <w:p>
      <w:pPr>
        <w:wordWrap w:val="0"/>
        <w:overflowPunct w:val="0"/>
        <w:spacing w:line="480" w:lineRule="auto"/>
        <w:ind w:firstLine="420" w:firstLineChars="200"/>
        <w:jc w:val="both"/>
        <w:rPr>
          <w:rFonts w:ascii="Arial" w:hAnsi="Arial" w:cs="Arial"/>
          <w:sz w:val="21"/>
          <w:szCs w:val="21"/>
        </w:rPr>
      </w:pPr>
    </w:p>
    <w:p>
      <w:pPr>
        <w:wordWrap w:val="0"/>
        <w:overflowPunct w:val="0"/>
        <w:spacing w:line="480" w:lineRule="auto"/>
        <w:jc w:val="both"/>
        <w:rPr>
          <w:rFonts w:ascii="Arial" w:hAnsi="Arial" w:cs="Arial"/>
          <w:b/>
          <w:sz w:val="21"/>
          <w:szCs w:val="21"/>
        </w:rPr>
      </w:pPr>
      <w:r>
        <w:rPr>
          <w:rFonts w:ascii="Arial" w:hAnsi="Arial" w:cs="Arial"/>
          <w:b/>
          <w:sz w:val="21"/>
          <w:szCs w:val="21"/>
        </w:rPr>
        <w:t>（三）估价委托人提供的资料</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1.《估价委托书》</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2.</w:t>
      </w:r>
      <w:r>
        <w:rPr>
          <w:rFonts w:hint="eastAsia" w:ascii="Arial" w:hAnsi="Arial" w:cs="Arial"/>
          <w:sz w:val="21"/>
          <w:szCs w:val="21"/>
        </w:rPr>
        <w:t>《关于</w:t>
      </w:r>
      <w:r>
        <w:rPr>
          <w:rFonts w:hint="eastAsia" w:ascii="Arial" w:hAnsi="Arial" w:cs="Arial"/>
          <w:sz w:val="21"/>
          <w:szCs w:val="21"/>
          <w:lang w:eastAsia="zh-CN"/>
        </w:rPr>
        <w:t>北京市房山区拱辰街道办事处</w:t>
      </w:r>
      <w:r>
        <w:rPr>
          <w:rFonts w:hint="eastAsia" w:ascii="Arial" w:hAnsi="Arial" w:cs="Arial"/>
          <w:sz w:val="21"/>
          <w:szCs w:val="21"/>
          <w:lang w:val="en-US" w:eastAsia="zh-CN"/>
        </w:rPr>
        <w:t>FS00-LX05-0046、0056地块R2二类居住用地项目“多规合一”协同平台综合会商意见的函</w:t>
      </w:r>
      <w:r>
        <w:rPr>
          <w:rFonts w:hint="eastAsia" w:ascii="Arial" w:hAnsi="Arial" w:cs="Arial"/>
          <w:sz w:val="21"/>
          <w:szCs w:val="21"/>
        </w:rPr>
        <w:t>》</w:t>
      </w:r>
      <w:r>
        <w:rPr>
          <w:rFonts w:hint="eastAsia" w:ascii="Arial" w:hAnsi="Arial" w:cs="Arial"/>
          <w:sz w:val="21"/>
          <w:szCs w:val="21"/>
          <w:lang w:val="en-US" w:eastAsia="zh-CN"/>
        </w:rPr>
        <w:t>[京规自（房）综审函[2020]0047号]</w:t>
      </w:r>
      <w:r>
        <w:rPr>
          <w:rFonts w:hint="eastAsia" w:ascii="Arial" w:hAnsi="Arial" w:cs="Arial"/>
          <w:sz w:val="21"/>
          <w:szCs w:val="21"/>
        </w:rPr>
        <w:t>复印件</w:t>
      </w:r>
    </w:p>
    <w:p>
      <w:pPr>
        <w:wordWrap w:val="0"/>
        <w:overflowPunct w:val="0"/>
        <w:spacing w:line="480" w:lineRule="auto"/>
        <w:ind w:firstLine="420" w:firstLineChars="200"/>
        <w:jc w:val="both"/>
        <w:rPr>
          <w:rFonts w:hint="eastAsia" w:ascii="Arial" w:hAnsi="Arial" w:eastAsia="宋体" w:cs="Arial"/>
          <w:sz w:val="21"/>
          <w:szCs w:val="21"/>
          <w:lang w:eastAsia="zh-CN"/>
        </w:rPr>
      </w:pPr>
      <w:r>
        <w:rPr>
          <w:rFonts w:hint="eastAsia" w:ascii="Arial" w:hAnsi="Arial" w:cs="Arial"/>
          <w:sz w:val="21"/>
          <w:szCs w:val="21"/>
        </w:rPr>
        <w:t>3.</w:t>
      </w:r>
      <w:r>
        <w:rPr>
          <w:rFonts w:hint="eastAsia" w:ascii="Arial" w:hAnsi="Arial" w:cs="Arial"/>
          <w:sz w:val="21"/>
          <w:szCs w:val="21"/>
          <w:lang w:eastAsia="zh-CN"/>
        </w:rPr>
        <w:t>《国有建设用地使用权出让合同》[电子监管号：1101002020B00714]及其补充协议复印件</w:t>
      </w:r>
    </w:p>
    <w:p>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《建设工程规划许可证》[2</w:t>
      </w:r>
      <w:r>
        <w:rPr>
          <w:rFonts w:hint="eastAsia" w:ascii="Arial" w:hAnsi="Arial" w:cs="Arial"/>
          <w:sz w:val="21"/>
          <w:szCs w:val="21"/>
          <w:lang w:val="en-US" w:eastAsia="zh-CN"/>
        </w:rPr>
        <w:t>020</w:t>
      </w:r>
      <w:r>
        <w:rPr>
          <w:rFonts w:ascii="Arial" w:hAnsi="Arial" w:cs="Arial"/>
          <w:sz w:val="21"/>
          <w:szCs w:val="21"/>
        </w:rPr>
        <w:t>规自（</w:t>
      </w:r>
      <w:r>
        <w:rPr>
          <w:rFonts w:hint="eastAsia" w:ascii="Arial" w:hAnsi="Arial" w:cs="Arial"/>
          <w:sz w:val="21"/>
          <w:szCs w:val="21"/>
          <w:lang w:eastAsia="zh-CN"/>
        </w:rPr>
        <w:t>房</w:t>
      </w:r>
      <w:r>
        <w:rPr>
          <w:rFonts w:ascii="Arial" w:hAnsi="Arial" w:cs="Arial"/>
          <w:sz w:val="21"/>
          <w:szCs w:val="21"/>
        </w:rPr>
        <w:t>）建字</w:t>
      </w:r>
      <w:r>
        <w:rPr>
          <w:rFonts w:hint="eastAsia" w:ascii="Arial" w:hAnsi="Arial" w:cs="Arial"/>
          <w:sz w:val="21"/>
          <w:szCs w:val="21"/>
          <w:lang w:val="en-US" w:eastAsia="zh-CN"/>
        </w:rPr>
        <w:t>0052</w:t>
      </w:r>
      <w:r>
        <w:rPr>
          <w:rFonts w:ascii="Arial" w:hAnsi="Arial" w:cs="Arial"/>
          <w:sz w:val="21"/>
          <w:szCs w:val="21"/>
        </w:rPr>
        <w:t>号]及附件复印件</w:t>
      </w:r>
    </w:p>
    <w:p>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5.</w:t>
      </w:r>
      <w:r>
        <w:rPr>
          <w:rFonts w:ascii="Arial" w:hAnsi="Arial" w:cs="Arial"/>
          <w:sz w:val="21"/>
          <w:szCs w:val="21"/>
        </w:rPr>
        <w:t>《建筑工程施工许可证》[编号：</w:t>
      </w:r>
      <w:r>
        <w:rPr>
          <w:rFonts w:hint="eastAsia" w:ascii="Arial" w:hAnsi="Arial" w:cs="Arial"/>
          <w:sz w:val="21"/>
          <w:szCs w:val="21"/>
          <w:lang w:val="en-US" w:eastAsia="zh-CN"/>
        </w:rPr>
        <w:t>[</w:t>
      </w:r>
      <w:r>
        <w:rPr>
          <w:rFonts w:ascii="Arial" w:hAnsi="Arial" w:cs="Arial"/>
          <w:sz w:val="21"/>
          <w:szCs w:val="21"/>
        </w:rPr>
        <w:t>20</w:t>
      </w:r>
      <w:r>
        <w:rPr>
          <w:rFonts w:hint="eastAsia" w:ascii="Arial" w:hAnsi="Arial" w:cs="Arial"/>
          <w:sz w:val="21"/>
          <w:szCs w:val="21"/>
          <w:lang w:val="en-US" w:eastAsia="zh-CN"/>
        </w:rPr>
        <w:t>20]</w:t>
      </w:r>
      <w:r>
        <w:rPr>
          <w:rFonts w:ascii="Arial" w:hAnsi="Arial" w:cs="Arial"/>
          <w:sz w:val="21"/>
          <w:szCs w:val="21"/>
        </w:rPr>
        <w:t>施</w:t>
      </w:r>
      <w:r>
        <w:rPr>
          <w:rFonts w:hint="eastAsia" w:ascii="Arial" w:hAnsi="Arial" w:cs="Arial"/>
          <w:sz w:val="21"/>
          <w:szCs w:val="21"/>
          <w:lang w:val="en-US" w:eastAsia="zh-CN"/>
        </w:rPr>
        <w:t>[房]</w:t>
      </w:r>
      <w:r>
        <w:rPr>
          <w:rFonts w:ascii="Arial" w:hAnsi="Arial" w:cs="Arial"/>
          <w:sz w:val="21"/>
          <w:szCs w:val="21"/>
        </w:rPr>
        <w:t>建字</w:t>
      </w:r>
      <w:r>
        <w:rPr>
          <w:rFonts w:hint="eastAsia" w:ascii="Arial" w:hAnsi="Arial" w:cs="Arial"/>
          <w:sz w:val="21"/>
          <w:szCs w:val="21"/>
          <w:lang w:val="en-US" w:eastAsia="zh-CN"/>
        </w:rPr>
        <w:t>0063</w:t>
      </w:r>
      <w:r>
        <w:rPr>
          <w:rFonts w:ascii="Arial" w:hAnsi="Arial" w:cs="Arial"/>
          <w:sz w:val="21"/>
          <w:szCs w:val="21"/>
        </w:rPr>
        <w:t>号]及附件复印件</w:t>
      </w:r>
    </w:p>
    <w:p>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6.</w:t>
      </w:r>
      <w:r>
        <w:rPr>
          <w:rFonts w:ascii="Arial" w:hAnsi="Arial" w:cs="Arial"/>
          <w:sz w:val="21"/>
          <w:szCs w:val="21"/>
        </w:rPr>
        <w:t>《工程竣工验收备案表》[备案编号：</w:t>
      </w:r>
      <w:r>
        <w:rPr>
          <w:rFonts w:hint="eastAsia" w:ascii="Arial" w:hAnsi="Arial" w:cs="Arial"/>
          <w:sz w:val="21"/>
          <w:szCs w:val="21"/>
          <w:lang w:val="en-US" w:eastAsia="zh-CN"/>
        </w:rPr>
        <w:t>0547房竣2022（建）0041号</w:t>
      </w:r>
      <w:r>
        <w:rPr>
          <w:rFonts w:ascii="Arial" w:hAnsi="Arial" w:cs="Arial"/>
          <w:sz w:val="21"/>
          <w:szCs w:val="21"/>
        </w:rPr>
        <w:t>]复印件</w:t>
      </w:r>
    </w:p>
    <w:p>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7.《不动产权证书》[京（2022）房不动产权第0022348号]等9本复印件</w:t>
      </w:r>
    </w:p>
    <w:p>
      <w:pPr>
        <w:wordWrap w:val="0"/>
        <w:overflowPunct w:val="0"/>
        <w:spacing w:line="480" w:lineRule="auto"/>
        <w:ind w:firstLine="420" w:firstLineChars="200"/>
        <w:jc w:val="both"/>
        <w:rPr>
          <w:rFonts w:hint="default" w:ascii="Arial" w:hAnsi="Arial" w:eastAsia="宋体" w:cs="Arial"/>
          <w:sz w:val="21"/>
          <w:szCs w:val="21"/>
          <w:lang w:val="en-US" w:eastAsia="zh-CN"/>
        </w:rPr>
      </w:pPr>
      <w:r>
        <w:rPr>
          <w:rFonts w:hint="eastAsia" w:ascii="Arial" w:hAnsi="Arial" w:cs="Arial"/>
          <w:sz w:val="21"/>
          <w:szCs w:val="21"/>
          <w:lang w:val="en-US" w:eastAsia="zh-CN"/>
        </w:rPr>
        <w:t>8.</w:t>
      </w:r>
      <w:r>
        <w:rPr>
          <w:rFonts w:ascii="Arial" w:hAnsi="Arial" w:cs="Arial"/>
          <w:sz w:val="21"/>
          <w:szCs w:val="21"/>
        </w:rPr>
        <w:t>估价委托方《营业执照（副本）》复印件</w:t>
      </w:r>
    </w:p>
    <w:p>
      <w:pPr>
        <w:wordWrap w:val="0"/>
        <w:overflowPunct w:val="0"/>
        <w:spacing w:line="480" w:lineRule="auto"/>
        <w:jc w:val="both"/>
        <w:rPr>
          <w:rFonts w:ascii="Arial" w:hAnsi="Arial" w:cs="Arial"/>
          <w:b/>
          <w:sz w:val="21"/>
          <w:szCs w:val="21"/>
        </w:rPr>
      </w:pPr>
      <w:r>
        <w:rPr>
          <w:rFonts w:ascii="Arial" w:hAnsi="Arial" w:cs="Arial"/>
          <w:b/>
          <w:sz w:val="21"/>
          <w:szCs w:val="21"/>
        </w:rPr>
        <w:t>（四）评估专业人员实地查勘的有关资料</w:t>
      </w:r>
    </w:p>
    <w:p>
      <w:pPr>
        <w:wordWrap w:val="0"/>
        <w:overflowPunct w:val="0"/>
        <w:spacing w:line="480" w:lineRule="auto"/>
        <w:jc w:val="both"/>
        <w:rPr>
          <w:rFonts w:ascii="Arial" w:hAnsi="Arial" w:cs="Arial"/>
          <w:b/>
          <w:sz w:val="21"/>
          <w:szCs w:val="21"/>
        </w:rPr>
      </w:pPr>
      <w:r>
        <w:rPr>
          <w:rFonts w:ascii="Arial" w:hAnsi="Arial" w:cs="Arial"/>
          <w:b/>
          <w:sz w:val="21"/>
          <w:szCs w:val="21"/>
        </w:rPr>
        <w:t>（五）房地产估价机构资质证书</w:t>
      </w:r>
    </w:p>
    <w:p>
      <w:pPr>
        <w:wordWrap w:val="0"/>
        <w:overflowPunct w:val="0"/>
        <w:spacing w:line="480" w:lineRule="auto"/>
        <w:ind w:firstLine="420" w:firstLineChars="200"/>
        <w:jc w:val="both"/>
        <w:rPr>
          <w:rFonts w:ascii="Arial" w:hAnsi="Arial" w:cs="Arial"/>
          <w:sz w:val="21"/>
          <w:szCs w:val="21"/>
        </w:rPr>
      </w:pPr>
      <w:bookmarkStart w:id="27" w:name="_Toc168225821"/>
    </w:p>
    <w:p>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8" w:name="_Toc525655426"/>
      <w:r>
        <w:rPr>
          <w:rFonts w:eastAsia="宋体"/>
          <w:kern w:val="2"/>
          <w:sz w:val="21"/>
          <w:szCs w:val="21"/>
        </w:rPr>
        <w:t>九、估价方法</w:t>
      </w:r>
      <w:bookmarkEnd w:id="27"/>
      <w:bookmarkEnd w:id="28"/>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由于本次评估是为估价委托人确定共有产权住房项目市场租金提供价格参考依据，因此我们在认真分析研究估价对象的相关资料，并通过对邻近地区同类物业调查的基础上，根据《房地产估价规范》（GB/T 50291-2015）</w:t>
      </w:r>
      <w:r>
        <w:rPr>
          <w:rFonts w:hint="eastAsia" w:ascii="Arial" w:hAnsi="Arial" w:cs="Arial"/>
          <w:sz w:val="21"/>
          <w:szCs w:val="21"/>
        </w:rPr>
        <w:t>、《关于发布《北京市公共租赁住房项目市场租金评估技术指引》的通知》 [北估秘[2019]020号]</w:t>
      </w:r>
      <w:r>
        <w:rPr>
          <w:rFonts w:ascii="Arial" w:hAnsi="Arial" w:cs="Arial"/>
          <w:sz w:val="21"/>
          <w:szCs w:val="21"/>
        </w:rPr>
        <w:t>的估价程序，选用比较法为主方法进行估价，进而确定估价对象市场平均租金价格水平。</w:t>
      </w:r>
    </w:p>
    <w:p>
      <w:pPr>
        <w:pStyle w:val="40"/>
        <w:wordWrap w:val="0"/>
        <w:overflowPunct w:val="0"/>
        <w:autoSpaceDE w:val="0"/>
        <w:autoSpaceDN w:val="0"/>
        <w:spacing w:line="480" w:lineRule="auto"/>
        <w:ind w:right="140"/>
        <w:jc w:val="both"/>
        <w:textAlignment w:val="auto"/>
        <w:rPr>
          <w:rFonts w:ascii="Arial" w:hAnsi="Arial" w:cs="Arial"/>
          <w:b/>
          <w:sz w:val="21"/>
          <w:szCs w:val="21"/>
        </w:rPr>
      </w:pPr>
      <w:r>
        <w:rPr>
          <w:rFonts w:ascii="Arial" w:hAnsi="Arial" w:cs="Arial"/>
          <w:b/>
          <w:sz w:val="21"/>
          <w:szCs w:val="21"/>
        </w:rPr>
        <w:t xml:space="preserve">（一）估价思路 </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hAnsi="宋体" w:cs="宋体"/>
          <w:sz w:val="21"/>
          <w:szCs w:val="21"/>
        </w:rPr>
        <w:t>①</w:t>
      </w:r>
      <w:r>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hAnsi="宋体" w:cs="宋体"/>
          <w:sz w:val="21"/>
          <w:szCs w:val="21"/>
        </w:rPr>
        <w:t>②</w:t>
      </w:r>
      <w:r>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pPr>
        <w:pStyle w:val="40"/>
        <w:wordWrap w:val="0"/>
        <w:overflowPunct w:val="0"/>
        <w:autoSpaceDE w:val="0"/>
        <w:autoSpaceDN w:val="0"/>
        <w:spacing w:line="480" w:lineRule="auto"/>
        <w:ind w:right="140"/>
        <w:jc w:val="both"/>
        <w:textAlignment w:val="auto"/>
        <w:rPr>
          <w:rFonts w:ascii="Arial" w:hAnsi="Arial" w:cs="Arial"/>
          <w:b/>
          <w:sz w:val="21"/>
          <w:szCs w:val="21"/>
        </w:rPr>
      </w:pPr>
      <w:r>
        <w:rPr>
          <w:rFonts w:ascii="Arial" w:hAnsi="Arial" w:cs="Arial"/>
          <w:b/>
          <w:sz w:val="21"/>
          <w:szCs w:val="21"/>
        </w:rPr>
        <w:t xml:space="preserve">（二）估价方法 </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租金水平时，根据替代原则，将估价对象与在较近时期内已发生交易的类似房地产租赁实例进行对照比较，并依据后者已知的价格，参照该房地产的交易情况、期日、区域及实物状况的差别，修正得出估价对象房地产租金水平的方法。本次估价采用比较法思路评估租金价格水平。</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1.采用比较法的理由：</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 xml:space="preserve">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 </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2.不采用成本法、假设开发法、收益法的理由：</w:t>
      </w:r>
    </w:p>
    <w:p>
      <w:pPr>
        <w:pStyle w:val="4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hAnsi="宋体" w:cs="宋体"/>
          <w:sz w:val="21"/>
          <w:szCs w:val="21"/>
        </w:rPr>
        <w:t>①</w:t>
      </w:r>
      <w:r>
        <w:rPr>
          <w:rFonts w:ascii="Arial" w:hAnsi="Arial" w:cs="Arial"/>
          <w:sz w:val="21"/>
          <w:szCs w:val="21"/>
        </w:rPr>
        <w:t>成本法和假设开发法可评估房地产市场价值，但不适于租赁价格的评估。</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hAnsi="宋体" w:cs="宋体"/>
          <w:sz w:val="21"/>
          <w:szCs w:val="21"/>
        </w:rPr>
        <w:t>②</w:t>
      </w:r>
      <w:r>
        <w:rPr>
          <w:rFonts w:ascii="Arial" w:hAnsi="Arial" w:cs="Arial"/>
          <w:sz w:val="21"/>
          <w:szCs w:val="21"/>
        </w:rPr>
        <w:t xml:space="preserve">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 采用房屋交易价格测算出的房屋租金不能反映正常的市场租金水平，故未采用收益法。 </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p>
    <w:p>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9" w:name="_Toc525655427"/>
      <w:bookmarkStart w:id="30" w:name="_Toc168225822"/>
      <w:r>
        <w:rPr>
          <w:rFonts w:eastAsia="宋体"/>
          <w:kern w:val="2"/>
          <w:sz w:val="21"/>
          <w:szCs w:val="21"/>
        </w:rPr>
        <w:t>十、估价结果</w:t>
      </w:r>
      <w:bookmarkEnd w:id="29"/>
      <w:bookmarkEnd w:id="30"/>
    </w:p>
    <w:p>
      <w:pPr>
        <w:overflowPunct w:val="0"/>
        <w:spacing w:line="480" w:lineRule="auto"/>
        <w:ind w:firstLine="420" w:firstLineChars="200"/>
        <w:jc w:val="both"/>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月2</w:t>
      </w:r>
      <w:r>
        <w:rPr>
          <w:rFonts w:hint="eastAsia" w:ascii="Arial" w:hAnsi="Arial" w:cs="Arial"/>
          <w:sz w:val="21"/>
          <w:szCs w:val="21"/>
          <w:lang w:val="en-US" w:eastAsia="zh-CN"/>
        </w:rPr>
        <w:t>7</w:t>
      </w:r>
      <w:r>
        <w:rPr>
          <w:rFonts w:ascii="Arial" w:hAnsi="Arial" w:cs="Arial"/>
          <w:sz w:val="21"/>
          <w:szCs w:val="21"/>
        </w:rPr>
        <w:t xml:space="preserve">日前12个月的平均市场租金水平为： </w:t>
      </w:r>
    </w:p>
    <w:p>
      <w:pPr>
        <w:overflowPunct w:val="0"/>
        <w:spacing w:line="480" w:lineRule="auto"/>
        <w:ind w:firstLine="422" w:firstLineChars="200"/>
        <w:rPr>
          <w:rFonts w:ascii="Arial" w:hAnsi="Arial" w:cs="Arial"/>
          <w:b/>
          <w:bCs/>
          <w:sz w:val="21"/>
          <w:szCs w:val="21"/>
        </w:rPr>
      </w:pPr>
      <w:r>
        <w:rPr>
          <w:rFonts w:ascii="Arial" w:hAnsi="Arial" w:cs="Arial"/>
          <w:b/>
          <w:bCs/>
          <w:sz w:val="21"/>
          <w:szCs w:val="21"/>
        </w:rPr>
        <w:t>租金单价：</w:t>
      </w:r>
      <w:r>
        <w:rPr>
          <w:rFonts w:hint="eastAsia" w:ascii="Arial" w:hAnsi="Arial" w:cs="Arial"/>
          <w:b/>
          <w:bCs/>
          <w:sz w:val="21"/>
          <w:szCs w:val="21"/>
          <w:lang w:val="en-US" w:eastAsia="zh-CN"/>
        </w:rPr>
        <w:t>43.8</w:t>
      </w:r>
      <w:r>
        <w:rPr>
          <w:rFonts w:ascii="Arial" w:hAnsi="Arial" w:cs="Arial"/>
          <w:b/>
          <w:bCs/>
          <w:sz w:val="21"/>
          <w:szCs w:val="21"/>
        </w:rPr>
        <w:t>元/平方米·月（货币种类：人民币）</w:t>
      </w:r>
    </w:p>
    <w:p>
      <w:pPr>
        <w:overflowPunct w:val="0"/>
        <w:spacing w:line="480" w:lineRule="auto"/>
        <w:ind w:firstLine="360" w:firstLineChars="200"/>
        <w:jc w:val="both"/>
        <w:rPr>
          <w:rFonts w:ascii="Arial" w:hAnsi="Arial" w:cs="Arial"/>
          <w:sz w:val="18"/>
          <w:szCs w:val="18"/>
        </w:rPr>
      </w:pPr>
      <w:r>
        <w:rPr>
          <w:rFonts w:ascii="Arial" w:hAnsi="Arial" w:cs="Arial"/>
          <w:sz w:val="18"/>
          <w:szCs w:val="18"/>
        </w:rPr>
        <w:t>注：1、评估的详细结果、过程及有关说明，见附后的《估价结果报告》及《估价技术报告》。</w:t>
      </w:r>
    </w:p>
    <w:p>
      <w:pPr>
        <w:overflowPunct w:val="0"/>
        <w:spacing w:line="480" w:lineRule="auto"/>
        <w:ind w:firstLine="360" w:firstLineChars="200"/>
        <w:jc w:val="both"/>
        <w:rPr>
          <w:rFonts w:ascii="Arial" w:hAnsi="Arial" w:cs="Arial"/>
          <w:sz w:val="18"/>
          <w:szCs w:val="18"/>
        </w:rPr>
      </w:pPr>
      <w:r>
        <w:rPr>
          <w:rFonts w:ascii="Arial" w:hAnsi="Arial" w:cs="Arial"/>
          <w:sz w:val="18"/>
          <w:szCs w:val="18"/>
        </w:rPr>
        <w:t xml:space="preserve">    2、估价结果为项目同地段、同类型普通住宅前12个月的市场平均月租金价格。</w:t>
      </w:r>
    </w:p>
    <w:p>
      <w:pPr>
        <w:overflowPunct w:val="0"/>
        <w:spacing w:line="480" w:lineRule="auto"/>
        <w:ind w:left="707" w:leftChars="150" w:hanging="347" w:hangingChars="193"/>
        <w:jc w:val="both"/>
        <w:rPr>
          <w:rFonts w:ascii="Arial" w:hAnsi="Arial" w:cs="Arial"/>
          <w:sz w:val="18"/>
          <w:szCs w:val="18"/>
        </w:rPr>
      </w:pPr>
      <w:r>
        <w:rPr>
          <w:rFonts w:ascii="Arial" w:hAnsi="Arial" w:cs="Arial"/>
          <w:sz w:val="18"/>
          <w:szCs w:val="18"/>
        </w:rPr>
        <w:t xml:space="preserve">    3、估价结果包括地租、房屋折旧、设备折旧、维修费、保险费、物业费、管理费、利息、利润等；不含供暖费、水电费、天然气费、通信费、有线电视费、上网宽带费和家具、家电租赁费及租赁税费等。</w:t>
      </w:r>
    </w:p>
    <w:p>
      <w:pPr>
        <w:overflowPunct w:val="0"/>
        <w:spacing w:line="480" w:lineRule="auto"/>
        <w:ind w:left="707" w:leftChars="150" w:hanging="347" w:hangingChars="193"/>
        <w:jc w:val="both"/>
        <w:rPr>
          <w:rFonts w:ascii="Arial" w:hAnsi="Arial" w:cs="Arial"/>
          <w:sz w:val="18"/>
          <w:szCs w:val="18"/>
        </w:rPr>
      </w:pPr>
    </w:p>
    <w:p>
      <w:pPr>
        <w:pStyle w:val="3"/>
        <w:numPr>
          <w:ilvl w:val="0"/>
          <w:numId w:val="0"/>
        </w:numPr>
        <w:overflowPunct w:val="0"/>
        <w:spacing w:line="480" w:lineRule="auto"/>
        <w:jc w:val="both"/>
        <w:textAlignment w:val="auto"/>
        <w:rPr>
          <w:rFonts w:eastAsia="宋体"/>
          <w:kern w:val="2"/>
          <w:sz w:val="21"/>
          <w:szCs w:val="21"/>
        </w:rPr>
      </w:pPr>
      <w:bookmarkStart w:id="31" w:name="_Toc168225824"/>
      <w:bookmarkStart w:id="32" w:name="_Toc525655428"/>
      <w:r>
        <w:rPr>
          <w:rFonts w:eastAsia="宋体"/>
          <w:kern w:val="2"/>
          <w:sz w:val="21"/>
          <w:szCs w:val="21"/>
        </w:rPr>
        <w:t>十</w:t>
      </w:r>
      <w:bookmarkEnd w:id="31"/>
      <w:r>
        <w:rPr>
          <w:rFonts w:eastAsia="宋体"/>
          <w:kern w:val="2"/>
          <w:sz w:val="21"/>
          <w:szCs w:val="21"/>
        </w:rPr>
        <w:t>一、参与本次估价工作的评估专业人员</w:t>
      </w:r>
      <w:bookmarkEnd w:id="32"/>
    </w:p>
    <w:tbl>
      <w:tblPr>
        <w:tblStyle w:val="32"/>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7"/>
        <w:gridCol w:w="2197"/>
        <w:gridCol w:w="2774"/>
        <w:gridCol w:w="2582"/>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atLeast"/>
          <w:jc w:val="center"/>
        </w:trPr>
        <w:tc>
          <w:tcPr>
            <w:tcW w:w="9299" w:type="dxa"/>
            <w:gridSpan w:val="4"/>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b/>
                <w:sz w:val="21"/>
                <w:szCs w:val="21"/>
              </w:rPr>
            </w:pPr>
            <w:r>
              <w:rPr>
                <w:rFonts w:ascii="Arial" w:hAnsi="Arial" w:cs="Arial"/>
                <w:b/>
                <w:kern w:val="2"/>
                <w:sz w:val="21"/>
                <w:szCs w:val="21"/>
              </w:rPr>
              <w:t>注册房地产估价师</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姓  名</w:t>
            </w:r>
          </w:p>
        </w:tc>
        <w:tc>
          <w:tcPr>
            <w:tcW w:w="2197"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注册号</w:t>
            </w:r>
          </w:p>
        </w:tc>
        <w:tc>
          <w:tcPr>
            <w:tcW w:w="2774"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签名</w:t>
            </w:r>
          </w:p>
        </w:tc>
        <w:tc>
          <w:tcPr>
            <w:tcW w:w="2582"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签名日期</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陈  颖</w:t>
            </w:r>
          </w:p>
        </w:tc>
        <w:tc>
          <w:tcPr>
            <w:tcW w:w="2197"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1120060040</w:t>
            </w:r>
          </w:p>
        </w:tc>
        <w:tc>
          <w:tcPr>
            <w:tcW w:w="2774"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p>
        </w:tc>
        <w:tc>
          <w:tcPr>
            <w:tcW w:w="2582" w:type="dxa"/>
            <w:tcBorders>
              <w:top w:val="single" w:color="404040" w:sz="2" w:space="0"/>
              <w:left w:val="single" w:color="404040" w:sz="2" w:space="0"/>
              <w:bottom w:val="single" w:color="404040" w:sz="2" w:space="0"/>
              <w:right w:val="single" w:color="404040" w:sz="2" w:space="0"/>
            </w:tcBorders>
            <w:vAlign w:val="center"/>
          </w:tcPr>
          <w:p>
            <w:pPr>
              <w:tabs>
                <w:tab w:val="left" w:pos="5160"/>
              </w:tabs>
              <w:wordWrap w:val="0"/>
              <w:overflowPunct w:val="0"/>
              <w:ind w:firstLine="420" w:firstLineChars="200"/>
              <w:jc w:val="right"/>
              <w:rPr>
                <w:rFonts w:ascii="Arial" w:hAnsi="Arial" w:cs="Arial"/>
                <w:sz w:val="21"/>
                <w:szCs w:val="21"/>
              </w:rPr>
            </w:pPr>
            <w:r>
              <w:rPr>
                <w:rFonts w:ascii="Arial" w:hAnsi="Arial" w:cs="Arial"/>
                <w:sz w:val="21"/>
                <w:szCs w:val="21"/>
              </w:rPr>
              <w:t>年    月    日</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叶  凌</w:t>
            </w:r>
          </w:p>
        </w:tc>
        <w:tc>
          <w:tcPr>
            <w:tcW w:w="2197"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eastAsia="方正黑体简体" w:cs="Arial"/>
                <w:sz w:val="21"/>
                <w:szCs w:val="21"/>
              </w:rPr>
              <w:t>1119970111</w:t>
            </w:r>
          </w:p>
        </w:tc>
        <w:tc>
          <w:tcPr>
            <w:tcW w:w="2774"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p>
        </w:tc>
        <w:tc>
          <w:tcPr>
            <w:tcW w:w="2582" w:type="dxa"/>
            <w:tcBorders>
              <w:top w:val="single" w:color="404040" w:sz="2" w:space="0"/>
              <w:left w:val="single" w:color="404040" w:sz="2" w:space="0"/>
              <w:bottom w:val="single" w:color="404040" w:sz="2" w:space="0"/>
              <w:right w:val="single" w:color="404040" w:sz="2" w:space="0"/>
            </w:tcBorders>
            <w:vAlign w:val="center"/>
          </w:tcPr>
          <w:p>
            <w:pPr>
              <w:tabs>
                <w:tab w:val="left" w:pos="5160"/>
              </w:tabs>
              <w:wordWrap w:val="0"/>
              <w:overflowPunct w:val="0"/>
              <w:ind w:firstLine="420" w:firstLineChars="200"/>
              <w:jc w:val="right"/>
              <w:rPr>
                <w:rFonts w:ascii="Arial" w:hAnsi="Arial" w:cs="Arial"/>
                <w:sz w:val="21"/>
                <w:szCs w:val="21"/>
              </w:rPr>
            </w:pPr>
            <w:r>
              <w:rPr>
                <w:rFonts w:ascii="Arial" w:hAnsi="Arial" w:cs="Arial"/>
                <w:sz w:val="21"/>
                <w:szCs w:val="21"/>
              </w:rPr>
              <w:t>年    月    日</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atLeast"/>
          <w:jc w:val="center"/>
        </w:trPr>
        <w:tc>
          <w:tcPr>
            <w:tcW w:w="9299" w:type="dxa"/>
            <w:gridSpan w:val="4"/>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b/>
                <w:kern w:val="2"/>
                <w:sz w:val="21"/>
                <w:szCs w:val="21"/>
              </w:rPr>
            </w:pPr>
            <w:r>
              <w:rPr>
                <w:rFonts w:ascii="Arial" w:hAnsi="Arial" w:cs="Arial"/>
                <w:b/>
                <w:kern w:val="2"/>
                <w:sz w:val="21"/>
                <w:szCs w:val="21"/>
              </w:rPr>
              <w:t xml:space="preserve">其他评估专业人员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姓  名</w:t>
            </w:r>
          </w:p>
        </w:tc>
        <w:tc>
          <w:tcPr>
            <w:tcW w:w="2197"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kern w:val="2"/>
                <w:sz w:val="21"/>
                <w:szCs w:val="21"/>
              </w:rPr>
              <w:t>相关资格或职称</w:t>
            </w:r>
          </w:p>
        </w:tc>
        <w:tc>
          <w:tcPr>
            <w:tcW w:w="2774"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签名</w:t>
            </w:r>
          </w:p>
        </w:tc>
        <w:tc>
          <w:tcPr>
            <w:tcW w:w="2582"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签名日期</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hint="eastAsia" w:ascii="Arial" w:hAnsi="Arial" w:eastAsia="宋体" w:cs="Arial"/>
                <w:sz w:val="21"/>
                <w:szCs w:val="21"/>
                <w:lang w:eastAsia="zh-CN"/>
              </w:rPr>
            </w:pPr>
            <w:r>
              <w:rPr>
                <w:rFonts w:hint="eastAsia" w:ascii="Arial" w:hAnsi="Arial" w:cs="Arial"/>
                <w:sz w:val="21"/>
                <w:szCs w:val="21"/>
                <w:lang w:eastAsia="zh-CN"/>
              </w:rPr>
              <w:t>李诗霖</w:t>
            </w:r>
          </w:p>
        </w:tc>
        <w:tc>
          <w:tcPr>
            <w:tcW w:w="2197"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r>
              <w:rPr>
                <w:rFonts w:ascii="Arial" w:hAnsi="Arial" w:cs="Arial"/>
                <w:sz w:val="21"/>
                <w:szCs w:val="21"/>
              </w:rPr>
              <w:t>——</w:t>
            </w:r>
          </w:p>
        </w:tc>
        <w:tc>
          <w:tcPr>
            <w:tcW w:w="2774" w:type="dxa"/>
            <w:tcBorders>
              <w:top w:val="single" w:color="404040" w:sz="2" w:space="0"/>
              <w:left w:val="single" w:color="404040" w:sz="2" w:space="0"/>
              <w:bottom w:val="single" w:color="404040" w:sz="2" w:space="0"/>
              <w:right w:val="single" w:color="404040" w:sz="2" w:space="0"/>
            </w:tcBorders>
            <w:vAlign w:val="center"/>
          </w:tcPr>
          <w:p>
            <w:pPr>
              <w:tabs>
                <w:tab w:val="left" w:pos="5160"/>
              </w:tabs>
              <w:overflowPunct w:val="0"/>
              <w:rPr>
                <w:rFonts w:ascii="Arial" w:hAnsi="Arial" w:cs="Arial"/>
                <w:sz w:val="21"/>
                <w:szCs w:val="21"/>
              </w:rPr>
            </w:pPr>
          </w:p>
        </w:tc>
        <w:tc>
          <w:tcPr>
            <w:tcW w:w="2582" w:type="dxa"/>
            <w:tcBorders>
              <w:top w:val="single" w:color="404040" w:sz="2" w:space="0"/>
              <w:left w:val="single" w:color="404040" w:sz="2" w:space="0"/>
              <w:bottom w:val="single" w:color="404040" w:sz="2" w:space="0"/>
              <w:right w:val="single" w:color="404040" w:sz="2" w:space="0"/>
            </w:tcBorders>
            <w:vAlign w:val="center"/>
          </w:tcPr>
          <w:p>
            <w:pPr>
              <w:tabs>
                <w:tab w:val="left" w:pos="5160"/>
              </w:tabs>
              <w:wordWrap w:val="0"/>
              <w:overflowPunct w:val="0"/>
              <w:ind w:firstLine="420" w:firstLineChars="200"/>
              <w:jc w:val="right"/>
              <w:rPr>
                <w:rFonts w:ascii="Arial" w:hAnsi="Arial" w:cs="Arial"/>
                <w:sz w:val="21"/>
                <w:szCs w:val="21"/>
              </w:rPr>
            </w:pPr>
            <w:r>
              <w:rPr>
                <w:rFonts w:ascii="Arial" w:hAnsi="Arial" w:cs="Arial"/>
                <w:sz w:val="21"/>
                <w:szCs w:val="21"/>
              </w:rPr>
              <w:t xml:space="preserve">  年    月    日</w:t>
            </w:r>
          </w:p>
        </w:tc>
      </w:tr>
    </w:tbl>
    <w:p>
      <w:pPr>
        <w:overflowPunct w:val="0"/>
        <w:spacing w:line="480" w:lineRule="auto"/>
        <w:jc w:val="both"/>
        <w:rPr>
          <w:rFonts w:ascii="Arial" w:hAnsi="Arial" w:cs="Arial"/>
          <w:kern w:val="2"/>
          <w:sz w:val="21"/>
          <w:szCs w:val="21"/>
        </w:rPr>
      </w:pPr>
    </w:p>
    <w:p>
      <w:pPr>
        <w:pStyle w:val="3"/>
        <w:numPr>
          <w:ilvl w:val="0"/>
          <w:numId w:val="0"/>
        </w:numPr>
        <w:overflowPunct w:val="0"/>
        <w:spacing w:line="480" w:lineRule="auto"/>
        <w:jc w:val="both"/>
        <w:textAlignment w:val="auto"/>
        <w:rPr>
          <w:rFonts w:eastAsia="宋体"/>
          <w:kern w:val="2"/>
          <w:sz w:val="21"/>
          <w:szCs w:val="21"/>
        </w:rPr>
      </w:pPr>
      <w:bookmarkStart w:id="33" w:name="_Toc525655429"/>
      <w:r>
        <w:rPr>
          <w:rFonts w:eastAsia="宋体"/>
          <w:kern w:val="2"/>
          <w:sz w:val="21"/>
          <w:szCs w:val="21"/>
        </w:rPr>
        <w:t>十二、实地查勘期</w:t>
      </w:r>
      <w:bookmarkEnd w:id="33"/>
    </w:p>
    <w:p>
      <w:pPr>
        <w:overflowPunct w:val="0"/>
        <w:spacing w:line="480" w:lineRule="auto"/>
        <w:ind w:firstLine="420" w:firstLineChars="200"/>
        <w:jc w:val="both"/>
        <w:rPr>
          <w:rFonts w:ascii="Arial" w:hAnsi="Arial" w:cs="Arial"/>
          <w:sz w:val="21"/>
          <w:szCs w:val="21"/>
        </w:rPr>
      </w:pPr>
      <w:r>
        <w:rPr>
          <w:rFonts w:ascii="Arial" w:hAnsi="Arial" w:cs="Arial"/>
          <w:kern w:val="2"/>
          <w:sz w:val="21"/>
          <w:szCs w:val="21"/>
        </w:rPr>
        <w:t>202</w:t>
      </w:r>
      <w:r>
        <w:rPr>
          <w:rFonts w:hint="eastAsia" w:ascii="Arial" w:hAnsi="Arial" w:cs="Arial"/>
          <w:kern w:val="2"/>
          <w:sz w:val="21"/>
          <w:szCs w:val="21"/>
          <w:lang w:val="en-US" w:eastAsia="zh-CN"/>
        </w:rPr>
        <w:t>3</w:t>
      </w:r>
      <w:r>
        <w:rPr>
          <w:rFonts w:ascii="Arial" w:hAnsi="Arial" w:cs="Arial"/>
          <w:kern w:val="2"/>
          <w:sz w:val="21"/>
          <w:szCs w:val="21"/>
        </w:rPr>
        <w:t>年</w:t>
      </w:r>
      <w:r>
        <w:rPr>
          <w:rFonts w:hint="eastAsia" w:ascii="Arial" w:hAnsi="Arial" w:cs="Arial"/>
          <w:kern w:val="2"/>
          <w:sz w:val="21"/>
          <w:szCs w:val="21"/>
          <w:lang w:val="en-US" w:eastAsia="zh-CN"/>
        </w:rPr>
        <w:t>4</w:t>
      </w:r>
      <w:r>
        <w:rPr>
          <w:rFonts w:ascii="Arial" w:hAnsi="Arial" w:cs="Arial"/>
          <w:kern w:val="2"/>
          <w:sz w:val="21"/>
          <w:szCs w:val="21"/>
        </w:rPr>
        <w:t>月</w:t>
      </w:r>
      <w:r>
        <w:rPr>
          <w:rFonts w:hint="eastAsia" w:ascii="Arial" w:hAnsi="Arial" w:cs="Arial"/>
          <w:kern w:val="2"/>
          <w:sz w:val="21"/>
          <w:szCs w:val="21"/>
        </w:rPr>
        <w:t>2</w:t>
      </w:r>
      <w:r>
        <w:rPr>
          <w:rFonts w:hint="eastAsia" w:ascii="Arial" w:hAnsi="Arial" w:cs="Arial"/>
          <w:kern w:val="2"/>
          <w:sz w:val="21"/>
          <w:szCs w:val="21"/>
          <w:lang w:val="en-US" w:eastAsia="zh-CN"/>
        </w:rPr>
        <w:t>7</w:t>
      </w:r>
      <w:r>
        <w:rPr>
          <w:rFonts w:ascii="Arial" w:hAnsi="Arial" w:cs="Arial"/>
          <w:kern w:val="2"/>
          <w:sz w:val="21"/>
          <w:szCs w:val="21"/>
        </w:rPr>
        <w:t>日</w:t>
      </w:r>
    </w:p>
    <w:p>
      <w:pPr>
        <w:overflowPunct w:val="0"/>
        <w:spacing w:line="480" w:lineRule="auto"/>
        <w:jc w:val="both"/>
        <w:rPr>
          <w:rFonts w:ascii="Arial" w:hAnsi="Arial" w:cs="Arial"/>
          <w:kern w:val="2"/>
          <w:sz w:val="21"/>
          <w:szCs w:val="21"/>
        </w:rPr>
      </w:pPr>
    </w:p>
    <w:p>
      <w:pPr>
        <w:pStyle w:val="3"/>
        <w:numPr>
          <w:ilvl w:val="0"/>
          <w:numId w:val="0"/>
        </w:numPr>
        <w:overflowPunct w:val="0"/>
        <w:spacing w:line="480" w:lineRule="auto"/>
        <w:jc w:val="both"/>
        <w:textAlignment w:val="auto"/>
        <w:rPr>
          <w:rFonts w:eastAsia="宋体"/>
          <w:kern w:val="2"/>
          <w:sz w:val="21"/>
          <w:szCs w:val="21"/>
        </w:rPr>
      </w:pPr>
      <w:bookmarkStart w:id="34" w:name="_Toc525655430"/>
      <w:bookmarkStart w:id="35" w:name="_Toc168225825"/>
      <w:r>
        <w:rPr>
          <w:rFonts w:eastAsia="宋体"/>
          <w:kern w:val="2"/>
          <w:sz w:val="21"/>
          <w:szCs w:val="21"/>
        </w:rPr>
        <w:t>十三、估价作业期</w:t>
      </w:r>
      <w:bookmarkEnd w:id="34"/>
      <w:bookmarkEnd w:id="35"/>
      <w:r>
        <w:rPr>
          <w:rFonts w:eastAsia="宋体"/>
          <w:kern w:val="2"/>
          <w:sz w:val="21"/>
          <w:szCs w:val="21"/>
        </w:rPr>
        <w:t xml:space="preserve">  </w:t>
      </w:r>
    </w:p>
    <w:p>
      <w:pPr>
        <w:overflowPunct w:val="0"/>
        <w:spacing w:line="480" w:lineRule="auto"/>
        <w:ind w:firstLine="420" w:firstLineChars="200"/>
        <w:jc w:val="both"/>
        <w:rPr>
          <w:rFonts w:ascii="Arial" w:hAnsi="Arial" w:cs="Arial"/>
          <w:sz w:val="21"/>
          <w:szCs w:val="21"/>
        </w:rPr>
      </w:pPr>
      <w:r>
        <w:rPr>
          <w:rFonts w:ascii="Arial" w:hAnsi="Arial" w:cs="Arial"/>
          <w:kern w:val="2"/>
          <w:sz w:val="21"/>
          <w:szCs w:val="21"/>
        </w:rPr>
        <w:t>202</w:t>
      </w:r>
      <w:r>
        <w:rPr>
          <w:rFonts w:hint="eastAsia" w:ascii="Arial" w:hAnsi="Arial" w:cs="Arial"/>
          <w:kern w:val="2"/>
          <w:sz w:val="21"/>
          <w:szCs w:val="21"/>
          <w:lang w:val="en-US" w:eastAsia="zh-CN"/>
        </w:rPr>
        <w:t>3</w:t>
      </w:r>
      <w:r>
        <w:rPr>
          <w:rFonts w:ascii="Arial" w:hAnsi="Arial" w:cs="Arial"/>
          <w:kern w:val="2"/>
          <w:sz w:val="21"/>
          <w:szCs w:val="21"/>
        </w:rPr>
        <w:t>年</w:t>
      </w:r>
      <w:r>
        <w:rPr>
          <w:rFonts w:hint="eastAsia" w:ascii="Arial" w:hAnsi="Arial" w:cs="Arial"/>
          <w:kern w:val="2"/>
          <w:sz w:val="21"/>
          <w:szCs w:val="21"/>
          <w:lang w:val="en-US" w:eastAsia="zh-CN"/>
        </w:rPr>
        <w:t>4</w:t>
      </w:r>
      <w:r>
        <w:rPr>
          <w:rFonts w:ascii="Arial" w:hAnsi="Arial" w:cs="Arial"/>
          <w:kern w:val="2"/>
          <w:sz w:val="21"/>
          <w:szCs w:val="21"/>
        </w:rPr>
        <w:t>月</w:t>
      </w:r>
      <w:r>
        <w:rPr>
          <w:rFonts w:hint="eastAsia" w:ascii="Arial" w:hAnsi="Arial" w:cs="Arial"/>
          <w:kern w:val="2"/>
          <w:sz w:val="21"/>
          <w:szCs w:val="21"/>
        </w:rPr>
        <w:t>2</w:t>
      </w:r>
      <w:r>
        <w:rPr>
          <w:rFonts w:hint="eastAsia" w:ascii="Arial" w:hAnsi="Arial" w:cs="Arial"/>
          <w:kern w:val="2"/>
          <w:sz w:val="21"/>
          <w:szCs w:val="21"/>
          <w:lang w:val="en-US" w:eastAsia="zh-CN"/>
        </w:rPr>
        <w:t>7</w:t>
      </w:r>
      <w:r>
        <w:rPr>
          <w:rFonts w:ascii="Arial" w:hAnsi="Arial" w:cs="Arial"/>
          <w:kern w:val="2"/>
          <w:sz w:val="21"/>
          <w:szCs w:val="21"/>
        </w:rPr>
        <w:t>日</w:t>
      </w:r>
      <w:r>
        <w:rPr>
          <w:rFonts w:ascii="Arial" w:hAnsi="Arial" w:cs="Arial"/>
          <w:sz w:val="21"/>
          <w:szCs w:val="21"/>
        </w:rPr>
        <w:t>至</w:t>
      </w:r>
      <w:r>
        <w:rPr>
          <w:rFonts w:ascii="Arial" w:hAnsi="Arial" w:cs="Arial"/>
          <w:kern w:val="2"/>
          <w:sz w:val="21"/>
          <w:szCs w:val="21"/>
        </w:rPr>
        <w:t>202</w:t>
      </w:r>
      <w:r>
        <w:rPr>
          <w:rFonts w:hint="eastAsia" w:ascii="Arial" w:hAnsi="Arial" w:cs="Arial"/>
          <w:kern w:val="2"/>
          <w:sz w:val="21"/>
          <w:szCs w:val="21"/>
          <w:lang w:val="en-US" w:eastAsia="zh-CN"/>
        </w:rPr>
        <w:t>3</w:t>
      </w:r>
      <w:r>
        <w:rPr>
          <w:rFonts w:ascii="Arial" w:hAnsi="Arial" w:cs="Arial"/>
          <w:kern w:val="2"/>
          <w:sz w:val="21"/>
          <w:szCs w:val="21"/>
        </w:rPr>
        <w:t>年</w:t>
      </w:r>
      <w:r>
        <w:rPr>
          <w:rFonts w:hint="eastAsia" w:ascii="Arial" w:hAnsi="Arial" w:cs="Arial"/>
          <w:kern w:val="2"/>
          <w:sz w:val="21"/>
          <w:szCs w:val="21"/>
          <w:lang w:val="en-US" w:eastAsia="zh-CN"/>
        </w:rPr>
        <w:t>5</w:t>
      </w:r>
      <w:r>
        <w:rPr>
          <w:rFonts w:ascii="Arial" w:hAnsi="Arial" w:cs="Arial"/>
          <w:kern w:val="2"/>
          <w:sz w:val="21"/>
          <w:szCs w:val="21"/>
        </w:rPr>
        <w:t>月</w:t>
      </w:r>
      <w:r>
        <w:rPr>
          <w:rFonts w:hint="eastAsia" w:ascii="Arial" w:hAnsi="Arial" w:cs="Arial"/>
          <w:kern w:val="2"/>
          <w:sz w:val="21"/>
          <w:szCs w:val="21"/>
          <w:lang w:val="en-US" w:eastAsia="zh-CN"/>
        </w:rPr>
        <w:t>12</w:t>
      </w:r>
      <w:r>
        <w:rPr>
          <w:rFonts w:ascii="Arial" w:hAnsi="Arial" w:cs="Arial"/>
          <w:kern w:val="2"/>
          <w:sz w:val="21"/>
          <w:szCs w:val="21"/>
        </w:rPr>
        <w:t>日</w:t>
      </w:r>
    </w:p>
    <w:p>
      <w:pPr>
        <w:overflowPunct w:val="0"/>
        <w:spacing w:line="480" w:lineRule="auto"/>
        <w:jc w:val="both"/>
        <w:outlineLvl w:val="0"/>
        <w:rPr>
          <w:rFonts w:ascii="Arial" w:hAnsi="Arial" w:cs="Arial"/>
          <w:b/>
          <w:kern w:val="2"/>
          <w:sz w:val="21"/>
          <w:szCs w:val="21"/>
        </w:rPr>
        <w:sectPr>
          <w:headerReference r:id="rId13" w:type="default"/>
          <w:footerReference r:id="rId14" w:type="default"/>
          <w:footerReference r:id="rId15" w:type="even"/>
          <w:pgSz w:w="11907" w:h="16840"/>
          <w:pgMar w:top="1843" w:right="1134" w:bottom="1134" w:left="1134" w:header="1134" w:footer="907" w:gutter="340"/>
          <w:cols w:space="720" w:num="1"/>
          <w:docGrid w:linePitch="326" w:charSpace="0"/>
        </w:sectPr>
      </w:pPr>
    </w:p>
    <w:p>
      <w:pPr>
        <w:pStyle w:val="2"/>
        <w:spacing w:line="480" w:lineRule="auto"/>
        <w:jc w:val="center"/>
        <w:rPr>
          <w:rFonts w:eastAsia="方正黑体简体"/>
          <w:b w:val="0"/>
          <w:kern w:val="2"/>
          <w:sz w:val="32"/>
          <w:szCs w:val="32"/>
        </w:rPr>
      </w:pPr>
      <w:bookmarkStart w:id="36" w:name="_Toc525655431"/>
      <w:r>
        <w:rPr>
          <w:rFonts w:eastAsia="方正黑体简体"/>
          <w:b w:val="0"/>
          <w:kern w:val="2"/>
          <w:sz w:val="32"/>
          <w:szCs w:val="32"/>
        </w:rPr>
        <w:t>估价技术报告</w:t>
      </w:r>
      <w:bookmarkEnd w:id="36"/>
    </w:p>
    <w:p>
      <w:pPr>
        <w:pStyle w:val="3"/>
        <w:numPr>
          <w:ilvl w:val="0"/>
          <w:numId w:val="0"/>
        </w:numPr>
        <w:spacing w:line="480" w:lineRule="auto"/>
        <w:ind w:left="358" w:hanging="358" w:hangingChars="170"/>
        <w:jc w:val="both"/>
        <w:rPr>
          <w:rFonts w:eastAsia="宋体"/>
          <w:kern w:val="2"/>
          <w:sz w:val="21"/>
          <w:szCs w:val="21"/>
        </w:rPr>
      </w:pPr>
      <w:bookmarkStart w:id="37" w:name="_Toc525655432"/>
      <w:r>
        <w:rPr>
          <w:rFonts w:eastAsia="宋体"/>
          <w:kern w:val="2"/>
          <w:sz w:val="21"/>
          <w:szCs w:val="21"/>
        </w:rPr>
        <w:t>一、估价对象描述与分析</w:t>
      </w:r>
      <w:bookmarkEnd w:id="37"/>
    </w:p>
    <w:p>
      <w:pPr>
        <w:pStyle w:val="3"/>
        <w:numPr>
          <w:ilvl w:val="0"/>
          <w:numId w:val="0"/>
        </w:numPr>
        <w:spacing w:line="480" w:lineRule="auto"/>
        <w:ind w:left="360" w:hanging="361" w:hangingChars="171"/>
        <w:jc w:val="both"/>
        <w:rPr>
          <w:rFonts w:eastAsia="宋体"/>
          <w:kern w:val="2"/>
          <w:sz w:val="21"/>
          <w:szCs w:val="21"/>
        </w:rPr>
      </w:pPr>
      <w:bookmarkStart w:id="38" w:name="_Toc525655433"/>
      <w:r>
        <w:rPr>
          <w:rFonts w:eastAsia="宋体"/>
          <w:kern w:val="2"/>
          <w:sz w:val="21"/>
          <w:szCs w:val="21"/>
        </w:rPr>
        <w:t>（一）区位状况分析</w:t>
      </w:r>
      <w:bookmarkEnd w:id="38"/>
    </w:p>
    <w:p>
      <w:pPr>
        <w:spacing w:line="480" w:lineRule="auto"/>
        <w:ind w:firstLine="420" w:firstLineChars="200"/>
        <w:jc w:val="both"/>
        <w:rPr>
          <w:rFonts w:ascii="Arial" w:hAnsi="Arial" w:cs="Arial"/>
          <w:sz w:val="21"/>
          <w:szCs w:val="21"/>
        </w:rPr>
      </w:pPr>
      <w:r>
        <w:rPr>
          <w:rFonts w:ascii="Arial" w:hAnsi="Arial" w:cs="Arial"/>
          <w:sz w:val="21"/>
          <w:szCs w:val="21"/>
        </w:rPr>
        <w:t>1.位置状况</w:t>
      </w:r>
    </w:p>
    <w:p>
      <w:pPr>
        <w:spacing w:line="480" w:lineRule="auto"/>
        <w:ind w:firstLine="420" w:firstLineChars="200"/>
        <w:jc w:val="both"/>
        <w:rPr>
          <w:rFonts w:ascii="Arial" w:hAnsi="Arial" w:cs="Arial"/>
          <w:sz w:val="21"/>
          <w:szCs w:val="21"/>
        </w:rPr>
      </w:pPr>
      <w:r>
        <w:rPr>
          <w:rFonts w:ascii="Arial" w:hAnsi="Arial" w:cs="Arial"/>
          <w:sz w:val="21"/>
          <w:szCs w:val="21"/>
        </w:rPr>
        <w:t>估价对象位于</w:t>
      </w:r>
      <w:r>
        <w:rPr>
          <w:rFonts w:hint="eastAsia" w:ascii="Arial" w:hAnsi="Arial" w:cs="Arial"/>
          <w:kern w:val="2"/>
          <w:sz w:val="21"/>
          <w:szCs w:val="21"/>
          <w:lang w:eastAsia="zh-CN"/>
        </w:rPr>
        <w:t>北京市房山区西雅路17号院</w:t>
      </w:r>
      <w:r>
        <w:rPr>
          <w:rFonts w:ascii="Arial" w:hAnsi="Arial" w:cs="Arial"/>
          <w:sz w:val="21"/>
          <w:szCs w:val="21"/>
        </w:rPr>
        <w:t>，估价对象所属项目</w:t>
      </w:r>
      <w:r>
        <w:rPr>
          <w:rFonts w:hint="eastAsia" w:ascii="Arial" w:hAnsi="Arial" w:cs="Arial"/>
          <w:sz w:val="21"/>
          <w:szCs w:val="21"/>
          <w:lang w:eastAsia="zh-CN"/>
        </w:rPr>
        <w:t>南侧</w:t>
      </w:r>
      <w:r>
        <w:rPr>
          <w:rFonts w:hint="eastAsia" w:ascii="Arial" w:hAnsi="Arial" w:cs="Arial"/>
          <w:kern w:val="2"/>
          <w:sz w:val="21"/>
          <w:szCs w:val="21"/>
        </w:rPr>
        <w:t>中建京西印玥</w:t>
      </w:r>
      <w:r>
        <w:rPr>
          <w:rFonts w:hint="eastAsia" w:ascii="Arial" w:hAnsi="Arial" w:cs="Arial"/>
          <w:kern w:val="2"/>
          <w:sz w:val="21"/>
          <w:szCs w:val="21"/>
          <w:lang w:eastAsia="zh-CN"/>
        </w:rPr>
        <w:t>商品房项目</w:t>
      </w:r>
      <w:r>
        <w:rPr>
          <w:rFonts w:ascii="Arial" w:hAnsi="Arial" w:cs="Arial"/>
          <w:sz w:val="21"/>
          <w:szCs w:val="21"/>
        </w:rPr>
        <w:t>，</w:t>
      </w:r>
      <w:r>
        <w:rPr>
          <w:rFonts w:hint="eastAsia" w:ascii="Arial" w:hAnsi="Arial" w:cs="Arial"/>
          <w:sz w:val="21"/>
          <w:szCs w:val="21"/>
        </w:rPr>
        <w:t>东侧距离</w:t>
      </w:r>
      <w:r>
        <w:rPr>
          <w:rFonts w:hint="eastAsia" w:ascii="Arial" w:hAnsi="Arial" w:cs="Arial"/>
          <w:sz w:val="21"/>
          <w:szCs w:val="21"/>
          <w:lang w:eastAsia="zh-CN"/>
        </w:rPr>
        <w:t>城市次干道—阳光北大街</w:t>
      </w:r>
      <w:r>
        <w:rPr>
          <w:rFonts w:hint="eastAsia" w:ascii="Arial" w:hAnsi="Arial" w:cs="Arial"/>
          <w:sz w:val="21"/>
          <w:szCs w:val="21"/>
        </w:rPr>
        <w:t>约</w:t>
      </w:r>
      <w:r>
        <w:rPr>
          <w:rFonts w:hint="eastAsia" w:ascii="Arial" w:hAnsi="Arial" w:cs="Arial"/>
          <w:sz w:val="21"/>
          <w:szCs w:val="21"/>
          <w:lang w:val="en-US" w:eastAsia="zh-CN"/>
        </w:rPr>
        <w:t>200米</w:t>
      </w:r>
      <w:r>
        <w:rPr>
          <w:rFonts w:hint="eastAsia" w:ascii="Arial" w:hAnsi="Arial" w:cs="Arial"/>
          <w:sz w:val="21"/>
          <w:szCs w:val="21"/>
        </w:rPr>
        <w:t>，</w:t>
      </w:r>
      <w:r>
        <w:rPr>
          <w:rFonts w:hint="eastAsia" w:ascii="Arial" w:hAnsi="Arial" w:cs="Arial"/>
          <w:sz w:val="21"/>
          <w:szCs w:val="21"/>
          <w:lang w:eastAsia="zh-CN"/>
        </w:rPr>
        <w:t>西侧距城市主干道—昊天大街直线距离约</w:t>
      </w:r>
      <w:r>
        <w:rPr>
          <w:rFonts w:hint="eastAsia" w:ascii="Arial" w:hAnsi="Arial" w:cs="Arial"/>
          <w:sz w:val="21"/>
          <w:szCs w:val="21"/>
          <w:lang w:val="en-US" w:eastAsia="zh-CN"/>
        </w:rPr>
        <w:t>1公里，</w:t>
      </w:r>
      <w:r>
        <w:rPr>
          <w:rFonts w:ascii="Arial" w:hAnsi="Arial" w:cs="Arial"/>
          <w:sz w:val="21"/>
          <w:szCs w:val="21"/>
        </w:rPr>
        <w:t>土地级别属于北京市基准地价居住类七级VII-</w:t>
      </w:r>
      <w:r>
        <w:rPr>
          <w:rFonts w:hint="eastAsia" w:ascii="Arial" w:hAnsi="Arial" w:cs="Arial"/>
          <w:sz w:val="21"/>
          <w:szCs w:val="21"/>
          <w:lang w:eastAsia="zh-CN"/>
        </w:rPr>
        <w:t>房</w:t>
      </w:r>
      <w:r>
        <w:rPr>
          <w:rFonts w:ascii="Arial" w:hAnsi="Arial" w:cs="Arial"/>
          <w:sz w:val="21"/>
          <w:szCs w:val="21"/>
        </w:rPr>
        <w:t>1区片，地理位置状况较好。</w:t>
      </w:r>
    </w:p>
    <w:p>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pPr>
        <w:spacing w:line="480" w:lineRule="auto"/>
        <w:ind w:firstLine="420" w:firstLineChars="200"/>
        <w:jc w:val="both"/>
        <w:rPr>
          <w:rFonts w:ascii="Arial" w:hAnsi="Arial" w:cs="Arial"/>
          <w:sz w:val="21"/>
          <w:szCs w:val="21"/>
        </w:rPr>
      </w:pPr>
      <w:r>
        <w:rPr>
          <w:rFonts w:ascii="Arial" w:hAnsi="Arial" w:cs="Arial"/>
          <w:sz w:val="21"/>
          <w:szCs w:val="21"/>
        </w:rPr>
        <w:t>周边</w:t>
      </w:r>
      <w:r>
        <w:rPr>
          <w:rFonts w:ascii="Arial" w:hAnsi="Arial" w:cs="Arial"/>
          <w:sz w:val="21"/>
          <w:szCs w:val="21"/>
          <w:highlight w:val="none"/>
        </w:rPr>
        <w:t>有</w:t>
      </w:r>
      <w:r>
        <w:rPr>
          <w:rFonts w:hint="eastAsia" w:ascii="Arial" w:hAnsi="Arial" w:cs="Arial"/>
          <w:sz w:val="21"/>
          <w:szCs w:val="21"/>
          <w:highlight w:val="none"/>
          <w:lang w:eastAsia="zh-CN"/>
        </w:rPr>
        <w:t>春和印象</w:t>
      </w:r>
      <w:r>
        <w:rPr>
          <w:rFonts w:hint="eastAsia" w:ascii="Arial" w:hAnsi="Arial" w:cs="Arial"/>
          <w:sz w:val="21"/>
          <w:szCs w:val="21"/>
          <w:highlight w:val="none"/>
        </w:rPr>
        <w:t>、</w:t>
      </w:r>
      <w:r>
        <w:rPr>
          <w:rFonts w:hint="eastAsia" w:ascii="Arial" w:hAnsi="Arial" w:cs="Arial"/>
          <w:sz w:val="21"/>
          <w:szCs w:val="21"/>
          <w:highlight w:val="none"/>
          <w:lang w:eastAsia="zh-CN"/>
        </w:rPr>
        <w:t>绿地花都苑</w:t>
      </w:r>
      <w:r>
        <w:rPr>
          <w:rFonts w:hint="eastAsia" w:ascii="Arial" w:hAnsi="Arial" w:cs="Arial"/>
          <w:sz w:val="21"/>
          <w:szCs w:val="21"/>
          <w:highlight w:val="none"/>
        </w:rPr>
        <w:t>、</w:t>
      </w:r>
      <w:r>
        <w:rPr>
          <w:rFonts w:hint="eastAsia" w:ascii="Arial" w:hAnsi="Arial" w:cs="Arial"/>
          <w:sz w:val="21"/>
          <w:szCs w:val="21"/>
          <w:highlight w:val="none"/>
          <w:lang w:eastAsia="zh-CN"/>
        </w:rPr>
        <w:t>原香小镇</w:t>
      </w:r>
      <w:r>
        <w:rPr>
          <w:rFonts w:hint="eastAsia" w:ascii="Arial" w:hAnsi="Arial" w:cs="Arial"/>
          <w:sz w:val="21"/>
          <w:szCs w:val="21"/>
          <w:highlight w:val="none"/>
        </w:rPr>
        <w:t>、</w:t>
      </w:r>
      <w:r>
        <w:rPr>
          <w:rFonts w:hint="eastAsia" w:ascii="Arial" w:hAnsi="Arial" w:cs="Arial"/>
          <w:sz w:val="21"/>
          <w:szCs w:val="21"/>
          <w:highlight w:val="none"/>
          <w:lang w:eastAsia="zh-CN"/>
        </w:rPr>
        <w:t>安盛家园</w:t>
      </w:r>
      <w:r>
        <w:rPr>
          <w:rFonts w:hint="eastAsia" w:ascii="Arial" w:hAnsi="Arial" w:cs="Arial"/>
          <w:sz w:val="21"/>
          <w:szCs w:val="21"/>
          <w:highlight w:val="none"/>
        </w:rPr>
        <w:t>、</w:t>
      </w:r>
      <w:r>
        <w:rPr>
          <w:rFonts w:hint="eastAsia" w:ascii="Arial" w:hAnsi="Arial" w:cs="Arial"/>
          <w:sz w:val="21"/>
          <w:szCs w:val="21"/>
          <w:highlight w:val="none"/>
          <w:lang w:eastAsia="zh-CN"/>
        </w:rPr>
        <w:t>世茂维拉</w:t>
      </w:r>
      <w:r>
        <w:rPr>
          <w:rFonts w:hint="eastAsia" w:ascii="Arial" w:hAnsi="Arial" w:cs="Arial"/>
          <w:sz w:val="21"/>
          <w:szCs w:val="21"/>
          <w:highlight w:val="none"/>
        </w:rPr>
        <w:t>、</w:t>
      </w:r>
      <w:r>
        <w:rPr>
          <w:rFonts w:hint="eastAsia" w:ascii="Arial" w:hAnsi="Arial" w:cs="Arial"/>
          <w:sz w:val="21"/>
          <w:szCs w:val="21"/>
          <w:highlight w:val="none"/>
          <w:lang w:eastAsia="zh-CN"/>
        </w:rPr>
        <w:t>碧桂园小区</w:t>
      </w:r>
      <w:r>
        <w:rPr>
          <w:rFonts w:ascii="Arial" w:hAnsi="Arial" w:cs="Arial"/>
          <w:sz w:val="21"/>
          <w:szCs w:val="21"/>
          <w:highlight w:val="none"/>
        </w:rPr>
        <w:t>等居住</w:t>
      </w:r>
      <w:r>
        <w:rPr>
          <w:rFonts w:hint="eastAsia" w:ascii="Arial" w:hAnsi="Arial" w:cs="Arial"/>
          <w:sz w:val="21"/>
          <w:szCs w:val="21"/>
          <w:highlight w:val="none"/>
          <w:lang w:eastAsia="zh-CN"/>
        </w:rPr>
        <w:t>社区</w:t>
      </w:r>
      <w:r>
        <w:rPr>
          <w:rFonts w:ascii="Arial" w:hAnsi="Arial" w:cs="Arial"/>
          <w:sz w:val="21"/>
          <w:szCs w:val="21"/>
          <w:highlight w:val="none"/>
        </w:rPr>
        <w:t>，居住小区规模较大，入住率较高，综合评价居住区成熟度</w:t>
      </w:r>
      <w:r>
        <w:rPr>
          <w:rFonts w:ascii="Arial" w:hAnsi="Arial" w:cs="Arial"/>
          <w:sz w:val="21"/>
          <w:szCs w:val="21"/>
        </w:rPr>
        <w:t>较好。</w:t>
      </w:r>
    </w:p>
    <w:p>
      <w:pPr>
        <w:spacing w:line="480" w:lineRule="auto"/>
        <w:ind w:firstLine="420" w:firstLineChars="200"/>
        <w:jc w:val="both"/>
        <w:rPr>
          <w:rFonts w:ascii="Arial" w:hAnsi="Arial" w:cs="Arial"/>
          <w:sz w:val="21"/>
          <w:szCs w:val="21"/>
        </w:rPr>
      </w:pPr>
      <w:r>
        <w:rPr>
          <w:rFonts w:ascii="Arial" w:hAnsi="Arial" w:cs="Arial"/>
          <w:sz w:val="21"/>
          <w:szCs w:val="21"/>
        </w:rPr>
        <w:t>3.交通状况</w:t>
      </w:r>
    </w:p>
    <w:p>
      <w:pPr>
        <w:spacing w:line="480" w:lineRule="auto"/>
        <w:ind w:firstLine="420" w:firstLineChars="200"/>
        <w:jc w:val="both"/>
        <w:rPr>
          <w:rFonts w:ascii="Arial" w:hAnsi="Arial" w:cs="Arial"/>
          <w:sz w:val="21"/>
          <w:szCs w:val="21"/>
          <w:highlight w:val="none"/>
        </w:rPr>
      </w:pPr>
      <w:r>
        <w:rPr>
          <w:rFonts w:hint="eastAsia" w:ascii="Arial" w:hAnsi="Arial" w:cs="Arial"/>
          <w:sz w:val="21"/>
          <w:szCs w:val="21"/>
        </w:rPr>
        <w:t>估价对象所属项目东侧距离</w:t>
      </w:r>
      <w:r>
        <w:rPr>
          <w:rFonts w:hint="eastAsia" w:ascii="Arial" w:hAnsi="Arial" w:cs="Arial"/>
          <w:sz w:val="21"/>
          <w:szCs w:val="21"/>
          <w:lang w:eastAsia="zh-CN"/>
        </w:rPr>
        <w:t>城市次干道—阳光北大街</w:t>
      </w:r>
      <w:r>
        <w:rPr>
          <w:rFonts w:hint="eastAsia" w:ascii="Arial" w:hAnsi="Arial" w:cs="Arial"/>
          <w:sz w:val="21"/>
          <w:szCs w:val="21"/>
        </w:rPr>
        <w:t>约</w:t>
      </w:r>
      <w:r>
        <w:rPr>
          <w:rFonts w:hint="eastAsia" w:ascii="Arial" w:hAnsi="Arial" w:cs="Arial"/>
          <w:sz w:val="21"/>
          <w:szCs w:val="21"/>
          <w:lang w:val="en-US" w:eastAsia="zh-CN"/>
        </w:rPr>
        <w:t>200米</w:t>
      </w:r>
      <w:r>
        <w:rPr>
          <w:rFonts w:hint="eastAsia" w:ascii="Arial" w:hAnsi="Arial" w:cs="Arial"/>
          <w:sz w:val="21"/>
          <w:szCs w:val="21"/>
        </w:rPr>
        <w:t>，周边有956路</w:t>
      </w:r>
      <w:r>
        <w:rPr>
          <w:rFonts w:hint="eastAsia" w:ascii="Arial" w:hAnsi="Arial" w:cs="Arial"/>
          <w:sz w:val="21"/>
          <w:szCs w:val="21"/>
          <w:lang w:eastAsia="zh-CN"/>
        </w:rPr>
        <w:t>、</w:t>
      </w:r>
      <w:r>
        <w:rPr>
          <w:rFonts w:hint="eastAsia" w:ascii="Arial" w:hAnsi="Arial" w:cs="Arial"/>
          <w:sz w:val="21"/>
          <w:szCs w:val="21"/>
        </w:rPr>
        <w:t>F28路</w:t>
      </w:r>
      <w:r>
        <w:rPr>
          <w:rFonts w:hint="eastAsia" w:ascii="Arial" w:hAnsi="Arial" w:cs="Arial"/>
          <w:sz w:val="21"/>
          <w:szCs w:val="21"/>
          <w:lang w:eastAsia="zh-CN"/>
        </w:rPr>
        <w:t>、</w:t>
      </w:r>
      <w:r>
        <w:rPr>
          <w:rFonts w:hint="eastAsia" w:ascii="Arial" w:hAnsi="Arial" w:cs="Arial"/>
          <w:sz w:val="21"/>
          <w:szCs w:val="21"/>
        </w:rPr>
        <w:t>F2路外环</w:t>
      </w:r>
      <w:r>
        <w:rPr>
          <w:rFonts w:hint="eastAsia" w:ascii="Arial" w:hAnsi="Arial" w:cs="Arial"/>
          <w:sz w:val="21"/>
          <w:szCs w:val="21"/>
          <w:lang w:eastAsia="zh-CN"/>
        </w:rPr>
        <w:t>、</w:t>
      </w:r>
      <w:r>
        <w:rPr>
          <w:rFonts w:hint="eastAsia" w:ascii="Arial" w:hAnsi="Arial" w:cs="Arial"/>
          <w:sz w:val="21"/>
          <w:szCs w:val="21"/>
        </w:rPr>
        <w:t>F34路</w:t>
      </w:r>
      <w:r>
        <w:rPr>
          <w:rFonts w:hint="eastAsia" w:ascii="Arial" w:hAnsi="Arial" w:cs="Arial"/>
          <w:sz w:val="21"/>
          <w:szCs w:val="21"/>
          <w:lang w:eastAsia="zh-CN"/>
        </w:rPr>
        <w:t>、</w:t>
      </w:r>
      <w:r>
        <w:rPr>
          <w:rFonts w:hint="eastAsia" w:ascii="Arial" w:hAnsi="Arial" w:cs="Arial"/>
          <w:sz w:val="21"/>
          <w:szCs w:val="21"/>
        </w:rPr>
        <w:t>F35路</w:t>
      </w:r>
      <w:r>
        <w:rPr>
          <w:rFonts w:hint="eastAsia" w:ascii="Arial" w:hAnsi="Arial" w:cs="Arial"/>
          <w:sz w:val="21"/>
          <w:szCs w:val="21"/>
          <w:lang w:eastAsia="zh-CN"/>
        </w:rPr>
        <w:t>、</w:t>
      </w:r>
      <w:r>
        <w:rPr>
          <w:rFonts w:hint="eastAsia" w:ascii="Arial" w:hAnsi="Arial" w:cs="Arial"/>
          <w:sz w:val="21"/>
          <w:szCs w:val="21"/>
        </w:rPr>
        <w:t>F51路</w:t>
      </w:r>
      <w:r>
        <w:rPr>
          <w:rFonts w:hint="eastAsia" w:ascii="Arial" w:hAnsi="Arial" w:cs="Arial"/>
          <w:sz w:val="21"/>
          <w:szCs w:val="21"/>
          <w:lang w:eastAsia="zh-CN"/>
        </w:rPr>
        <w:t>、</w:t>
      </w:r>
      <w:r>
        <w:rPr>
          <w:rFonts w:hint="eastAsia" w:ascii="Arial" w:hAnsi="Arial" w:cs="Arial"/>
          <w:sz w:val="21"/>
          <w:szCs w:val="21"/>
        </w:rPr>
        <w:t>F85路</w:t>
      </w:r>
      <w:r>
        <w:rPr>
          <w:rFonts w:hint="eastAsia" w:ascii="Arial" w:hAnsi="Arial" w:cs="Arial"/>
          <w:sz w:val="21"/>
          <w:szCs w:val="21"/>
          <w:lang w:eastAsia="zh-CN"/>
        </w:rPr>
        <w:t>、</w:t>
      </w:r>
      <w:r>
        <w:rPr>
          <w:rFonts w:hint="eastAsia" w:ascii="Arial" w:hAnsi="Arial" w:cs="Arial"/>
          <w:sz w:val="21"/>
          <w:szCs w:val="21"/>
        </w:rPr>
        <w:t>快速直达专线187路等</w:t>
      </w:r>
      <w:r>
        <w:rPr>
          <w:rFonts w:hint="eastAsia" w:ascii="Arial" w:hAnsi="Arial" w:cs="Arial"/>
          <w:sz w:val="21"/>
          <w:szCs w:val="21"/>
          <w:lang w:eastAsia="zh-CN"/>
        </w:rPr>
        <w:t>多条</w:t>
      </w:r>
      <w:r>
        <w:rPr>
          <w:rFonts w:hint="eastAsia" w:ascii="Arial" w:hAnsi="Arial" w:cs="Arial"/>
          <w:sz w:val="21"/>
          <w:szCs w:val="21"/>
        </w:rPr>
        <w:t>公交线路</w:t>
      </w:r>
      <w:r>
        <w:rPr>
          <w:rFonts w:hint="eastAsia" w:ascii="Arial" w:hAnsi="Arial" w:cs="Arial"/>
          <w:sz w:val="21"/>
          <w:szCs w:val="21"/>
          <w:lang w:eastAsia="zh-CN"/>
        </w:rPr>
        <w:t>途径并设有站点</w:t>
      </w:r>
      <w:r>
        <w:rPr>
          <w:rFonts w:hint="eastAsia" w:ascii="Arial" w:hAnsi="Arial" w:cs="Arial"/>
          <w:sz w:val="21"/>
          <w:szCs w:val="21"/>
        </w:rPr>
        <w:t>，距地铁</w:t>
      </w:r>
      <w:r>
        <w:rPr>
          <w:rFonts w:hint="eastAsia" w:ascii="Arial" w:hAnsi="Arial" w:cs="Arial"/>
          <w:sz w:val="21"/>
          <w:szCs w:val="21"/>
          <w:lang w:eastAsia="zh-CN"/>
        </w:rPr>
        <w:t>房山线</w:t>
      </w:r>
      <w:r>
        <w:rPr>
          <w:rFonts w:hint="eastAsia" w:ascii="Arial" w:hAnsi="Arial" w:cs="Arial"/>
          <w:sz w:val="21"/>
          <w:szCs w:val="21"/>
        </w:rPr>
        <w:t>（</w:t>
      </w:r>
      <w:r>
        <w:rPr>
          <w:rFonts w:hint="eastAsia" w:ascii="Arial" w:hAnsi="Arial" w:cs="Arial"/>
          <w:sz w:val="21"/>
          <w:szCs w:val="21"/>
          <w:lang w:eastAsia="zh-CN"/>
        </w:rPr>
        <w:t>广阳城站</w:t>
      </w:r>
      <w:r>
        <w:rPr>
          <w:rFonts w:hint="eastAsia" w:ascii="Arial" w:hAnsi="Arial" w:cs="Arial"/>
          <w:sz w:val="21"/>
          <w:szCs w:val="21"/>
        </w:rPr>
        <w:t>）</w:t>
      </w:r>
      <w:r>
        <w:rPr>
          <w:rFonts w:hint="eastAsia" w:ascii="Arial" w:hAnsi="Arial" w:cs="Arial"/>
          <w:sz w:val="21"/>
          <w:szCs w:val="21"/>
          <w:lang w:eastAsia="zh-CN"/>
        </w:rPr>
        <w:t>直线距离</w:t>
      </w:r>
      <w:r>
        <w:rPr>
          <w:rFonts w:hint="eastAsia" w:ascii="Arial" w:hAnsi="Arial" w:cs="Arial"/>
          <w:sz w:val="21"/>
          <w:szCs w:val="21"/>
        </w:rPr>
        <w:t>约</w:t>
      </w:r>
      <w:r>
        <w:rPr>
          <w:rFonts w:hint="eastAsia" w:ascii="Arial" w:hAnsi="Arial" w:cs="Arial"/>
          <w:sz w:val="21"/>
          <w:szCs w:val="21"/>
          <w:lang w:val="en-US" w:eastAsia="zh-CN"/>
        </w:rPr>
        <w:t>1.6公里</w:t>
      </w:r>
      <w:r>
        <w:rPr>
          <w:rFonts w:hint="eastAsia" w:ascii="Arial" w:hAnsi="Arial" w:cs="Arial"/>
          <w:sz w:val="21"/>
          <w:szCs w:val="21"/>
        </w:rPr>
        <w:t>，综合评价交通</w:t>
      </w:r>
      <w:r>
        <w:rPr>
          <w:rFonts w:hint="eastAsia" w:ascii="Arial" w:hAnsi="Arial" w:cs="Arial"/>
          <w:sz w:val="21"/>
          <w:szCs w:val="21"/>
          <w:highlight w:val="none"/>
        </w:rPr>
        <w:t>便捷度较好</w:t>
      </w:r>
      <w:r>
        <w:rPr>
          <w:rFonts w:ascii="Arial" w:hAnsi="Arial" w:cs="Arial"/>
          <w:sz w:val="21"/>
          <w:szCs w:val="21"/>
          <w:highlight w:val="none"/>
        </w:rPr>
        <w:t>。</w:t>
      </w:r>
    </w:p>
    <w:p>
      <w:pPr>
        <w:spacing w:line="480" w:lineRule="auto"/>
        <w:ind w:firstLine="420" w:firstLineChars="200"/>
        <w:jc w:val="both"/>
        <w:rPr>
          <w:rFonts w:hint="eastAsia" w:ascii="Arial" w:hAnsi="Arial" w:eastAsia="宋体" w:cs="Arial"/>
          <w:i/>
          <w:sz w:val="21"/>
          <w:szCs w:val="21"/>
          <w:lang w:eastAsia="zh-CN"/>
        </w:rPr>
      </w:pPr>
      <w:r>
        <w:rPr>
          <w:rFonts w:hint="eastAsia" w:ascii="Arial" w:hAnsi="Arial" w:cs="Arial"/>
          <w:sz w:val="21"/>
          <w:szCs w:val="21"/>
          <w:lang w:val="en-US" w:eastAsia="zh-CN"/>
        </w:rPr>
        <w:t>4</w:t>
      </w:r>
      <w:r>
        <w:rPr>
          <w:rFonts w:ascii="Arial" w:hAnsi="Arial" w:cs="Arial"/>
          <w:sz w:val="21"/>
          <w:szCs w:val="21"/>
        </w:rPr>
        <w:t>.</w:t>
      </w:r>
      <w:r>
        <w:rPr>
          <w:rFonts w:hint="eastAsia" w:ascii="Arial" w:hAnsi="Arial" w:cs="Arial"/>
          <w:sz w:val="21"/>
          <w:szCs w:val="21"/>
          <w:lang w:eastAsia="zh-CN"/>
        </w:rPr>
        <w:t>商业设施</w:t>
      </w:r>
    </w:p>
    <w:p>
      <w:pPr>
        <w:spacing w:line="480" w:lineRule="auto"/>
        <w:ind w:firstLine="420" w:firstLineChars="200"/>
        <w:jc w:val="both"/>
        <w:rPr>
          <w:rFonts w:ascii="Arial" w:hAnsi="Arial" w:cs="Arial"/>
          <w:sz w:val="21"/>
          <w:szCs w:val="21"/>
        </w:rPr>
      </w:pPr>
      <w:r>
        <w:rPr>
          <w:rFonts w:ascii="Arial" w:hAnsi="Arial" w:cs="Arial"/>
          <w:sz w:val="21"/>
          <w:szCs w:val="21"/>
        </w:rPr>
        <w:t>以估价对象为中心</w:t>
      </w:r>
      <w:r>
        <w:rPr>
          <w:rFonts w:hint="eastAsia" w:ascii="Arial" w:hAnsi="Arial" w:cs="Arial"/>
          <w:sz w:val="21"/>
          <w:szCs w:val="21"/>
          <w:lang w:val="en-US" w:eastAsia="zh-CN"/>
        </w:rPr>
        <w:t>2</w:t>
      </w:r>
      <w:r>
        <w:rPr>
          <w:rFonts w:ascii="Arial" w:hAnsi="Arial" w:cs="Arial"/>
          <w:sz w:val="21"/>
          <w:szCs w:val="21"/>
        </w:rPr>
        <w:t>公里范围内有</w:t>
      </w:r>
      <w:r>
        <w:rPr>
          <w:rFonts w:hint="eastAsia" w:ascii="Arial" w:hAnsi="Arial" w:cs="Arial"/>
          <w:sz w:val="21"/>
          <w:szCs w:val="21"/>
          <w:lang w:eastAsia="zh-CN"/>
        </w:rPr>
        <w:t>绿地缤纷城、永辉超市、华联超市等商业服务设施，商业设施较齐备</w:t>
      </w:r>
      <w:r>
        <w:rPr>
          <w:rFonts w:ascii="Arial" w:hAnsi="Arial" w:cs="Arial"/>
          <w:sz w:val="21"/>
          <w:szCs w:val="21"/>
        </w:rPr>
        <w:t>。</w:t>
      </w:r>
    </w:p>
    <w:p>
      <w:pPr>
        <w:spacing w:line="480" w:lineRule="auto"/>
        <w:ind w:firstLine="420" w:firstLineChars="200"/>
        <w:jc w:val="both"/>
        <w:rPr>
          <w:rFonts w:hint="eastAsia" w:ascii="Arial" w:hAnsi="Arial" w:eastAsia="宋体" w:cs="Arial"/>
          <w:sz w:val="21"/>
          <w:szCs w:val="21"/>
          <w:lang w:eastAsia="zh-CN"/>
        </w:rPr>
      </w:pPr>
      <w:r>
        <w:rPr>
          <w:rFonts w:hint="eastAsia" w:ascii="Arial" w:hAnsi="Arial" w:cs="Arial"/>
          <w:sz w:val="21"/>
          <w:szCs w:val="21"/>
          <w:lang w:val="en-US" w:eastAsia="zh-CN"/>
        </w:rPr>
        <w:t>5</w:t>
      </w:r>
      <w:r>
        <w:rPr>
          <w:rFonts w:ascii="Arial" w:hAnsi="Arial" w:cs="Arial"/>
          <w:sz w:val="21"/>
          <w:szCs w:val="21"/>
        </w:rPr>
        <w:t>.</w:t>
      </w:r>
      <w:r>
        <w:rPr>
          <w:rFonts w:hint="eastAsia" w:ascii="Arial" w:hAnsi="Arial" w:cs="Arial"/>
          <w:sz w:val="21"/>
          <w:szCs w:val="21"/>
          <w:lang w:eastAsia="zh-CN"/>
        </w:rPr>
        <w:t>自然环境</w:t>
      </w:r>
    </w:p>
    <w:p>
      <w:pPr>
        <w:spacing w:line="480" w:lineRule="auto"/>
        <w:ind w:firstLine="420" w:firstLineChars="200"/>
        <w:jc w:val="both"/>
        <w:rPr>
          <w:rFonts w:ascii="Arial" w:hAnsi="Arial" w:cs="Arial"/>
          <w:sz w:val="21"/>
          <w:szCs w:val="21"/>
        </w:rPr>
      </w:pPr>
      <w:r>
        <w:rPr>
          <w:rFonts w:ascii="Arial" w:hAnsi="Arial" w:cs="Arial"/>
          <w:sz w:val="21"/>
          <w:szCs w:val="21"/>
        </w:rPr>
        <w:t>以估价对象为中心</w:t>
      </w:r>
      <w:r>
        <w:rPr>
          <w:rFonts w:hint="eastAsia" w:ascii="Arial" w:hAnsi="Arial" w:cs="Arial"/>
          <w:sz w:val="21"/>
          <w:szCs w:val="21"/>
          <w:lang w:val="en-US" w:eastAsia="zh-CN"/>
        </w:rPr>
        <w:t>2</w:t>
      </w:r>
      <w:r>
        <w:rPr>
          <w:rFonts w:ascii="Arial" w:hAnsi="Arial" w:cs="Arial"/>
          <w:sz w:val="21"/>
          <w:szCs w:val="21"/>
        </w:rPr>
        <w:t>公里范围内有</w:t>
      </w:r>
      <w:r>
        <w:rPr>
          <w:rFonts w:hint="eastAsia" w:ascii="Arial" w:hAnsi="Arial" w:cs="Arial"/>
          <w:sz w:val="21"/>
          <w:szCs w:val="21"/>
        </w:rPr>
        <w:t>清水熙森林公园</w:t>
      </w:r>
      <w:r>
        <w:rPr>
          <w:rFonts w:hint="eastAsia" w:ascii="Arial" w:hAnsi="Arial" w:cs="Arial"/>
          <w:sz w:val="21"/>
          <w:szCs w:val="21"/>
          <w:lang w:eastAsia="zh-CN"/>
        </w:rPr>
        <w:t>、房山新城滨水森林公园</w:t>
      </w:r>
      <w:r>
        <w:rPr>
          <w:rFonts w:ascii="Arial" w:hAnsi="Arial" w:cs="Arial"/>
          <w:sz w:val="21"/>
          <w:szCs w:val="21"/>
        </w:rPr>
        <w:t>等自然景观，绿化面积较大，自然环境较好。</w:t>
      </w:r>
    </w:p>
    <w:p>
      <w:pPr>
        <w:spacing w:line="480" w:lineRule="auto"/>
        <w:ind w:firstLine="420" w:firstLineChars="200"/>
        <w:jc w:val="both"/>
        <w:rPr>
          <w:rFonts w:ascii="Arial" w:hAnsi="Arial" w:cs="Arial"/>
          <w:sz w:val="21"/>
          <w:szCs w:val="21"/>
        </w:rPr>
      </w:pPr>
      <w:r>
        <w:rPr>
          <w:rFonts w:hint="eastAsia" w:ascii="Arial" w:hAnsi="Arial" w:cs="Arial"/>
          <w:sz w:val="21"/>
          <w:szCs w:val="21"/>
        </w:rPr>
        <w:t>6.</w:t>
      </w:r>
      <w:r>
        <w:rPr>
          <w:rFonts w:ascii="Arial" w:hAnsi="Arial" w:cs="Arial"/>
          <w:sz w:val="21"/>
          <w:szCs w:val="21"/>
        </w:rPr>
        <w:t>公共配套设施状况</w:t>
      </w:r>
    </w:p>
    <w:p>
      <w:pPr>
        <w:spacing w:line="480" w:lineRule="auto"/>
        <w:ind w:firstLine="420" w:firstLineChars="200"/>
        <w:jc w:val="both"/>
        <w:rPr>
          <w:rFonts w:ascii="Arial" w:hAnsi="Arial" w:cs="Arial"/>
          <w:sz w:val="21"/>
          <w:szCs w:val="21"/>
          <w:highlight w:val="none"/>
        </w:rPr>
      </w:pPr>
      <w:bookmarkStart w:id="39" w:name="_Toc525655434"/>
      <w:r>
        <w:rPr>
          <w:rFonts w:ascii="Arial" w:hAnsi="Arial" w:cs="Arial"/>
          <w:sz w:val="21"/>
          <w:szCs w:val="21"/>
          <w:highlight w:val="none"/>
        </w:rPr>
        <w:t>估价对象所在区域周边</w:t>
      </w:r>
      <w:r>
        <w:rPr>
          <w:rFonts w:hint="eastAsia" w:ascii="Arial" w:hAnsi="Arial" w:cs="Arial"/>
          <w:sz w:val="21"/>
          <w:szCs w:val="21"/>
          <w:highlight w:val="none"/>
          <w:lang w:val="en-US" w:eastAsia="zh-CN"/>
        </w:rPr>
        <w:t>3</w:t>
      </w:r>
      <w:r>
        <w:rPr>
          <w:rFonts w:ascii="Arial" w:hAnsi="Arial" w:cs="Arial"/>
          <w:sz w:val="21"/>
          <w:szCs w:val="21"/>
          <w:highlight w:val="none"/>
        </w:rPr>
        <w:t>公里范围内有</w:t>
      </w:r>
      <w:r>
        <w:rPr>
          <w:rFonts w:hint="eastAsia" w:ascii="Arial" w:hAnsi="Arial" w:cs="Arial"/>
          <w:sz w:val="21"/>
          <w:szCs w:val="21"/>
          <w:highlight w:val="none"/>
          <w:lang w:eastAsia="zh-CN"/>
        </w:rPr>
        <w:t>绿地缤纷城、永辉超市、华联超市</w:t>
      </w:r>
      <w:r>
        <w:rPr>
          <w:rFonts w:hint="eastAsia" w:ascii="Arial" w:hAnsi="Arial" w:cs="Arial"/>
          <w:sz w:val="21"/>
          <w:szCs w:val="21"/>
          <w:highlight w:val="none"/>
        </w:rPr>
        <w:t>等商业场所；</w:t>
      </w:r>
      <w:r>
        <w:rPr>
          <w:rFonts w:hint="eastAsia" w:ascii="Arial" w:hAnsi="Arial" w:cs="Arial"/>
          <w:sz w:val="21"/>
          <w:szCs w:val="21"/>
          <w:highlight w:val="none"/>
          <w:lang w:eastAsia="zh-CN"/>
        </w:rPr>
        <w:t>有首都师范大学附属房山学校、长阳中心小学、国际培优幼儿园</w:t>
      </w:r>
      <w:r>
        <w:rPr>
          <w:rFonts w:ascii="Arial" w:hAnsi="Arial" w:cs="Arial"/>
          <w:sz w:val="21"/>
          <w:szCs w:val="21"/>
          <w:highlight w:val="none"/>
        </w:rPr>
        <w:t>等教育</w:t>
      </w:r>
      <w:r>
        <w:rPr>
          <w:rFonts w:hint="eastAsia" w:ascii="Arial" w:hAnsi="Arial" w:cs="Arial"/>
          <w:sz w:val="21"/>
          <w:szCs w:val="21"/>
          <w:highlight w:val="none"/>
        </w:rPr>
        <w:t>机构</w:t>
      </w:r>
      <w:r>
        <w:rPr>
          <w:rFonts w:ascii="Arial" w:hAnsi="Arial" w:cs="Arial"/>
          <w:sz w:val="21"/>
          <w:szCs w:val="21"/>
          <w:highlight w:val="none"/>
        </w:rPr>
        <w:t>；</w:t>
      </w:r>
      <w:r>
        <w:rPr>
          <w:rFonts w:hint="eastAsia" w:ascii="Arial" w:hAnsi="Arial" w:cs="Arial"/>
          <w:sz w:val="21"/>
          <w:szCs w:val="21"/>
          <w:highlight w:val="none"/>
          <w:lang w:eastAsia="zh-CN"/>
        </w:rPr>
        <w:t>有房山区中医医院、北京北亚骨科医院</w:t>
      </w:r>
      <w:r>
        <w:rPr>
          <w:rFonts w:ascii="Arial" w:hAnsi="Arial" w:cs="Arial"/>
          <w:sz w:val="21"/>
          <w:szCs w:val="21"/>
          <w:highlight w:val="none"/>
        </w:rPr>
        <w:t>等医疗设施；</w:t>
      </w:r>
      <w:r>
        <w:rPr>
          <w:rFonts w:hint="eastAsia" w:ascii="Arial" w:hAnsi="Arial" w:cs="Arial"/>
          <w:sz w:val="21"/>
          <w:szCs w:val="21"/>
          <w:highlight w:val="none"/>
        </w:rPr>
        <w:t>中国</w:t>
      </w:r>
      <w:r>
        <w:rPr>
          <w:rFonts w:hint="eastAsia" w:ascii="Arial" w:hAnsi="Arial" w:cs="Arial"/>
          <w:sz w:val="21"/>
          <w:szCs w:val="21"/>
          <w:highlight w:val="none"/>
          <w:lang w:eastAsia="zh-CN"/>
        </w:rPr>
        <w:t>邮政储蓄</w:t>
      </w:r>
      <w:r>
        <w:rPr>
          <w:rFonts w:hint="eastAsia" w:ascii="Arial" w:hAnsi="Arial" w:cs="Arial"/>
          <w:sz w:val="21"/>
          <w:szCs w:val="21"/>
          <w:highlight w:val="none"/>
        </w:rPr>
        <w:t>银行、</w:t>
      </w:r>
      <w:r>
        <w:rPr>
          <w:rFonts w:hint="eastAsia" w:ascii="Arial" w:hAnsi="Arial" w:cs="Arial"/>
          <w:sz w:val="21"/>
          <w:szCs w:val="21"/>
          <w:highlight w:val="none"/>
          <w:lang w:eastAsia="zh-CN"/>
        </w:rPr>
        <w:t>兴业银行</w:t>
      </w:r>
      <w:r>
        <w:rPr>
          <w:rFonts w:hint="eastAsia" w:ascii="Arial" w:hAnsi="Arial" w:cs="Arial"/>
          <w:sz w:val="21"/>
          <w:szCs w:val="21"/>
          <w:highlight w:val="none"/>
        </w:rPr>
        <w:t>、北京农商银行</w:t>
      </w:r>
      <w:r>
        <w:rPr>
          <w:rFonts w:ascii="Arial" w:hAnsi="Arial" w:cs="Arial"/>
          <w:sz w:val="21"/>
          <w:szCs w:val="21"/>
          <w:highlight w:val="none"/>
        </w:rPr>
        <w:t>等金融机构，公共配套设施状况较好。</w:t>
      </w:r>
    </w:p>
    <w:p>
      <w:pPr>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综上，估价对象地理位置状况较好，居住社区成熟度较好，交通便捷度较好，</w:t>
      </w:r>
      <w:r>
        <w:rPr>
          <w:rFonts w:hint="eastAsia" w:ascii="Arial" w:hAnsi="Arial" w:cs="Arial"/>
          <w:sz w:val="21"/>
          <w:szCs w:val="21"/>
          <w:highlight w:val="none"/>
          <w:lang w:eastAsia="zh-CN"/>
        </w:rPr>
        <w:t>商业设施较齐备，自然环境</w:t>
      </w:r>
      <w:r>
        <w:rPr>
          <w:rFonts w:ascii="Arial" w:hAnsi="Arial" w:cs="Arial"/>
          <w:sz w:val="21"/>
          <w:szCs w:val="21"/>
          <w:highlight w:val="none"/>
        </w:rPr>
        <w:t>较好，公共配套设施状况较好。区域规划无特殊限制。总体评价影响估价对象的区位条件较好</w:t>
      </w:r>
      <w:bookmarkEnd w:id="39"/>
      <w:r>
        <w:rPr>
          <w:rFonts w:ascii="Arial" w:hAnsi="Arial" w:cs="Arial"/>
          <w:sz w:val="21"/>
          <w:szCs w:val="21"/>
          <w:highlight w:val="none"/>
        </w:rPr>
        <w:t>。</w:t>
      </w:r>
    </w:p>
    <w:p>
      <w:pPr>
        <w:pStyle w:val="3"/>
        <w:numPr>
          <w:ilvl w:val="0"/>
          <w:numId w:val="0"/>
        </w:numPr>
        <w:spacing w:line="480" w:lineRule="auto"/>
        <w:ind w:left="360" w:hanging="361" w:hangingChars="171"/>
        <w:jc w:val="both"/>
        <w:rPr>
          <w:rFonts w:eastAsia="宋体"/>
          <w:kern w:val="2"/>
          <w:sz w:val="21"/>
          <w:szCs w:val="21"/>
        </w:rPr>
      </w:pPr>
      <w:bookmarkStart w:id="40" w:name="_Toc525655435"/>
      <w:r>
        <w:rPr>
          <w:rFonts w:eastAsia="宋体"/>
          <w:kern w:val="2"/>
          <w:sz w:val="21"/>
          <w:szCs w:val="21"/>
        </w:rPr>
        <w:t>（二）实物状况分析</w:t>
      </w:r>
      <w:bookmarkEnd w:id="40"/>
    </w:p>
    <w:p>
      <w:pPr>
        <w:wordWrap w:val="0"/>
        <w:overflowPunct w:val="0"/>
        <w:spacing w:line="480" w:lineRule="auto"/>
        <w:ind w:firstLine="420" w:firstLineChars="200"/>
        <w:jc w:val="both"/>
        <w:rPr>
          <w:rFonts w:ascii="Arial" w:hAnsi="Arial" w:cs="Arial"/>
          <w:kern w:val="2"/>
          <w:sz w:val="21"/>
          <w:szCs w:val="21"/>
        </w:rPr>
      </w:pPr>
      <w:r>
        <w:rPr>
          <w:rFonts w:ascii="Arial" w:hAnsi="Arial" w:cs="Arial"/>
          <w:bCs/>
          <w:sz w:val="21"/>
          <w:szCs w:val="21"/>
        </w:rPr>
        <w:t>估价对象为</w:t>
      </w:r>
      <w:r>
        <w:rPr>
          <w:rFonts w:hint="eastAsia" w:ascii="Arial" w:hAnsi="Arial" w:cs="Arial"/>
          <w:kern w:val="2"/>
          <w:sz w:val="21"/>
          <w:szCs w:val="21"/>
          <w:lang w:eastAsia="zh-CN"/>
        </w:rPr>
        <w:t>北京市房山区西雅路17号院1号楼4层二单元401等共356套</w:t>
      </w:r>
      <w:r>
        <w:rPr>
          <w:rFonts w:ascii="Arial" w:hAnsi="Arial" w:cs="Arial"/>
          <w:kern w:val="2"/>
          <w:sz w:val="21"/>
          <w:szCs w:val="21"/>
        </w:rPr>
        <w:t>共有产权住房项目，权利人为</w:t>
      </w:r>
      <w:r>
        <w:rPr>
          <w:rFonts w:hint="eastAsia" w:ascii="Arial" w:hAnsi="Arial" w:cs="Arial"/>
          <w:kern w:val="2"/>
          <w:sz w:val="21"/>
          <w:szCs w:val="21"/>
          <w:lang w:eastAsia="zh-CN"/>
        </w:rPr>
        <w:t>北京智地兴辰房地产开发有限公司</w:t>
      </w:r>
      <w:r>
        <w:rPr>
          <w:rFonts w:ascii="Arial" w:hAnsi="Arial" w:cs="Arial"/>
          <w:kern w:val="2"/>
          <w:sz w:val="21"/>
          <w:szCs w:val="21"/>
        </w:rPr>
        <w:t>，估价对象建筑面积</w:t>
      </w:r>
      <w:r>
        <w:rPr>
          <w:rFonts w:hint="eastAsia" w:ascii="Arial" w:hAnsi="Arial" w:cs="Arial"/>
          <w:kern w:val="2"/>
          <w:sz w:val="21"/>
          <w:szCs w:val="21"/>
          <w:lang w:eastAsia="zh-CN"/>
        </w:rPr>
        <w:t>共计</w:t>
      </w:r>
      <w:r>
        <w:rPr>
          <w:rFonts w:hint="eastAsia" w:ascii="Arial" w:hAnsi="Arial" w:cs="Arial"/>
          <w:kern w:val="2"/>
          <w:sz w:val="21"/>
          <w:szCs w:val="21"/>
        </w:rPr>
        <w:t>30214.52</w:t>
      </w:r>
      <w:r>
        <w:rPr>
          <w:rFonts w:ascii="Arial" w:hAnsi="Arial" w:cs="Arial"/>
          <w:kern w:val="2"/>
          <w:sz w:val="21"/>
          <w:szCs w:val="21"/>
        </w:rPr>
        <w:t>平方米，共</w:t>
      </w:r>
      <w:r>
        <w:rPr>
          <w:rFonts w:hint="eastAsia" w:ascii="Arial" w:hAnsi="Arial" w:cs="Arial"/>
          <w:kern w:val="2"/>
          <w:sz w:val="21"/>
          <w:szCs w:val="21"/>
          <w:lang w:val="en-US" w:eastAsia="zh-CN"/>
        </w:rPr>
        <w:t>356</w:t>
      </w:r>
      <w:r>
        <w:rPr>
          <w:rFonts w:ascii="Arial" w:hAnsi="Arial" w:cs="Arial"/>
          <w:kern w:val="2"/>
          <w:sz w:val="21"/>
          <w:szCs w:val="21"/>
        </w:rPr>
        <w:t>套，用途为共有产权住房。</w:t>
      </w:r>
    </w:p>
    <w:p>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pPr>
        <w:wordWrap w:val="0"/>
        <w:overflowPunct w:val="0"/>
        <w:spacing w:line="480" w:lineRule="auto"/>
        <w:ind w:firstLine="420" w:firstLineChars="200"/>
        <w:jc w:val="both"/>
        <w:rPr>
          <w:rFonts w:ascii="Arial" w:hAnsi="Arial" w:cs="Arial"/>
          <w:sz w:val="21"/>
          <w:szCs w:val="21"/>
          <w:highlight w:val="none"/>
        </w:rPr>
      </w:pPr>
      <w:r>
        <w:rPr>
          <w:rFonts w:ascii="Arial" w:hAnsi="Arial" w:cs="Arial"/>
          <w:sz w:val="21"/>
          <w:szCs w:val="21"/>
        </w:rPr>
        <w:t>（1）</w:t>
      </w:r>
      <w:bookmarkStart w:id="53" w:name="_GoBack"/>
      <w:r>
        <w:rPr>
          <w:rFonts w:ascii="Arial" w:hAnsi="Arial" w:cs="Arial"/>
          <w:sz w:val="21"/>
          <w:szCs w:val="21"/>
          <w:highlight w:val="none"/>
        </w:rPr>
        <w:t>估价对象土地为国有土地，土地所有权归国家所有。</w:t>
      </w:r>
    </w:p>
    <w:p>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根据估价委托人提供的</w:t>
      </w:r>
      <w:r>
        <w:rPr>
          <w:rFonts w:hint="eastAsia" w:ascii="Arial" w:hAnsi="Arial" w:cs="Arial"/>
          <w:sz w:val="21"/>
          <w:szCs w:val="21"/>
          <w:highlight w:val="none"/>
        </w:rPr>
        <w:t>《关于</w:t>
      </w:r>
      <w:r>
        <w:rPr>
          <w:rFonts w:hint="eastAsia" w:ascii="Arial" w:hAnsi="Arial" w:cs="Arial"/>
          <w:sz w:val="21"/>
          <w:szCs w:val="21"/>
          <w:highlight w:val="none"/>
          <w:lang w:eastAsia="zh-CN"/>
        </w:rPr>
        <w:t>北京市房山区拱辰街道办事处</w:t>
      </w:r>
      <w:r>
        <w:rPr>
          <w:rFonts w:hint="eastAsia" w:ascii="Arial" w:hAnsi="Arial" w:cs="Arial"/>
          <w:sz w:val="21"/>
          <w:szCs w:val="21"/>
          <w:highlight w:val="none"/>
          <w:lang w:val="en-US" w:eastAsia="zh-CN"/>
        </w:rPr>
        <w:t>FS00-LX05-0046、0056地块R2二类居住用地项目“多规合一”协同平台综合会商意见的函</w:t>
      </w:r>
      <w:r>
        <w:rPr>
          <w:rFonts w:hint="eastAsia" w:ascii="Arial" w:hAnsi="Arial" w:cs="Arial"/>
          <w:sz w:val="21"/>
          <w:szCs w:val="21"/>
          <w:highlight w:val="none"/>
        </w:rPr>
        <w:t>》</w:t>
      </w:r>
      <w:r>
        <w:rPr>
          <w:rFonts w:hint="eastAsia" w:ascii="Arial" w:hAnsi="Arial" w:cs="Arial"/>
          <w:sz w:val="21"/>
          <w:szCs w:val="21"/>
          <w:highlight w:val="none"/>
          <w:lang w:val="en-US" w:eastAsia="zh-CN"/>
        </w:rPr>
        <w:t>[京规自（房）综审函[2020]0047号]</w:t>
      </w:r>
      <w:r>
        <w:rPr>
          <w:rFonts w:hint="eastAsia" w:ascii="Arial" w:hAnsi="Arial" w:cs="Arial"/>
          <w:sz w:val="21"/>
          <w:szCs w:val="21"/>
          <w:highlight w:val="none"/>
        </w:rPr>
        <w:t>复印件</w:t>
      </w:r>
      <w:r>
        <w:rPr>
          <w:rFonts w:hint="eastAsia" w:ascii="Arial" w:hAnsi="Arial" w:cs="Arial"/>
          <w:sz w:val="21"/>
          <w:szCs w:val="21"/>
          <w:highlight w:val="none"/>
          <w:lang w:eastAsia="zh-CN"/>
        </w:rPr>
        <w:t>、《国有建设用地使用权出让合同》[电子监管号：1101002020B00714]及其补充协议复印件及</w:t>
      </w:r>
      <w:r>
        <w:rPr>
          <w:rFonts w:ascii="Arial" w:hAnsi="Arial" w:cs="Arial"/>
          <w:sz w:val="21"/>
          <w:szCs w:val="21"/>
          <w:highlight w:val="none"/>
        </w:rPr>
        <w:t>《不动产权证书》[</w:t>
      </w:r>
      <w:r>
        <w:rPr>
          <w:rFonts w:hint="default" w:ascii="Arial" w:hAnsi="Arial" w:cs="Arial"/>
          <w:sz w:val="21"/>
          <w:szCs w:val="21"/>
          <w:highlight w:val="none"/>
        </w:rPr>
        <w:t>京（20</w:t>
      </w:r>
      <w:r>
        <w:rPr>
          <w:rFonts w:hint="default" w:ascii="Arial" w:hAnsi="Arial" w:cs="Arial"/>
          <w:sz w:val="21"/>
          <w:szCs w:val="21"/>
          <w:highlight w:val="none"/>
          <w:lang w:val="en-US" w:eastAsia="zh-CN"/>
        </w:rPr>
        <w:t>22</w:t>
      </w:r>
      <w:r>
        <w:rPr>
          <w:rFonts w:hint="default" w:ascii="Arial" w:hAnsi="Arial" w:cs="Arial"/>
          <w:sz w:val="21"/>
          <w:szCs w:val="21"/>
          <w:highlight w:val="none"/>
        </w:rPr>
        <w:t>）</w:t>
      </w:r>
      <w:r>
        <w:rPr>
          <w:rFonts w:hint="default" w:ascii="Arial" w:hAnsi="Arial" w:cs="Arial"/>
          <w:sz w:val="21"/>
          <w:szCs w:val="21"/>
          <w:highlight w:val="none"/>
          <w:lang w:eastAsia="zh-CN"/>
        </w:rPr>
        <w:t>房</w:t>
      </w:r>
      <w:r>
        <w:rPr>
          <w:rFonts w:hint="default" w:ascii="Arial" w:hAnsi="Arial" w:cs="Arial"/>
          <w:sz w:val="21"/>
          <w:szCs w:val="21"/>
          <w:highlight w:val="none"/>
        </w:rPr>
        <w:t>不动产权第</w:t>
      </w:r>
      <w:r>
        <w:rPr>
          <w:rFonts w:hint="eastAsia" w:ascii="Arial" w:hAnsi="Arial" w:cs="Arial"/>
          <w:sz w:val="21"/>
          <w:szCs w:val="21"/>
          <w:highlight w:val="none"/>
          <w:lang w:val="en-US" w:eastAsia="zh-CN"/>
        </w:rPr>
        <w:t>0022348</w:t>
      </w:r>
      <w:r>
        <w:rPr>
          <w:rFonts w:hint="default" w:ascii="Arial" w:hAnsi="Arial" w:cs="Arial"/>
          <w:sz w:val="21"/>
          <w:szCs w:val="21"/>
          <w:highlight w:val="none"/>
        </w:rPr>
        <w:t>号</w:t>
      </w:r>
      <w:r>
        <w:rPr>
          <w:rFonts w:ascii="Arial" w:hAnsi="Arial" w:cs="Arial"/>
          <w:sz w:val="21"/>
          <w:szCs w:val="21"/>
          <w:highlight w:val="none"/>
        </w:rPr>
        <w:t>]</w:t>
      </w:r>
      <w:r>
        <w:rPr>
          <w:rFonts w:hint="eastAsia" w:ascii="Arial" w:hAnsi="Arial" w:cs="Arial"/>
          <w:sz w:val="21"/>
          <w:szCs w:val="21"/>
          <w:highlight w:val="none"/>
          <w:lang w:eastAsia="zh-CN"/>
        </w:rPr>
        <w:t>等</w:t>
      </w:r>
      <w:r>
        <w:rPr>
          <w:rFonts w:hint="eastAsia" w:ascii="Arial" w:hAnsi="Arial" w:cs="Arial"/>
          <w:sz w:val="21"/>
          <w:szCs w:val="21"/>
          <w:highlight w:val="none"/>
          <w:lang w:val="en-US" w:eastAsia="zh-CN"/>
        </w:rPr>
        <w:t>9本复印件</w:t>
      </w:r>
      <w:r>
        <w:rPr>
          <w:rFonts w:ascii="Arial" w:hAnsi="Arial" w:cs="Arial"/>
          <w:highlight w:val="none"/>
        </w:rPr>
        <w:t>，</w:t>
      </w:r>
      <w:r>
        <w:rPr>
          <w:rFonts w:ascii="Arial" w:hAnsi="Arial" w:cs="Arial"/>
          <w:kern w:val="2"/>
          <w:sz w:val="21"/>
          <w:szCs w:val="21"/>
          <w:highlight w:val="none"/>
        </w:rPr>
        <w:t>估价对象权利人为</w:t>
      </w:r>
      <w:r>
        <w:rPr>
          <w:rFonts w:hint="eastAsia" w:ascii="Arial" w:hAnsi="Arial" w:cs="Arial"/>
          <w:kern w:val="2"/>
          <w:sz w:val="21"/>
          <w:szCs w:val="21"/>
          <w:highlight w:val="none"/>
          <w:lang w:eastAsia="zh-CN"/>
        </w:rPr>
        <w:t>北京智地兴辰房地产开发有限公司</w:t>
      </w:r>
      <w:r>
        <w:rPr>
          <w:rFonts w:ascii="Arial" w:hAnsi="Arial" w:cs="Arial"/>
          <w:kern w:val="2"/>
          <w:sz w:val="21"/>
          <w:szCs w:val="21"/>
          <w:highlight w:val="none"/>
        </w:rPr>
        <w:t>，共有情况为</w:t>
      </w:r>
      <w:r>
        <w:rPr>
          <w:rFonts w:hint="eastAsia" w:ascii="Arial" w:hAnsi="Arial" w:cs="Arial"/>
          <w:kern w:val="2"/>
          <w:sz w:val="21"/>
          <w:szCs w:val="21"/>
          <w:highlight w:val="none"/>
        </w:rPr>
        <w:t>单独所有</w:t>
      </w:r>
      <w:r>
        <w:rPr>
          <w:rFonts w:ascii="Arial" w:hAnsi="Arial" w:cs="Arial"/>
          <w:kern w:val="2"/>
          <w:sz w:val="21"/>
          <w:szCs w:val="21"/>
          <w:highlight w:val="none"/>
        </w:rPr>
        <w:t>，坐落为</w:t>
      </w:r>
      <w:r>
        <w:rPr>
          <w:rFonts w:hint="eastAsia" w:ascii="Arial" w:hAnsi="Arial" w:cs="Arial"/>
          <w:kern w:val="2"/>
          <w:sz w:val="21"/>
          <w:szCs w:val="21"/>
          <w:highlight w:val="none"/>
          <w:lang w:eastAsia="zh-CN"/>
        </w:rPr>
        <w:t>北京市房山区西雅路17号院</w:t>
      </w:r>
      <w:r>
        <w:rPr>
          <w:rFonts w:ascii="Arial" w:hAnsi="Arial" w:cs="Arial"/>
          <w:kern w:val="2"/>
          <w:sz w:val="21"/>
          <w:szCs w:val="21"/>
          <w:highlight w:val="none"/>
        </w:rPr>
        <w:t>。权利类型为国有建设用地使用权，权利性质为出让，用途为</w:t>
      </w:r>
      <w:r>
        <w:rPr>
          <w:rFonts w:hint="eastAsia" w:ascii="Arial" w:hAnsi="Arial" w:cs="Arial"/>
          <w:kern w:val="2"/>
          <w:sz w:val="21"/>
          <w:szCs w:val="21"/>
          <w:highlight w:val="none"/>
        </w:rPr>
        <w:t>城镇</w:t>
      </w:r>
      <w:r>
        <w:rPr>
          <w:rFonts w:ascii="Arial" w:hAnsi="Arial" w:cs="Arial"/>
          <w:kern w:val="2"/>
          <w:sz w:val="21"/>
          <w:szCs w:val="21"/>
          <w:highlight w:val="none"/>
        </w:rPr>
        <w:t>住宅</w:t>
      </w:r>
      <w:r>
        <w:rPr>
          <w:rFonts w:hint="eastAsia" w:ascii="Arial" w:hAnsi="Arial" w:cs="Arial"/>
          <w:kern w:val="2"/>
          <w:sz w:val="21"/>
          <w:szCs w:val="21"/>
          <w:highlight w:val="none"/>
        </w:rPr>
        <w:t>用地</w:t>
      </w:r>
      <w:r>
        <w:rPr>
          <w:rFonts w:ascii="Arial" w:hAnsi="Arial" w:cs="Arial"/>
          <w:kern w:val="2"/>
          <w:sz w:val="21"/>
          <w:szCs w:val="21"/>
          <w:highlight w:val="none"/>
        </w:rPr>
        <w:t>，估价对象所属项目出让国有建设用地使用权总面积为</w:t>
      </w:r>
      <w:r>
        <w:rPr>
          <w:rFonts w:hint="eastAsia" w:ascii="Arial" w:hAnsi="Arial" w:cs="Arial"/>
          <w:kern w:val="2"/>
          <w:sz w:val="21"/>
          <w:szCs w:val="21"/>
          <w:highlight w:val="none"/>
          <w:lang w:val="en-US" w:eastAsia="zh-CN"/>
        </w:rPr>
        <w:t>19926.49</w:t>
      </w:r>
      <w:r>
        <w:rPr>
          <w:rFonts w:ascii="Arial" w:hAnsi="Arial" w:cs="Arial"/>
          <w:kern w:val="2"/>
          <w:sz w:val="21"/>
          <w:szCs w:val="21"/>
          <w:highlight w:val="none"/>
        </w:rPr>
        <w:t>平方米</w:t>
      </w:r>
      <w:r>
        <w:rPr>
          <w:rFonts w:ascii="Arial" w:hAnsi="Arial" w:cs="Arial"/>
          <w:sz w:val="21"/>
          <w:szCs w:val="21"/>
          <w:highlight w:val="none"/>
        </w:rPr>
        <w:t>。</w:t>
      </w:r>
    </w:p>
    <w:p>
      <w:pPr>
        <w:spacing w:line="480" w:lineRule="auto"/>
        <w:ind w:firstLine="420" w:firstLineChars="200"/>
        <w:jc w:val="both"/>
        <w:rPr>
          <w:rFonts w:ascii="Arial" w:hAnsi="Arial" w:cs="Arial"/>
          <w:sz w:val="21"/>
          <w:szCs w:val="21"/>
        </w:rPr>
      </w:pPr>
      <w:r>
        <w:rPr>
          <w:rFonts w:ascii="Arial" w:hAnsi="Arial" w:cs="Arial"/>
          <w:sz w:val="21"/>
          <w:szCs w:val="21"/>
          <w:highlight w:val="none"/>
        </w:rPr>
        <w:t>（2）估价对象所属项目</w:t>
      </w:r>
      <w:bookmarkEnd w:id="53"/>
      <w:r>
        <w:rPr>
          <w:rFonts w:ascii="Arial" w:hAnsi="Arial" w:cs="Arial"/>
          <w:sz w:val="21"/>
          <w:szCs w:val="21"/>
        </w:rPr>
        <w:t>用地四至：</w:t>
      </w:r>
    </w:p>
    <w:p>
      <w:pPr>
        <w:wordWrap w:val="0"/>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项目证载四至：东至</w:t>
      </w:r>
      <w:r>
        <w:rPr>
          <w:rFonts w:hint="eastAsia" w:ascii="Arial" w:hAnsi="Arial" w:cs="Arial"/>
          <w:kern w:val="2"/>
          <w:sz w:val="21"/>
          <w:szCs w:val="21"/>
          <w:lang w:eastAsia="zh-CN"/>
        </w:rPr>
        <w:t>公共绿地</w:t>
      </w:r>
      <w:r>
        <w:rPr>
          <w:rFonts w:ascii="Arial" w:hAnsi="Arial" w:cs="Arial"/>
          <w:kern w:val="2"/>
          <w:sz w:val="21"/>
          <w:szCs w:val="21"/>
        </w:rPr>
        <w:t>，南至</w:t>
      </w:r>
      <w:r>
        <w:rPr>
          <w:rFonts w:hint="eastAsia" w:ascii="Arial" w:hAnsi="Arial" w:cs="Arial"/>
          <w:kern w:val="2"/>
          <w:sz w:val="21"/>
          <w:szCs w:val="21"/>
          <w:lang w:eastAsia="zh-CN"/>
        </w:rPr>
        <w:t>代征道路</w:t>
      </w:r>
      <w:r>
        <w:rPr>
          <w:rFonts w:ascii="Arial" w:hAnsi="Arial" w:cs="Arial"/>
          <w:kern w:val="2"/>
          <w:sz w:val="21"/>
          <w:szCs w:val="21"/>
        </w:rPr>
        <w:t>，西至</w:t>
      </w:r>
      <w:r>
        <w:rPr>
          <w:rFonts w:hint="eastAsia" w:ascii="Arial" w:hAnsi="Arial" w:cs="Arial"/>
          <w:kern w:val="2"/>
          <w:sz w:val="21"/>
          <w:szCs w:val="21"/>
          <w:lang w:eastAsia="zh-CN"/>
        </w:rPr>
        <w:t>代征道路</w:t>
      </w:r>
      <w:r>
        <w:rPr>
          <w:rFonts w:ascii="Arial" w:hAnsi="Arial" w:cs="Arial"/>
          <w:kern w:val="2"/>
          <w:sz w:val="21"/>
          <w:szCs w:val="21"/>
        </w:rPr>
        <w:t>，北至</w:t>
      </w:r>
      <w:r>
        <w:rPr>
          <w:rFonts w:hint="eastAsia" w:ascii="Arial" w:hAnsi="Arial" w:cs="Arial"/>
          <w:kern w:val="2"/>
          <w:sz w:val="21"/>
          <w:szCs w:val="21"/>
          <w:lang w:eastAsia="zh-CN"/>
        </w:rPr>
        <w:t>代征道路</w:t>
      </w:r>
      <w:r>
        <w:rPr>
          <w:rFonts w:ascii="Arial" w:hAnsi="Arial" w:cs="Arial"/>
          <w:kern w:val="2"/>
          <w:sz w:val="21"/>
          <w:szCs w:val="21"/>
        </w:rPr>
        <w:t>。</w:t>
      </w:r>
    </w:p>
    <w:p>
      <w:pPr>
        <w:wordWrap w:val="0"/>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项目现状四至：</w:t>
      </w:r>
      <w:r>
        <w:rPr>
          <w:rFonts w:hint="eastAsia" w:ascii="Arial" w:hAnsi="Arial" w:cs="Arial"/>
          <w:kern w:val="2"/>
          <w:sz w:val="21"/>
          <w:szCs w:val="21"/>
        </w:rPr>
        <w:t>东至</w:t>
      </w:r>
      <w:r>
        <w:rPr>
          <w:rFonts w:hint="eastAsia" w:ascii="Arial" w:hAnsi="Arial" w:cs="Arial"/>
          <w:kern w:val="2"/>
          <w:sz w:val="21"/>
          <w:szCs w:val="21"/>
          <w:lang w:eastAsia="zh-CN"/>
        </w:rPr>
        <w:t>春和印象小区</w:t>
      </w:r>
      <w:r>
        <w:rPr>
          <w:rFonts w:hint="eastAsia" w:ascii="Arial" w:hAnsi="Arial" w:cs="Arial"/>
          <w:kern w:val="2"/>
          <w:sz w:val="21"/>
          <w:szCs w:val="21"/>
        </w:rPr>
        <w:t>，南至中建京西印玥</w:t>
      </w:r>
      <w:r>
        <w:rPr>
          <w:rFonts w:hint="eastAsia" w:ascii="Arial" w:hAnsi="Arial" w:cs="Arial"/>
          <w:kern w:val="2"/>
          <w:sz w:val="21"/>
          <w:szCs w:val="21"/>
          <w:lang w:eastAsia="zh-CN"/>
        </w:rPr>
        <w:t>商品房项目</w:t>
      </w:r>
      <w:r>
        <w:rPr>
          <w:rFonts w:hint="eastAsia" w:ascii="Arial" w:hAnsi="Arial" w:cs="Arial"/>
          <w:kern w:val="2"/>
          <w:sz w:val="21"/>
          <w:szCs w:val="21"/>
        </w:rPr>
        <w:t>，西至</w:t>
      </w:r>
      <w:r>
        <w:rPr>
          <w:rFonts w:hint="eastAsia" w:ascii="Arial" w:hAnsi="Arial" w:cs="Arial"/>
          <w:kern w:val="2"/>
          <w:sz w:val="21"/>
          <w:szCs w:val="21"/>
          <w:lang w:eastAsia="zh-CN"/>
        </w:rPr>
        <w:t>公共绿地</w:t>
      </w:r>
      <w:r>
        <w:rPr>
          <w:rFonts w:hint="eastAsia" w:ascii="Arial" w:hAnsi="Arial" w:cs="Arial"/>
          <w:kern w:val="2"/>
          <w:sz w:val="21"/>
          <w:szCs w:val="21"/>
        </w:rPr>
        <w:t>，北至</w:t>
      </w:r>
      <w:r>
        <w:rPr>
          <w:rFonts w:hint="eastAsia" w:ascii="Arial" w:hAnsi="Arial" w:cs="Arial"/>
          <w:kern w:val="2"/>
          <w:sz w:val="21"/>
          <w:szCs w:val="21"/>
          <w:lang w:eastAsia="zh-CN"/>
        </w:rPr>
        <w:t>公共绿地</w:t>
      </w:r>
      <w:r>
        <w:rPr>
          <w:rFonts w:ascii="Arial" w:hAnsi="Arial" w:cs="Arial"/>
          <w:kern w:val="2"/>
          <w:sz w:val="21"/>
          <w:szCs w:val="21"/>
        </w:rPr>
        <w:t>。</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（4）开发程度：</w:t>
      </w:r>
    </w:p>
    <w:p>
      <w:pPr>
        <w:wordWrap w:val="0"/>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pPr>
        <w:spacing w:line="480" w:lineRule="auto"/>
        <w:ind w:right="205" w:firstLine="420" w:firstLineChars="200"/>
        <w:jc w:val="both"/>
        <w:rPr>
          <w:rFonts w:ascii="Arial" w:hAnsi="Arial" w:cs="Arial"/>
          <w:sz w:val="21"/>
          <w:szCs w:val="21"/>
        </w:rPr>
      </w:pPr>
      <w:r>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Pr>
          <w:rFonts w:ascii="Arial" w:hAnsi="Arial" w:cs="Arial"/>
          <w:sz w:val="21"/>
          <w:szCs w:val="21"/>
        </w:rPr>
        <w:t>。</w:t>
      </w:r>
    </w:p>
    <w:p>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pPr>
        <w:tabs>
          <w:tab w:val="left" w:pos="3544"/>
        </w:tabs>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估价对象所属项目坐落为</w:t>
      </w:r>
      <w:r>
        <w:rPr>
          <w:rFonts w:hint="eastAsia" w:ascii="Arial" w:hAnsi="Arial" w:cs="Arial"/>
          <w:kern w:val="2"/>
          <w:sz w:val="21"/>
          <w:szCs w:val="21"/>
          <w:lang w:eastAsia="zh-CN"/>
        </w:rPr>
        <w:t>北京市房山区西雅路</w:t>
      </w:r>
      <w:r>
        <w:rPr>
          <w:rFonts w:hint="eastAsia" w:ascii="Arial" w:hAnsi="Arial" w:cs="Arial"/>
          <w:kern w:val="2"/>
          <w:sz w:val="21"/>
          <w:szCs w:val="21"/>
          <w:lang w:val="en-US" w:eastAsia="zh-CN"/>
        </w:rPr>
        <w:t>17号院（</w:t>
      </w:r>
      <w:r>
        <w:rPr>
          <w:rFonts w:hint="eastAsia" w:ascii="Arial" w:hAnsi="Arial" w:cs="Arial"/>
          <w:kern w:val="2"/>
          <w:sz w:val="21"/>
          <w:szCs w:val="21"/>
        </w:rPr>
        <w:t>中建京西印玥</w:t>
      </w:r>
      <w:r>
        <w:rPr>
          <w:rFonts w:hint="eastAsia" w:ascii="Arial" w:hAnsi="Arial" w:cs="Arial"/>
          <w:kern w:val="2"/>
          <w:sz w:val="21"/>
          <w:szCs w:val="21"/>
          <w:lang w:eastAsia="zh-CN"/>
        </w:rPr>
        <w:t>共有产权住房</w:t>
      </w:r>
      <w:r>
        <w:rPr>
          <w:rFonts w:hint="eastAsia" w:ascii="Arial" w:hAnsi="Arial" w:cs="Arial"/>
          <w:kern w:val="2"/>
          <w:sz w:val="21"/>
          <w:szCs w:val="21"/>
          <w:lang w:val="en-US" w:eastAsia="zh-CN"/>
        </w:rPr>
        <w:t>）</w:t>
      </w:r>
      <w:r>
        <w:rPr>
          <w:rFonts w:ascii="Arial" w:hAnsi="Arial" w:cs="Arial"/>
          <w:kern w:val="2"/>
          <w:sz w:val="21"/>
          <w:szCs w:val="21"/>
        </w:rPr>
        <w:t>，该项目有</w:t>
      </w:r>
      <w:r>
        <w:rPr>
          <w:rFonts w:hint="eastAsia" w:ascii="Arial" w:hAnsi="Arial" w:cs="Arial"/>
          <w:kern w:val="2"/>
          <w:sz w:val="21"/>
          <w:szCs w:val="21"/>
        </w:rPr>
        <w:t>1#</w:t>
      </w:r>
      <w:r>
        <w:rPr>
          <w:rFonts w:hint="eastAsia" w:ascii="Arial" w:hAnsi="Arial" w:cs="Arial"/>
          <w:kern w:val="2"/>
          <w:sz w:val="21"/>
          <w:szCs w:val="21"/>
          <w:lang w:eastAsia="zh-CN"/>
        </w:rPr>
        <w:t>至</w:t>
      </w:r>
      <w:r>
        <w:rPr>
          <w:rFonts w:hint="eastAsia" w:ascii="Arial" w:hAnsi="Arial" w:cs="Arial"/>
          <w:kern w:val="2"/>
          <w:sz w:val="21"/>
          <w:szCs w:val="21"/>
          <w:lang w:val="en-US" w:eastAsia="zh-CN"/>
        </w:rPr>
        <w:t>9</w:t>
      </w:r>
      <w:r>
        <w:rPr>
          <w:rFonts w:hint="eastAsia" w:ascii="Arial" w:hAnsi="Arial" w:cs="Arial"/>
          <w:kern w:val="2"/>
          <w:sz w:val="21"/>
          <w:szCs w:val="21"/>
        </w:rPr>
        <w:t>#共</w:t>
      </w:r>
      <w:r>
        <w:rPr>
          <w:rFonts w:hint="eastAsia" w:ascii="Arial" w:hAnsi="Arial" w:cs="Arial"/>
          <w:kern w:val="2"/>
          <w:sz w:val="21"/>
          <w:szCs w:val="21"/>
          <w:lang w:eastAsia="zh-CN"/>
        </w:rPr>
        <w:t>九</w:t>
      </w:r>
      <w:r>
        <w:rPr>
          <w:rFonts w:ascii="Arial" w:hAnsi="Arial" w:cs="Arial"/>
          <w:kern w:val="2"/>
          <w:sz w:val="21"/>
          <w:szCs w:val="21"/>
        </w:rPr>
        <w:t>栋共有产权住房，建成于</w:t>
      </w:r>
      <w:r>
        <w:rPr>
          <w:rFonts w:hint="eastAsia" w:ascii="Arial" w:hAnsi="Arial" w:cs="Arial"/>
          <w:kern w:val="2"/>
          <w:sz w:val="21"/>
          <w:szCs w:val="21"/>
        </w:rPr>
        <w:t>2022</w:t>
      </w:r>
      <w:r>
        <w:rPr>
          <w:rFonts w:ascii="Arial" w:hAnsi="Arial" w:cs="Arial"/>
          <w:kern w:val="2"/>
          <w:sz w:val="21"/>
          <w:szCs w:val="21"/>
        </w:rPr>
        <w:t>年。根据估价委托人提供的</w:t>
      </w:r>
      <w:r>
        <w:rPr>
          <w:rFonts w:ascii="Arial" w:hAnsi="Arial" w:cs="Arial"/>
          <w:sz w:val="21"/>
          <w:szCs w:val="21"/>
        </w:rPr>
        <w:t>《不动产权证书》[</w:t>
      </w:r>
      <w:r>
        <w:rPr>
          <w:rFonts w:hint="default" w:ascii="Arial" w:hAnsi="Arial" w:cs="Arial"/>
          <w:sz w:val="21"/>
          <w:szCs w:val="21"/>
        </w:rPr>
        <w:t>京（20</w:t>
      </w:r>
      <w:r>
        <w:rPr>
          <w:rFonts w:hint="default" w:ascii="Arial" w:hAnsi="Arial" w:cs="Arial"/>
          <w:sz w:val="21"/>
          <w:szCs w:val="21"/>
          <w:lang w:val="en-US" w:eastAsia="zh-CN"/>
        </w:rPr>
        <w:t>22</w:t>
      </w:r>
      <w:r>
        <w:rPr>
          <w:rFonts w:hint="default" w:ascii="Arial" w:hAnsi="Arial" w:cs="Arial"/>
          <w:sz w:val="21"/>
          <w:szCs w:val="21"/>
        </w:rPr>
        <w:t>）</w:t>
      </w:r>
      <w:r>
        <w:rPr>
          <w:rFonts w:hint="default" w:ascii="Arial" w:hAnsi="Arial" w:cs="Arial"/>
          <w:sz w:val="21"/>
          <w:szCs w:val="21"/>
          <w:lang w:eastAsia="zh-CN"/>
        </w:rPr>
        <w:t>房</w:t>
      </w:r>
      <w:r>
        <w:rPr>
          <w:rFonts w:hint="default" w:ascii="Arial" w:hAnsi="Arial" w:cs="Arial"/>
          <w:sz w:val="21"/>
          <w:szCs w:val="21"/>
        </w:rPr>
        <w:t>不动产权第</w:t>
      </w:r>
      <w:r>
        <w:rPr>
          <w:rFonts w:hint="eastAsia" w:ascii="Arial" w:hAnsi="Arial" w:cs="Arial"/>
          <w:sz w:val="21"/>
          <w:szCs w:val="21"/>
          <w:lang w:val="en-US" w:eastAsia="zh-CN"/>
        </w:rPr>
        <w:t>0022348</w:t>
      </w:r>
      <w:r>
        <w:rPr>
          <w:rFonts w:hint="default" w:ascii="Arial" w:hAnsi="Arial" w:cs="Arial"/>
          <w:sz w:val="21"/>
          <w:szCs w:val="21"/>
        </w:rPr>
        <w:t>号</w:t>
      </w:r>
      <w:r>
        <w:rPr>
          <w:rFonts w:ascii="Arial" w:hAnsi="Arial" w:cs="Arial"/>
          <w:sz w:val="21"/>
          <w:szCs w:val="21"/>
        </w:rPr>
        <w:t>]</w:t>
      </w:r>
      <w:r>
        <w:rPr>
          <w:rFonts w:hint="eastAsia" w:ascii="Arial" w:hAnsi="Arial" w:cs="Arial"/>
          <w:sz w:val="21"/>
          <w:szCs w:val="21"/>
          <w:lang w:eastAsia="zh-CN"/>
        </w:rPr>
        <w:t>等</w:t>
      </w:r>
      <w:r>
        <w:rPr>
          <w:rFonts w:hint="eastAsia" w:ascii="Arial" w:hAnsi="Arial" w:cs="Arial"/>
          <w:sz w:val="21"/>
          <w:szCs w:val="21"/>
          <w:lang w:val="en-US" w:eastAsia="zh-CN"/>
        </w:rPr>
        <w:t>9本复印件</w:t>
      </w:r>
      <w:r>
        <w:rPr>
          <w:rFonts w:ascii="Arial" w:hAnsi="Arial" w:cs="Arial"/>
          <w:kern w:val="2"/>
          <w:sz w:val="21"/>
          <w:szCs w:val="21"/>
        </w:rPr>
        <w:t>，本次估价</w:t>
      </w:r>
      <w:r>
        <w:rPr>
          <w:rFonts w:hint="eastAsia" w:ascii="Arial" w:hAnsi="Arial" w:cs="Arial"/>
          <w:kern w:val="2"/>
          <w:sz w:val="21"/>
          <w:szCs w:val="21"/>
          <w:lang w:eastAsia="zh-CN"/>
        </w:rPr>
        <w:t>估价对象</w:t>
      </w:r>
      <w:r>
        <w:rPr>
          <w:rFonts w:ascii="Arial" w:hAnsi="Arial" w:cs="Arial"/>
          <w:kern w:val="2"/>
          <w:sz w:val="21"/>
          <w:szCs w:val="21"/>
        </w:rPr>
        <w:t>建筑面积</w:t>
      </w:r>
      <w:r>
        <w:rPr>
          <w:rFonts w:hint="eastAsia" w:ascii="Arial" w:hAnsi="Arial" w:cs="Arial"/>
          <w:kern w:val="2"/>
          <w:sz w:val="21"/>
          <w:szCs w:val="21"/>
          <w:lang w:eastAsia="zh-CN"/>
        </w:rPr>
        <w:t>共计</w:t>
      </w:r>
      <w:r>
        <w:rPr>
          <w:rFonts w:hint="eastAsia" w:ascii="Arial" w:hAnsi="Arial" w:cs="Arial"/>
          <w:kern w:val="2"/>
          <w:sz w:val="21"/>
          <w:szCs w:val="21"/>
        </w:rPr>
        <w:t>30214.52</w:t>
      </w:r>
      <w:r>
        <w:rPr>
          <w:rFonts w:ascii="Arial" w:hAnsi="Arial" w:cs="Arial"/>
          <w:kern w:val="2"/>
          <w:sz w:val="21"/>
          <w:szCs w:val="21"/>
        </w:rPr>
        <w:t>平方米，可对外配租房屋共计</w:t>
      </w:r>
      <w:r>
        <w:rPr>
          <w:rFonts w:hint="eastAsia" w:ascii="Arial" w:hAnsi="Arial" w:cs="Arial"/>
          <w:kern w:val="2"/>
          <w:sz w:val="21"/>
          <w:szCs w:val="21"/>
          <w:lang w:val="en-US" w:eastAsia="zh-CN"/>
        </w:rPr>
        <w:t>356</w:t>
      </w:r>
      <w:r>
        <w:rPr>
          <w:rFonts w:ascii="Arial" w:hAnsi="Arial" w:cs="Arial"/>
          <w:kern w:val="2"/>
          <w:sz w:val="21"/>
          <w:szCs w:val="21"/>
        </w:rPr>
        <w:t>套。房源具体户型等情况详见下表：</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30"/>
        <w:gridCol w:w="1300"/>
        <w:gridCol w:w="1938"/>
        <w:gridCol w:w="1918"/>
        <w:gridCol w:w="1398"/>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户型</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朝向</w:t>
            </w:r>
          </w:p>
        </w:tc>
        <w:tc>
          <w:tcPr>
            <w:tcW w:w="1971"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面积范围</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所属楼宇</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套数</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三室两厅两卫</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南北</w:t>
            </w:r>
          </w:p>
        </w:tc>
        <w:tc>
          <w:tcPr>
            <w:tcW w:w="1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88.38-89.46</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3#、4#、6#、7#</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156</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13849.92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三室两厅一卫</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南北</w:t>
            </w:r>
          </w:p>
        </w:tc>
        <w:tc>
          <w:tcPr>
            <w:tcW w:w="1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81.59-82.25</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1#、2#、5#、8#、9#</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200</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16364.6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6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rPr>
            </w:pPr>
            <w:r>
              <w:rPr>
                <w:rFonts w:hint="default" w:ascii="Arial" w:hAnsi="Arial" w:eastAsia="华文细黑" w:cs="Arial"/>
                <w:sz w:val="18"/>
                <w:szCs w:val="18"/>
              </w:rPr>
              <w:t>　合计</w:t>
            </w:r>
          </w:p>
        </w:tc>
        <w:tc>
          <w:tcPr>
            <w:tcW w:w="13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97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both"/>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lang w:eastAsia="zh-CN"/>
              </w:rPr>
            </w:pPr>
            <w:r>
              <w:rPr>
                <w:rFonts w:hint="default" w:ascii="Arial" w:hAnsi="Arial" w:eastAsia="华文细黑" w:cs="Arial"/>
                <w:sz w:val="18"/>
                <w:szCs w:val="18"/>
                <w:lang w:eastAsia="zh-CN"/>
              </w:rPr>
              <w:t>——</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356</w:t>
            </w:r>
          </w:p>
        </w:tc>
        <w:tc>
          <w:tcPr>
            <w:tcW w:w="143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both"/>
              <w:textAlignment w:val="center"/>
              <w:rPr>
                <w:rFonts w:hint="default" w:ascii="Arial" w:hAnsi="Arial" w:eastAsia="华文细黑" w:cs="Arial"/>
                <w:sz w:val="18"/>
                <w:szCs w:val="18"/>
              </w:rPr>
            </w:pPr>
            <w:r>
              <w:rPr>
                <w:rFonts w:hint="default" w:ascii="Arial" w:hAnsi="Arial" w:eastAsia="华文细黑" w:cs="Arial"/>
                <w:i w:val="0"/>
                <w:iCs w:val="0"/>
                <w:color w:val="000000"/>
                <w:kern w:val="0"/>
                <w:sz w:val="18"/>
                <w:szCs w:val="18"/>
                <w:u w:val="none"/>
                <w:lang w:val="en-US" w:eastAsia="zh-CN" w:bidi="ar"/>
              </w:rPr>
              <w:t>30214.52</w:t>
            </w:r>
          </w:p>
        </w:tc>
      </w:tr>
    </w:tbl>
    <w:p>
      <w:pPr>
        <w:keepNext w:val="0"/>
        <w:keepLines w:val="0"/>
        <w:pageBreakBefore w:val="0"/>
        <w:widowControl/>
        <w:kinsoku/>
        <w:wordWrap/>
        <w:overflowPunct w:val="0"/>
        <w:topLinePunct w:val="0"/>
        <w:autoSpaceDE/>
        <w:autoSpaceDN/>
        <w:bidi w:val="0"/>
        <w:adjustRightInd w:val="0"/>
        <w:snapToGrid w:val="0"/>
        <w:ind w:firstLine="360" w:firstLineChars="200"/>
        <w:jc w:val="both"/>
        <w:textAlignment w:val="auto"/>
        <w:rPr>
          <w:rFonts w:ascii="Arial" w:hAnsi="Arial" w:cs="Arial"/>
          <w:kern w:val="2"/>
          <w:sz w:val="18"/>
          <w:szCs w:val="18"/>
        </w:rPr>
      </w:pPr>
    </w:p>
    <w:p>
      <w:pPr>
        <w:tabs>
          <w:tab w:val="left" w:pos="3544"/>
        </w:tabs>
        <w:overflowPunct w:val="0"/>
        <w:spacing w:line="480" w:lineRule="auto"/>
        <w:ind w:firstLine="420" w:firstLineChars="200"/>
        <w:jc w:val="both"/>
        <w:rPr>
          <w:rFonts w:ascii="Arial" w:hAnsi="Arial" w:cs="Arial"/>
          <w:kern w:val="2"/>
          <w:sz w:val="21"/>
          <w:szCs w:val="21"/>
        </w:rPr>
      </w:pPr>
      <w:r>
        <w:rPr>
          <w:rFonts w:ascii="Arial" w:hAnsi="Arial" w:cs="Arial"/>
          <w:kern w:val="2"/>
          <w:sz w:val="21"/>
          <w:szCs w:val="21"/>
        </w:rPr>
        <w:t>根据估价人员现场勘查，估价对象</w:t>
      </w:r>
      <w:r>
        <w:rPr>
          <w:rFonts w:hint="eastAsia" w:ascii="Arial" w:hAnsi="Arial" w:cs="Arial"/>
          <w:kern w:val="2"/>
          <w:sz w:val="21"/>
          <w:szCs w:val="21"/>
        </w:rPr>
        <w:t>交付</w:t>
      </w:r>
      <w:r>
        <w:rPr>
          <w:rFonts w:ascii="Arial" w:hAnsi="Arial" w:cs="Arial"/>
          <w:kern w:val="2"/>
          <w:sz w:val="21"/>
          <w:szCs w:val="21"/>
        </w:rPr>
        <w:t>装饰装修标准如下：</w:t>
      </w:r>
    </w:p>
    <w:tbl>
      <w:tblPr>
        <w:tblStyle w:val="32"/>
        <w:tblW w:w="9298" w:type="dxa"/>
        <w:jc w:val="center"/>
        <w:tblLayout w:type="autofit"/>
        <w:tblCellMar>
          <w:top w:w="57" w:type="dxa"/>
          <w:left w:w="57" w:type="dxa"/>
          <w:bottom w:w="57" w:type="dxa"/>
          <w:right w:w="57" w:type="dxa"/>
        </w:tblCellMar>
      </w:tblPr>
      <w:tblGrid>
        <w:gridCol w:w="687"/>
        <w:gridCol w:w="2320"/>
        <w:gridCol w:w="6291"/>
      </w:tblGrid>
      <w:tr>
        <w:tblPrEx>
          <w:tblCellMar>
            <w:top w:w="57" w:type="dxa"/>
            <w:left w:w="57" w:type="dxa"/>
            <w:bottom w:w="57" w:type="dxa"/>
            <w:right w:w="57" w:type="dxa"/>
          </w:tblCellMar>
        </w:tblPrEx>
        <w:trPr>
          <w:trHeight w:val="285"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序号</w:t>
            </w:r>
          </w:p>
        </w:tc>
        <w:tc>
          <w:tcPr>
            <w:tcW w:w="22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部 件</w:t>
            </w:r>
          </w:p>
        </w:tc>
        <w:tc>
          <w:tcPr>
            <w:tcW w:w="622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装修标准</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1</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lang w:eastAsia="zh-CN"/>
              </w:rPr>
              <w:t>外墙</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lang w:eastAsia="zh-CN"/>
              </w:rPr>
              <w:t>墙砖</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2</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单元门</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玻璃门</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3</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户门</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防盗门</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4</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室内门</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rPr>
              <w:t>木门、木玻门</w:t>
            </w:r>
            <w:r>
              <w:rPr>
                <w:rFonts w:hint="default" w:ascii="Arial" w:hAnsi="Arial" w:eastAsia="华文细黑" w:cs="Arial"/>
                <w:sz w:val="18"/>
                <w:szCs w:val="18"/>
                <w:lang w:eastAsia="zh-CN"/>
              </w:rPr>
              <w:t>、铝合金门</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5</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外窗</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lang w:eastAsia="zh-CN"/>
              </w:rPr>
              <w:t>断桥铝</w:t>
            </w:r>
            <w:r>
              <w:rPr>
                <w:rFonts w:hint="default" w:ascii="Arial" w:hAnsi="Arial" w:eastAsia="华文细黑" w:cs="Arial"/>
                <w:sz w:val="18"/>
                <w:szCs w:val="18"/>
              </w:rPr>
              <w:t>窗</w:t>
            </w:r>
          </w:p>
        </w:tc>
      </w:tr>
      <w:tr>
        <w:tblPrEx>
          <w:tblCellMar>
            <w:top w:w="57" w:type="dxa"/>
            <w:left w:w="57" w:type="dxa"/>
            <w:bottom w:w="57" w:type="dxa"/>
            <w:right w:w="57" w:type="dxa"/>
          </w:tblCellMar>
        </w:tblPrEx>
        <w:trPr>
          <w:trHeight w:val="303"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6</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客厅、卧室</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rPr>
              <w:t>顶棚：涂料；墙面：涂料；地面：地砖；</w:t>
            </w:r>
            <w:r>
              <w:rPr>
                <w:rFonts w:hint="default" w:ascii="Arial" w:hAnsi="Arial" w:eastAsia="华文细黑" w:cs="Arial"/>
                <w:sz w:val="18"/>
                <w:szCs w:val="18"/>
                <w:lang w:eastAsia="zh-CN"/>
              </w:rPr>
              <w:t>木质</w:t>
            </w:r>
            <w:r>
              <w:rPr>
                <w:rFonts w:hint="default" w:ascii="Arial" w:hAnsi="Arial" w:eastAsia="华文细黑" w:cs="Arial"/>
                <w:sz w:val="18"/>
                <w:szCs w:val="18"/>
              </w:rPr>
              <w:t>踢脚、木质门框</w:t>
            </w:r>
            <w:r>
              <w:rPr>
                <w:rFonts w:hint="default" w:ascii="Arial" w:hAnsi="Arial" w:eastAsia="华文细黑" w:cs="Arial"/>
                <w:sz w:val="18"/>
                <w:szCs w:val="18"/>
                <w:lang w:eastAsia="zh-CN"/>
              </w:rPr>
              <w:t>、过门石</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7</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厨房</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rPr>
              <w:t>顶棚：铝扣板；墙面：墙砖；地面：地砖；整体橱柜</w:t>
            </w:r>
            <w:r>
              <w:rPr>
                <w:rFonts w:hint="default" w:ascii="Arial" w:hAnsi="Arial" w:eastAsia="华文细黑" w:cs="Arial"/>
                <w:sz w:val="18"/>
                <w:szCs w:val="18"/>
                <w:lang w:eastAsia="zh-CN"/>
              </w:rPr>
              <w:t>、不锈钢洗菜池</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8</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卫生间</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顶棚：铝扣板；墙面：墙砖；地面：地砖；陶瓷洗手池、座便器</w:t>
            </w:r>
          </w:p>
        </w:tc>
      </w:tr>
      <w:tr>
        <w:tblPrEx>
          <w:tblCellMar>
            <w:top w:w="57" w:type="dxa"/>
            <w:left w:w="57" w:type="dxa"/>
            <w:bottom w:w="57" w:type="dxa"/>
            <w:right w:w="57" w:type="dxa"/>
          </w:tblCellMar>
        </w:tblPrEx>
        <w:trPr>
          <w:trHeight w:val="285"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9</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阳台</w:t>
            </w:r>
          </w:p>
        </w:tc>
        <w:tc>
          <w:tcPr>
            <w:tcW w:w="622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lang w:eastAsia="zh-CN"/>
              </w:rPr>
            </w:pPr>
            <w:r>
              <w:rPr>
                <w:rFonts w:hint="default" w:ascii="Arial" w:hAnsi="Arial" w:eastAsia="华文细黑" w:cs="Arial"/>
                <w:sz w:val="18"/>
                <w:szCs w:val="18"/>
              </w:rPr>
              <w:t>顶棚：涂料；墙面：涂料；地面：地砖</w:t>
            </w:r>
            <w:r>
              <w:rPr>
                <w:rFonts w:hint="default" w:ascii="Arial" w:hAnsi="Arial" w:eastAsia="华文细黑" w:cs="Arial"/>
                <w:sz w:val="18"/>
                <w:szCs w:val="18"/>
                <w:lang w:eastAsia="zh-CN"/>
              </w:rPr>
              <w:t>；瓷砖踢脚、铁护栏</w:t>
            </w:r>
          </w:p>
        </w:tc>
      </w:tr>
      <w:tr>
        <w:tblPrEx>
          <w:tblCellMar>
            <w:top w:w="57" w:type="dxa"/>
            <w:left w:w="57" w:type="dxa"/>
            <w:bottom w:w="57" w:type="dxa"/>
            <w:right w:w="57" w:type="dxa"/>
          </w:tblCellMar>
        </w:tblPrEx>
        <w:trPr>
          <w:trHeight w:val="291" w:hRule="atLeast"/>
          <w:jc w:val="center"/>
        </w:trPr>
        <w:tc>
          <w:tcPr>
            <w:tcW w:w="6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10</w:t>
            </w:r>
          </w:p>
        </w:tc>
        <w:tc>
          <w:tcPr>
            <w:tcW w:w="229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设备</w:t>
            </w:r>
          </w:p>
        </w:tc>
        <w:tc>
          <w:tcPr>
            <w:tcW w:w="62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lang w:eastAsia="zh-CN"/>
              </w:rPr>
              <w:t>抽油烟机、灶台</w:t>
            </w:r>
            <w:r>
              <w:rPr>
                <w:rFonts w:hint="default" w:ascii="Arial" w:hAnsi="Arial" w:eastAsia="华文细黑" w:cs="Arial"/>
                <w:sz w:val="18"/>
                <w:szCs w:val="18"/>
              </w:rPr>
              <w:t>、淋浴器</w:t>
            </w:r>
          </w:p>
        </w:tc>
      </w:tr>
    </w:tbl>
    <w:p>
      <w:pPr>
        <w:keepNext w:val="0"/>
        <w:keepLines w:val="0"/>
        <w:pageBreakBefore w:val="0"/>
        <w:widowControl/>
        <w:kinsoku/>
        <w:wordWrap w:val="0"/>
        <w:overflowPunct w:val="0"/>
        <w:topLinePunct w:val="0"/>
        <w:autoSpaceDE/>
        <w:autoSpaceDN/>
        <w:bidi w:val="0"/>
        <w:adjustRightInd w:val="0"/>
        <w:snapToGrid w:val="0"/>
        <w:spacing w:line="240" w:lineRule="auto"/>
        <w:ind w:firstLine="360" w:firstLineChars="200"/>
        <w:jc w:val="both"/>
        <w:textAlignment w:val="auto"/>
        <w:rPr>
          <w:rFonts w:ascii="Arial" w:hAnsi="Arial" w:cs="Arial"/>
          <w:kern w:val="2"/>
          <w:sz w:val="18"/>
          <w:szCs w:val="18"/>
        </w:rPr>
      </w:pP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估价人员实地查勘，于价值时点，估价对象已完工，未发现重大质量缺损情况，综合各项因素认为实物状况较好。</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3.对价格影响的分析</w:t>
      </w:r>
    </w:p>
    <w:p>
      <w:pPr>
        <w:wordWrap w:val="0"/>
        <w:overflowPunct w:val="0"/>
        <w:spacing w:line="480" w:lineRule="auto"/>
        <w:ind w:firstLine="420" w:firstLineChars="200"/>
        <w:jc w:val="both"/>
        <w:rPr>
          <w:rFonts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pPr>
        <w:pStyle w:val="3"/>
        <w:numPr>
          <w:ilvl w:val="0"/>
          <w:numId w:val="0"/>
        </w:numPr>
        <w:spacing w:line="480" w:lineRule="auto"/>
        <w:ind w:left="360" w:hanging="361" w:hangingChars="171"/>
        <w:jc w:val="both"/>
        <w:rPr>
          <w:rFonts w:eastAsia="宋体"/>
          <w:kern w:val="2"/>
          <w:sz w:val="21"/>
          <w:szCs w:val="21"/>
        </w:rPr>
      </w:pPr>
      <w:bookmarkStart w:id="41" w:name="_Toc525655436"/>
      <w:r>
        <w:rPr>
          <w:rFonts w:eastAsia="宋体"/>
          <w:kern w:val="2"/>
          <w:sz w:val="21"/>
          <w:szCs w:val="21"/>
        </w:rPr>
        <w:t>（三）权益状况分析</w:t>
      </w:r>
      <w:bookmarkEnd w:id="41"/>
    </w:p>
    <w:p>
      <w:pPr>
        <w:spacing w:line="480" w:lineRule="auto"/>
        <w:ind w:firstLine="420" w:firstLineChars="200"/>
        <w:jc w:val="both"/>
        <w:rPr>
          <w:rFonts w:ascii="Arial" w:hAnsi="Arial" w:cs="Arial"/>
          <w:kern w:val="2"/>
          <w:sz w:val="21"/>
          <w:szCs w:val="21"/>
        </w:rPr>
      </w:pPr>
      <w:r>
        <w:rPr>
          <w:rFonts w:ascii="Arial" w:hAnsi="Arial" w:cs="Arial"/>
          <w:sz w:val="21"/>
          <w:szCs w:val="21"/>
        </w:rPr>
        <w:t>根据估价委托人提供的资料及评估专业人员实地查勘，于价值时点，未发现估价对象存在</w:t>
      </w:r>
      <w:r>
        <w:rPr>
          <w:rFonts w:ascii="Arial" w:hAnsi="Arial" w:cs="Arial"/>
          <w:kern w:val="2"/>
          <w:sz w:val="21"/>
          <w:szCs w:val="21"/>
        </w:rPr>
        <w:t>抵押、地役、查封等他项权利</w:t>
      </w:r>
      <w:r>
        <w:rPr>
          <w:rFonts w:ascii="Arial" w:hAnsi="Arial" w:cs="Arial"/>
          <w:sz w:val="21"/>
          <w:szCs w:val="21"/>
        </w:rPr>
        <w:t>。</w:t>
      </w:r>
      <w:r>
        <w:rPr>
          <w:rFonts w:ascii="Arial" w:hAnsi="Arial" w:cs="Arial"/>
          <w:kern w:val="2"/>
          <w:sz w:val="21"/>
          <w:szCs w:val="21"/>
        </w:rPr>
        <w:t>根据估价目的，本次估价未考虑抵押、地役、查封等他项权利影响，故设定估价对象于价值时点不存在抵押、地役、查封等他项权利限制。</w:t>
      </w:r>
    </w:p>
    <w:p>
      <w:pPr>
        <w:spacing w:line="480" w:lineRule="auto"/>
        <w:ind w:firstLine="420" w:firstLineChars="200"/>
        <w:jc w:val="both"/>
        <w:rPr>
          <w:rFonts w:ascii="Arial" w:hAnsi="Arial" w:cs="Arial"/>
          <w:sz w:val="21"/>
          <w:szCs w:val="21"/>
        </w:rPr>
      </w:pPr>
    </w:p>
    <w:p>
      <w:pPr>
        <w:pStyle w:val="3"/>
        <w:numPr>
          <w:ilvl w:val="0"/>
          <w:numId w:val="0"/>
        </w:numPr>
        <w:spacing w:line="480" w:lineRule="auto"/>
        <w:ind w:left="358" w:hanging="358" w:hangingChars="170"/>
        <w:jc w:val="both"/>
        <w:rPr>
          <w:rFonts w:eastAsia="宋体"/>
          <w:kern w:val="2"/>
          <w:sz w:val="21"/>
          <w:szCs w:val="21"/>
        </w:rPr>
      </w:pPr>
      <w:bookmarkStart w:id="42" w:name="_Toc525655437"/>
      <w:r>
        <w:rPr>
          <w:rFonts w:eastAsia="宋体"/>
          <w:kern w:val="2"/>
          <w:sz w:val="21"/>
          <w:szCs w:val="21"/>
        </w:rPr>
        <w:t>二、市场背景描述与分析</w:t>
      </w:r>
      <w:bookmarkEnd w:id="42"/>
    </w:p>
    <w:p>
      <w:pPr>
        <w:overflowPunct w:val="0"/>
        <w:spacing w:line="480" w:lineRule="auto"/>
        <w:ind w:right="205"/>
        <w:jc w:val="both"/>
        <w:rPr>
          <w:rFonts w:ascii="Arial" w:hAnsi="Arial"/>
          <w:b/>
          <w:bCs/>
          <w:sz w:val="21"/>
          <w:szCs w:val="21"/>
        </w:rPr>
      </w:pPr>
      <w:r>
        <w:rPr>
          <w:rFonts w:hint="eastAsia" w:ascii="Arial" w:hAnsi="Arial"/>
          <w:b/>
          <w:bCs/>
          <w:sz w:val="21"/>
          <w:szCs w:val="21"/>
        </w:rPr>
        <w:t>（一）20</w:t>
      </w:r>
      <w:r>
        <w:rPr>
          <w:rFonts w:hint="eastAsia" w:ascii="Arial" w:hAnsi="Arial"/>
          <w:b/>
          <w:bCs/>
          <w:sz w:val="21"/>
          <w:szCs w:val="21"/>
          <w:lang w:val="en-US" w:eastAsia="zh-CN"/>
        </w:rPr>
        <w:t>23</w:t>
      </w:r>
      <w:r>
        <w:rPr>
          <w:rFonts w:hint="eastAsia" w:ascii="Arial" w:hAnsi="Arial"/>
          <w:b/>
          <w:bCs/>
          <w:sz w:val="21"/>
          <w:szCs w:val="21"/>
        </w:rPr>
        <w:t>年</w:t>
      </w:r>
      <w:r>
        <w:rPr>
          <w:rFonts w:hint="eastAsia" w:ascii="Arial" w:hAnsi="Arial"/>
          <w:b/>
          <w:bCs/>
          <w:sz w:val="21"/>
          <w:szCs w:val="21"/>
          <w:lang w:val="en-US" w:eastAsia="zh-CN"/>
        </w:rPr>
        <w:t>1</w:t>
      </w:r>
      <w:r>
        <w:rPr>
          <w:rFonts w:hint="eastAsia" w:ascii="Arial" w:hAnsi="Arial"/>
          <w:b/>
          <w:bCs/>
          <w:sz w:val="21"/>
          <w:szCs w:val="21"/>
        </w:rPr>
        <w:t>季度类似房地产市场状况</w:t>
      </w:r>
    </w:p>
    <w:p>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pPr>
        <w:widowControl/>
        <w:adjustRightInd/>
        <w:spacing w:line="480" w:lineRule="auto"/>
        <w:ind w:firstLine="525" w:firstLineChars="250"/>
        <w:jc w:val="both"/>
        <w:textAlignment w:val="auto"/>
        <w:rPr>
          <w:rFonts w:hint="eastAsia" w:ascii="Arial" w:hAnsi="Arial"/>
          <w:color w:val="000000"/>
          <w:sz w:val="21"/>
          <w:szCs w:val="21"/>
        </w:rPr>
      </w:pPr>
      <w:bookmarkStart w:id="43" w:name="OLE_LINK34"/>
      <w:bookmarkStart w:id="44"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截至2022年年末，北京市常住人口为2184.3万人，从年龄构成看，0-14岁常住人口264万人，占全市常住人口的比重为12.1%；15-59岁常住人口1455.2万人，占66.6%；60岁及以上常住人口465.1万人，占21.3%。</w:t>
      </w:r>
    </w:p>
    <w:p>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2018-2022</w:t>
      </w:r>
      <w:r>
        <w:rPr>
          <w:rFonts w:hint="eastAsia" w:ascii="Arial" w:hAnsi="Arial" w:eastAsia="方正黑体简体"/>
          <w:bCs/>
          <w:color w:val="000000"/>
          <w:szCs w:val="24"/>
        </w:rPr>
        <w:t>年常住人口增量及增长速度</w:t>
      </w:r>
    </w:p>
    <w:p>
      <w:pPr>
        <w:widowControl/>
        <w:adjustRightInd/>
        <w:spacing w:line="480" w:lineRule="auto"/>
        <w:jc w:val="both"/>
        <w:textAlignment w:val="auto"/>
        <w:rPr>
          <w:rFonts w:hint="eastAsia" w:ascii="Arial" w:hAnsi="Arial"/>
          <w:color w:val="000000"/>
          <w:sz w:val="21"/>
          <w:szCs w:val="21"/>
        </w:rPr>
      </w:pPr>
      <w:r>
        <w:drawing>
          <wp:inline distT="0" distB="0" distL="114300" distR="114300">
            <wp:extent cx="5890260" cy="2528570"/>
            <wp:effectExtent l="4445" t="4445" r="10795" b="1968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43"/>
    <w:bookmarkEnd w:id="44"/>
    <w:p>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widowControl/>
        <w:adjustRightInd/>
        <w:spacing w:line="480" w:lineRule="auto"/>
        <w:ind w:firstLine="525" w:firstLineChars="250"/>
        <w:jc w:val="both"/>
        <w:textAlignment w:val="auto"/>
        <w:rPr>
          <w:rFonts w:hint="eastAsia" w:ascii="Arial" w:hAnsi="Arial"/>
          <w:color w:val="000000"/>
          <w:sz w:val="21"/>
          <w:szCs w:val="21"/>
        </w:rPr>
      </w:pPr>
      <w:bookmarkStart w:id="45" w:name="OLE_LINK39"/>
      <w:r>
        <w:rPr>
          <w:rFonts w:hint="eastAsia" w:ascii="Arial" w:hAnsi="Arial"/>
          <w:color w:val="000000"/>
          <w:sz w:val="21"/>
          <w:szCs w:val="21"/>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一季度，北京市房地产开发企业房屋新开工面积为325.3万平方米，同比增长29.6%。其中，住宅新开工面积为174.8万平方米，增长46.3%；办公楼为17.7万平方米，下降22%；商业营业用房为11.1万平方米，下降37.2%。房屋竣工面积为178万平方米，同比增长12.6%。其中，住宅竣工面积为92.7万平方米，增长45.6%；办公楼为30.6万平方米，下降28%；商业营业用房为5.6万平方米，下降60.2%。新建商品房销售面积为218.6万平方米，同比增长13.5%。其中，住宅销售面积为147.3万平方米，增长7.1%；办公楼为18.7万平方米，增长56.1%；商业营业用房为23.6万平方米，增长69.4%。</w:t>
      </w:r>
    </w:p>
    <w:bookmarkEnd w:id="45"/>
    <w:p>
      <w:pPr>
        <w:widowControl/>
        <w:adjustRightInd/>
        <w:spacing w:line="480" w:lineRule="auto"/>
        <w:ind w:firstLine="525" w:firstLineChars="250"/>
        <w:jc w:val="both"/>
        <w:textAlignment w:val="auto"/>
        <w:rPr>
          <w:rFonts w:ascii="Arial" w:hAnsi="Arial" w:cs="宋体"/>
          <w:color w:val="000000"/>
          <w:sz w:val="21"/>
          <w:szCs w:val="21"/>
        </w:rPr>
      </w:pPr>
      <w:r>
        <w:rPr>
          <w:rFonts w:hint="eastAsia" w:ascii="Arial" w:hAnsi="Arial"/>
          <w:color w:val="000000"/>
          <w:sz w:val="21"/>
          <w:szCs w:val="21"/>
        </w:rPr>
        <w:t>总的来看，一季度北京市经济呈现回升向好态势，社会民生保障有力，发展质量继续提升。</w:t>
      </w:r>
    </w:p>
    <w:p>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color w:val="000000"/>
          <w:sz w:val="21"/>
          <w:szCs w:val="21"/>
        </w:rPr>
        <w:t>2023年北京集中供地制度继续优化完善，定期发布拟供应商品住宅用地清单，采取“多频少量”的方式推进清单地块出让，以常态化的方式保持供地节奏。一季度，北京宅地整体供求节奏较慢，且受去年集中供地节奏影响，用球规模同比均大幅回落。从供应端来看，2023年一季度北京商品住宅用地共推出6宗，累计供应规划建面44.78万㎡，同比下降74%；从需求端来看，一季度北京累计成交8宗商品住宅用地，成交规划建面67.66万㎡，同比下降58%。</w:t>
      </w:r>
    </w:p>
    <w:p>
      <w:pPr>
        <w:widowControl/>
        <w:overflowPunct w:val="0"/>
        <w:adjustRightInd/>
        <w:spacing w:line="480" w:lineRule="auto"/>
        <w:jc w:val="center"/>
        <w:textAlignment w:val="auto"/>
        <w:rPr>
          <w:rFonts w:ascii="Arial" w:hAnsi="Arial"/>
          <w:sz w:val="21"/>
          <w:szCs w:val="21"/>
        </w:rPr>
      </w:pPr>
      <w:r>
        <w:drawing>
          <wp:inline distT="0" distB="0" distL="114300" distR="114300">
            <wp:extent cx="5905500" cy="1915160"/>
            <wp:effectExtent l="0" t="0" r="0" b="889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1"/>
                    <a:stretch>
                      <a:fillRect/>
                    </a:stretch>
                  </pic:blipFill>
                  <pic:spPr>
                    <a:xfrm>
                      <a:off x="0" y="0"/>
                      <a:ext cx="5905500" cy="1915160"/>
                    </a:xfrm>
                    <a:prstGeom prst="rect">
                      <a:avLst/>
                    </a:prstGeom>
                    <a:noFill/>
                    <a:ln>
                      <a:noFill/>
                    </a:ln>
                  </pic:spPr>
                </pic:pic>
              </a:graphicData>
            </a:graphic>
          </wp:inline>
        </w:drawing>
      </w:r>
    </w:p>
    <w:p>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（2）土地成交价格</w:t>
      </w:r>
    </w:p>
    <w:p>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2023年一季度，北京宅地整体成交楼面均价25433元/㎡，受去年同期丰台、朝阳等地块高楼面价基数影响，同比结构下降15%。溢价率方面，受昌平朱辛庄地块、昌平回龙观国际信息产业基地二期地块、石景山苹果园地块以及朝阳小红门地块高溢价带动，北京一季度宅地成交溢价率4.5%，同比提高1.9个百分点。但整体来看市场热度依然分化明显，成交的8宗地块中，4宗地块触及地价上限，溢价率15%，其中昌平朱辛庄地块吸引42家企业参与报名，摇号中签率仅2.38%，刷新了北京土拍史上中签率新低纪录；而其他4宗地块均以底价成交。</w:t>
      </w:r>
    </w:p>
    <w:p>
      <w:pPr>
        <w:overflowPunct w:val="0"/>
        <w:spacing w:line="480" w:lineRule="auto"/>
        <w:ind w:firstLine="420" w:firstLineChars="200"/>
        <w:jc w:val="both"/>
        <w:textAlignment w:val="auto"/>
        <w:rPr>
          <w:rFonts w:ascii="Arial" w:hAnsi="Arial"/>
          <w:sz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）区域成交情况</w:t>
      </w:r>
    </w:p>
    <w:p>
      <w:pPr>
        <w:spacing w:line="480" w:lineRule="auto"/>
        <w:ind w:firstLine="420" w:firstLineChars="200"/>
        <w:jc w:val="both"/>
        <w:rPr>
          <w:rFonts w:ascii="Arial" w:hAnsi="Arial"/>
          <w:sz w:val="21"/>
        </w:rPr>
      </w:pPr>
      <w:r>
        <w:rPr>
          <w:rFonts w:hint="eastAsia" w:ascii="Arial" w:hAnsi="Arial"/>
          <w:sz w:val="21"/>
        </w:rPr>
        <w:t>2023年一季度，中心城区仅朝阳和石景山各成交1宗宅地，累计成交规划建面9.05万㎡，占比13%，较上年同期下降20个百分点。近郊依然为宅地供求的主要区域，累计成交58.61万㎡，占比为87%，较去年同期提升27个百分点；其中昌平、大兴为主力成交区域，成交规模分别为24.69万㎡和19.46万㎡，成交规模占比分别为36%和29%。</w:t>
      </w:r>
    </w:p>
    <w:p>
      <w:pPr>
        <w:spacing w:line="480" w:lineRule="auto"/>
        <w:jc w:val="center"/>
        <w:rPr>
          <w:rFonts w:ascii="Arial" w:hAnsi="Arial" w:cs="Arial"/>
          <w:sz w:val="21"/>
          <w:szCs w:val="21"/>
          <w:highlight w:val="lightGray"/>
        </w:rPr>
      </w:pPr>
      <w:r>
        <w:drawing>
          <wp:inline distT="0" distB="0" distL="114300" distR="114300">
            <wp:extent cx="5908675" cy="2030095"/>
            <wp:effectExtent l="0" t="0" r="15875" b="825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2"/>
                    <a:stretch>
                      <a:fillRect/>
                    </a:stretch>
                  </pic:blipFill>
                  <pic:spPr>
                    <a:xfrm>
                      <a:off x="0" y="0"/>
                      <a:ext cx="5908675" cy="2030095"/>
                    </a:xfrm>
                    <a:prstGeom prst="rect">
                      <a:avLst/>
                    </a:prstGeom>
                    <a:noFill/>
                    <a:ln>
                      <a:noFill/>
                    </a:ln>
                  </pic:spPr>
                </pic:pic>
              </a:graphicData>
            </a:graphic>
          </wp:inline>
        </w:drawing>
      </w:r>
    </w:p>
    <w:p>
      <w:pPr>
        <w:spacing w:line="480" w:lineRule="auto"/>
        <w:ind w:firstLine="420" w:firstLineChars="200"/>
        <w:rPr>
          <w:rFonts w:hint="eastAsia" w:ascii="Arial" w:hAnsi="Arial" w:cs="Arial"/>
          <w:sz w:val="21"/>
          <w:szCs w:val="21"/>
        </w:rPr>
      </w:pPr>
      <w:r>
        <w:rPr>
          <w:rFonts w:hint="eastAsia" w:ascii="Arial" w:hAnsi="Arial" w:cs="Arial"/>
          <w:sz w:val="21"/>
          <w:szCs w:val="21"/>
        </w:rPr>
        <w:t xml:space="preserve">成交楼面均价方面，中心城区楼面均价相对较高，朝阳、石景山成交楼面均价均在4万元/㎡以上；近郊区域成交楼面价多介于1.5-3万元之间，其中昌平地价相对较高，约为3.0万元/㎡，房山成交楼面价约为2.2万元/㎡；大兴、通州区域成交楼面价1.6万元/㎡。从同比变化来看，房山成交楼面价上涨39%；朝阳成交楼面价微涨2%；昌平成交楼面价较去年持平；大兴、通州成交楼面价同比分别下降36%和28%。 </w:t>
      </w:r>
    </w:p>
    <w:p>
      <w:pPr>
        <w:spacing w:line="480" w:lineRule="auto"/>
        <w:ind w:firstLine="420" w:firstLineChars="200"/>
        <w:rPr>
          <w:rFonts w:hint="eastAsia" w:ascii="Arial" w:hAnsi="Arial" w:cs="Arial"/>
          <w:sz w:val="21"/>
          <w:szCs w:val="21"/>
        </w:rPr>
      </w:pPr>
      <w:r>
        <w:rPr>
          <w:rFonts w:hint="eastAsia" w:ascii="Arial" w:hAnsi="Arial" w:cs="Arial"/>
          <w:sz w:val="21"/>
          <w:szCs w:val="21"/>
        </w:rPr>
        <w:t>溢价率方面：从各个宅地竞拍情况来看，朝阳、石景山地块竞争较为激烈，均触达地价上限；昌平优质地块竞争也较激烈，朱辛庄地块、回龙观国际信息产业基地二期地块均触顶摇号成交；而通州、大兴、房山地块均以底价成交。</w:t>
      </w:r>
    </w:p>
    <w:p>
      <w:pPr>
        <w:spacing w:line="480" w:lineRule="auto"/>
        <w:jc w:val="center"/>
        <w:rPr>
          <w:rFonts w:hint="eastAsia" w:ascii="Arial" w:hAnsi="Arial" w:cs="Arial"/>
          <w:sz w:val="21"/>
          <w:szCs w:val="21"/>
        </w:rPr>
      </w:pPr>
      <w:r>
        <w:drawing>
          <wp:inline distT="0" distB="0" distL="114300" distR="114300">
            <wp:extent cx="5909945" cy="1943735"/>
            <wp:effectExtent l="0" t="0" r="14605" b="1841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3"/>
                    <a:stretch>
                      <a:fillRect/>
                    </a:stretch>
                  </pic:blipFill>
                  <pic:spPr>
                    <a:xfrm>
                      <a:off x="0" y="0"/>
                      <a:ext cx="5909945" cy="1943735"/>
                    </a:xfrm>
                    <a:prstGeom prst="rect">
                      <a:avLst/>
                    </a:prstGeom>
                    <a:noFill/>
                    <a:ln>
                      <a:noFill/>
                    </a:ln>
                  </pic:spPr>
                </pic:pic>
              </a:graphicData>
            </a:graphic>
          </wp:inline>
        </w:drawing>
      </w:r>
    </w:p>
    <w:p>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（4）供应计划</w:t>
      </w:r>
    </w:p>
    <w:p>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月22日，北京规自委、北京发改委联合发布《北京市2023年度建设用地供应计划》。计划安排建设用地供应总量3190-3630公顷，与2022年基本持平。其中，住宅用地1060公顷（产权住宅用地800公顷，租赁住宅用地260公顷）。从各区供应计划来看，供地重点向城市副中心和多点地区倾斜，促进土地资源合理配置。中心城区、生态涵养区的供应比例均保持在20%左右，城市副中心和多点地区供应比率稳定在60%左右。</w:t>
      </w:r>
    </w:p>
    <w:p>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pPr>
        <w:overflowPunct w:val="0"/>
        <w:spacing w:line="480" w:lineRule="auto"/>
        <w:ind w:firstLine="420" w:firstLineChars="200"/>
        <w:jc w:val="both"/>
        <w:textAlignment w:val="auto"/>
        <w:rPr>
          <w:rFonts w:hint="eastAsia" w:ascii="Arial" w:hAnsi="Arial"/>
          <w:sz w:val="21"/>
        </w:rPr>
      </w:pPr>
      <w:r>
        <w:rPr>
          <w:rFonts w:hint="eastAsia" w:ascii="Arial" w:hAnsi="Arial"/>
          <w:sz w:val="21"/>
        </w:rPr>
        <w:t>2023年一季度北京商品住宅（不含保障房）累计供应131万㎡，连续三个季度下跌，同比止跌回升。受春节假期以及年后市场复苏不确定性影响，一季度北京新房供应节奏环比继续微降；受去年低基数影响，供应量同比增长近四成。具体来看，1月新增供应规模仅45万㎡，环比降幅近两成；2月供应规模创疫情以来新低，仅10万㎡；随着楼市“小阳春”迹象持续显现，3月房企推盘意愿加强，新房供应触底反弹至76万㎡。整体来看，一季度累计供应131万㎡，为近三年季度供应低点，仅高于去年同期。</w:t>
      </w:r>
    </w:p>
    <w:p>
      <w:pPr>
        <w:overflowPunct w:val="0"/>
        <w:spacing w:line="480" w:lineRule="auto"/>
        <w:ind w:firstLine="420" w:firstLineChars="200"/>
        <w:jc w:val="both"/>
        <w:textAlignment w:val="auto"/>
        <w:rPr>
          <w:rFonts w:ascii="Arial" w:hAnsi="Arial"/>
          <w:sz w:val="21"/>
        </w:rPr>
      </w:pPr>
      <w:r>
        <w:rPr>
          <w:rFonts w:hint="eastAsia" w:ascii="Arial" w:hAnsi="Arial"/>
          <w:sz w:val="21"/>
        </w:rPr>
        <w:t>供求关系方面，2023年一季度商品住宅市场销供比为1.10，整体处于供求弱平衡状态，已经连续三个季度呈现供不应求态势。预计后市随着成交端边际改善，市场供应将会同步提高。</w:t>
      </w:r>
    </w:p>
    <w:p>
      <w:pPr>
        <w:overflowPunct w:val="0"/>
        <w:spacing w:line="480" w:lineRule="auto"/>
        <w:jc w:val="center"/>
        <w:textAlignment w:val="auto"/>
        <w:rPr>
          <w:rFonts w:ascii="Arial" w:hAnsi="Arial"/>
          <w:sz w:val="21"/>
          <w:highlight w:val="lightGray"/>
        </w:rPr>
      </w:pPr>
      <w:r>
        <w:drawing>
          <wp:inline distT="0" distB="0" distL="114300" distR="114300">
            <wp:extent cx="5898515" cy="1908175"/>
            <wp:effectExtent l="0" t="0" r="6985" b="1587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stretch>
                      <a:fillRect/>
                    </a:stretch>
                  </pic:blipFill>
                  <pic:spPr>
                    <a:xfrm>
                      <a:off x="0" y="0"/>
                      <a:ext cx="5898515" cy="1908175"/>
                    </a:xfrm>
                    <a:prstGeom prst="rect">
                      <a:avLst/>
                    </a:prstGeom>
                    <a:noFill/>
                    <a:ln>
                      <a:noFill/>
                    </a:ln>
                  </pic:spPr>
                </pic:pic>
              </a:graphicData>
            </a:graphic>
          </wp:inline>
        </w:drawing>
      </w:r>
    </w:p>
    <w:p>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pPr>
        <w:overflowPunct w:val="0"/>
        <w:spacing w:line="480" w:lineRule="auto"/>
        <w:jc w:val="center"/>
        <w:textAlignment w:val="auto"/>
        <w:rPr>
          <w:rFonts w:ascii="Arial" w:hAnsi="Arial"/>
          <w:sz w:val="21"/>
          <w:szCs w:val="28"/>
          <w:highlight w:val="lightGray"/>
        </w:rPr>
      </w:pPr>
      <w:r>
        <w:drawing>
          <wp:inline distT="0" distB="0" distL="114300" distR="114300">
            <wp:extent cx="5899150" cy="1864995"/>
            <wp:effectExtent l="0" t="0" r="6350" b="190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5"/>
                    <a:stretch>
                      <a:fillRect/>
                    </a:stretch>
                  </pic:blipFill>
                  <pic:spPr>
                    <a:xfrm>
                      <a:off x="0" y="0"/>
                      <a:ext cx="5899150" cy="1864995"/>
                    </a:xfrm>
                    <a:prstGeom prst="rect">
                      <a:avLst/>
                    </a:prstGeom>
                    <a:noFill/>
                    <a:ln>
                      <a:noFill/>
                    </a:ln>
                  </pic:spPr>
                </pic:pic>
              </a:graphicData>
            </a:graphic>
          </wp:inline>
        </w:drawing>
      </w:r>
    </w:p>
    <w:p>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2023年一季度北京商品住宅（不含保障房）成交规模环比明显回落，且不及去年同期，但一季度呈现逐月回暖迹象。一季度北京楼市在传统春节淡季以及供应力度不足的影响下，市场表现相对一般，累计成交规模为145万㎡，同比下降5%，环比下降31%；分月度来看，1月份正逢春节假期，叠加疫情因素未全部消除，导致成交仅37万㎡，创近11个月新低；2月份市场热度回暖，案场来访、认购量明显上涨，“小阳春”迹象明显；3月份供求两端发力，成交规模突破65万㎡。一季度末北京开启二手房交易“带押过户”模式，对于降低交易风险及成本、加快二手房流通具有积极意义，或将进一步激发楼市活力；叠加近期房山拟试点“一区一策”，支持多子女家庭购房，为北京楼市政策放松打开想象空间；预计随着供应改善，二手房置换和改善需求入市，将对二季度楼市进一步回暖形成较强支撑。</w:t>
      </w:r>
    </w:p>
    <w:p>
      <w:pPr>
        <w:tabs>
          <w:tab w:val="left" w:pos="426"/>
        </w:tabs>
        <w:overflowPunct w:val="0"/>
        <w:spacing w:line="480" w:lineRule="auto"/>
        <w:jc w:val="center"/>
        <w:textAlignment w:val="auto"/>
        <w:rPr>
          <w:rFonts w:ascii="Arial" w:hAnsi="Arial"/>
          <w:sz w:val="21"/>
          <w:highlight w:val="lightGray"/>
        </w:rPr>
      </w:pPr>
      <w:r>
        <w:drawing>
          <wp:inline distT="0" distB="0" distL="114300" distR="114300">
            <wp:extent cx="5901690" cy="1885950"/>
            <wp:effectExtent l="0" t="0" r="381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6"/>
                    <a:stretch>
                      <a:fillRect/>
                    </a:stretch>
                  </pic:blipFill>
                  <pic:spPr>
                    <a:xfrm>
                      <a:off x="0" y="0"/>
                      <a:ext cx="5901690" cy="1885950"/>
                    </a:xfrm>
                    <a:prstGeom prst="rect">
                      <a:avLst/>
                    </a:prstGeom>
                    <a:noFill/>
                    <a:ln>
                      <a:noFill/>
                    </a:ln>
                  </pic:spPr>
                </pic:pic>
              </a:graphicData>
            </a:graphic>
          </wp:inline>
        </w:drawing>
      </w:r>
    </w:p>
    <w:p>
      <w:pPr>
        <w:overflowPunct w:val="0"/>
        <w:spacing w:line="480" w:lineRule="auto"/>
        <w:ind w:firstLine="420" w:firstLineChars="200"/>
        <w:textAlignment w:val="auto"/>
        <w:rPr>
          <w:rFonts w:ascii="Arial" w:hAnsi="Arial"/>
          <w:sz w:val="21"/>
        </w:rPr>
      </w:pPr>
      <w:r>
        <w:rPr>
          <w:rFonts w:hint="eastAsia" w:ascii="Arial" w:hAnsi="Arial"/>
          <w:sz w:val="21"/>
        </w:rPr>
        <w:t>2）成交价格</w:t>
      </w:r>
    </w:p>
    <w:p>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pPr>
        <w:overflowPunct w:val="0"/>
        <w:spacing w:line="480" w:lineRule="auto"/>
        <w:ind w:firstLine="420" w:firstLineChars="200"/>
        <w:textAlignment w:val="auto"/>
        <w:rPr>
          <w:rFonts w:ascii="Arial" w:hAnsi="Arial"/>
          <w:sz w:val="21"/>
          <w:szCs w:val="28"/>
        </w:rPr>
      </w:pPr>
      <w:r>
        <w:rPr>
          <w:rFonts w:hint="eastAsia" w:ascii="Arial" w:hAnsi="Arial"/>
          <w:sz w:val="21"/>
          <w:szCs w:val="28"/>
        </w:rPr>
        <w:t>2023年一季度北京商品住宅价格同比涨幅持续低位，累计涨幅低于去年同期。伴随改善型项目持续入市、中高端产品成交增加，新建商品住宅价格结构性小幅上涨。整体来看，一季度北京新建商品住宅价格为44708元/㎡，同比上涨0.81%，涨幅处于2021年以来低位水平；累计来看，一季度商品住房价格累计上涨0.06%，涨幅继续收窄，较去年同期收窄0.04个百分点。</w:t>
      </w:r>
    </w:p>
    <w:p>
      <w:pPr>
        <w:overflowPunct w:val="0"/>
        <w:spacing w:line="480" w:lineRule="auto"/>
        <w:jc w:val="center"/>
        <w:textAlignment w:val="auto"/>
        <w:rPr>
          <w:rFonts w:ascii="Arial" w:hAnsi="Arial"/>
          <w:sz w:val="21"/>
          <w:szCs w:val="28"/>
          <w:highlight w:val="lightGray"/>
        </w:rPr>
      </w:pPr>
      <w:r>
        <w:drawing>
          <wp:inline distT="0" distB="0" distL="114300" distR="114300">
            <wp:extent cx="5907405" cy="1793875"/>
            <wp:effectExtent l="0" t="0" r="17145" b="1587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7"/>
                    <a:stretch>
                      <a:fillRect/>
                    </a:stretch>
                  </pic:blipFill>
                  <pic:spPr>
                    <a:xfrm>
                      <a:off x="0" y="0"/>
                      <a:ext cx="5907405" cy="1793875"/>
                    </a:xfrm>
                    <a:prstGeom prst="rect">
                      <a:avLst/>
                    </a:prstGeom>
                    <a:noFill/>
                    <a:ln>
                      <a:noFill/>
                    </a:ln>
                  </pic:spPr>
                </pic:pic>
              </a:graphicData>
            </a:graphic>
          </wp:inline>
        </w:drawing>
      </w:r>
    </w:p>
    <w:p>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2023年一季度，90-200㎡面积段的刚改和改善型产品跃升为成交主力，成交套数占比达55.5%，占比提升9.5个百分点，增幅显著；成交总价段主要集中在800万之下的中低/中高价位，其中500万元以下低价位产品同比减少9.4个百分点，但仍为成交主力，成交套数占比达49.1%；500-800万元的中高价段成交占比增加7.1个百分点至26.8%</w:t>
      </w:r>
    </w:p>
    <w:p>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改善性需求逐步释放，在中高端产品供应提高带动下，新房成交逐步由中低面积段向中高面积段转移，成交总价段逐步由中低价位向中高价位产品转移，而高面积段和高价格段产品同比变化幅度较小。</w:t>
      </w:r>
    </w:p>
    <w:p>
      <w:pPr>
        <w:tabs>
          <w:tab w:val="left" w:pos="426"/>
        </w:tabs>
        <w:overflowPunct w:val="0"/>
        <w:spacing w:line="480" w:lineRule="auto"/>
        <w:jc w:val="center"/>
        <w:textAlignment w:val="auto"/>
        <w:rPr>
          <w:rFonts w:ascii="Arial" w:hAnsi="Arial"/>
          <w:sz w:val="21"/>
          <w:highlight w:val="lightGray"/>
        </w:rPr>
      </w:pPr>
      <w:r>
        <w:drawing>
          <wp:inline distT="0" distB="0" distL="114300" distR="114300">
            <wp:extent cx="5907405" cy="1913890"/>
            <wp:effectExtent l="0" t="0" r="17145" b="1016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8"/>
                    <a:stretch>
                      <a:fillRect/>
                    </a:stretch>
                  </pic:blipFill>
                  <pic:spPr>
                    <a:xfrm>
                      <a:off x="0" y="0"/>
                      <a:ext cx="5907405" cy="1913890"/>
                    </a:xfrm>
                    <a:prstGeom prst="rect">
                      <a:avLst/>
                    </a:prstGeom>
                    <a:noFill/>
                    <a:ln>
                      <a:noFill/>
                    </a:ln>
                  </pic:spPr>
                </pic:pic>
              </a:graphicData>
            </a:graphic>
          </wp:inline>
        </w:drawing>
      </w:r>
    </w:p>
    <w:p>
      <w:pPr>
        <w:overflowPunct w:val="0"/>
        <w:spacing w:line="480" w:lineRule="auto"/>
        <w:ind w:firstLine="420" w:firstLineChars="200"/>
        <w:textAlignment w:val="auto"/>
        <w:rPr>
          <w:rFonts w:ascii="Arial" w:hAnsi="Arial"/>
          <w:sz w:val="21"/>
        </w:rPr>
      </w:pPr>
      <w:r>
        <w:rPr>
          <w:rFonts w:hint="eastAsia" w:ascii="Arial" w:hAnsi="Arial"/>
          <w:sz w:val="21"/>
        </w:rPr>
        <w:t>3）区域成交</w:t>
      </w:r>
    </w:p>
    <w:p>
      <w:pPr>
        <w:overflowPunct w:val="0"/>
        <w:spacing w:line="480" w:lineRule="auto"/>
        <w:ind w:firstLine="420" w:firstLineChars="200"/>
        <w:textAlignment w:val="auto"/>
        <w:rPr>
          <w:rFonts w:hint="eastAsia" w:ascii="Arial" w:hAnsi="Arial"/>
          <w:sz w:val="21"/>
        </w:rPr>
      </w:pPr>
      <w:r>
        <w:rPr>
          <w:rFonts w:hint="eastAsia" w:ascii="Arial" w:hAnsi="Arial"/>
          <w:sz w:val="21"/>
        </w:rPr>
        <w:t>从成交规模来看，近郊六区为北京商品住宅（不含保障房）成交主力区域。2023年一季度近郊六区成交82.34万㎡，占比达56.7%；其中，昌平、顺义、大兴区累计成交均超18万㎡，分居北京各区销售规模第二、三、四位。中心城区中丰台、朝阳表现较好，成交规模超15万㎡。</w:t>
      </w:r>
    </w:p>
    <w:p>
      <w:pPr>
        <w:overflowPunct w:val="0"/>
        <w:spacing w:line="480" w:lineRule="auto"/>
        <w:ind w:firstLine="420" w:firstLineChars="200"/>
        <w:textAlignment w:val="auto"/>
        <w:rPr>
          <w:rFonts w:ascii="Arial" w:hAnsi="Arial"/>
          <w:sz w:val="21"/>
        </w:rPr>
      </w:pPr>
      <w:r>
        <w:rPr>
          <w:rFonts w:hint="eastAsia" w:ascii="Arial" w:hAnsi="Arial"/>
          <w:sz w:val="21"/>
        </w:rPr>
        <w:t>从成交价格来看，中心、近郊和远郊区域的成交规模同比均有不同程度的回落，中心城区成交规模同比回落1%，韧性最强；其中丰台、东城成交规模增幅同比翻倍，海淀、石景山、西城降幅超三成。近郊区成交规模同比下降6%，韧性较强，其中房山、昌平、门头沟同比增长，通州、顺义、大兴成交主力区域均下降一成以上；远郊区成交规模同比下降22%，下降幅度最大，其中密云、延庆降幅三成以上。</w:t>
      </w:r>
    </w:p>
    <w:p>
      <w:pPr>
        <w:overflowPunct w:val="0"/>
        <w:spacing w:line="480" w:lineRule="auto"/>
        <w:jc w:val="center"/>
        <w:textAlignment w:val="auto"/>
        <w:rPr>
          <w:rFonts w:ascii="Arial" w:hAnsi="Arial"/>
          <w:sz w:val="21"/>
        </w:rPr>
      </w:pPr>
      <w:r>
        <w:drawing>
          <wp:inline distT="0" distB="0" distL="114300" distR="114300">
            <wp:extent cx="5900420" cy="2233930"/>
            <wp:effectExtent l="0" t="0" r="5080" b="1397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9"/>
                    <a:stretch>
                      <a:fillRect/>
                    </a:stretch>
                  </pic:blipFill>
                  <pic:spPr>
                    <a:xfrm>
                      <a:off x="0" y="0"/>
                      <a:ext cx="5900420" cy="2233930"/>
                    </a:xfrm>
                    <a:prstGeom prst="rect">
                      <a:avLst/>
                    </a:prstGeom>
                    <a:noFill/>
                    <a:ln>
                      <a:noFill/>
                    </a:ln>
                  </pic:spPr>
                </pic:pic>
              </a:graphicData>
            </a:graphic>
          </wp:inline>
        </w:drawing>
      </w:r>
    </w:p>
    <w:p>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pPr>
        <w:tabs>
          <w:tab w:val="left" w:pos="426"/>
        </w:tabs>
        <w:overflowPunct w:val="0"/>
        <w:spacing w:line="480" w:lineRule="auto"/>
        <w:ind w:firstLine="420" w:firstLineChars="200"/>
        <w:jc w:val="both"/>
        <w:textAlignment w:val="auto"/>
        <w:rPr>
          <w:rFonts w:hint="eastAsia" w:ascii="Arial" w:hAnsi="Arial"/>
          <w:sz w:val="21"/>
        </w:rPr>
      </w:pPr>
      <w:r>
        <w:rPr>
          <w:rFonts w:hint="eastAsia" w:ascii="Arial" w:hAnsi="Arial"/>
          <w:sz w:val="21"/>
        </w:rPr>
        <w:t>2023年一季度北京存量房住宅市场持续回温，成交升至近一年高位。一季度北京存量房住宅市场热度先降后升，累计成交4.73万套，环比上涨52%，同比上涨28%。从月度趋势来看，1月市场整体仍处于调整期叠加春节假期的影响，成交量处于低位；2月，整体市场逐步回温，存量房住宅挂牌量增加，带动成交规模大幅回升；3月受前期积压需求及子女入学购房需求集中释放影响，北京存量房住宅成交量继续增长，成交套数超2.2万套，同比增幅近三成，环比增幅超四成。进入4月，北京存量房住宅成交量环比有所下滑，在积压需求逐渐释放后，预计未来市场活跃度或将有所回落。</w:t>
      </w:r>
    </w:p>
    <w:p>
      <w:pPr>
        <w:tabs>
          <w:tab w:val="left" w:pos="426"/>
        </w:tabs>
        <w:overflowPunct w:val="0"/>
        <w:spacing w:line="480" w:lineRule="auto"/>
        <w:ind w:firstLine="420" w:firstLineChars="200"/>
        <w:jc w:val="both"/>
        <w:textAlignment w:val="auto"/>
        <w:rPr>
          <w:rFonts w:hint="eastAsia" w:ascii="Arial" w:hAnsi="Arial"/>
          <w:sz w:val="21"/>
        </w:rPr>
      </w:pPr>
      <w:r>
        <w:rPr>
          <w:rFonts w:hint="eastAsia" w:ascii="Arial" w:hAnsi="Arial"/>
          <w:sz w:val="21"/>
        </w:rPr>
        <w:t>2023年一季度北京存量房住宅价格环比微涨，同比微跌。一季度北京存量房住宅成交均价约为61177元/㎡，同比下跌1%，环比涨0.5%。从月度趋势来看，在北京存量房住宅市场整体复苏的背景下，业主对后市预期提升，整体房价相对坚挺，月度呈现小幅波动态势。</w:t>
      </w:r>
    </w:p>
    <w:p>
      <w:pPr>
        <w:tabs>
          <w:tab w:val="left" w:pos="426"/>
        </w:tabs>
        <w:overflowPunct w:val="0"/>
        <w:spacing w:line="480" w:lineRule="auto"/>
        <w:jc w:val="center"/>
        <w:textAlignment w:val="auto"/>
        <w:rPr>
          <w:rFonts w:ascii="Arial" w:hAnsi="Arial"/>
          <w:sz w:val="21"/>
        </w:rPr>
      </w:pPr>
      <w:r>
        <w:drawing>
          <wp:inline distT="0" distB="0" distL="114300" distR="114300">
            <wp:extent cx="5906770" cy="1600200"/>
            <wp:effectExtent l="0" t="0" r="1778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30"/>
                    <a:stretch>
                      <a:fillRect/>
                    </a:stretch>
                  </pic:blipFill>
                  <pic:spPr>
                    <a:xfrm>
                      <a:off x="0" y="0"/>
                      <a:ext cx="5906770" cy="1600200"/>
                    </a:xfrm>
                    <a:prstGeom prst="rect">
                      <a:avLst/>
                    </a:prstGeom>
                    <a:noFill/>
                    <a:ln>
                      <a:noFill/>
                    </a:ln>
                  </pic:spPr>
                </pic:pic>
              </a:graphicData>
            </a:graphic>
          </wp:inline>
        </w:drawing>
      </w:r>
    </w:p>
    <w:p>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分区域来看，一季度朝阳存量房住宅成交规模较大，达99.95万㎡，居各区第一位；海淀、大兴、丰台、昌平成交面积均超过30万㎡，居第二梯队；另外，远郊的密云、平谷、怀柔、延庆以及近郊的门头沟活跃度相对较低，成交规模均不足10万㎡。从同比变化来看，一季度北京各区存量房住宅成交规模同比均有增加，其中，顺义、通州、平谷、怀柔同比领涨，涨幅均超35%；成交价格方面，一季度西城区成交价格最高，达125418元/㎡；其次为东城区，为108264元/㎡。</w:t>
      </w:r>
    </w:p>
    <w:p>
      <w:pPr>
        <w:tabs>
          <w:tab w:val="left" w:pos="426"/>
        </w:tabs>
        <w:overflowPunct w:val="0"/>
        <w:spacing w:line="480" w:lineRule="auto"/>
        <w:jc w:val="center"/>
        <w:textAlignment w:val="auto"/>
        <w:rPr>
          <w:rFonts w:ascii="Arial" w:hAnsi="Arial"/>
          <w:sz w:val="21"/>
          <w:highlight w:val="lightGray"/>
        </w:rPr>
      </w:pPr>
      <w:r>
        <w:drawing>
          <wp:inline distT="0" distB="0" distL="114300" distR="114300">
            <wp:extent cx="5905500" cy="3329940"/>
            <wp:effectExtent l="0" t="0" r="0" b="381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31"/>
                    <a:stretch>
                      <a:fillRect/>
                    </a:stretch>
                  </pic:blipFill>
                  <pic:spPr>
                    <a:xfrm>
                      <a:off x="0" y="0"/>
                      <a:ext cx="5905500" cy="3329940"/>
                    </a:xfrm>
                    <a:prstGeom prst="rect">
                      <a:avLst/>
                    </a:prstGeom>
                    <a:noFill/>
                    <a:ln>
                      <a:noFill/>
                    </a:ln>
                  </pic:spPr>
                </pic:pic>
              </a:graphicData>
            </a:graphic>
          </wp:inline>
        </w:drawing>
      </w:r>
    </w:p>
    <w:p>
      <w:pPr>
        <w:overflowPunct w:val="0"/>
        <w:spacing w:line="480" w:lineRule="auto"/>
        <w:ind w:firstLine="420" w:firstLineChars="200"/>
        <w:jc w:val="both"/>
        <w:textAlignment w:val="auto"/>
        <w:rPr>
          <w:rFonts w:ascii="Arial" w:hAnsi="Arial"/>
          <w:color w:val="000000"/>
          <w:sz w:val="21"/>
          <w:szCs w:val="28"/>
        </w:rPr>
      </w:pPr>
      <w:bookmarkStart w:id="46" w:name="OLE_LINK8"/>
      <w:bookmarkStart w:id="47" w:name="OLE_LINK9"/>
      <w:r>
        <w:rPr>
          <w:rFonts w:hint="eastAsia" w:ascii="Arial" w:hAnsi="Arial"/>
          <w:color w:val="000000"/>
          <w:sz w:val="21"/>
          <w:szCs w:val="28"/>
        </w:rPr>
        <w:t>4.产业政策</w:t>
      </w:r>
    </w:p>
    <w:p>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全国政策：</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2022年9月28日，国务院召开稳经济大盘四季度工作推进会议，会议提出因城施策运用政策工具箱中的工具，支持刚性和改善型住房需求，实施好保交楼政策。</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2022年12月15日，中央经济工作会议强调，“要因城施策，支持刚性和改善性住房需求，解决好新市民、青年人等住房问题，探索长租房市场建设”。</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2022年12月20日，国务院常务会议召开，会议指出“落实稳经济一揽子政策措施，抓好填平补齐，确保全面落地。落实支持刚性和改善型住房需求，保交楼和房企融资等16条金融政策”。</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进入2023年，国家对于房地产业的调控重点是防风险、促需求释放，定调偏利多，支持企业融资、改善交付风险，刚需、改善支持政策仍会出台，优化房地产“三高”模式，同时强化租赁市场快速发展，加快推进新模式探索发展。</w:t>
      </w:r>
    </w:p>
    <w:p>
      <w:pPr>
        <w:overflowPunct w:val="0"/>
        <w:spacing w:line="480" w:lineRule="auto"/>
        <w:jc w:val="center"/>
        <w:textAlignment w:val="auto"/>
        <w:rPr>
          <w:rFonts w:hint="eastAsia" w:ascii="Arial" w:hAnsi="Arial"/>
          <w:color w:val="000000"/>
          <w:sz w:val="21"/>
        </w:rPr>
      </w:pPr>
      <w:r>
        <w:drawing>
          <wp:inline distT="0" distB="0" distL="114300" distR="114300">
            <wp:extent cx="4436745" cy="4605655"/>
            <wp:effectExtent l="0" t="0" r="1905" b="444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32"/>
                    <a:stretch>
                      <a:fillRect/>
                    </a:stretch>
                  </pic:blipFill>
                  <pic:spPr>
                    <a:xfrm>
                      <a:off x="0" y="0"/>
                      <a:ext cx="4436745" cy="4605655"/>
                    </a:xfrm>
                    <a:prstGeom prst="rect">
                      <a:avLst/>
                    </a:prstGeom>
                    <a:noFill/>
                    <a:ln>
                      <a:noFill/>
                    </a:ln>
                  </pic:spPr>
                </pic:pic>
              </a:graphicData>
            </a:graphic>
          </wp:inline>
        </w:drawing>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随着国家住建工作的稳步推进，供求关系逐步改善，防控政策优化对市场供需两端均产生积极影响，供给端住房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地方政策：</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全国房地产政策不断优化改善，但北京在政策层面并未出现实质性放松，仅局部定向微调，保持了政策的延续性和稳定性。全龄友好社区试点接力贷；经开区管理的“台马”地区取消“双限”；存量房交易“连环单”业务并行办理；允许商品房按栋预售等。整体来看，北京政策优化力度有限，更多的是向市场传递积极信号，提振市场信心。</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2022年8月5日，北京市住建委正式发布《北京住房和城乡建设发展白皮书（2022）》，围绕“三稳”目标下功夫，加快构建公租房等住房保障体系。</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2022年9月23日，北京市住建委和市规自委联合发布关于试行存量房交易“连环单”业务并行办理的通知，提高存量房屋交易效率，支持购房家庭合理住房需求。</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2022年9月30日，北京市人民政府印发《关于存量国有建设用地盘活利用的指导意见（试行）》，创新提出8项支持政策，明确在重点功能区及现状轨道站点周边，鼓励利用现状建筑改建保障性租赁住房。</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2022年11月8日，北京市住建委、经开区管委、通州区政府联合发布通知，亦庄经开区管理的台湖、马驹桥地区不再执行“双限”政策，仅执行北京其他区域的购房政策。</w:t>
      </w:r>
    </w:p>
    <w:p>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2023年3月31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46"/>
    <w:bookmarkEnd w:id="47"/>
    <w:p>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pPr>
        <w:overflowPunct w:val="0"/>
        <w:spacing w:line="480" w:lineRule="auto"/>
        <w:ind w:firstLine="420"/>
        <w:jc w:val="both"/>
        <w:textAlignment w:val="auto"/>
        <w:rPr>
          <w:rFonts w:ascii="Arial" w:hAnsi="Arial"/>
          <w:sz w:val="21"/>
        </w:rPr>
      </w:pPr>
      <w:r>
        <w:rPr>
          <w:rFonts w:hint="eastAsia" w:ascii="Arial" w:hAnsi="Arial"/>
          <w:sz w:val="21"/>
        </w:rPr>
        <w:t>一季度两会定调“稳中求进”，既强调房地产的支柱产业地位，又强调了复杂多变的外部环境下，房地产市场的稳定性。一季度末北京开启存量房“带押过户”政策，将进一步刺激置换需求的释放；而“一区一策”已为北京楼市政策放松打开想象空间，政策落得或将为高能级城市政策出台树立标杆和模板。同时，结合“稳”字当头的调控基调，“一区一策”或将继续围绕支持刚性和改善型住房，激发楼市合理需求。经过短暂的市场调整，中长期来看，北京房地产市场或将进一步复苏。</w:t>
      </w:r>
    </w:p>
    <w:p>
      <w:pPr>
        <w:overflowPunct w:val="0"/>
        <w:spacing w:line="480" w:lineRule="auto"/>
        <w:ind w:right="205"/>
        <w:jc w:val="both"/>
        <w:rPr>
          <w:rFonts w:ascii="Arial" w:hAnsi="Arial"/>
          <w:b/>
          <w:bCs/>
          <w:sz w:val="21"/>
          <w:szCs w:val="21"/>
        </w:rPr>
      </w:pPr>
      <w:r>
        <w:rPr>
          <w:rFonts w:hint="eastAsia" w:ascii="Arial" w:hAnsi="Arial"/>
          <w:b/>
          <w:bCs/>
          <w:sz w:val="21"/>
          <w:szCs w:val="21"/>
        </w:rPr>
        <w:t>（二）北京共有产权住房市场状况</w:t>
      </w:r>
    </w:p>
    <w:p>
      <w:pPr>
        <w:overflowPunct w:val="0"/>
        <w:spacing w:line="480" w:lineRule="auto"/>
        <w:ind w:firstLine="420"/>
        <w:jc w:val="both"/>
        <w:rPr>
          <w:rFonts w:ascii="Arial" w:hAnsi="Arial" w:cs="Arial"/>
          <w:sz w:val="21"/>
        </w:rPr>
      </w:pPr>
      <w:r>
        <w:rPr>
          <w:rFonts w:ascii="Arial" w:hAnsi="Arial" w:cs="Arial"/>
          <w:sz w:val="21"/>
        </w:rPr>
        <w:t>1.</w:t>
      </w:r>
      <w:r>
        <w:rPr>
          <w:rFonts w:hint="eastAsia" w:ascii="Arial" w:hAnsi="Arial" w:cs="Arial"/>
          <w:sz w:val="21"/>
        </w:rPr>
        <w:t>共有产权房供应最多的行政区是大兴区、顺义区</w:t>
      </w:r>
    </w:p>
    <w:p>
      <w:pPr>
        <w:overflowPunct w:val="0"/>
        <w:spacing w:line="480" w:lineRule="auto"/>
        <w:ind w:firstLine="420"/>
        <w:jc w:val="both"/>
        <w:rPr>
          <w:rFonts w:ascii="Arial" w:hAnsi="Arial" w:cs="Arial"/>
          <w:sz w:val="21"/>
        </w:rPr>
      </w:pPr>
      <w:r>
        <w:rPr>
          <w:rFonts w:hint="eastAsia" w:ascii="Arial" w:hAnsi="Arial" w:cs="Arial"/>
          <w:sz w:val="21"/>
        </w:rPr>
        <w:t>从</w:t>
      </w:r>
      <w:r>
        <w:rPr>
          <w:rFonts w:ascii="Arial" w:hAnsi="Arial" w:cs="Arial"/>
          <w:sz w:val="21"/>
        </w:rPr>
        <w:t>2017</w:t>
      </w:r>
      <w:r>
        <w:rPr>
          <w:rFonts w:hint="eastAsia" w:ascii="Arial" w:hAnsi="Arial" w:cs="Arial"/>
          <w:sz w:val="21"/>
        </w:rPr>
        <w:t>年至</w:t>
      </w:r>
      <w:r>
        <w:rPr>
          <w:rFonts w:ascii="Arial" w:hAnsi="Arial" w:cs="Arial"/>
          <w:sz w:val="21"/>
        </w:rPr>
        <w:t>2021</w:t>
      </w:r>
      <w:r>
        <w:rPr>
          <w:rFonts w:hint="eastAsia" w:ascii="Arial" w:hAnsi="Arial" w:cs="Arial"/>
          <w:sz w:val="21"/>
        </w:rPr>
        <w:t>年下半年，北京共有产权房申购网站公布的共有产权房项目数量，可申购套数累计达</w:t>
      </w:r>
      <w:r>
        <w:rPr>
          <w:rFonts w:ascii="Arial" w:hAnsi="Arial" w:cs="Arial"/>
          <w:sz w:val="21"/>
        </w:rPr>
        <w:t>8.75</w:t>
      </w:r>
      <w:r>
        <w:rPr>
          <w:rFonts w:hint="eastAsia" w:ascii="Arial" w:hAnsi="Arial" w:cs="Arial"/>
          <w:sz w:val="21"/>
        </w:rPr>
        <w:t>万套。分区域来看，北京市提供共有产权房最多的行政区是大兴区、顺义区；第二梯队是房山区、通州区、海淀区、朝阳区、昌平区；共有产权房数量最少的四个区分别是密云区、门头沟区、石景山区和怀柔区。</w:t>
      </w:r>
    </w:p>
    <w:p>
      <w:pPr>
        <w:overflowPunct w:val="0"/>
        <w:spacing w:line="480" w:lineRule="auto"/>
        <w:ind w:firstLine="420"/>
        <w:jc w:val="both"/>
        <w:rPr>
          <w:rFonts w:ascii="Arial" w:hAnsi="Arial" w:cs="Arial"/>
          <w:sz w:val="21"/>
        </w:rPr>
      </w:pPr>
      <w:r>
        <w:rPr>
          <w:rFonts w:ascii="Arial" w:hAnsi="Arial" w:cs="Arial"/>
          <w:sz w:val="21"/>
        </w:rPr>
        <w:t>2.</w:t>
      </w:r>
      <w:r>
        <w:rPr>
          <w:rFonts w:hint="eastAsia" w:ascii="Arial" w:hAnsi="Arial" w:cs="Arial"/>
          <w:sz w:val="21"/>
        </w:rPr>
        <w:t>限竞房、共有产权房、普通商品住房</w:t>
      </w:r>
      <w:r>
        <w:rPr>
          <w:rFonts w:ascii="Arial" w:hAnsi="Arial" w:cs="Arial"/>
          <w:sz w:val="21"/>
        </w:rPr>
        <w:t>5</w:t>
      </w:r>
      <w:r>
        <w:rPr>
          <w:rFonts w:hint="eastAsia" w:ascii="微软雅黑" w:hAnsi="微软雅黑" w:eastAsia="微软雅黑" w:cs="微软雅黑"/>
          <w:sz w:val="21"/>
        </w:rPr>
        <w:t>∶</w:t>
      </w:r>
      <w:r>
        <w:rPr>
          <w:rFonts w:ascii="Arial" w:hAnsi="Arial" w:cs="Arial"/>
          <w:sz w:val="21"/>
        </w:rPr>
        <w:t>3</w:t>
      </w:r>
      <w:r>
        <w:rPr>
          <w:rFonts w:hint="eastAsia" w:ascii="微软雅黑" w:hAnsi="微软雅黑" w:eastAsia="微软雅黑" w:cs="微软雅黑"/>
          <w:sz w:val="21"/>
        </w:rPr>
        <w:t>∶</w:t>
      </w:r>
      <w:r>
        <w:rPr>
          <w:rFonts w:ascii="Arial" w:hAnsi="Arial" w:cs="Arial"/>
          <w:sz w:val="21"/>
        </w:rPr>
        <w:t>2</w:t>
      </w:r>
      <w:r>
        <w:rPr>
          <w:rFonts w:hint="eastAsia" w:ascii="Arial" w:hAnsi="Arial" w:cs="Arial"/>
          <w:sz w:val="21"/>
        </w:rPr>
        <w:t>供应格局短期不变</w:t>
      </w:r>
    </w:p>
    <w:p>
      <w:pPr>
        <w:overflowPunct w:val="0"/>
        <w:spacing w:line="480" w:lineRule="auto"/>
        <w:ind w:firstLine="420"/>
        <w:jc w:val="both"/>
        <w:rPr>
          <w:rFonts w:ascii="Arial" w:hAnsi="Arial" w:cs="Arial"/>
          <w:sz w:val="21"/>
        </w:rPr>
      </w:pPr>
      <w:r>
        <w:rPr>
          <w:rFonts w:ascii="Arial" w:hAnsi="Arial" w:cs="Arial"/>
          <w:sz w:val="21"/>
        </w:rPr>
        <w:t>2018</w:t>
      </w:r>
      <w:r>
        <w:rPr>
          <w:rFonts w:hint="eastAsia" w:ascii="Arial" w:hAnsi="Arial" w:cs="Arial"/>
          <w:sz w:val="21"/>
        </w:rPr>
        <w:t>年共有产权房可申购套数最多，之后出现逐年下降情况。参考北京市年度建设用地供应计划，</w:t>
      </w:r>
      <w:r>
        <w:rPr>
          <w:rFonts w:ascii="Arial" w:hAnsi="Arial" w:cs="Arial"/>
          <w:sz w:val="21"/>
        </w:rPr>
        <w:t>2017</w:t>
      </w:r>
      <w:r>
        <w:rPr>
          <w:rFonts w:hint="eastAsia" w:ascii="Arial" w:hAnsi="Arial" w:cs="Arial"/>
          <w:sz w:val="21"/>
        </w:rPr>
        <w:t>年、</w:t>
      </w:r>
      <w:r>
        <w:rPr>
          <w:rFonts w:ascii="Arial" w:hAnsi="Arial" w:cs="Arial"/>
          <w:sz w:val="21"/>
        </w:rPr>
        <w:t>2018</w:t>
      </w:r>
      <w:r>
        <w:rPr>
          <w:rFonts w:hint="eastAsia" w:ascii="Arial" w:hAnsi="Arial" w:cs="Arial"/>
          <w:sz w:val="21"/>
        </w:rPr>
        <w:t>年是北京市提供共有产权房用地最多的两年（</w:t>
      </w:r>
      <w:r>
        <w:rPr>
          <w:rFonts w:ascii="Arial" w:hAnsi="Arial" w:cs="Arial"/>
          <w:sz w:val="21"/>
        </w:rPr>
        <w:t>2017</w:t>
      </w:r>
      <w:r>
        <w:rPr>
          <w:rFonts w:hint="eastAsia" w:ascii="Arial" w:hAnsi="Arial" w:cs="Arial"/>
          <w:sz w:val="21"/>
        </w:rPr>
        <w:t>年</w:t>
      </w:r>
      <w:r>
        <w:rPr>
          <w:rFonts w:ascii="Arial" w:hAnsi="Arial" w:cs="Arial"/>
          <w:sz w:val="21"/>
        </w:rPr>
        <w:t>200</w:t>
      </w:r>
      <w:r>
        <w:rPr>
          <w:rFonts w:hint="eastAsia" w:ascii="Arial" w:hAnsi="Arial" w:cs="Arial"/>
          <w:sz w:val="21"/>
        </w:rPr>
        <w:t>公顷计划为自住商品房用地，后续大部分转为共有产权房），从</w:t>
      </w:r>
      <w:r>
        <w:rPr>
          <w:rFonts w:ascii="Arial" w:hAnsi="Arial" w:cs="Arial"/>
          <w:sz w:val="21"/>
        </w:rPr>
        <w:t>2019</w:t>
      </w:r>
      <w:r>
        <w:rPr>
          <w:rFonts w:hint="eastAsia" w:ascii="Arial" w:hAnsi="Arial" w:cs="Arial"/>
          <w:sz w:val="21"/>
        </w:rPr>
        <w:t>年开始，共有产权房用地数量开始减少。</w:t>
      </w:r>
    </w:p>
    <w:p>
      <w:pPr>
        <w:overflowPunct w:val="0"/>
        <w:spacing w:line="480" w:lineRule="auto"/>
        <w:ind w:firstLine="420"/>
        <w:jc w:val="both"/>
        <w:rPr>
          <w:rFonts w:ascii="Arial" w:hAnsi="Arial" w:cs="Arial"/>
          <w:sz w:val="21"/>
        </w:rPr>
      </w:pPr>
      <w:r>
        <w:rPr>
          <w:rFonts w:hint="eastAsia" w:ascii="Arial" w:hAnsi="Arial" w:cs="Arial"/>
          <w:sz w:val="21"/>
        </w:rPr>
        <w:t>根据</w:t>
      </w:r>
      <w:r>
        <w:rPr>
          <w:rFonts w:ascii="Arial" w:hAnsi="Arial" w:cs="Arial"/>
          <w:sz w:val="21"/>
        </w:rPr>
        <w:t>2021</w:t>
      </w:r>
      <w:r>
        <w:rPr>
          <w:rFonts w:hint="eastAsia" w:ascii="Arial" w:hAnsi="Arial" w:cs="Arial"/>
          <w:sz w:val="21"/>
        </w:rPr>
        <w:t>年</w:t>
      </w:r>
      <w:r>
        <w:rPr>
          <w:rFonts w:ascii="Arial" w:hAnsi="Arial" w:cs="Arial"/>
          <w:sz w:val="21"/>
        </w:rPr>
        <w:t>1</w:t>
      </w:r>
      <w:r>
        <w:rPr>
          <w:rFonts w:hint="eastAsia" w:ascii="Arial" w:hAnsi="Arial" w:cs="Arial"/>
          <w:sz w:val="21"/>
        </w:rPr>
        <w:t>月公布的北京市《北京市国民经济和社会发展第十四个五年规划和二</w:t>
      </w:r>
      <w:r>
        <w:rPr>
          <w:rFonts w:ascii="Arial" w:hAnsi="Arial" w:cs="Arial"/>
          <w:sz w:val="21"/>
        </w:rPr>
        <w:t>0</w:t>
      </w:r>
      <w:r>
        <w:rPr>
          <w:rFonts w:hint="eastAsia" w:ascii="Arial" w:hAnsi="Arial" w:cs="Arial"/>
          <w:sz w:val="21"/>
        </w:rPr>
        <w:t>三五年远景目标纲要》，在未来五年，北京将新供应各类居住用地</w:t>
      </w:r>
      <w:r>
        <w:rPr>
          <w:rFonts w:ascii="Arial" w:hAnsi="Arial" w:cs="Arial"/>
          <w:sz w:val="21"/>
        </w:rPr>
        <w:t>5000</w:t>
      </w:r>
      <w:r>
        <w:rPr>
          <w:rFonts w:hint="eastAsia" w:ascii="Arial" w:hAnsi="Arial" w:cs="Arial"/>
          <w:sz w:val="21"/>
        </w:rPr>
        <w:t>公顷，新增共有产权住房供地不低于供应总量的</w:t>
      </w:r>
      <w:r>
        <w:rPr>
          <w:rFonts w:ascii="Arial" w:hAnsi="Arial" w:cs="Arial"/>
          <w:sz w:val="21"/>
        </w:rPr>
        <w:t>15%</w:t>
      </w:r>
      <w:r>
        <w:rPr>
          <w:rFonts w:hint="eastAsia" w:ascii="Arial" w:hAnsi="Arial" w:cs="Arial"/>
          <w:sz w:val="21"/>
        </w:rPr>
        <w:t>。</w:t>
      </w:r>
    </w:p>
    <w:p>
      <w:pPr>
        <w:overflowPunct w:val="0"/>
        <w:spacing w:line="480" w:lineRule="auto"/>
        <w:ind w:firstLine="420"/>
        <w:jc w:val="both"/>
        <w:rPr>
          <w:rFonts w:ascii="Arial" w:hAnsi="Arial" w:cs="Arial"/>
          <w:sz w:val="21"/>
        </w:rPr>
      </w:pPr>
      <w:r>
        <w:rPr>
          <w:rFonts w:ascii="Arial" w:hAnsi="Arial" w:cs="Arial"/>
          <w:sz w:val="21"/>
        </w:rPr>
        <w:t>3.</w:t>
      </w:r>
      <w:r>
        <w:rPr>
          <w:rFonts w:hint="eastAsia" w:ascii="Arial" w:hAnsi="Arial" w:cs="Arial"/>
          <w:sz w:val="21"/>
        </w:rPr>
        <w:t>共有产权房区位逐年优化，近郊区为主阵地</w:t>
      </w:r>
    </w:p>
    <w:p>
      <w:pPr>
        <w:overflowPunct w:val="0"/>
        <w:spacing w:line="480" w:lineRule="auto"/>
        <w:ind w:firstLine="420"/>
        <w:jc w:val="both"/>
        <w:rPr>
          <w:rFonts w:ascii="Arial" w:hAnsi="Arial" w:cs="Arial"/>
          <w:sz w:val="21"/>
        </w:rPr>
      </w:pPr>
      <w:r>
        <w:rPr>
          <w:rFonts w:hint="eastAsia" w:ascii="Arial" w:hAnsi="Arial" w:cs="Arial"/>
          <w:sz w:val="21"/>
        </w:rPr>
        <w:t>根据区域分布来看，北京市共有产权房项目主要集中在近郊区域，临近城区的昌平区、顺义区、大兴区、房山区、通州区、门头沟区，集中了约</w:t>
      </w:r>
      <w:r>
        <w:rPr>
          <w:rFonts w:ascii="Arial" w:hAnsi="Arial" w:cs="Arial"/>
          <w:sz w:val="21"/>
        </w:rPr>
        <w:t>60%</w:t>
      </w:r>
      <w:r>
        <w:rPr>
          <w:rFonts w:hint="eastAsia" w:ascii="Arial" w:hAnsi="Arial" w:cs="Arial"/>
          <w:sz w:val="21"/>
        </w:rPr>
        <w:t>的房源。</w:t>
      </w:r>
    </w:p>
    <w:p>
      <w:pPr>
        <w:overflowPunct w:val="0"/>
        <w:spacing w:line="480" w:lineRule="auto"/>
        <w:ind w:firstLine="420"/>
        <w:jc w:val="both"/>
        <w:rPr>
          <w:rFonts w:ascii="Arial" w:hAnsi="Arial" w:cs="Arial"/>
          <w:sz w:val="21"/>
        </w:rPr>
      </w:pPr>
      <w:r>
        <w:rPr>
          <w:rFonts w:hint="eastAsia" w:ascii="Arial" w:hAnsi="Arial" w:cs="Arial"/>
          <w:sz w:val="21"/>
        </w:rPr>
        <w:t>从历年变化来看，</w:t>
      </w:r>
      <w:r>
        <w:rPr>
          <w:rFonts w:ascii="Arial" w:hAnsi="Arial" w:cs="Arial"/>
          <w:sz w:val="21"/>
        </w:rPr>
        <w:t>2017</w:t>
      </w:r>
      <w:r>
        <w:rPr>
          <w:rFonts w:hint="eastAsia" w:ascii="Arial" w:hAnsi="Arial" w:cs="Arial"/>
          <w:sz w:val="21"/>
        </w:rPr>
        <w:t>年，可申购的共有产权房主要在远郊区；</w:t>
      </w:r>
      <w:r>
        <w:rPr>
          <w:rFonts w:ascii="Arial" w:hAnsi="Arial" w:cs="Arial"/>
          <w:sz w:val="21"/>
        </w:rPr>
        <w:t>2019</w:t>
      </w:r>
      <w:r>
        <w:rPr>
          <w:rFonts w:hint="eastAsia" w:ascii="Arial" w:hAnsi="Arial" w:cs="Arial"/>
          <w:sz w:val="21"/>
        </w:rPr>
        <w:t>年，开始向近郊地区发展，承担起为中心城区疏解人口的任务；</w:t>
      </w:r>
      <w:r>
        <w:rPr>
          <w:rFonts w:ascii="Arial" w:hAnsi="Arial" w:cs="Arial"/>
          <w:sz w:val="21"/>
        </w:rPr>
        <w:t>2020</w:t>
      </w:r>
      <w:r>
        <w:rPr>
          <w:rFonts w:hint="eastAsia" w:ascii="Arial" w:hAnsi="Arial" w:cs="Arial"/>
          <w:sz w:val="21"/>
        </w:rPr>
        <w:t>年，城区的共有产权房供应量出现明显提高，更侧重落实重点地区的职住平衡；</w:t>
      </w:r>
      <w:r>
        <w:rPr>
          <w:rFonts w:ascii="Arial" w:hAnsi="Arial" w:cs="Arial"/>
          <w:sz w:val="21"/>
        </w:rPr>
        <w:t>2021</w:t>
      </w:r>
      <w:r>
        <w:rPr>
          <w:rFonts w:hint="eastAsia" w:ascii="Arial" w:hAnsi="Arial" w:cs="Arial"/>
          <w:sz w:val="21"/>
        </w:rPr>
        <w:t>年，远郊区县已没有共有产权房项目供应。</w:t>
      </w:r>
    </w:p>
    <w:p>
      <w:pPr>
        <w:overflowPunct w:val="0"/>
        <w:spacing w:line="480" w:lineRule="auto"/>
        <w:ind w:firstLine="420"/>
        <w:jc w:val="both"/>
        <w:rPr>
          <w:rFonts w:ascii="Arial" w:hAnsi="Arial" w:cs="Arial"/>
          <w:sz w:val="21"/>
        </w:rPr>
      </w:pPr>
      <w:r>
        <w:rPr>
          <w:rFonts w:hint="eastAsia" w:ascii="Arial" w:hAnsi="Arial" w:cs="Arial"/>
          <w:sz w:val="21"/>
        </w:rPr>
        <w:t>可申购的共有产权房项目更接近北京市新的城市建设核心地区。例如，在西三旗的金隅尚林家园，临近上地、后厂村等互联网科技产业园区；在将台乡的澜悦景苑，临近望京地区、中关村</w:t>
      </w:r>
      <w:r>
        <w:rPr>
          <w:rFonts w:ascii="Arial" w:hAnsi="Arial" w:cs="Arial"/>
          <w:sz w:val="21"/>
        </w:rPr>
        <w:t>-</w:t>
      </w:r>
      <w:r>
        <w:rPr>
          <w:rFonts w:hint="eastAsia" w:ascii="Arial" w:hAnsi="Arial" w:cs="Arial"/>
          <w:sz w:val="21"/>
        </w:rPr>
        <w:t>酒仙桥园科技园区；东坝的瑞晖嘉苑较为临近规划中的金盏国际商务区；丰台区的金璟阳光苑，临近丽泽商务区；长阳的碧岸澜庭项目，则享受到了长阳商圈成熟的教育、商业配套。</w:t>
      </w:r>
    </w:p>
    <w:p>
      <w:pPr>
        <w:overflowPunct w:val="0"/>
        <w:spacing w:line="480" w:lineRule="auto"/>
        <w:ind w:firstLine="420"/>
        <w:jc w:val="both"/>
        <w:rPr>
          <w:rFonts w:ascii="Arial" w:hAnsi="Arial" w:cs="Arial"/>
          <w:sz w:val="21"/>
        </w:rPr>
      </w:pPr>
      <w:r>
        <w:rPr>
          <w:rFonts w:hint="eastAsia"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pPr>
        <w:overflowPunct w:val="0"/>
        <w:spacing w:line="480" w:lineRule="auto"/>
        <w:ind w:firstLine="420"/>
        <w:jc w:val="both"/>
        <w:rPr>
          <w:rFonts w:ascii="Arial" w:hAnsi="Arial"/>
          <w:sz w:val="21"/>
        </w:rPr>
      </w:pPr>
      <w:r>
        <w:rPr>
          <w:rFonts w:hint="eastAsia" w:ascii="Arial" w:hAnsi="Arial"/>
          <w:sz w:val="21"/>
        </w:rPr>
        <w:t>4.</w:t>
      </w:r>
      <w:r>
        <w:rPr>
          <w:rFonts w:ascii="Arial" w:hAnsi="Arial"/>
          <w:sz w:val="21"/>
        </w:rPr>
        <w:t>2022年内</w:t>
      </w:r>
      <w:r>
        <w:rPr>
          <w:rFonts w:hint="eastAsia" w:ascii="Arial" w:hAnsi="Arial"/>
          <w:sz w:val="21"/>
        </w:rPr>
        <w:t>公开</w:t>
      </w:r>
      <w:r>
        <w:rPr>
          <w:rFonts w:ascii="Arial" w:hAnsi="Arial"/>
          <w:sz w:val="21"/>
        </w:rPr>
        <w:t>配售项目</w:t>
      </w:r>
    </w:p>
    <w:p>
      <w:pPr>
        <w:spacing w:line="480" w:lineRule="auto"/>
        <w:ind w:firstLine="424" w:firstLineChars="202"/>
        <w:jc w:val="both"/>
        <w:rPr>
          <w:rFonts w:ascii="Arial" w:hAnsi="Arial"/>
          <w:sz w:val="21"/>
        </w:rPr>
      </w:pPr>
      <w:r>
        <w:rPr>
          <w:rFonts w:hint="eastAsia" w:ascii="Arial" w:hAnsi="Arial"/>
          <w:sz w:val="21"/>
        </w:rPr>
        <w:t>顺义颐盛嘉园项目位于北京市顺义新城核心区，具体位置为顺义区仁和镇二三产业园，紧邻外环路，北至林河南大街，南至仁和园四街，西至仁和园三街，东至仁和园二街及平沿路。</w:t>
      </w:r>
      <w:r>
        <w:rPr>
          <w:rFonts w:hint="eastAsia" w:ascii="Arial" w:hAnsi="Arial" w:cs="Arial"/>
          <w:bCs/>
          <w:sz w:val="21"/>
          <w:szCs w:val="21"/>
        </w:rPr>
        <w:t>共有产权房房源共计1501套，其中，约66㎡一居391套、约92㎡两居927套、约117㎡三居183套。销售均价22900元/㎡（含全装修费用）。购房人产权份额比例为80%，北京市燕顺保障性住房投资有限公司（政府产权份额代持机构）持有剩余20%份额。</w:t>
      </w:r>
    </w:p>
    <w:p>
      <w:pPr>
        <w:spacing w:line="480" w:lineRule="auto"/>
        <w:ind w:firstLine="424" w:firstLineChars="202"/>
        <w:jc w:val="both"/>
        <w:rPr>
          <w:rFonts w:ascii="Arial" w:hAnsi="Arial" w:cs="Arial"/>
          <w:bCs/>
          <w:sz w:val="21"/>
          <w:szCs w:val="21"/>
        </w:rPr>
      </w:pPr>
      <w:r>
        <w:rPr>
          <w:rFonts w:hint="eastAsia" w:ascii="Arial" w:hAnsi="Arial"/>
          <w:sz w:val="21"/>
        </w:rPr>
        <w:t>门头沟西山印嘉园</w:t>
      </w:r>
      <w:r>
        <w:rPr>
          <w:rFonts w:hint="eastAsia" w:ascii="Arial" w:hAnsi="Arial" w:cs="Arial"/>
          <w:bCs/>
          <w:sz w:val="21"/>
          <w:szCs w:val="21"/>
        </w:rPr>
        <w:t>项目位于门头沟区龙泉镇。项目四至：东至规划龙门南街，西至惠泽家园，南至规划门头沟北街，北至规划石港路、平洞西街。共有产权房房源共计1757套，其中，约58㎡一居18套、约72㎡两居6套、约80㎡两居623套、约89㎡三居983套、约115㎡三居127套。销售均价29500元/㎡（含全装修费用）。购房人产权份额比例为85%，北京市门头沟区保障房建设投资管理公司（政府产权份额代持机构）持有剩余15%份额。</w:t>
      </w:r>
    </w:p>
    <w:p>
      <w:pPr>
        <w:spacing w:line="480" w:lineRule="auto"/>
        <w:ind w:firstLine="424" w:firstLineChars="202"/>
        <w:jc w:val="both"/>
        <w:rPr>
          <w:rFonts w:ascii="Arial" w:hAnsi="Arial" w:cs="Arial"/>
          <w:bCs/>
          <w:sz w:val="21"/>
          <w:szCs w:val="21"/>
        </w:rPr>
      </w:pPr>
      <w:r>
        <w:rPr>
          <w:rFonts w:hint="eastAsia" w:ascii="Arial" w:hAnsi="Arial" w:cs="Arial"/>
          <w:bCs/>
          <w:sz w:val="21"/>
          <w:szCs w:val="21"/>
        </w:rPr>
        <w:t>顺义区后沙峪镇SY00-0019-6001、6003地块(博裕雅苑项目)共有产权住房项目位于顺义区后沙峪镇，项目四至为：北至安富街；西至天北路，地块中间马头庄路；东至裕丰北路(为规划道路)、南至双峪北街(为规划道路)。共有产权房房源共计2952套，其中，约50㎡一居16套、约80㎡两居2667套、约100㎡三居269套。销售均价23000元/㎡（含全装修费用）。购房人产权份额比例为55%，北京市顺义区燕顺保障性住房投资有限公司(政府产权份额代持机构)持有45%份额。</w:t>
      </w:r>
    </w:p>
    <w:p>
      <w:pPr>
        <w:spacing w:line="480" w:lineRule="auto"/>
        <w:ind w:firstLine="424" w:firstLineChars="202"/>
        <w:jc w:val="both"/>
        <w:rPr>
          <w:rFonts w:ascii="Arial" w:hAnsi="Arial" w:cs="Arial"/>
          <w:bCs/>
          <w:sz w:val="21"/>
          <w:szCs w:val="21"/>
        </w:rPr>
      </w:pPr>
      <w:r>
        <w:rPr>
          <w:rFonts w:hint="eastAsia" w:ascii="Arial" w:hAnsi="Arial" w:cs="Arial"/>
          <w:bCs/>
          <w:sz w:val="21"/>
          <w:szCs w:val="21"/>
        </w:rPr>
        <w:t>丰台区晟泽嘉园共有产权住房项目位于北京市丰台区卢沟桥乡周庄子村，东临规划七里庄中街;南临规划七里庄路;西临规划丰台站北路;北临丰华苑西街8号院。共有产权房套数共319套，其中，二居室111套，建筑面积约78-80平方米；三居室208套，建筑面积约88-89平方米。销售价格为43000元/平方米，全装修交房。购房人产权份额比例为70%，北京市丰台区保障性住房发展有限公司（政府产权份额代持机构）持有剩余30%份额。</w:t>
      </w:r>
    </w:p>
    <w:p>
      <w:pPr>
        <w:spacing w:line="480" w:lineRule="auto"/>
        <w:ind w:firstLine="424" w:firstLineChars="202"/>
        <w:jc w:val="both"/>
        <w:rPr>
          <w:rFonts w:ascii="Arial" w:hAnsi="Arial" w:cs="Arial"/>
          <w:bCs/>
          <w:sz w:val="21"/>
          <w:szCs w:val="21"/>
        </w:rPr>
      </w:pPr>
      <w:r>
        <w:rPr>
          <w:rFonts w:hint="eastAsia" w:ascii="Arial" w:hAnsi="Arial" w:cs="Arial"/>
          <w:bCs/>
          <w:sz w:val="21"/>
          <w:szCs w:val="21"/>
        </w:rPr>
        <w:t>昌平区未来慧园项目位于昌平区北七家镇未来科学城南区C-16地块R2二类居住用地，项目四至：东至鲁疃东路，南至英才南二街，西至鲁疃路，北至英才南一街。共有产权房套数共1061套，其中二居室809套，建筑面积约88平方米；三居室252套，建筑面积约119平方米销售价格为32000元/平方米，全装修交房。购房人产权份额比例为70%，北京市昌平保障房建设投资管理有限公司(政府产权份额代持机构)持有剩余30%份额。</w:t>
      </w:r>
    </w:p>
    <w:p>
      <w:pPr>
        <w:spacing w:line="480" w:lineRule="auto"/>
        <w:ind w:firstLine="424" w:firstLineChars="202"/>
        <w:jc w:val="both"/>
        <w:rPr>
          <w:rFonts w:ascii="Arial" w:hAnsi="Arial" w:cs="Arial"/>
          <w:bCs/>
          <w:sz w:val="21"/>
          <w:szCs w:val="21"/>
        </w:rPr>
      </w:pPr>
      <w:r>
        <w:rPr>
          <w:rFonts w:hint="eastAsia" w:ascii="Arial" w:hAnsi="Arial" w:cs="Arial"/>
          <w:bCs/>
          <w:sz w:val="21"/>
          <w:szCs w:val="21"/>
        </w:rPr>
        <w:t>平谷区晟贤悦府项目位于平谷区马昌营镇东北部，项目四至为：东至沥青厂用地范围的东边线，南至高压线防护绿地的南边线，西至马昌营镇经三路，北至顺平路。共有产权房套数共852套，其中82㎡二居共190套、84㎡二居共379套、88㎡三居共192套、110㎡三居共88套、122㎡三居共2套、127㎡三居共1套。销售价格为16500元/平方米，全装修交房。购房人产权份额比例为70%，北京市燕谷保障性住房建设投资有限公司(政府产权份额代持机构)持有剩余30%份额。</w:t>
      </w:r>
    </w:p>
    <w:p>
      <w:pPr>
        <w:overflowPunct w:val="0"/>
        <w:spacing w:line="480" w:lineRule="auto"/>
        <w:ind w:right="204" w:firstLine="420" w:firstLineChars="200"/>
        <w:jc w:val="both"/>
        <w:rPr>
          <w:rFonts w:ascii="Arial" w:hAnsi="Arial"/>
          <w:sz w:val="21"/>
        </w:rPr>
      </w:pPr>
      <w:r>
        <w:rPr>
          <w:rFonts w:hint="eastAsia" w:ascii="Arial" w:hAnsi="Arial" w:cs="Arial"/>
          <w:bCs/>
          <w:sz w:val="21"/>
          <w:szCs w:val="21"/>
        </w:rPr>
        <w:t>大兴区兴海星光里共有产权住房项目位于集体建设用地区级统筹大兴区瀛海镇YZ00-0803-2012A、2012B地块，四至为：东至规划瀛隆街，南至规划瀛宏路，西至规划瀛义街，北至规划瀛志路。共有产权房套数共1095套，其中，一居室6套，建筑面积约64平方米；二居室290套，建筑面积约70-78平方米；三居室647套，建筑面积约89-113平方米；四居室152套，建筑面积约119平方米。销售价格为29000元/平方米，全装修交房。购房人产权份额比例为70%，北京市大兴区保障性住房建设投资管理有限公司（政府产权份额代持机构）持有剩余30%份额。</w:t>
      </w:r>
    </w:p>
    <w:p>
      <w:pPr>
        <w:overflowPunct w:val="0"/>
        <w:spacing w:line="480" w:lineRule="auto"/>
        <w:ind w:right="205"/>
        <w:jc w:val="both"/>
        <w:rPr>
          <w:rFonts w:ascii="Arial" w:hAnsi="Arial"/>
          <w:b/>
          <w:bCs/>
          <w:sz w:val="21"/>
          <w:szCs w:val="21"/>
          <w:highlight w:val="none"/>
        </w:rPr>
      </w:pPr>
      <w:r>
        <w:rPr>
          <w:rFonts w:hint="eastAsia" w:ascii="Arial" w:hAnsi="Arial"/>
          <w:b/>
          <w:bCs/>
          <w:sz w:val="21"/>
          <w:szCs w:val="21"/>
        </w:rPr>
        <w:t>（</w:t>
      </w:r>
      <w:r>
        <w:rPr>
          <w:rFonts w:hint="eastAsia" w:ascii="Arial" w:hAnsi="Arial"/>
          <w:b/>
          <w:bCs/>
          <w:sz w:val="21"/>
          <w:szCs w:val="21"/>
          <w:highlight w:val="none"/>
        </w:rPr>
        <w:t>三）市场租金趋势分析</w:t>
      </w:r>
    </w:p>
    <w:p>
      <w:pPr>
        <w:overflowPunct w:val="0"/>
        <w:spacing w:line="480" w:lineRule="auto"/>
        <w:ind w:firstLine="420"/>
        <w:jc w:val="both"/>
        <w:rPr>
          <w:rFonts w:hint="eastAsia" w:ascii="Arial" w:hAnsi="Arial"/>
          <w:sz w:val="21"/>
          <w:highlight w:val="none"/>
          <w:lang w:eastAsia="zh-CN"/>
        </w:rPr>
      </w:pPr>
      <w:bookmarkStart w:id="48" w:name="_Toc525655438"/>
      <w:r>
        <w:rPr>
          <w:rFonts w:hint="eastAsia" w:ascii="Arial" w:hAnsi="Arial"/>
          <w:sz w:val="21"/>
          <w:highlight w:val="none"/>
          <w:lang w:eastAsia="zh-CN"/>
        </w:rPr>
        <w:t>根据</w:t>
      </w:r>
      <w:r>
        <w:rPr>
          <w:rFonts w:hint="eastAsia" w:ascii="Arial" w:hAnsi="Arial"/>
          <w:sz w:val="21"/>
          <w:highlight w:val="none"/>
        </w:rPr>
        <w:t>2023年3月北京市二手房租金为102元/㎡，环比上升2%；套均租金为8795元/套，环比上升2%</w:t>
      </w:r>
      <w:r>
        <w:rPr>
          <w:rFonts w:hint="eastAsia" w:ascii="Arial" w:hAnsi="Arial"/>
          <w:sz w:val="21"/>
          <w:highlight w:val="none"/>
          <w:lang w:eastAsia="zh-CN"/>
        </w:rPr>
        <w:t>。</w:t>
      </w:r>
    </w:p>
    <w:p>
      <w:pPr>
        <w:overflowPunct w:val="0"/>
        <w:spacing w:line="480" w:lineRule="auto"/>
        <w:jc w:val="left"/>
        <w:rPr>
          <w:rFonts w:hint="eastAsia" w:ascii="Arial" w:hAnsi="Arial" w:eastAsia="宋体"/>
          <w:sz w:val="21"/>
          <w:highlight w:val="none"/>
          <w:lang w:eastAsia="zh-CN"/>
        </w:rPr>
      </w:pPr>
      <w:r>
        <w:rPr>
          <w:rFonts w:hint="eastAsia" w:ascii="Arial" w:hAnsi="Arial" w:eastAsia="宋体"/>
          <w:sz w:val="21"/>
          <w:highlight w:val="none"/>
          <w:lang w:eastAsia="zh-CN"/>
        </w:rPr>
        <w:drawing>
          <wp:inline distT="0" distB="0" distL="114300" distR="114300">
            <wp:extent cx="5898515" cy="2773680"/>
            <wp:effectExtent l="0" t="0" r="6985" b="7620"/>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33"/>
                    <a:stretch>
                      <a:fillRect/>
                    </a:stretch>
                  </pic:blipFill>
                  <pic:spPr>
                    <a:xfrm>
                      <a:off x="0" y="0"/>
                      <a:ext cx="5898515" cy="2773680"/>
                    </a:xfrm>
                    <a:prstGeom prst="rect">
                      <a:avLst/>
                    </a:prstGeom>
                  </pic:spPr>
                </pic:pic>
              </a:graphicData>
            </a:graphic>
          </wp:inline>
        </w:drawing>
      </w:r>
    </w:p>
    <w:p>
      <w:pPr>
        <w:overflowPunct w:val="0"/>
        <w:spacing w:line="480" w:lineRule="auto"/>
        <w:jc w:val="center"/>
        <w:rPr>
          <w:rFonts w:hint="eastAsia" w:ascii="Arial" w:hAnsi="Arial" w:eastAsia="宋体"/>
          <w:sz w:val="21"/>
          <w:lang w:eastAsia="zh-CN"/>
        </w:rPr>
      </w:pPr>
    </w:p>
    <w:p>
      <w:pPr>
        <w:overflowPunct w:val="0"/>
        <w:spacing w:line="480" w:lineRule="auto"/>
        <w:ind w:firstLine="420" w:firstLineChars="200"/>
        <w:rPr>
          <w:rFonts w:hint="eastAsia" w:ascii="Arial" w:hAnsi="Arial"/>
          <w:sz w:val="21"/>
          <w:highlight w:val="none"/>
        </w:rPr>
      </w:pPr>
      <w:r>
        <w:rPr>
          <w:rFonts w:hint="eastAsia" w:ascii="Arial" w:hAnsi="Arial"/>
          <w:sz w:val="21"/>
        </w:rPr>
        <w:t>从租金水平来看，202</w:t>
      </w:r>
      <w:r>
        <w:rPr>
          <w:rFonts w:hint="eastAsia" w:ascii="Arial" w:hAnsi="Arial"/>
          <w:sz w:val="21"/>
          <w:lang w:val="en-US" w:eastAsia="zh-CN"/>
        </w:rPr>
        <w:t>2</w:t>
      </w:r>
      <w:r>
        <w:rPr>
          <w:rFonts w:hint="eastAsia" w:ascii="Arial" w:hAnsi="Arial"/>
          <w:sz w:val="21"/>
        </w:rPr>
        <w:t>年</w:t>
      </w:r>
      <w:r>
        <w:rPr>
          <w:rFonts w:hint="eastAsia" w:ascii="Arial" w:hAnsi="Arial"/>
          <w:sz w:val="21"/>
          <w:lang w:val="en-US" w:eastAsia="zh-CN"/>
        </w:rPr>
        <w:t>8</w:t>
      </w:r>
      <w:r>
        <w:rPr>
          <w:rFonts w:hint="eastAsia" w:ascii="Arial" w:hAnsi="Arial"/>
          <w:sz w:val="21"/>
        </w:rPr>
        <w:t>月</w:t>
      </w:r>
      <w:r>
        <w:rPr>
          <w:rFonts w:hint="eastAsia" w:ascii="Arial" w:hAnsi="Arial"/>
          <w:sz w:val="21"/>
          <w:lang w:eastAsia="zh-CN"/>
        </w:rPr>
        <w:t>为近</w:t>
      </w:r>
      <w:r>
        <w:rPr>
          <w:rFonts w:hint="eastAsia" w:ascii="Arial" w:hAnsi="Arial"/>
          <w:sz w:val="21"/>
          <w:lang w:val="en-US" w:eastAsia="zh-CN"/>
        </w:rPr>
        <w:t>1年北京市住宅市场租金的峰值</w:t>
      </w:r>
      <w:r>
        <w:rPr>
          <w:rFonts w:hint="eastAsia" w:ascii="Arial" w:hAnsi="Arial"/>
          <w:sz w:val="21"/>
        </w:rPr>
        <w:t>，</w:t>
      </w:r>
      <w:r>
        <w:rPr>
          <w:rFonts w:hint="eastAsia" w:ascii="Arial" w:hAnsi="Arial"/>
          <w:sz w:val="21"/>
          <w:lang w:eastAsia="zh-CN"/>
        </w:rPr>
        <w:t>为</w:t>
      </w:r>
      <w:r>
        <w:rPr>
          <w:rFonts w:hint="eastAsia" w:ascii="Arial" w:hAnsi="Arial"/>
          <w:sz w:val="21"/>
          <w:lang w:val="en-US" w:eastAsia="zh-CN"/>
        </w:rPr>
        <w:t>106</w:t>
      </w:r>
      <w:r>
        <w:rPr>
          <w:rFonts w:hint="eastAsia" w:ascii="Arial" w:hAnsi="Arial"/>
          <w:sz w:val="21"/>
        </w:rPr>
        <w:t>元/平方米</w:t>
      </w:r>
      <w:r>
        <w:rPr>
          <w:rFonts w:hint="eastAsia" w:ascii="Arial" w:hAnsi="Arial"/>
          <w:sz w:val="21"/>
          <w:lang w:eastAsia="zh-CN"/>
        </w:rPr>
        <w:t>或</w:t>
      </w:r>
      <w:r>
        <w:rPr>
          <w:rFonts w:hint="eastAsia" w:ascii="Arial" w:hAnsi="Arial"/>
          <w:sz w:val="21"/>
          <w:lang w:val="en-US" w:eastAsia="zh-CN"/>
        </w:rPr>
        <w:t>9931</w:t>
      </w:r>
      <w:r>
        <w:rPr>
          <w:rFonts w:hint="eastAsia" w:ascii="Arial" w:hAnsi="Arial"/>
          <w:sz w:val="21"/>
          <w:lang w:eastAsia="zh-CN"/>
        </w:rPr>
        <w:t>元</w:t>
      </w:r>
      <w:r>
        <w:rPr>
          <w:rFonts w:hint="eastAsia" w:ascii="Arial" w:hAnsi="Arial"/>
          <w:sz w:val="21"/>
          <w:lang w:val="en-US" w:eastAsia="zh-CN"/>
        </w:rPr>
        <w:t>/套</w:t>
      </w:r>
      <w:r>
        <w:rPr>
          <w:rFonts w:hint="eastAsia" w:ascii="Arial" w:hAnsi="Arial"/>
          <w:sz w:val="21"/>
        </w:rPr>
        <w:t>，</w:t>
      </w:r>
      <w:r>
        <w:rPr>
          <w:rFonts w:hint="eastAsia" w:ascii="Arial" w:hAnsi="Arial"/>
          <w:sz w:val="21"/>
          <w:lang w:eastAsia="zh-CN"/>
        </w:rPr>
        <w:t>之后快速回落，至</w:t>
      </w:r>
      <w:r>
        <w:rPr>
          <w:rFonts w:hint="eastAsia" w:ascii="Arial" w:hAnsi="Arial"/>
          <w:sz w:val="21"/>
          <w:lang w:val="en-US" w:eastAsia="zh-CN"/>
        </w:rPr>
        <w:t>2023年1月降至最低点，为99</w:t>
      </w:r>
      <w:r>
        <w:rPr>
          <w:rFonts w:hint="eastAsia" w:ascii="Arial" w:hAnsi="Arial"/>
          <w:sz w:val="21"/>
        </w:rPr>
        <w:t>元/平方米</w:t>
      </w:r>
      <w:r>
        <w:rPr>
          <w:rFonts w:hint="eastAsia" w:ascii="Arial" w:hAnsi="Arial"/>
          <w:sz w:val="21"/>
          <w:lang w:eastAsia="zh-CN"/>
        </w:rPr>
        <w:t>或</w:t>
      </w:r>
      <w:r>
        <w:rPr>
          <w:rFonts w:hint="eastAsia" w:ascii="Arial" w:hAnsi="Arial"/>
          <w:sz w:val="21"/>
          <w:lang w:val="en-US" w:eastAsia="zh-CN"/>
        </w:rPr>
        <w:t>8549</w:t>
      </w:r>
      <w:r>
        <w:rPr>
          <w:rFonts w:hint="eastAsia" w:ascii="Arial" w:hAnsi="Arial"/>
          <w:sz w:val="21"/>
          <w:lang w:eastAsia="zh-CN"/>
        </w:rPr>
        <w:t>元</w:t>
      </w:r>
      <w:r>
        <w:rPr>
          <w:rFonts w:hint="eastAsia" w:ascii="Arial" w:hAnsi="Arial"/>
          <w:sz w:val="21"/>
          <w:lang w:val="en-US" w:eastAsia="zh-CN"/>
        </w:rPr>
        <w:t>/套，从2023年2月起，北京市住宅市场租金水平稳步回升，截至3月，</w:t>
      </w:r>
      <w:r>
        <w:rPr>
          <w:rFonts w:hint="eastAsia" w:ascii="Arial" w:hAnsi="Arial"/>
          <w:sz w:val="21"/>
          <w:highlight w:val="none"/>
        </w:rPr>
        <w:t>北京市二手房租金为102元/</w:t>
      </w:r>
      <w:r>
        <w:rPr>
          <w:rFonts w:hint="eastAsia" w:ascii="Arial" w:hAnsi="Arial"/>
          <w:sz w:val="21"/>
          <w:highlight w:val="none"/>
          <w:lang w:eastAsia="zh-CN"/>
        </w:rPr>
        <w:t>平方米或</w:t>
      </w:r>
      <w:r>
        <w:rPr>
          <w:rFonts w:hint="eastAsia" w:ascii="Arial" w:hAnsi="Arial"/>
          <w:sz w:val="21"/>
          <w:highlight w:val="none"/>
        </w:rPr>
        <w:t>8795元/套，</w:t>
      </w:r>
    </w:p>
    <w:p>
      <w:pPr>
        <w:overflowPunct w:val="0"/>
        <w:spacing w:line="480" w:lineRule="auto"/>
        <w:ind w:firstLine="420" w:firstLineChars="200"/>
        <w:rPr>
          <w:rFonts w:hint="eastAsia" w:ascii="Arial" w:hAnsi="Arial"/>
          <w:sz w:val="21"/>
          <w:highlight w:val="none"/>
          <w:lang w:val="en-US" w:eastAsia="zh-CN"/>
        </w:rPr>
      </w:pPr>
      <w:r>
        <w:rPr>
          <w:rFonts w:hint="default" w:ascii="Arial" w:hAnsi="Arial"/>
          <w:sz w:val="21"/>
          <w:highlight w:val="none"/>
          <w:lang w:val="en-US" w:eastAsia="zh-CN"/>
        </w:rPr>
        <w:t>从区域分布来看，2023年3月西城区位居全市租赁数据区县排行榜首位，成交平米租金价</w:t>
      </w:r>
      <w:r>
        <w:rPr>
          <w:rFonts w:hint="eastAsia" w:ascii="Arial" w:hAnsi="Arial"/>
          <w:sz w:val="21"/>
          <w:highlight w:val="none"/>
          <w:lang w:val="en-US" w:eastAsia="zh-CN"/>
        </w:rPr>
        <w:t>为</w:t>
      </w:r>
      <w:r>
        <w:rPr>
          <w:rFonts w:hint="default" w:ascii="Arial" w:hAnsi="Arial"/>
          <w:sz w:val="21"/>
          <w:highlight w:val="none"/>
          <w:lang w:val="en-US" w:eastAsia="zh-CN"/>
        </w:rPr>
        <w:t>15</w:t>
      </w:r>
      <w:r>
        <w:rPr>
          <w:rFonts w:hint="eastAsia" w:ascii="Arial" w:hAnsi="Arial"/>
          <w:sz w:val="21"/>
          <w:highlight w:val="none"/>
          <w:lang w:val="en-US" w:eastAsia="zh-CN"/>
        </w:rPr>
        <w:t>4</w:t>
      </w:r>
      <w:r>
        <w:rPr>
          <w:rFonts w:hint="default" w:ascii="Arial" w:hAnsi="Arial"/>
          <w:sz w:val="21"/>
          <w:highlight w:val="none"/>
          <w:lang w:val="en-US" w:eastAsia="zh-CN"/>
        </w:rPr>
        <w:t>元/㎡</w:t>
      </w:r>
      <w:r>
        <w:rPr>
          <w:rFonts w:hint="eastAsia" w:ascii="Arial" w:hAnsi="Arial"/>
          <w:sz w:val="21"/>
          <w:highlight w:val="none"/>
          <w:lang w:val="en-US" w:eastAsia="zh-CN"/>
        </w:rPr>
        <w:t>·</w:t>
      </w:r>
      <w:r>
        <w:rPr>
          <w:rFonts w:hint="default" w:ascii="Arial" w:hAnsi="Arial"/>
          <w:sz w:val="21"/>
          <w:highlight w:val="none"/>
          <w:lang w:val="en-US" w:eastAsia="zh-CN"/>
        </w:rPr>
        <w:t>月，东城区、海淀区分别</w:t>
      </w:r>
      <w:r>
        <w:rPr>
          <w:rFonts w:hint="eastAsia" w:ascii="Arial" w:hAnsi="Arial"/>
          <w:sz w:val="21"/>
          <w:highlight w:val="none"/>
          <w:lang w:val="en-US" w:eastAsia="zh-CN"/>
        </w:rPr>
        <w:t>为</w:t>
      </w:r>
      <w:r>
        <w:rPr>
          <w:rFonts w:hint="default" w:ascii="Arial" w:hAnsi="Arial"/>
          <w:sz w:val="21"/>
          <w:highlight w:val="none"/>
          <w:lang w:val="en-US" w:eastAsia="zh-CN"/>
        </w:rPr>
        <w:t>143元/㎡</w:t>
      </w:r>
      <w:r>
        <w:rPr>
          <w:rFonts w:hint="eastAsia" w:ascii="Arial" w:hAnsi="Arial"/>
          <w:sz w:val="21"/>
          <w:highlight w:val="none"/>
          <w:lang w:val="en-US" w:eastAsia="zh-CN"/>
        </w:rPr>
        <w:t>·</w:t>
      </w:r>
      <w:r>
        <w:rPr>
          <w:rFonts w:hint="default" w:ascii="Arial" w:hAnsi="Arial"/>
          <w:sz w:val="21"/>
          <w:highlight w:val="none"/>
          <w:lang w:val="en-US" w:eastAsia="zh-CN"/>
        </w:rPr>
        <w:t>月</w:t>
      </w:r>
      <w:r>
        <w:rPr>
          <w:rFonts w:hint="eastAsia" w:ascii="Arial" w:hAnsi="Arial"/>
          <w:sz w:val="21"/>
          <w:highlight w:val="none"/>
          <w:lang w:val="en-US" w:eastAsia="zh-CN"/>
        </w:rPr>
        <w:t>和</w:t>
      </w:r>
      <w:r>
        <w:rPr>
          <w:rFonts w:hint="default" w:ascii="Arial" w:hAnsi="Arial"/>
          <w:sz w:val="21"/>
          <w:highlight w:val="none"/>
          <w:lang w:val="en-US" w:eastAsia="zh-CN"/>
        </w:rPr>
        <w:t>124元/㎡</w:t>
      </w:r>
      <w:r>
        <w:rPr>
          <w:rFonts w:hint="eastAsia" w:ascii="Arial" w:hAnsi="Arial"/>
          <w:sz w:val="21"/>
          <w:highlight w:val="none"/>
          <w:lang w:val="en-US" w:eastAsia="zh-CN"/>
        </w:rPr>
        <w:t>·</w:t>
      </w:r>
      <w:r>
        <w:rPr>
          <w:rFonts w:hint="default" w:ascii="Arial" w:hAnsi="Arial"/>
          <w:sz w:val="21"/>
          <w:highlight w:val="none"/>
          <w:lang w:val="en-US" w:eastAsia="zh-CN"/>
        </w:rPr>
        <w:t>月，分别位居二三位</w:t>
      </w:r>
      <w:r>
        <w:rPr>
          <w:rFonts w:hint="eastAsia" w:ascii="Arial" w:hAnsi="Arial"/>
          <w:sz w:val="21"/>
          <w:highlight w:val="none"/>
          <w:lang w:val="en-US" w:eastAsia="zh-CN"/>
        </w:rPr>
        <w:t>。</w:t>
      </w:r>
    </w:p>
    <w:p>
      <w:pPr>
        <w:overflowPunct w:val="0"/>
        <w:spacing w:line="480" w:lineRule="auto"/>
        <w:rPr>
          <w:rFonts w:hint="default" w:ascii="Arial" w:hAnsi="Arial"/>
          <w:sz w:val="21"/>
          <w:highlight w:val="none"/>
          <w:lang w:val="en-US" w:eastAsia="zh-CN"/>
        </w:rPr>
      </w:pPr>
      <w:r>
        <w:drawing>
          <wp:inline distT="0" distB="0" distL="114300" distR="114300">
            <wp:extent cx="5899150" cy="2510155"/>
            <wp:effectExtent l="0" t="0" r="6350" b="444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4"/>
                    <a:stretch>
                      <a:fillRect/>
                    </a:stretch>
                  </pic:blipFill>
                  <pic:spPr>
                    <a:xfrm>
                      <a:off x="0" y="0"/>
                      <a:ext cx="5899150" cy="2510155"/>
                    </a:xfrm>
                    <a:prstGeom prst="rect">
                      <a:avLst/>
                    </a:prstGeom>
                    <a:noFill/>
                    <a:ln>
                      <a:noFill/>
                    </a:ln>
                  </pic:spPr>
                </pic:pic>
              </a:graphicData>
            </a:graphic>
          </wp:inline>
        </w:drawing>
      </w:r>
    </w:p>
    <w:p>
      <w:pPr>
        <w:spacing w:line="480" w:lineRule="auto"/>
        <w:jc w:val="both"/>
        <w:rPr>
          <w:rFonts w:ascii="Arial" w:hAnsi="Arial" w:cs="Arial"/>
          <w:b/>
          <w:bCs/>
          <w:sz w:val="21"/>
          <w:szCs w:val="21"/>
        </w:rPr>
      </w:pPr>
      <w:r>
        <w:rPr>
          <w:rFonts w:ascii="Arial" w:hAnsi="Arial" w:cs="Arial"/>
          <w:b/>
          <w:bCs/>
          <w:sz w:val="21"/>
          <w:szCs w:val="21"/>
        </w:rPr>
        <w:t>（</w:t>
      </w:r>
      <w:r>
        <w:rPr>
          <w:rFonts w:hint="eastAsia" w:ascii="Arial" w:hAnsi="Arial" w:cs="Arial"/>
          <w:b/>
          <w:bCs/>
          <w:sz w:val="21"/>
          <w:szCs w:val="21"/>
        </w:rPr>
        <w:t>四</w:t>
      </w:r>
      <w:r>
        <w:rPr>
          <w:rFonts w:ascii="Arial" w:hAnsi="Arial" w:cs="Arial"/>
          <w:b/>
          <w:bCs/>
          <w:sz w:val="21"/>
          <w:szCs w:val="21"/>
        </w:rPr>
        <w:t>）</w:t>
      </w:r>
      <w:r>
        <w:rPr>
          <w:rFonts w:hint="eastAsia" w:ascii="Arial" w:hAnsi="Arial" w:cs="Arial"/>
          <w:b/>
          <w:bCs/>
          <w:sz w:val="21"/>
          <w:szCs w:val="21"/>
        </w:rPr>
        <w:t>估价对象周边共有产权住房情况</w:t>
      </w:r>
    </w:p>
    <w:p>
      <w:pPr>
        <w:overflowPunct w:val="0"/>
        <w:spacing w:line="480" w:lineRule="auto"/>
        <w:ind w:firstLine="420" w:firstLineChars="200"/>
        <w:jc w:val="both"/>
        <w:rPr>
          <w:rFonts w:hint="eastAsia" w:ascii="Arial" w:hAnsi="Arial"/>
          <w:sz w:val="21"/>
        </w:rPr>
      </w:pPr>
      <w:r>
        <w:rPr>
          <w:rFonts w:hint="eastAsia" w:ascii="Arial" w:hAnsi="Arial"/>
          <w:sz w:val="21"/>
        </w:rPr>
        <w:t>估价对象位于</w:t>
      </w:r>
      <w:r>
        <w:rPr>
          <w:rFonts w:hint="eastAsia" w:ascii="Arial" w:hAnsi="Arial"/>
          <w:sz w:val="21"/>
          <w:lang w:eastAsia="zh-CN"/>
        </w:rPr>
        <w:t>北京市房山区</w:t>
      </w:r>
      <w:r>
        <w:rPr>
          <w:rFonts w:hint="eastAsia" w:ascii="Arial" w:hAnsi="Arial"/>
          <w:sz w:val="21"/>
        </w:rPr>
        <w:t>。房山区地处北京</w:t>
      </w:r>
      <w:r>
        <w:rPr>
          <w:rFonts w:hint="eastAsia" w:ascii="Arial" w:hAnsi="Arial"/>
          <w:sz w:val="21"/>
          <w:lang w:eastAsia="zh-CN"/>
        </w:rPr>
        <w:t>市</w:t>
      </w:r>
      <w:r>
        <w:rPr>
          <w:rFonts w:hint="eastAsia" w:ascii="Arial" w:hAnsi="Arial"/>
          <w:sz w:val="21"/>
        </w:rPr>
        <w:t>西南</w:t>
      </w:r>
      <w:r>
        <w:rPr>
          <w:rFonts w:hint="eastAsia" w:ascii="Arial" w:hAnsi="Arial"/>
          <w:sz w:val="21"/>
          <w:lang w:eastAsia="zh-CN"/>
        </w:rPr>
        <w:t>部，介于北纬39°30'~39°55'、东经115°25'~116°15'之间。北邻门头沟区，东北与丰台区毗连，东隔永定河与大兴区相望，南部和西部分别与河北省涿州市和涞水县、易县接壤。总面积2019平方公里。房山区地势西北高、东南低，西北部为山区，东南部为冲积平原、洼地、河漫滩。由西北向东南依次为中山、低山、丘陵、岗台地和冲积平原，地貌类型复杂多样，</w:t>
      </w:r>
      <w:r>
        <w:rPr>
          <w:rFonts w:hint="eastAsia" w:ascii="Arial" w:hAnsi="Arial"/>
          <w:sz w:val="21"/>
        </w:rPr>
        <w:t>平原、丘陵、山区各占三分之一</w:t>
      </w:r>
      <w:r>
        <w:rPr>
          <w:rFonts w:hint="eastAsia" w:ascii="Arial" w:hAnsi="Arial"/>
          <w:sz w:val="21"/>
          <w:lang w:eastAsia="zh-CN"/>
        </w:rPr>
        <w:t>。</w:t>
      </w:r>
      <w:r>
        <w:rPr>
          <w:rFonts w:hint="eastAsia" w:ascii="Arial" w:hAnsi="Arial"/>
          <w:sz w:val="21"/>
        </w:rPr>
        <w:t>房山区下辖28个乡镇(街道)、459个行政村、210个社区居委会。全区常住人口为131.3万人。</w:t>
      </w:r>
    </w:p>
    <w:p>
      <w:pPr>
        <w:overflowPunct w:val="0"/>
        <w:spacing w:line="480" w:lineRule="auto"/>
        <w:ind w:firstLine="420" w:firstLineChars="200"/>
        <w:jc w:val="both"/>
        <w:rPr>
          <w:rFonts w:hint="eastAsia" w:ascii="Arial" w:hAnsi="Arial"/>
          <w:sz w:val="21"/>
        </w:rPr>
      </w:pPr>
      <w:r>
        <w:rPr>
          <w:rFonts w:hint="eastAsia" w:ascii="Arial" w:hAnsi="Arial"/>
          <w:sz w:val="21"/>
        </w:rPr>
        <w:t>2022年，全年地区生产总值增长3%以上；一般公共预算收入实现92.6亿元，增长8.3%；规上工业总产值完成956.2亿元，增长6.9%；固定资产投资、建安投资分别增长5.7%、8.9%；社会消费品零售总额实现349.1亿元；城镇登记失业率3.38%，居民人均可支配收入实现4.93万元，增长3.6%；PM2.5年均浓度31微克/立方米，同比下降8.6%。</w:t>
      </w:r>
    </w:p>
    <w:p>
      <w:pPr>
        <w:overflowPunct w:val="0"/>
        <w:spacing w:line="480" w:lineRule="auto"/>
        <w:ind w:firstLine="420" w:firstLineChars="200"/>
        <w:jc w:val="both"/>
        <w:rPr>
          <w:rFonts w:ascii="Arial" w:hAnsi="Arial"/>
          <w:sz w:val="21"/>
        </w:rPr>
      </w:pPr>
      <w:r>
        <w:rPr>
          <w:rFonts w:hint="eastAsia" w:ascii="Arial" w:hAnsi="Arial"/>
          <w:sz w:val="21"/>
          <w:lang w:eastAsia="zh-CN"/>
        </w:rPr>
        <w:t>自</w:t>
      </w:r>
      <w:r>
        <w:rPr>
          <w:rFonts w:hint="eastAsia" w:ascii="Arial" w:hAnsi="Arial"/>
          <w:sz w:val="21"/>
          <w:lang w:val="en-US" w:eastAsia="zh-CN"/>
        </w:rPr>
        <w:t>2022年至2023年4月，房山区</w:t>
      </w:r>
      <w:r>
        <w:rPr>
          <w:rFonts w:hint="eastAsia" w:ascii="Arial" w:hAnsi="Arial"/>
          <w:sz w:val="21"/>
        </w:rPr>
        <w:t>共2个共有产权项目</w:t>
      </w:r>
      <w:r>
        <w:rPr>
          <w:rFonts w:hint="eastAsia" w:ascii="Arial" w:hAnsi="Arial"/>
          <w:sz w:val="21"/>
          <w:lang w:eastAsia="zh-CN"/>
        </w:rPr>
        <w:t>出售</w:t>
      </w:r>
      <w:r>
        <w:rPr>
          <w:rFonts w:hint="eastAsia" w:ascii="Arial" w:hAnsi="Arial"/>
          <w:sz w:val="21"/>
        </w:rPr>
        <w:t>，具体如下：</w:t>
      </w:r>
    </w:p>
    <w:p>
      <w:pPr>
        <w:spacing w:line="360" w:lineRule="auto"/>
        <w:jc w:val="center"/>
        <w:rPr>
          <w:rFonts w:hint="eastAsia" w:ascii="Arial" w:hAnsi="Arial" w:cs="Arial"/>
          <w:sz w:val="21"/>
          <w:szCs w:val="21"/>
        </w:rPr>
      </w:pPr>
    </w:p>
    <w:p>
      <w:pPr>
        <w:spacing w:line="360" w:lineRule="auto"/>
        <w:jc w:val="center"/>
        <w:rPr>
          <w:rFonts w:ascii="Arial" w:hAnsi="Arial" w:cs="Arial"/>
          <w:sz w:val="21"/>
          <w:szCs w:val="21"/>
        </w:rPr>
      </w:pPr>
      <w:r>
        <w:rPr>
          <w:rFonts w:hint="eastAsia" w:ascii="Arial" w:hAnsi="Arial" w:cs="Arial"/>
          <w:sz w:val="21"/>
          <w:szCs w:val="21"/>
          <w:lang w:eastAsia="zh-CN"/>
        </w:rPr>
        <w:t>房山区共有产权住房项目</w:t>
      </w:r>
      <w:r>
        <w:rPr>
          <w:rFonts w:hint="eastAsia" w:ascii="Arial" w:hAnsi="Arial" w:cs="Arial"/>
          <w:sz w:val="21"/>
          <w:szCs w:val="21"/>
        </w:rPr>
        <w:t>销售均价和份额</w:t>
      </w:r>
    </w:p>
    <w:tbl>
      <w:tblPr>
        <w:tblStyle w:val="32"/>
        <w:tblW w:w="9299" w:type="dxa"/>
        <w:jc w:val="center"/>
        <w:tblLayout w:type="autofit"/>
        <w:tblCellMar>
          <w:top w:w="0" w:type="dxa"/>
          <w:left w:w="108" w:type="dxa"/>
          <w:bottom w:w="0" w:type="dxa"/>
          <w:right w:w="108" w:type="dxa"/>
        </w:tblCellMar>
      </w:tblPr>
      <w:tblGrid>
        <w:gridCol w:w="709"/>
        <w:gridCol w:w="2836"/>
        <w:gridCol w:w="1984"/>
        <w:gridCol w:w="1841"/>
        <w:gridCol w:w="1929"/>
      </w:tblGrid>
      <w:tr>
        <w:tblPrEx>
          <w:tblCellMar>
            <w:top w:w="0" w:type="dxa"/>
            <w:left w:w="108" w:type="dxa"/>
            <w:bottom w:w="0" w:type="dxa"/>
            <w:right w:w="108" w:type="dxa"/>
          </w:tblCellMar>
        </w:tblPrEx>
        <w:trPr>
          <w:trHeight w:val="705" w:hRule="atLeast"/>
          <w:jc w:val="center"/>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eastAsia="华文细黑" w:cs="Arial"/>
                <w:sz w:val="18"/>
                <w:szCs w:val="18"/>
              </w:rPr>
            </w:pPr>
            <w:r>
              <w:rPr>
                <w:rFonts w:ascii="Arial" w:hAnsi="Arial" w:eastAsia="华文细黑" w:cs="Arial"/>
                <w:sz w:val="18"/>
                <w:szCs w:val="18"/>
              </w:rPr>
              <w:t>序号</w:t>
            </w:r>
          </w:p>
        </w:tc>
        <w:tc>
          <w:tcPr>
            <w:tcW w:w="1525" w:type="pct"/>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eastAsia="华文细黑" w:cs="Arial"/>
                <w:sz w:val="18"/>
                <w:szCs w:val="18"/>
              </w:rPr>
            </w:pPr>
            <w:r>
              <w:rPr>
                <w:rFonts w:ascii="Arial" w:hAnsi="Arial" w:eastAsia="华文细黑" w:cs="Arial"/>
                <w:sz w:val="18"/>
                <w:szCs w:val="18"/>
              </w:rPr>
              <w:t>项目名称</w:t>
            </w:r>
          </w:p>
        </w:tc>
        <w:tc>
          <w:tcPr>
            <w:tcW w:w="1067"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eastAsia="华文细黑" w:cs="Arial"/>
                <w:sz w:val="18"/>
                <w:szCs w:val="18"/>
              </w:rPr>
            </w:pPr>
            <w:r>
              <w:rPr>
                <w:rFonts w:ascii="Arial" w:hAnsi="Arial" w:eastAsia="华文细黑" w:cs="Arial"/>
                <w:sz w:val="18"/>
                <w:szCs w:val="18"/>
              </w:rPr>
              <w:t>销售均价</w:t>
            </w:r>
            <w:r>
              <w:rPr>
                <w:rFonts w:hint="eastAsia" w:ascii="Arial" w:hAnsi="Arial" w:eastAsia="华文细黑" w:cs="Arial"/>
                <w:sz w:val="18"/>
                <w:szCs w:val="18"/>
              </w:rPr>
              <w:t>（元/㎡）</w:t>
            </w:r>
          </w:p>
        </w:tc>
        <w:tc>
          <w:tcPr>
            <w:tcW w:w="990"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eastAsia="华文细黑" w:cs="Arial"/>
                <w:sz w:val="18"/>
                <w:szCs w:val="18"/>
              </w:rPr>
            </w:pPr>
            <w:r>
              <w:rPr>
                <w:rFonts w:ascii="Arial" w:hAnsi="Arial" w:eastAsia="华文细黑" w:cs="Arial"/>
                <w:sz w:val="18"/>
                <w:szCs w:val="18"/>
              </w:rPr>
              <w:t>购房人产权份额</w:t>
            </w:r>
          </w:p>
        </w:tc>
        <w:tc>
          <w:tcPr>
            <w:tcW w:w="1037" w:type="pct"/>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eastAsia="华文细黑" w:cs="Arial"/>
                <w:sz w:val="18"/>
                <w:szCs w:val="18"/>
              </w:rPr>
            </w:pPr>
            <w:r>
              <w:rPr>
                <w:rFonts w:ascii="Arial" w:hAnsi="Arial" w:eastAsia="华文细黑" w:cs="Arial"/>
                <w:sz w:val="18"/>
                <w:szCs w:val="18"/>
              </w:rPr>
              <w:t>政府产权份额</w:t>
            </w:r>
          </w:p>
        </w:tc>
      </w:tr>
      <w:tr>
        <w:tblPrEx>
          <w:tblCellMar>
            <w:top w:w="0" w:type="dxa"/>
            <w:left w:w="108" w:type="dxa"/>
            <w:bottom w:w="0" w:type="dxa"/>
            <w:right w:w="108" w:type="dxa"/>
          </w:tblCellMar>
        </w:tblPrEx>
        <w:trPr>
          <w:trHeight w:val="360" w:hRule="atLeast"/>
          <w:jc w:val="center"/>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1</w:t>
            </w:r>
          </w:p>
        </w:tc>
        <w:tc>
          <w:tcPr>
            <w:tcW w:w="1525" w:type="pct"/>
            <w:tcBorders>
              <w:top w:val="single" w:color="auto" w:sz="4" w:space="0"/>
              <w:left w:val="nil"/>
              <w:bottom w:val="single" w:color="auto" w:sz="4" w:space="0"/>
              <w:right w:val="single" w:color="auto" w:sz="4" w:space="0"/>
            </w:tcBorders>
            <w:shd w:val="clear" w:color="auto" w:fill="auto"/>
            <w:vAlign w:val="center"/>
          </w:tcPr>
          <w:p>
            <w:pPr>
              <w:jc w:val="both"/>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熙悦丽博家园</w:t>
            </w:r>
          </w:p>
        </w:tc>
        <w:tc>
          <w:tcPr>
            <w:tcW w:w="1067"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27000</w:t>
            </w:r>
          </w:p>
        </w:tc>
        <w:tc>
          <w:tcPr>
            <w:tcW w:w="990"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80%</w:t>
            </w:r>
          </w:p>
        </w:tc>
        <w:tc>
          <w:tcPr>
            <w:tcW w:w="1037" w:type="pct"/>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eastAsia="华文细黑" w:cs="Arial"/>
                <w:sz w:val="18"/>
                <w:szCs w:val="18"/>
              </w:rPr>
            </w:pPr>
            <w:r>
              <w:rPr>
                <w:rFonts w:hint="eastAsia" w:ascii="Arial" w:hAnsi="Arial" w:eastAsia="华文细黑" w:cs="Arial"/>
                <w:sz w:val="18"/>
                <w:szCs w:val="18"/>
                <w:lang w:val="en-US" w:eastAsia="zh-CN"/>
              </w:rPr>
              <w:t>20</w:t>
            </w:r>
            <w:r>
              <w:rPr>
                <w:rFonts w:ascii="Arial" w:hAnsi="Arial" w:eastAsia="华文细黑" w:cs="Arial"/>
                <w:sz w:val="18"/>
                <w:szCs w:val="18"/>
              </w:rPr>
              <w:t>%</w:t>
            </w:r>
          </w:p>
        </w:tc>
      </w:tr>
      <w:tr>
        <w:tblPrEx>
          <w:tblCellMar>
            <w:top w:w="0" w:type="dxa"/>
            <w:left w:w="108" w:type="dxa"/>
            <w:bottom w:w="0" w:type="dxa"/>
            <w:right w:w="108" w:type="dxa"/>
          </w:tblCellMar>
        </w:tblPrEx>
        <w:trPr>
          <w:trHeight w:val="345" w:hRule="atLeast"/>
          <w:jc w:val="center"/>
        </w:trPr>
        <w:tc>
          <w:tcPr>
            <w:tcW w:w="381" w:type="pct"/>
            <w:tcBorders>
              <w:top w:val="nil"/>
              <w:left w:val="single" w:color="auto" w:sz="4" w:space="0"/>
              <w:bottom w:val="single" w:color="auto" w:sz="4" w:space="0"/>
              <w:right w:val="single" w:color="auto" w:sz="4" w:space="0"/>
            </w:tcBorders>
            <w:shd w:val="clear" w:color="auto" w:fill="auto"/>
            <w:vAlign w:val="center"/>
          </w:tcPr>
          <w:p>
            <w:pPr>
              <w:jc w:val="both"/>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2</w:t>
            </w:r>
          </w:p>
        </w:tc>
        <w:tc>
          <w:tcPr>
            <w:tcW w:w="1525" w:type="pct"/>
            <w:tcBorders>
              <w:top w:val="nil"/>
              <w:left w:val="nil"/>
              <w:bottom w:val="single" w:color="auto" w:sz="4" w:space="0"/>
              <w:right w:val="single" w:color="auto" w:sz="4" w:space="0"/>
            </w:tcBorders>
            <w:shd w:val="clear" w:color="auto" w:fill="auto"/>
            <w:vAlign w:val="center"/>
          </w:tcPr>
          <w:p>
            <w:pPr>
              <w:jc w:val="both"/>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碧岸澜庭项目（二期）</w:t>
            </w:r>
          </w:p>
        </w:tc>
        <w:tc>
          <w:tcPr>
            <w:tcW w:w="1067" w:type="pct"/>
            <w:tcBorders>
              <w:top w:val="nil"/>
              <w:left w:val="single" w:color="auto" w:sz="4" w:space="0"/>
              <w:bottom w:val="single" w:color="auto" w:sz="4" w:space="0"/>
              <w:right w:val="single" w:color="auto" w:sz="4" w:space="0"/>
            </w:tcBorders>
            <w:shd w:val="clear" w:color="auto" w:fill="auto"/>
            <w:vAlign w:val="center"/>
          </w:tcPr>
          <w:p>
            <w:pPr>
              <w:jc w:val="both"/>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28600</w:t>
            </w:r>
          </w:p>
        </w:tc>
        <w:tc>
          <w:tcPr>
            <w:tcW w:w="990" w:type="pct"/>
            <w:tcBorders>
              <w:top w:val="nil"/>
              <w:left w:val="single" w:color="auto" w:sz="4" w:space="0"/>
              <w:bottom w:val="single" w:color="auto" w:sz="4" w:space="0"/>
              <w:right w:val="single" w:color="auto" w:sz="4" w:space="0"/>
            </w:tcBorders>
            <w:shd w:val="clear" w:color="auto" w:fill="auto"/>
            <w:vAlign w:val="center"/>
          </w:tcPr>
          <w:p>
            <w:pPr>
              <w:jc w:val="both"/>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85%</w:t>
            </w:r>
          </w:p>
        </w:tc>
        <w:tc>
          <w:tcPr>
            <w:tcW w:w="1037" w:type="pct"/>
            <w:tcBorders>
              <w:top w:val="nil"/>
              <w:left w:val="nil"/>
              <w:bottom w:val="single" w:color="auto" w:sz="4" w:space="0"/>
              <w:right w:val="single" w:color="auto" w:sz="4" w:space="0"/>
            </w:tcBorders>
            <w:shd w:val="clear" w:color="auto" w:fill="auto"/>
            <w:vAlign w:val="center"/>
          </w:tcPr>
          <w:p>
            <w:pPr>
              <w:jc w:val="both"/>
              <w:rPr>
                <w:rFonts w:ascii="Arial" w:hAnsi="Arial" w:eastAsia="华文细黑" w:cs="Arial"/>
                <w:sz w:val="18"/>
                <w:szCs w:val="18"/>
              </w:rPr>
            </w:pPr>
            <w:r>
              <w:rPr>
                <w:rFonts w:hint="eastAsia" w:ascii="Arial" w:hAnsi="Arial" w:eastAsia="华文细黑" w:cs="Arial"/>
                <w:sz w:val="18"/>
                <w:szCs w:val="18"/>
                <w:lang w:val="en-US" w:eastAsia="zh-CN"/>
              </w:rPr>
              <w:t>15</w:t>
            </w:r>
            <w:r>
              <w:rPr>
                <w:rFonts w:ascii="Arial" w:hAnsi="Arial" w:eastAsia="华文细黑" w:cs="Arial"/>
                <w:sz w:val="18"/>
                <w:szCs w:val="18"/>
              </w:rPr>
              <w:t>%</w:t>
            </w:r>
          </w:p>
        </w:tc>
      </w:tr>
    </w:tbl>
    <w:p>
      <w:pPr>
        <w:pStyle w:val="3"/>
        <w:numPr>
          <w:ilvl w:val="0"/>
          <w:numId w:val="0"/>
        </w:numPr>
        <w:spacing w:line="480" w:lineRule="auto"/>
        <w:ind w:left="358" w:hanging="306" w:hangingChars="170"/>
        <w:jc w:val="both"/>
        <w:rPr>
          <w:rFonts w:eastAsia="宋体"/>
          <w:b w:val="0"/>
          <w:bCs w:val="0"/>
          <w:kern w:val="2"/>
          <w:sz w:val="18"/>
          <w:szCs w:val="18"/>
        </w:rPr>
      </w:pPr>
    </w:p>
    <w:p>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三、最高最佳利用分析</w:t>
      </w:r>
      <w:bookmarkEnd w:id="48"/>
    </w:p>
    <w:p>
      <w:pPr>
        <w:pStyle w:val="4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p>
    <w:p>
      <w:pPr>
        <w:pStyle w:val="4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pPr>
        <w:pStyle w:val="4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pPr>
        <w:pStyle w:val="4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估价对象土地规划用途为</w:t>
      </w:r>
      <w:r>
        <w:rPr>
          <w:rFonts w:hint="eastAsia" w:ascii="Arial" w:hAnsi="Arial" w:cs="Arial"/>
          <w:kern w:val="2"/>
          <w:sz w:val="21"/>
          <w:szCs w:val="21"/>
        </w:rPr>
        <w:t>城镇</w:t>
      </w:r>
      <w:r>
        <w:rPr>
          <w:rFonts w:ascii="Arial" w:hAnsi="Arial" w:cs="Arial"/>
          <w:kern w:val="2"/>
          <w:sz w:val="21"/>
          <w:szCs w:val="21"/>
        </w:rPr>
        <w:t>住宅</w:t>
      </w:r>
      <w:r>
        <w:rPr>
          <w:rFonts w:hint="eastAsia" w:ascii="Arial" w:hAnsi="Arial" w:cs="Arial"/>
          <w:kern w:val="2"/>
          <w:sz w:val="21"/>
          <w:szCs w:val="21"/>
        </w:rPr>
        <w:t>用地</w:t>
      </w:r>
      <w:r>
        <w:rPr>
          <w:rFonts w:ascii="Arial" w:hAnsi="Arial" w:cs="Arial"/>
          <w:sz w:val="21"/>
          <w:szCs w:val="21"/>
        </w:rPr>
        <w:t>，房屋规划用途为住宅（共有产权住房），实际拟用作共有产权住房，法律上允许。</w:t>
      </w:r>
    </w:p>
    <w:p>
      <w:pPr>
        <w:pStyle w:val="4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pPr>
        <w:pStyle w:val="40"/>
        <w:autoSpaceDE w:val="0"/>
        <w:autoSpaceDN w:val="0"/>
        <w:spacing w:line="480" w:lineRule="auto"/>
        <w:ind w:right="142" w:firstLine="420" w:firstLineChars="20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pPr>
        <w:pStyle w:val="40"/>
        <w:autoSpaceDE w:val="0"/>
        <w:autoSpaceDN w:val="0"/>
        <w:spacing w:line="480" w:lineRule="auto"/>
        <w:ind w:right="142" w:firstLine="420" w:firstLineChars="200"/>
        <w:jc w:val="both"/>
        <w:textAlignment w:val="bottom"/>
        <w:rPr>
          <w:rFonts w:ascii="Arial" w:hAnsi="Arial" w:cs="Arial"/>
          <w:sz w:val="21"/>
          <w:szCs w:val="21"/>
        </w:rPr>
      </w:pPr>
      <w:r>
        <w:rPr>
          <w:rFonts w:ascii="Arial" w:hAnsi="Arial" w:cs="Arial"/>
          <w:sz w:val="21"/>
          <w:szCs w:val="21"/>
        </w:rPr>
        <w:t>估价对象为钢混结构的</w:t>
      </w:r>
      <w:r>
        <w:rPr>
          <w:rFonts w:hint="eastAsia" w:ascii="Arial" w:hAnsi="Arial" w:cs="Arial"/>
          <w:sz w:val="21"/>
          <w:szCs w:val="21"/>
          <w:lang w:eastAsia="zh-CN"/>
        </w:rPr>
        <w:t>多</w:t>
      </w:r>
      <w:r>
        <w:rPr>
          <w:rFonts w:ascii="Arial" w:hAnsi="Arial" w:cs="Arial"/>
          <w:sz w:val="21"/>
          <w:szCs w:val="21"/>
        </w:rPr>
        <w:t>层建筑物。估价对象建筑结构、功能、造型、立面效果、建筑材料和设备选用、施工技术等方面，在目前的施工技术上均能满足要求。</w:t>
      </w:r>
    </w:p>
    <w:p>
      <w:pPr>
        <w:pStyle w:val="4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pPr>
        <w:pStyle w:val="40"/>
        <w:autoSpaceDE w:val="0"/>
        <w:autoSpaceDN w:val="0"/>
        <w:spacing w:line="480" w:lineRule="auto"/>
        <w:ind w:right="142" w:firstLine="420" w:firstLineChars="200"/>
        <w:jc w:val="both"/>
        <w:textAlignment w:val="bottom"/>
        <w:rPr>
          <w:rFonts w:ascii="Arial" w:hAnsi="Arial" w:cs="Arial"/>
          <w:sz w:val="21"/>
          <w:szCs w:val="21"/>
        </w:rPr>
      </w:pPr>
      <w:r>
        <w:rPr>
          <w:rFonts w:ascii="Arial" w:hAnsi="Arial" w:cs="Arial"/>
          <w:sz w:val="21"/>
          <w:szCs w:val="21"/>
        </w:rPr>
        <w:t>经济上可行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pPr>
        <w:pStyle w:val="4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pPr>
        <w:pStyle w:val="4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价值最大化即在所有具有经济可行性的使用方式中，能使估价对象价值达到最大的使用方式，才是最高最佳的使用方式。估价对象土地规划用途为</w:t>
      </w:r>
      <w:r>
        <w:rPr>
          <w:rFonts w:hint="eastAsia" w:ascii="Arial" w:hAnsi="Arial" w:cs="Arial"/>
          <w:kern w:val="2"/>
          <w:sz w:val="21"/>
          <w:szCs w:val="21"/>
        </w:rPr>
        <w:t>城镇</w:t>
      </w:r>
      <w:r>
        <w:rPr>
          <w:rFonts w:ascii="Arial" w:hAnsi="Arial" w:cs="Arial"/>
          <w:kern w:val="2"/>
          <w:sz w:val="21"/>
          <w:szCs w:val="21"/>
        </w:rPr>
        <w:t>住宅</w:t>
      </w:r>
      <w:r>
        <w:rPr>
          <w:rFonts w:hint="eastAsia" w:ascii="Arial" w:hAnsi="Arial" w:cs="Arial"/>
          <w:kern w:val="2"/>
          <w:sz w:val="21"/>
          <w:szCs w:val="21"/>
        </w:rPr>
        <w:t>用地</w:t>
      </w:r>
      <w:r>
        <w:rPr>
          <w:rFonts w:ascii="Arial" w:hAnsi="Arial" w:cs="Arial"/>
          <w:sz w:val="21"/>
          <w:szCs w:val="21"/>
        </w:rPr>
        <w:t>，房屋规划用途为住宅（共有产权住房），实际拟用作共有产权住房，其使用方式以满足法律上许可、技术上可能、经济上可行为前提条件，经过论证可使估价对象价值得到最大化。</w:t>
      </w:r>
    </w:p>
    <w:p>
      <w:pPr>
        <w:pStyle w:val="4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pPr>
        <w:pStyle w:val="4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综上所述，我们认为估价对象用途为共有产权住房为其最高最佳使用途径。</w:t>
      </w:r>
    </w:p>
    <w:p>
      <w:pPr>
        <w:spacing w:line="480" w:lineRule="auto"/>
        <w:ind w:firstLine="420" w:firstLineChars="200"/>
        <w:jc w:val="both"/>
        <w:rPr>
          <w:rFonts w:ascii="Arial" w:hAnsi="Arial" w:cs="Arial"/>
          <w:sz w:val="21"/>
          <w:szCs w:val="21"/>
        </w:rPr>
      </w:pPr>
    </w:p>
    <w:p>
      <w:pPr>
        <w:pStyle w:val="3"/>
        <w:numPr>
          <w:ilvl w:val="0"/>
          <w:numId w:val="0"/>
        </w:numPr>
        <w:spacing w:line="480" w:lineRule="auto"/>
        <w:ind w:left="358" w:hanging="358" w:hangingChars="170"/>
        <w:jc w:val="both"/>
        <w:rPr>
          <w:rFonts w:eastAsia="宋体"/>
          <w:kern w:val="2"/>
          <w:sz w:val="21"/>
          <w:szCs w:val="21"/>
        </w:rPr>
      </w:pPr>
      <w:bookmarkStart w:id="49" w:name="_Toc525655439"/>
      <w:r>
        <w:rPr>
          <w:rFonts w:eastAsia="宋体"/>
          <w:kern w:val="2"/>
          <w:sz w:val="21"/>
          <w:szCs w:val="21"/>
        </w:rPr>
        <w:t>四、估价方法适用性分析</w:t>
      </w:r>
      <w:bookmarkEnd w:id="49"/>
    </w:p>
    <w:p>
      <w:pPr>
        <w:pStyle w:val="4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由于本次评估是</w:t>
      </w:r>
      <w:r>
        <w:rPr>
          <w:rFonts w:ascii="Arial" w:hAnsi="Arial" w:cs="Arial"/>
          <w:kern w:val="2"/>
          <w:sz w:val="21"/>
          <w:szCs w:val="21"/>
        </w:rPr>
        <w:t>为估价委托人确定共有产权住房项目市场租金提供价格参考依据。</w:t>
      </w:r>
      <w:r>
        <w:rPr>
          <w:rFonts w:ascii="Arial" w:hAnsi="Arial" w:cs="Arial"/>
          <w:sz w:val="21"/>
          <w:szCs w:val="21"/>
        </w:rPr>
        <w:t>因此我们在认真分析研究估价对象的相关资料，并通过对邻近地区同类物业调查的基础上，根据《房地产估价规范》（GB/T 50291-2015）</w:t>
      </w:r>
      <w:r>
        <w:rPr>
          <w:rFonts w:hint="eastAsia" w:ascii="Arial" w:hAnsi="Arial" w:cs="Arial"/>
          <w:sz w:val="21"/>
          <w:szCs w:val="21"/>
        </w:rPr>
        <w:t>、《关于发布《北京市公共租赁住房项目市场租金评估技术指引》的通知》 [北估秘[2019]020号]</w:t>
      </w:r>
      <w:r>
        <w:rPr>
          <w:rFonts w:ascii="Arial" w:hAnsi="Arial" w:cs="Arial"/>
          <w:sz w:val="21"/>
          <w:szCs w:val="21"/>
        </w:rPr>
        <w:t>的估价程序，选用比较法为主方法进行估价，进而确定估价对象市场平均租金价格水平。</w:t>
      </w:r>
    </w:p>
    <w:p>
      <w:pPr>
        <w:pStyle w:val="4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 xml:space="preserve">（一）估价思路 </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hAnsi="宋体" w:cs="宋体"/>
          <w:sz w:val="21"/>
          <w:szCs w:val="21"/>
        </w:rPr>
        <w:t>①</w:t>
      </w:r>
      <w:r>
        <w:rPr>
          <w:rFonts w:ascii="Arial" w:hAnsi="Arial" w:cs="Arial"/>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hAnsi="宋体" w:cs="宋体"/>
          <w:sz w:val="21"/>
          <w:szCs w:val="21"/>
        </w:rPr>
        <w:t>②</w:t>
      </w:r>
      <w:r>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pPr>
        <w:pStyle w:val="40"/>
        <w:wordWrap w:val="0"/>
        <w:overflowPunct w:val="0"/>
        <w:autoSpaceDE w:val="0"/>
        <w:autoSpaceDN w:val="0"/>
        <w:spacing w:line="480" w:lineRule="auto"/>
        <w:ind w:right="140"/>
        <w:jc w:val="both"/>
        <w:textAlignment w:val="auto"/>
        <w:rPr>
          <w:rFonts w:ascii="Arial" w:hAnsi="Arial" w:cs="Arial"/>
          <w:b/>
          <w:sz w:val="21"/>
          <w:szCs w:val="21"/>
        </w:rPr>
      </w:pPr>
      <w:r>
        <w:rPr>
          <w:rFonts w:ascii="Arial" w:hAnsi="Arial" w:cs="Arial"/>
          <w:b/>
          <w:sz w:val="21"/>
          <w:szCs w:val="21"/>
        </w:rPr>
        <w:t xml:space="preserve">（二）估价方法 </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租金水平时，根据替代原则，将估价对象与在较近时期内已发生交易的类似房地产租赁实例进行对照比较，并依据后者已知的价格，参照该房地产的交易情况、期日、区域及实物状况的差别，修正得出估价对象房地产租金水平的方法。本次估价采用比较法思路评估租金价格水平。</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1.采用比较法的理由：</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 xml:space="preserve">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 </w:t>
      </w:r>
    </w:p>
    <w:p>
      <w:pPr>
        <w:pStyle w:val="4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2.不采用成本法、假设开发法、收益法的理由：</w:t>
      </w:r>
    </w:p>
    <w:p>
      <w:pPr>
        <w:pStyle w:val="4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hAnsi="宋体" w:cs="宋体"/>
          <w:sz w:val="21"/>
          <w:szCs w:val="21"/>
        </w:rPr>
        <w:t>①</w:t>
      </w:r>
      <w:r>
        <w:rPr>
          <w:rFonts w:ascii="Arial" w:hAnsi="Arial" w:cs="Arial"/>
          <w:sz w:val="21"/>
          <w:szCs w:val="21"/>
        </w:rPr>
        <w:t>成本法和假设开发法可评估房地产市场价值，但不适于租赁价格的评估。</w:t>
      </w:r>
    </w:p>
    <w:p>
      <w:pPr>
        <w:pStyle w:val="40"/>
        <w:autoSpaceDE w:val="0"/>
        <w:autoSpaceDN w:val="0"/>
        <w:spacing w:line="480" w:lineRule="auto"/>
        <w:ind w:right="140" w:firstLine="420" w:firstLineChars="200"/>
        <w:jc w:val="both"/>
        <w:textAlignment w:val="bottom"/>
        <w:rPr>
          <w:rFonts w:ascii="Arial" w:hAnsi="Arial" w:cs="Arial"/>
          <w:sz w:val="21"/>
          <w:szCs w:val="21"/>
        </w:rPr>
      </w:pPr>
      <w:r>
        <w:rPr>
          <w:rFonts w:hint="eastAsia" w:hAnsi="宋体" w:cs="宋体"/>
          <w:sz w:val="21"/>
          <w:szCs w:val="21"/>
        </w:rPr>
        <w:t>②</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 采用房屋交易价格测算出的房屋租金不能反映正常的市场租金水平，故未采用收益法。</w:t>
      </w:r>
    </w:p>
    <w:p>
      <w:pPr>
        <w:pStyle w:val="40"/>
        <w:wordWrap w:val="0"/>
        <w:overflowPunct w:val="0"/>
        <w:autoSpaceDE w:val="0"/>
        <w:autoSpaceDN w:val="0"/>
        <w:spacing w:line="480" w:lineRule="auto"/>
        <w:ind w:right="140"/>
        <w:jc w:val="both"/>
        <w:textAlignment w:val="auto"/>
        <w:rPr>
          <w:rFonts w:ascii="Arial" w:hAnsi="Arial" w:cs="Arial"/>
          <w:b/>
          <w:sz w:val="21"/>
          <w:szCs w:val="21"/>
        </w:rPr>
      </w:pPr>
      <w:r>
        <w:rPr>
          <w:rFonts w:ascii="Arial" w:hAnsi="Arial" w:cs="Arial"/>
          <w:b/>
          <w:sz w:val="21"/>
          <w:szCs w:val="21"/>
        </w:rPr>
        <w:t xml:space="preserve">（三）估价方法公式 </w:t>
      </w:r>
    </w:p>
    <w:p>
      <w:pPr>
        <w:pStyle w:val="4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比较法计算公式为：</w:t>
      </w:r>
    </w:p>
    <w:p>
      <w:pPr>
        <w:pStyle w:val="4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p>
    <w:p>
      <w:pPr>
        <w:pStyle w:val="4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具体步骤如下：</w:t>
      </w:r>
    </w:p>
    <w:p>
      <w:pPr>
        <w:pStyle w:val="4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sz w:val="21"/>
          <w:szCs w:val="21"/>
        </w:rPr>
        <w:t>选择可比案例</w:t>
      </w:r>
    </w:p>
    <w:p>
      <w:pPr>
        <w:pStyle w:val="40"/>
        <w:wordWrap w:val="0"/>
        <w:overflowPunct w:val="0"/>
        <w:autoSpaceDE w:val="0"/>
        <w:autoSpaceDN w:val="0"/>
        <w:spacing w:line="480" w:lineRule="auto"/>
        <w:ind w:right="140" w:firstLine="735" w:firstLineChars="350"/>
        <w:jc w:val="both"/>
        <w:textAlignment w:val="auto"/>
        <w:rPr>
          <w:rFonts w:ascii="Arial" w:hAnsi="Arial" w:cs="Arial"/>
          <w:sz w:val="21"/>
          <w:szCs w:val="21"/>
        </w:rPr>
      </w:pPr>
      <w:r>
        <w:rPr>
          <w:rFonts w:ascii="Arial" w:hAnsi="Arial" w:cs="Arial"/>
          <w:sz w:val="21"/>
          <w:szCs w:val="21"/>
        </w:rPr>
        <w:t>选择可比实例时，应符合以下要求（与待估房地产比较）</w:t>
      </w:r>
    </w:p>
    <w:p>
      <w:pPr>
        <w:pStyle w:val="40"/>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sz w:val="21"/>
          <w:szCs w:val="21"/>
        </w:rPr>
        <w:t>用途相同</w:t>
      </w:r>
    </w:p>
    <w:p>
      <w:pPr>
        <w:pStyle w:val="40"/>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sz w:val="21"/>
          <w:szCs w:val="21"/>
        </w:rPr>
        <w:t>属于正常交易</w:t>
      </w:r>
    </w:p>
    <w:p>
      <w:pPr>
        <w:pStyle w:val="40"/>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sz w:val="21"/>
          <w:szCs w:val="21"/>
        </w:rPr>
        <w:t>房地产状况各因素相近</w:t>
      </w:r>
    </w:p>
    <w:p>
      <w:pPr>
        <w:pStyle w:val="40"/>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sz w:val="21"/>
          <w:szCs w:val="21"/>
        </w:rPr>
        <w:t>交易日期接近</w:t>
      </w:r>
    </w:p>
    <w:p>
      <w:pPr>
        <w:pStyle w:val="40"/>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sz w:val="21"/>
          <w:szCs w:val="21"/>
        </w:rPr>
        <w:t>统一价格基础</w:t>
      </w:r>
    </w:p>
    <w:p>
      <w:pPr>
        <w:pStyle w:val="4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sz w:val="21"/>
          <w:szCs w:val="21"/>
        </w:rPr>
        <w:t>进行租赁情况、租赁日期、房地产状况等因素修正</w:t>
      </w:r>
    </w:p>
    <w:p>
      <w:pPr>
        <w:pStyle w:val="4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sz w:val="21"/>
          <w:szCs w:val="21"/>
        </w:rPr>
        <w:t>求取估价对象比准价格</w:t>
      </w:r>
    </w:p>
    <w:p>
      <w:pPr>
        <w:pStyle w:val="40"/>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line="480" w:lineRule="auto"/>
        <w:ind w:left="0" w:leftChars="0" w:right="0" w:rightChars="0"/>
        <w:jc w:val="both"/>
        <w:textAlignment w:val="auto"/>
        <w:rPr>
          <w:rFonts w:ascii="Arial" w:hAnsi="Arial" w:cs="Arial"/>
          <w:sz w:val="21"/>
          <w:szCs w:val="21"/>
        </w:rPr>
      </w:pPr>
    </w:p>
    <w:p>
      <w:pPr>
        <w:pStyle w:val="3"/>
        <w:numPr>
          <w:ilvl w:val="0"/>
          <w:numId w:val="0"/>
        </w:numPr>
        <w:spacing w:line="480" w:lineRule="auto"/>
        <w:ind w:left="358" w:hanging="358" w:hangingChars="170"/>
        <w:jc w:val="both"/>
        <w:rPr>
          <w:rFonts w:eastAsia="宋体"/>
          <w:kern w:val="2"/>
          <w:sz w:val="21"/>
          <w:szCs w:val="21"/>
        </w:rPr>
      </w:pPr>
      <w:bookmarkStart w:id="50" w:name="_Toc525655440"/>
      <w:r>
        <w:rPr>
          <w:rFonts w:eastAsia="宋体"/>
          <w:kern w:val="2"/>
          <w:sz w:val="21"/>
          <w:szCs w:val="21"/>
        </w:rPr>
        <w:t>五、估价测算过程</w:t>
      </w:r>
      <w:bookmarkEnd w:id="50"/>
      <w:r>
        <w:rPr>
          <w:rFonts w:eastAsia="宋体"/>
          <w:kern w:val="2"/>
          <w:sz w:val="21"/>
          <w:szCs w:val="21"/>
        </w:rPr>
        <w:t xml:space="preserve">  </w:t>
      </w:r>
    </w:p>
    <w:p>
      <w:pPr>
        <w:pStyle w:val="40"/>
        <w:autoSpaceDE w:val="0"/>
        <w:autoSpaceDN w:val="0"/>
        <w:spacing w:line="480" w:lineRule="auto"/>
        <w:ind w:right="140" w:firstLine="422" w:firstLineChars="200"/>
        <w:jc w:val="both"/>
        <w:textAlignment w:val="bottom"/>
        <w:rPr>
          <w:rFonts w:ascii="Arial" w:hAnsi="Arial" w:cs="Arial"/>
          <w:b/>
          <w:sz w:val="21"/>
          <w:szCs w:val="21"/>
        </w:rPr>
      </w:pPr>
      <w:r>
        <w:rPr>
          <w:rFonts w:ascii="Arial" w:hAnsi="Arial" w:cs="Arial"/>
          <w:b/>
          <w:sz w:val="21"/>
          <w:szCs w:val="21"/>
        </w:rPr>
        <w:t>（一）</w:t>
      </w:r>
      <w:r>
        <w:rPr>
          <w:rFonts w:ascii="Arial" w:hAnsi="Arial" w:cs="Arial"/>
          <w:b/>
          <w:kern w:val="2"/>
          <w:sz w:val="21"/>
          <w:szCs w:val="21"/>
        </w:rPr>
        <w:t>可比案例选取</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1. 估价机构样本小区数据选取 </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hAnsi="宋体" w:cs="宋体"/>
          <w:sz w:val="21"/>
          <w:szCs w:val="21"/>
        </w:rPr>
        <w:t>①</w:t>
      </w:r>
      <w:r>
        <w:rPr>
          <w:rFonts w:ascii="Arial" w:hAnsi="Arial" w:cs="Arial"/>
          <w:sz w:val="21"/>
          <w:szCs w:val="21"/>
        </w:rPr>
        <w:t>搜集交易实例</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w:t>
      </w:r>
      <w:r>
        <w:rPr>
          <w:rFonts w:hint="eastAsia" w:ascii="Arial" w:hAnsi="Arial" w:cs="Arial"/>
          <w:sz w:val="21"/>
          <w:szCs w:val="21"/>
        </w:rPr>
        <w:t>七</w:t>
      </w:r>
      <w:r>
        <w:rPr>
          <w:rFonts w:ascii="Arial" w:hAnsi="Arial" w:cs="Arial"/>
          <w:sz w:val="21"/>
          <w:szCs w:val="21"/>
        </w:rPr>
        <w:t>个小区</w:t>
      </w:r>
      <w:r>
        <w:rPr>
          <w:rFonts w:hint="eastAsia" w:ascii="Arial" w:hAnsi="Arial" w:cs="Arial"/>
          <w:sz w:val="21"/>
          <w:szCs w:val="21"/>
        </w:rPr>
        <w:t>交易</w:t>
      </w:r>
      <w:r>
        <w:rPr>
          <w:rFonts w:ascii="Arial" w:hAnsi="Arial" w:cs="Arial"/>
          <w:sz w:val="21"/>
          <w:szCs w:val="21"/>
        </w:rPr>
        <w:t>实例数据，小区明细小详见下表：</w:t>
      </w:r>
    </w:p>
    <w:p>
      <w:pPr>
        <w:pStyle w:val="40"/>
        <w:autoSpaceDE w:val="0"/>
        <w:autoSpaceDN w:val="0"/>
        <w:spacing w:line="360" w:lineRule="auto"/>
        <w:jc w:val="center"/>
        <w:textAlignment w:val="bottom"/>
        <w:rPr>
          <w:rFonts w:ascii="Arial" w:hAnsi="Arial" w:cs="Arial"/>
          <w:sz w:val="21"/>
          <w:szCs w:val="21"/>
        </w:rPr>
      </w:pPr>
      <w:r>
        <w:rPr>
          <w:rFonts w:ascii="Arial" w:hAnsi="Arial" w:cs="Arial"/>
          <w:sz w:val="21"/>
          <w:szCs w:val="21"/>
        </w:rPr>
        <w:t>周边可比小区成交案例调查表</w:t>
      </w:r>
    </w:p>
    <w:tbl>
      <w:tblPr>
        <w:tblStyle w:val="32"/>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454"/>
        <w:gridCol w:w="1451"/>
        <w:gridCol w:w="830"/>
        <w:gridCol w:w="2795"/>
        <w:gridCol w:w="1135"/>
        <w:gridCol w:w="161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32"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
                <w:bCs/>
                <w:sz w:val="18"/>
                <w:szCs w:val="18"/>
              </w:rPr>
            </w:pPr>
            <w:r>
              <w:rPr>
                <w:rFonts w:hint="eastAsia" w:ascii="华文细黑" w:hAnsi="华文细黑" w:eastAsia="华文细黑" w:cs="华文细黑"/>
                <w:b/>
                <w:bCs/>
                <w:sz w:val="18"/>
                <w:szCs w:val="18"/>
              </w:rPr>
              <w:t>序号</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
                <w:bCs/>
                <w:sz w:val="18"/>
                <w:szCs w:val="18"/>
              </w:rPr>
            </w:pPr>
            <w:r>
              <w:rPr>
                <w:rFonts w:hint="eastAsia" w:ascii="华文细黑" w:hAnsi="华文细黑" w:eastAsia="华文细黑" w:cs="华文细黑"/>
                <w:b/>
                <w:bCs/>
                <w:sz w:val="18"/>
                <w:szCs w:val="18"/>
              </w:rPr>
              <w:t>小区名称</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
                <w:bCs/>
                <w:sz w:val="18"/>
                <w:szCs w:val="18"/>
              </w:rPr>
            </w:pPr>
            <w:r>
              <w:rPr>
                <w:rFonts w:hint="eastAsia" w:ascii="华文细黑" w:hAnsi="华文细黑" w:eastAsia="华文细黑" w:cs="华文细黑"/>
                <w:b/>
                <w:bCs/>
                <w:sz w:val="18"/>
                <w:szCs w:val="18"/>
              </w:rPr>
              <w:t>项目所在区</w:t>
            </w:r>
          </w:p>
        </w:tc>
        <w:tc>
          <w:tcPr>
            <w:tcW w:w="150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
                <w:bCs/>
                <w:sz w:val="18"/>
                <w:szCs w:val="18"/>
              </w:rPr>
            </w:pPr>
            <w:r>
              <w:rPr>
                <w:rFonts w:hint="eastAsia" w:ascii="华文细黑" w:hAnsi="华文细黑" w:eastAsia="华文细黑" w:cs="华文细黑"/>
                <w:b/>
                <w:bCs/>
                <w:sz w:val="18"/>
                <w:szCs w:val="18"/>
              </w:rPr>
              <w:t>项目所在位置</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
                <w:bCs/>
                <w:sz w:val="18"/>
                <w:szCs w:val="18"/>
              </w:rPr>
            </w:pPr>
            <w:r>
              <w:rPr>
                <w:rFonts w:hint="eastAsia" w:ascii="华文细黑" w:hAnsi="华文细黑" w:eastAsia="华文细黑" w:cs="华文细黑"/>
                <w:b/>
                <w:bCs/>
                <w:sz w:val="18"/>
                <w:szCs w:val="18"/>
              </w:rPr>
              <w:t>用途</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
                <w:bCs/>
                <w:sz w:val="18"/>
                <w:szCs w:val="18"/>
              </w:rPr>
            </w:pPr>
            <w:r>
              <w:rPr>
                <w:rFonts w:hint="eastAsia" w:ascii="华文细黑" w:hAnsi="华文细黑" w:eastAsia="华文细黑" w:cs="华文细黑"/>
                <w:b/>
                <w:bCs/>
                <w:sz w:val="18"/>
                <w:szCs w:val="18"/>
              </w:rPr>
              <w:t>面积范围</w:t>
            </w:r>
          </w:p>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
                <w:bCs/>
                <w:sz w:val="18"/>
                <w:szCs w:val="18"/>
              </w:rPr>
            </w:pPr>
            <w:r>
              <w:rPr>
                <w:rFonts w:hint="eastAsia" w:ascii="华文细黑" w:hAnsi="华文细黑" w:eastAsia="华文细黑" w:cs="华文细黑"/>
                <w:b/>
                <w:bCs/>
                <w:sz w:val="18"/>
                <w:szCs w:val="18"/>
              </w:rPr>
              <w:t>（平方米）</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
                <w:bCs/>
                <w:sz w:val="18"/>
                <w:szCs w:val="18"/>
              </w:rPr>
            </w:pPr>
            <w:r>
              <w:rPr>
                <w:rFonts w:hint="eastAsia" w:ascii="华文细黑" w:hAnsi="华文细黑" w:eastAsia="华文细黑" w:cs="华文细黑"/>
                <w:b/>
                <w:bCs/>
                <w:sz w:val="18"/>
                <w:szCs w:val="18"/>
              </w:rPr>
              <w:t>建成年代</w:t>
            </w:r>
            <w:r>
              <w:rPr>
                <w:rFonts w:hint="eastAsia" w:ascii="华文细黑" w:hAnsi="华文细黑" w:eastAsia="华文细黑" w:cs="华文细黑"/>
                <w:bCs/>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1</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西潞园小区</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月华大街以南，西潞北大街以西</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60-90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1994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2</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阳光邑上</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良乡东路56号院</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80-90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3</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瑞雪春堂</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良官公路以西，刺猬河以北</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50-110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4</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辰光嘉园</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良乡拱辰南大街42号楼</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80-120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5</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昊文温泉家园</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多宝路以南，昊天大街以东</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80-90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6</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文化路社区</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北关东街以南，拱辰大街以东</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47-90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1985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7</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罗府家园</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拱辰南大街西侧</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80-120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8</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月华小区</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月华大街以南，良乡西路以北</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80-100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4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9</w:t>
            </w:r>
          </w:p>
        </w:tc>
        <w:tc>
          <w:tcPr>
            <w:tcW w:w="78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长虹小区</w:t>
            </w:r>
          </w:p>
        </w:tc>
        <w:tc>
          <w:tcPr>
            <w:tcW w:w="446"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房山区</w:t>
            </w:r>
          </w:p>
        </w:tc>
        <w:tc>
          <w:tcPr>
            <w:tcW w:w="2795" w:type="dxa"/>
            <w:shd w:val="clear" w:color="000000" w:fill="auto"/>
            <w:vAlign w:val="bottom"/>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西潞南大街以东，长虹东路以北</w:t>
            </w:r>
          </w:p>
        </w:tc>
        <w:tc>
          <w:tcPr>
            <w:tcW w:w="61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普通住宅</w:t>
            </w:r>
          </w:p>
        </w:tc>
        <w:tc>
          <w:tcPr>
            <w:tcW w:w="86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70-120</w:t>
            </w:r>
          </w:p>
        </w:tc>
        <w:tc>
          <w:tcPr>
            <w:tcW w:w="54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华文细黑" w:hAnsi="华文细黑" w:eastAsia="华文细黑" w:cs="华文细黑"/>
                <w:bCs/>
                <w:sz w:val="18"/>
                <w:szCs w:val="18"/>
                <w:lang w:val="en-US" w:eastAsia="zh-CN"/>
              </w:rPr>
            </w:pPr>
            <w:r>
              <w:rPr>
                <w:rFonts w:hint="eastAsia" w:ascii="华文细黑" w:hAnsi="华文细黑" w:eastAsia="华文细黑" w:cs="华文细黑"/>
                <w:bCs/>
                <w:sz w:val="18"/>
                <w:szCs w:val="18"/>
                <w:lang w:val="en-US" w:eastAsia="zh-CN"/>
              </w:rPr>
              <w:t>2000</w:t>
            </w:r>
          </w:p>
        </w:tc>
      </w:tr>
    </w:tbl>
    <w:p>
      <w:pPr>
        <w:pStyle w:val="40"/>
        <w:autoSpaceDE w:val="0"/>
        <w:autoSpaceDN w:val="0"/>
        <w:spacing w:before="240" w:beforeLines="100" w:line="480" w:lineRule="auto"/>
        <w:ind w:firstLine="420" w:firstLineChars="200"/>
        <w:jc w:val="both"/>
        <w:textAlignment w:val="bottom"/>
        <w:rPr>
          <w:rFonts w:ascii="Arial" w:hAnsi="Arial" w:cs="Arial"/>
          <w:sz w:val="21"/>
          <w:szCs w:val="21"/>
        </w:rPr>
      </w:pPr>
      <w:r>
        <w:rPr>
          <w:rFonts w:hint="eastAsia" w:hAnsi="宋体" w:cs="宋体"/>
          <w:sz w:val="21"/>
          <w:szCs w:val="21"/>
        </w:rPr>
        <w:t>②</w:t>
      </w:r>
      <w:r>
        <w:rPr>
          <w:rFonts w:ascii="Arial" w:hAnsi="Arial" w:cs="Arial"/>
          <w:sz w:val="21"/>
          <w:szCs w:val="21"/>
        </w:rPr>
        <w:t>样本小区的选择</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估价对象周边小区较多，本次采用距离</w:t>
      </w:r>
      <w:r>
        <w:rPr>
          <w:rFonts w:hint="eastAsia" w:ascii="Arial" w:hAnsi="Arial" w:cs="Arial"/>
          <w:sz w:val="21"/>
          <w:szCs w:val="21"/>
        </w:rPr>
        <w:t>、成新度</w:t>
      </w:r>
      <w:r>
        <w:rPr>
          <w:rFonts w:ascii="Arial" w:hAnsi="Arial" w:cs="Arial"/>
          <w:sz w:val="21"/>
          <w:szCs w:val="21"/>
        </w:rPr>
        <w:t>优先原则，综合区位、小区规模、档次等因素筛选住房小区作为本次估价对象租金的可比实例，故本次选取三个可比实例分别是</w:t>
      </w:r>
      <w:r>
        <w:rPr>
          <w:rFonts w:hint="eastAsia" w:ascii="Arial" w:hAnsi="Arial" w:cs="Arial"/>
          <w:sz w:val="21"/>
          <w:szCs w:val="21"/>
        </w:rPr>
        <w:t>阳光邑上</w:t>
      </w:r>
      <w:r>
        <w:rPr>
          <w:rFonts w:ascii="Arial" w:hAnsi="Arial" w:cs="Arial"/>
          <w:sz w:val="21"/>
          <w:szCs w:val="21"/>
        </w:rPr>
        <w:t>、</w:t>
      </w:r>
      <w:r>
        <w:rPr>
          <w:rFonts w:hint="eastAsia" w:ascii="Arial" w:hAnsi="Arial" w:cs="Arial"/>
          <w:sz w:val="21"/>
          <w:szCs w:val="21"/>
        </w:rPr>
        <w:t>昊文温泉家园</w:t>
      </w:r>
      <w:r>
        <w:rPr>
          <w:rFonts w:ascii="Arial" w:hAnsi="Arial" w:cs="Arial"/>
          <w:sz w:val="21"/>
          <w:szCs w:val="21"/>
        </w:rPr>
        <w:t>、</w:t>
      </w:r>
      <w:r>
        <w:rPr>
          <w:rFonts w:hint="eastAsia" w:ascii="Arial" w:hAnsi="Arial" w:cs="Arial"/>
          <w:sz w:val="21"/>
          <w:szCs w:val="21"/>
        </w:rPr>
        <w:t>文化路社区</w:t>
      </w:r>
      <w:r>
        <w:rPr>
          <w:rFonts w:ascii="Arial" w:hAnsi="Arial" w:cs="Arial"/>
          <w:sz w:val="21"/>
          <w:szCs w:val="21"/>
        </w:rPr>
        <w:t>。</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 3 \* GB3 </w:instrText>
      </w:r>
      <w:r>
        <w:rPr>
          <w:rFonts w:ascii="Arial" w:hAnsi="Arial" w:cs="Arial"/>
          <w:sz w:val="21"/>
          <w:szCs w:val="21"/>
        </w:rPr>
        <w:fldChar w:fldCharType="separate"/>
      </w:r>
      <w:r>
        <w:rPr>
          <w:rFonts w:hint="eastAsia" w:hAnsi="宋体" w:cs="宋体"/>
          <w:sz w:val="21"/>
          <w:szCs w:val="21"/>
        </w:rPr>
        <w:t>③</w:t>
      </w:r>
      <w:r>
        <w:rPr>
          <w:rFonts w:ascii="Arial" w:hAnsi="Arial" w:cs="Arial"/>
          <w:sz w:val="21"/>
          <w:szCs w:val="21"/>
        </w:rPr>
        <w:fldChar w:fldCharType="end"/>
      </w:r>
      <w:r>
        <w:rPr>
          <w:rFonts w:ascii="Arial" w:hAnsi="Arial" w:cs="Arial"/>
          <w:sz w:val="21"/>
          <w:szCs w:val="21"/>
        </w:rPr>
        <w:t>样本小区情况</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根据评估专业人员对估价对象所在区域市场调查，选取了3个普通商品房住宅小区为样本小区，具体如下：</w:t>
      </w:r>
    </w:p>
    <w:p>
      <w:pPr>
        <w:pStyle w:val="40"/>
        <w:autoSpaceDE w:val="0"/>
        <w:autoSpaceDN w:val="0"/>
        <w:spacing w:line="480" w:lineRule="auto"/>
        <w:ind w:firstLine="420" w:firstLineChars="200"/>
        <w:jc w:val="both"/>
        <w:textAlignment w:val="bottom"/>
        <w:rPr>
          <w:rFonts w:ascii="Arial" w:hAnsi="Arial" w:cs="Arial"/>
          <w:sz w:val="21"/>
          <w:szCs w:val="21"/>
        </w:rPr>
      </w:pPr>
    </w:p>
    <w:tbl>
      <w:tblPr>
        <w:tblStyle w:val="32"/>
        <w:tblW w:w="92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1173"/>
        <w:gridCol w:w="2487"/>
        <w:gridCol w:w="2275"/>
        <w:gridCol w:w="3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31"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rPr>
              <w:t>序号</w:t>
            </w:r>
          </w:p>
        </w:tc>
        <w:tc>
          <w:tcPr>
            <w:tcW w:w="1337"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rPr>
              <w:t>小区名称</w:t>
            </w:r>
          </w:p>
        </w:tc>
        <w:tc>
          <w:tcPr>
            <w:tcW w:w="1223"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rPr>
              <w:t>建成年代（年）</w:t>
            </w:r>
          </w:p>
        </w:tc>
        <w:tc>
          <w:tcPr>
            <w:tcW w:w="1808"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rPr>
              <w:t>与估价对象直线距离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31"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rPr>
              <w:t>1</w:t>
            </w:r>
          </w:p>
        </w:tc>
        <w:tc>
          <w:tcPr>
            <w:tcW w:w="1337"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lang w:val="en-US" w:eastAsia="zh-CN"/>
              </w:rPr>
              <w:t>阳光邑上</w:t>
            </w:r>
          </w:p>
        </w:tc>
        <w:tc>
          <w:tcPr>
            <w:tcW w:w="1223"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lang w:val="en-US" w:eastAsia="zh-CN"/>
              </w:rPr>
              <w:t>2011</w:t>
            </w:r>
          </w:p>
        </w:tc>
        <w:tc>
          <w:tcPr>
            <w:tcW w:w="1808"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lang w:val="en-US" w:eastAsia="zh-CN"/>
              </w:rPr>
            </w:pPr>
            <w:r>
              <w:rPr>
                <w:rFonts w:hint="eastAsia" w:ascii="Arial" w:hAnsi="Arial" w:eastAsia="华文细黑" w:cs="Arial"/>
                <w:bCs/>
                <w:sz w:val="18"/>
                <w:szCs w:val="18"/>
                <w:lang w:val="en-US" w:eastAsia="zh-CN"/>
              </w:rPr>
              <w:t>2.2公里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31"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rPr>
              <w:t>2</w:t>
            </w:r>
          </w:p>
        </w:tc>
        <w:tc>
          <w:tcPr>
            <w:tcW w:w="254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lang w:val="en-US" w:eastAsia="zh-CN"/>
              </w:rPr>
              <w:t>昊文温泉家园</w:t>
            </w:r>
          </w:p>
        </w:tc>
        <w:tc>
          <w:tcPr>
            <w:tcW w:w="232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lang w:val="en-US" w:eastAsia="zh-CN"/>
              </w:rPr>
              <w:t>2001</w:t>
            </w:r>
          </w:p>
        </w:tc>
        <w:tc>
          <w:tcPr>
            <w:tcW w:w="1808"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lang w:val="en-US" w:eastAsia="zh-CN"/>
              </w:rPr>
            </w:pPr>
            <w:r>
              <w:rPr>
                <w:rFonts w:hint="eastAsia" w:ascii="Arial" w:hAnsi="Arial" w:eastAsia="华文细黑" w:cs="Arial"/>
                <w:bCs/>
                <w:sz w:val="18"/>
                <w:szCs w:val="18"/>
                <w:lang w:val="en-US" w:eastAsia="zh-CN"/>
              </w:rPr>
              <w:t>2.1公里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31"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rPr>
              <w:t>3</w:t>
            </w:r>
          </w:p>
        </w:tc>
        <w:tc>
          <w:tcPr>
            <w:tcW w:w="254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lang w:val="en-US" w:eastAsia="zh-CN"/>
              </w:rPr>
              <w:t>文化路社区</w:t>
            </w:r>
          </w:p>
        </w:tc>
        <w:tc>
          <w:tcPr>
            <w:tcW w:w="232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rPr>
            </w:pPr>
            <w:r>
              <w:rPr>
                <w:rFonts w:hint="default" w:ascii="Arial" w:hAnsi="Arial" w:eastAsia="华文细黑" w:cs="Arial"/>
                <w:bCs/>
                <w:sz w:val="18"/>
                <w:szCs w:val="18"/>
                <w:lang w:val="en-US" w:eastAsia="zh-CN"/>
              </w:rPr>
              <w:t>1985</w:t>
            </w:r>
          </w:p>
        </w:tc>
        <w:tc>
          <w:tcPr>
            <w:tcW w:w="1808" w:type="pct"/>
            <w:shd w:val="clear" w:color="auto" w:fill="auto"/>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bCs/>
                <w:sz w:val="18"/>
                <w:szCs w:val="18"/>
                <w:lang w:val="en-US" w:eastAsia="zh-CN"/>
              </w:rPr>
            </w:pPr>
            <w:r>
              <w:rPr>
                <w:rFonts w:hint="eastAsia" w:ascii="Arial" w:hAnsi="Arial" w:eastAsia="华文细黑" w:cs="Arial"/>
                <w:bCs/>
                <w:sz w:val="18"/>
                <w:szCs w:val="18"/>
                <w:lang w:val="en-US" w:eastAsia="zh-CN"/>
              </w:rPr>
              <w:t>2.5公里</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keepNext w:val="0"/>
        <w:keepLines w:val="0"/>
        <w:pageBreakBefore w:val="0"/>
        <w:widowControl w:val="0"/>
        <w:kinsoku/>
        <w:wordWrap/>
        <w:overflowPunct/>
        <w:topLinePunct w:val="0"/>
        <w:autoSpaceDE w:val="0"/>
        <w:autoSpaceDN w:val="0"/>
        <w:bidi w:val="0"/>
        <w:adjustRightInd/>
        <w:snapToGrid/>
        <w:spacing w:line="480" w:lineRule="auto"/>
        <w:ind w:firstLine="420" w:firstLineChars="200"/>
        <w:jc w:val="both"/>
        <w:textAlignment w:val="bottom"/>
        <w:rPr>
          <w:rFonts w:ascii="Arial" w:hAnsi="Arial" w:cs="Arial"/>
          <w:sz w:val="21"/>
          <w:szCs w:val="21"/>
        </w:rPr>
      </w:pPr>
      <w:r>
        <w:rPr>
          <w:rFonts w:ascii="Arial" w:hAnsi="Arial" w:cs="Arial"/>
          <w:sz w:val="21"/>
          <w:szCs w:val="21"/>
        </w:rPr>
        <w:t>样本小区一：</w:t>
      </w:r>
      <w:r>
        <w:rPr>
          <w:rFonts w:hint="eastAsia" w:ascii="Arial" w:hAnsi="Arial" w:cs="Arial"/>
          <w:sz w:val="21"/>
          <w:szCs w:val="21"/>
        </w:rPr>
        <w:t>阳光邑上</w:t>
      </w:r>
    </w:p>
    <w:p>
      <w:pPr>
        <w:pStyle w:val="40"/>
        <w:keepNext w:val="0"/>
        <w:keepLines w:val="0"/>
        <w:pageBreakBefore w:val="0"/>
        <w:widowControl w:val="0"/>
        <w:kinsoku/>
        <w:wordWrap/>
        <w:overflowPunct/>
        <w:topLinePunct w:val="0"/>
        <w:autoSpaceDE w:val="0"/>
        <w:autoSpaceDN w:val="0"/>
        <w:bidi w:val="0"/>
        <w:adjustRightInd/>
        <w:snapToGrid/>
        <w:spacing w:line="480" w:lineRule="auto"/>
        <w:ind w:firstLine="420" w:firstLineChars="200"/>
        <w:jc w:val="both"/>
        <w:textAlignment w:val="bottom"/>
        <w:rPr>
          <w:rFonts w:ascii="Arial" w:hAnsi="Arial" w:cs="Arial"/>
          <w:sz w:val="22"/>
          <w:szCs w:val="22"/>
        </w:rPr>
      </w:pPr>
      <w:r>
        <w:rPr>
          <w:rFonts w:hint="eastAsia" w:ascii="Arial" w:hAnsi="Arial" w:cs="Arial"/>
          <w:sz w:val="21"/>
          <w:szCs w:val="21"/>
        </w:rPr>
        <w:t>阳光邑上</w:t>
      </w:r>
      <w:r>
        <w:rPr>
          <w:rFonts w:hint="eastAsia" w:ascii="Arial" w:hAnsi="Arial" w:cs="Arial"/>
          <w:sz w:val="21"/>
          <w:szCs w:val="21"/>
          <w:lang w:eastAsia="zh-CN"/>
        </w:rPr>
        <w:t>小区</w:t>
      </w:r>
      <w:r>
        <w:rPr>
          <w:rFonts w:ascii="Arial" w:hAnsi="Arial" w:cs="Arial"/>
          <w:sz w:val="21"/>
          <w:szCs w:val="21"/>
        </w:rPr>
        <w:t>位</w:t>
      </w:r>
      <w:r>
        <w:rPr>
          <w:rFonts w:hint="eastAsia" w:ascii="Arial" w:hAnsi="Arial" w:cs="Arial"/>
          <w:sz w:val="21"/>
          <w:szCs w:val="21"/>
        </w:rPr>
        <w:t>于</w:t>
      </w:r>
      <w:r>
        <w:rPr>
          <w:rFonts w:hint="eastAsia" w:ascii="Arial" w:hAnsi="Arial" w:cs="Arial"/>
          <w:sz w:val="21"/>
          <w:szCs w:val="21"/>
          <w:lang w:eastAsia="zh-CN"/>
        </w:rPr>
        <w:t>房山区</w:t>
      </w:r>
      <w:r>
        <w:rPr>
          <w:rFonts w:hint="eastAsia" w:ascii="Arial" w:hAnsi="Arial" w:cs="Arial"/>
          <w:sz w:val="21"/>
          <w:szCs w:val="21"/>
        </w:rPr>
        <w:t>良乡东路56号院，建成于201</w:t>
      </w:r>
      <w:r>
        <w:rPr>
          <w:rFonts w:hint="eastAsia" w:ascii="Arial" w:hAnsi="Arial" w:cs="Arial"/>
          <w:sz w:val="21"/>
          <w:szCs w:val="21"/>
          <w:lang w:val="en-US" w:eastAsia="zh-CN"/>
        </w:rPr>
        <w:t>1</w:t>
      </w:r>
      <w:r>
        <w:rPr>
          <w:rFonts w:ascii="Arial" w:hAnsi="Arial" w:cs="Arial"/>
          <w:sz w:val="21"/>
          <w:szCs w:val="21"/>
        </w:rPr>
        <w:t>年，楼栋总数为</w:t>
      </w:r>
      <w:r>
        <w:rPr>
          <w:rFonts w:hint="eastAsia" w:ascii="Arial" w:hAnsi="Arial" w:cs="Arial"/>
          <w:sz w:val="21"/>
          <w:szCs w:val="21"/>
          <w:lang w:val="en-US" w:eastAsia="zh-CN"/>
        </w:rPr>
        <w:t>19</w:t>
      </w:r>
      <w:r>
        <w:rPr>
          <w:rFonts w:ascii="Arial" w:hAnsi="Arial" w:cs="Arial"/>
          <w:sz w:val="21"/>
          <w:szCs w:val="21"/>
        </w:rPr>
        <w:t>栋，建筑结构为</w:t>
      </w:r>
      <w:r>
        <w:rPr>
          <w:rFonts w:hint="eastAsia" w:ascii="Arial" w:hAnsi="Arial" w:cs="Arial"/>
          <w:sz w:val="21"/>
          <w:szCs w:val="21"/>
        </w:rPr>
        <w:t>钢混</w:t>
      </w:r>
      <w:r>
        <w:rPr>
          <w:rFonts w:ascii="Arial" w:hAnsi="Arial" w:cs="Arial"/>
          <w:sz w:val="21"/>
          <w:szCs w:val="21"/>
        </w:rPr>
        <w:t>，共</w:t>
      </w:r>
      <w:r>
        <w:rPr>
          <w:rFonts w:hint="eastAsia" w:ascii="Arial" w:hAnsi="Arial" w:cs="Arial"/>
          <w:sz w:val="21"/>
          <w:szCs w:val="21"/>
        </w:rPr>
        <w:t>1271</w:t>
      </w:r>
      <w:r>
        <w:rPr>
          <w:rFonts w:ascii="Arial" w:hAnsi="Arial" w:cs="Arial"/>
          <w:sz w:val="21"/>
          <w:szCs w:val="21"/>
        </w:rPr>
        <w:t>户，建筑密度适中，环境状况较好，</w:t>
      </w:r>
      <w:r>
        <w:rPr>
          <w:rFonts w:hint="eastAsia" w:ascii="Arial" w:hAnsi="Arial" w:cs="Arial"/>
          <w:sz w:val="21"/>
          <w:szCs w:val="21"/>
        </w:rPr>
        <w:t>绿化率</w:t>
      </w:r>
      <w:r>
        <w:rPr>
          <w:rFonts w:hint="eastAsia" w:ascii="Arial" w:hAnsi="Arial" w:cs="Arial"/>
          <w:sz w:val="21"/>
          <w:szCs w:val="21"/>
          <w:lang w:val="en-US" w:eastAsia="zh-CN"/>
        </w:rPr>
        <w:t>30</w:t>
      </w:r>
      <w:r>
        <w:rPr>
          <w:rFonts w:hint="eastAsia" w:ascii="Arial" w:hAnsi="Arial" w:cs="Arial"/>
          <w:sz w:val="21"/>
          <w:szCs w:val="21"/>
        </w:rPr>
        <w:t>%，</w:t>
      </w:r>
      <w:r>
        <w:rPr>
          <w:rFonts w:ascii="Arial" w:hAnsi="Arial" w:cs="Arial"/>
          <w:sz w:val="21"/>
          <w:szCs w:val="21"/>
        </w:rPr>
        <w:t>物业管理费为</w:t>
      </w:r>
      <w:r>
        <w:rPr>
          <w:rFonts w:hint="eastAsia" w:ascii="Arial" w:hAnsi="Arial" w:cs="Arial"/>
          <w:sz w:val="21"/>
          <w:szCs w:val="21"/>
          <w:lang w:val="en-US" w:eastAsia="zh-CN"/>
        </w:rPr>
        <w:t>2.98</w:t>
      </w:r>
      <w:r>
        <w:rPr>
          <w:rFonts w:ascii="Arial" w:hAnsi="Arial" w:cs="Arial"/>
          <w:sz w:val="21"/>
          <w:szCs w:val="21"/>
        </w:rPr>
        <w:t>元/平方米·月，主力户型为二居室，距离估价对象约</w:t>
      </w:r>
      <w:r>
        <w:rPr>
          <w:rFonts w:hint="eastAsia" w:ascii="Arial" w:hAnsi="Arial" w:cs="Arial"/>
          <w:sz w:val="21"/>
          <w:szCs w:val="21"/>
          <w:lang w:val="en-US" w:eastAsia="zh-CN"/>
        </w:rPr>
        <w:t>2.2公里</w:t>
      </w:r>
      <w:r>
        <w:rPr>
          <w:rFonts w:ascii="Arial" w:hAnsi="Arial" w:cs="Arial"/>
          <w:sz w:val="21"/>
          <w:szCs w:val="21"/>
        </w:rPr>
        <w:t>。</w:t>
      </w:r>
    </w:p>
    <w:p>
      <w:pPr>
        <w:pStyle w:val="40"/>
        <w:keepNext w:val="0"/>
        <w:keepLines w:val="0"/>
        <w:pageBreakBefore w:val="0"/>
        <w:widowControl w:val="0"/>
        <w:kinsoku/>
        <w:wordWrap/>
        <w:overflowPunct/>
        <w:topLinePunct w:val="0"/>
        <w:autoSpaceDE w:val="0"/>
        <w:autoSpaceDN w:val="0"/>
        <w:bidi w:val="0"/>
        <w:adjustRightInd/>
        <w:snapToGrid/>
        <w:spacing w:line="480" w:lineRule="auto"/>
        <w:ind w:firstLine="420" w:firstLineChars="200"/>
        <w:jc w:val="both"/>
        <w:textAlignment w:val="bottom"/>
        <w:rPr>
          <w:rFonts w:ascii="Arial" w:hAnsi="Arial" w:cs="Arial"/>
          <w:sz w:val="21"/>
          <w:szCs w:val="21"/>
        </w:rPr>
      </w:pPr>
      <w:r>
        <w:rPr>
          <w:rFonts w:ascii="Arial" w:hAnsi="Arial" w:cs="Arial"/>
          <w:sz w:val="21"/>
          <w:szCs w:val="21"/>
        </w:rPr>
        <w:t>样本小区二：</w:t>
      </w:r>
      <w:r>
        <w:rPr>
          <w:rFonts w:hint="eastAsia" w:ascii="Arial" w:hAnsi="Arial" w:cs="Arial"/>
          <w:sz w:val="21"/>
          <w:szCs w:val="21"/>
        </w:rPr>
        <w:t>昊文温泉家园</w:t>
      </w:r>
    </w:p>
    <w:p>
      <w:pPr>
        <w:pStyle w:val="40"/>
        <w:keepNext w:val="0"/>
        <w:keepLines w:val="0"/>
        <w:pageBreakBefore w:val="0"/>
        <w:widowControl w:val="0"/>
        <w:kinsoku/>
        <w:wordWrap/>
        <w:overflowPunct/>
        <w:topLinePunct w:val="0"/>
        <w:autoSpaceDE w:val="0"/>
        <w:autoSpaceDN w:val="0"/>
        <w:bidi w:val="0"/>
        <w:adjustRightInd/>
        <w:snapToGrid/>
        <w:spacing w:line="480" w:lineRule="auto"/>
        <w:ind w:firstLine="420" w:firstLineChars="200"/>
        <w:jc w:val="both"/>
        <w:textAlignment w:val="bottom"/>
        <w:rPr>
          <w:rFonts w:ascii="Arial" w:hAnsi="Arial" w:cs="Arial"/>
          <w:sz w:val="22"/>
          <w:szCs w:val="22"/>
        </w:rPr>
      </w:pPr>
      <w:r>
        <w:rPr>
          <w:rFonts w:hint="eastAsia" w:ascii="Arial" w:hAnsi="Arial" w:cs="Arial"/>
          <w:sz w:val="21"/>
          <w:szCs w:val="21"/>
        </w:rPr>
        <w:t>昊文温泉家园</w:t>
      </w:r>
      <w:r>
        <w:rPr>
          <w:rFonts w:ascii="Arial" w:hAnsi="Arial" w:cs="Arial"/>
          <w:sz w:val="21"/>
          <w:szCs w:val="21"/>
        </w:rPr>
        <w:t>位于</w:t>
      </w:r>
      <w:r>
        <w:rPr>
          <w:rFonts w:hint="eastAsia" w:ascii="Arial" w:hAnsi="Arial" w:cs="Arial"/>
          <w:sz w:val="21"/>
          <w:szCs w:val="21"/>
          <w:lang w:eastAsia="zh-CN"/>
        </w:rPr>
        <w:t>房山区</w:t>
      </w:r>
      <w:r>
        <w:rPr>
          <w:rFonts w:hint="eastAsia" w:ascii="Arial" w:hAnsi="Arial" w:cs="Arial"/>
          <w:sz w:val="21"/>
          <w:szCs w:val="21"/>
        </w:rPr>
        <w:t>多宝路以南，昊天大街以东</w:t>
      </w:r>
      <w:r>
        <w:rPr>
          <w:rFonts w:ascii="Arial" w:hAnsi="Arial" w:cs="Arial"/>
          <w:sz w:val="21"/>
          <w:szCs w:val="21"/>
        </w:rPr>
        <w:t>，建成于</w:t>
      </w:r>
      <w:r>
        <w:rPr>
          <w:rFonts w:hint="eastAsia" w:ascii="Arial" w:hAnsi="Arial" w:cs="Arial"/>
          <w:sz w:val="21"/>
          <w:szCs w:val="21"/>
          <w:lang w:val="en-US" w:eastAsia="zh-CN"/>
        </w:rPr>
        <w:t>2001</w:t>
      </w:r>
      <w:r>
        <w:rPr>
          <w:rFonts w:ascii="Arial" w:hAnsi="Arial" w:cs="Arial"/>
          <w:sz w:val="21"/>
          <w:szCs w:val="21"/>
        </w:rPr>
        <w:t>年，楼栋总数为</w:t>
      </w:r>
      <w:r>
        <w:rPr>
          <w:rFonts w:hint="eastAsia" w:ascii="Arial" w:hAnsi="Arial" w:cs="Arial"/>
          <w:sz w:val="21"/>
          <w:szCs w:val="21"/>
          <w:lang w:val="en-US" w:eastAsia="zh-CN"/>
        </w:rPr>
        <w:t>19</w:t>
      </w:r>
      <w:r>
        <w:rPr>
          <w:rFonts w:ascii="Arial" w:hAnsi="Arial" w:cs="Arial"/>
          <w:sz w:val="21"/>
          <w:szCs w:val="21"/>
        </w:rPr>
        <w:t>栋，建筑结构为</w:t>
      </w:r>
      <w:r>
        <w:rPr>
          <w:rFonts w:hint="eastAsia" w:ascii="Arial" w:hAnsi="Arial" w:cs="Arial"/>
          <w:sz w:val="21"/>
          <w:szCs w:val="21"/>
          <w:lang w:eastAsia="zh-CN"/>
        </w:rPr>
        <w:t>混合</w:t>
      </w:r>
      <w:r>
        <w:rPr>
          <w:rFonts w:hint="eastAsia" w:ascii="Arial" w:hAnsi="Arial" w:cs="Arial"/>
          <w:sz w:val="21"/>
          <w:szCs w:val="21"/>
        </w:rPr>
        <w:t>，共870户，建筑密度适中，</w:t>
      </w:r>
      <w:r>
        <w:rPr>
          <w:rFonts w:ascii="Arial" w:hAnsi="Arial" w:cs="Arial"/>
          <w:sz w:val="21"/>
          <w:szCs w:val="21"/>
        </w:rPr>
        <w:t>环境状况较好，</w:t>
      </w:r>
      <w:r>
        <w:rPr>
          <w:rFonts w:hint="eastAsia" w:ascii="Arial" w:hAnsi="Arial" w:cs="Arial"/>
          <w:sz w:val="21"/>
          <w:szCs w:val="21"/>
        </w:rPr>
        <w:t>绿化率</w:t>
      </w:r>
      <w:r>
        <w:rPr>
          <w:rFonts w:hint="eastAsia" w:ascii="Arial" w:hAnsi="Arial" w:cs="Arial"/>
          <w:sz w:val="21"/>
          <w:szCs w:val="21"/>
          <w:lang w:val="en-US" w:eastAsia="zh-CN"/>
        </w:rPr>
        <w:t>20</w:t>
      </w:r>
      <w:r>
        <w:rPr>
          <w:rFonts w:hint="eastAsia" w:ascii="Arial" w:hAnsi="Arial" w:cs="Arial"/>
          <w:sz w:val="21"/>
          <w:szCs w:val="21"/>
        </w:rPr>
        <w:t>%，</w:t>
      </w:r>
      <w:r>
        <w:rPr>
          <w:rFonts w:ascii="Arial" w:hAnsi="Arial" w:cs="Arial"/>
          <w:sz w:val="21"/>
          <w:szCs w:val="21"/>
        </w:rPr>
        <w:t>物业管理费为</w:t>
      </w:r>
      <w:r>
        <w:rPr>
          <w:rFonts w:hint="eastAsia" w:ascii="Arial" w:hAnsi="Arial" w:cs="Arial"/>
          <w:sz w:val="21"/>
          <w:szCs w:val="21"/>
          <w:lang w:val="en-US" w:eastAsia="zh-CN"/>
        </w:rPr>
        <w:t>0.5</w:t>
      </w:r>
      <w:r>
        <w:rPr>
          <w:rFonts w:ascii="Arial" w:hAnsi="Arial" w:cs="Arial"/>
          <w:sz w:val="21"/>
          <w:szCs w:val="21"/>
        </w:rPr>
        <w:t>元/平方米·月，主力户型为二居室，距离估价对象约</w:t>
      </w:r>
      <w:r>
        <w:rPr>
          <w:rFonts w:hint="eastAsia" w:ascii="Arial" w:hAnsi="Arial" w:cs="Arial"/>
          <w:sz w:val="21"/>
          <w:szCs w:val="21"/>
          <w:lang w:val="en-US" w:eastAsia="zh-CN"/>
        </w:rPr>
        <w:t>2.1公里</w:t>
      </w:r>
      <w:r>
        <w:rPr>
          <w:rFonts w:ascii="Arial" w:hAnsi="Arial" w:cs="Arial"/>
          <w:sz w:val="21"/>
          <w:szCs w:val="21"/>
        </w:rPr>
        <w:t>。</w:t>
      </w:r>
    </w:p>
    <w:p>
      <w:pPr>
        <w:pStyle w:val="40"/>
        <w:keepNext w:val="0"/>
        <w:keepLines w:val="0"/>
        <w:pageBreakBefore w:val="0"/>
        <w:widowControl w:val="0"/>
        <w:kinsoku/>
        <w:wordWrap/>
        <w:overflowPunct/>
        <w:topLinePunct w:val="0"/>
        <w:autoSpaceDE w:val="0"/>
        <w:autoSpaceDN w:val="0"/>
        <w:bidi w:val="0"/>
        <w:adjustRightInd/>
        <w:snapToGrid/>
        <w:spacing w:line="480" w:lineRule="auto"/>
        <w:jc w:val="both"/>
        <w:textAlignment w:val="bottom"/>
        <w:rPr>
          <w:rFonts w:ascii="Arial" w:hAnsi="Arial" w:cs="Arial"/>
          <w:sz w:val="21"/>
          <w:szCs w:val="21"/>
        </w:rPr>
      </w:pPr>
      <w:r>
        <w:rPr>
          <w:rFonts w:hint="eastAsia" w:ascii="Arial" w:hAnsi="Arial" w:cs="Arial"/>
          <w:b/>
          <w:sz w:val="21"/>
          <w:szCs w:val="21"/>
        </w:rPr>
        <w:t xml:space="preserve">    </w:t>
      </w:r>
      <w:r>
        <w:rPr>
          <w:rFonts w:ascii="Arial" w:hAnsi="Arial" w:cs="Arial"/>
          <w:sz w:val="21"/>
          <w:szCs w:val="21"/>
        </w:rPr>
        <w:t>样本小区三：</w:t>
      </w:r>
      <w:r>
        <w:rPr>
          <w:rFonts w:hint="eastAsia" w:ascii="Arial" w:hAnsi="Arial" w:cs="Arial"/>
          <w:sz w:val="21"/>
          <w:szCs w:val="21"/>
        </w:rPr>
        <w:t>文化路社区</w:t>
      </w:r>
    </w:p>
    <w:p>
      <w:pPr>
        <w:pStyle w:val="40"/>
        <w:keepNext w:val="0"/>
        <w:keepLines w:val="0"/>
        <w:pageBreakBefore w:val="0"/>
        <w:widowControl w:val="0"/>
        <w:kinsoku/>
        <w:wordWrap/>
        <w:overflowPunct/>
        <w:topLinePunct w:val="0"/>
        <w:autoSpaceDE w:val="0"/>
        <w:autoSpaceDN w:val="0"/>
        <w:bidi w:val="0"/>
        <w:adjustRightInd/>
        <w:snapToGrid/>
        <w:spacing w:line="480" w:lineRule="auto"/>
        <w:ind w:firstLine="420" w:firstLineChars="200"/>
        <w:jc w:val="both"/>
        <w:textAlignment w:val="bottom"/>
        <w:rPr>
          <w:rFonts w:hint="eastAsia" w:ascii="Arial" w:hAnsi="Arial" w:cs="Arial"/>
          <w:sz w:val="21"/>
          <w:szCs w:val="21"/>
          <w:lang w:val="en-US" w:eastAsia="zh-CN"/>
        </w:rPr>
      </w:pPr>
      <w:r>
        <w:rPr>
          <w:rFonts w:ascii="Arial" w:hAnsi="Arial" w:cs="Arial"/>
          <w:sz w:val="21"/>
          <w:szCs w:val="21"/>
        </w:rPr>
        <w:t>梧桐苑知秋园位于</w:t>
      </w:r>
      <w:r>
        <w:rPr>
          <w:rFonts w:hint="eastAsia" w:ascii="Arial" w:hAnsi="Arial" w:cs="Arial"/>
          <w:sz w:val="21"/>
          <w:szCs w:val="21"/>
          <w:lang w:eastAsia="zh-CN"/>
        </w:rPr>
        <w:t>房山区</w:t>
      </w:r>
      <w:r>
        <w:rPr>
          <w:rFonts w:hint="eastAsia" w:ascii="Arial" w:hAnsi="Arial" w:cs="Arial"/>
          <w:sz w:val="21"/>
          <w:szCs w:val="21"/>
        </w:rPr>
        <w:t>北关东街以南，拱辰大街以东</w:t>
      </w:r>
      <w:r>
        <w:rPr>
          <w:rFonts w:ascii="Arial" w:hAnsi="Arial" w:cs="Arial"/>
          <w:sz w:val="21"/>
          <w:szCs w:val="21"/>
        </w:rPr>
        <w:t>，建成于</w:t>
      </w:r>
      <w:r>
        <w:rPr>
          <w:rFonts w:hint="eastAsia" w:ascii="Arial" w:hAnsi="Arial" w:cs="Arial"/>
          <w:sz w:val="21"/>
          <w:szCs w:val="21"/>
          <w:lang w:val="en-US" w:eastAsia="zh-CN"/>
        </w:rPr>
        <w:t>1985</w:t>
      </w:r>
      <w:r>
        <w:rPr>
          <w:rFonts w:ascii="Arial" w:hAnsi="Arial" w:cs="Arial"/>
          <w:sz w:val="21"/>
          <w:szCs w:val="21"/>
        </w:rPr>
        <w:t>年，楼栋总数为</w:t>
      </w:r>
      <w:r>
        <w:rPr>
          <w:rFonts w:hint="eastAsia" w:ascii="Arial" w:hAnsi="Arial" w:cs="Arial"/>
          <w:sz w:val="21"/>
          <w:szCs w:val="21"/>
          <w:lang w:val="en-US" w:eastAsia="zh-CN"/>
        </w:rPr>
        <w:t>23</w:t>
      </w:r>
      <w:r>
        <w:rPr>
          <w:rFonts w:ascii="Arial" w:hAnsi="Arial" w:cs="Arial"/>
          <w:sz w:val="21"/>
          <w:szCs w:val="21"/>
        </w:rPr>
        <w:t>栋，建筑结构为</w:t>
      </w:r>
      <w:r>
        <w:rPr>
          <w:rFonts w:hint="eastAsia" w:ascii="Arial" w:hAnsi="Arial" w:cs="Arial"/>
          <w:sz w:val="21"/>
          <w:szCs w:val="21"/>
          <w:lang w:eastAsia="zh-CN"/>
        </w:rPr>
        <w:t>混</w:t>
      </w:r>
      <w:r>
        <w:rPr>
          <w:rFonts w:hint="eastAsia" w:ascii="Arial" w:hAnsi="Arial" w:cs="Arial"/>
          <w:sz w:val="21"/>
          <w:szCs w:val="21"/>
          <w:lang w:val="en-US" w:eastAsia="zh-CN"/>
        </w:rPr>
        <w:t>合，共1203户，建筑密度适中，环境状况较好，绿化率30%，物业管理费为0.5元/平方米·月，主力户型为二居室，距离估价对象约2.5公里。</w:t>
      </w: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p>
    <w:p>
      <w:pPr>
        <w:pStyle w:val="40"/>
        <w:autoSpaceDE w:val="0"/>
        <w:autoSpaceDN w:val="0"/>
        <w:spacing w:line="480" w:lineRule="auto"/>
        <w:ind w:firstLine="420" w:firstLineChars="200"/>
        <w:jc w:val="center"/>
        <w:textAlignment w:val="bottom"/>
        <w:rPr>
          <w:rFonts w:ascii="Arial" w:hAnsi="Arial" w:cs="Arial"/>
          <w:sz w:val="21"/>
          <w:szCs w:val="21"/>
        </w:rPr>
      </w:pPr>
      <w:r>
        <w:rPr>
          <w:rFonts w:ascii="Arial" w:hAnsi="Arial" w:cs="Arial"/>
          <w:sz w:val="21"/>
          <w:szCs w:val="21"/>
        </w:rPr>
        <w:t>估价对象及样本小区位置示意图</w:t>
      </w:r>
    </w:p>
    <w:p>
      <w:pPr>
        <w:pStyle w:val="40"/>
        <w:autoSpaceDE w:val="0"/>
        <w:autoSpaceDN w:val="0"/>
        <w:spacing w:line="480" w:lineRule="auto"/>
        <w:jc w:val="center"/>
        <w:textAlignment w:val="bottom"/>
        <w:rPr>
          <w:rFonts w:ascii="Arial" w:hAnsi="Arial" w:cs="Arial"/>
          <w:sz w:val="21"/>
          <w:szCs w:val="21"/>
        </w:rPr>
      </w:pPr>
      <w:r>
        <w:drawing>
          <wp:inline distT="0" distB="0" distL="114300" distR="114300">
            <wp:extent cx="5904230" cy="4878070"/>
            <wp:effectExtent l="0" t="0" r="1270"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5"/>
                    <a:stretch>
                      <a:fillRect/>
                    </a:stretch>
                  </pic:blipFill>
                  <pic:spPr>
                    <a:xfrm>
                      <a:off x="0" y="0"/>
                      <a:ext cx="5904230" cy="4878070"/>
                    </a:xfrm>
                    <a:prstGeom prst="rect">
                      <a:avLst/>
                    </a:prstGeom>
                    <a:noFill/>
                    <a:ln>
                      <a:noFill/>
                    </a:ln>
                  </pic:spPr>
                </pic:pic>
              </a:graphicData>
            </a:graphic>
          </wp:inline>
        </w:drawing>
      </w:r>
    </w:p>
    <w:p>
      <w:pPr>
        <w:pStyle w:val="40"/>
        <w:autoSpaceDE w:val="0"/>
        <w:autoSpaceDN w:val="0"/>
        <w:spacing w:line="480" w:lineRule="auto"/>
        <w:ind w:firstLine="420" w:firstLineChars="200"/>
        <w:textAlignment w:val="bottom"/>
        <w:rPr>
          <w:rFonts w:ascii="Arial" w:hAnsi="Arial" w:cs="Arial"/>
          <w:sz w:val="21"/>
          <w:szCs w:val="21"/>
        </w:rPr>
      </w:pPr>
      <w:r>
        <w:rPr>
          <w:rFonts w:ascii="Arial" w:hAnsi="Arial" w:cs="Arial"/>
          <w:sz w:val="21"/>
          <w:szCs w:val="21"/>
        </w:rPr>
        <w:t>根据估价人员统计的市场租金数据，本次评估设定三个可比实例小区标准房如下：</w:t>
      </w:r>
    </w:p>
    <w:tbl>
      <w:tblPr>
        <w:tblStyle w:val="32"/>
        <w:tblW w:w="92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1138"/>
        <w:gridCol w:w="2620"/>
        <w:gridCol w:w="2618"/>
        <w:gridCol w:w="2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7" w:hRule="atLeast"/>
          <w:jc w:val="center"/>
        </w:trPr>
        <w:tc>
          <w:tcPr>
            <w:tcW w:w="102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项目</w:t>
            </w:r>
          </w:p>
        </w:tc>
        <w:tc>
          <w:tcPr>
            <w:tcW w:w="2355"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sz w:val="18"/>
                <w:szCs w:val="18"/>
              </w:rPr>
              <w:t>阳光邑上</w:t>
            </w:r>
          </w:p>
        </w:tc>
        <w:tc>
          <w:tcPr>
            <w:tcW w:w="235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sz w:val="18"/>
                <w:szCs w:val="18"/>
              </w:rPr>
              <w:t>昊文温泉家园</w:t>
            </w:r>
          </w:p>
        </w:tc>
        <w:tc>
          <w:tcPr>
            <w:tcW w:w="2627"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sz w:val="18"/>
                <w:szCs w:val="18"/>
              </w:rPr>
              <w:t>文化路社区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7" w:hRule="atLeast"/>
          <w:jc w:val="center"/>
        </w:trPr>
        <w:tc>
          <w:tcPr>
            <w:tcW w:w="102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楼层</w:t>
            </w:r>
          </w:p>
        </w:tc>
        <w:tc>
          <w:tcPr>
            <w:tcW w:w="2355"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中楼层</w:t>
            </w:r>
          </w:p>
        </w:tc>
        <w:tc>
          <w:tcPr>
            <w:tcW w:w="235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中楼层</w:t>
            </w:r>
          </w:p>
        </w:tc>
        <w:tc>
          <w:tcPr>
            <w:tcW w:w="2627"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中楼层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7" w:hRule="atLeast"/>
          <w:jc w:val="center"/>
        </w:trPr>
        <w:tc>
          <w:tcPr>
            <w:tcW w:w="102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户型</w:t>
            </w:r>
          </w:p>
        </w:tc>
        <w:tc>
          <w:tcPr>
            <w:tcW w:w="2355"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二居室</w:t>
            </w:r>
          </w:p>
        </w:tc>
        <w:tc>
          <w:tcPr>
            <w:tcW w:w="235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二居室</w:t>
            </w:r>
          </w:p>
        </w:tc>
        <w:tc>
          <w:tcPr>
            <w:tcW w:w="2627"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lang w:eastAsia="zh-CN"/>
              </w:rPr>
            </w:pPr>
            <w:r>
              <w:rPr>
                <w:rFonts w:hint="default" w:ascii="Arial" w:hAnsi="Arial" w:eastAsia="华文细黑" w:cs="Arial"/>
                <w:kern w:val="2"/>
                <w:sz w:val="18"/>
                <w:szCs w:val="18"/>
                <w:lang w:eastAsia="zh-CN"/>
              </w:rPr>
              <w:t>二居室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7" w:hRule="atLeast"/>
          <w:jc w:val="center"/>
        </w:trPr>
        <w:tc>
          <w:tcPr>
            <w:tcW w:w="102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面积</w:t>
            </w:r>
          </w:p>
        </w:tc>
        <w:tc>
          <w:tcPr>
            <w:tcW w:w="2355"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80-90</w:t>
            </w:r>
          </w:p>
        </w:tc>
        <w:tc>
          <w:tcPr>
            <w:tcW w:w="235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80-90</w:t>
            </w:r>
          </w:p>
        </w:tc>
        <w:tc>
          <w:tcPr>
            <w:tcW w:w="2627"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lang w:val="en-US" w:eastAsia="zh-CN"/>
              </w:rPr>
            </w:pPr>
            <w:r>
              <w:rPr>
                <w:rFonts w:hint="default" w:ascii="Arial" w:hAnsi="Arial" w:eastAsia="华文细黑" w:cs="Arial"/>
                <w:kern w:val="2"/>
                <w:sz w:val="18"/>
                <w:szCs w:val="18"/>
                <w:lang w:val="en-US" w:eastAsia="zh-CN"/>
              </w:rPr>
              <w:t>47-90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7" w:hRule="atLeast"/>
          <w:jc w:val="center"/>
        </w:trPr>
        <w:tc>
          <w:tcPr>
            <w:tcW w:w="102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朝向</w:t>
            </w:r>
          </w:p>
        </w:tc>
        <w:tc>
          <w:tcPr>
            <w:tcW w:w="2355"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南北</w:t>
            </w:r>
          </w:p>
        </w:tc>
        <w:tc>
          <w:tcPr>
            <w:tcW w:w="235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南北</w:t>
            </w:r>
          </w:p>
        </w:tc>
        <w:tc>
          <w:tcPr>
            <w:tcW w:w="2627"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南北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7" w:hRule="atLeast"/>
          <w:jc w:val="center"/>
        </w:trPr>
        <w:tc>
          <w:tcPr>
            <w:tcW w:w="102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装修</w:t>
            </w:r>
          </w:p>
        </w:tc>
        <w:tc>
          <w:tcPr>
            <w:tcW w:w="2355"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普通装修</w:t>
            </w:r>
          </w:p>
        </w:tc>
        <w:tc>
          <w:tcPr>
            <w:tcW w:w="235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普通装修</w:t>
            </w:r>
          </w:p>
        </w:tc>
        <w:tc>
          <w:tcPr>
            <w:tcW w:w="2627"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普通装修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7" w:hRule="atLeast"/>
          <w:jc w:val="center"/>
        </w:trPr>
        <w:tc>
          <w:tcPr>
            <w:tcW w:w="102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设备</w:t>
            </w:r>
          </w:p>
        </w:tc>
        <w:tc>
          <w:tcPr>
            <w:tcW w:w="2355"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齐全</w:t>
            </w:r>
          </w:p>
        </w:tc>
        <w:tc>
          <w:tcPr>
            <w:tcW w:w="2353" w:type="dxa"/>
            <w:tcBorders>
              <w:righ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齐全</w:t>
            </w:r>
          </w:p>
        </w:tc>
        <w:tc>
          <w:tcPr>
            <w:tcW w:w="2627" w:type="dxa"/>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val="0"/>
              <w:snapToGrid w:val="0"/>
              <w:spacing w:line="240" w:lineRule="exact"/>
              <w:jc w:val="center"/>
              <w:textAlignment w:val="auto"/>
              <w:rPr>
                <w:rFonts w:hint="default" w:ascii="Arial" w:hAnsi="Arial" w:eastAsia="华文细黑" w:cs="Arial"/>
                <w:kern w:val="2"/>
                <w:sz w:val="18"/>
                <w:szCs w:val="18"/>
              </w:rPr>
            </w:pPr>
            <w:r>
              <w:rPr>
                <w:rFonts w:hint="default" w:ascii="Arial" w:hAnsi="Arial" w:eastAsia="华文细黑" w:cs="Arial"/>
                <w:kern w:val="2"/>
                <w:sz w:val="18"/>
                <w:szCs w:val="18"/>
              </w:rPr>
              <w:t>齐全</w:t>
            </w:r>
          </w:p>
        </w:tc>
      </w:tr>
    </w:tbl>
    <w:p>
      <w:pPr>
        <w:overflowPunct w:val="0"/>
        <w:spacing w:line="240" w:lineRule="atLeast"/>
        <w:jc w:val="center"/>
        <w:rPr>
          <w:rFonts w:ascii="Arial" w:hAnsi="Arial" w:cs="Arial"/>
          <w:kern w:val="2"/>
          <w:sz w:val="20"/>
          <w:szCs w:val="21"/>
        </w:rPr>
      </w:pP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 4 \* GB3 </w:instrText>
      </w:r>
      <w:r>
        <w:rPr>
          <w:rFonts w:ascii="Arial" w:hAnsi="Arial" w:cs="Arial"/>
          <w:sz w:val="21"/>
          <w:szCs w:val="21"/>
        </w:rPr>
        <w:fldChar w:fldCharType="separate"/>
      </w:r>
      <w:r>
        <w:rPr>
          <w:rFonts w:hint="eastAsia" w:hAnsi="宋体" w:cs="宋体"/>
          <w:sz w:val="21"/>
          <w:szCs w:val="21"/>
        </w:rPr>
        <w:t>④</w:t>
      </w:r>
      <w:r>
        <w:rPr>
          <w:rFonts w:ascii="Arial" w:hAnsi="Arial" w:cs="Arial"/>
          <w:sz w:val="21"/>
          <w:szCs w:val="21"/>
        </w:rPr>
        <w:fldChar w:fldCharType="end"/>
      </w:r>
      <w:r>
        <w:rPr>
          <w:rFonts w:ascii="Arial" w:hAnsi="Arial" w:cs="Arial"/>
          <w:sz w:val="21"/>
          <w:szCs w:val="21"/>
        </w:rPr>
        <w:t>样本数据统计分析</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A.估价机构监测数据</w:t>
      </w:r>
      <w:r>
        <w:rPr>
          <w:rFonts w:hint="eastAsia" w:ascii="Arial" w:hAnsi="Arial" w:cs="Arial"/>
          <w:sz w:val="21"/>
          <w:szCs w:val="21"/>
        </w:rPr>
        <w:t>（中指数据）</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样本小区一：阳光邑上</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3</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43.42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1139" w:type="pct"/>
            <w:shd w:val="clear" w:color="auto" w:fill="auto"/>
            <w:noWra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3</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1139" w:type="pct"/>
            <w:shd w:val="clear" w:color="auto" w:fill="auto"/>
            <w:noWra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3</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41.07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1139" w:type="pct"/>
            <w:shd w:val="clear" w:color="auto" w:fill="auto"/>
            <w:noWra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3</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42.42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平均月租金</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 xml:space="preserve">42.28 </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autoSpaceDE w:val="0"/>
        <w:autoSpaceDN w:val="0"/>
        <w:spacing w:line="480" w:lineRule="auto"/>
        <w:ind w:firstLine="420" w:firstLineChars="200"/>
        <w:jc w:val="both"/>
        <w:textAlignment w:val="bottom"/>
        <w:rPr>
          <w:rFonts w:hint="eastAsia" w:ascii="Arial" w:hAnsi="Arial" w:cs="Arial"/>
          <w:sz w:val="21"/>
          <w:szCs w:val="21"/>
        </w:rPr>
      </w:pPr>
      <w:r>
        <w:rPr>
          <w:rFonts w:hint="eastAsia" w:ascii="Arial" w:hAnsi="Arial" w:cs="Arial"/>
          <w:sz w:val="21"/>
          <w:szCs w:val="21"/>
        </w:rPr>
        <w:t>样本小区二：昊文温泉家园</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3</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35.07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1139" w:type="pct"/>
            <w:shd w:val="clear" w:color="auto" w:fill="auto"/>
            <w:noWrap/>
            <w:vAlign w:val="to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2</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28.65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1139" w:type="pct"/>
            <w:shd w:val="clear" w:color="auto" w:fill="auto"/>
            <w:noWrap/>
            <w:vAlign w:val="to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3</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36.67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1139" w:type="pct"/>
            <w:shd w:val="clear" w:color="auto" w:fill="auto"/>
            <w:noWrap/>
            <w:vAlign w:val="to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3</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35.82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平均月租金</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 xml:space="preserve">34.05 </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autoSpaceDE w:val="0"/>
        <w:autoSpaceDN w:val="0"/>
        <w:spacing w:line="480" w:lineRule="auto"/>
        <w:ind w:firstLine="420" w:firstLineChars="200"/>
        <w:jc w:val="both"/>
        <w:textAlignment w:val="bottom"/>
        <w:rPr>
          <w:rFonts w:hint="eastAsia" w:ascii="Arial" w:hAnsi="Arial" w:cs="Arial"/>
          <w:sz w:val="21"/>
          <w:szCs w:val="21"/>
        </w:rPr>
      </w:pPr>
      <w:r>
        <w:rPr>
          <w:rFonts w:hint="eastAsia" w:ascii="Arial" w:hAnsi="Arial" w:cs="Arial"/>
          <w:sz w:val="21"/>
          <w:szCs w:val="21"/>
        </w:rPr>
        <w:t>样本小区三：文化路社区</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lang w:val="en-US" w:eastAsia="zh-CN"/>
              </w:rPr>
              <w:t>4</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1139" w:type="pct"/>
            <w:shd w:val="clear" w:color="auto" w:fill="auto"/>
            <w:noWrap/>
            <w:vAlign w:val="to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lang w:val="en-US" w:eastAsia="zh-CN"/>
              </w:rPr>
              <w:t>4</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41.09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1139" w:type="pct"/>
            <w:shd w:val="clear" w:color="auto" w:fill="auto"/>
            <w:noWrap/>
            <w:vAlign w:val="to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lang w:val="en-US" w:eastAsia="zh-CN"/>
              </w:rPr>
              <w:t>4</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40.89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1139" w:type="pct"/>
            <w:shd w:val="clear" w:color="auto" w:fill="auto"/>
            <w:noWrap/>
            <w:vAlign w:val="top"/>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lang w:val="en-US" w:eastAsia="zh-CN"/>
              </w:rPr>
              <w:t>3</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41.83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平均月租金</w:t>
            </w:r>
          </w:p>
        </w:tc>
        <w:tc>
          <w:tcPr>
            <w:tcW w:w="4174" w:type="dxa"/>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lang w:val="en-US" w:eastAsia="zh-CN"/>
              </w:rPr>
            </w:pPr>
            <w:r>
              <w:rPr>
                <w:rFonts w:hint="default" w:ascii="Arial" w:hAnsi="Arial" w:eastAsia="华文细黑" w:cs="Arial"/>
                <w:sz w:val="18"/>
                <w:szCs w:val="18"/>
                <w:lang w:val="en-US" w:eastAsia="zh-CN"/>
              </w:rPr>
              <w:t xml:space="preserve">40.79 </w:t>
            </w:r>
          </w:p>
        </w:tc>
      </w:tr>
    </w:tbl>
    <w:p>
      <w:pPr>
        <w:pStyle w:val="40"/>
        <w:autoSpaceDE w:val="0"/>
        <w:autoSpaceDN w:val="0"/>
        <w:spacing w:before="240" w:beforeLines="100" w:line="480" w:lineRule="auto"/>
        <w:ind w:firstLine="420" w:firstLineChars="200"/>
        <w:jc w:val="both"/>
        <w:textAlignment w:val="bottom"/>
        <w:rPr>
          <w:rFonts w:ascii="Arial" w:hAnsi="Arial" w:cs="Arial"/>
          <w:sz w:val="21"/>
          <w:szCs w:val="21"/>
        </w:rPr>
      </w:pPr>
      <w:r>
        <w:rPr>
          <w:rFonts w:ascii="Arial" w:hAnsi="Arial" w:cs="Arial"/>
          <w:sz w:val="21"/>
          <w:szCs w:val="21"/>
        </w:rPr>
        <w:t>B.行业主管部门（北京市房地产市场管理事务中心）监测数据</w:t>
      </w:r>
      <w:r>
        <w:rPr>
          <w:rFonts w:hint="eastAsia" w:ascii="Arial" w:hAnsi="Arial" w:cs="Arial"/>
          <w:sz w:val="21"/>
          <w:szCs w:val="21"/>
        </w:rPr>
        <w:t>（城研中心数据）</w:t>
      </w:r>
    </w:p>
    <w:p>
      <w:pPr>
        <w:pStyle w:val="40"/>
        <w:autoSpaceDE w:val="0"/>
        <w:autoSpaceDN w:val="0"/>
        <w:spacing w:line="480" w:lineRule="auto"/>
        <w:ind w:firstLine="420" w:firstLineChars="200"/>
        <w:jc w:val="both"/>
        <w:textAlignment w:val="bottom"/>
        <w:rPr>
          <w:rFonts w:hint="eastAsia" w:ascii="Arial" w:hAnsi="Arial" w:cs="Arial"/>
          <w:sz w:val="21"/>
          <w:szCs w:val="21"/>
        </w:rPr>
      </w:pPr>
      <w:r>
        <w:rPr>
          <w:rFonts w:hint="eastAsia" w:ascii="Arial" w:hAnsi="Arial" w:cs="Arial"/>
          <w:sz w:val="21"/>
          <w:szCs w:val="21"/>
        </w:rPr>
        <w:t>样本小区一：阳光邑上</w:t>
      </w:r>
    </w:p>
    <w:p>
      <w:pPr>
        <w:pStyle w:val="40"/>
        <w:autoSpaceDE w:val="0"/>
        <w:autoSpaceDN w:val="0"/>
        <w:spacing w:line="480" w:lineRule="auto"/>
        <w:ind w:firstLine="420" w:firstLineChars="200"/>
        <w:jc w:val="both"/>
        <w:textAlignment w:val="bottom"/>
        <w:rPr>
          <w:rFonts w:hint="eastAsia" w:ascii="Arial" w:hAnsi="Arial" w:cs="Arial"/>
          <w:sz w:val="21"/>
          <w:szCs w:val="21"/>
        </w:rPr>
      </w:pPr>
    </w:p>
    <w:p>
      <w:pPr>
        <w:pStyle w:val="40"/>
        <w:autoSpaceDE w:val="0"/>
        <w:autoSpaceDN w:val="0"/>
        <w:spacing w:line="480" w:lineRule="auto"/>
        <w:ind w:firstLine="420" w:firstLineChars="200"/>
        <w:jc w:val="both"/>
        <w:textAlignment w:val="bottom"/>
        <w:rPr>
          <w:rFonts w:hint="eastAsia" w:ascii="Arial" w:hAnsi="Arial" w:cs="Arial"/>
          <w:sz w:val="21"/>
          <w:szCs w:val="21"/>
        </w:rPr>
      </w:pPr>
    </w:p>
    <w:p>
      <w:pPr>
        <w:pStyle w:val="40"/>
        <w:autoSpaceDE w:val="0"/>
        <w:autoSpaceDN w:val="0"/>
        <w:spacing w:line="480" w:lineRule="auto"/>
        <w:ind w:firstLine="420" w:firstLineChars="200"/>
        <w:jc w:val="both"/>
        <w:textAlignment w:val="bottom"/>
        <w:rPr>
          <w:rFonts w:hint="eastAsia" w:ascii="Arial" w:hAnsi="Arial" w:cs="Arial"/>
          <w:sz w:val="21"/>
          <w:szCs w:val="21"/>
        </w:rPr>
      </w:pP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平均月租金</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 xml:space="preserve">43.23 </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autoSpaceDE w:val="0"/>
        <w:autoSpaceDN w:val="0"/>
        <w:spacing w:line="480" w:lineRule="auto"/>
        <w:ind w:firstLine="420" w:firstLineChars="200"/>
        <w:jc w:val="both"/>
        <w:textAlignment w:val="bottom"/>
        <w:rPr>
          <w:rFonts w:hint="eastAsia" w:ascii="Arial" w:hAnsi="Arial" w:cs="Arial"/>
          <w:sz w:val="21"/>
          <w:szCs w:val="21"/>
        </w:rPr>
      </w:pPr>
      <w:r>
        <w:rPr>
          <w:rFonts w:hint="eastAsia" w:ascii="Arial" w:hAnsi="Arial" w:cs="Arial"/>
          <w:sz w:val="21"/>
          <w:szCs w:val="21"/>
        </w:rPr>
        <w:t>样本小区二：昊文温泉家园</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2</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eastAsia"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1</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eastAsia"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1</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eastAsia"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平均月租金</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 xml:space="preserve">39.08 </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autoSpaceDE w:val="0"/>
        <w:autoSpaceDN w:val="0"/>
        <w:spacing w:line="480" w:lineRule="auto"/>
        <w:ind w:firstLine="420" w:firstLineChars="200"/>
        <w:jc w:val="both"/>
        <w:textAlignment w:val="bottom"/>
        <w:rPr>
          <w:rFonts w:hint="eastAsia" w:ascii="Arial" w:hAnsi="Arial" w:cs="Arial"/>
          <w:sz w:val="21"/>
          <w:szCs w:val="21"/>
        </w:rPr>
      </w:pPr>
      <w:r>
        <w:rPr>
          <w:rFonts w:hint="eastAsia" w:ascii="Arial" w:hAnsi="Arial" w:cs="Arial"/>
          <w:sz w:val="21"/>
          <w:szCs w:val="21"/>
        </w:rPr>
        <w:t>样本小区三：文化路社区</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21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3</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40.56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平均月租金</w:t>
            </w:r>
          </w:p>
        </w:tc>
        <w:tc>
          <w:tcPr>
            <w:tcW w:w="4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Style w:val="66"/>
                <w:rFonts w:hint="default" w:ascii="Arial" w:hAnsi="Arial" w:eastAsia="华文细黑" w:cs="Arial"/>
                <w:i w:val="0"/>
                <w:iCs w:val="0"/>
                <w:color w:val="000000"/>
                <w:sz w:val="18"/>
                <w:szCs w:val="18"/>
                <w:lang w:val="en-US" w:eastAsia="zh-CN" w:bidi="ar"/>
              </w:rPr>
            </w:pPr>
            <w:r>
              <w:rPr>
                <w:rStyle w:val="66"/>
                <w:rFonts w:hint="default" w:ascii="Arial" w:hAnsi="Arial" w:eastAsia="华文细黑" w:cs="Arial"/>
                <w:i w:val="0"/>
                <w:iCs w:val="0"/>
                <w:color w:val="000000"/>
                <w:sz w:val="18"/>
                <w:szCs w:val="18"/>
                <w:lang w:val="en-US" w:eastAsia="zh-CN" w:bidi="ar"/>
              </w:rPr>
              <w:t xml:space="preserve">42.94 </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C.估价机构市场调查</w:t>
      </w:r>
      <w:r>
        <w:rPr>
          <w:rFonts w:hint="eastAsia" w:ascii="Arial" w:hAnsi="Arial" w:cs="Arial"/>
          <w:sz w:val="21"/>
          <w:szCs w:val="21"/>
        </w:rPr>
        <w:t>（市场交易数据）</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样本小区一：阳光邑上</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lang w:val="en-US" w:eastAsia="zh-CN"/>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lang w:val="en-US" w:eastAsia="zh-CN"/>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lang w:val="en-US" w:eastAsia="zh-CN"/>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lang w:val="en-US" w:eastAsia="zh-CN"/>
              </w:rPr>
            </w:pPr>
            <w:r>
              <w:rPr>
                <w:rFonts w:hint="default" w:ascii="Arial" w:hAnsi="Arial" w:eastAsia="等线" w:cs="Arial"/>
                <w:i w:val="0"/>
                <w:iCs w:val="0"/>
                <w:color w:val="000000"/>
                <w:kern w:val="0"/>
                <w:sz w:val="20"/>
                <w:szCs w:val="20"/>
                <w:u w:val="none"/>
                <w:lang w:val="en-US" w:eastAsia="zh-CN" w:bidi="ar"/>
              </w:rPr>
              <w:t>2</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 xml:space="preserve">44.75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平均月租金</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 xml:space="preserve">44.75 </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autoSpaceDE w:val="0"/>
        <w:autoSpaceDN w:val="0"/>
        <w:spacing w:line="480" w:lineRule="auto"/>
        <w:ind w:firstLine="420" w:firstLineChars="200"/>
        <w:jc w:val="both"/>
        <w:textAlignment w:val="bottom"/>
        <w:rPr>
          <w:rFonts w:hint="eastAsia" w:ascii="Arial" w:hAnsi="Arial" w:cs="Arial"/>
          <w:sz w:val="21"/>
          <w:szCs w:val="21"/>
        </w:rPr>
      </w:pPr>
      <w:r>
        <w:rPr>
          <w:rFonts w:hint="eastAsia" w:ascii="Arial" w:hAnsi="Arial" w:cs="Arial"/>
          <w:sz w:val="21"/>
          <w:szCs w:val="21"/>
        </w:rPr>
        <w:t>样本小区二：昊文温泉家园</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lang w:val="en-US" w:eastAsia="zh-CN"/>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2119" w:type="dxa"/>
            <w:shd w:val="clear" w:color="auto" w:fill="auto"/>
            <w:noWrap/>
            <w:vAlign w:val="center"/>
          </w:tcPr>
          <w:p>
            <w:pPr>
              <w:keepNext w:val="0"/>
              <w:keepLines w:val="0"/>
              <w:widowControl/>
              <w:suppressLineNumbers w:val="0"/>
              <w:jc w:val="center"/>
              <w:textAlignment w:val="center"/>
              <w:rPr>
                <w:rFonts w:hint="eastAsia" w:ascii="Arial" w:hAnsi="Arial" w:eastAsia="华文细黑" w:cs="Arial"/>
                <w:sz w:val="18"/>
                <w:szCs w:val="18"/>
                <w:lang w:val="en-US" w:eastAsia="zh-CN"/>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2119" w:type="dxa"/>
            <w:shd w:val="clear" w:color="auto" w:fill="auto"/>
            <w:noWrap/>
            <w:vAlign w:val="center"/>
          </w:tcPr>
          <w:p>
            <w:pPr>
              <w:keepNext w:val="0"/>
              <w:keepLines w:val="0"/>
              <w:widowControl/>
              <w:suppressLineNumbers w:val="0"/>
              <w:jc w:val="center"/>
              <w:textAlignment w:val="center"/>
              <w:rPr>
                <w:rFonts w:hint="eastAsia" w:ascii="Arial" w:hAnsi="Arial" w:eastAsia="华文细黑" w:cs="Arial"/>
                <w:sz w:val="18"/>
                <w:szCs w:val="18"/>
                <w:lang w:val="en-US" w:eastAsia="zh-CN"/>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2119" w:type="dxa"/>
            <w:shd w:val="clear" w:color="auto" w:fill="auto"/>
            <w:noWrap/>
            <w:vAlign w:val="center"/>
          </w:tcPr>
          <w:p>
            <w:pPr>
              <w:keepNext w:val="0"/>
              <w:keepLines w:val="0"/>
              <w:widowControl/>
              <w:suppressLineNumbers w:val="0"/>
              <w:jc w:val="center"/>
              <w:textAlignment w:val="center"/>
              <w:rPr>
                <w:rFonts w:hint="eastAsia" w:ascii="Arial" w:hAnsi="Arial" w:eastAsia="华文细黑" w:cs="Arial"/>
                <w:sz w:val="18"/>
                <w:szCs w:val="18"/>
                <w:lang w:val="en-US" w:eastAsia="zh-CN"/>
              </w:rPr>
            </w:pPr>
            <w:r>
              <w:rPr>
                <w:rFonts w:hint="default" w:ascii="Arial" w:hAnsi="Arial" w:eastAsia="等线" w:cs="Arial"/>
                <w:i w:val="0"/>
                <w:iCs w:val="0"/>
                <w:color w:val="000000"/>
                <w:kern w:val="0"/>
                <w:sz w:val="20"/>
                <w:szCs w:val="20"/>
                <w:u w:val="none"/>
                <w:lang w:val="en-US" w:eastAsia="zh-CN" w:bidi="ar"/>
              </w:rPr>
              <w:t>1</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 xml:space="preserve">38.73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平均月租金</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 xml:space="preserve">38.73 </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autoSpaceDE w:val="0"/>
        <w:autoSpaceDN w:val="0"/>
        <w:spacing w:line="480" w:lineRule="auto"/>
        <w:ind w:firstLine="420" w:firstLineChars="200"/>
        <w:jc w:val="both"/>
        <w:textAlignment w:val="bottom"/>
        <w:rPr>
          <w:rFonts w:hint="eastAsia" w:ascii="Arial" w:hAnsi="Arial" w:cs="Arial"/>
          <w:sz w:val="21"/>
          <w:szCs w:val="21"/>
        </w:rPr>
      </w:pPr>
      <w:r>
        <w:rPr>
          <w:rFonts w:hint="eastAsia" w:ascii="Arial" w:hAnsi="Arial" w:cs="Arial"/>
          <w:sz w:val="21"/>
          <w:szCs w:val="21"/>
        </w:rPr>
        <w:t>样本小区三：文化路社区</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05"/>
        <w:gridCol w:w="2119"/>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tblHeader/>
          <w:jc w:val="center"/>
        </w:trPr>
        <w:tc>
          <w:tcPr>
            <w:tcW w:w="1615"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时间</w:t>
            </w:r>
          </w:p>
        </w:tc>
        <w:tc>
          <w:tcPr>
            <w:tcW w:w="1139"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样本数量</w:t>
            </w:r>
          </w:p>
        </w:tc>
        <w:tc>
          <w:tcPr>
            <w:tcW w:w="2244" w:type="pct"/>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租金平均单价（元/平方米·月）（含物业费、含供暖费、含租赁税费）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年二季度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年三季度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2022</w:t>
            </w:r>
            <w:r>
              <w:rPr>
                <w:rFonts w:hint="default" w:ascii="Arial" w:hAnsi="Arial" w:eastAsia="华文细黑" w:cs="Arial"/>
                <w:i w:val="0"/>
                <w:iCs w:val="0"/>
                <w:color w:val="000000"/>
                <w:kern w:val="0"/>
                <w:sz w:val="18"/>
                <w:szCs w:val="18"/>
                <w:u w:val="none"/>
                <w:lang w:val="en-US" w:eastAsia="zh-CN" w:bidi="ar"/>
              </w:rPr>
              <w:t>年四季度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rPr>
            </w:pPr>
            <w:r>
              <w:rPr>
                <w:rFonts w:hint="default" w:ascii="Arial" w:hAnsi="Arial" w:eastAsia="等线" w:cs="Arial"/>
                <w:i w:val="0"/>
                <w:iCs w:val="0"/>
                <w:color w:val="000000"/>
                <w:kern w:val="0"/>
                <w:sz w:val="20"/>
                <w:szCs w:val="20"/>
                <w:u w:val="none"/>
                <w:lang w:val="en-US" w:eastAsia="zh-CN" w:bidi="ar"/>
              </w:rPr>
              <w:t>-</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61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rPr>
            </w:pPr>
            <w:r>
              <w:rPr>
                <w:rStyle w:val="66"/>
                <w:rFonts w:hint="default" w:ascii="Arial" w:hAnsi="Arial" w:eastAsia="华文细黑" w:cs="Arial"/>
                <w:sz w:val="18"/>
                <w:szCs w:val="18"/>
                <w:lang w:val="en-US" w:eastAsia="zh-CN" w:bidi="ar"/>
              </w:rPr>
              <w:t>2023</w:t>
            </w:r>
            <w:r>
              <w:rPr>
                <w:rFonts w:hint="default" w:ascii="Arial" w:hAnsi="Arial" w:eastAsia="华文细黑" w:cs="Arial"/>
                <w:i w:val="0"/>
                <w:iCs w:val="0"/>
                <w:color w:val="000000"/>
                <w:kern w:val="0"/>
                <w:sz w:val="18"/>
                <w:szCs w:val="18"/>
                <w:u w:val="none"/>
                <w:lang w:val="en-US" w:eastAsia="zh-CN" w:bidi="ar"/>
              </w:rPr>
              <w:t>年一季度</w:t>
            </w:r>
          </w:p>
        </w:tc>
        <w:tc>
          <w:tcPr>
            <w:tcW w:w="2119" w:type="dxa"/>
            <w:shd w:val="clear" w:color="auto" w:fill="auto"/>
            <w:noWrap/>
            <w:vAlign w:val="center"/>
          </w:tcPr>
          <w:p>
            <w:pPr>
              <w:keepNext w:val="0"/>
              <w:keepLines w:val="0"/>
              <w:widowControl/>
              <w:suppressLineNumbers w:val="0"/>
              <w:jc w:val="center"/>
              <w:textAlignment w:val="center"/>
              <w:rPr>
                <w:rFonts w:hint="default" w:ascii="Arial" w:hAnsi="Arial" w:eastAsia="华文细黑" w:cs="Arial"/>
                <w:sz w:val="18"/>
                <w:szCs w:val="18"/>
              </w:rPr>
            </w:pPr>
            <w:r>
              <w:rPr>
                <w:rFonts w:hint="default" w:ascii="Arial" w:hAnsi="Arial" w:eastAsia="等线" w:cs="Arial"/>
                <w:i w:val="0"/>
                <w:iCs w:val="0"/>
                <w:color w:val="000000"/>
                <w:kern w:val="0"/>
                <w:sz w:val="20"/>
                <w:szCs w:val="20"/>
                <w:u w:val="none"/>
                <w:lang w:val="en-US" w:eastAsia="zh-CN" w:bidi="ar"/>
              </w:rPr>
              <w:t>2</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 xml:space="preserve">43.00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7" w:hRule="atLeast"/>
          <w:jc w:val="center"/>
        </w:trPr>
        <w:tc>
          <w:tcPr>
            <w:tcW w:w="2755"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平均月租金</w:t>
            </w:r>
          </w:p>
        </w:tc>
        <w:tc>
          <w:tcPr>
            <w:tcW w:w="4174" w:type="dxa"/>
            <w:vAlign w:val="center"/>
          </w:tcPr>
          <w:p>
            <w:pPr>
              <w:keepNext w:val="0"/>
              <w:keepLines w:val="0"/>
              <w:widowControl/>
              <w:suppressLineNumbers w:val="0"/>
              <w:jc w:val="center"/>
              <w:textAlignment w:val="center"/>
              <w:rPr>
                <w:rFonts w:hint="default" w:ascii="Arial" w:hAnsi="Arial" w:eastAsia="等线" w:cs="Arial"/>
                <w:i w:val="0"/>
                <w:iCs w:val="0"/>
                <w:color w:val="000000"/>
                <w:kern w:val="0"/>
                <w:sz w:val="20"/>
                <w:szCs w:val="20"/>
                <w:u w:val="none"/>
                <w:lang w:val="en-US" w:eastAsia="zh-CN" w:bidi="ar"/>
              </w:rPr>
            </w:pPr>
            <w:r>
              <w:rPr>
                <w:rFonts w:hint="default" w:ascii="Arial" w:hAnsi="Arial" w:eastAsia="等线" w:cs="Arial"/>
                <w:i w:val="0"/>
                <w:iCs w:val="0"/>
                <w:color w:val="000000"/>
                <w:kern w:val="0"/>
                <w:sz w:val="20"/>
                <w:szCs w:val="20"/>
                <w:u w:val="none"/>
                <w:lang w:val="en-US" w:eastAsia="zh-CN" w:bidi="ar"/>
              </w:rPr>
              <w:t xml:space="preserve">43.00 </w:t>
            </w:r>
          </w:p>
        </w:tc>
      </w:tr>
    </w:tbl>
    <w:p>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both"/>
        <w:textAlignment w:val="bottom"/>
        <w:rPr>
          <w:rFonts w:ascii="Arial" w:hAnsi="Arial" w:cs="Arial"/>
          <w:sz w:val="18"/>
          <w:szCs w:val="18"/>
        </w:rPr>
      </w:pP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 5 \* GB3 </w:instrText>
      </w:r>
      <w:r>
        <w:rPr>
          <w:rFonts w:ascii="Arial" w:hAnsi="Arial" w:cs="Arial"/>
          <w:sz w:val="21"/>
          <w:szCs w:val="21"/>
        </w:rPr>
        <w:fldChar w:fldCharType="separate"/>
      </w:r>
      <w:r>
        <w:rPr>
          <w:rFonts w:hint="eastAsia" w:hAnsi="宋体" w:cs="宋体"/>
          <w:sz w:val="21"/>
          <w:szCs w:val="21"/>
        </w:rPr>
        <w:t>⑤</w:t>
      </w:r>
      <w:r>
        <w:rPr>
          <w:rFonts w:ascii="Arial" w:hAnsi="Arial" w:cs="Arial"/>
          <w:sz w:val="21"/>
          <w:szCs w:val="21"/>
        </w:rPr>
        <w:fldChar w:fldCharType="end"/>
      </w:r>
      <w:r>
        <w:rPr>
          <w:rFonts w:ascii="Arial" w:hAnsi="Arial" w:cs="Arial"/>
          <w:sz w:val="21"/>
          <w:szCs w:val="21"/>
        </w:rPr>
        <w:t>确定可比实例年平均租金水平</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结合三方面数据,本次估价从评估专业人员掌握的交易实例中选取</w:t>
      </w:r>
      <w:r>
        <w:rPr>
          <w:rFonts w:hint="eastAsia" w:ascii="Arial" w:hAnsi="Arial" w:cs="Arial"/>
          <w:sz w:val="21"/>
          <w:szCs w:val="21"/>
        </w:rPr>
        <w:t>阳光邑上</w:t>
      </w:r>
      <w:r>
        <w:rPr>
          <w:rFonts w:ascii="Arial" w:hAnsi="Arial" w:cs="Arial"/>
          <w:sz w:val="21"/>
          <w:szCs w:val="21"/>
        </w:rPr>
        <w:t>、</w:t>
      </w:r>
      <w:r>
        <w:rPr>
          <w:rFonts w:hint="eastAsia" w:ascii="Arial" w:hAnsi="Arial" w:cs="Arial"/>
          <w:sz w:val="21"/>
          <w:szCs w:val="21"/>
        </w:rPr>
        <w:t>昊文温泉家园</w:t>
      </w:r>
      <w:r>
        <w:rPr>
          <w:rFonts w:ascii="Arial" w:hAnsi="Arial" w:cs="Arial"/>
          <w:sz w:val="21"/>
          <w:szCs w:val="21"/>
        </w:rPr>
        <w:t>、</w:t>
      </w:r>
      <w:r>
        <w:rPr>
          <w:rFonts w:hint="eastAsia" w:ascii="Arial" w:hAnsi="Arial" w:cs="Arial"/>
          <w:sz w:val="21"/>
          <w:szCs w:val="21"/>
        </w:rPr>
        <w:t>文化路社区</w:t>
      </w:r>
      <w:r>
        <w:rPr>
          <w:rFonts w:ascii="Arial" w:hAnsi="Arial" w:cs="Arial"/>
          <w:sz w:val="21"/>
          <w:szCs w:val="21"/>
        </w:rPr>
        <w:t>3个普通住宅小区作为可比实例。</w:t>
      </w:r>
    </w:p>
    <w:p>
      <w:pPr>
        <w:pStyle w:val="4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经过统计分析及测算，各小区的数据来源及近一年平均租金水平分别如下：</w:t>
      </w:r>
    </w:p>
    <w:tbl>
      <w:tblPr>
        <w:tblStyle w:val="3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3829"/>
        <w:gridCol w:w="1680"/>
        <w:gridCol w:w="2063"/>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0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数据来源</w:t>
            </w:r>
          </w:p>
        </w:tc>
        <w:tc>
          <w:tcPr>
            <w:tcW w:w="90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阳光邑上</w:t>
            </w:r>
          </w:p>
        </w:tc>
        <w:tc>
          <w:tcPr>
            <w:tcW w:w="110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昊文温泉家园</w:t>
            </w:r>
          </w:p>
        </w:tc>
        <w:tc>
          <w:tcPr>
            <w:tcW w:w="92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文化路社区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0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估价机构样本数据（中指数据）</w:t>
            </w:r>
          </w:p>
        </w:tc>
        <w:tc>
          <w:tcPr>
            <w:tcW w:w="90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42.28 </w:t>
            </w:r>
          </w:p>
        </w:tc>
        <w:tc>
          <w:tcPr>
            <w:tcW w:w="11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34.05 </w:t>
            </w:r>
          </w:p>
        </w:tc>
        <w:tc>
          <w:tcPr>
            <w:tcW w:w="92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40.79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0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北京市房地产市场管理事务中心样本数据（城研中心数据）</w:t>
            </w:r>
          </w:p>
        </w:tc>
        <w:tc>
          <w:tcPr>
            <w:tcW w:w="90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43.23 </w:t>
            </w:r>
          </w:p>
        </w:tc>
        <w:tc>
          <w:tcPr>
            <w:tcW w:w="11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39.08 </w:t>
            </w:r>
          </w:p>
        </w:tc>
        <w:tc>
          <w:tcPr>
            <w:tcW w:w="92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42.94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0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市场调查数据（市场交易数据）</w:t>
            </w:r>
          </w:p>
        </w:tc>
        <w:tc>
          <w:tcPr>
            <w:tcW w:w="90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44.75 </w:t>
            </w:r>
          </w:p>
        </w:tc>
        <w:tc>
          <w:tcPr>
            <w:tcW w:w="11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38.73 </w:t>
            </w:r>
          </w:p>
        </w:tc>
        <w:tc>
          <w:tcPr>
            <w:tcW w:w="92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 xml:space="preserve">43.00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05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rPr>
                <w:rFonts w:hint="default" w:ascii="Arial" w:hAnsi="Arial" w:eastAsia="华文细黑" w:cs="Arial"/>
                <w:sz w:val="18"/>
                <w:szCs w:val="18"/>
              </w:rPr>
            </w:pPr>
            <w:r>
              <w:rPr>
                <w:rFonts w:hint="default" w:ascii="Arial" w:hAnsi="Arial" w:eastAsia="华文细黑" w:cs="Arial"/>
                <w:sz w:val="18"/>
                <w:szCs w:val="18"/>
              </w:rPr>
              <w:t>平均租金</w:t>
            </w:r>
          </w:p>
        </w:tc>
        <w:tc>
          <w:tcPr>
            <w:tcW w:w="90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43.42</w:t>
            </w:r>
          </w:p>
        </w:tc>
        <w:tc>
          <w:tcPr>
            <w:tcW w:w="11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37.29</w:t>
            </w:r>
          </w:p>
        </w:tc>
        <w:tc>
          <w:tcPr>
            <w:tcW w:w="92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Arial" w:hAnsi="Arial" w:eastAsia="华文细黑" w:cs="Arial"/>
                <w:sz w:val="18"/>
                <w:szCs w:val="18"/>
                <w:lang w:val="en-US" w:eastAsia="zh-CN" w:bidi="ar-SA"/>
              </w:rPr>
            </w:pPr>
            <w:r>
              <w:rPr>
                <w:rFonts w:hint="default" w:ascii="Arial" w:hAnsi="Arial" w:eastAsia="华文细黑" w:cs="Arial"/>
                <w:sz w:val="18"/>
                <w:szCs w:val="18"/>
                <w:lang w:val="en-US" w:eastAsia="zh-CN" w:bidi="ar-SA"/>
              </w:rPr>
              <w:t>42.24</w:t>
            </w:r>
          </w:p>
        </w:tc>
      </w:tr>
    </w:tbl>
    <w:p>
      <w:pPr>
        <w:spacing w:before="22"/>
        <w:ind w:right="370"/>
        <w:rPr>
          <w:rFonts w:ascii="Arial" w:hAnsi="Arial" w:cs="Arial"/>
          <w:sz w:val="18"/>
        </w:rPr>
      </w:pPr>
      <w:r>
        <w:rPr>
          <w:rFonts w:ascii="Arial" w:hAnsi="Arial" w:cs="Arial"/>
          <w:sz w:val="18"/>
        </w:rPr>
        <w:t>单位：元</w:t>
      </w:r>
      <w:r>
        <w:rPr>
          <w:rFonts w:ascii="Arial" w:hAnsi="Arial" w:eastAsia="Times New Roman" w:cs="Arial"/>
          <w:sz w:val="18"/>
        </w:rPr>
        <w:t>/</w:t>
      </w:r>
      <w:r>
        <w:rPr>
          <w:rFonts w:ascii="Arial" w:hAnsi="Arial" w:cs="Arial"/>
          <w:sz w:val="18"/>
        </w:rPr>
        <w:t>平方米</w:t>
      </w:r>
      <w:r>
        <w:rPr>
          <w:rFonts w:ascii="Arial" w:hAnsi="Arial" w:eastAsia="Times New Roman" w:cs="Arial"/>
          <w:sz w:val="18"/>
        </w:rPr>
        <w:t>·</w:t>
      </w:r>
      <w:r>
        <w:rPr>
          <w:rFonts w:ascii="Arial" w:hAnsi="Arial" w:cs="Arial"/>
          <w:sz w:val="18"/>
        </w:rPr>
        <w:t>月</w:t>
      </w: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p>
    <w:p>
      <w:pPr>
        <w:spacing w:before="22"/>
        <w:ind w:right="370"/>
        <w:jc w:val="center"/>
        <w:rPr>
          <w:rFonts w:ascii="Arial" w:hAnsi="Arial" w:cs="Arial"/>
          <w:sz w:val="21"/>
          <w:szCs w:val="21"/>
        </w:rPr>
      </w:pPr>
      <w:r>
        <w:rPr>
          <w:rFonts w:ascii="Arial" w:hAnsi="Arial" w:cs="Arial"/>
          <w:sz w:val="21"/>
          <w:szCs w:val="21"/>
        </w:rPr>
        <w:t>可比实例外观照片</w:t>
      </w:r>
    </w:p>
    <w:p>
      <w:pPr>
        <w:pStyle w:val="11"/>
        <w:spacing w:before="4"/>
        <w:ind w:firstLine="630" w:firstLineChars="300"/>
        <w:rPr>
          <w:rFonts w:ascii="Arial" w:hAnsi="Arial" w:eastAsia="宋体" w:cs="Arial"/>
          <w:sz w:val="21"/>
          <w:szCs w:val="21"/>
        </w:rPr>
      </w:pPr>
      <w:r>
        <w:rPr>
          <w:rFonts w:hint="eastAsia" w:ascii="Arial" w:hAnsi="Arial" w:eastAsia="宋体" w:cs="Arial"/>
          <w:sz w:val="21"/>
          <w:szCs w:val="21"/>
        </w:rPr>
        <w:t>阳光邑上</w:t>
      </w:r>
      <w:r>
        <w:rPr>
          <w:rFonts w:hint="eastAsia" w:ascii="Arial" w:hAnsi="Arial" w:eastAsia="宋体" w:cs="Arial"/>
          <w:sz w:val="21"/>
          <w:szCs w:val="21"/>
          <w:lang w:val="en-US" w:eastAsia="zh-CN"/>
        </w:rPr>
        <w:t xml:space="preserve">                      </w:t>
      </w:r>
      <w:r>
        <w:rPr>
          <w:rFonts w:hint="eastAsia" w:ascii="Arial" w:hAnsi="Arial" w:eastAsia="宋体" w:cs="Arial"/>
          <w:sz w:val="21"/>
          <w:szCs w:val="21"/>
        </w:rPr>
        <w:t>昊文温泉家园</w:t>
      </w:r>
      <w:r>
        <w:rPr>
          <w:rFonts w:hint="eastAsia" w:ascii="Arial" w:hAnsi="Arial" w:eastAsia="宋体" w:cs="Arial"/>
          <w:sz w:val="21"/>
          <w:szCs w:val="21"/>
          <w:lang w:val="en-US" w:eastAsia="zh-CN"/>
        </w:rPr>
        <w:t xml:space="preserve">                    </w:t>
      </w:r>
      <w:r>
        <w:rPr>
          <w:rFonts w:hint="eastAsia" w:ascii="Arial" w:hAnsi="Arial" w:eastAsia="宋体" w:cs="Arial"/>
          <w:sz w:val="21"/>
          <w:szCs w:val="21"/>
        </w:rPr>
        <w:t>文化路社区</w:t>
      </w:r>
      <w:r>
        <w:rPr>
          <w:rFonts w:ascii="Arial" w:hAnsi="Arial" w:eastAsia="宋体" w:cs="Arial"/>
          <w:sz w:val="21"/>
          <w:szCs w:val="21"/>
        </w:rPr>
        <w:t xml:space="preserve">       </w:t>
      </w:r>
      <w:r>
        <w:rPr>
          <w:rFonts w:ascii="Arial" w:hAnsi="Arial" w:cs="Arial"/>
        </w:rPr>
        <w:t xml:space="preserve"> </w:t>
      </w:r>
      <w:r>
        <w:drawing>
          <wp:inline distT="0" distB="0" distL="114300" distR="114300">
            <wp:extent cx="1676400" cy="230505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6"/>
                    <a:stretch>
                      <a:fillRect/>
                    </a:stretch>
                  </pic:blipFill>
                  <pic:spPr>
                    <a:xfrm>
                      <a:off x="0" y="0"/>
                      <a:ext cx="1676400" cy="2305050"/>
                    </a:xfrm>
                    <a:prstGeom prst="rect">
                      <a:avLst/>
                    </a:prstGeom>
                    <a:noFill/>
                    <a:ln>
                      <a:noFill/>
                    </a:ln>
                  </pic:spPr>
                </pic:pic>
              </a:graphicData>
            </a:graphic>
          </wp:inline>
        </w:drawing>
      </w:r>
      <w:r>
        <w:rPr>
          <w:rFonts w:hint="eastAsia" w:ascii="Arial" w:hAnsi="Arial" w:cs="Arial"/>
        </w:rPr>
        <w:t xml:space="preserve"> </w:t>
      </w:r>
      <w:r>
        <w:rPr>
          <w:rFonts w:ascii="Arial" w:hAnsi="Arial" w:cs="Arial"/>
        </w:rPr>
        <w:t xml:space="preserve"> </w:t>
      </w:r>
      <w:r>
        <w:drawing>
          <wp:inline distT="0" distB="0" distL="114300" distR="114300">
            <wp:extent cx="1695450" cy="23241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7"/>
                    <a:stretch>
                      <a:fillRect/>
                    </a:stretch>
                  </pic:blipFill>
                  <pic:spPr>
                    <a:xfrm>
                      <a:off x="0" y="0"/>
                      <a:ext cx="1695450" cy="2324100"/>
                    </a:xfrm>
                    <a:prstGeom prst="rect">
                      <a:avLst/>
                    </a:prstGeom>
                    <a:noFill/>
                    <a:ln>
                      <a:noFill/>
                    </a:ln>
                  </pic:spPr>
                </pic:pic>
              </a:graphicData>
            </a:graphic>
          </wp:inline>
        </w:drawing>
      </w:r>
      <w:r>
        <w:rPr>
          <w:rFonts w:ascii="Arial" w:hAnsi="Arial" w:cs="Arial"/>
        </w:rPr>
        <w:t xml:space="preserve"> </w:t>
      </w:r>
      <w:r>
        <w:rPr>
          <w:rFonts w:hint="eastAsia" w:ascii="Arial" w:hAnsi="Arial" w:cs="Arial"/>
        </w:rPr>
        <w:t xml:space="preserve"> </w:t>
      </w:r>
      <w:r>
        <w:drawing>
          <wp:inline distT="0" distB="0" distL="114300" distR="114300">
            <wp:extent cx="1685925" cy="2305050"/>
            <wp:effectExtent l="0" t="0" r="952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8"/>
                    <a:stretch>
                      <a:fillRect/>
                    </a:stretch>
                  </pic:blipFill>
                  <pic:spPr>
                    <a:xfrm>
                      <a:off x="0" y="0"/>
                      <a:ext cx="1685925" cy="2305050"/>
                    </a:xfrm>
                    <a:prstGeom prst="rect">
                      <a:avLst/>
                    </a:prstGeom>
                    <a:noFill/>
                    <a:ln>
                      <a:noFill/>
                    </a:ln>
                  </pic:spPr>
                </pic:pic>
              </a:graphicData>
            </a:graphic>
          </wp:inline>
        </w:drawing>
      </w:r>
    </w:p>
    <w:p>
      <w:pPr>
        <w:pStyle w:val="11"/>
        <w:spacing w:before="4"/>
        <w:rPr>
          <w:rFonts w:ascii="Arial" w:hAnsi="Arial" w:eastAsia="宋体" w:cs="Arial"/>
          <w:sz w:val="21"/>
          <w:szCs w:val="21"/>
        </w:rPr>
      </w:pPr>
    </w:p>
    <w:p>
      <w:pPr>
        <w:pStyle w:val="40"/>
        <w:autoSpaceDE w:val="0"/>
        <w:autoSpaceDN w:val="0"/>
        <w:spacing w:line="480" w:lineRule="auto"/>
        <w:ind w:firstLine="420" w:firstLineChars="200"/>
        <w:textAlignment w:val="bottom"/>
        <w:rPr>
          <w:rFonts w:ascii="Arial" w:hAnsi="Arial" w:cs="Arial"/>
          <w:sz w:val="21"/>
          <w:szCs w:val="21"/>
        </w:rPr>
      </w:pPr>
      <w:r>
        <w:rPr>
          <w:rFonts w:hint="eastAsia" w:ascii="Arial" w:hAnsi="Arial" w:cs="Arial"/>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各小区物业费及供暖费如下：</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阳光邑上物业费</w:t>
      </w:r>
      <w:r>
        <w:rPr>
          <w:rFonts w:ascii="Arial" w:hAnsi="Arial" w:cs="Arial"/>
          <w:sz w:val="21"/>
          <w:szCs w:val="21"/>
        </w:rPr>
        <w:t>2.</w:t>
      </w:r>
      <w:r>
        <w:rPr>
          <w:rFonts w:hint="eastAsia" w:ascii="Arial" w:hAnsi="Arial" w:cs="Arial"/>
          <w:sz w:val="21"/>
          <w:szCs w:val="21"/>
          <w:lang w:val="en-US" w:eastAsia="zh-CN"/>
        </w:rPr>
        <w:t>98</w:t>
      </w:r>
      <w:r>
        <w:rPr>
          <w:rFonts w:hint="eastAsia" w:ascii="Arial" w:hAnsi="Arial" w:cs="Arial"/>
          <w:sz w:val="21"/>
          <w:szCs w:val="21"/>
        </w:rPr>
        <w:t>元/平方米•月，供暖费2.5元/平方米•月；</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昊文温泉家园物业费</w:t>
      </w:r>
      <w:r>
        <w:rPr>
          <w:rFonts w:hint="eastAsia" w:ascii="Arial" w:hAnsi="Arial" w:cs="Arial"/>
          <w:sz w:val="21"/>
          <w:szCs w:val="21"/>
          <w:lang w:val="en-US" w:eastAsia="zh-CN"/>
        </w:rPr>
        <w:t>0.5</w:t>
      </w:r>
      <w:r>
        <w:rPr>
          <w:rFonts w:hint="eastAsia" w:ascii="Arial" w:hAnsi="Arial" w:cs="Arial"/>
          <w:sz w:val="21"/>
          <w:szCs w:val="21"/>
        </w:rPr>
        <w:t>元/平方米•月，供暖费2.5元/平方米•月；</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文化路社区物业费</w:t>
      </w:r>
      <w:r>
        <w:rPr>
          <w:rFonts w:hint="eastAsia" w:ascii="Arial" w:hAnsi="Arial" w:cs="Arial"/>
          <w:sz w:val="21"/>
          <w:szCs w:val="21"/>
          <w:lang w:val="en-US" w:eastAsia="zh-CN"/>
        </w:rPr>
        <w:t>0.5</w:t>
      </w:r>
      <w:r>
        <w:rPr>
          <w:rFonts w:hint="eastAsia" w:ascii="Arial" w:hAnsi="Arial" w:cs="Arial"/>
          <w:sz w:val="21"/>
          <w:szCs w:val="21"/>
        </w:rPr>
        <w:t>元/平方米•月，供暖费2.5元/平方米•月；</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扣除物业费、供暖费的租金：</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阳光邑上平均租金=</w:t>
      </w:r>
      <w:r>
        <w:rPr>
          <w:rFonts w:hint="eastAsia" w:ascii="Arial" w:hAnsi="Arial" w:cs="Arial"/>
          <w:sz w:val="21"/>
          <w:szCs w:val="21"/>
          <w:lang w:val="en-US" w:eastAsia="zh-CN"/>
        </w:rPr>
        <w:t>43.42-2.98-2.5</w:t>
      </w:r>
      <w:r>
        <w:rPr>
          <w:rFonts w:hint="eastAsia" w:ascii="Arial" w:hAnsi="Arial" w:cs="Arial"/>
          <w:sz w:val="21"/>
          <w:szCs w:val="21"/>
        </w:rPr>
        <w:t>=</w:t>
      </w:r>
      <w:r>
        <w:rPr>
          <w:rFonts w:hint="eastAsia" w:ascii="Arial" w:hAnsi="Arial" w:cs="Arial"/>
          <w:sz w:val="21"/>
          <w:szCs w:val="21"/>
          <w:lang w:val="en-US" w:eastAsia="zh-CN"/>
        </w:rPr>
        <w:t>37.94</w:t>
      </w:r>
      <w:r>
        <w:rPr>
          <w:rFonts w:hint="eastAsia" w:ascii="Arial" w:hAnsi="Arial" w:cs="Arial"/>
          <w:sz w:val="21"/>
          <w:szCs w:val="21"/>
        </w:rPr>
        <w:t>（元/平方米•月） ；</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昊文温泉家园平均租金=</w:t>
      </w:r>
      <w:r>
        <w:rPr>
          <w:rFonts w:hint="eastAsia" w:ascii="Arial" w:hAnsi="Arial" w:cs="Arial"/>
          <w:sz w:val="21"/>
          <w:szCs w:val="21"/>
          <w:lang w:val="en-US" w:eastAsia="zh-CN"/>
        </w:rPr>
        <w:t>37.29-0.5-2.5</w:t>
      </w:r>
      <w:r>
        <w:rPr>
          <w:rFonts w:hint="eastAsia" w:ascii="Arial" w:hAnsi="Arial" w:cs="Arial"/>
          <w:sz w:val="21"/>
          <w:szCs w:val="21"/>
        </w:rPr>
        <w:t>=</w:t>
      </w:r>
      <w:r>
        <w:rPr>
          <w:rFonts w:hint="eastAsia" w:ascii="Arial" w:hAnsi="Arial" w:cs="Arial"/>
          <w:sz w:val="21"/>
          <w:szCs w:val="21"/>
          <w:lang w:val="en-US" w:eastAsia="zh-CN"/>
        </w:rPr>
        <w:t>34.29</w:t>
      </w:r>
      <w:r>
        <w:rPr>
          <w:rFonts w:hint="eastAsia" w:ascii="Arial" w:hAnsi="Arial" w:cs="Arial"/>
          <w:sz w:val="21"/>
          <w:szCs w:val="21"/>
        </w:rPr>
        <w:t>（元/平方米•月） ；</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文化路社区平均租金=</w:t>
      </w:r>
      <w:r>
        <w:rPr>
          <w:rFonts w:hint="eastAsia" w:ascii="Arial" w:hAnsi="Arial" w:cs="Arial"/>
          <w:sz w:val="21"/>
          <w:szCs w:val="21"/>
          <w:lang w:val="en-US" w:eastAsia="zh-CN"/>
        </w:rPr>
        <w:t>42.24-0.5-2.5</w:t>
      </w:r>
      <w:r>
        <w:rPr>
          <w:rFonts w:hint="eastAsia" w:ascii="Arial" w:hAnsi="Arial" w:cs="Arial"/>
          <w:sz w:val="21"/>
          <w:szCs w:val="21"/>
        </w:rPr>
        <w:t>=</w:t>
      </w:r>
      <w:r>
        <w:rPr>
          <w:rFonts w:hint="eastAsia" w:ascii="Arial" w:hAnsi="Arial" w:cs="Arial"/>
          <w:sz w:val="21"/>
          <w:szCs w:val="21"/>
          <w:lang w:val="en-US" w:eastAsia="zh-CN"/>
        </w:rPr>
        <w:t>39.24</w:t>
      </w:r>
      <w:r>
        <w:rPr>
          <w:rFonts w:hint="eastAsia" w:ascii="Arial" w:hAnsi="Arial" w:cs="Arial"/>
          <w:sz w:val="21"/>
          <w:szCs w:val="21"/>
        </w:rPr>
        <w:t>（元/平方米•月）；</w:t>
      </w:r>
    </w:p>
    <w:p>
      <w:pPr>
        <w:pStyle w:val="40"/>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即三个可比实例不含供暖费、物业费的月平均租金水平分别为</w:t>
      </w:r>
      <w:r>
        <w:rPr>
          <w:rFonts w:hint="eastAsia" w:ascii="Arial" w:hAnsi="Arial" w:cs="Arial"/>
          <w:sz w:val="21"/>
          <w:szCs w:val="21"/>
          <w:lang w:val="en-US" w:eastAsia="zh-CN"/>
        </w:rPr>
        <w:t>37.94</w:t>
      </w:r>
      <w:r>
        <w:rPr>
          <w:rFonts w:hint="eastAsia" w:ascii="Arial" w:hAnsi="Arial" w:cs="Arial"/>
          <w:sz w:val="21"/>
          <w:szCs w:val="21"/>
        </w:rPr>
        <w:t>元/平方米•月、</w:t>
      </w:r>
      <w:r>
        <w:rPr>
          <w:rFonts w:hint="eastAsia" w:ascii="Arial" w:hAnsi="Arial" w:cs="Arial"/>
          <w:sz w:val="21"/>
          <w:szCs w:val="21"/>
          <w:lang w:val="en-US" w:eastAsia="zh-CN"/>
        </w:rPr>
        <w:t>34.29</w:t>
      </w:r>
      <w:r>
        <w:rPr>
          <w:rFonts w:hint="eastAsia" w:ascii="Arial" w:hAnsi="Arial" w:cs="Arial"/>
          <w:sz w:val="21"/>
          <w:szCs w:val="21"/>
        </w:rPr>
        <w:t>元/平方米•月、</w:t>
      </w:r>
      <w:r>
        <w:rPr>
          <w:rFonts w:hint="eastAsia" w:ascii="Arial" w:hAnsi="Arial" w:cs="Arial"/>
          <w:sz w:val="21"/>
          <w:szCs w:val="21"/>
          <w:lang w:val="en-US" w:eastAsia="zh-CN"/>
        </w:rPr>
        <w:t>39.24</w:t>
      </w:r>
      <w:r>
        <w:rPr>
          <w:rFonts w:hint="eastAsia" w:ascii="Arial" w:hAnsi="Arial" w:cs="Arial"/>
          <w:sz w:val="21"/>
          <w:szCs w:val="21"/>
        </w:rPr>
        <w:t>元/平方米•月。</w:t>
      </w:r>
    </w:p>
    <w:p>
      <w:pPr>
        <w:pStyle w:val="17"/>
        <w:spacing w:line="480" w:lineRule="auto"/>
        <w:rPr>
          <w:rFonts w:ascii="Arial" w:hAnsi="Arial" w:eastAsia="宋体" w:cs="Arial"/>
          <w:sz w:val="21"/>
          <w:szCs w:val="21"/>
        </w:rPr>
      </w:pPr>
      <w:r>
        <w:rPr>
          <w:rFonts w:ascii="Arial" w:hAnsi="Arial" w:eastAsia="宋体" w:cs="Arial"/>
          <w:sz w:val="21"/>
          <w:szCs w:val="21"/>
        </w:rPr>
        <w:br w:type="page"/>
      </w:r>
      <w:r>
        <w:rPr>
          <w:rFonts w:ascii="Arial" w:hAnsi="Arial" w:eastAsia="宋体" w:cs="Arial"/>
          <w:sz w:val="21"/>
          <w:szCs w:val="21"/>
        </w:rPr>
        <w:t>（二） 比较法测算过程</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1.建立比较因素条件说明表 </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pPr>
        <w:overflowPunct w:val="0"/>
        <w:ind w:firstLine="420" w:firstLineChars="200"/>
        <w:jc w:val="center"/>
        <w:rPr>
          <w:rFonts w:ascii="Arial" w:hAnsi="Arial" w:cs="Arial"/>
          <w:sz w:val="21"/>
          <w:szCs w:val="21"/>
        </w:rPr>
      </w:pPr>
      <w:r>
        <w:rPr>
          <w:rFonts w:ascii="Arial" w:hAnsi="Arial" w:cs="Arial"/>
          <w:sz w:val="21"/>
          <w:szCs w:val="21"/>
        </w:rPr>
        <w:t>比较因素情况描述表</w:t>
      </w:r>
    </w:p>
    <w:tbl>
      <w:tblPr>
        <w:tblStyle w:val="32"/>
        <w:tblW w:w="9298" w:type="dxa"/>
        <w:jc w:val="center"/>
        <w:tblLayout w:type="autofit"/>
        <w:tblCellMar>
          <w:top w:w="57" w:type="dxa"/>
          <w:left w:w="57" w:type="dxa"/>
          <w:bottom w:w="57" w:type="dxa"/>
          <w:right w:w="57" w:type="dxa"/>
        </w:tblCellMar>
      </w:tblPr>
      <w:tblGrid>
        <w:gridCol w:w="679"/>
        <w:gridCol w:w="1542"/>
        <w:gridCol w:w="1769"/>
        <w:gridCol w:w="1769"/>
        <w:gridCol w:w="1769"/>
        <w:gridCol w:w="1770"/>
      </w:tblGrid>
      <w:tr>
        <w:tblPrEx>
          <w:tblCellMar>
            <w:top w:w="57" w:type="dxa"/>
            <w:left w:w="57" w:type="dxa"/>
            <w:bottom w:w="57" w:type="dxa"/>
            <w:right w:w="57" w:type="dxa"/>
          </w:tblCellMar>
        </w:tblPrEx>
        <w:trPr>
          <w:trHeight w:val="270" w:hRule="atLeast"/>
          <w:tblHeader/>
          <w:jc w:val="center"/>
        </w:trPr>
        <w:tc>
          <w:tcPr>
            <w:tcW w:w="1194"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项目</w:t>
            </w:r>
          </w:p>
        </w:tc>
        <w:tc>
          <w:tcPr>
            <w:tcW w:w="95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估价对象</w:t>
            </w:r>
          </w:p>
        </w:tc>
        <w:tc>
          <w:tcPr>
            <w:tcW w:w="95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可比实例1</w:t>
            </w:r>
          </w:p>
        </w:tc>
        <w:tc>
          <w:tcPr>
            <w:tcW w:w="95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可比实例2</w:t>
            </w:r>
          </w:p>
        </w:tc>
        <w:tc>
          <w:tcPr>
            <w:tcW w:w="95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可比实例3</w:t>
            </w:r>
          </w:p>
        </w:tc>
      </w:tr>
      <w:tr>
        <w:tblPrEx>
          <w:tblCellMar>
            <w:top w:w="57" w:type="dxa"/>
            <w:left w:w="57" w:type="dxa"/>
            <w:bottom w:w="57" w:type="dxa"/>
            <w:right w:w="57" w:type="dxa"/>
          </w:tblCellMar>
        </w:tblPrEx>
        <w:trPr>
          <w:trHeight w:val="256" w:hRule="atLeast"/>
          <w:tblHeader/>
          <w:jc w:val="center"/>
        </w:trPr>
        <w:tc>
          <w:tcPr>
            <w:tcW w:w="119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小区名称</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eastAsia="zh-CN"/>
              </w:rPr>
            </w:pPr>
            <w:r>
              <w:rPr>
                <w:rFonts w:hint="default" w:ascii="Arial" w:hAnsi="Arial" w:eastAsia="华文细黑" w:cs="Arial"/>
                <w:sz w:val="18"/>
                <w:szCs w:val="18"/>
              </w:rPr>
              <w:t>中建京西印玥</w:t>
            </w:r>
            <w:r>
              <w:rPr>
                <w:rFonts w:hint="default" w:ascii="Arial" w:hAnsi="Arial" w:eastAsia="华文细黑" w:cs="Arial"/>
                <w:sz w:val="18"/>
                <w:szCs w:val="18"/>
                <w:lang w:eastAsia="zh-CN"/>
              </w:rPr>
              <w:t>共有产权房</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阳光邑上</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昊文温泉家园</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文化路社区</w:t>
            </w:r>
          </w:p>
        </w:tc>
      </w:tr>
      <w:tr>
        <w:tblPrEx>
          <w:tblCellMar>
            <w:top w:w="57" w:type="dxa"/>
            <w:left w:w="57" w:type="dxa"/>
            <w:bottom w:w="57" w:type="dxa"/>
            <w:right w:w="57" w:type="dxa"/>
          </w:tblCellMar>
        </w:tblPrEx>
        <w:trPr>
          <w:trHeight w:val="270" w:hRule="atLeast"/>
          <w:tblHeader/>
          <w:jc w:val="center"/>
        </w:trPr>
        <w:tc>
          <w:tcPr>
            <w:tcW w:w="119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平均租金（元/平方米·月）</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待估</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37.94</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34.29</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39.24</w:t>
            </w:r>
          </w:p>
        </w:tc>
      </w:tr>
      <w:tr>
        <w:tblPrEx>
          <w:tblCellMar>
            <w:top w:w="57" w:type="dxa"/>
            <w:left w:w="57" w:type="dxa"/>
            <w:bottom w:w="57" w:type="dxa"/>
            <w:right w:w="57" w:type="dxa"/>
          </w:tblCellMar>
        </w:tblPrEx>
        <w:trPr>
          <w:trHeight w:val="495" w:hRule="atLeast"/>
          <w:jc w:val="center"/>
        </w:trPr>
        <w:tc>
          <w:tcPr>
            <w:tcW w:w="119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交易时间</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于价值时点过去12个月</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于价值时点过去12个月</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于价值时点过去12个月</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于价值时点过去12个月</w:t>
            </w:r>
          </w:p>
        </w:tc>
      </w:tr>
      <w:tr>
        <w:tblPrEx>
          <w:tblCellMar>
            <w:top w:w="57" w:type="dxa"/>
            <w:left w:w="57" w:type="dxa"/>
            <w:bottom w:w="57" w:type="dxa"/>
            <w:right w:w="57" w:type="dxa"/>
          </w:tblCellMar>
        </w:tblPrEx>
        <w:trPr>
          <w:trHeight w:val="270" w:hRule="atLeast"/>
          <w:jc w:val="center"/>
        </w:trPr>
        <w:tc>
          <w:tcPr>
            <w:tcW w:w="119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交易情况</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正常</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正常</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正常</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正常</w:t>
            </w:r>
          </w:p>
        </w:tc>
      </w:tr>
      <w:tr>
        <w:tblPrEx>
          <w:tblCellMar>
            <w:top w:w="57" w:type="dxa"/>
            <w:left w:w="57" w:type="dxa"/>
            <w:bottom w:w="57" w:type="dxa"/>
            <w:right w:w="57" w:type="dxa"/>
          </w:tblCellMar>
        </w:tblPrEx>
        <w:trPr>
          <w:trHeight w:val="2042" w:hRule="atLeast"/>
          <w:jc w:val="center"/>
        </w:trPr>
        <w:tc>
          <w:tcPr>
            <w:tcW w:w="365" w:type="pct"/>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区域状况</w:t>
            </w: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居住区成熟度</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估价对象周边有春和印象、绿地花都苑、原香小镇、安盛家园、世茂维拉、碧桂园小区等居住社区，居住小区规模较大，入住率较高，综合评价居住区成熟度较好。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可比实例1周边有东羊庄新村</w:t>
            </w:r>
            <w:r>
              <w:rPr>
                <w:rFonts w:hint="eastAsia" w:ascii="Arial" w:hAnsi="Arial" w:eastAsia="华文细黑" w:cs="Arial"/>
                <w:sz w:val="18"/>
                <w:szCs w:val="18"/>
                <w:lang w:eastAsia="zh-CN"/>
              </w:rPr>
              <w:t>社区</w:t>
            </w:r>
            <w:r>
              <w:rPr>
                <w:rFonts w:hint="default" w:ascii="Arial" w:hAnsi="Arial" w:eastAsia="华文细黑" w:cs="Arial"/>
                <w:sz w:val="18"/>
                <w:szCs w:val="18"/>
              </w:rPr>
              <w:t>、昊天伟业嘉园、玉竹东路小区、中建学府印悦、等居住小区，居住小区规模较大，入住率较高，综合评价居住区成熟度较好。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可比实例2周边有东关家园</w:t>
            </w:r>
            <w:r>
              <w:rPr>
                <w:rFonts w:hint="eastAsia" w:ascii="Arial" w:hAnsi="Arial" w:eastAsia="华文细黑" w:cs="Arial"/>
                <w:sz w:val="18"/>
                <w:szCs w:val="18"/>
                <w:lang w:eastAsia="zh-CN"/>
              </w:rPr>
              <w:t>社区</w:t>
            </w:r>
            <w:r>
              <w:rPr>
                <w:rFonts w:hint="default" w:ascii="Arial" w:hAnsi="Arial" w:eastAsia="华文细黑" w:cs="Arial"/>
                <w:sz w:val="18"/>
                <w:szCs w:val="18"/>
              </w:rPr>
              <w:t>、文化路</w:t>
            </w:r>
            <w:r>
              <w:rPr>
                <w:rFonts w:hint="eastAsia" w:ascii="Arial" w:hAnsi="Arial" w:eastAsia="华文细黑" w:cs="Arial"/>
                <w:sz w:val="18"/>
                <w:szCs w:val="18"/>
                <w:lang w:eastAsia="zh-CN"/>
              </w:rPr>
              <w:t>社区</w:t>
            </w:r>
            <w:r>
              <w:rPr>
                <w:rFonts w:hint="default" w:ascii="Arial" w:hAnsi="Arial" w:eastAsia="华文细黑" w:cs="Arial"/>
                <w:sz w:val="18"/>
                <w:szCs w:val="18"/>
              </w:rPr>
              <w:t>、四合巷小区、建设巷小区、华典家园等居住小区，居住小区规模较大，入住率较高，综合评价居住区成熟度较好。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可比实例3周边有昊文温泉家园、富水良嘉园、拱辰家园</w:t>
            </w:r>
            <w:r>
              <w:rPr>
                <w:rFonts w:hint="eastAsia" w:ascii="Arial" w:hAnsi="Arial" w:eastAsia="华文细黑" w:cs="Arial"/>
                <w:sz w:val="18"/>
                <w:szCs w:val="18"/>
                <w:lang w:eastAsia="zh-CN"/>
              </w:rPr>
              <w:t>、华典家园</w:t>
            </w:r>
            <w:r>
              <w:rPr>
                <w:rFonts w:hint="default" w:ascii="Arial" w:hAnsi="Arial" w:eastAsia="华文细黑" w:cs="Arial"/>
                <w:sz w:val="18"/>
                <w:szCs w:val="18"/>
              </w:rPr>
              <w:t>等居住小区，居住小区规模较大，入住率较高，综合评价居住区成熟度较好。</w:t>
            </w:r>
          </w:p>
        </w:tc>
      </w:tr>
      <w:tr>
        <w:tblPrEx>
          <w:tblCellMar>
            <w:top w:w="57" w:type="dxa"/>
            <w:left w:w="57" w:type="dxa"/>
            <w:bottom w:w="57" w:type="dxa"/>
            <w:right w:w="57" w:type="dxa"/>
          </w:tblCellMar>
        </w:tblPrEx>
        <w:trPr>
          <w:trHeight w:val="281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交通条件</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估价对象所属项目东侧距离城市次干道—阳光北大街约200米，周边有956路、F28路、F2路外环、F34路、F35路、F51路、F85路、快速直达专线187路等多条公交线路途径并设有站点，距地铁房山线（广阳城站）直线距离约1.6公里，综合评价交通便捷度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可比实例1</w:t>
            </w:r>
            <w:r>
              <w:rPr>
                <w:rFonts w:hint="eastAsia" w:ascii="Arial" w:hAnsi="Arial" w:eastAsia="华文细黑" w:cs="Arial"/>
                <w:sz w:val="18"/>
                <w:szCs w:val="18"/>
                <w:lang w:eastAsia="zh-CN"/>
              </w:rPr>
              <w:t>紧邻城市支路—玉竹园东街，</w:t>
            </w:r>
            <w:r>
              <w:rPr>
                <w:rFonts w:hint="default" w:ascii="Arial" w:hAnsi="Arial" w:eastAsia="华文细黑" w:cs="Arial"/>
                <w:sz w:val="18"/>
                <w:szCs w:val="18"/>
              </w:rPr>
              <w:t>周边有895路</w:t>
            </w:r>
            <w:r>
              <w:rPr>
                <w:rFonts w:hint="eastAsia" w:ascii="Arial" w:hAnsi="Arial" w:eastAsia="华文细黑" w:cs="Arial"/>
                <w:sz w:val="18"/>
                <w:szCs w:val="18"/>
                <w:lang w:eastAsia="zh-CN"/>
              </w:rPr>
              <w:t>、</w:t>
            </w:r>
            <w:r>
              <w:rPr>
                <w:rFonts w:hint="default" w:ascii="Arial" w:hAnsi="Arial" w:eastAsia="华文细黑" w:cs="Arial"/>
                <w:sz w:val="18"/>
                <w:szCs w:val="18"/>
              </w:rPr>
              <w:t>934路</w:t>
            </w:r>
            <w:r>
              <w:rPr>
                <w:rFonts w:hint="eastAsia" w:ascii="Arial" w:hAnsi="Arial" w:eastAsia="华文细黑" w:cs="Arial"/>
                <w:sz w:val="18"/>
                <w:szCs w:val="18"/>
                <w:lang w:eastAsia="zh-CN"/>
              </w:rPr>
              <w:t>、</w:t>
            </w:r>
            <w:r>
              <w:rPr>
                <w:rFonts w:hint="default" w:ascii="Arial" w:hAnsi="Arial" w:eastAsia="华文细黑" w:cs="Arial"/>
                <w:sz w:val="18"/>
                <w:szCs w:val="18"/>
              </w:rPr>
              <w:t>F1路内环</w:t>
            </w:r>
            <w:r>
              <w:rPr>
                <w:rFonts w:hint="eastAsia" w:ascii="Arial" w:hAnsi="Arial" w:eastAsia="华文细黑" w:cs="Arial"/>
                <w:sz w:val="18"/>
                <w:szCs w:val="18"/>
                <w:lang w:eastAsia="zh-CN"/>
              </w:rPr>
              <w:t>、</w:t>
            </w:r>
            <w:r>
              <w:rPr>
                <w:rFonts w:hint="default" w:ascii="Arial" w:hAnsi="Arial" w:eastAsia="华文细黑" w:cs="Arial"/>
                <w:sz w:val="18"/>
                <w:szCs w:val="18"/>
              </w:rPr>
              <w:t>F1路外环</w:t>
            </w:r>
            <w:r>
              <w:rPr>
                <w:rFonts w:hint="eastAsia" w:ascii="Arial" w:hAnsi="Arial" w:eastAsia="华文细黑" w:cs="Arial"/>
                <w:sz w:val="18"/>
                <w:szCs w:val="18"/>
                <w:lang w:eastAsia="zh-CN"/>
              </w:rPr>
              <w:t>、</w:t>
            </w:r>
            <w:r>
              <w:rPr>
                <w:rFonts w:hint="default" w:ascii="Arial" w:hAnsi="Arial" w:eastAsia="华文细黑" w:cs="Arial"/>
                <w:sz w:val="18"/>
                <w:szCs w:val="18"/>
              </w:rPr>
              <w:t>F28路</w:t>
            </w:r>
            <w:r>
              <w:rPr>
                <w:rFonts w:hint="eastAsia" w:ascii="Arial" w:hAnsi="Arial" w:eastAsia="华文细黑" w:cs="Arial"/>
                <w:sz w:val="18"/>
                <w:szCs w:val="18"/>
                <w:lang w:eastAsia="zh-CN"/>
              </w:rPr>
              <w:t>、</w:t>
            </w:r>
            <w:r>
              <w:rPr>
                <w:rFonts w:hint="default" w:ascii="Arial" w:hAnsi="Arial" w:eastAsia="华文细黑" w:cs="Arial"/>
                <w:sz w:val="18"/>
                <w:szCs w:val="18"/>
              </w:rPr>
              <w:t>快速直达专线176路 等</w:t>
            </w:r>
            <w:r>
              <w:rPr>
                <w:rFonts w:hint="eastAsia" w:ascii="Arial" w:hAnsi="Arial" w:eastAsia="华文细黑" w:cs="Arial"/>
                <w:sz w:val="18"/>
                <w:szCs w:val="18"/>
                <w:lang w:eastAsia="zh-CN"/>
              </w:rPr>
              <w:t>多条</w:t>
            </w:r>
            <w:r>
              <w:rPr>
                <w:rFonts w:hint="default" w:ascii="Arial" w:hAnsi="Arial" w:eastAsia="华文细黑" w:cs="Arial"/>
                <w:sz w:val="18"/>
                <w:szCs w:val="18"/>
              </w:rPr>
              <w:t>公交线路</w:t>
            </w:r>
            <w:r>
              <w:rPr>
                <w:rFonts w:hint="eastAsia" w:ascii="Arial" w:hAnsi="Arial" w:eastAsia="华文细黑" w:cs="Arial"/>
                <w:sz w:val="18"/>
                <w:szCs w:val="18"/>
                <w:lang w:eastAsia="zh-CN"/>
              </w:rPr>
              <w:t>途经并设有站点</w:t>
            </w:r>
            <w:r>
              <w:rPr>
                <w:rFonts w:hint="default" w:ascii="Arial" w:hAnsi="Arial" w:eastAsia="华文细黑" w:cs="Arial"/>
                <w:sz w:val="18"/>
                <w:szCs w:val="18"/>
              </w:rPr>
              <w:t>，距地铁房山线（</w:t>
            </w:r>
            <w:r>
              <w:rPr>
                <w:rFonts w:hint="eastAsia" w:ascii="Arial" w:hAnsi="Arial" w:eastAsia="华文细黑" w:cs="Arial"/>
                <w:sz w:val="18"/>
                <w:szCs w:val="18"/>
                <w:lang w:eastAsia="zh-CN"/>
              </w:rPr>
              <w:t>良乡大学城西站</w:t>
            </w:r>
            <w:r>
              <w:rPr>
                <w:rFonts w:hint="eastAsia" w:ascii="Arial" w:hAnsi="Arial" w:eastAsia="华文细黑" w:cs="Arial"/>
                <w:sz w:val="18"/>
                <w:szCs w:val="18"/>
                <w:lang w:val="en-US" w:eastAsia="zh-CN"/>
              </w:rPr>
              <w:t>800米</w:t>
            </w:r>
            <w:r>
              <w:rPr>
                <w:rFonts w:hint="default" w:ascii="Arial" w:hAnsi="Arial" w:eastAsia="华文细黑" w:cs="Arial"/>
                <w:sz w:val="18"/>
                <w:szCs w:val="18"/>
              </w:rPr>
              <w:t>，综合评价交通便捷度较好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可比实例2</w:t>
            </w:r>
            <w:r>
              <w:rPr>
                <w:rFonts w:hint="eastAsia" w:ascii="Arial" w:hAnsi="Arial" w:eastAsia="华文细黑" w:cs="Arial"/>
                <w:sz w:val="18"/>
                <w:szCs w:val="18"/>
                <w:lang w:eastAsia="zh-CN"/>
              </w:rPr>
              <w:t>紧邻城市支路—昊天大街，</w:t>
            </w:r>
            <w:r>
              <w:rPr>
                <w:rFonts w:hint="default" w:ascii="Arial" w:hAnsi="Arial" w:eastAsia="华文细黑" w:cs="Arial"/>
                <w:sz w:val="18"/>
                <w:szCs w:val="18"/>
              </w:rPr>
              <w:t>周边有616路</w:t>
            </w:r>
            <w:r>
              <w:rPr>
                <w:rFonts w:hint="eastAsia" w:ascii="Arial" w:hAnsi="Arial" w:eastAsia="华文细黑" w:cs="Arial"/>
                <w:sz w:val="18"/>
                <w:szCs w:val="18"/>
                <w:lang w:eastAsia="zh-CN"/>
              </w:rPr>
              <w:t>、</w:t>
            </w:r>
            <w:r>
              <w:rPr>
                <w:rFonts w:hint="default" w:ascii="Arial" w:hAnsi="Arial" w:eastAsia="华文细黑" w:cs="Arial"/>
                <w:sz w:val="18"/>
                <w:szCs w:val="18"/>
              </w:rPr>
              <w:t xml:space="preserve">646路 </w:t>
            </w:r>
            <w:r>
              <w:rPr>
                <w:rFonts w:hint="eastAsia" w:ascii="Arial" w:hAnsi="Arial" w:eastAsia="华文细黑" w:cs="Arial"/>
                <w:sz w:val="18"/>
                <w:szCs w:val="18"/>
                <w:lang w:eastAsia="zh-CN"/>
              </w:rPr>
              <w:t>、</w:t>
            </w:r>
            <w:r>
              <w:rPr>
                <w:rFonts w:hint="default" w:ascii="Arial" w:hAnsi="Arial" w:eastAsia="华文细黑" w:cs="Arial"/>
                <w:sz w:val="18"/>
                <w:szCs w:val="18"/>
              </w:rPr>
              <w:t>895路</w:t>
            </w:r>
            <w:r>
              <w:rPr>
                <w:rFonts w:hint="eastAsia" w:ascii="Arial" w:hAnsi="Arial" w:eastAsia="华文细黑" w:cs="Arial"/>
                <w:sz w:val="18"/>
                <w:szCs w:val="18"/>
                <w:lang w:eastAsia="zh-CN"/>
              </w:rPr>
              <w:t>、</w:t>
            </w:r>
            <w:r>
              <w:rPr>
                <w:rFonts w:hint="default" w:ascii="Arial" w:hAnsi="Arial" w:eastAsia="华文细黑" w:cs="Arial"/>
                <w:sz w:val="18"/>
                <w:szCs w:val="18"/>
              </w:rPr>
              <w:t>896路</w:t>
            </w:r>
            <w:r>
              <w:rPr>
                <w:rFonts w:hint="eastAsia" w:ascii="Arial" w:hAnsi="Arial" w:eastAsia="华文细黑" w:cs="Arial"/>
                <w:sz w:val="18"/>
                <w:szCs w:val="18"/>
                <w:lang w:eastAsia="zh-CN"/>
              </w:rPr>
              <w:t>、</w:t>
            </w:r>
            <w:r>
              <w:rPr>
                <w:rFonts w:hint="default" w:ascii="Arial" w:hAnsi="Arial" w:eastAsia="华文细黑" w:cs="Arial"/>
                <w:sz w:val="18"/>
                <w:szCs w:val="18"/>
              </w:rPr>
              <w:t>901路</w:t>
            </w:r>
            <w:r>
              <w:rPr>
                <w:rFonts w:hint="eastAsia" w:ascii="Arial" w:hAnsi="Arial" w:eastAsia="华文细黑" w:cs="Arial"/>
                <w:sz w:val="18"/>
                <w:szCs w:val="18"/>
                <w:lang w:eastAsia="zh-CN"/>
              </w:rPr>
              <w:t>、</w:t>
            </w:r>
            <w:r>
              <w:rPr>
                <w:rFonts w:hint="default" w:ascii="Arial" w:hAnsi="Arial" w:eastAsia="华文细黑" w:cs="Arial"/>
                <w:sz w:val="18"/>
                <w:szCs w:val="18"/>
              </w:rPr>
              <w:t>934路</w:t>
            </w:r>
            <w:r>
              <w:rPr>
                <w:rFonts w:hint="eastAsia" w:ascii="Arial" w:hAnsi="Arial" w:eastAsia="华文细黑" w:cs="Arial"/>
                <w:sz w:val="18"/>
                <w:szCs w:val="18"/>
                <w:lang w:eastAsia="zh-CN"/>
              </w:rPr>
              <w:t>、</w:t>
            </w:r>
            <w:r>
              <w:rPr>
                <w:rFonts w:hint="default" w:ascii="Arial" w:hAnsi="Arial" w:eastAsia="华文细黑" w:cs="Arial"/>
                <w:sz w:val="18"/>
                <w:szCs w:val="18"/>
              </w:rPr>
              <w:t>951路</w:t>
            </w:r>
            <w:r>
              <w:rPr>
                <w:rFonts w:hint="eastAsia" w:ascii="Arial" w:hAnsi="Arial" w:eastAsia="华文细黑" w:cs="Arial"/>
                <w:sz w:val="18"/>
                <w:szCs w:val="18"/>
                <w:lang w:eastAsia="zh-CN"/>
              </w:rPr>
              <w:t>、</w:t>
            </w:r>
            <w:r>
              <w:rPr>
                <w:rFonts w:hint="default" w:ascii="Arial" w:hAnsi="Arial" w:eastAsia="华文细黑" w:cs="Arial"/>
                <w:sz w:val="18"/>
                <w:szCs w:val="18"/>
              </w:rPr>
              <w:t>956路</w:t>
            </w:r>
            <w:r>
              <w:rPr>
                <w:rFonts w:hint="eastAsia" w:ascii="Arial" w:hAnsi="Arial" w:eastAsia="华文细黑" w:cs="Arial"/>
                <w:sz w:val="18"/>
                <w:szCs w:val="18"/>
                <w:lang w:eastAsia="zh-CN"/>
              </w:rPr>
              <w:t>、</w:t>
            </w:r>
            <w:r>
              <w:rPr>
                <w:rFonts w:hint="default" w:ascii="Arial" w:hAnsi="Arial" w:eastAsia="华文细黑" w:cs="Arial"/>
                <w:sz w:val="18"/>
                <w:szCs w:val="18"/>
              </w:rPr>
              <w:t>971路等</w:t>
            </w:r>
            <w:r>
              <w:rPr>
                <w:rFonts w:hint="eastAsia" w:ascii="Arial" w:hAnsi="Arial" w:eastAsia="华文细黑" w:cs="Arial"/>
                <w:sz w:val="18"/>
                <w:szCs w:val="18"/>
                <w:lang w:eastAsia="zh-CN"/>
              </w:rPr>
              <w:t>十余条</w:t>
            </w:r>
            <w:r>
              <w:rPr>
                <w:rFonts w:hint="default" w:ascii="Arial" w:hAnsi="Arial" w:eastAsia="华文细黑" w:cs="Arial"/>
                <w:sz w:val="18"/>
                <w:szCs w:val="18"/>
              </w:rPr>
              <w:t>公交线路</w:t>
            </w:r>
            <w:r>
              <w:rPr>
                <w:rFonts w:hint="eastAsia" w:ascii="Arial" w:hAnsi="Arial" w:eastAsia="华文细黑" w:cs="Arial"/>
                <w:sz w:val="18"/>
                <w:szCs w:val="18"/>
                <w:lang w:eastAsia="zh-CN"/>
              </w:rPr>
              <w:t>途经并设有站点</w:t>
            </w:r>
            <w:r>
              <w:rPr>
                <w:rFonts w:hint="default" w:ascii="Arial" w:hAnsi="Arial" w:eastAsia="华文细黑" w:cs="Arial"/>
                <w:sz w:val="18"/>
                <w:szCs w:val="18"/>
              </w:rPr>
              <w:t>，距地铁房山线（</w:t>
            </w:r>
            <w:r>
              <w:rPr>
                <w:rFonts w:hint="eastAsia" w:ascii="Arial" w:hAnsi="Arial" w:eastAsia="华文细黑" w:cs="Arial"/>
                <w:sz w:val="18"/>
                <w:szCs w:val="18"/>
                <w:lang w:eastAsia="zh-CN"/>
              </w:rPr>
              <w:t>良乡大学城西站</w:t>
            </w:r>
            <w:r>
              <w:rPr>
                <w:rFonts w:hint="default" w:ascii="Arial" w:hAnsi="Arial" w:eastAsia="华文细黑" w:cs="Arial"/>
                <w:sz w:val="18"/>
                <w:szCs w:val="18"/>
              </w:rPr>
              <w:t>）直线距离约1.</w:t>
            </w:r>
            <w:r>
              <w:rPr>
                <w:rFonts w:hint="eastAsia" w:ascii="Arial" w:hAnsi="Arial" w:eastAsia="华文细黑" w:cs="Arial"/>
                <w:sz w:val="18"/>
                <w:szCs w:val="18"/>
                <w:lang w:val="en-US" w:eastAsia="zh-CN"/>
              </w:rPr>
              <w:t>4</w:t>
            </w:r>
            <w:r>
              <w:rPr>
                <w:rFonts w:hint="default" w:ascii="Arial" w:hAnsi="Arial" w:eastAsia="华文细黑" w:cs="Arial"/>
                <w:sz w:val="18"/>
                <w:szCs w:val="18"/>
              </w:rPr>
              <w:t>公里，综合评价交通便捷度较好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可比实例3</w:t>
            </w:r>
            <w:r>
              <w:rPr>
                <w:rFonts w:hint="eastAsia" w:ascii="Arial" w:hAnsi="Arial" w:eastAsia="华文细黑" w:cs="Arial"/>
                <w:sz w:val="18"/>
                <w:szCs w:val="18"/>
                <w:lang w:eastAsia="zh-CN"/>
              </w:rPr>
              <w:t>紧邻城市支路—文化路，</w:t>
            </w:r>
            <w:r>
              <w:rPr>
                <w:rFonts w:hint="default" w:ascii="Arial" w:hAnsi="Arial" w:eastAsia="华文细黑" w:cs="Arial"/>
                <w:sz w:val="18"/>
                <w:szCs w:val="18"/>
              </w:rPr>
              <w:t>周边有616路</w:t>
            </w:r>
            <w:r>
              <w:rPr>
                <w:rFonts w:hint="eastAsia" w:ascii="Arial" w:hAnsi="Arial" w:eastAsia="华文细黑" w:cs="Arial"/>
                <w:sz w:val="18"/>
                <w:szCs w:val="18"/>
                <w:lang w:eastAsia="zh-CN"/>
              </w:rPr>
              <w:t>、</w:t>
            </w:r>
            <w:r>
              <w:rPr>
                <w:rFonts w:hint="default" w:ascii="Arial" w:hAnsi="Arial" w:eastAsia="华文细黑" w:cs="Arial"/>
                <w:sz w:val="18"/>
                <w:szCs w:val="18"/>
              </w:rPr>
              <w:t xml:space="preserve">646路 </w:t>
            </w:r>
            <w:r>
              <w:rPr>
                <w:rFonts w:hint="eastAsia" w:ascii="Arial" w:hAnsi="Arial" w:eastAsia="华文细黑" w:cs="Arial"/>
                <w:sz w:val="18"/>
                <w:szCs w:val="18"/>
                <w:lang w:eastAsia="zh-CN"/>
              </w:rPr>
              <w:t>、</w:t>
            </w:r>
            <w:r>
              <w:rPr>
                <w:rFonts w:hint="default" w:ascii="Arial" w:hAnsi="Arial" w:eastAsia="华文细黑" w:cs="Arial"/>
                <w:sz w:val="18"/>
                <w:szCs w:val="18"/>
              </w:rPr>
              <w:t>895路</w:t>
            </w:r>
            <w:r>
              <w:rPr>
                <w:rFonts w:hint="eastAsia" w:ascii="Arial" w:hAnsi="Arial" w:eastAsia="华文细黑" w:cs="Arial"/>
                <w:sz w:val="18"/>
                <w:szCs w:val="18"/>
                <w:lang w:eastAsia="zh-CN"/>
              </w:rPr>
              <w:t>、</w:t>
            </w:r>
            <w:r>
              <w:rPr>
                <w:rFonts w:hint="default" w:ascii="Arial" w:hAnsi="Arial" w:eastAsia="华文细黑" w:cs="Arial"/>
                <w:sz w:val="18"/>
                <w:szCs w:val="18"/>
              </w:rPr>
              <w:t>896路</w:t>
            </w:r>
            <w:r>
              <w:rPr>
                <w:rFonts w:hint="eastAsia" w:ascii="Arial" w:hAnsi="Arial" w:eastAsia="华文细黑" w:cs="Arial"/>
                <w:sz w:val="18"/>
                <w:szCs w:val="18"/>
                <w:lang w:eastAsia="zh-CN"/>
              </w:rPr>
              <w:t>、</w:t>
            </w:r>
            <w:r>
              <w:rPr>
                <w:rFonts w:hint="default" w:ascii="Arial" w:hAnsi="Arial" w:eastAsia="华文细黑" w:cs="Arial"/>
                <w:sz w:val="18"/>
                <w:szCs w:val="18"/>
              </w:rPr>
              <w:t>901路</w:t>
            </w:r>
            <w:r>
              <w:rPr>
                <w:rFonts w:hint="eastAsia" w:ascii="Arial" w:hAnsi="Arial" w:eastAsia="华文细黑" w:cs="Arial"/>
                <w:sz w:val="18"/>
                <w:szCs w:val="18"/>
                <w:lang w:eastAsia="zh-CN"/>
              </w:rPr>
              <w:t>、</w:t>
            </w:r>
            <w:r>
              <w:rPr>
                <w:rFonts w:hint="default" w:ascii="Arial" w:hAnsi="Arial" w:eastAsia="华文细黑" w:cs="Arial"/>
                <w:sz w:val="18"/>
                <w:szCs w:val="18"/>
              </w:rPr>
              <w:t>934路</w:t>
            </w:r>
            <w:r>
              <w:rPr>
                <w:rFonts w:hint="eastAsia" w:ascii="Arial" w:hAnsi="Arial" w:eastAsia="华文细黑" w:cs="Arial"/>
                <w:sz w:val="18"/>
                <w:szCs w:val="18"/>
                <w:lang w:eastAsia="zh-CN"/>
              </w:rPr>
              <w:t>、</w:t>
            </w:r>
            <w:r>
              <w:rPr>
                <w:rFonts w:hint="default" w:ascii="Arial" w:hAnsi="Arial" w:eastAsia="华文细黑" w:cs="Arial"/>
                <w:sz w:val="18"/>
                <w:szCs w:val="18"/>
              </w:rPr>
              <w:t>951路</w:t>
            </w:r>
            <w:r>
              <w:rPr>
                <w:rFonts w:hint="eastAsia" w:ascii="Arial" w:hAnsi="Arial" w:eastAsia="华文细黑" w:cs="Arial"/>
                <w:sz w:val="18"/>
                <w:szCs w:val="18"/>
                <w:lang w:eastAsia="zh-CN"/>
              </w:rPr>
              <w:t>、</w:t>
            </w:r>
            <w:r>
              <w:rPr>
                <w:rFonts w:hint="default" w:ascii="Arial" w:hAnsi="Arial" w:eastAsia="华文细黑" w:cs="Arial"/>
                <w:sz w:val="18"/>
                <w:szCs w:val="18"/>
              </w:rPr>
              <w:t>956路</w:t>
            </w:r>
            <w:r>
              <w:rPr>
                <w:rFonts w:hint="eastAsia" w:ascii="Arial" w:hAnsi="Arial" w:eastAsia="华文细黑" w:cs="Arial"/>
                <w:sz w:val="18"/>
                <w:szCs w:val="18"/>
                <w:lang w:eastAsia="zh-CN"/>
              </w:rPr>
              <w:t>、</w:t>
            </w:r>
            <w:r>
              <w:rPr>
                <w:rFonts w:hint="default" w:ascii="Arial" w:hAnsi="Arial" w:eastAsia="华文细黑" w:cs="Arial"/>
                <w:sz w:val="18"/>
                <w:szCs w:val="18"/>
              </w:rPr>
              <w:t>971路等</w:t>
            </w:r>
            <w:r>
              <w:rPr>
                <w:rFonts w:hint="eastAsia" w:ascii="Arial" w:hAnsi="Arial" w:eastAsia="华文细黑" w:cs="Arial"/>
                <w:sz w:val="18"/>
                <w:szCs w:val="18"/>
                <w:lang w:eastAsia="zh-CN"/>
              </w:rPr>
              <w:t>十余条</w:t>
            </w:r>
            <w:r>
              <w:rPr>
                <w:rFonts w:hint="default" w:ascii="Arial" w:hAnsi="Arial" w:eastAsia="华文细黑" w:cs="Arial"/>
                <w:sz w:val="18"/>
                <w:szCs w:val="18"/>
              </w:rPr>
              <w:t>公交线路</w:t>
            </w:r>
            <w:r>
              <w:rPr>
                <w:rFonts w:hint="eastAsia" w:ascii="Arial" w:hAnsi="Arial" w:eastAsia="华文细黑" w:cs="Arial"/>
                <w:sz w:val="18"/>
                <w:szCs w:val="18"/>
                <w:lang w:eastAsia="zh-CN"/>
              </w:rPr>
              <w:t>途经并设有站点</w:t>
            </w:r>
            <w:r>
              <w:rPr>
                <w:rFonts w:hint="default" w:ascii="Arial" w:hAnsi="Arial" w:eastAsia="华文细黑" w:cs="Arial"/>
                <w:sz w:val="18"/>
                <w:szCs w:val="18"/>
              </w:rPr>
              <w:t>，距地铁房山线（</w:t>
            </w:r>
            <w:r>
              <w:rPr>
                <w:rFonts w:hint="eastAsia" w:ascii="Arial" w:hAnsi="Arial" w:eastAsia="华文细黑" w:cs="Arial"/>
                <w:sz w:val="18"/>
                <w:szCs w:val="18"/>
                <w:lang w:eastAsia="zh-CN"/>
              </w:rPr>
              <w:t>良乡南关站</w:t>
            </w:r>
            <w:r>
              <w:rPr>
                <w:rFonts w:hint="default" w:ascii="Arial" w:hAnsi="Arial" w:eastAsia="华文细黑" w:cs="Arial"/>
                <w:sz w:val="18"/>
                <w:szCs w:val="18"/>
              </w:rPr>
              <w:t>）直线距离约1.</w:t>
            </w:r>
            <w:r>
              <w:rPr>
                <w:rFonts w:hint="eastAsia" w:ascii="Arial" w:hAnsi="Arial" w:eastAsia="华文细黑" w:cs="Arial"/>
                <w:sz w:val="18"/>
                <w:szCs w:val="18"/>
                <w:lang w:val="en-US" w:eastAsia="zh-CN"/>
              </w:rPr>
              <w:t>2</w:t>
            </w:r>
            <w:r>
              <w:rPr>
                <w:rFonts w:hint="default" w:ascii="Arial" w:hAnsi="Arial" w:eastAsia="华文细黑" w:cs="Arial"/>
                <w:sz w:val="18"/>
                <w:szCs w:val="18"/>
              </w:rPr>
              <w:t>公里，综合评价交通便捷度较好。</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商业设施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以估价对象为中心2公里范围内有绿地缤纷城、永辉超市、华联超市等商业服务设施，商业设施较齐备。</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可比实例1周边国泰良辰百货、国泰百货</w:t>
            </w:r>
            <w:r>
              <w:rPr>
                <w:rFonts w:hint="eastAsia" w:ascii="Arial" w:hAnsi="Arial" w:eastAsia="华文细黑" w:cs="Arial"/>
                <w:sz w:val="18"/>
                <w:szCs w:val="18"/>
                <w:lang w:eastAsia="zh-CN"/>
              </w:rPr>
              <w:t>、h.+连锁超市</w:t>
            </w:r>
            <w:r>
              <w:rPr>
                <w:rFonts w:hint="default" w:ascii="Arial" w:hAnsi="Arial" w:eastAsia="华文细黑" w:cs="Arial"/>
                <w:sz w:val="18"/>
                <w:szCs w:val="18"/>
              </w:rPr>
              <w:t>等，商业设施较齐备。</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可比实例2周边有国泰良辰百货、国泰百货</w:t>
            </w:r>
            <w:r>
              <w:rPr>
                <w:rFonts w:hint="eastAsia" w:ascii="Arial" w:hAnsi="Arial" w:eastAsia="华文细黑" w:cs="Arial"/>
                <w:sz w:val="18"/>
                <w:szCs w:val="18"/>
                <w:lang w:eastAsia="zh-CN"/>
              </w:rPr>
              <w:t>、华冠超市</w:t>
            </w:r>
            <w:r>
              <w:rPr>
                <w:rFonts w:hint="default" w:ascii="Arial" w:hAnsi="Arial" w:eastAsia="华文细黑" w:cs="Arial"/>
                <w:sz w:val="18"/>
                <w:szCs w:val="18"/>
              </w:rPr>
              <w:t>等，商业设施较齐备。</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w:t>
            </w:r>
            <w:r>
              <w:rPr>
                <w:rFonts w:hint="eastAsia" w:ascii="Arial" w:hAnsi="Arial" w:eastAsia="华文细黑" w:cs="Arial"/>
                <w:sz w:val="18"/>
                <w:szCs w:val="18"/>
                <w:lang w:val="en-US" w:eastAsia="zh-CN"/>
              </w:rPr>
              <w:t>3</w:t>
            </w:r>
            <w:r>
              <w:rPr>
                <w:rFonts w:hint="default" w:ascii="Arial" w:hAnsi="Arial" w:eastAsia="华文细黑" w:cs="Arial"/>
                <w:sz w:val="18"/>
                <w:szCs w:val="18"/>
              </w:rPr>
              <w:t>周边有国泰良辰百货、国泰百货</w:t>
            </w:r>
            <w:r>
              <w:rPr>
                <w:rFonts w:hint="eastAsia" w:ascii="Arial" w:hAnsi="Arial" w:eastAsia="华文细黑" w:cs="Arial"/>
                <w:sz w:val="18"/>
                <w:szCs w:val="18"/>
                <w:lang w:eastAsia="zh-CN"/>
              </w:rPr>
              <w:t>、华冠超市</w:t>
            </w:r>
            <w:r>
              <w:rPr>
                <w:rFonts w:hint="default" w:ascii="Arial" w:hAnsi="Arial" w:eastAsia="华文细黑" w:cs="Arial"/>
                <w:sz w:val="18"/>
                <w:szCs w:val="18"/>
              </w:rPr>
              <w:t>等，商业设施较齐备。</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自然环境</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以估价对象为中心2公里范围内有清水熙森林公园、房山新城滨水森林公园等自然景观，绿化面积较大，自然环境较好。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以可比实例1为中心</w:t>
            </w:r>
            <w:r>
              <w:rPr>
                <w:rFonts w:hint="eastAsia" w:ascii="Arial" w:hAnsi="Arial" w:eastAsia="华文细黑" w:cs="Arial"/>
                <w:sz w:val="18"/>
                <w:szCs w:val="18"/>
                <w:lang w:val="en-US" w:eastAsia="zh-CN"/>
              </w:rPr>
              <w:t>2</w:t>
            </w:r>
            <w:r>
              <w:rPr>
                <w:rFonts w:hint="default" w:ascii="Arial" w:hAnsi="Arial" w:eastAsia="华文细黑" w:cs="Arial"/>
                <w:sz w:val="18"/>
                <w:szCs w:val="18"/>
              </w:rPr>
              <w:t>公里范围内有昊天公园</w:t>
            </w:r>
            <w:r>
              <w:rPr>
                <w:rFonts w:hint="eastAsia" w:ascii="Arial" w:hAnsi="Arial" w:eastAsia="华文细黑" w:cs="Arial"/>
                <w:sz w:val="18"/>
                <w:szCs w:val="18"/>
                <w:lang w:eastAsia="zh-CN"/>
              </w:rPr>
              <w:t>、良乡大学城公园水苑</w:t>
            </w:r>
            <w:r>
              <w:rPr>
                <w:rFonts w:hint="default" w:ascii="Arial" w:hAnsi="Arial" w:eastAsia="华文细黑" w:cs="Arial"/>
                <w:sz w:val="18"/>
                <w:szCs w:val="18"/>
              </w:rPr>
              <w:t>等自然景观，绿化面积较大，自然环境较好。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以可比实例2为中心</w:t>
            </w:r>
            <w:r>
              <w:rPr>
                <w:rFonts w:hint="eastAsia" w:ascii="Arial" w:hAnsi="Arial" w:eastAsia="华文细黑" w:cs="Arial"/>
                <w:sz w:val="18"/>
                <w:szCs w:val="18"/>
                <w:lang w:val="en-US" w:eastAsia="zh-CN"/>
              </w:rPr>
              <w:t>2</w:t>
            </w:r>
            <w:r>
              <w:rPr>
                <w:rFonts w:hint="default" w:ascii="Arial" w:hAnsi="Arial" w:eastAsia="华文细黑" w:cs="Arial"/>
                <w:sz w:val="18"/>
                <w:szCs w:val="18"/>
              </w:rPr>
              <w:t>公里范围内有昊天公园、房山人民公园等，绿化面积较大，自然环境较好。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以可比实例3为中心</w:t>
            </w:r>
            <w:r>
              <w:rPr>
                <w:rFonts w:hint="eastAsia" w:ascii="Arial" w:hAnsi="Arial" w:eastAsia="华文细黑" w:cs="Arial"/>
                <w:sz w:val="18"/>
                <w:szCs w:val="18"/>
                <w:lang w:val="en-US" w:eastAsia="zh-CN"/>
              </w:rPr>
              <w:t>2</w:t>
            </w:r>
            <w:r>
              <w:rPr>
                <w:rFonts w:hint="default" w:ascii="Arial" w:hAnsi="Arial" w:eastAsia="华文细黑" w:cs="Arial"/>
                <w:sz w:val="18"/>
                <w:szCs w:val="18"/>
              </w:rPr>
              <w:t>公里范围内有昊天公园、房山人民公园等，绿化面积较大，自然环境较好。</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公共配套</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估价对象所在区域周边3公里范围内有绿地缤纷城、永辉超市、华联超市等商业场所；有首都师范大学附属房山学校、长阳中心小学、国际培优幼儿园等教育机构；有房山区中医医院、北京北亚骨科医院等医疗设施；中国邮政储蓄银行、兴业银行、北京农商银行等金融机构，公共配套设施状况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可比实例1所在区域周边3公里范围内有国泰良辰百货、国泰百货</w:t>
            </w:r>
            <w:r>
              <w:rPr>
                <w:rFonts w:hint="eastAsia" w:ascii="Arial" w:hAnsi="Arial" w:eastAsia="华文细黑" w:cs="Arial"/>
                <w:sz w:val="18"/>
                <w:szCs w:val="18"/>
                <w:lang w:eastAsia="zh-CN"/>
              </w:rPr>
              <w:t>、h.+连锁超市</w:t>
            </w:r>
            <w:r>
              <w:rPr>
                <w:rFonts w:hint="default" w:ascii="Arial" w:hAnsi="Arial" w:eastAsia="华文细黑" w:cs="Arial"/>
                <w:sz w:val="18"/>
                <w:szCs w:val="18"/>
              </w:rPr>
              <w:t>等商业场所；</w:t>
            </w:r>
            <w:r>
              <w:rPr>
                <w:rFonts w:hint="eastAsia" w:ascii="Arial" w:hAnsi="Arial" w:eastAsia="华文细黑" w:cs="Arial"/>
                <w:sz w:val="18"/>
                <w:szCs w:val="18"/>
                <w:lang w:eastAsia="zh-CN"/>
              </w:rPr>
              <w:t>有北京市房山区昊天外国语学校、玉竹国际幼儿园</w:t>
            </w:r>
            <w:r>
              <w:rPr>
                <w:rFonts w:hint="default" w:ascii="Arial" w:hAnsi="Arial" w:eastAsia="华文细黑" w:cs="Arial"/>
                <w:sz w:val="18"/>
                <w:szCs w:val="18"/>
              </w:rPr>
              <w:t>等教育设施；</w:t>
            </w:r>
            <w:r>
              <w:rPr>
                <w:rFonts w:hint="eastAsia" w:ascii="Arial" w:hAnsi="Arial" w:eastAsia="华文细黑" w:cs="Arial"/>
                <w:sz w:val="18"/>
                <w:szCs w:val="18"/>
                <w:lang w:eastAsia="zh-CN"/>
              </w:rPr>
              <w:t>有</w:t>
            </w:r>
            <w:r>
              <w:rPr>
                <w:rFonts w:hint="default" w:ascii="Arial" w:hAnsi="Arial" w:eastAsia="华文细黑" w:cs="Arial"/>
                <w:sz w:val="18"/>
                <w:szCs w:val="18"/>
              </w:rPr>
              <w:t>北京市房山区鹏园医院、北京仁德医院等医疗设施；</w:t>
            </w:r>
            <w:r>
              <w:rPr>
                <w:rFonts w:hint="eastAsia" w:ascii="Arial" w:hAnsi="Arial" w:eastAsia="华文细黑" w:cs="Arial"/>
                <w:sz w:val="18"/>
                <w:szCs w:val="18"/>
                <w:lang w:eastAsia="zh-CN"/>
              </w:rPr>
              <w:t>有</w:t>
            </w:r>
            <w:r>
              <w:rPr>
                <w:rFonts w:hint="default" w:ascii="Arial" w:hAnsi="Arial" w:eastAsia="华文细黑" w:cs="Arial"/>
                <w:sz w:val="18"/>
                <w:szCs w:val="18"/>
              </w:rPr>
              <w:t>中国建设银行、中国邮政储蓄银行等金融机构，公共配套设施状况较好。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可比实例2所在区域周边3公里范围内有国泰良辰百货、国泰百货</w:t>
            </w:r>
            <w:r>
              <w:rPr>
                <w:rFonts w:hint="eastAsia" w:ascii="Arial" w:hAnsi="Arial" w:eastAsia="华文细黑" w:cs="Arial"/>
                <w:sz w:val="18"/>
                <w:szCs w:val="18"/>
                <w:lang w:eastAsia="zh-CN"/>
              </w:rPr>
              <w:t>、华冠超市</w:t>
            </w:r>
            <w:r>
              <w:rPr>
                <w:rFonts w:hint="default" w:ascii="Arial" w:hAnsi="Arial" w:eastAsia="华文细黑" w:cs="Arial"/>
                <w:sz w:val="18"/>
                <w:szCs w:val="18"/>
              </w:rPr>
              <w:t>等商业场所；</w:t>
            </w:r>
            <w:r>
              <w:rPr>
                <w:rFonts w:hint="eastAsia" w:ascii="Arial" w:hAnsi="Arial" w:eastAsia="华文细黑" w:cs="Arial"/>
                <w:sz w:val="18"/>
                <w:szCs w:val="18"/>
                <w:lang w:eastAsia="zh-CN"/>
              </w:rPr>
              <w:t>有首都师范大学附属房山学校、良乡双语第七幼儿园</w:t>
            </w:r>
            <w:r>
              <w:rPr>
                <w:rFonts w:hint="default" w:ascii="Arial" w:hAnsi="Arial" w:eastAsia="华文细黑" w:cs="Arial"/>
                <w:sz w:val="18"/>
                <w:szCs w:val="18"/>
              </w:rPr>
              <w:t>等教育设施；</w:t>
            </w:r>
            <w:r>
              <w:rPr>
                <w:rFonts w:hint="eastAsia" w:ascii="Arial" w:hAnsi="Arial" w:eastAsia="华文细黑" w:cs="Arial"/>
                <w:sz w:val="18"/>
                <w:szCs w:val="18"/>
                <w:lang w:eastAsia="zh-CN"/>
              </w:rPr>
              <w:t>有</w:t>
            </w:r>
            <w:r>
              <w:rPr>
                <w:rFonts w:hint="default" w:ascii="Arial" w:hAnsi="Arial" w:eastAsia="华文细黑" w:cs="Arial"/>
                <w:sz w:val="18"/>
                <w:szCs w:val="18"/>
              </w:rPr>
              <w:t>北京市房山区良乡医院、北京仁德医院等医疗设施；</w:t>
            </w:r>
            <w:r>
              <w:rPr>
                <w:rFonts w:hint="eastAsia" w:ascii="Arial" w:hAnsi="Arial" w:eastAsia="华文细黑" w:cs="Arial"/>
                <w:sz w:val="18"/>
                <w:szCs w:val="18"/>
                <w:lang w:eastAsia="zh-CN"/>
              </w:rPr>
              <w:t>有</w:t>
            </w:r>
            <w:r>
              <w:rPr>
                <w:rFonts w:hint="default" w:ascii="Arial" w:hAnsi="Arial" w:eastAsia="华文细黑" w:cs="Arial"/>
                <w:sz w:val="18"/>
                <w:szCs w:val="18"/>
              </w:rPr>
              <w:t>中国工商银行、中国农业银行</w:t>
            </w:r>
            <w:r>
              <w:rPr>
                <w:rFonts w:hint="eastAsia" w:ascii="Arial" w:hAnsi="Arial" w:eastAsia="华文细黑" w:cs="Arial"/>
                <w:sz w:val="18"/>
                <w:szCs w:val="18"/>
                <w:lang w:eastAsia="zh-CN"/>
              </w:rPr>
              <w:t>、中国邮政储蓄银行</w:t>
            </w:r>
            <w:r>
              <w:rPr>
                <w:rFonts w:hint="default" w:ascii="Arial" w:hAnsi="Arial" w:eastAsia="华文细黑" w:cs="Arial"/>
                <w:sz w:val="18"/>
                <w:szCs w:val="18"/>
              </w:rPr>
              <w:t>等金融机构，公共配套设施状况较好。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可比实例3所在区域周边3公里范围内有国泰良辰百货、国泰百货</w:t>
            </w:r>
            <w:r>
              <w:rPr>
                <w:rFonts w:hint="eastAsia" w:ascii="Arial" w:hAnsi="Arial" w:eastAsia="华文细黑" w:cs="Arial"/>
                <w:sz w:val="18"/>
                <w:szCs w:val="18"/>
                <w:lang w:eastAsia="zh-CN"/>
              </w:rPr>
              <w:t>、华冠超市</w:t>
            </w:r>
            <w:r>
              <w:rPr>
                <w:rFonts w:hint="default" w:ascii="Arial" w:hAnsi="Arial" w:eastAsia="华文细黑" w:cs="Arial"/>
                <w:sz w:val="18"/>
                <w:szCs w:val="18"/>
              </w:rPr>
              <w:t>等商业场所；</w:t>
            </w:r>
            <w:r>
              <w:rPr>
                <w:rFonts w:hint="eastAsia" w:ascii="Arial" w:hAnsi="Arial" w:eastAsia="华文细黑" w:cs="Arial"/>
                <w:sz w:val="18"/>
                <w:szCs w:val="18"/>
                <w:lang w:eastAsia="zh-CN"/>
              </w:rPr>
              <w:t>有首都师范大学附属房山学校、良乡双语第七幼儿园</w:t>
            </w:r>
            <w:r>
              <w:rPr>
                <w:rFonts w:hint="default" w:ascii="Arial" w:hAnsi="Arial" w:eastAsia="华文细黑" w:cs="Arial"/>
                <w:sz w:val="18"/>
                <w:szCs w:val="18"/>
              </w:rPr>
              <w:t>等教育设施；</w:t>
            </w:r>
            <w:r>
              <w:rPr>
                <w:rFonts w:hint="eastAsia" w:ascii="Arial" w:hAnsi="Arial" w:eastAsia="华文细黑" w:cs="Arial"/>
                <w:sz w:val="18"/>
                <w:szCs w:val="18"/>
                <w:lang w:eastAsia="zh-CN"/>
              </w:rPr>
              <w:t>有</w:t>
            </w:r>
            <w:r>
              <w:rPr>
                <w:rFonts w:hint="default" w:ascii="Arial" w:hAnsi="Arial" w:eastAsia="华文细黑" w:cs="Arial"/>
                <w:sz w:val="18"/>
                <w:szCs w:val="18"/>
              </w:rPr>
              <w:t>北京市房山区良乡医院、北京仁德医院等医疗设施；</w:t>
            </w:r>
            <w:r>
              <w:rPr>
                <w:rFonts w:hint="eastAsia" w:ascii="Arial" w:hAnsi="Arial" w:eastAsia="华文细黑" w:cs="Arial"/>
                <w:sz w:val="18"/>
                <w:szCs w:val="18"/>
                <w:lang w:eastAsia="zh-CN"/>
              </w:rPr>
              <w:t>有</w:t>
            </w:r>
            <w:r>
              <w:rPr>
                <w:rFonts w:hint="default" w:ascii="Arial" w:hAnsi="Arial" w:eastAsia="华文细黑" w:cs="Arial"/>
                <w:sz w:val="18"/>
                <w:szCs w:val="18"/>
              </w:rPr>
              <w:t>中国工商银行、中国农业银行</w:t>
            </w:r>
            <w:r>
              <w:rPr>
                <w:rFonts w:hint="eastAsia" w:ascii="Arial" w:hAnsi="Arial" w:eastAsia="华文细黑" w:cs="Arial"/>
                <w:sz w:val="18"/>
                <w:szCs w:val="18"/>
                <w:lang w:eastAsia="zh-CN"/>
              </w:rPr>
              <w:t>、中国邮政储蓄银行</w:t>
            </w:r>
            <w:r>
              <w:rPr>
                <w:rFonts w:hint="default" w:ascii="Arial" w:hAnsi="Arial" w:eastAsia="华文细黑" w:cs="Arial"/>
                <w:sz w:val="18"/>
                <w:szCs w:val="18"/>
              </w:rPr>
              <w:t>等金融机构，公共配套设施状况较好。</w:t>
            </w:r>
          </w:p>
        </w:tc>
      </w:tr>
      <w:tr>
        <w:tblPrEx>
          <w:tblCellMar>
            <w:top w:w="57" w:type="dxa"/>
            <w:left w:w="57" w:type="dxa"/>
            <w:bottom w:w="57" w:type="dxa"/>
            <w:right w:w="57" w:type="dxa"/>
          </w:tblCellMar>
        </w:tblPrEx>
        <w:trPr>
          <w:trHeight w:val="20" w:hRule="atLeast"/>
          <w:jc w:val="center"/>
        </w:trPr>
        <w:tc>
          <w:tcPr>
            <w:tcW w:w="365" w:type="pct"/>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实物状况</w:t>
            </w: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物业服务</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有专业物业公司，物业服务保障较好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有专业物业公司，物业服务保障较好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有专业物业公司，物业服务保障较好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有专业物业公司，物业服务保障较好</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小区环境</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绿化率约为30%，较好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绿化率约为</w:t>
            </w:r>
            <w:r>
              <w:rPr>
                <w:rFonts w:hint="eastAsia" w:ascii="Arial" w:hAnsi="Arial" w:eastAsia="华文细黑" w:cs="Arial"/>
                <w:sz w:val="18"/>
                <w:szCs w:val="18"/>
                <w:lang w:val="en-US" w:eastAsia="zh-CN"/>
              </w:rPr>
              <w:t>30</w:t>
            </w:r>
            <w:r>
              <w:rPr>
                <w:rFonts w:hint="default" w:ascii="Arial" w:hAnsi="Arial" w:eastAsia="华文细黑" w:cs="Arial"/>
                <w:sz w:val="18"/>
                <w:szCs w:val="18"/>
              </w:rPr>
              <w:t>%，一般</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绿化率约为</w:t>
            </w:r>
            <w:r>
              <w:rPr>
                <w:rFonts w:hint="eastAsia" w:ascii="Arial" w:hAnsi="Arial" w:eastAsia="华文细黑" w:cs="Arial"/>
                <w:sz w:val="18"/>
                <w:szCs w:val="18"/>
                <w:lang w:val="en-US" w:eastAsia="zh-CN"/>
              </w:rPr>
              <w:t>20</w:t>
            </w:r>
            <w:r>
              <w:rPr>
                <w:rFonts w:hint="default" w:ascii="Arial" w:hAnsi="Arial" w:eastAsia="华文细黑" w:cs="Arial"/>
                <w:sz w:val="18"/>
                <w:szCs w:val="18"/>
              </w:rPr>
              <w:t>%，较好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绿化率约为30%，较好</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配套设施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配备活动站、医疗站</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配备活动站、医疗站</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配备活动站、医疗站</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配备活动站、医疗站</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居住管理</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配备专业管理人员，数量充足，居住管理较好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配备专业管理人员，数量充足，居住管理较好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配备专业管理人员，数量充足，居住管理较好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配备专业管理人员，数量充足，居住管理较好</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户型</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主力户型为</w:t>
            </w:r>
            <w:r>
              <w:rPr>
                <w:rFonts w:hint="eastAsia" w:ascii="Arial" w:hAnsi="Arial" w:eastAsia="华文细黑" w:cs="Arial"/>
                <w:sz w:val="18"/>
                <w:szCs w:val="18"/>
                <w:lang w:eastAsia="zh-CN"/>
              </w:rPr>
              <w:t>三</w:t>
            </w:r>
            <w:r>
              <w:rPr>
                <w:rFonts w:hint="default" w:ascii="Arial" w:hAnsi="Arial" w:eastAsia="华文细黑" w:cs="Arial"/>
                <w:sz w:val="18"/>
                <w:szCs w:val="18"/>
              </w:rPr>
              <w:t>居室，住宅套型较好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主力户型为二居室，住宅套型较好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主力户型为二居室，住宅套型较好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主力户型为二居室，住宅套型较好</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朝向、采光、通风</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朝向好，能保证较长时间的采光，通风较好，综合分析朝向、采光、通风状况较好（</w:t>
            </w:r>
            <w:r>
              <w:rPr>
                <w:rFonts w:hint="eastAsia" w:ascii="Arial" w:hAnsi="Arial" w:eastAsia="华文细黑" w:cs="Arial"/>
                <w:sz w:val="18"/>
                <w:szCs w:val="18"/>
                <w:lang w:eastAsia="zh-CN"/>
              </w:rPr>
              <w:t>南北</w:t>
            </w:r>
            <w:r>
              <w:rPr>
                <w:rFonts w:hint="default" w:ascii="Arial" w:hAnsi="Arial" w:eastAsia="华文细黑" w:cs="Arial"/>
                <w:sz w:val="18"/>
                <w:szCs w:val="18"/>
              </w:rPr>
              <w:t>）</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朝向好，能保证较长时间的采光，通风较好，综合分析朝向、采光、通风状况较好（</w:t>
            </w:r>
            <w:r>
              <w:rPr>
                <w:rFonts w:hint="eastAsia" w:ascii="Arial" w:hAnsi="Arial" w:eastAsia="华文细黑" w:cs="Arial"/>
                <w:sz w:val="18"/>
                <w:szCs w:val="18"/>
                <w:lang w:eastAsia="zh-CN"/>
              </w:rPr>
              <w:t>南北</w:t>
            </w:r>
            <w:r>
              <w:rPr>
                <w:rFonts w:hint="default" w:ascii="Arial" w:hAnsi="Arial" w:eastAsia="华文细黑" w:cs="Arial"/>
                <w:sz w:val="18"/>
                <w:szCs w:val="18"/>
              </w:rPr>
              <w:t>）</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朝向好，能保证较长时间的采光，通风较好，综合分析朝向、采光、通风状况较好（</w:t>
            </w:r>
            <w:r>
              <w:rPr>
                <w:rFonts w:hint="eastAsia" w:ascii="Arial" w:hAnsi="Arial" w:eastAsia="华文细黑" w:cs="Arial"/>
                <w:sz w:val="18"/>
                <w:szCs w:val="18"/>
                <w:lang w:eastAsia="zh-CN"/>
              </w:rPr>
              <w:t>南北</w:t>
            </w:r>
            <w:r>
              <w:rPr>
                <w:rFonts w:hint="default" w:ascii="Arial" w:hAnsi="Arial" w:eastAsia="华文细黑" w:cs="Arial"/>
                <w:sz w:val="18"/>
                <w:szCs w:val="18"/>
              </w:rPr>
              <w:t>）</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朝向好，能保证较长时间的采光，通风较好，综合分析朝向、采光、通风状况较好（</w:t>
            </w:r>
            <w:r>
              <w:rPr>
                <w:rFonts w:hint="eastAsia" w:ascii="Arial" w:hAnsi="Arial" w:eastAsia="华文细黑" w:cs="Arial"/>
                <w:sz w:val="18"/>
                <w:szCs w:val="18"/>
                <w:lang w:eastAsia="zh-CN"/>
              </w:rPr>
              <w:t>南北</w:t>
            </w:r>
            <w:r>
              <w:rPr>
                <w:rFonts w:hint="default" w:ascii="Arial" w:hAnsi="Arial" w:eastAsia="华文细黑" w:cs="Arial"/>
                <w:sz w:val="18"/>
                <w:szCs w:val="18"/>
              </w:rPr>
              <w:t>）</w:t>
            </w:r>
          </w:p>
        </w:tc>
      </w:tr>
      <w:tr>
        <w:tblPrEx>
          <w:tblCellMar>
            <w:top w:w="57" w:type="dxa"/>
            <w:left w:w="57" w:type="dxa"/>
            <w:bottom w:w="57" w:type="dxa"/>
            <w:right w:w="57" w:type="dxa"/>
          </w:tblCellMar>
        </w:tblPrEx>
        <w:trPr>
          <w:trHeight w:val="1236"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装修</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该小区装修为全装修</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该小区装修为普通装修，装修用材环保，经过精心设计，提升居住体验，较好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该小区装修为普通装修，装修用材环保，经过精心设计，提升居住体验，较好</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该小区装修为普通装修，装修用材环保，经过精心设计，提升居住体验，较好</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标准房建筑面积（平方米）</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87-89</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80-90</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80-90</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60-70</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15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设备</w:t>
            </w:r>
          </w:p>
        </w:tc>
        <w:tc>
          <w:tcPr>
            <w:tcW w:w="1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配备家具、家电；程度较新；功能正常，质量有保证，较好</w:t>
            </w:r>
          </w:p>
        </w:tc>
        <w:tc>
          <w:tcPr>
            <w:tcW w:w="1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配备家具、家电；程度较新；功能正常，质量有保证，较好</w:t>
            </w:r>
          </w:p>
        </w:tc>
        <w:tc>
          <w:tcPr>
            <w:tcW w:w="1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配备家具、家电；程度较新；功能正常，质量有保证，较好</w:t>
            </w:r>
          </w:p>
        </w:tc>
        <w:tc>
          <w:tcPr>
            <w:tcW w:w="17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配备家具、家电；程度较新；功能正常，质量有保证，较好</w:t>
            </w:r>
          </w:p>
        </w:tc>
      </w:tr>
      <w:tr>
        <w:tblPrEx>
          <w:tblCellMar>
            <w:top w:w="57" w:type="dxa"/>
            <w:left w:w="57" w:type="dxa"/>
            <w:bottom w:w="57" w:type="dxa"/>
            <w:right w:w="57" w:type="dxa"/>
          </w:tblCellMar>
        </w:tblPrEx>
        <w:trPr>
          <w:trHeight w:val="20" w:hRule="atLeast"/>
          <w:jc w:val="center"/>
        </w:trPr>
        <w:tc>
          <w:tcPr>
            <w:tcW w:w="365"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p>
        </w:tc>
        <w:tc>
          <w:tcPr>
            <w:tcW w:w="82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eastAsia="zh-CN"/>
              </w:rPr>
              <w:t>成新度</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90%-100%</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80%-90%</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70%-80%</w:t>
            </w:r>
          </w:p>
        </w:tc>
        <w:tc>
          <w:tcPr>
            <w:tcW w:w="95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60%-70%</w:t>
            </w:r>
          </w:p>
        </w:tc>
      </w:tr>
    </w:tbl>
    <w:p>
      <w:pPr>
        <w:wordWrap w:val="0"/>
        <w:overflowPunct w:val="0"/>
        <w:spacing w:line="480" w:lineRule="auto"/>
        <w:ind w:firstLine="315" w:firstLineChars="150"/>
        <w:rPr>
          <w:rFonts w:ascii="Arial" w:hAnsi="Arial" w:cs="Arial"/>
          <w:sz w:val="21"/>
          <w:szCs w:val="21"/>
        </w:rPr>
      </w:pPr>
      <w:r>
        <w:rPr>
          <w:rFonts w:ascii="Arial" w:hAnsi="Arial" w:cs="Arial"/>
          <w:sz w:val="21"/>
          <w:szCs w:val="21"/>
        </w:rPr>
        <w:br w:type="page"/>
      </w:r>
      <w:r>
        <w:rPr>
          <w:rFonts w:ascii="Arial" w:hAnsi="Arial" w:cs="Arial"/>
          <w:sz w:val="21"/>
          <w:szCs w:val="21"/>
        </w:rPr>
        <w:t xml:space="preserve">2. 建立比较因素条件指数表和因素比较修正系数表 </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Style w:val="32"/>
        <w:tblW w:w="4938" w:type="pct"/>
        <w:jc w:val="center"/>
        <w:tblLayout w:type="autofit"/>
        <w:tblCellMar>
          <w:top w:w="57" w:type="dxa"/>
          <w:left w:w="57" w:type="dxa"/>
          <w:bottom w:w="57" w:type="dxa"/>
          <w:right w:w="57" w:type="dxa"/>
        </w:tblCellMar>
      </w:tblPr>
      <w:tblGrid>
        <w:gridCol w:w="574"/>
        <w:gridCol w:w="697"/>
        <w:gridCol w:w="1044"/>
        <w:gridCol w:w="1044"/>
        <w:gridCol w:w="1044"/>
        <w:gridCol w:w="1046"/>
        <w:gridCol w:w="3847"/>
      </w:tblGrid>
      <w:tr>
        <w:tblPrEx>
          <w:tblCellMar>
            <w:top w:w="57" w:type="dxa"/>
            <w:left w:w="57" w:type="dxa"/>
            <w:bottom w:w="57" w:type="dxa"/>
            <w:right w:w="57" w:type="dxa"/>
          </w:tblCellMar>
        </w:tblPrEx>
        <w:trPr>
          <w:trHeight w:val="405" w:hRule="atLeast"/>
          <w:tblHeader/>
          <w:jc w:val="center"/>
        </w:trPr>
        <w:tc>
          <w:tcPr>
            <w:tcW w:w="684"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tcPr>
          <w:p>
            <w:pPr>
              <w:jc w:val="right"/>
              <w:rPr>
                <w:rFonts w:hint="default" w:ascii="Arial" w:hAnsi="Arial" w:eastAsia="华文细黑" w:cs="Arial"/>
                <w:sz w:val="18"/>
                <w:szCs w:val="18"/>
              </w:rPr>
            </w:pPr>
            <w:r>
              <w:rPr>
                <w:rFonts w:hint="default" w:ascii="Arial" w:hAnsi="Arial" w:eastAsia="华文细黑" w:cs="Arial"/>
                <w:sz w:val="18"/>
                <w:szCs w:val="18"/>
              </w:rPr>
              <w:t>估价对象及</w:t>
            </w:r>
          </w:p>
          <w:p>
            <w:pPr>
              <w:jc w:val="right"/>
              <w:rPr>
                <w:rFonts w:hint="default" w:ascii="Arial" w:hAnsi="Arial" w:eastAsia="华文细黑" w:cs="Arial"/>
                <w:sz w:val="18"/>
                <w:szCs w:val="18"/>
              </w:rPr>
            </w:pPr>
            <w:r>
              <w:rPr>
                <w:rFonts w:hint="default" w:ascii="Arial" w:hAnsi="Arial" w:eastAsia="华文细黑" w:cs="Arial"/>
                <w:sz w:val="18"/>
                <w:szCs w:val="18"/>
              </w:rPr>
              <w:t>可比实例</w:t>
            </w:r>
          </w:p>
          <w:p>
            <w:pPr>
              <w:jc w:val="right"/>
              <w:rPr>
                <w:rFonts w:hint="default" w:ascii="Arial" w:hAnsi="Arial" w:eastAsia="华文细黑" w:cs="Arial"/>
                <w:sz w:val="18"/>
                <w:szCs w:val="18"/>
              </w:rPr>
            </w:pPr>
          </w:p>
          <w:p>
            <w:pPr>
              <w:jc w:val="right"/>
              <w:rPr>
                <w:rFonts w:hint="default" w:ascii="Arial" w:hAnsi="Arial" w:eastAsia="华文细黑" w:cs="Arial"/>
                <w:sz w:val="18"/>
                <w:szCs w:val="18"/>
              </w:rPr>
            </w:pPr>
          </w:p>
          <w:p>
            <w:pPr>
              <w:rPr>
                <w:rFonts w:hint="default" w:ascii="Arial" w:hAnsi="Arial" w:eastAsia="华文细黑" w:cs="Arial"/>
                <w:sz w:val="18"/>
                <w:szCs w:val="18"/>
              </w:rPr>
            </w:pPr>
            <w:r>
              <w:rPr>
                <w:rFonts w:hint="default" w:ascii="Arial" w:hAnsi="Arial" w:eastAsia="华文细黑" w:cs="Arial"/>
                <w:sz w:val="18"/>
                <w:szCs w:val="18"/>
              </w:rPr>
              <w:t>比较因素</w:t>
            </w:r>
          </w:p>
        </w:tc>
        <w:tc>
          <w:tcPr>
            <w:tcW w:w="561" w:type="pct"/>
            <w:tcBorders>
              <w:top w:val="single" w:color="auto" w:sz="4" w:space="0"/>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估价对象</w:t>
            </w:r>
          </w:p>
        </w:tc>
        <w:tc>
          <w:tcPr>
            <w:tcW w:w="561" w:type="pct"/>
            <w:tcBorders>
              <w:top w:val="single" w:color="auto" w:sz="4" w:space="0"/>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可比实例1</w:t>
            </w:r>
          </w:p>
        </w:tc>
        <w:tc>
          <w:tcPr>
            <w:tcW w:w="561" w:type="pct"/>
            <w:tcBorders>
              <w:top w:val="single" w:color="auto" w:sz="4" w:space="0"/>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可比实例2</w:t>
            </w:r>
          </w:p>
        </w:tc>
        <w:tc>
          <w:tcPr>
            <w:tcW w:w="562" w:type="pct"/>
            <w:tcBorders>
              <w:top w:val="single" w:color="auto" w:sz="4" w:space="0"/>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可比实例3</w:t>
            </w:r>
          </w:p>
        </w:tc>
        <w:tc>
          <w:tcPr>
            <w:tcW w:w="2068" w:type="pct"/>
            <w:tcBorders>
              <w:top w:val="single" w:color="auto" w:sz="4" w:space="0"/>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比较因素调整说明</w:t>
            </w:r>
          </w:p>
        </w:tc>
      </w:tr>
      <w:tr>
        <w:tblPrEx>
          <w:tblCellMar>
            <w:top w:w="57" w:type="dxa"/>
            <w:left w:w="57" w:type="dxa"/>
            <w:bottom w:w="57" w:type="dxa"/>
            <w:right w:w="57" w:type="dxa"/>
          </w:tblCellMar>
        </w:tblPrEx>
        <w:trPr>
          <w:trHeight w:val="834" w:hRule="atLeast"/>
          <w:tblHeader/>
          <w:jc w:val="center"/>
        </w:trPr>
        <w:tc>
          <w:tcPr>
            <w:tcW w:w="684" w:type="pct"/>
            <w:gridSpan w:val="2"/>
            <w:vMerge w:val="continue"/>
            <w:tcBorders>
              <w:top w:val="single" w:color="auto" w:sz="4" w:space="0"/>
              <w:left w:val="single" w:color="auto" w:sz="4" w:space="0"/>
              <w:bottom w:val="single" w:color="000000" w:sz="4" w:space="0"/>
              <w:right w:val="single" w:color="000000" w:sz="4" w:space="0"/>
            </w:tcBorders>
            <w:vAlign w:val="center"/>
          </w:tcPr>
          <w:p>
            <w:pPr>
              <w:rPr>
                <w:rFonts w:hint="default" w:ascii="Arial" w:hAnsi="Arial" w:eastAsia="华文细黑" w:cs="Arial"/>
                <w:sz w:val="18"/>
                <w:szCs w:val="18"/>
              </w:rPr>
            </w:pPr>
          </w:p>
        </w:tc>
        <w:tc>
          <w:tcPr>
            <w:tcW w:w="561"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中建京西印玥</w:t>
            </w:r>
            <w:r>
              <w:rPr>
                <w:rFonts w:hint="default" w:ascii="Arial" w:hAnsi="Arial" w:eastAsia="华文细黑" w:cs="Arial"/>
                <w:sz w:val="18"/>
                <w:szCs w:val="18"/>
                <w:lang w:eastAsia="zh-CN"/>
              </w:rPr>
              <w:t>共有产权房</w:t>
            </w:r>
          </w:p>
        </w:tc>
        <w:tc>
          <w:tcPr>
            <w:tcW w:w="561"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阳光邑上</w:t>
            </w:r>
          </w:p>
        </w:tc>
        <w:tc>
          <w:tcPr>
            <w:tcW w:w="561"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昊文温泉家园</w:t>
            </w:r>
          </w:p>
        </w:tc>
        <w:tc>
          <w:tcPr>
            <w:tcW w:w="5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文化路社区</w:t>
            </w:r>
          </w:p>
        </w:tc>
        <w:tc>
          <w:tcPr>
            <w:tcW w:w="2068"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w:t>
            </w:r>
          </w:p>
        </w:tc>
      </w:tr>
      <w:tr>
        <w:tblPrEx>
          <w:tblCellMar>
            <w:top w:w="57" w:type="dxa"/>
            <w:left w:w="57" w:type="dxa"/>
            <w:bottom w:w="57" w:type="dxa"/>
            <w:right w:w="57" w:type="dxa"/>
          </w:tblCellMar>
        </w:tblPrEx>
        <w:trPr>
          <w:trHeight w:val="601" w:hRule="atLeast"/>
          <w:jc w:val="center"/>
        </w:trPr>
        <w:tc>
          <w:tcPr>
            <w:tcW w:w="684" w:type="pct"/>
            <w:gridSpan w:val="2"/>
            <w:tcBorders>
              <w:top w:val="single" w:color="auto" w:sz="4" w:space="0"/>
              <w:left w:val="single" w:color="auto" w:sz="4" w:space="0"/>
              <w:bottom w:val="single" w:color="auto" w:sz="4" w:space="0"/>
              <w:right w:val="single" w:color="000000" w:sz="4" w:space="0"/>
            </w:tcBorders>
            <w:vAlign w:val="bottom"/>
          </w:tcPr>
          <w:p>
            <w:pPr>
              <w:rPr>
                <w:rFonts w:hint="default" w:ascii="Arial" w:hAnsi="Arial" w:eastAsia="华文细黑" w:cs="Arial"/>
                <w:sz w:val="18"/>
                <w:szCs w:val="18"/>
              </w:rPr>
            </w:pPr>
            <w:r>
              <w:rPr>
                <w:rFonts w:hint="default" w:ascii="Arial" w:hAnsi="Arial" w:eastAsia="华文细黑" w:cs="Arial"/>
                <w:sz w:val="18"/>
                <w:szCs w:val="18"/>
              </w:rPr>
              <w:t>确定的租金价格（元/平方米·月）</w:t>
            </w:r>
          </w:p>
        </w:tc>
        <w:tc>
          <w:tcPr>
            <w:tcW w:w="561"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待估</w:t>
            </w:r>
          </w:p>
        </w:tc>
        <w:tc>
          <w:tcPr>
            <w:tcW w:w="561"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eastAsia" w:ascii="Arial" w:hAnsi="Arial" w:eastAsia="华文细黑" w:cs="Arial"/>
                <w:sz w:val="18"/>
                <w:szCs w:val="18"/>
                <w:lang w:val="en-US" w:eastAsia="zh-CN"/>
              </w:rPr>
              <w:t>37.94</w:t>
            </w:r>
          </w:p>
        </w:tc>
        <w:tc>
          <w:tcPr>
            <w:tcW w:w="561"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eastAsia" w:ascii="Arial" w:hAnsi="Arial" w:eastAsia="华文细黑" w:cs="Arial"/>
                <w:sz w:val="18"/>
                <w:szCs w:val="18"/>
                <w:lang w:val="en-US" w:eastAsia="zh-CN"/>
              </w:rPr>
              <w:t>34.29</w:t>
            </w:r>
          </w:p>
        </w:tc>
        <w:tc>
          <w:tcPr>
            <w:tcW w:w="562"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eastAsia" w:ascii="Arial" w:hAnsi="Arial" w:eastAsia="华文细黑" w:cs="Arial"/>
                <w:sz w:val="18"/>
                <w:szCs w:val="18"/>
                <w:lang w:val="en-US" w:eastAsia="zh-CN"/>
              </w:rPr>
              <w:t>39.24</w:t>
            </w:r>
          </w:p>
        </w:tc>
        <w:tc>
          <w:tcPr>
            <w:tcW w:w="2068"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w:t>
            </w:r>
          </w:p>
        </w:tc>
      </w:tr>
      <w:tr>
        <w:tblPrEx>
          <w:tblCellMar>
            <w:top w:w="57" w:type="dxa"/>
            <w:left w:w="57" w:type="dxa"/>
            <w:bottom w:w="57" w:type="dxa"/>
            <w:right w:w="57" w:type="dxa"/>
          </w:tblCellMar>
        </w:tblPrEx>
        <w:trPr>
          <w:trHeight w:val="469" w:hRule="atLeast"/>
          <w:jc w:val="center"/>
        </w:trPr>
        <w:tc>
          <w:tcPr>
            <w:tcW w:w="684" w:type="pct"/>
            <w:gridSpan w:val="2"/>
            <w:tcBorders>
              <w:top w:val="single" w:color="auto" w:sz="4" w:space="0"/>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交易时间</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估价对象与可比实例的交易时间一致，因此确定估价对象与可比实例该因素指数均为100；</w:t>
            </w:r>
          </w:p>
        </w:tc>
      </w:tr>
      <w:tr>
        <w:tblPrEx>
          <w:tblCellMar>
            <w:top w:w="57" w:type="dxa"/>
            <w:left w:w="57" w:type="dxa"/>
            <w:bottom w:w="57" w:type="dxa"/>
            <w:right w:w="57" w:type="dxa"/>
          </w:tblCellMar>
        </w:tblPrEx>
        <w:trPr>
          <w:trHeight w:val="521" w:hRule="atLeast"/>
          <w:jc w:val="center"/>
        </w:trPr>
        <w:tc>
          <w:tcPr>
            <w:tcW w:w="684" w:type="pct"/>
            <w:gridSpan w:val="2"/>
            <w:tcBorders>
              <w:top w:val="single" w:color="auto" w:sz="4" w:space="0"/>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交易情况</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可比实例均为正常交易或已修正为正常交易，故不予修正，交易情况指数均100；</w:t>
            </w:r>
          </w:p>
        </w:tc>
      </w:tr>
      <w:tr>
        <w:tblPrEx>
          <w:tblCellMar>
            <w:top w:w="57" w:type="dxa"/>
            <w:left w:w="57" w:type="dxa"/>
            <w:bottom w:w="57" w:type="dxa"/>
            <w:right w:w="57" w:type="dxa"/>
          </w:tblCellMar>
        </w:tblPrEx>
        <w:trPr>
          <w:trHeight w:val="724" w:hRule="atLeast"/>
          <w:jc w:val="center"/>
        </w:trPr>
        <w:tc>
          <w:tcPr>
            <w:tcW w:w="309"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区域</w:t>
            </w:r>
          </w:p>
          <w:p>
            <w:pPr>
              <w:jc w:val="center"/>
              <w:rPr>
                <w:rFonts w:hint="default" w:ascii="Arial" w:hAnsi="Arial" w:eastAsia="华文细黑" w:cs="Arial"/>
                <w:sz w:val="18"/>
                <w:szCs w:val="18"/>
              </w:rPr>
            </w:pPr>
            <w:r>
              <w:rPr>
                <w:rFonts w:hint="default" w:ascii="Arial" w:hAnsi="Arial" w:eastAsia="华文细黑" w:cs="Arial"/>
                <w:sz w:val="18"/>
                <w:szCs w:val="18"/>
              </w:rPr>
              <w:t>状况</w:t>
            </w: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居住区成熟度</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从好到差划分为好、较好、一般、较差、差五个等级，每个等级相差1分，确定可比实例1、2、3该因素指数分别为100、100、100；</w:t>
            </w:r>
          </w:p>
        </w:tc>
      </w:tr>
      <w:tr>
        <w:tblPrEx>
          <w:tblCellMar>
            <w:top w:w="57" w:type="dxa"/>
            <w:left w:w="57" w:type="dxa"/>
            <w:bottom w:w="57" w:type="dxa"/>
            <w:right w:w="57" w:type="dxa"/>
          </w:tblCellMar>
        </w:tblPrEx>
        <w:trPr>
          <w:trHeight w:val="693" w:hRule="atLeast"/>
          <w:jc w:val="center"/>
        </w:trPr>
        <w:tc>
          <w:tcPr>
            <w:tcW w:w="309"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交通条件</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从好到差划分为好、较好、一般、较差、差五个等级，每个等级相差2.5分，确定可比实例1、2、3该因素指数分别为100、100、100；</w:t>
            </w:r>
          </w:p>
        </w:tc>
      </w:tr>
      <w:tr>
        <w:tblPrEx>
          <w:tblCellMar>
            <w:top w:w="57" w:type="dxa"/>
            <w:left w:w="57" w:type="dxa"/>
            <w:bottom w:w="57" w:type="dxa"/>
            <w:right w:w="57" w:type="dxa"/>
          </w:tblCellMar>
        </w:tblPrEx>
        <w:trPr>
          <w:trHeight w:val="704" w:hRule="atLeast"/>
          <w:jc w:val="center"/>
        </w:trPr>
        <w:tc>
          <w:tcPr>
            <w:tcW w:w="309"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商业设施</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从好到差划分为好、较好、一般、较差、差五个等级，每个等级相差1分，确定可比实例1、2、3该因素指数分别为100、100、100；</w:t>
            </w:r>
          </w:p>
        </w:tc>
      </w:tr>
      <w:tr>
        <w:tblPrEx>
          <w:tblCellMar>
            <w:top w:w="57" w:type="dxa"/>
            <w:left w:w="57" w:type="dxa"/>
            <w:bottom w:w="57" w:type="dxa"/>
            <w:right w:w="57" w:type="dxa"/>
          </w:tblCellMar>
        </w:tblPrEx>
        <w:trPr>
          <w:trHeight w:val="698" w:hRule="atLeast"/>
          <w:jc w:val="center"/>
        </w:trPr>
        <w:tc>
          <w:tcPr>
            <w:tcW w:w="309"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自然环境</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从好到差划分为好、较好、一般、较差、差五个等级，每个等级相差1分，确定可比实例1、2、3该因素指数分别为100、100、100；</w:t>
            </w:r>
          </w:p>
        </w:tc>
      </w:tr>
      <w:tr>
        <w:tblPrEx>
          <w:tblCellMar>
            <w:top w:w="57" w:type="dxa"/>
            <w:left w:w="57" w:type="dxa"/>
            <w:bottom w:w="57" w:type="dxa"/>
            <w:right w:w="57" w:type="dxa"/>
          </w:tblCellMar>
        </w:tblPrEx>
        <w:trPr>
          <w:trHeight w:val="695" w:hRule="atLeast"/>
          <w:jc w:val="center"/>
        </w:trPr>
        <w:tc>
          <w:tcPr>
            <w:tcW w:w="309"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b/>
                <w:sz w:val="18"/>
                <w:szCs w:val="18"/>
              </w:rPr>
            </w:pPr>
            <w:r>
              <w:rPr>
                <w:rFonts w:hint="default" w:ascii="Arial" w:hAnsi="Arial" w:eastAsia="华文细黑" w:cs="Arial"/>
                <w:sz w:val="18"/>
                <w:szCs w:val="18"/>
              </w:rPr>
              <w:t>公共配套</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从好到差划分为好、较好、一般、较差、差五个等级，每个等级相差1分，确定可比实例1、2、3该因素指数分别为100、100、100；</w:t>
            </w:r>
          </w:p>
        </w:tc>
      </w:tr>
      <w:tr>
        <w:tblPrEx>
          <w:tblCellMar>
            <w:top w:w="57" w:type="dxa"/>
            <w:left w:w="57" w:type="dxa"/>
            <w:bottom w:w="57" w:type="dxa"/>
            <w:right w:w="57" w:type="dxa"/>
          </w:tblCellMar>
        </w:tblPrEx>
        <w:trPr>
          <w:trHeight w:val="1275" w:hRule="atLeast"/>
          <w:jc w:val="center"/>
        </w:trPr>
        <w:tc>
          <w:tcPr>
            <w:tcW w:w="309"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实物</w:t>
            </w:r>
          </w:p>
          <w:p>
            <w:pPr>
              <w:jc w:val="center"/>
              <w:rPr>
                <w:rFonts w:hint="default" w:ascii="Arial" w:hAnsi="Arial" w:eastAsia="华文细黑" w:cs="Arial"/>
                <w:sz w:val="18"/>
                <w:szCs w:val="18"/>
              </w:rPr>
            </w:pPr>
            <w:r>
              <w:rPr>
                <w:rFonts w:hint="default" w:ascii="Arial" w:hAnsi="Arial" w:eastAsia="华文细黑" w:cs="Arial"/>
                <w:sz w:val="18"/>
                <w:szCs w:val="18"/>
              </w:rPr>
              <w:t>状况</w:t>
            </w: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物业服务</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tblPrEx>
          <w:tblCellMar>
            <w:top w:w="57" w:type="dxa"/>
            <w:left w:w="57" w:type="dxa"/>
            <w:bottom w:w="57" w:type="dxa"/>
            <w:right w:w="57" w:type="dxa"/>
          </w:tblCellMar>
        </w:tblPrEx>
        <w:trPr>
          <w:trHeight w:val="402"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小区环境</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95</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小区环境对其价值的影响，从好到差划分为绿化率≥50%为好，50％&gt;绿化率≥30%为较好，30%&gt;绿化率≥20%&gt;为一般，20%&gt;绿化率≥15%为较差，绿化率&lt;15%为差五个等级。以估价对象该因素指数为100，各可比实例与之相比，确定可比实例1、2、3该因素指数分别为</w:t>
            </w:r>
            <w:r>
              <w:rPr>
                <w:rFonts w:hint="eastAsia" w:ascii="Arial" w:hAnsi="Arial" w:eastAsia="华文细黑" w:cs="Arial"/>
                <w:sz w:val="18"/>
                <w:szCs w:val="18"/>
                <w:lang w:val="en-US" w:eastAsia="zh-CN"/>
              </w:rPr>
              <w:t>100</w:t>
            </w:r>
            <w:r>
              <w:rPr>
                <w:rFonts w:hint="default" w:ascii="Arial" w:hAnsi="Arial" w:eastAsia="华文细黑" w:cs="Arial"/>
                <w:sz w:val="18"/>
                <w:szCs w:val="18"/>
              </w:rPr>
              <w:t>、</w:t>
            </w:r>
            <w:r>
              <w:rPr>
                <w:rFonts w:hint="eastAsia" w:ascii="Arial" w:hAnsi="Arial" w:eastAsia="华文细黑" w:cs="Arial"/>
                <w:sz w:val="18"/>
                <w:szCs w:val="18"/>
                <w:lang w:val="en-US" w:eastAsia="zh-CN"/>
              </w:rPr>
              <w:t>95</w:t>
            </w:r>
            <w:r>
              <w:rPr>
                <w:rFonts w:hint="default" w:ascii="Arial" w:hAnsi="Arial" w:eastAsia="华文细黑" w:cs="Arial"/>
                <w:sz w:val="18"/>
                <w:szCs w:val="18"/>
              </w:rPr>
              <w:t>、100；</w:t>
            </w:r>
          </w:p>
        </w:tc>
      </w:tr>
      <w:tr>
        <w:tblPrEx>
          <w:tblCellMar>
            <w:top w:w="57" w:type="dxa"/>
            <w:left w:w="57" w:type="dxa"/>
            <w:bottom w:w="57" w:type="dxa"/>
            <w:right w:w="57" w:type="dxa"/>
          </w:tblCellMar>
        </w:tblPrEx>
        <w:trPr>
          <w:trHeight w:val="129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配套设施</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100，各可比实例与之相比，确定可比实例1、2、3该因素指数分别为100、100、100；</w:t>
            </w:r>
          </w:p>
        </w:tc>
      </w:tr>
      <w:tr>
        <w:tblPrEx>
          <w:tblCellMar>
            <w:top w:w="57" w:type="dxa"/>
            <w:left w:w="57" w:type="dxa"/>
            <w:bottom w:w="57" w:type="dxa"/>
            <w:right w:w="57" w:type="dxa"/>
          </w:tblCellMar>
        </w:tblPrEx>
        <w:trPr>
          <w:trHeight w:val="1335"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居住管理</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根据居住管理对其价值的影响，从好到差划分为</w:t>
            </w:r>
            <w:r>
              <w:rPr>
                <w:rFonts w:hint="default" w:ascii="Arial" w:hAnsi="Arial" w:eastAsia="华文细黑" w:cs="Arial"/>
                <w:spacing w:val="-5"/>
                <w:sz w:val="18"/>
                <w:szCs w:val="18"/>
              </w:rPr>
              <w:t>有专业管理人员配置、管理人员配置、无管理人员配置三</w:t>
            </w:r>
            <w:r>
              <w:rPr>
                <w:rFonts w:hint="default" w:ascii="Arial" w:hAnsi="Arial" w:eastAsia="华文细黑" w:cs="Arial"/>
                <w:sz w:val="18"/>
                <w:szCs w:val="18"/>
              </w:rPr>
              <w:t>个等级。以估价对象该因素指数为100，各可比实例与之相比，确定可比实例1、2、3该因素指数分别为100、100、100；</w:t>
            </w:r>
          </w:p>
        </w:tc>
      </w:tr>
      <w:tr>
        <w:tblPrEx>
          <w:tblCellMar>
            <w:top w:w="57" w:type="dxa"/>
            <w:left w:w="57" w:type="dxa"/>
            <w:bottom w:w="57" w:type="dxa"/>
            <w:right w:w="57" w:type="dxa"/>
          </w:tblCellMar>
        </w:tblPrEx>
        <w:trPr>
          <w:trHeight w:val="1019"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户型</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96</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96</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96</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根据户型对其价值的影响，从好到差划分为</w:t>
            </w:r>
            <w:r>
              <w:rPr>
                <w:rFonts w:hint="eastAsia" w:ascii="Arial" w:hAnsi="Arial" w:eastAsia="华文细黑" w:cs="Arial"/>
                <w:sz w:val="18"/>
                <w:szCs w:val="18"/>
                <w:lang w:eastAsia="zh-CN"/>
              </w:rPr>
              <w:t>三居室</w:t>
            </w:r>
            <w:r>
              <w:rPr>
                <w:rFonts w:hint="default" w:ascii="Arial" w:hAnsi="Arial" w:eastAsia="华文细黑" w:cs="Arial"/>
                <w:sz w:val="18"/>
                <w:szCs w:val="18"/>
              </w:rPr>
              <w:t>、</w:t>
            </w:r>
            <w:r>
              <w:rPr>
                <w:rFonts w:hint="eastAsia" w:ascii="Arial" w:hAnsi="Arial" w:eastAsia="华文细黑" w:cs="Arial"/>
                <w:sz w:val="18"/>
                <w:szCs w:val="18"/>
                <w:lang w:eastAsia="zh-CN"/>
              </w:rPr>
              <w:t>二居室</w:t>
            </w:r>
            <w:r>
              <w:rPr>
                <w:rFonts w:hint="default" w:ascii="Arial" w:hAnsi="Arial" w:eastAsia="华文细黑" w:cs="Arial"/>
                <w:sz w:val="18"/>
                <w:szCs w:val="18"/>
              </w:rPr>
              <w:t>、</w:t>
            </w:r>
            <w:r>
              <w:rPr>
                <w:rFonts w:hint="eastAsia" w:ascii="Arial" w:hAnsi="Arial" w:eastAsia="华文细黑" w:cs="Arial"/>
                <w:sz w:val="18"/>
                <w:szCs w:val="18"/>
                <w:lang w:eastAsia="zh-CN"/>
              </w:rPr>
              <w:t>一居室三</w:t>
            </w:r>
            <w:r>
              <w:rPr>
                <w:rFonts w:hint="default" w:ascii="Arial" w:hAnsi="Arial" w:eastAsia="华文细黑" w:cs="Arial"/>
                <w:sz w:val="18"/>
                <w:szCs w:val="18"/>
              </w:rPr>
              <w:t>个等级。以估价对象该因素指数为100，各可比实例与之相比，确定可比实例1、2、3该因素指数分别为</w:t>
            </w:r>
            <w:r>
              <w:rPr>
                <w:rFonts w:hint="eastAsia" w:ascii="Arial" w:hAnsi="Arial" w:eastAsia="华文细黑" w:cs="Arial"/>
                <w:sz w:val="18"/>
                <w:szCs w:val="18"/>
                <w:lang w:val="en-US" w:eastAsia="zh-CN"/>
              </w:rPr>
              <w:t>96</w:t>
            </w:r>
            <w:r>
              <w:rPr>
                <w:rFonts w:hint="default" w:ascii="Arial" w:hAnsi="Arial" w:eastAsia="华文细黑" w:cs="Arial"/>
                <w:sz w:val="18"/>
                <w:szCs w:val="18"/>
              </w:rPr>
              <w:t>、</w:t>
            </w:r>
            <w:r>
              <w:rPr>
                <w:rFonts w:hint="eastAsia" w:ascii="Arial" w:hAnsi="Arial" w:eastAsia="华文细黑" w:cs="Arial"/>
                <w:sz w:val="18"/>
                <w:szCs w:val="18"/>
                <w:lang w:val="en-US" w:eastAsia="zh-CN"/>
              </w:rPr>
              <w:t>96</w:t>
            </w:r>
            <w:r>
              <w:rPr>
                <w:rFonts w:hint="default" w:ascii="Arial" w:hAnsi="Arial" w:eastAsia="华文细黑" w:cs="Arial"/>
                <w:sz w:val="18"/>
                <w:szCs w:val="18"/>
              </w:rPr>
              <w:t>、</w:t>
            </w:r>
            <w:r>
              <w:rPr>
                <w:rFonts w:hint="eastAsia" w:ascii="Arial" w:hAnsi="Arial" w:eastAsia="华文细黑" w:cs="Arial"/>
                <w:sz w:val="18"/>
                <w:szCs w:val="18"/>
                <w:lang w:val="en-US" w:eastAsia="zh-CN"/>
              </w:rPr>
              <w:t>96</w:t>
            </w:r>
            <w:r>
              <w:rPr>
                <w:rFonts w:hint="default" w:ascii="Arial" w:hAnsi="Arial" w:eastAsia="华文细黑" w:cs="Arial"/>
                <w:sz w:val="18"/>
                <w:szCs w:val="18"/>
              </w:rPr>
              <w:t>；</w:t>
            </w:r>
          </w:p>
        </w:tc>
      </w:tr>
      <w:tr>
        <w:tblPrEx>
          <w:tblCellMar>
            <w:top w:w="57" w:type="dxa"/>
            <w:left w:w="57" w:type="dxa"/>
            <w:bottom w:w="57" w:type="dxa"/>
            <w:right w:w="57" w:type="dxa"/>
          </w:tblCellMar>
        </w:tblPrEx>
        <w:trPr>
          <w:trHeight w:val="1019"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朝向、采光、通风</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100，各可比实例与之相比，确定可比实例1、2、3该因素指数分别为100、10</w:t>
            </w:r>
            <w:r>
              <w:rPr>
                <w:rFonts w:hint="eastAsia" w:ascii="Arial" w:hAnsi="Arial" w:eastAsia="华文细黑" w:cs="Arial"/>
                <w:sz w:val="18"/>
                <w:szCs w:val="18"/>
                <w:lang w:val="en-US" w:eastAsia="zh-CN"/>
              </w:rPr>
              <w:t>0</w:t>
            </w:r>
            <w:r>
              <w:rPr>
                <w:rFonts w:hint="default" w:ascii="Arial" w:hAnsi="Arial" w:eastAsia="华文细黑" w:cs="Arial"/>
                <w:sz w:val="18"/>
                <w:szCs w:val="18"/>
              </w:rPr>
              <w:t>、100；</w:t>
            </w:r>
          </w:p>
        </w:tc>
      </w:tr>
      <w:tr>
        <w:tblPrEx>
          <w:tblCellMar>
            <w:top w:w="57" w:type="dxa"/>
            <w:left w:w="57" w:type="dxa"/>
            <w:bottom w:w="57" w:type="dxa"/>
            <w:right w:w="57" w:type="dxa"/>
          </w:tblCellMar>
        </w:tblPrEx>
        <w:trPr>
          <w:trHeight w:val="87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装修</w:t>
            </w:r>
          </w:p>
        </w:tc>
        <w:tc>
          <w:tcPr>
            <w:tcW w:w="561"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2068" w:type="pct"/>
            <w:tcBorders>
              <w:top w:val="single" w:color="auto" w:sz="4" w:space="0"/>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100，各可比实例与之相比，确定可比实例1、2、3该因素指数分别为</w:t>
            </w:r>
            <w:r>
              <w:rPr>
                <w:rFonts w:hint="eastAsia" w:ascii="Arial" w:hAnsi="Arial" w:eastAsia="华文细黑" w:cs="Arial"/>
                <w:sz w:val="18"/>
                <w:szCs w:val="18"/>
                <w:lang w:val="en-US" w:eastAsia="zh-CN"/>
              </w:rPr>
              <w:t>100</w:t>
            </w:r>
            <w:r>
              <w:rPr>
                <w:rFonts w:hint="default" w:ascii="Arial" w:hAnsi="Arial" w:eastAsia="华文细黑" w:cs="Arial"/>
                <w:sz w:val="18"/>
                <w:szCs w:val="18"/>
              </w:rPr>
              <w:t>、</w:t>
            </w:r>
            <w:r>
              <w:rPr>
                <w:rFonts w:hint="eastAsia" w:ascii="Arial" w:hAnsi="Arial" w:eastAsia="华文细黑" w:cs="Arial"/>
                <w:sz w:val="18"/>
                <w:szCs w:val="18"/>
                <w:lang w:val="en-US" w:eastAsia="zh-CN"/>
              </w:rPr>
              <w:t>100</w:t>
            </w:r>
            <w:r>
              <w:rPr>
                <w:rFonts w:hint="default" w:ascii="Arial" w:hAnsi="Arial" w:eastAsia="华文细黑" w:cs="Arial"/>
                <w:sz w:val="18"/>
                <w:szCs w:val="18"/>
              </w:rPr>
              <w:t>、</w:t>
            </w:r>
            <w:r>
              <w:rPr>
                <w:rFonts w:hint="eastAsia" w:ascii="Arial" w:hAnsi="Arial" w:eastAsia="华文细黑" w:cs="Arial"/>
                <w:sz w:val="18"/>
                <w:szCs w:val="18"/>
                <w:lang w:val="en-US" w:eastAsia="zh-CN"/>
              </w:rPr>
              <w:t>100</w:t>
            </w:r>
            <w:r>
              <w:rPr>
                <w:rFonts w:hint="default" w:ascii="Arial" w:hAnsi="Arial" w:eastAsia="华文细黑" w:cs="Arial"/>
                <w:sz w:val="18"/>
                <w:szCs w:val="18"/>
              </w:rPr>
              <w:t>；</w:t>
            </w:r>
          </w:p>
        </w:tc>
      </w:tr>
      <w:tr>
        <w:tblPrEx>
          <w:tblCellMar>
            <w:top w:w="57" w:type="dxa"/>
            <w:left w:w="57" w:type="dxa"/>
            <w:bottom w:w="57" w:type="dxa"/>
            <w:right w:w="57" w:type="dxa"/>
          </w:tblCellMar>
        </w:tblPrEx>
        <w:trPr>
          <w:trHeight w:val="87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华文细黑" w:cs="Arial"/>
                <w:sz w:val="18"/>
                <w:szCs w:val="18"/>
              </w:rPr>
            </w:pPr>
            <w:r>
              <w:rPr>
                <w:rFonts w:hint="default" w:ascii="Arial" w:hAnsi="Arial" w:eastAsia="华文细黑" w:cs="Arial"/>
                <w:sz w:val="18"/>
                <w:szCs w:val="18"/>
              </w:rPr>
              <w:t>标准房建筑面积</w:t>
            </w:r>
          </w:p>
        </w:tc>
        <w:tc>
          <w:tcPr>
            <w:tcW w:w="561"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1"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rPr>
            </w:pPr>
            <w:r>
              <w:rPr>
                <w:rFonts w:hint="default" w:ascii="Arial" w:hAnsi="Arial" w:eastAsia="华文细黑" w:cs="Arial"/>
                <w:sz w:val="18"/>
                <w:szCs w:val="18"/>
              </w:rPr>
              <w:t>100</w:t>
            </w:r>
          </w:p>
        </w:tc>
        <w:tc>
          <w:tcPr>
            <w:tcW w:w="562"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102</w:t>
            </w:r>
          </w:p>
        </w:tc>
        <w:tc>
          <w:tcPr>
            <w:tcW w:w="2068" w:type="pct"/>
            <w:tcBorders>
              <w:top w:val="single" w:color="auto" w:sz="4" w:space="0"/>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根据标准房</w:t>
            </w:r>
            <w:r>
              <w:rPr>
                <w:rFonts w:hint="default" w:ascii="Arial" w:hAnsi="Arial" w:eastAsia="华文细黑" w:cs="Arial"/>
                <w:sz w:val="18"/>
                <w:szCs w:val="18"/>
                <w:highlight w:val="none"/>
              </w:rPr>
              <w:t>建筑面积对其价值的影响，</w:t>
            </w:r>
            <w:r>
              <w:rPr>
                <w:rFonts w:hint="eastAsia" w:ascii="Arial" w:hAnsi="Arial" w:eastAsia="华文细黑" w:cs="Arial"/>
                <w:sz w:val="18"/>
                <w:szCs w:val="18"/>
                <w:highlight w:val="none"/>
                <w:lang w:eastAsia="zh-CN"/>
              </w:rPr>
              <w:t>面积从</w:t>
            </w:r>
            <w:r>
              <w:rPr>
                <w:rFonts w:hint="default" w:ascii="Arial" w:hAnsi="Arial" w:eastAsia="华文细黑" w:cs="Arial"/>
                <w:sz w:val="18"/>
                <w:szCs w:val="18"/>
                <w:highlight w:val="none"/>
              </w:rPr>
              <w:t>50-</w:t>
            </w:r>
            <w:r>
              <w:rPr>
                <w:rFonts w:hint="eastAsia" w:ascii="Arial" w:hAnsi="Arial" w:eastAsia="华文细黑" w:cs="Arial"/>
                <w:sz w:val="18"/>
                <w:szCs w:val="18"/>
                <w:highlight w:val="none"/>
                <w:lang w:val="en-US" w:eastAsia="zh-CN"/>
              </w:rPr>
              <w:t>60</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60</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70</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7</w:t>
            </w:r>
            <w:r>
              <w:rPr>
                <w:rFonts w:hint="default" w:ascii="Arial" w:hAnsi="Arial" w:eastAsia="华文细黑" w:cs="Arial"/>
                <w:sz w:val="18"/>
                <w:szCs w:val="18"/>
                <w:highlight w:val="none"/>
              </w:rPr>
              <w:t>0-</w:t>
            </w:r>
            <w:r>
              <w:rPr>
                <w:rFonts w:hint="eastAsia" w:ascii="Arial" w:hAnsi="Arial" w:eastAsia="华文细黑" w:cs="Arial"/>
                <w:sz w:val="18"/>
                <w:szCs w:val="18"/>
                <w:highlight w:val="none"/>
                <w:lang w:val="en-US" w:eastAsia="zh-CN"/>
              </w:rPr>
              <w:t>8</w:t>
            </w:r>
            <w:r>
              <w:rPr>
                <w:rFonts w:hint="default" w:ascii="Arial" w:hAnsi="Arial" w:eastAsia="华文细黑" w:cs="Arial"/>
                <w:sz w:val="18"/>
                <w:szCs w:val="18"/>
                <w:highlight w:val="none"/>
              </w:rPr>
              <w:t>0、</w:t>
            </w:r>
            <w:r>
              <w:rPr>
                <w:rFonts w:hint="eastAsia" w:ascii="Arial" w:hAnsi="Arial" w:eastAsia="华文细黑" w:cs="Arial"/>
                <w:sz w:val="18"/>
                <w:szCs w:val="18"/>
                <w:highlight w:val="none"/>
                <w:lang w:val="en-US" w:eastAsia="zh-CN"/>
              </w:rPr>
              <w:t>80</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90、90-100平方米</w:t>
            </w:r>
            <w:r>
              <w:rPr>
                <w:rFonts w:hint="default" w:ascii="Arial" w:hAnsi="Arial" w:eastAsia="华文细黑" w:cs="Arial"/>
                <w:sz w:val="18"/>
                <w:szCs w:val="18"/>
                <w:highlight w:val="none"/>
              </w:rPr>
              <w:t>依次</w:t>
            </w:r>
            <w:r>
              <w:rPr>
                <w:rFonts w:hint="eastAsia" w:ascii="Arial" w:hAnsi="Arial" w:eastAsia="华文细黑" w:cs="Arial"/>
                <w:sz w:val="18"/>
                <w:szCs w:val="18"/>
                <w:highlight w:val="none"/>
                <w:lang w:eastAsia="zh-CN"/>
              </w:rPr>
              <w:t>逐级递增</w:t>
            </w:r>
            <w:r>
              <w:rPr>
                <w:rFonts w:hint="default" w:ascii="Arial" w:hAnsi="Arial" w:eastAsia="华文细黑" w:cs="Arial"/>
                <w:sz w:val="18"/>
                <w:szCs w:val="18"/>
                <w:highlight w:val="none"/>
              </w:rPr>
              <w:t>。面积越小出租率越高，以估价对象该因素指数为100，各可比实例与之相比，确定可比实例1、2、3</w:t>
            </w:r>
            <w:r>
              <w:rPr>
                <w:rFonts w:hint="default" w:ascii="Arial" w:hAnsi="Arial" w:eastAsia="华文细黑" w:cs="Arial"/>
                <w:sz w:val="18"/>
                <w:szCs w:val="18"/>
              </w:rPr>
              <w:t>该因素指数分别为100、10</w:t>
            </w:r>
            <w:r>
              <w:rPr>
                <w:rFonts w:hint="eastAsia" w:ascii="Arial" w:hAnsi="Arial" w:eastAsia="华文细黑" w:cs="Arial"/>
                <w:sz w:val="18"/>
                <w:szCs w:val="18"/>
                <w:lang w:val="en-US" w:eastAsia="zh-CN"/>
              </w:rPr>
              <w:t>0</w:t>
            </w:r>
            <w:r>
              <w:rPr>
                <w:rFonts w:hint="default" w:ascii="Arial" w:hAnsi="Arial" w:eastAsia="华文细黑" w:cs="Arial"/>
                <w:sz w:val="18"/>
                <w:szCs w:val="18"/>
              </w:rPr>
              <w:t>、10</w:t>
            </w:r>
            <w:r>
              <w:rPr>
                <w:rFonts w:hint="eastAsia" w:ascii="Arial" w:hAnsi="Arial" w:eastAsia="华文细黑" w:cs="Arial"/>
                <w:sz w:val="18"/>
                <w:szCs w:val="18"/>
                <w:lang w:val="en-US" w:eastAsia="zh-CN"/>
              </w:rPr>
              <w:t>2</w:t>
            </w:r>
            <w:r>
              <w:rPr>
                <w:rFonts w:hint="default" w:ascii="Arial" w:hAnsi="Arial" w:eastAsia="华文细黑" w:cs="Arial"/>
                <w:sz w:val="18"/>
                <w:szCs w:val="18"/>
              </w:rPr>
              <w:t>；</w:t>
            </w:r>
          </w:p>
        </w:tc>
      </w:tr>
      <w:tr>
        <w:tblPrEx>
          <w:tblCellMar>
            <w:top w:w="57" w:type="dxa"/>
            <w:left w:w="57" w:type="dxa"/>
            <w:bottom w:w="57" w:type="dxa"/>
            <w:right w:w="57" w:type="dxa"/>
          </w:tblCellMar>
        </w:tblPrEx>
        <w:trPr>
          <w:trHeight w:val="874"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default" w:ascii="Arial" w:hAnsi="Arial" w:eastAsia="华文细黑" w:cs="Arial"/>
                <w:sz w:val="18"/>
                <w:szCs w:val="18"/>
                <w:lang w:val="en-US" w:eastAsia="zh-CN" w:bidi="ar-SA"/>
              </w:rPr>
            </w:pPr>
            <w:r>
              <w:rPr>
                <w:rFonts w:hint="default" w:ascii="Arial" w:hAnsi="Arial" w:eastAsia="华文细黑" w:cs="Arial"/>
                <w:sz w:val="18"/>
                <w:szCs w:val="18"/>
              </w:rPr>
              <w:t>设备</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bidi="ar-SA"/>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bidi="ar-SA"/>
              </w:rPr>
            </w:pPr>
            <w:r>
              <w:rPr>
                <w:rFonts w:hint="default" w:ascii="Arial" w:hAnsi="Arial" w:eastAsia="华文细黑" w:cs="Arial"/>
                <w:sz w:val="18"/>
                <w:szCs w:val="18"/>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bidi="ar-SA"/>
              </w:rPr>
            </w:pPr>
            <w:r>
              <w:rPr>
                <w:rFonts w:hint="default" w:ascii="Arial" w:hAnsi="Arial" w:eastAsia="华文细黑" w:cs="Arial"/>
                <w:sz w:val="18"/>
                <w:szCs w:val="18"/>
              </w:rPr>
              <w:t>100</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bidi="ar-SA"/>
              </w:rPr>
            </w:pPr>
            <w:r>
              <w:rPr>
                <w:rFonts w:hint="default" w:ascii="Arial" w:hAnsi="Arial" w:eastAsia="华文细黑" w:cs="Arial"/>
                <w:sz w:val="18"/>
                <w:szCs w:val="18"/>
              </w:rPr>
              <w:t>100</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根据设备对其价值的影响，从好到差划分为好、较好、一般、较差、差五个等级。</w:t>
            </w:r>
          </w:p>
          <w:p>
            <w:pPr>
              <w:rPr>
                <w:rFonts w:hint="default" w:ascii="Arial" w:hAnsi="Arial" w:eastAsia="华文细黑" w:cs="Arial"/>
                <w:sz w:val="18"/>
                <w:szCs w:val="18"/>
                <w:lang w:val="en-US" w:eastAsia="zh-CN" w:bidi="ar-SA"/>
              </w:rPr>
            </w:pPr>
            <w:r>
              <w:rPr>
                <w:rFonts w:hint="default" w:ascii="Arial" w:hAnsi="Arial" w:eastAsia="华文细黑"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坏，质量没有保障，发生危险的可能性较大，差。以估价对象该因素指数为100，各可比实例与之相比，确定可比实例1、2、3该因素指数分别为100、100、100；</w:t>
            </w:r>
          </w:p>
        </w:tc>
      </w:tr>
      <w:tr>
        <w:tblPrEx>
          <w:tblCellMar>
            <w:top w:w="57" w:type="dxa"/>
            <w:left w:w="57" w:type="dxa"/>
            <w:bottom w:w="57" w:type="dxa"/>
            <w:right w:w="57" w:type="dxa"/>
          </w:tblCellMar>
        </w:tblPrEx>
        <w:trPr>
          <w:trHeight w:val="874"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rPr>
                <w:rFonts w:hint="default" w:ascii="Arial" w:hAnsi="Arial" w:eastAsia="华文细黑" w:cs="Arial"/>
                <w:sz w:val="18"/>
                <w:szCs w:val="18"/>
              </w:rPr>
            </w:pPr>
          </w:p>
        </w:tc>
        <w:tc>
          <w:tcPr>
            <w:tcW w:w="375" w:type="pct"/>
            <w:tcBorders>
              <w:top w:val="nil"/>
              <w:left w:val="nil"/>
              <w:bottom w:val="single" w:color="auto" w:sz="4" w:space="0"/>
              <w:right w:val="single" w:color="auto" w:sz="4" w:space="0"/>
            </w:tcBorders>
            <w:vAlign w:val="center"/>
          </w:tcPr>
          <w:p>
            <w:pPr>
              <w:jc w:val="center"/>
              <w:rPr>
                <w:rFonts w:hint="eastAsia" w:ascii="Arial" w:hAnsi="Arial" w:eastAsia="华文细黑" w:cs="Arial"/>
                <w:sz w:val="18"/>
                <w:szCs w:val="18"/>
                <w:lang w:eastAsia="zh-CN"/>
              </w:rPr>
            </w:pPr>
            <w:r>
              <w:rPr>
                <w:rFonts w:hint="eastAsia" w:ascii="Arial" w:hAnsi="Arial" w:eastAsia="华文细黑" w:cs="Arial"/>
                <w:sz w:val="18"/>
                <w:szCs w:val="18"/>
                <w:lang w:eastAsia="zh-CN"/>
              </w:rPr>
              <w:t>成新度</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100</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99</w:t>
            </w:r>
          </w:p>
        </w:tc>
        <w:tc>
          <w:tcPr>
            <w:tcW w:w="561"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98</w:t>
            </w:r>
          </w:p>
        </w:tc>
        <w:tc>
          <w:tcPr>
            <w:tcW w:w="562" w:type="pct"/>
            <w:tcBorders>
              <w:top w:val="nil"/>
              <w:left w:val="nil"/>
              <w:bottom w:val="single" w:color="auto" w:sz="4" w:space="0"/>
              <w:right w:val="single" w:color="auto" w:sz="4" w:space="0"/>
            </w:tcBorders>
            <w:noWrap/>
            <w:vAlign w:val="center"/>
          </w:tcPr>
          <w:p>
            <w:pPr>
              <w:jc w:val="center"/>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97</w:t>
            </w:r>
          </w:p>
        </w:tc>
        <w:tc>
          <w:tcPr>
            <w:tcW w:w="2068" w:type="pct"/>
            <w:tcBorders>
              <w:top w:val="nil"/>
              <w:left w:val="nil"/>
              <w:bottom w:val="single" w:color="auto" w:sz="4" w:space="0"/>
              <w:right w:val="single" w:color="auto" w:sz="4" w:space="0"/>
            </w:tcBorders>
            <w:vAlign w:val="center"/>
          </w:tcPr>
          <w:p>
            <w:pPr>
              <w:rPr>
                <w:rFonts w:hint="default" w:ascii="Arial" w:hAnsi="Arial" w:eastAsia="华文细黑" w:cs="Arial"/>
                <w:sz w:val="18"/>
                <w:szCs w:val="18"/>
              </w:rPr>
            </w:pPr>
            <w:r>
              <w:rPr>
                <w:rFonts w:hint="default" w:ascii="Arial" w:hAnsi="Arial" w:eastAsia="华文细黑" w:cs="Arial"/>
                <w:sz w:val="18"/>
                <w:szCs w:val="18"/>
              </w:rPr>
              <w:t>根据</w:t>
            </w:r>
            <w:r>
              <w:rPr>
                <w:rFonts w:hint="eastAsia" w:ascii="Arial" w:hAnsi="Arial" w:eastAsia="华文细黑" w:cs="Arial"/>
                <w:sz w:val="18"/>
                <w:szCs w:val="18"/>
                <w:lang w:eastAsia="zh-CN"/>
              </w:rPr>
              <w:t>成新度</w:t>
            </w:r>
            <w:r>
              <w:rPr>
                <w:rFonts w:hint="default" w:ascii="Arial" w:hAnsi="Arial" w:eastAsia="华文细黑" w:cs="Arial"/>
                <w:sz w:val="18"/>
                <w:szCs w:val="18"/>
              </w:rPr>
              <w:t>对其价值的影响，</w:t>
            </w:r>
            <w:r>
              <w:rPr>
                <w:rFonts w:hint="eastAsia" w:ascii="Arial" w:hAnsi="Arial" w:eastAsia="华文细黑" w:cs="Arial"/>
                <w:sz w:val="18"/>
                <w:szCs w:val="18"/>
                <w:lang w:eastAsia="zh-CN"/>
              </w:rPr>
              <w:t>从</w:t>
            </w:r>
            <w:r>
              <w:rPr>
                <w:rFonts w:hint="eastAsia" w:ascii="Arial" w:hAnsi="Arial" w:eastAsia="华文细黑" w:cs="Arial"/>
                <w:sz w:val="18"/>
                <w:szCs w:val="18"/>
                <w:lang w:val="en-US" w:eastAsia="zh-CN"/>
              </w:rPr>
              <w:t>90</w:t>
            </w:r>
            <w:r>
              <w:rPr>
                <w:rFonts w:hint="eastAsia" w:ascii="Arial" w:hAnsi="Arial" w:eastAsia="华文细黑" w:cs="Arial"/>
                <w:sz w:val="18"/>
                <w:szCs w:val="18"/>
                <w:highlight w:val="none"/>
                <w:lang w:val="en-US" w:eastAsia="zh-CN"/>
              </w:rPr>
              <w:t>%-100%</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80%-90%</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7</w:t>
            </w:r>
            <w:r>
              <w:rPr>
                <w:rFonts w:hint="default" w:ascii="Arial" w:hAnsi="Arial" w:eastAsia="华文细黑" w:cs="Arial"/>
                <w:sz w:val="18"/>
                <w:szCs w:val="18"/>
                <w:highlight w:val="none"/>
              </w:rPr>
              <w:t>0</w:t>
            </w:r>
            <w:r>
              <w:rPr>
                <w:rFonts w:hint="eastAsia" w:ascii="Arial" w:hAnsi="Arial" w:eastAsia="华文细黑" w:cs="Arial"/>
                <w:sz w:val="18"/>
                <w:szCs w:val="18"/>
                <w:highlight w:val="none"/>
                <w:lang w:val="en-US" w:eastAsia="zh-CN"/>
              </w:rPr>
              <w:t>%</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8</w:t>
            </w:r>
            <w:r>
              <w:rPr>
                <w:rFonts w:hint="default" w:ascii="Arial" w:hAnsi="Arial" w:eastAsia="华文细黑" w:cs="Arial"/>
                <w:sz w:val="18"/>
                <w:szCs w:val="18"/>
                <w:highlight w:val="none"/>
              </w:rPr>
              <w:t>0</w:t>
            </w:r>
            <w:r>
              <w:rPr>
                <w:rFonts w:hint="eastAsia" w:ascii="Arial" w:hAnsi="Arial" w:eastAsia="华文细黑" w:cs="Arial"/>
                <w:sz w:val="18"/>
                <w:szCs w:val="18"/>
                <w:highlight w:val="none"/>
                <w:lang w:val="en-US" w:eastAsia="zh-CN"/>
              </w:rPr>
              <w:t>%</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60%</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70%、60%及以下</w:t>
            </w:r>
            <w:r>
              <w:rPr>
                <w:rFonts w:hint="default" w:ascii="Arial" w:hAnsi="Arial" w:eastAsia="华文细黑" w:cs="Arial"/>
                <w:sz w:val="18"/>
                <w:szCs w:val="18"/>
                <w:highlight w:val="none"/>
              </w:rPr>
              <w:t>依次</w:t>
            </w:r>
            <w:r>
              <w:rPr>
                <w:rFonts w:hint="eastAsia" w:ascii="Arial" w:hAnsi="Arial" w:eastAsia="华文细黑" w:cs="Arial"/>
                <w:sz w:val="18"/>
                <w:szCs w:val="18"/>
                <w:highlight w:val="none"/>
                <w:lang w:eastAsia="zh-CN"/>
              </w:rPr>
              <w:t>逐级递减</w:t>
            </w:r>
            <w:r>
              <w:rPr>
                <w:rFonts w:hint="default" w:ascii="Arial" w:hAnsi="Arial" w:eastAsia="华文细黑" w:cs="Arial"/>
                <w:sz w:val="18"/>
                <w:szCs w:val="18"/>
                <w:highlight w:val="none"/>
              </w:rPr>
              <w:t>。以估价对象该因素指数为100，各可比实例与之相比，确定可比实例1、2、3该因素指数分别为</w:t>
            </w:r>
            <w:r>
              <w:rPr>
                <w:rFonts w:hint="eastAsia" w:ascii="Arial" w:hAnsi="Arial" w:eastAsia="华文细黑" w:cs="Arial"/>
                <w:sz w:val="18"/>
                <w:szCs w:val="18"/>
                <w:highlight w:val="none"/>
                <w:lang w:val="en-US" w:eastAsia="zh-CN"/>
              </w:rPr>
              <w:t>99</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98</w:t>
            </w:r>
            <w:r>
              <w:rPr>
                <w:rFonts w:hint="default" w:ascii="Arial" w:hAnsi="Arial" w:eastAsia="华文细黑" w:cs="Arial"/>
                <w:sz w:val="18"/>
                <w:szCs w:val="18"/>
                <w:highlight w:val="none"/>
              </w:rPr>
              <w:t>、</w:t>
            </w:r>
            <w:r>
              <w:rPr>
                <w:rFonts w:hint="eastAsia" w:ascii="Arial" w:hAnsi="Arial" w:eastAsia="华文细黑" w:cs="Arial"/>
                <w:sz w:val="18"/>
                <w:szCs w:val="18"/>
                <w:highlight w:val="none"/>
                <w:lang w:val="en-US" w:eastAsia="zh-CN"/>
              </w:rPr>
              <w:t>97</w:t>
            </w:r>
            <w:r>
              <w:rPr>
                <w:rFonts w:hint="default" w:ascii="Arial" w:hAnsi="Arial" w:eastAsia="华文细黑" w:cs="Arial"/>
                <w:sz w:val="18"/>
                <w:szCs w:val="18"/>
                <w:highlight w:val="none"/>
              </w:rPr>
              <w:t>；</w:t>
            </w:r>
          </w:p>
        </w:tc>
      </w:tr>
    </w:tbl>
    <w:p>
      <w:pPr>
        <w:keepNext w:val="0"/>
        <w:keepLines w:val="0"/>
        <w:pageBreakBefore w:val="0"/>
        <w:widowControl/>
        <w:kinsoku/>
        <w:wordWrap w:val="0"/>
        <w:overflowPunct w:val="0"/>
        <w:topLinePunct w:val="0"/>
        <w:autoSpaceDE/>
        <w:autoSpaceDN/>
        <w:bidi w:val="0"/>
        <w:adjustRightInd w:val="0"/>
        <w:snapToGrid w:val="0"/>
        <w:spacing w:line="240" w:lineRule="auto"/>
        <w:textAlignment w:val="auto"/>
        <w:rPr>
          <w:rFonts w:hint="eastAsia" w:ascii="Arial" w:hAnsi="Arial" w:cs="Arial"/>
          <w:sz w:val="18"/>
          <w:szCs w:val="18"/>
        </w:rPr>
      </w:pPr>
      <w:r>
        <w:rPr>
          <w:rFonts w:hint="eastAsia" w:ascii="Arial" w:hAnsi="Arial" w:cs="Arial"/>
          <w:sz w:val="21"/>
          <w:szCs w:val="21"/>
        </w:rPr>
        <w:t xml:space="preserve">    </w:t>
      </w: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hint="eastAsia" w:ascii="Arial" w:hAnsi="Arial" w:cs="Arial"/>
          <w:sz w:val="21"/>
          <w:szCs w:val="21"/>
        </w:rPr>
      </w:pPr>
    </w:p>
    <w:p>
      <w:pPr>
        <w:wordWrap w:val="0"/>
        <w:overflowPunct w:val="0"/>
        <w:spacing w:line="480" w:lineRule="auto"/>
        <w:rPr>
          <w:rFonts w:ascii="Arial" w:hAnsi="Arial" w:cs="Arial"/>
          <w:sz w:val="21"/>
          <w:szCs w:val="21"/>
        </w:rPr>
      </w:pPr>
      <w:r>
        <w:rPr>
          <w:rFonts w:hint="eastAsia" w:ascii="Arial" w:hAnsi="Arial" w:cs="Arial"/>
          <w:sz w:val="21"/>
          <w:szCs w:val="21"/>
        </w:rPr>
        <w:t xml:space="preserve"> </w:t>
      </w:r>
      <w:r>
        <w:rPr>
          <w:rFonts w:ascii="Arial" w:hAnsi="Arial" w:cs="Arial"/>
          <w:sz w:val="21"/>
          <w:szCs w:val="21"/>
        </w:rPr>
        <w:t xml:space="preserve">3. 编制因素比较修正系数表 </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根据比较因素条件指数表，编制因素比较修正系数表，详见下表： </w:t>
      </w:r>
    </w:p>
    <w:p>
      <w:pPr>
        <w:overflowPunct w:val="0"/>
        <w:spacing w:line="480" w:lineRule="auto"/>
        <w:ind w:firstLine="420" w:firstLineChars="200"/>
        <w:jc w:val="center"/>
        <w:rPr>
          <w:rFonts w:ascii="Arial" w:hAnsi="Arial" w:cs="Arial"/>
          <w:sz w:val="21"/>
          <w:szCs w:val="21"/>
        </w:rPr>
      </w:pPr>
      <w:r>
        <w:rPr>
          <w:rFonts w:ascii="Arial" w:hAnsi="Arial" w:cs="Arial"/>
          <w:sz w:val="21"/>
          <w:szCs w:val="21"/>
        </w:rPr>
        <w:t>因素比较修正系数表</w:t>
      </w:r>
    </w:p>
    <w:tbl>
      <w:tblPr>
        <w:tblStyle w:val="32"/>
        <w:tblW w:w="9298" w:type="dxa"/>
        <w:jc w:val="center"/>
        <w:tblLayout w:type="autofit"/>
        <w:tblCellMar>
          <w:top w:w="57" w:type="dxa"/>
          <w:left w:w="57" w:type="dxa"/>
          <w:bottom w:w="57" w:type="dxa"/>
          <w:right w:w="57" w:type="dxa"/>
        </w:tblCellMar>
      </w:tblPr>
      <w:tblGrid>
        <w:gridCol w:w="1475"/>
        <w:gridCol w:w="2821"/>
        <w:gridCol w:w="1668"/>
        <w:gridCol w:w="1668"/>
        <w:gridCol w:w="1666"/>
      </w:tblGrid>
      <w:tr>
        <w:tblPrEx>
          <w:tblCellMar>
            <w:top w:w="57" w:type="dxa"/>
            <w:left w:w="57" w:type="dxa"/>
            <w:bottom w:w="57" w:type="dxa"/>
            <w:right w:w="57" w:type="dxa"/>
          </w:tblCellMar>
        </w:tblPrEx>
        <w:trPr>
          <w:trHeight w:val="227" w:hRule="atLeast"/>
          <w:jc w:val="center"/>
        </w:trPr>
        <w:tc>
          <w:tcPr>
            <w:tcW w:w="23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项目</w:t>
            </w:r>
          </w:p>
        </w:tc>
        <w:tc>
          <w:tcPr>
            <w:tcW w:w="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可比实例1</w:t>
            </w:r>
          </w:p>
        </w:tc>
        <w:tc>
          <w:tcPr>
            <w:tcW w:w="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可比实例2</w:t>
            </w:r>
          </w:p>
        </w:tc>
        <w:tc>
          <w:tcPr>
            <w:tcW w:w="8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可比实例3</w:t>
            </w:r>
          </w:p>
        </w:tc>
      </w:tr>
      <w:tr>
        <w:tblPrEx>
          <w:tblCellMar>
            <w:top w:w="57" w:type="dxa"/>
            <w:left w:w="57" w:type="dxa"/>
            <w:bottom w:w="57" w:type="dxa"/>
            <w:right w:w="57" w:type="dxa"/>
          </w:tblCellMar>
        </w:tblPrEx>
        <w:trPr>
          <w:trHeight w:val="227" w:hRule="atLeast"/>
          <w:jc w:val="center"/>
        </w:trPr>
        <w:tc>
          <w:tcPr>
            <w:tcW w:w="23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小区名称</w:t>
            </w:r>
          </w:p>
        </w:tc>
        <w:tc>
          <w:tcPr>
            <w:tcW w:w="16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阳光邑上</w:t>
            </w:r>
          </w:p>
        </w:tc>
        <w:tc>
          <w:tcPr>
            <w:tcW w:w="16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昊文温泉家园</w:t>
            </w:r>
          </w:p>
        </w:tc>
        <w:tc>
          <w:tcPr>
            <w:tcW w:w="166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文化路社区</w:t>
            </w:r>
          </w:p>
        </w:tc>
      </w:tr>
      <w:tr>
        <w:tblPrEx>
          <w:tblCellMar>
            <w:top w:w="57" w:type="dxa"/>
            <w:left w:w="57" w:type="dxa"/>
            <w:bottom w:w="57" w:type="dxa"/>
            <w:right w:w="57" w:type="dxa"/>
          </w:tblCellMar>
        </w:tblPrEx>
        <w:trPr>
          <w:trHeight w:val="227" w:hRule="atLeast"/>
          <w:jc w:val="center"/>
        </w:trPr>
        <w:tc>
          <w:tcPr>
            <w:tcW w:w="23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平均租金（元/平方米·月）</w:t>
            </w:r>
          </w:p>
        </w:tc>
        <w:tc>
          <w:tcPr>
            <w:tcW w:w="16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eastAsia" w:ascii="Arial" w:hAnsi="Arial" w:eastAsia="华文细黑" w:cs="Arial"/>
                <w:sz w:val="18"/>
                <w:szCs w:val="18"/>
                <w:lang w:val="en-US" w:eastAsia="zh-CN"/>
              </w:rPr>
              <w:t>37.94</w:t>
            </w:r>
          </w:p>
        </w:tc>
        <w:tc>
          <w:tcPr>
            <w:tcW w:w="16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eastAsia" w:ascii="Arial" w:hAnsi="Arial" w:eastAsia="华文细黑" w:cs="Arial"/>
                <w:sz w:val="18"/>
                <w:szCs w:val="18"/>
                <w:lang w:val="en-US" w:eastAsia="zh-CN"/>
              </w:rPr>
              <w:t>34.29</w:t>
            </w:r>
          </w:p>
        </w:tc>
        <w:tc>
          <w:tcPr>
            <w:tcW w:w="166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eastAsia" w:ascii="Arial" w:hAnsi="Arial" w:eastAsia="华文细黑" w:cs="Arial"/>
                <w:sz w:val="18"/>
                <w:szCs w:val="18"/>
                <w:lang w:val="en-US" w:eastAsia="zh-CN"/>
              </w:rPr>
              <w:t>39.24</w:t>
            </w:r>
          </w:p>
        </w:tc>
      </w:tr>
      <w:tr>
        <w:tblPrEx>
          <w:tblCellMar>
            <w:top w:w="57" w:type="dxa"/>
            <w:left w:w="57" w:type="dxa"/>
            <w:bottom w:w="57" w:type="dxa"/>
            <w:right w:w="57" w:type="dxa"/>
          </w:tblCellMar>
        </w:tblPrEx>
        <w:trPr>
          <w:trHeight w:val="227" w:hRule="atLeast"/>
          <w:jc w:val="center"/>
        </w:trPr>
        <w:tc>
          <w:tcPr>
            <w:tcW w:w="23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交易时间</w:t>
            </w:r>
          </w:p>
        </w:tc>
        <w:tc>
          <w:tcPr>
            <w:tcW w:w="89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23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交易情况</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区域状况</w:t>
            </w: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居住区成熟度</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交通条件</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商业设施</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自然环境</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公共配套</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实物状况</w:t>
            </w: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物业服务</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小区环境</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100/</w:t>
            </w:r>
            <w:r>
              <w:rPr>
                <w:rFonts w:hint="eastAsia" w:ascii="Arial" w:hAnsi="Arial" w:eastAsia="华文细黑" w:cs="Arial"/>
                <w:sz w:val="18"/>
                <w:szCs w:val="18"/>
                <w:lang w:val="en-US" w:eastAsia="zh-CN"/>
              </w:rPr>
              <w:t>95</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配套设施</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居住管理</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户型</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100/</w:t>
            </w:r>
            <w:r>
              <w:rPr>
                <w:rFonts w:hint="eastAsia" w:ascii="Arial" w:hAnsi="Arial" w:eastAsia="华文细黑" w:cs="Arial"/>
                <w:sz w:val="18"/>
                <w:szCs w:val="18"/>
                <w:lang w:val="en-US" w:eastAsia="zh-CN"/>
              </w:rPr>
              <w:t>96</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100/</w:t>
            </w:r>
            <w:r>
              <w:rPr>
                <w:rFonts w:hint="eastAsia" w:ascii="Arial" w:hAnsi="Arial" w:eastAsia="华文细黑" w:cs="Arial"/>
                <w:sz w:val="18"/>
                <w:szCs w:val="18"/>
                <w:lang w:val="en-US" w:eastAsia="zh-CN"/>
              </w:rPr>
              <w:t>96</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100/</w:t>
            </w:r>
            <w:r>
              <w:rPr>
                <w:rFonts w:hint="eastAsia" w:ascii="Arial" w:hAnsi="Arial" w:eastAsia="华文细黑" w:cs="Arial"/>
                <w:sz w:val="18"/>
                <w:szCs w:val="18"/>
                <w:lang w:val="en-US" w:eastAsia="zh-CN"/>
              </w:rPr>
              <w:t>96</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朝向、通风、采光</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装修</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标准房建筑面积</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89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Arial" w:hAnsi="Arial" w:eastAsia="华文细黑" w:cs="Arial"/>
                <w:sz w:val="18"/>
                <w:szCs w:val="18"/>
                <w:lang w:val="en-US" w:eastAsia="zh-CN"/>
              </w:rPr>
            </w:pPr>
            <w:r>
              <w:rPr>
                <w:rFonts w:hint="default" w:ascii="Arial" w:hAnsi="Arial" w:eastAsia="华文细黑" w:cs="Arial"/>
                <w:sz w:val="18"/>
                <w:szCs w:val="18"/>
              </w:rPr>
              <w:t>100/10</w:t>
            </w:r>
            <w:r>
              <w:rPr>
                <w:rFonts w:hint="eastAsia" w:ascii="Arial" w:hAnsi="Arial" w:eastAsia="华文细黑" w:cs="Arial"/>
                <w:sz w:val="18"/>
                <w:szCs w:val="18"/>
                <w:lang w:val="en-US" w:eastAsia="zh-CN"/>
              </w:rPr>
              <w:t>2</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282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设备</w:t>
            </w:r>
          </w:p>
        </w:tc>
        <w:tc>
          <w:tcPr>
            <w:tcW w:w="16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16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c>
          <w:tcPr>
            <w:tcW w:w="166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rPr>
            </w:pPr>
            <w:r>
              <w:rPr>
                <w:rFonts w:hint="default" w:ascii="Arial" w:hAnsi="Arial" w:eastAsia="华文细黑" w:cs="Arial"/>
                <w:sz w:val="18"/>
                <w:szCs w:val="18"/>
              </w:rPr>
              <w:t>100/100</w:t>
            </w:r>
          </w:p>
        </w:tc>
      </w:tr>
      <w:tr>
        <w:tblPrEx>
          <w:tblCellMar>
            <w:top w:w="57" w:type="dxa"/>
            <w:left w:w="57" w:type="dxa"/>
            <w:bottom w:w="57" w:type="dxa"/>
            <w:right w:w="57" w:type="dxa"/>
          </w:tblCellMar>
        </w:tblPrEx>
        <w:trPr>
          <w:trHeight w:val="227" w:hRule="atLeast"/>
          <w:jc w:val="center"/>
        </w:trPr>
        <w:tc>
          <w:tcPr>
            <w:tcW w:w="79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p>
        </w:tc>
        <w:tc>
          <w:tcPr>
            <w:tcW w:w="15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eastAsia" w:ascii="Arial" w:hAnsi="Arial" w:eastAsia="华文细黑" w:cs="Arial"/>
                <w:sz w:val="18"/>
                <w:szCs w:val="18"/>
                <w:lang w:eastAsia="zh-CN"/>
              </w:rPr>
            </w:pPr>
            <w:r>
              <w:rPr>
                <w:rFonts w:hint="eastAsia" w:ascii="Arial" w:hAnsi="Arial" w:eastAsia="华文细黑" w:cs="Arial"/>
                <w:sz w:val="18"/>
                <w:szCs w:val="18"/>
                <w:lang w:eastAsia="zh-CN"/>
              </w:rPr>
              <w:t>成新度</w:t>
            </w:r>
          </w:p>
        </w:tc>
        <w:tc>
          <w:tcPr>
            <w:tcW w:w="16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100/</w:t>
            </w:r>
            <w:r>
              <w:rPr>
                <w:rFonts w:hint="eastAsia" w:ascii="Arial" w:hAnsi="Arial" w:eastAsia="华文细黑" w:cs="Arial"/>
                <w:sz w:val="18"/>
                <w:szCs w:val="18"/>
                <w:lang w:val="en-US" w:eastAsia="zh-CN"/>
              </w:rPr>
              <w:t>99</w:t>
            </w:r>
          </w:p>
        </w:tc>
        <w:tc>
          <w:tcPr>
            <w:tcW w:w="16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100/</w:t>
            </w:r>
            <w:r>
              <w:rPr>
                <w:rFonts w:hint="eastAsia" w:ascii="Arial" w:hAnsi="Arial" w:eastAsia="华文细黑" w:cs="Arial"/>
                <w:sz w:val="18"/>
                <w:szCs w:val="18"/>
                <w:lang w:val="en-US" w:eastAsia="zh-CN"/>
              </w:rPr>
              <w:t>98</w:t>
            </w:r>
          </w:p>
        </w:tc>
        <w:tc>
          <w:tcPr>
            <w:tcW w:w="166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100/</w:t>
            </w:r>
            <w:r>
              <w:rPr>
                <w:rFonts w:hint="eastAsia" w:ascii="Arial" w:hAnsi="Arial" w:eastAsia="华文细黑" w:cs="Arial"/>
                <w:sz w:val="18"/>
                <w:szCs w:val="18"/>
                <w:lang w:val="en-US" w:eastAsia="zh-CN"/>
              </w:rPr>
              <w:t>97</w:t>
            </w:r>
          </w:p>
        </w:tc>
      </w:tr>
      <w:tr>
        <w:tblPrEx>
          <w:tblCellMar>
            <w:top w:w="57" w:type="dxa"/>
            <w:left w:w="57" w:type="dxa"/>
            <w:bottom w:w="57" w:type="dxa"/>
            <w:right w:w="57" w:type="dxa"/>
          </w:tblCellMar>
        </w:tblPrEx>
        <w:trPr>
          <w:trHeight w:val="227" w:hRule="atLeast"/>
          <w:jc w:val="center"/>
        </w:trPr>
        <w:tc>
          <w:tcPr>
            <w:tcW w:w="231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修正系数</w:t>
            </w:r>
          </w:p>
        </w:tc>
        <w:tc>
          <w:tcPr>
            <w:tcW w:w="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w:t>
            </w:r>
            <w:r>
              <w:rPr>
                <w:rFonts w:hint="eastAsia" w:ascii="Arial" w:hAnsi="Arial" w:eastAsia="华文细黑" w:cs="Arial"/>
                <w:sz w:val="18"/>
                <w:szCs w:val="18"/>
                <w:lang w:val="en-US" w:eastAsia="zh-CN"/>
              </w:rPr>
              <w:t>522</w:t>
            </w:r>
          </w:p>
        </w:tc>
        <w:tc>
          <w:tcPr>
            <w:tcW w:w="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w:t>
            </w:r>
            <w:r>
              <w:rPr>
                <w:rFonts w:hint="eastAsia" w:ascii="Arial" w:hAnsi="Arial" w:eastAsia="华文细黑" w:cs="Arial"/>
                <w:sz w:val="18"/>
                <w:szCs w:val="18"/>
                <w:lang w:val="en-US" w:eastAsia="zh-CN"/>
              </w:rPr>
              <w:t>1188</w:t>
            </w:r>
          </w:p>
        </w:tc>
        <w:tc>
          <w:tcPr>
            <w:tcW w:w="896"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eastAsia="zh-CN"/>
              </w:rPr>
            </w:pPr>
            <w:r>
              <w:rPr>
                <w:rFonts w:hint="default" w:ascii="Arial" w:hAnsi="Arial" w:eastAsia="华文细黑" w:cs="Arial"/>
                <w:sz w:val="18"/>
                <w:szCs w:val="18"/>
              </w:rPr>
              <w:t>1.0</w:t>
            </w:r>
            <w:r>
              <w:rPr>
                <w:rFonts w:hint="eastAsia" w:ascii="Arial" w:hAnsi="Arial" w:eastAsia="华文细黑" w:cs="Arial"/>
                <w:sz w:val="18"/>
                <w:szCs w:val="18"/>
                <w:lang w:val="en-US" w:eastAsia="zh-CN"/>
              </w:rPr>
              <w:t>529</w:t>
            </w:r>
          </w:p>
        </w:tc>
      </w:tr>
      <w:tr>
        <w:tblPrEx>
          <w:tblCellMar>
            <w:top w:w="57" w:type="dxa"/>
            <w:left w:w="57" w:type="dxa"/>
            <w:bottom w:w="57" w:type="dxa"/>
            <w:right w:w="57" w:type="dxa"/>
          </w:tblCellMar>
        </w:tblPrEx>
        <w:trPr>
          <w:trHeight w:val="132" w:hRule="atLeast"/>
          <w:jc w:val="center"/>
        </w:trPr>
        <w:tc>
          <w:tcPr>
            <w:tcW w:w="231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textAlignment w:val="auto"/>
              <w:rPr>
                <w:rFonts w:hint="default" w:ascii="Arial" w:hAnsi="Arial" w:eastAsia="华文细黑" w:cs="Arial"/>
                <w:sz w:val="18"/>
                <w:szCs w:val="18"/>
              </w:rPr>
            </w:pPr>
            <w:r>
              <w:rPr>
                <w:rFonts w:hint="default" w:ascii="Arial" w:hAnsi="Arial" w:eastAsia="华文细黑" w:cs="Arial"/>
                <w:sz w:val="18"/>
                <w:szCs w:val="18"/>
              </w:rPr>
              <w:t>比准价格（元/平方米·月）</w:t>
            </w:r>
          </w:p>
        </w:tc>
        <w:tc>
          <w:tcPr>
            <w:tcW w:w="166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rPr>
            </w:pPr>
            <w:r>
              <w:rPr>
                <w:rFonts w:hint="default" w:ascii="Arial" w:hAnsi="Arial" w:eastAsia="华文细黑" w:cs="Arial"/>
                <w:sz w:val="18"/>
                <w:szCs w:val="18"/>
                <w:lang w:val="en-US" w:eastAsia="zh-CN"/>
              </w:rPr>
              <w:t>39.</w:t>
            </w:r>
            <w:r>
              <w:rPr>
                <w:rFonts w:hint="eastAsia" w:ascii="Arial" w:hAnsi="Arial" w:eastAsia="华文细黑" w:cs="Arial"/>
                <w:sz w:val="18"/>
                <w:szCs w:val="18"/>
                <w:lang w:val="en-US" w:eastAsia="zh-CN"/>
              </w:rPr>
              <w:t>92</w:t>
            </w:r>
          </w:p>
        </w:tc>
        <w:tc>
          <w:tcPr>
            <w:tcW w:w="166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rPr>
            </w:pPr>
            <w:r>
              <w:rPr>
                <w:rFonts w:hint="default" w:ascii="Arial" w:hAnsi="Arial" w:eastAsia="华文细黑" w:cs="Arial"/>
                <w:sz w:val="18"/>
                <w:szCs w:val="18"/>
                <w:lang w:val="en-US" w:eastAsia="zh-CN"/>
              </w:rPr>
              <w:t>3</w:t>
            </w:r>
            <w:r>
              <w:rPr>
                <w:rFonts w:hint="eastAsia" w:ascii="Arial" w:hAnsi="Arial" w:eastAsia="华文细黑" w:cs="Arial"/>
                <w:sz w:val="18"/>
                <w:szCs w:val="18"/>
                <w:lang w:val="en-US" w:eastAsia="zh-CN"/>
              </w:rPr>
              <w:t>8.36</w:t>
            </w:r>
          </w:p>
        </w:tc>
        <w:tc>
          <w:tcPr>
            <w:tcW w:w="166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Arial" w:hAnsi="Arial" w:eastAsia="华文细黑" w:cs="Arial"/>
                <w:sz w:val="18"/>
                <w:szCs w:val="18"/>
                <w:lang w:val="en-US"/>
              </w:rPr>
            </w:pPr>
            <w:r>
              <w:rPr>
                <w:rFonts w:hint="default" w:ascii="Arial" w:hAnsi="Arial" w:eastAsia="华文细黑" w:cs="Arial"/>
                <w:sz w:val="18"/>
                <w:szCs w:val="18"/>
                <w:lang w:val="en-US" w:eastAsia="zh-CN"/>
              </w:rPr>
              <w:t>4</w:t>
            </w:r>
            <w:r>
              <w:rPr>
                <w:rFonts w:hint="eastAsia" w:ascii="Arial" w:hAnsi="Arial" w:eastAsia="华文细黑" w:cs="Arial"/>
                <w:sz w:val="18"/>
                <w:szCs w:val="18"/>
                <w:lang w:val="en-US" w:eastAsia="zh-CN"/>
              </w:rPr>
              <w:t>1.32</w:t>
            </w:r>
          </w:p>
        </w:tc>
      </w:tr>
    </w:tbl>
    <w:p>
      <w:pPr>
        <w:keepNext w:val="0"/>
        <w:keepLines w:val="0"/>
        <w:pageBreakBefore w:val="0"/>
        <w:widowControl/>
        <w:kinsoku/>
        <w:wordWrap w:val="0"/>
        <w:overflowPunct w:val="0"/>
        <w:topLinePunct w:val="0"/>
        <w:autoSpaceDE/>
        <w:autoSpaceDN/>
        <w:bidi w:val="0"/>
        <w:adjustRightInd w:val="0"/>
        <w:snapToGrid w:val="0"/>
        <w:spacing w:line="240" w:lineRule="auto"/>
        <w:ind w:firstLine="360" w:firstLineChars="200"/>
        <w:textAlignment w:val="auto"/>
        <w:rPr>
          <w:rFonts w:ascii="Arial" w:hAnsi="Arial" w:cs="Arial"/>
          <w:sz w:val="18"/>
          <w:szCs w:val="18"/>
        </w:rPr>
      </w:pPr>
    </w:p>
    <w:p>
      <w:pPr>
        <w:wordWrap w:val="0"/>
        <w:overflowPunct w:val="0"/>
        <w:spacing w:before="240" w:beforeLines="100" w:line="480" w:lineRule="auto"/>
        <w:ind w:firstLine="420" w:firstLineChars="200"/>
        <w:rPr>
          <w:rFonts w:ascii="Arial" w:hAnsi="Arial" w:cs="Arial"/>
          <w:sz w:val="21"/>
          <w:szCs w:val="21"/>
        </w:rPr>
      </w:pPr>
      <w:r>
        <w:rPr>
          <w:rFonts w:ascii="Arial" w:hAnsi="Arial" w:cs="Arial"/>
          <w:sz w:val="21"/>
          <w:szCs w:val="21"/>
        </w:rPr>
        <w:t>比准价格＝比较实例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根据上述公式，确实各可比案例比较价格：</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可比实例一比较价格=</w:t>
      </w:r>
      <w:r>
        <w:rPr>
          <w:rFonts w:hint="eastAsia" w:ascii="Arial" w:hAnsi="Arial" w:cs="Arial"/>
          <w:sz w:val="21"/>
          <w:szCs w:val="21"/>
        </w:rPr>
        <w:t>37.94</w:t>
      </w:r>
      <w:r>
        <w:rPr>
          <w:rFonts w:ascii="Arial" w:hAnsi="Arial" w:cs="Arial"/>
          <w:sz w:val="21"/>
          <w:szCs w:val="21"/>
        </w:rPr>
        <w:t>×（100/100）×（100/100）×（100/100）×（100/100）×（100/100）×（100/100）×（100/100）×（100/100）×（100/100）×（100/100）×（100/100）×（100/</w:t>
      </w:r>
      <w:r>
        <w:rPr>
          <w:rFonts w:hint="eastAsia" w:ascii="Arial" w:hAnsi="Arial" w:cs="Arial"/>
          <w:sz w:val="21"/>
          <w:szCs w:val="21"/>
          <w:lang w:val="en-US" w:eastAsia="zh-CN"/>
        </w:rPr>
        <w:t>96</w:t>
      </w:r>
      <w:r>
        <w:rPr>
          <w:rFonts w:ascii="Arial" w:hAnsi="Arial" w:cs="Arial"/>
          <w:sz w:val="21"/>
          <w:szCs w:val="21"/>
        </w:rPr>
        <w:t>）×（100/10</w:t>
      </w:r>
      <w:r>
        <w:rPr>
          <w:rFonts w:hint="eastAsia" w:ascii="Arial" w:hAnsi="Arial" w:cs="Arial"/>
          <w:sz w:val="21"/>
          <w:szCs w:val="21"/>
        </w:rPr>
        <w:t>0</w:t>
      </w:r>
      <w:r>
        <w:rPr>
          <w:rFonts w:ascii="Arial" w:hAnsi="Arial" w:cs="Arial"/>
          <w:sz w:val="21"/>
          <w:szCs w:val="21"/>
        </w:rPr>
        <w:t>）×（100/100）×（100/</w:t>
      </w:r>
      <w:r>
        <w:rPr>
          <w:rFonts w:hint="eastAsia" w:ascii="Arial" w:hAnsi="Arial" w:cs="Arial"/>
          <w:sz w:val="21"/>
          <w:szCs w:val="21"/>
        </w:rPr>
        <w:t>100</w:t>
      </w:r>
      <w:r>
        <w:rPr>
          <w:rFonts w:ascii="Arial" w:hAnsi="Arial" w:cs="Arial"/>
          <w:sz w:val="21"/>
          <w:szCs w:val="21"/>
        </w:rPr>
        <w:t>）×（100/10</w:t>
      </w:r>
      <w:r>
        <w:rPr>
          <w:rFonts w:hint="eastAsia" w:ascii="Arial" w:hAnsi="Arial" w:cs="Arial"/>
          <w:sz w:val="21"/>
          <w:szCs w:val="21"/>
        </w:rPr>
        <w:t>0</w:t>
      </w:r>
      <w:r>
        <w:rPr>
          <w:rFonts w:ascii="Arial" w:hAnsi="Arial" w:cs="Arial"/>
          <w:sz w:val="21"/>
          <w:szCs w:val="21"/>
        </w:rPr>
        <w:t>）×（100/</w:t>
      </w:r>
      <w:r>
        <w:rPr>
          <w:rFonts w:hint="eastAsia" w:ascii="Arial" w:hAnsi="Arial" w:cs="Arial"/>
          <w:sz w:val="21"/>
          <w:szCs w:val="21"/>
          <w:lang w:val="en-US" w:eastAsia="zh-CN"/>
        </w:rPr>
        <w:t>99</w:t>
      </w:r>
      <w:r>
        <w:rPr>
          <w:rFonts w:ascii="Arial" w:hAnsi="Arial" w:cs="Arial"/>
          <w:sz w:val="21"/>
          <w:szCs w:val="21"/>
        </w:rPr>
        <w:t>）=</w:t>
      </w:r>
      <w:r>
        <w:rPr>
          <w:rFonts w:hint="eastAsia" w:ascii="Arial" w:hAnsi="Arial" w:cs="Arial"/>
          <w:sz w:val="21"/>
          <w:szCs w:val="21"/>
        </w:rPr>
        <w:t>39.</w:t>
      </w:r>
      <w:r>
        <w:rPr>
          <w:rFonts w:hint="eastAsia" w:ascii="Arial" w:hAnsi="Arial" w:cs="Arial"/>
          <w:sz w:val="21"/>
          <w:szCs w:val="21"/>
          <w:lang w:val="en-US" w:eastAsia="zh-CN"/>
        </w:rPr>
        <w:t>92</w:t>
      </w:r>
      <w:r>
        <w:rPr>
          <w:rFonts w:ascii="Arial" w:hAnsi="Arial" w:cs="Arial"/>
          <w:sz w:val="21"/>
          <w:szCs w:val="21"/>
        </w:rPr>
        <w:t>（元/平方米·月）</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可比实例二比较价格=</w:t>
      </w:r>
      <w:r>
        <w:rPr>
          <w:rFonts w:hint="eastAsia" w:ascii="Arial" w:hAnsi="Arial" w:cs="Arial"/>
          <w:sz w:val="21"/>
          <w:szCs w:val="21"/>
        </w:rPr>
        <w:t>34.29</w:t>
      </w:r>
      <w:r>
        <w:rPr>
          <w:rFonts w:ascii="Arial" w:hAnsi="Arial" w:cs="Arial"/>
          <w:sz w:val="21"/>
          <w:szCs w:val="21"/>
        </w:rPr>
        <w:t>×（100/100）×（100/100）×（100/100）×（100/100）×（100/100）×（100/100）×（100/100）×（100/100）×（100/</w:t>
      </w:r>
      <w:r>
        <w:rPr>
          <w:rFonts w:hint="eastAsia" w:ascii="Arial" w:hAnsi="Arial" w:cs="Arial"/>
          <w:sz w:val="21"/>
          <w:szCs w:val="21"/>
          <w:lang w:val="en-US" w:eastAsia="zh-CN"/>
        </w:rPr>
        <w:t>95</w:t>
      </w:r>
      <w:r>
        <w:rPr>
          <w:rFonts w:ascii="Arial" w:hAnsi="Arial" w:cs="Arial"/>
          <w:sz w:val="21"/>
          <w:szCs w:val="21"/>
        </w:rPr>
        <w:t>）×（100/100）×（100/100）×（100/</w:t>
      </w:r>
      <w:r>
        <w:rPr>
          <w:rFonts w:hint="eastAsia" w:ascii="Arial" w:hAnsi="Arial" w:cs="Arial"/>
          <w:sz w:val="21"/>
          <w:szCs w:val="21"/>
          <w:lang w:val="en-US" w:eastAsia="zh-CN"/>
        </w:rPr>
        <w:t>96</w:t>
      </w:r>
      <w:r>
        <w:rPr>
          <w:rFonts w:ascii="Arial" w:hAnsi="Arial" w:cs="Arial"/>
          <w:sz w:val="21"/>
          <w:szCs w:val="21"/>
        </w:rPr>
        <w:t>）×（100/100）×（100/100）×（100/100）×（100/10</w:t>
      </w:r>
      <w:r>
        <w:rPr>
          <w:rFonts w:hint="eastAsia" w:ascii="Arial" w:hAnsi="Arial" w:cs="Arial"/>
          <w:sz w:val="21"/>
          <w:szCs w:val="21"/>
        </w:rPr>
        <w:t>0</w:t>
      </w:r>
      <w:r>
        <w:rPr>
          <w:rFonts w:ascii="Arial" w:hAnsi="Arial" w:cs="Arial"/>
          <w:sz w:val="21"/>
          <w:szCs w:val="21"/>
        </w:rPr>
        <w:t>）×（100/</w:t>
      </w:r>
      <w:r>
        <w:rPr>
          <w:rFonts w:hint="eastAsia" w:ascii="Arial" w:hAnsi="Arial" w:cs="Arial"/>
          <w:sz w:val="21"/>
          <w:szCs w:val="21"/>
          <w:lang w:val="en-US" w:eastAsia="zh-CN"/>
        </w:rPr>
        <w:t>98</w:t>
      </w:r>
      <w:r>
        <w:rPr>
          <w:rFonts w:ascii="Arial" w:hAnsi="Arial" w:cs="Arial"/>
          <w:sz w:val="21"/>
          <w:szCs w:val="21"/>
        </w:rPr>
        <w:t>）=</w:t>
      </w:r>
      <w:r>
        <w:rPr>
          <w:rFonts w:hint="eastAsia" w:ascii="Arial" w:hAnsi="Arial" w:cs="Arial"/>
          <w:sz w:val="21"/>
          <w:szCs w:val="21"/>
        </w:rPr>
        <w:t>3</w:t>
      </w:r>
      <w:r>
        <w:rPr>
          <w:rFonts w:hint="eastAsia" w:ascii="Arial" w:hAnsi="Arial" w:cs="Arial"/>
          <w:sz w:val="21"/>
          <w:szCs w:val="21"/>
          <w:lang w:val="en-US" w:eastAsia="zh-CN"/>
        </w:rPr>
        <w:t>8.36</w:t>
      </w:r>
      <w:r>
        <w:rPr>
          <w:rFonts w:ascii="Arial" w:hAnsi="Arial" w:cs="Arial"/>
          <w:sz w:val="21"/>
          <w:szCs w:val="21"/>
        </w:rPr>
        <w:t>（元/平方米·月）</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可比实例三比较价格=</w:t>
      </w:r>
      <w:r>
        <w:rPr>
          <w:rFonts w:hint="eastAsia" w:ascii="Arial" w:hAnsi="Arial" w:cs="Arial"/>
          <w:sz w:val="21"/>
          <w:szCs w:val="21"/>
        </w:rPr>
        <w:t>39.24</w:t>
      </w:r>
      <w:r>
        <w:rPr>
          <w:rFonts w:ascii="Arial" w:hAnsi="Arial" w:cs="Arial"/>
          <w:sz w:val="21"/>
          <w:szCs w:val="21"/>
        </w:rPr>
        <w:t>×（100/100）×（100/100）×（100/100）×（100/100）×（100/100）×（100/100）×（100/100）×（100/100）×（100/100）×（100/100）×（100/100）×（100/</w:t>
      </w:r>
      <w:r>
        <w:rPr>
          <w:rFonts w:hint="eastAsia" w:ascii="Arial" w:hAnsi="Arial" w:cs="Arial"/>
          <w:sz w:val="21"/>
          <w:szCs w:val="21"/>
          <w:lang w:val="en-US" w:eastAsia="zh-CN"/>
        </w:rPr>
        <w:t>96</w:t>
      </w:r>
      <w:r>
        <w:rPr>
          <w:rFonts w:ascii="Arial" w:hAnsi="Arial" w:cs="Arial"/>
          <w:sz w:val="21"/>
          <w:szCs w:val="21"/>
        </w:rPr>
        <w:t>）×（100/10</w:t>
      </w:r>
      <w:r>
        <w:rPr>
          <w:rFonts w:hint="eastAsia" w:ascii="Arial" w:hAnsi="Arial" w:cs="Arial"/>
          <w:sz w:val="21"/>
          <w:szCs w:val="21"/>
        </w:rPr>
        <w:t>0</w:t>
      </w:r>
      <w:r>
        <w:rPr>
          <w:rFonts w:ascii="Arial" w:hAnsi="Arial" w:cs="Arial"/>
          <w:sz w:val="21"/>
          <w:szCs w:val="21"/>
        </w:rPr>
        <w:t>）×（100/100）×（100/10</w:t>
      </w:r>
      <w:r>
        <w:rPr>
          <w:rFonts w:hint="eastAsia" w:ascii="Arial" w:hAnsi="Arial" w:cs="Arial"/>
          <w:sz w:val="21"/>
          <w:szCs w:val="21"/>
          <w:lang w:val="en-US" w:eastAsia="zh-CN"/>
        </w:rPr>
        <w:t>2</w:t>
      </w:r>
      <w:r>
        <w:rPr>
          <w:rFonts w:ascii="Arial" w:hAnsi="Arial" w:cs="Arial"/>
          <w:sz w:val="21"/>
          <w:szCs w:val="21"/>
        </w:rPr>
        <w:t>）×（100/10</w:t>
      </w:r>
      <w:r>
        <w:rPr>
          <w:rFonts w:hint="eastAsia" w:ascii="Arial" w:hAnsi="Arial" w:cs="Arial"/>
          <w:sz w:val="21"/>
          <w:szCs w:val="21"/>
        </w:rPr>
        <w:t>0</w:t>
      </w:r>
      <w:r>
        <w:rPr>
          <w:rFonts w:ascii="Arial" w:hAnsi="Arial" w:cs="Arial"/>
          <w:sz w:val="21"/>
          <w:szCs w:val="21"/>
        </w:rPr>
        <w:t>）×（100/</w:t>
      </w:r>
      <w:r>
        <w:rPr>
          <w:rFonts w:hint="eastAsia" w:ascii="Arial" w:hAnsi="Arial" w:cs="Arial"/>
          <w:sz w:val="21"/>
          <w:szCs w:val="21"/>
          <w:lang w:val="en-US" w:eastAsia="zh-CN"/>
        </w:rPr>
        <w:t>97</w:t>
      </w:r>
      <w:r>
        <w:rPr>
          <w:rFonts w:ascii="Arial" w:hAnsi="Arial" w:cs="Arial"/>
          <w:sz w:val="21"/>
          <w:szCs w:val="21"/>
        </w:rPr>
        <w:t>）=</w:t>
      </w:r>
      <w:r>
        <w:rPr>
          <w:rFonts w:hint="eastAsia" w:ascii="Arial" w:hAnsi="Arial" w:cs="Arial"/>
          <w:sz w:val="21"/>
          <w:szCs w:val="21"/>
        </w:rPr>
        <w:t>4</w:t>
      </w:r>
      <w:r>
        <w:rPr>
          <w:rFonts w:hint="eastAsia" w:ascii="Arial" w:hAnsi="Arial" w:cs="Arial"/>
          <w:sz w:val="21"/>
          <w:szCs w:val="21"/>
          <w:lang w:val="en-US" w:eastAsia="zh-CN"/>
        </w:rPr>
        <w:t>1.32</w:t>
      </w:r>
      <w:r>
        <w:rPr>
          <w:rFonts w:ascii="Arial" w:hAnsi="Arial" w:cs="Arial"/>
          <w:sz w:val="21"/>
          <w:szCs w:val="21"/>
        </w:rPr>
        <w:t>（元/平方米·月）</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4. 影响因素选择实例修正后的价值计算 </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3个可比案例的比准价格的简单算术平均值作为评估价格。</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即（</w:t>
      </w:r>
      <w:r>
        <w:rPr>
          <w:rFonts w:hint="eastAsia" w:ascii="Arial" w:hAnsi="Arial" w:cs="Arial"/>
          <w:sz w:val="21"/>
          <w:szCs w:val="21"/>
          <w:lang w:val="en-US" w:eastAsia="zh-CN"/>
        </w:rPr>
        <w:t>39.92</w:t>
      </w:r>
      <w:r>
        <w:rPr>
          <w:rFonts w:ascii="Arial" w:hAnsi="Arial" w:cs="Arial"/>
          <w:sz w:val="21"/>
          <w:szCs w:val="21"/>
        </w:rPr>
        <w:t>+</w:t>
      </w:r>
      <w:r>
        <w:rPr>
          <w:rFonts w:hint="eastAsia" w:ascii="Arial" w:hAnsi="Arial" w:cs="Arial"/>
          <w:sz w:val="21"/>
          <w:szCs w:val="21"/>
          <w:lang w:val="en-US" w:eastAsia="zh-CN"/>
        </w:rPr>
        <w:t>38.36</w:t>
      </w:r>
      <w:r>
        <w:rPr>
          <w:rFonts w:ascii="Arial" w:hAnsi="Arial" w:cs="Arial"/>
          <w:sz w:val="21"/>
          <w:szCs w:val="21"/>
        </w:rPr>
        <w:t>+</w:t>
      </w:r>
      <w:r>
        <w:rPr>
          <w:rFonts w:hint="eastAsia" w:ascii="Arial" w:hAnsi="Arial" w:cs="Arial"/>
          <w:sz w:val="21"/>
          <w:szCs w:val="21"/>
          <w:lang w:val="en-US" w:eastAsia="zh-CN"/>
        </w:rPr>
        <w:t>41.32</w:t>
      </w:r>
      <w:r>
        <w:rPr>
          <w:rFonts w:ascii="Arial" w:hAnsi="Arial" w:cs="Arial"/>
          <w:sz w:val="21"/>
          <w:szCs w:val="21"/>
        </w:rPr>
        <w:t>）÷3</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  =</w:t>
      </w:r>
      <w:r>
        <w:rPr>
          <w:rFonts w:hint="eastAsia" w:ascii="Arial" w:hAnsi="Arial" w:cs="Arial"/>
          <w:sz w:val="21"/>
          <w:szCs w:val="21"/>
          <w:lang w:val="en-US" w:eastAsia="zh-CN"/>
        </w:rPr>
        <w:t>40</w:t>
      </w:r>
      <w:r>
        <w:rPr>
          <w:rFonts w:ascii="Arial" w:hAnsi="Arial" w:cs="Arial"/>
          <w:sz w:val="21"/>
          <w:szCs w:val="21"/>
        </w:rPr>
        <w:t>（元/平方米·月）</w:t>
      </w:r>
    </w:p>
    <w:p>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根据评估专业人员市场调查</w:t>
      </w:r>
      <w:r>
        <w:rPr>
          <w:rFonts w:ascii="Arial" w:hAnsi="Arial" w:cs="Arial"/>
          <w:sz w:val="21"/>
          <w:szCs w:val="21"/>
        </w:rPr>
        <w:t>，估价对象物业费为3.</w:t>
      </w:r>
      <w:r>
        <w:rPr>
          <w:rFonts w:hint="eastAsia" w:ascii="Arial" w:hAnsi="Arial" w:cs="Arial"/>
          <w:sz w:val="21"/>
          <w:szCs w:val="21"/>
          <w:lang w:val="en-US" w:eastAsia="zh-CN"/>
        </w:rPr>
        <w:t>8</w:t>
      </w:r>
      <w:r>
        <w:rPr>
          <w:rFonts w:ascii="Arial" w:hAnsi="Arial" w:cs="Arial"/>
          <w:sz w:val="21"/>
          <w:szCs w:val="21"/>
        </w:rPr>
        <w:t>元/平方米·月</w:t>
      </w:r>
      <w:r>
        <w:rPr>
          <w:rFonts w:hint="eastAsia" w:ascii="Arial" w:hAnsi="Arial" w:cs="Arial"/>
          <w:sz w:val="21"/>
          <w:szCs w:val="21"/>
        </w:rPr>
        <w:t>，</w:t>
      </w:r>
      <w:r>
        <w:rPr>
          <w:rFonts w:ascii="Arial" w:hAnsi="Arial" w:cs="Arial"/>
          <w:sz w:val="21"/>
          <w:szCs w:val="21"/>
        </w:rPr>
        <w:t>则：</w:t>
      </w:r>
    </w:p>
    <w:p>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估价对象平均市场</w:t>
      </w:r>
      <w:r>
        <w:rPr>
          <w:rFonts w:ascii="Arial" w:hAnsi="Arial" w:cs="Arial"/>
          <w:sz w:val="21"/>
          <w:szCs w:val="21"/>
        </w:rPr>
        <w:t>租金</w:t>
      </w:r>
    </w:p>
    <w:p>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w:t>
      </w:r>
      <w:r>
        <w:rPr>
          <w:rFonts w:hint="eastAsia" w:ascii="Arial" w:hAnsi="Arial" w:cs="Arial"/>
          <w:sz w:val="21"/>
          <w:szCs w:val="21"/>
          <w:lang w:val="en-US" w:eastAsia="zh-CN"/>
        </w:rPr>
        <w:t>40</w:t>
      </w:r>
      <w:r>
        <w:rPr>
          <w:rFonts w:ascii="Arial" w:hAnsi="Arial" w:cs="Arial"/>
          <w:sz w:val="21"/>
          <w:szCs w:val="21"/>
        </w:rPr>
        <w:t>+3.8</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w:t>
      </w:r>
      <w:r>
        <w:rPr>
          <w:rFonts w:hint="eastAsia" w:ascii="Arial" w:hAnsi="Arial" w:cs="Arial"/>
          <w:sz w:val="21"/>
          <w:szCs w:val="21"/>
          <w:lang w:val="en-US" w:eastAsia="zh-CN"/>
        </w:rPr>
        <w:t>43.8</w:t>
      </w:r>
      <w:r>
        <w:rPr>
          <w:rFonts w:ascii="Arial" w:hAnsi="Arial" w:cs="Arial"/>
          <w:sz w:val="21"/>
          <w:szCs w:val="21"/>
        </w:rPr>
        <w:t xml:space="preserve">（元/平方米·月） </w:t>
      </w:r>
    </w:p>
    <w:p>
      <w:pPr>
        <w:wordWrap w:val="0"/>
        <w:overflowPunct w:val="0"/>
        <w:spacing w:line="480" w:lineRule="auto"/>
        <w:ind w:firstLine="420" w:firstLineChars="200"/>
        <w:rPr>
          <w:rFonts w:ascii="Arial" w:hAnsi="Arial" w:cs="Arial"/>
          <w:sz w:val="21"/>
          <w:szCs w:val="21"/>
        </w:rPr>
      </w:pPr>
      <w:r>
        <w:rPr>
          <w:rFonts w:ascii="Arial" w:hAnsi="Arial" w:cs="Arial"/>
          <w:sz w:val="21"/>
          <w:szCs w:val="21"/>
        </w:rPr>
        <w:t>比较法评估估价对象房地产于价值时点过去 12 个月的</w:t>
      </w:r>
      <w:r>
        <w:rPr>
          <w:rFonts w:hint="eastAsia" w:ascii="Arial" w:hAnsi="Arial" w:cs="Arial"/>
          <w:sz w:val="21"/>
          <w:szCs w:val="21"/>
        </w:rPr>
        <w:t>含</w:t>
      </w:r>
      <w:r>
        <w:rPr>
          <w:rFonts w:ascii="Arial" w:hAnsi="Arial" w:cs="Arial"/>
          <w:sz w:val="21"/>
          <w:szCs w:val="21"/>
        </w:rPr>
        <w:t>物业费月平均市场租金水平为</w:t>
      </w:r>
      <w:r>
        <w:rPr>
          <w:rFonts w:hint="eastAsia" w:ascii="Arial" w:hAnsi="Arial" w:cs="Arial"/>
          <w:sz w:val="21"/>
          <w:szCs w:val="21"/>
          <w:lang w:val="en-US" w:eastAsia="zh-CN"/>
        </w:rPr>
        <w:t>43.8</w:t>
      </w:r>
      <w:r>
        <w:rPr>
          <w:rFonts w:ascii="Arial" w:hAnsi="Arial" w:cs="Arial"/>
          <w:sz w:val="21"/>
          <w:szCs w:val="21"/>
        </w:rPr>
        <w:t>/平方米·月。</w:t>
      </w:r>
    </w:p>
    <w:p>
      <w:pPr>
        <w:pStyle w:val="40"/>
        <w:autoSpaceDE w:val="0"/>
        <w:autoSpaceDN w:val="0"/>
        <w:spacing w:line="480" w:lineRule="auto"/>
        <w:ind w:right="140"/>
        <w:jc w:val="both"/>
        <w:textAlignment w:val="bottom"/>
        <w:rPr>
          <w:rFonts w:ascii="Arial" w:hAnsi="Arial" w:cs="Arial"/>
          <w:b/>
          <w:sz w:val="21"/>
          <w:szCs w:val="21"/>
        </w:rPr>
      </w:pPr>
    </w:p>
    <w:p>
      <w:pPr>
        <w:pStyle w:val="3"/>
        <w:numPr>
          <w:ilvl w:val="0"/>
          <w:numId w:val="0"/>
        </w:numPr>
        <w:spacing w:line="480" w:lineRule="auto"/>
        <w:ind w:left="358" w:hanging="358" w:hangingChars="170"/>
        <w:jc w:val="both"/>
        <w:rPr>
          <w:rFonts w:eastAsia="宋体"/>
          <w:kern w:val="2"/>
          <w:sz w:val="21"/>
          <w:szCs w:val="21"/>
        </w:rPr>
      </w:pPr>
      <w:bookmarkStart w:id="51" w:name="_Toc525655441"/>
      <w:r>
        <w:rPr>
          <w:rFonts w:eastAsia="宋体"/>
          <w:kern w:val="2"/>
          <w:sz w:val="21"/>
          <w:szCs w:val="21"/>
        </w:rPr>
        <w:t>六、估价结果确定</w:t>
      </w:r>
      <w:bookmarkEnd w:id="51"/>
    </w:p>
    <w:p>
      <w:pPr>
        <w:overflowPunct w:val="0"/>
        <w:spacing w:line="480" w:lineRule="auto"/>
        <w:ind w:firstLine="420" w:firstLineChars="200"/>
        <w:jc w:val="both"/>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202</w:t>
      </w:r>
      <w:r>
        <w:rPr>
          <w:rFonts w:hint="eastAsia" w:ascii="Arial" w:hAnsi="Arial" w:cs="Arial"/>
          <w:sz w:val="21"/>
          <w:szCs w:val="21"/>
          <w:lang w:val="en-US" w:eastAsia="zh-CN"/>
        </w:rPr>
        <w:t>3</w:t>
      </w:r>
      <w:r>
        <w:rPr>
          <w:rFonts w:ascii="Arial" w:hAnsi="Arial" w:cs="Arial"/>
          <w:sz w:val="21"/>
          <w:szCs w:val="21"/>
        </w:rPr>
        <w:t>年</w:t>
      </w:r>
      <w:r>
        <w:rPr>
          <w:rFonts w:hint="eastAsia" w:ascii="Arial" w:hAnsi="Arial" w:cs="Arial"/>
          <w:sz w:val="21"/>
          <w:szCs w:val="21"/>
          <w:lang w:val="en-US" w:eastAsia="zh-CN"/>
        </w:rPr>
        <w:t>4</w:t>
      </w:r>
      <w:r>
        <w:rPr>
          <w:rFonts w:ascii="Arial" w:hAnsi="Arial" w:cs="Arial"/>
          <w:sz w:val="21"/>
          <w:szCs w:val="21"/>
        </w:rPr>
        <w:t>月2</w:t>
      </w:r>
      <w:r>
        <w:rPr>
          <w:rFonts w:hint="eastAsia" w:ascii="Arial" w:hAnsi="Arial" w:cs="Arial"/>
          <w:sz w:val="21"/>
          <w:szCs w:val="21"/>
          <w:lang w:val="en-US" w:eastAsia="zh-CN"/>
        </w:rPr>
        <w:t>7</w:t>
      </w:r>
      <w:r>
        <w:rPr>
          <w:rFonts w:ascii="Arial" w:hAnsi="Arial" w:cs="Arial"/>
          <w:sz w:val="21"/>
          <w:szCs w:val="21"/>
        </w:rPr>
        <w:t xml:space="preserve">日前12个月的平均市场租金水平为：  </w:t>
      </w:r>
    </w:p>
    <w:p>
      <w:pPr>
        <w:overflowPunct w:val="0"/>
        <w:spacing w:line="480" w:lineRule="auto"/>
        <w:ind w:firstLine="422" w:firstLineChars="200"/>
        <w:rPr>
          <w:rFonts w:ascii="Arial" w:hAnsi="Arial" w:cs="Arial"/>
          <w:b/>
          <w:bCs/>
          <w:sz w:val="21"/>
          <w:szCs w:val="21"/>
        </w:rPr>
      </w:pPr>
      <w:r>
        <w:rPr>
          <w:rFonts w:ascii="Arial" w:hAnsi="Arial" w:cs="Arial"/>
          <w:b/>
          <w:bCs/>
          <w:sz w:val="21"/>
          <w:szCs w:val="21"/>
        </w:rPr>
        <w:t>租金单价：</w:t>
      </w:r>
      <w:r>
        <w:rPr>
          <w:rFonts w:hint="eastAsia" w:ascii="Arial" w:hAnsi="Arial" w:cs="Arial"/>
          <w:b/>
          <w:bCs/>
          <w:sz w:val="21"/>
          <w:szCs w:val="21"/>
          <w:lang w:val="en-US" w:eastAsia="zh-CN"/>
        </w:rPr>
        <w:t>43.8</w:t>
      </w:r>
      <w:r>
        <w:rPr>
          <w:rFonts w:ascii="Arial" w:hAnsi="Arial" w:cs="Arial"/>
          <w:b/>
          <w:bCs/>
          <w:sz w:val="21"/>
          <w:szCs w:val="21"/>
        </w:rPr>
        <w:t>元/平方米·月（货币种类：人民币）</w:t>
      </w:r>
    </w:p>
    <w:p>
      <w:pPr>
        <w:overflowPunct w:val="0"/>
        <w:spacing w:line="480" w:lineRule="auto"/>
        <w:ind w:firstLine="360" w:firstLineChars="200"/>
        <w:jc w:val="both"/>
        <w:rPr>
          <w:rFonts w:ascii="Arial" w:hAnsi="Arial" w:cs="Arial"/>
          <w:sz w:val="18"/>
          <w:szCs w:val="18"/>
        </w:rPr>
      </w:pPr>
      <w:r>
        <w:rPr>
          <w:rFonts w:ascii="Arial" w:hAnsi="Arial" w:cs="Arial"/>
          <w:sz w:val="18"/>
          <w:szCs w:val="18"/>
        </w:rPr>
        <w:t>注：1、评估的详细结果、过程及有关说明，见附后的《估价结果报告》及《估价技术报告》。</w:t>
      </w:r>
    </w:p>
    <w:p>
      <w:pPr>
        <w:overflowPunct w:val="0"/>
        <w:spacing w:line="480" w:lineRule="auto"/>
        <w:ind w:firstLine="360" w:firstLineChars="200"/>
        <w:jc w:val="both"/>
        <w:rPr>
          <w:rFonts w:ascii="Arial" w:hAnsi="Arial" w:cs="Arial"/>
          <w:sz w:val="18"/>
          <w:szCs w:val="18"/>
        </w:rPr>
      </w:pPr>
      <w:r>
        <w:rPr>
          <w:rFonts w:ascii="Arial" w:hAnsi="Arial" w:cs="Arial"/>
          <w:sz w:val="18"/>
          <w:szCs w:val="18"/>
        </w:rPr>
        <w:t xml:space="preserve">    2、估价结果为项目同地段、同类型普通住宅前12个月的市场平均月租金价格。</w:t>
      </w:r>
    </w:p>
    <w:p>
      <w:pPr>
        <w:overflowPunct w:val="0"/>
        <w:spacing w:line="480" w:lineRule="auto"/>
        <w:ind w:left="707" w:leftChars="150" w:hanging="347" w:hangingChars="193"/>
        <w:jc w:val="both"/>
        <w:rPr>
          <w:rFonts w:ascii="Arial" w:hAnsi="Arial" w:cs="Arial"/>
          <w:sz w:val="18"/>
          <w:szCs w:val="18"/>
        </w:rPr>
      </w:pPr>
      <w:r>
        <w:rPr>
          <w:rFonts w:ascii="Arial" w:hAnsi="Arial" w:cs="Arial"/>
          <w:sz w:val="18"/>
          <w:szCs w:val="18"/>
        </w:rPr>
        <w:t xml:space="preserve">    3、估价结果包括地租、房屋折旧、设备折旧、维修费、保险费、物业费、管理费、利息、利润等；不含供暖费、水电费、天然气费、通信费、有线电视费、上网宽带费和家具、家电租赁费及租赁税费等。</w:t>
      </w:r>
    </w:p>
    <w:p>
      <w:pPr>
        <w:jc w:val="center"/>
        <w:rPr>
          <w:rFonts w:ascii="Arial" w:hAnsi="Arial" w:cs="Arial"/>
          <w:b/>
          <w:sz w:val="21"/>
          <w:szCs w:val="21"/>
        </w:rPr>
      </w:pPr>
    </w:p>
    <w:p>
      <w:pPr>
        <w:jc w:val="center"/>
        <w:rPr>
          <w:rFonts w:ascii="Arial" w:hAnsi="Arial" w:cs="Arial"/>
          <w:b/>
          <w:sz w:val="21"/>
          <w:szCs w:val="21"/>
        </w:rPr>
        <w:sectPr>
          <w:footerReference r:id="rId16" w:type="default"/>
          <w:pgSz w:w="11907" w:h="16840"/>
          <w:pgMar w:top="1843" w:right="1134" w:bottom="1134" w:left="1134" w:header="1134" w:footer="907" w:gutter="340"/>
          <w:cols w:space="720" w:num="1"/>
          <w:docGrid w:linePitch="326" w:charSpace="0"/>
        </w:sectPr>
      </w:pPr>
    </w:p>
    <w:p>
      <w:pPr>
        <w:pStyle w:val="2"/>
        <w:spacing w:line="480" w:lineRule="auto"/>
        <w:jc w:val="center"/>
        <w:rPr>
          <w:rFonts w:eastAsia="方正黑体简体"/>
          <w:b w:val="0"/>
          <w:kern w:val="2"/>
          <w:sz w:val="32"/>
          <w:szCs w:val="32"/>
        </w:rPr>
      </w:pPr>
      <w:bookmarkStart w:id="52" w:name="_Toc525655442"/>
      <w:r>
        <w:rPr>
          <w:rFonts w:eastAsia="方正黑体简体"/>
          <w:b w:val="0"/>
          <w:kern w:val="2"/>
          <w:sz w:val="32"/>
          <w:szCs w:val="32"/>
        </w:rPr>
        <w:t>附   件</w:t>
      </w:r>
      <w:bookmarkEnd w:id="52"/>
    </w:p>
    <w:p>
      <w:pPr>
        <w:numPr>
          <w:ilvl w:val="0"/>
          <w:numId w:val="9"/>
        </w:numPr>
        <w:spacing w:line="360" w:lineRule="auto"/>
        <w:jc w:val="both"/>
        <w:rPr>
          <w:rFonts w:ascii="Arial" w:hAnsi="Arial" w:cs="Arial"/>
          <w:sz w:val="21"/>
          <w:szCs w:val="21"/>
        </w:rPr>
      </w:pPr>
      <w:r>
        <w:rPr>
          <w:rFonts w:ascii="Arial" w:hAnsi="Arial" w:cs="Arial"/>
          <w:sz w:val="21"/>
          <w:szCs w:val="21"/>
        </w:rPr>
        <w:t>《估价委托书》复印件</w:t>
      </w:r>
    </w:p>
    <w:p>
      <w:pPr>
        <w:numPr>
          <w:ilvl w:val="0"/>
          <w:numId w:val="9"/>
        </w:numPr>
        <w:spacing w:line="360" w:lineRule="auto"/>
        <w:jc w:val="both"/>
        <w:rPr>
          <w:rFonts w:ascii="Arial" w:hAnsi="Arial" w:cs="Arial"/>
          <w:sz w:val="21"/>
          <w:szCs w:val="21"/>
        </w:rPr>
      </w:pPr>
      <w:r>
        <w:rPr>
          <w:rFonts w:ascii="Arial" w:hAnsi="Arial" w:cs="Arial"/>
          <w:sz w:val="21"/>
          <w:szCs w:val="21"/>
        </w:rPr>
        <w:t>估价对象所在位置示意图</w:t>
      </w:r>
    </w:p>
    <w:p>
      <w:pPr>
        <w:numPr>
          <w:ilvl w:val="0"/>
          <w:numId w:val="9"/>
        </w:numPr>
        <w:spacing w:line="360" w:lineRule="auto"/>
        <w:jc w:val="both"/>
        <w:rPr>
          <w:rFonts w:ascii="Arial" w:hAnsi="Arial" w:cs="Arial"/>
          <w:sz w:val="21"/>
          <w:szCs w:val="21"/>
        </w:rPr>
      </w:pPr>
      <w:r>
        <w:rPr>
          <w:rFonts w:ascii="Arial" w:hAnsi="Arial" w:cs="Arial"/>
          <w:sz w:val="21"/>
          <w:szCs w:val="21"/>
        </w:rPr>
        <w:t>估价对象现状相关照片</w:t>
      </w:r>
    </w:p>
    <w:p>
      <w:pPr>
        <w:numPr>
          <w:ilvl w:val="0"/>
          <w:numId w:val="9"/>
        </w:numPr>
        <w:spacing w:line="360" w:lineRule="auto"/>
        <w:jc w:val="both"/>
        <w:rPr>
          <w:rFonts w:ascii="Arial" w:hAnsi="Arial" w:cs="Arial"/>
          <w:sz w:val="21"/>
          <w:szCs w:val="21"/>
        </w:rPr>
      </w:pPr>
      <w:r>
        <w:rPr>
          <w:rFonts w:hint="eastAsia" w:ascii="Arial" w:hAnsi="Arial" w:cs="Arial"/>
          <w:sz w:val="21"/>
          <w:szCs w:val="21"/>
        </w:rPr>
        <w:t>《关于</w:t>
      </w:r>
      <w:r>
        <w:rPr>
          <w:rFonts w:hint="eastAsia" w:ascii="Arial" w:hAnsi="Arial" w:cs="Arial"/>
          <w:sz w:val="21"/>
          <w:szCs w:val="21"/>
          <w:lang w:eastAsia="zh-CN"/>
        </w:rPr>
        <w:t>北京市房山区拱辰街道办事处</w:t>
      </w:r>
      <w:r>
        <w:rPr>
          <w:rFonts w:hint="eastAsia" w:ascii="Arial" w:hAnsi="Arial" w:cs="Arial"/>
          <w:sz w:val="21"/>
          <w:szCs w:val="21"/>
          <w:lang w:val="en-US" w:eastAsia="zh-CN"/>
        </w:rPr>
        <w:t>FS00-LX05-0046、0056地块R2二类居住用地项目“多规合一”协同平台综合会商意见的函</w:t>
      </w:r>
      <w:r>
        <w:rPr>
          <w:rFonts w:hint="eastAsia" w:ascii="Arial" w:hAnsi="Arial" w:cs="Arial"/>
          <w:sz w:val="21"/>
          <w:szCs w:val="21"/>
        </w:rPr>
        <w:t>》</w:t>
      </w:r>
      <w:r>
        <w:rPr>
          <w:rFonts w:hint="eastAsia" w:ascii="Arial" w:hAnsi="Arial" w:cs="Arial"/>
          <w:sz w:val="21"/>
          <w:szCs w:val="21"/>
          <w:lang w:val="en-US" w:eastAsia="zh-CN"/>
        </w:rPr>
        <w:t>[京规自（房）综审函[2020]0047号]</w:t>
      </w:r>
      <w:r>
        <w:rPr>
          <w:rFonts w:hint="eastAsia" w:ascii="Arial" w:hAnsi="Arial" w:cs="Arial"/>
          <w:sz w:val="21"/>
          <w:szCs w:val="21"/>
        </w:rPr>
        <w:t>复印件</w:t>
      </w:r>
    </w:p>
    <w:p>
      <w:pPr>
        <w:numPr>
          <w:ilvl w:val="0"/>
          <w:numId w:val="9"/>
        </w:numPr>
        <w:spacing w:line="360" w:lineRule="auto"/>
        <w:jc w:val="both"/>
        <w:rPr>
          <w:rFonts w:ascii="Arial" w:hAnsi="Arial" w:cs="Arial"/>
          <w:sz w:val="21"/>
          <w:szCs w:val="21"/>
        </w:rPr>
      </w:pPr>
      <w:r>
        <w:rPr>
          <w:rFonts w:hint="eastAsia" w:ascii="Arial" w:hAnsi="Arial" w:cs="Arial"/>
          <w:sz w:val="21"/>
          <w:szCs w:val="21"/>
          <w:lang w:eastAsia="zh-CN"/>
        </w:rPr>
        <w:t>《国有建设用地使用权出让合同》[电子监管号：1101002020B00714]及其补充协议复印件</w:t>
      </w:r>
    </w:p>
    <w:p>
      <w:pPr>
        <w:numPr>
          <w:ilvl w:val="0"/>
          <w:numId w:val="9"/>
        </w:numPr>
        <w:spacing w:line="360" w:lineRule="auto"/>
        <w:jc w:val="both"/>
        <w:rPr>
          <w:rFonts w:ascii="Arial" w:hAnsi="Arial" w:cs="Arial"/>
          <w:sz w:val="21"/>
          <w:szCs w:val="21"/>
        </w:rPr>
      </w:pPr>
      <w:r>
        <w:rPr>
          <w:rFonts w:ascii="Arial" w:hAnsi="Arial" w:cs="Arial"/>
          <w:sz w:val="21"/>
          <w:szCs w:val="21"/>
        </w:rPr>
        <w:t>《建设工程规划许可证》[2</w:t>
      </w:r>
      <w:r>
        <w:rPr>
          <w:rFonts w:hint="eastAsia" w:ascii="Arial" w:hAnsi="Arial" w:cs="Arial"/>
          <w:sz w:val="21"/>
          <w:szCs w:val="21"/>
          <w:lang w:val="en-US" w:eastAsia="zh-CN"/>
        </w:rPr>
        <w:t>020</w:t>
      </w:r>
      <w:r>
        <w:rPr>
          <w:rFonts w:ascii="Arial" w:hAnsi="Arial" w:cs="Arial"/>
          <w:sz w:val="21"/>
          <w:szCs w:val="21"/>
        </w:rPr>
        <w:t>规自（</w:t>
      </w:r>
      <w:r>
        <w:rPr>
          <w:rFonts w:hint="eastAsia" w:ascii="Arial" w:hAnsi="Arial" w:cs="Arial"/>
          <w:sz w:val="21"/>
          <w:szCs w:val="21"/>
          <w:lang w:eastAsia="zh-CN"/>
        </w:rPr>
        <w:t>房</w:t>
      </w:r>
      <w:r>
        <w:rPr>
          <w:rFonts w:ascii="Arial" w:hAnsi="Arial" w:cs="Arial"/>
          <w:sz w:val="21"/>
          <w:szCs w:val="21"/>
        </w:rPr>
        <w:t>）建字</w:t>
      </w:r>
      <w:r>
        <w:rPr>
          <w:rFonts w:hint="eastAsia" w:ascii="Arial" w:hAnsi="Arial" w:cs="Arial"/>
          <w:sz w:val="21"/>
          <w:szCs w:val="21"/>
          <w:lang w:val="en-US" w:eastAsia="zh-CN"/>
        </w:rPr>
        <w:t>0052</w:t>
      </w:r>
      <w:r>
        <w:rPr>
          <w:rFonts w:ascii="Arial" w:hAnsi="Arial" w:cs="Arial"/>
          <w:sz w:val="21"/>
          <w:szCs w:val="21"/>
        </w:rPr>
        <w:t>号]及附件复印件</w:t>
      </w:r>
    </w:p>
    <w:p>
      <w:pPr>
        <w:numPr>
          <w:ilvl w:val="0"/>
          <w:numId w:val="9"/>
        </w:numPr>
        <w:spacing w:line="360" w:lineRule="auto"/>
        <w:jc w:val="both"/>
        <w:rPr>
          <w:rFonts w:ascii="Arial" w:hAnsi="Arial" w:cs="Arial"/>
          <w:sz w:val="21"/>
          <w:szCs w:val="21"/>
        </w:rPr>
      </w:pPr>
      <w:r>
        <w:rPr>
          <w:rFonts w:ascii="Arial" w:hAnsi="Arial" w:cs="Arial"/>
          <w:sz w:val="21"/>
          <w:szCs w:val="21"/>
        </w:rPr>
        <w:t>《建筑工程施工许可证》[编号：</w:t>
      </w:r>
      <w:r>
        <w:rPr>
          <w:rFonts w:hint="eastAsia" w:ascii="Arial" w:hAnsi="Arial" w:cs="Arial"/>
          <w:sz w:val="21"/>
          <w:szCs w:val="21"/>
          <w:lang w:val="en-US" w:eastAsia="zh-CN"/>
        </w:rPr>
        <w:t>[</w:t>
      </w:r>
      <w:r>
        <w:rPr>
          <w:rFonts w:ascii="Arial" w:hAnsi="Arial" w:cs="Arial"/>
          <w:sz w:val="21"/>
          <w:szCs w:val="21"/>
        </w:rPr>
        <w:t>20</w:t>
      </w:r>
      <w:r>
        <w:rPr>
          <w:rFonts w:hint="eastAsia" w:ascii="Arial" w:hAnsi="Arial" w:cs="Arial"/>
          <w:sz w:val="21"/>
          <w:szCs w:val="21"/>
          <w:lang w:val="en-US" w:eastAsia="zh-CN"/>
        </w:rPr>
        <w:t>20]</w:t>
      </w:r>
      <w:r>
        <w:rPr>
          <w:rFonts w:ascii="Arial" w:hAnsi="Arial" w:cs="Arial"/>
          <w:sz w:val="21"/>
          <w:szCs w:val="21"/>
        </w:rPr>
        <w:t>施</w:t>
      </w:r>
      <w:r>
        <w:rPr>
          <w:rFonts w:hint="eastAsia" w:ascii="Arial" w:hAnsi="Arial" w:cs="Arial"/>
          <w:sz w:val="21"/>
          <w:szCs w:val="21"/>
          <w:lang w:val="en-US" w:eastAsia="zh-CN"/>
        </w:rPr>
        <w:t>[房]</w:t>
      </w:r>
      <w:r>
        <w:rPr>
          <w:rFonts w:ascii="Arial" w:hAnsi="Arial" w:cs="Arial"/>
          <w:sz w:val="21"/>
          <w:szCs w:val="21"/>
        </w:rPr>
        <w:t>建字</w:t>
      </w:r>
      <w:r>
        <w:rPr>
          <w:rFonts w:hint="eastAsia" w:ascii="Arial" w:hAnsi="Arial" w:cs="Arial"/>
          <w:sz w:val="21"/>
          <w:szCs w:val="21"/>
          <w:lang w:val="en-US" w:eastAsia="zh-CN"/>
        </w:rPr>
        <w:t>0063</w:t>
      </w:r>
      <w:r>
        <w:rPr>
          <w:rFonts w:ascii="Arial" w:hAnsi="Arial" w:cs="Arial"/>
          <w:sz w:val="21"/>
          <w:szCs w:val="21"/>
        </w:rPr>
        <w:t>号]及附件复印件</w:t>
      </w:r>
    </w:p>
    <w:p>
      <w:pPr>
        <w:numPr>
          <w:ilvl w:val="0"/>
          <w:numId w:val="9"/>
        </w:numPr>
        <w:spacing w:line="360" w:lineRule="auto"/>
        <w:jc w:val="both"/>
        <w:rPr>
          <w:rFonts w:ascii="Arial" w:hAnsi="Arial" w:cs="Arial"/>
          <w:sz w:val="21"/>
          <w:szCs w:val="21"/>
        </w:rPr>
      </w:pPr>
      <w:r>
        <w:rPr>
          <w:rFonts w:ascii="Arial" w:hAnsi="Arial" w:cs="Arial"/>
          <w:sz w:val="21"/>
          <w:szCs w:val="21"/>
        </w:rPr>
        <w:t>《工程竣工验收备案表》[备案编号：</w:t>
      </w:r>
      <w:r>
        <w:rPr>
          <w:rFonts w:hint="eastAsia" w:ascii="Arial" w:hAnsi="Arial" w:cs="Arial"/>
          <w:sz w:val="21"/>
          <w:szCs w:val="21"/>
          <w:lang w:val="en-US" w:eastAsia="zh-CN"/>
        </w:rPr>
        <w:t>0547房竣2022（建）0041号</w:t>
      </w:r>
      <w:r>
        <w:rPr>
          <w:rFonts w:ascii="Arial" w:hAnsi="Arial" w:cs="Arial"/>
          <w:sz w:val="21"/>
          <w:szCs w:val="21"/>
        </w:rPr>
        <w:t>]复印件</w:t>
      </w:r>
    </w:p>
    <w:p>
      <w:pPr>
        <w:numPr>
          <w:ilvl w:val="0"/>
          <w:numId w:val="9"/>
        </w:numPr>
        <w:spacing w:line="360" w:lineRule="auto"/>
        <w:jc w:val="both"/>
        <w:rPr>
          <w:rFonts w:ascii="Arial" w:hAnsi="Arial" w:cs="Arial"/>
          <w:sz w:val="21"/>
          <w:szCs w:val="21"/>
        </w:rPr>
      </w:pPr>
      <w:r>
        <w:rPr>
          <w:rFonts w:hint="eastAsia" w:ascii="Arial" w:hAnsi="Arial" w:cs="Arial"/>
          <w:sz w:val="21"/>
          <w:szCs w:val="21"/>
        </w:rPr>
        <w:t>《不动产权证书》[京（2022）房不动产权第0022348号]等9本</w:t>
      </w:r>
      <w:r>
        <w:rPr>
          <w:rFonts w:ascii="Arial" w:hAnsi="Arial" w:cs="Arial"/>
          <w:sz w:val="21"/>
          <w:szCs w:val="21"/>
        </w:rPr>
        <w:t>复印件</w:t>
      </w:r>
    </w:p>
    <w:p>
      <w:pPr>
        <w:numPr>
          <w:ilvl w:val="0"/>
          <w:numId w:val="9"/>
        </w:numPr>
        <w:spacing w:line="360" w:lineRule="auto"/>
        <w:jc w:val="both"/>
        <w:rPr>
          <w:rFonts w:ascii="Arial" w:hAnsi="Arial" w:cs="Arial"/>
          <w:sz w:val="21"/>
          <w:szCs w:val="21"/>
        </w:rPr>
      </w:pPr>
      <w:r>
        <w:rPr>
          <w:rFonts w:ascii="Arial" w:hAnsi="Arial" w:cs="Arial"/>
          <w:sz w:val="21"/>
          <w:szCs w:val="21"/>
        </w:rPr>
        <w:t>估价委托方《营业执照（副本）》复印件</w:t>
      </w:r>
    </w:p>
    <w:p>
      <w:pPr>
        <w:numPr>
          <w:ilvl w:val="0"/>
          <w:numId w:val="9"/>
        </w:numPr>
        <w:spacing w:line="360" w:lineRule="auto"/>
        <w:jc w:val="both"/>
        <w:rPr>
          <w:rFonts w:ascii="Arial" w:hAnsi="Arial" w:cs="Arial"/>
          <w:sz w:val="21"/>
          <w:szCs w:val="21"/>
        </w:rPr>
      </w:pPr>
      <w:r>
        <w:rPr>
          <w:rFonts w:ascii="Arial" w:hAnsi="Arial" w:cs="Arial"/>
          <w:sz w:val="21"/>
          <w:szCs w:val="21"/>
        </w:rPr>
        <w:t>房地产估价机构《营业执照（副本）》复印件</w:t>
      </w:r>
    </w:p>
    <w:p>
      <w:pPr>
        <w:numPr>
          <w:ilvl w:val="0"/>
          <w:numId w:val="9"/>
        </w:numPr>
        <w:spacing w:line="360" w:lineRule="auto"/>
        <w:jc w:val="both"/>
        <w:rPr>
          <w:rFonts w:ascii="Arial" w:hAnsi="Arial" w:cs="Arial"/>
          <w:sz w:val="21"/>
          <w:szCs w:val="21"/>
        </w:rPr>
      </w:pPr>
      <w:r>
        <w:rPr>
          <w:rFonts w:ascii="Arial" w:hAnsi="Arial" w:cs="Arial"/>
          <w:sz w:val="21"/>
          <w:szCs w:val="21"/>
        </w:rPr>
        <w:t>估价机构资质证书复印件</w:t>
      </w:r>
    </w:p>
    <w:p>
      <w:pPr>
        <w:numPr>
          <w:ilvl w:val="0"/>
          <w:numId w:val="9"/>
        </w:numPr>
        <w:spacing w:line="360" w:lineRule="auto"/>
        <w:jc w:val="both"/>
        <w:rPr>
          <w:rFonts w:ascii="Arial" w:hAnsi="Arial" w:cs="Arial"/>
          <w:sz w:val="21"/>
          <w:szCs w:val="21"/>
        </w:rPr>
      </w:pPr>
      <w:r>
        <w:rPr>
          <w:rFonts w:ascii="Arial" w:hAnsi="Arial" w:cs="Arial"/>
          <w:sz w:val="21"/>
          <w:szCs w:val="21"/>
        </w:rPr>
        <w:t>评估专业人员执业证书复印件</w:t>
      </w:r>
    </w:p>
    <w:sectPr>
      <w:headerReference r:id="rId17" w:type="default"/>
      <w:pgSz w:w="11907" w:h="16840"/>
      <w:pgMar w:top="1843" w:right="1134" w:bottom="1134" w:left="1134" w:header="1134" w:footer="907" w:gutter="34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GungsuhChe">
    <w:panose1 w:val="02030609000101010101"/>
    <w:charset w:val="81"/>
    <w:family w:val="modern"/>
    <w:pitch w:val="default"/>
    <w:sig w:usb0="B00002AF" w:usb1="69D77CFB" w:usb2="00000030" w:usb3="00000000" w:csb0="4008009F" w:csb1="DFD7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黑体简体">
    <w:altName w:val="微软雅黑"/>
    <w:panose1 w:val="02010601030101010101"/>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auto"/>
    <w:pitch w:val="default"/>
    <w:sig w:usb0="E0002A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4</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rFonts w:ascii="Arial" w:hAnsi="Arial"/>
        <w:lang w:val="zh-CN"/>
      </w:rPr>
      <w:t>12</w:t>
    </w:r>
    <w:r>
      <w:rPr>
        <w:rFonts w:ascii="Arial" w:hAnsi="Arial"/>
        <w:lang w:val="zh-CN"/>
      </w:rPr>
      <w:fldChar w:fldCharType="end"/>
    </w:r>
  </w:p>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keepNext w:val="0"/>
      <w:keepLines w:val="0"/>
      <w:pageBreakBefore w:val="0"/>
      <w:widowControl w:val="0"/>
      <w:pBdr>
        <w:top w:val="single" w:color="404040" w:sz="4" w:space="1"/>
      </w:pBdr>
      <w:tabs>
        <w:tab w:val="right" w:pos="9027"/>
        <w:tab w:val="clear" w:pos="4153"/>
        <w:tab w:val="clear" w:pos="8306"/>
      </w:tabs>
      <w:kinsoku/>
      <w:wordWrap/>
      <w:overflowPunct/>
      <w:topLinePunct w:val="0"/>
      <w:autoSpaceDE/>
      <w:autoSpaceDN/>
      <w:bidi w:val="0"/>
      <w:adjustRightInd w:val="0"/>
      <w:snapToGrid w:val="0"/>
      <w:jc w:val="center"/>
      <w:textAlignment w:val="baseline"/>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21</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pPr>
      <w:pStyle w:val="20"/>
    </w:pP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25</w:t>
    </w:r>
    <w:r>
      <w:rPr>
        <w:rFonts w:ascii="Cambria" w:hAnsi="Cambr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r>
      <w:drawing>
        <wp:inline distT="0" distB="0" distL="0" distR="0">
          <wp:extent cx="5911850" cy="287020"/>
          <wp:effectExtent l="0" t="0" r="0" b="0"/>
          <wp:docPr id="2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rPr>
        <w:rFonts w:ascii="楷体_GB2312" w:eastAsia="楷体_GB2312"/>
        <w:color w:val="FF0000"/>
        <w:spacing w:val="-20"/>
        <w:sz w:val="21"/>
      </w:rPr>
    </w:pPr>
    <w:r>
      <w:drawing>
        <wp:inline distT="0" distB="0" distL="0" distR="0">
          <wp:extent cx="5911850" cy="287020"/>
          <wp:effectExtent l="0" t="0" r="0" b="0"/>
          <wp:docPr id="1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rPr>
        <w:rFonts w:ascii="楷体_GB2312" w:eastAsia="楷体_GB2312"/>
        <w:color w:val="FF0000"/>
        <w:spacing w:val="-20"/>
        <w:sz w:val="21"/>
      </w:rPr>
    </w:pPr>
    <w:r>
      <w:drawing>
        <wp:inline distT="0" distB="0" distL="0" distR="0">
          <wp:extent cx="5904230" cy="287020"/>
          <wp:effectExtent l="0" t="0" r="1270" b="17780"/>
          <wp:docPr id="1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drawing>
        <wp:inline distT="0" distB="0" distL="0" distR="0">
          <wp:extent cx="5507355" cy="287020"/>
          <wp:effectExtent l="0" t="0" r="0" b="0"/>
          <wp:docPr id="1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7355"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rPr>
        <w:rFonts w:ascii="楷体_GB2312" w:eastAsia="楷体_GB2312"/>
        <w:color w:val="FF0000"/>
        <w:spacing w:val="-20"/>
        <w:sz w:val="21"/>
      </w:rPr>
    </w:pPr>
    <w:r>
      <w:drawing>
        <wp:inline distT="0" distB="0" distL="0" distR="0">
          <wp:extent cx="5911850" cy="287020"/>
          <wp:effectExtent l="0" t="0" r="0" b="0"/>
          <wp:docPr id="1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702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r>
      <w:drawing>
        <wp:inline distT="0" distB="0" distL="0" distR="0">
          <wp:extent cx="5911850" cy="28702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623ACB"/>
    <w:multiLevelType w:val="multilevel"/>
    <w:tmpl w:val="01623ACB"/>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24C5980"/>
    <w:multiLevelType w:val="multilevel"/>
    <w:tmpl w:val="024C5980"/>
    <w:lvl w:ilvl="0" w:tentative="0">
      <w:start w:val="1"/>
      <w:numFmt w:val="decimalEnclosedCircle"/>
      <w:lvlText w:val="%1"/>
      <w:lvlJc w:val="left"/>
      <w:pPr>
        <w:ind w:left="1095" w:hanging="360"/>
      </w:pPr>
      <w:rPr>
        <w:rFonts w:hint="default" w:ascii="宋体" w:hAnsi="宋体"/>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19E51493"/>
    <w:multiLevelType w:val="multilevel"/>
    <w:tmpl w:val="19E51493"/>
    <w:lvl w:ilvl="0" w:tentative="0">
      <w:start w:val="2"/>
      <w:numFmt w:val="japaneseCounting"/>
      <w:lvlText w:val="（%1）"/>
      <w:lvlJc w:val="left"/>
      <w:pPr>
        <w:ind w:left="720" w:hanging="7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F220C1"/>
    <w:multiLevelType w:val="multilevel"/>
    <w:tmpl w:val="2BF220C1"/>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8">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2"/>
  </w:num>
  <w:num w:numId="3">
    <w:abstractNumId w:val="7"/>
  </w:num>
  <w:num w:numId="4">
    <w:abstractNumId w:val="6"/>
  </w:num>
  <w:num w:numId="5">
    <w:abstractNumId w:val="0"/>
  </w:num>
  <w:num w:numId="6">
    <w:abstractNumId w:val="3"/>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5"/>
  <w:doNotHyphenateCaps/>
  <w:drawingGridHorizontalSpacing w:val="120"/>
  <w:drawingGridVerticalSpacing w:val="163"/>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0YTgwZWFlNTQxODE0NTkyNTBkYjM5YTFhYzFlZTgifQ=="/>
  </w:docVars>
  <w:rsids>
    <w:rsidRoot w:val="00AF4C5B"/>
    <w:rsid w:val="00000D1B"/>
    <w:rsid w:val="00001499"/>
    <w:rsid w:val="00002687"/>
    <w:rsid w:val="00004CA5"/>
    <w:rsid w:val="00004D42"/>
    <w:rsid w:val="0000562C"/>
    <w:rsid w:val="00006360"/>
    <w:rsid w:val="0001031A"/>
    <w:rsid w:val="00011244"/>
    <w:rsid w:val="0001206A"/>
    <w:rsid w:val="0001237C"/>
    <w:rsid w:val="0001354F"/>
    <w:rsid w:val="000144DE"/>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1B4A"/>
    <w:rsid w:val="000B3DCD"/>
    <w:rsid w:val="000B400F"/>
    <w:rsid w:val="000B4F6F"/>
    <w:rsid w:val="000B5751"/>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1EA3"/>
    <w:rsid w:val="002C21FC"/>
    <w:rsid w:val="002C2ACD"/>
    <w:rsid w:val="002C2CF7"/>
    <w:rsid w:val="002C3EAB"/>
    <w:rsid w:val="002C4410"/>
    <w:rsid w:val="002C57F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59F1"/>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B68E1"/>
    <w:rsid w:val="003C0A4D"/>
    <w:rsid w:val="003C0D51"/>
    <w:rsid w:val="003C20C5"/>
    <w:rsid w:val="003C235C"/>
    <w:rsid w:val="003C2A74"/>
    <w:rsid w:val="003C3914"/>
    <w:rsid w:val="003C413A"/>
    <w:rsid w:val="003C497C"/>
    <w:rsid w:val="003D0271"/>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28FB"/>
    <w:rsid w:val="00403B00"/>
    <w:rsid w:val="00403BC4"/>
    <w:rsid w:val="00403DBA"/>
    <w:rsid w:val="00404396"/>
    <w:rsid w:val="00405892"/>
    <w:rsid w:val="0040596B"/>
    <w:rsid w:val="004077FC"/>
    <w:rsid w:val="004109A6"/>
    <w:rsid w:val="00410A15"/>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59C4"/>
    <w:rsid w:val="00447BEC"/>
    <w:rsid w:val="00447F02"/>
    <w:rsid w:val="004509F5"/>
    <w:rsid w:val="00450C06"/>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2DDA"/>
    <w:rsid w:val="00513FD1"/>
    <w:rsid w:val="005151D1"/>
    <w:rsid w:val="00515DA6"/>
    <w:rsid w:val="00515EC0"/>
    <w:rsid w:val="005167F1"/>
    <w:rsid w:val="005168D3"/>
    <w:rsid w:val="00516B79"/>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320"/>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B68"/>
    <w:rsid w:val="005E4D73"/>
    <w:rsid w:val="005E5869"/>
    <w:rsid w:val="005E59F4"/>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198F"/>
    <w:rsid w:val="00642421"/>
    <w:rsid w:val="006424A9"/>
    <w:rsid w:val="00642A60"/>
    <w:rsid w:val="00643185"/>
    <w:rsid w:val="00644008"/>
    <w:rsid w:val="006448ED"/>
    <w:rsid w:val="00645C80"/>
    <w:rsid w:val="006463FC"/>
    <w:rsid w:val="006470B4"/>
    <w:rsid w:val="00650100"/>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4FEC"/>
    <w:rsid w:val="0066775F"/>
    <w:rsid w:val="00667972"/>
    <w:rsid w:val="00670B9F"/>
    <w:rsid w:val="006715BF"/>
    <w:rsid w:val="006717DA"/>
    <w:rsid w:val="00674CCF"/>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3854"/>
    <w:rsid w:val="006A4A4B"/>
    <w:rsid w:val="006A5EF1"/>
    <w:rsid w:val="006A738A"/>
    <w:rsid w:val="006A7905"/>
    <w:rsid w:val="006A7D17"/>
    <w:rsid w:val="006B1CC8"/>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42A4"/>
    <w:rsid w:val="00774F09"/>
    <w:rsid w:val="00776059"/>
    <w:rsid w:val="007775FF"/>
    <w:rsid w:val="007778D5"/>
    <w:rsid w:val="0078084E"/>
    <w:rsid w:val="00780DA6"/>
    <w:rsid w:val="0078149A"/>
    <w:rsid w:val="00782CFC"/>
    <w:rsid w:val="00783067"/>
    <w:rsid w:val="0078330B"/>
    <w:rsid w:val="007838C8"/>
    <w:rsid w:val="00783AA9"/>
    <w:rsid w:val="00784014"/>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2DD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25A1"/>
    <w:rsid w:val="008C31D9"/>
    <w:rsid w:val="008C32C5"/>
    <w:rsid w:val="008C3CF4"/>
    <w:rsid w:val="008C58DC"/>
    <w:rsid w:val="008C6DA7"/>
    <w:rsid w:val="008D1FC8"/>
    <w:rsid w:val="008D2A32"/>
    <w:rsid w:val="008D3AE6"/>
    <w:rsid w:val="008D408F"/>
    <w:rsid w:val="008D5FEE"/>
    <w:rsid w:val="008D67FE"/>
    <w:rsid w:val="008E1B0B"/>
    <w:rsid w:val="008E326C"/>
    <w:rsid w:val="008E471D"/>
    <w:rsid w:val="008E47C6"/>
    <w:rsid w:val="008E5AC6"/>
    <w:rsid w:val="008E6D79"/>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0EBC"/>
    <w:rsid w:val="009410E0"/>
    <w:rsid w:val="00942BAA"/>
    <w:rsid w:val="009437C5"/>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9AC"/>
    <w:rsid w:val="00980EEE"/>
    <w:rsid w:val="00981C08"/>
    <w:rsid w:val="00981C3C"/>
    <w:rsid w:val="00983758"/>
    <w:rsid w:val="00983CD3"/>
    <w:rsid w:val="00984015"/>
    <w:rsid w:val="009865E6"/>
    <w:rsid w:val="00990006"/>
    <w:rsid w:val="0099153E"/>
    <w:rsid w:val="0099271E"/>
    <w:rsid w:val="00992729"/>
    <w:rsid w:val="00993DFE"/>
    <w:rsid w:val="009948B6"/>
    <w:rsid w:val="00994EBC"/>
    <w:rsid w:val="00997423"/>
    <w:rsid w:val="009975F9"/>
    <w:rsid w:val="009A032A"/>
    <w:rsid w:val="009A0658"/>
    <w:rsid w:val="009A0662"/>
    <w:rsid w:val="009A08EC"/>
    <w:rsid w:val="009A2A1F"/>
    <w:rsid w:val="009A7283"/>
    <w:rsid w:val="009A7490"/>
    <w:rsid w:val="009A7B3B"/>
    <w:rsid w:val="009B09D9"/>
    <w:rsid w:val="009B0AF5"/>
    <w:rsid w:val="009B2E60"/>
    <w:rsid w:val="009B5FD8"/>
    <w:rsid w:val="009B6FE9"/>
    <w:rsid w:val="009C12FF"/>
    <w:rsid w:val="009C25D8"/>
    <w:rsid w:val="009C35F9"/>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A4C"/>
    <w:rsid w:val="009E3C3F"/>
    <w:rsid w:val="009E424F"/>
    <w:rsid w:val="009E464E"/>
    <w:rsid w:val="009E4F3E"/>
    <w:rsid w:val="009E5B4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0B9D"/>
    <w:rsid w:val="00A11C12"/>
    <w:rsid w:val="00A120A1"/>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50CC"/>
    <w:rsid w:val="00A952D0"/>
    <w:rsid w:val="00A96381"/>
    <w:rsid w:val="00A97A41"/>
    <w:rsid w:val="00AA0718"/>
    <w:rsid w:val="00AA1156"/>
    <w:rsid w:val="00AA1715"/>
    <w:rsid w:val="00AA1C8C"/>
    <w:rsid w:val="00AA29C5"/>
    <w:rsid w:val="00AA30D0"/>
    <w:rsid w:val="00AA3276"/>
    <w:rsid w:val="00AA3AA1"/>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0EC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0DCA"/>
    <w:rsid w:val="00B0155C"/>
    <w:rsid w:val="00B01739"/>
    <w:rsid w:val="00B01AE8"/>
    <w:rsid w:val="00B0369F"/>
    <w:rsid w:val="00B03EF5"/>
    <w:rsid w:val="00B03FC0"/>
    <w:rsid w:val="00B04D69"/>
    <w:rsid w:val="00B060B1"/>
    <w:rsid w:val="00B07EB9"/>
    <w:rsid w:val="00B07F9E"/>
    <w:rsid w:val="00B10026"/>
    <w:rsid w:val="00B10FDE"/>
    <w:rsid w:val="00B11494"/>
    <w:rsid w:val="00B128D9"/>
    <w:rsid w:val="00B13564"/>
    <w:rsid w:val="00B13772"/>
    <w:rsid w:val="00B13D8E"/>
    <w:rsid w:val="00B15AE4"/>
    <w:rsid w:val="00B15D7C"/>
    <w:rsid w:val="00B16B4A"/>
    <w:rsid w:val="00B17705"/>
    <w:rsid w:val="00B17749"/>
    <w:rsid w:val="00B1797E"/>
    <w:rsid w:val="00B20156"/>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2CD8"/>
    <w:rsid w:val="00B430F1"/>
    <w:rsid w:val="00B447D8"/>
    <w:rsid w:val="00B44D94"/>
    <w:rsid w:val="00B472E8"/>
    <w:rsid w:val="00B50FF2"/>
    <w:rsid w:val="00B51055"/>
    <w:rsid w:val="00B519E6"/>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AA3"/>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34"/>
    <w:rsid w:val="00D54084"/>
    <w:rsid w:val="00D54A0D"/>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C5C"/>
    <w:rsid w:val="00DE0A15"/>
    <w:rsid w:val="00DE0E41"/>
    <w:rsid w:val="00DE11DC"/>
    <w:rsid w:val="00DE3ADC"/>
    <w:rsid w:val="00DE3BE2"/>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3671"/>
    <w:rsid w:val="00E34634"/>
    <w:rsid w:val="00E3707E"/>
    <w:rsid w:val="00E37BD5"/>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375E"/>
    <w:rsid w:val="00EE4EE5"/>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57E0"/>
    <w:rsid w:val="00F5603D"/>
    <w:rsid w:val="00F56D94"/>
    <w:rsid w:val="00F605D8"/>
    <w:rsid w:val="00F61B76"/>
    <w:rsid w:val="00F62CEB"/>
    <w:rsid w:val="00F645ED"/>
    <w:rsid w:val="00F65600"/>
    <w:rsid w:val="00F65F20"/>
    <w:rsid w:val="00F66151"/>
    <w:rsid w:val="00F662CD"/>
    <w:rsid w:val="00F6651A"/>
    <w:rsid w:val="00F6656E"/>
    <w:rsid w:val="00F701F0"/>
    <w:rsid w:val="00F712F8"/>
    <w:rsid w:val="00F71C1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347"/>
    <w:rsid w:val="00FC0C55"/>
    <w:rsid w:val="00FC0FC4"/>
    <w:rsid w:val="00FC1D97"/>
    <w:rsid w:val="00FC297E"/>
    <w:rsid w:val="00FC2E46"/>
    <w:rsid w:val="00FC31F5"/>
    <w:rsid w:val="00FC42B3"/>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 w:val="0675338E"/>
    <w:rsid w:val="3C333C98"/>
    <w:rsid w:val="3F517C94"/>
    <w:rsid w:val="3F732B39"/>
    <w:rsid w:val="470D3836"/>
    <w:rsid w:val="4AA16455"/>
    <w:rsid w:val="6AB33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64"/>
    <w:qFormat/>
    <w:uiPriority w:val="0"/>
    <w:pPr>
      <w:keepNext/>
      <w:widowControl w:val="0"/>
      <w:adjustRightInd w:val="0"/>
      <w:spacing w:line="300" w:lineRule="auto"/>
      <w:jc w:val="both"/>
      <w:textAlignment w:val="baseline"/>
      <w:outlineLvl w:val="0"/>
    </w:pPr>
    <w:rPr>
      <w:rFonts w:ascii="Arial" w:hAnsi="Arial" w:eastAsia="仿宋_GB2312" w:cs="Arial"/>
      <w:b/>
      <w:sz w:val="28"/>
      <w:szCs w:val="20"/>
    </w:rPr>
  </w:style>
  <w:style w:type="paragraph" w:styleId="3">
    <w:name w:val="heading 2"/>
    <w:basedOn w:val="1"/>
    <w:next w:val="1"/>
    <w:qFormat/>
    <w:uiPriority w:val="0"/>
    <w:pPr>
      <w:keepNext/>
      <w:widowControl w:val="0"/>
      <w:numPr>
        <w:ilvl w:val="0"/>
        <w:numId w:val="1"/>
      </w:numPr>
      <w:adjustRightInd w:val="0"/>
      <w:spacing w:line="300" w:lineRule="auto"/>
      <w:textAlignment w:val="baseline"/>
      <w:outlineLvl w:val="1"/>
    </w:pPr>
    <w:rPr>
      <w:rFonts w:ascii="Arial" w:hAnsi="Arial" w:eastAsia="仿宋_GB2312" w:cs="Arial"/>
      <w:b/>
      <w:bCs/>
      <w:sz w:val="28"/>
      <w:szCs w:val="20"/>
    </w:rPr>
  </w:style>
  <w:style w:type="paragraph" w:styleId="4">
    <w:name w:val="heading 3"/>
    <w:basedOn w:val="1"/>
    <w:next w:val="1"/>
    <w:qFormat/>
    <w:uiPriority w:val="0"/>
    <w:pPr>
      <w:keepNext/>
      <w:widowControl w:val="0"/>
      <w:numPr>
        <w:ilvl w:val="1"/>
        <w:numId w:val="2"/>
      </w:numPr>
      <w:tabs>
        <w:tab w:val="left" w:pos="0"/>
        <w:tab w:val="left" w:pos="1200"/>
        <w:tab w:val="clear" w:pos="1740"/>
      </w:tabs>
      <w:adjustRightInd w:val="0"/>
      <w:spacing w:line="440" w:lineRule="atLeast"/>
      <w:ind w:left="1320" w:hanging="600"/>
      <w:jc w:val="both"/>
      <w:textAlignment w:val="baseline"/>
      <w:outlineLvl w:val="2"/>
    </w:pPr>
    <w:rPr>
      <w:rFonts w:ascii="仿宋_GB2312" w:hAnsi="Arial" w:eastAsia="仿宋_GB2312" w:cs="Arial"/>
      <w:sz w:val="28"/>
      <w:szCs w:val="20"/>
    </w:rPr>
  </w:style>
  <w:style w:type="paragraph" w:styleId="5">
    <w:name w:val="heading 4"/>
    <w:basedOn w:val="1"/>
    <w:next w:val="1"/>
    <w:qFormat/>
    <w:uiPriority w:val="0"/>
    <w:pPr>
      <w:keepNext/>
      <w:widowControl w:val="0"/>
      <w:numPr>
        <w:ilvl w:val="0"/>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6">
    <w:name w:val="heading 5"/>
    <w:basedOn w:val="1"/>
    <w:next w:val="1"/>
    <w:qFormat/>
    <w:uiPriority w:val="0"/>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widowControl w:val="0"/>
      <w:adjustRightInd w:val="0"/>
      <w:spacing w:line="360" w:lineRule="atLeast"/>
      <w:ind w:left="2520" w:leftChars="1200"/>
      <w:textAlignment w:val="baseline"/>
    </w:pPr>
    <w:rPr>
      <w:szCs w:val="20"/>
    </w:rPr>
  </w:style>
  <w:style w:type="paragraph" w:styleId="8">
    <w:name w:val="Normal Indent"/>
    <w:basedOn w:val="1"/>
    <w:semiHidden/>
    <w:qFormat/>
    <w:uiPriority w:val="0"/>
    <w:pPr>
      <w:widowControl w:val="0"/>
      <w:ind w:firstLine="560" w:firstLineChars="200"/>
      <w:jc w:val="both"/>
    </w:pPr>
    <w:rPr>
      <w:rFonts w:eastAsia="GungsuhChe"/>
      <w:color w:val="FF0000"/>
      <w:kern w:val="2"/>
      <w:sz w:val="28"/>
    </w:rPr>
  </w:style>
  <w:style w:type="paragraph" w:styleId="9">
    <w:name w:val="Document Map"/>
    <w:basedOn w:val="1"/>
    <w:link w:val="54"/>
    <w:semiHidden/>
    <w:qFormat/>
    <w:uiPriority w:val="0"/>
    <w:pPr>
      <w:widowControl w:val="0"/>
      <w:shd w:val="clear" w:color="auto" w:fill="000080"/>
      <w:adjustRightInd w:val="0"/>
      <w:spacing w:line="360" w:lineRule="atLeast"/>
      <w:textAlignment w:val="baseline"/>
    </w:pPr>
    <w:rPr>
      <w:szCs w:val="20"/>
    </w:rPr>
  </w:style>
  <w:style w:type="paragraph" w:styleId="10">
    <w:name w:val="annotation text"/>
    <w:basedOn w:val="1"/>
    <w:semiHidden/>
    <w:qFormat/>
    <w:uiPriority w:val="0"/>
    <w:pPr>
      <w:widowControl w:val="0"/>
      <w:adjustRightInd w:val="0"/>
      <w:spacing w:line="360" w:lineRule="atLeast"/>
      <w:textAlignment w:val="baseline"/>
    </w:pPr>
    <w:rPr>
      <w:szCs w:val="20"/>
    </w:rPr>
  </w:style>
  <w:style w:type="paragraph" w:styleId="11">
    <w:name w:val="Body Text"/>
    <w:basedOn w:val="1"/>
    <w:semiHidden/>
    <w:qFormat/>
    <w:uiPriority w:val="0"/>
    <w:pPr>
      <w:widowControl w:val="0"/>
      <w:adjustRightInd w:val="0"/>
      <w:spacing w:line="360" w:lineRule="atLeast"/>
      <w:textAlignment w:val="baseline"/>
    </w:pPr>
    <w:rPr>
      <w:rFonts w:eastAsia="隶书"/>
      <w:sz w:val="52"/>
      <w:szCs w:val="20"/>
    </w:rPr>
  </w:style>
  <w:style w:type="paragraph" w:styleId="12">
    <w:name w:val="Body Text Indent"/>
    <w:basedOn w:val="1"/>
    <w:semiHidden/>
    <w:qFormat/>
    <w:uiPriority w:val="0"/>
    <w:pPr>
      <w:widowControl w:val="0"/>
      <w:adjustRightInd w:val="0"/>
      <w:spacing w:before="120" w:line="360" w:lineRule="auto"/>
      <w:ind w:left="1145"/>
      <w:textAlignment w:val="baseline"/>
    </w:pPr>
    <w:rPr>
      <w:rFonts w:ascii="楷体_GB2312" w:eastAsia="楷体_GB2312"/>
      <w:kern w:val="2"/>
      <w:sz w:val="28"/>
      <w:szCs w:val="20"/>
    </w:rPr>
  </w:style>
  <w:style w:type="paragraph" w:styleId="13">
    <w:name w:val="toc 5"/>
    <w:basedOn w:val="1"/>
    <w:next w:val="1"/>
    <w:semiHidden/>
    <w:qFormat/>
    <w:uiPriority w:val="0"/>
    <w:pPr>
      <w:widowControl w:val="0"/>
      <w:adjustRightInd w:val="0"/>
      <w:spacing w:line="360" w:lineRule="atLeast"/>
      <w:ind w:left="1680" w:leftChars="800"/>
      <w:textAlignment w:val="baseline"/>
    </w:pPr>
    <w:rPr>
      <w:szCs w:val="20"/>
    </w:rPr>
  </w:style>
  <w:style w:type="paragraph" w:styleId="14">
    <w:name w:val="toc 3"/>
    <w:basedOn w:val="1"/>
    <w:next w:val="1"/>
    <w:semiHidden/>
    <w:qFormat/>
    <w:uiPriority w:val="0"/>
    <w:pPr>
      <w:widowControl w:val="0"/>
      <w:adjustRightInd w:val="0"/>
      <w:spacing w:line="360" w:lineRule="atLeast"/>
      <w:ind w:left="840" w:leftChars="400"/>
      <w:textAlignment w:val="baseline"/>
    </w:pPr>
    <w:rPr>
      <w:szCs w:val="20"/>
    </w:rPr>
  </w:style>
  <w:style w:type="paragraph" w:styleId="15">
    <w:name w:val="Plain Text"/>
    <w:basedOn w:val="1"/>
    <w:semiHidden/>
    <w:qFormat/>
    <w:uiPriority w:val="0"/>
    <w:pPr>
      <w:widowControl w:val="0"/>
      <w:jc w:val="both"/>
    </w:pPr>
    <w:rPr>
      <w:rFonts w:ascii="宋体" w:hAnsi="Courier New"/>
      <w:kern w:val="2"/>
      <w:sz w:val="21"/>
      <w:szCs w:val="20"/>
    </w:rPr>
  </w:style>
  <w:style w:type="paragraph" w:styleId="16">
    <w:name w:val="toc 8"/>
    <w:basedOn w:val="1"/>
    <w:next w:val="1"/>
    <w:semiHidden/>
    <w:qFormat/>
    <w:uiPriority w:val="0"/>
    <w:pPr>
      <w:widowControl w:val="0"/>
      <w:adjustRightInd w:val="0"/>
      <w:spacing w:line="360" w:lineRule="atLeast"/>
      <w:ind w:left="2940" w:leftChars="1400"/>
      <w:textAlignment w:val="baseline"/>
    </w:pPr>
    <w:rPr>
      <w:szCs w:val="20"/>
    </w:rPr>
  </w:style>
  <w:style w:type="paragraph" w:styleId="17">
    <w:name w:val="Date"/>
    <w:basedOn w:val="1"/>
    <w:next w:val="1"/>
    <w:semiHidden/>
    <w:qFormat/>
    <w:uiPriority w:val="0"/>
    <w:pPr>
      <w:widowControl w:val="0"/>
      <w:adjustRightInd w:val="0"/>
      <w:spacing w:line="360" w:lineRule="atLeast"/>
      <w:jc w:val="both"/>
      <w:textAlignment w:val="baseline"/>
    </w:pPr>
    <w:rPr>
      <w:rFonts w:ascii="楷体_GB2312" w:eastAsia="楷体_GB2312"/>
      <w:b/>
      <w:sz w:val="28"/>
      <w:szCs w:val="20"/>
    </w:rPr>
  </w:style>
  <w:style w:type="paragraph" w:styleId="18">
    <w:name w:val="Body Text Indent 2"/>
    <w:basedOn w:val="1"/>
    <w:semiHidden/>
    <w:qFormat/>
    <w:uiPriority w:val="0"/>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19">
    <w:name w:val="Balloon Text"/>
    <w:basedOn w:val="1"/>
    <w:semiHidden/>
    <w:qFormat/>
    <w:uiPriority w:val="0"/>
    <w:pPr>
      <w:widowControl w:val="0"/>
      <w:adjustRightInd w:val="0"/>
      <w:spacing w:line="360" w:lineRule="atLeast"/>
      <w:textAlignment w:val="baseline"/>
    </w:pPr>
    <w:rPr>
      <w:sz w:val="18"/>
      <w:szCs w:val="18"/>
    </w:rPr>
  </w:style>
  <w:style w:type="paragraph" w:styleId="20">
    <w:name w:val="footer"/>
    <w:basedOn w:val="1"/>
    <w:link w:val="52"/>
    <w:qFormat/>
    <w:uiPriority w:val="99"/>
    <w:pPr>
      <w:widowControl w:val="0"/>
      <w:tabs>
        <w:tab w:val="center" w:pos="4153"/>
        <w:tab w:val="right" w:pos="8306"/>
      </w:tabs>
      <w:adjustRightInd w:val="0"/>
      <w:spacing w:line="240" w:lineRule="atLeast"/>
      <w:textAlignment w:val="baseline"/>
    </w:pPr>
    <w:rPr>
      <w:sz w:val="18"/>
      <w:szCs w:val="20"/>
    </w:rPr>
  </w:style>
  <w:style w:type="paragraph" w:styleId="21">
    <w:name w:val="header"/>
    <w:basedOn w:val="1"/>
    <w:link w:val="53"/>
    <w:qFormat/>
    <w:uiPriority w:val="99"/>
    <w:pPr>
      <w:widowControl w:val="0"/>
      <w:pBdr>
        <w:bottom w:val="single" w:color="auto" w:sz="6" w:space="1"/>
      </w:pBdr>
      <w:tabs>
        <w:tab w:val="center" w:pos="4153"/>
        <w:tab w:val="right" w:pos="8306"/>
      </w:tabs>
      <w:adjustRightInd w:val="0"/>
      <w:snapToGrid w:val="0"/>
      <w:spacing w:line="240" w:lineRule="atLeast"/>
      <w:jc w:val="center"/>
      <w:textAlignment w:val="baseline"/>
    </w:pPr>
    <w:rPr>
      <w:sz w:val="18"/>
      <w:szCs w:val="20"/>
    </w:rPr>
  </w:style>
  <w:style w:type="paragraph" w:styleId="22">
    <w:name w:val="toc 1"/>
    <w:basedOn w:val="1"/>
    <w:next w:val="1"/>
    <w:qFormat/>
    <w:uiPriority w:val="39"/>
    <w:pPr>
      <w:widowControl w:val="0"/>
      <w:tabs>
        <w:tab w:val="right" w:leader="dot" w:pos="9072"/>
      </w:tabs>
      <w:adjustRightInd w:val="0"/>
      <w:spacing w:line="360" w:lineRule="auto"/>
      <w:textAlignment w:val="baseline"/>
    </w:pPr>
    <w:rPr>
      <w:rFonts w:ascii="楷体_GB2312" w:eastAsia="楷体_GB2312"/>
      <w:b/>
      <w:bCs/>
      <w:sz w:val="30"/>
      <w:szCs w:val="30"/>
    </w:rPr>
  </w:style>
  <w:style w:type="paragraph" w:styleId="23">
    <w:name w:val="toc 4"/>
    <w:basedOn w:val="1"/>
    <w:next w:val="1"/>
    <w:semiHidden/>
    <w:qFormat/>
    <w:uiPriority w:val="0"/>
    <w:pPr>
      <w:widowControl w:val="0"/>
      <w:adjustRightInd w:val="0"/>
      <w:spacing w:line="360" w:lineRule="atLeast"/>
      <w:ind w:left="1260" w:leftChars="600"/>
      <w:textAlignment w:val="baseline"/>
    </w:pPr>
    <w:rPr>
      <w:szCs w:val="20"/>
    </w:rPr>
  </w:style>
  <w:style w:type="paragraph" w:styleId="24">
    <w:name w:val="toc 6"/>
    <w:basedOn w:val="1"/>
    <w:next w:val="1"/>
    <w:semiHidden/>
    <w:qFormat/>
    <w:uiPriority w:val="0"/>
    <w:pPr>
      <w:widowControl w:val="0"/>
      <w:adjustRightInd w:val="0"/>
      <w:spacing w:line="360" w:lineRule="atLeast"/>
      <w:ind w:left="2100" w:leftChars="1000"/>
      <w:textAlignment w:val="baseline"/>
    </w:pPr>
    <w:rPr>
      <w:szCs w:val="20"/>
    </w:rPr>
  </w:style>
  <w:style w:type="paragraph" w:styleId="25">
    <w:name w:val="Body Text Indent 3"/>
    <w:basedOn w:val="1"/>
    <w:semiHidden/>
    <w:qFormat/>
    <w:uiPriority w:val="0"/>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26">
    <w:name w:val="toc 2"/>
    <w:basedOn w:val="1"/>
    <w:next w:val="1"/>
    <w:qFormat/>
    <w:uiPriority w:val="39"/>
    <w:pPr>
      <w:widowControl w:val="0"/>
      <w:tabs>
        <w:tab w:val="right" w:leader="dot" w:pos="9072"/>
      </w:tabs>
      <w:adjustRightInd w:val="0"/>
      <w:spacing w:line="360" w:lineRule="auto"/>
      <w:ind w:left="480" w:leftChars="200"/>
      <w:textAlignment w:val="baseline"/>
    </w:pPr>
    <w:rPr>
      <w:rFonts w:eastAsia="楷体_GB2312"/>
      <w:szCs w:val="20"/>
    </w:rPr>
  </w:style>
  <w:style w:type="paragraph" w:styleId="27">
    <w:name w:val="toc 9"/>
    <w:basedOn w:val="1"/>
    <w:next w:val="1"/>
    <w:semiHidden/>
    <w:qFormat/>
    <w:uiPriority w:val="0"/>
    <w:pPr>
      <w:widowControl w:val="0"/>
      <w:adjustRightInd w:val="0"/>
      <w:spacing w:line="360" w:lineRule="atLeast"/>
      <w:ind w:left="3360" w:leftChars="1600"/>
      <w:textAlignment w:val="baseline"/>
    </w:pPr>
    <w:rPr>
      <w:szCs w:val="20"/>
    </w:rPr>
  </w:style>
  <w:style w:type="paragraph" w:styleId="28">
    <w:name w:val="Body Text 2"/>
    <w:basedOn w:val="1"/>
    <w:semiHidden/>
    <w:qFormat/>
    <w:uiPriority w:val="0"/>
    <w:pPr>
      <w:widowControl w:val="0"/>
      <w:adjustRightInd w:val="0"/>
      <w:spacing w:line="360" w:lineRule="auto"/>
      <w:ind w:right="2"/>
      <w:textAlignment w:val="baseline"/>
    </w:pPr>
    <w:rPr>
      <w:rFonts w:eastAsia="仿宋_GB2312"/>
      <w:sz w:val="28"/>
      <w:szCs w:val="20"/>
    </w:rPr>
  </w:style>
  <w:style w:type="paragraph" w:styleId="29">
    <w:name w:val="Normal (Web)"/>
    <w:basedOn w:val="1"/>
    <w:semiHidden/>
    <w:qFormat/>
    <w:uiPriority w:val="99"/>
    <w:pPr>
      <w:spacing w:line="360" w:lineRule="auto"/>
    </w:pPr>
    <w:rPr>
      <w:rFonts w:ascii="宋体" w:hAnsi="宋体"/>
      <w:sz w:val="18"/>
      <w:szCs w:val="18"/>
    </w:rPr>
  </w:style>
  <w:style w:type="paragraph" w:styleId="30">
    <w:name w:val="annotation subject"/>
    <w:basedOn w:val="10"/>
    <w:next w:val="10"/>
    <w:semiHidden/>
    <w:qFormat/>
    <w:uiPriority w:val="0"/>
    <w:rPr>
      <w:b/>
      <w:bCs/>
    </w:rPr>
  </w:style>
  <w:style w:type="paragraph" w:styleId="31">
    <w:name w:val="Body Text First Indent"/>
    <w:basedOn w:val="11"/>
    <w:semiHidden/>
    <w:qFormat/>
    <w:uiPriority w:val="0"/>
    <w:pPr>
      <w:adjustRightInd/>
      <w:spacing w:after="120" w:line="240" w:lineRule="auto"/>
      <w:ind w:firstLine="420"/>
      <w:jc w:val="both"/>
      <w:textAlignment w:val="auto"/>
    </w:pPr>
    <w:rPr>
      <w:rFonts w:eastAsia="宋体"/>
      <w:kern w:val="2"/>
      <w:sz w:val="21"/>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qFormat/>
    <w:uiPriority w:val="22"/>
    <w:rPr>
      <w:b/>
      <w:bCs/>
    </w:rPr>
  </w:style>
  <w:style w:type="character" w:styleId="36">
    <w:name w:val="page number"/>
    <w:basedOn w:val="34"/>
    <w:qFormat/>
    <w:uiPriority w:val="0"/>
  </w:style>
  <w:style w:type="character" w:styleId="37">
    <w:name w:val="FollowedHyperlink"/>
    <w:semiHidden/>
    <w:qFormat/>
    <w:uiPriority w:val="0"/>
    <w:rPr>
      <w:color w:val="800080"/>
      <w:u w:val="single"/>
    </w:rPr>
  </w:style>
  <w:style w:type="character" w:styleId="38">
    <w:name w:val="Hyperlink"/>
    <w:qFormat/>
    <w:uiPriority w:val="99"/>
    <w:rPr>
      <w:color w:val="0000FF"/>
      <w:u w:val="single"/>
    </w:rPr>
  </w:style>
  <w:style w:type="character" w:styleId="39">
    <w:name w:val="annotation reference"/>
    <w:semiHidden/>
    <w:qFormat/>
    <w:uiPriority w:val="99"/>
    <w:rPr>
      <w:sz w:val="21"/>
      <w:szCs w:val="21"/>
    </w:rPr>
  </w:style>
  <w:style w:type="paragraph" w:customStyle="1" w:styleId="4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41">
    <w:name w:val="text1"/>
    <w:qFormat/>
    <w:uiPriority w:val="0"/>
    <w:rPr>
      <w:spacing w:val="10"/>
      <w:sz w:val="28"/>
      <w:szCs w:val="28"/>
    </w:rPr>
  </w:style>
  <w:style w:type="character" w:customStyle="1" w:styleId="42">
    <w:name w:val="unnamed11"/>
    <w:qFormat/>
    <w:uiPriority w:val="0"/>
    <w:rPr>
      <w:rFonts w:hint="eastAsia" w:ascii="宋体" w:hAnsi="宋体" w:eastAsia="宋体"/>
      <w:color w:val="000000"/>
      <w:sz w:val="18"/>
      <w:szCs w:val="18"/>
      <w:u w:val="none"/>
    </w:rPr>
  </w:style>
  <w:style w:type="paragraph" w:customStyle="1" w:styleId="43">
    <w:name w:val="xl30"/>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sz w:val="20"/>
      <w:szCs w:val="20"/>
    </w:rPr>
  </w:style>
  <w:style w:type="paragraph" w:customStyle="1" w:styleId="44">
    <w:name w:val="xl33"/>
    <w:basedOn w:val="1"/>
    <w:qFormat/>
    <w:uiPriority w:val="0"/>
    <w:pPr>
      <w:pBdr>
        <w:top w:val="single" w:color="auto" w:sz="4" w:space="0"/>
        <w:bottom w:val="single" w:color="auto" w:sz="4" w:space="0"/>
      </w:pBdr>
      <w:spacing w:before="100" w:beforeAutospacing="1" w:after="100" w:afterAutospacing="1"/>
      <w:jc w:val="center"/>
      <w:textAlignment w:val="center"/>
    </w:pPr>
    <w:rPr>
      <w:rFonts w:ascii="Arial Unicode MS" w:hAnsi="Arial Unicode MS"/>
      <w:b/>
      <w:bCs/>
    </w:rPr>
  </w:style>
  <w:style w:type="paragraph" w:customStyle="1" w:styleId="45">
    <w:name w:val="font5"/>
    <w:basedOn w:val="1"/>
    <w:qFormat/>
    <w:uiPriority w:val="0"/>
    <w:pPr>
      <w:spacing w:before="100" w:beforeAutospacing="1" w:after="100" w:afterAutospacing="1"/>
    </w:pPr>
    <w:rPr>
      <w:rFonts w:hint="eastAsia" w:ascii="宋体" w:hAnsi="宋体"/>
      <w:sz w:val="18"/>
      <w:szCs w:val="18"/>
    </w:rPr>
  </w:style>
  <w:style w:type="paragraph" w:customStyle="1" w:styleId="46">
    <w:name w:val="xl28"/>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eastAsia="Arial Unicode MS"/>
    </w:rPr>
  </w:style>
  <w:style w:type="paragraph" w:customStyle="1" w:styleId="47">
    <w:name w:val="Char Char1 Char"/>
    <w:basedOn w:val="1"/>
    <w:qFormat/>
    <w:uiPriority w:val="0"/>
    <w:pPr>
      <w:widowControl w:val="0"/>
      <w:jc w:val="both"/>
    </w:pPr>
    <w:rPr>
      <w:rFonts w:ascii="宋体" w:hAnsi="宋体" w:cs="Courier New"/>
      <w:kern w:val="2"/>
      <w:sz w:val="32"/>
      <w:szCs w:val="32"/>
    </w:rPr>
  </w:style>
  <w:style w:type="character" w:customStyle="1" w:styleId="48">
    <w:name w:val="t12h291"/>
    <w:qFormat/>
    <w:uiPriority w:val="0"/>
    <w:rPr>
      <w:color w:val="000000"/>
      <w:sz w:val="24"/>
      <w:szCs w:val="24"/>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标题 5 Char"/>
    <w:qFormat/>
    <w:uiPriority w:val="0"/>
    <w:rPr>
      <w:rFonts w:ascii="楷体_GB2312" w:eastAsia="楷体_GB2312"/>
      <w:color w:val="000000"/>
      <w:sz w:val="28"/>
    </w:rPr>
  </w:style>
  <w:style w:type="paragraph" w:customStyle="1" w:styleId="51">
    <w:name w:val="xl25"/>
    <w:basedOn w:val="1"/>
    <w:qFormat/>
    <w:uiPriority w:val="0"/>
    <w:pPr>
      <w:spacing w:before="100" w:beforeAutospacing="1" w:after="100" w:afterAutospacing="1"/>
      <w:jc w:val="center"/>
    </w:pPr>
    <w:rPr>
      <w:rFonts w:ascii="宋体" w:hAnsi="宋体"/>
    </w:rPr>
  </w:style>
  <w:style w:type="character" w:customStyle="1" w:styleId="52">
    <w:name w:val="页脚 字符"/>
    <w:link w:val="20"/>
    <w:qFormat/>
    <w:uiPriority w:val="99"/>
    <w:rPr>
      <w:sz w:val="18"/>
    </w:rPr>
  </w:style>
  <w:style w:type="character" w:customStyle="1" w:styleId="53">
    <w:name w:val="页眉 字符"/>
    <w:link w:val="21"/>
    <w:qFormat/>
    <w:uiPriority w:val="99"/>
    <w:rPr>
      <w:sz w:val="18"/>
    </w:rPr>
  </w:style>
  <w:style w:type="character" w:customStyle="1" w:styleId="54">
    <w:name w:val="文档结构图 字符"/>
    <w:link w:val="9"/>
    <w:semiHidden/>
    <w:qFormat/>
    <w:uiPriority w:val="0"/>
    <w:rPr>
      <w:sz w:val="24"/>
      <w:shd w:val="clear" w:color="auto" w:fill="000080"/>
    </w:rPr>
  </w:style>
  <w:style w:type="paragraph" w:styleId="55">
    <w:name w:val="List Paragraph"/>
    <w:basedOn w:val="1"/>
    <w:qFormat/>
    <w:uiPriority w:val="1"/>
    <w:pPr>
      <w:widowControl w:val="0"/>
      <w:adjustRightInd w:val="0"/>
      <w:spacing w:line="360" w:lineRule="atLeast"/>
      <w:ind w:firstLine="420" w:firstLineChars="200"/>
      <w:textAlignment w:val="baseline"/>
    </w:pPr>
    <w:rPr>
      <w:szCs w:val="20"/>
    </w:rPr>
  </w:style>
  <w:style w:type="paragraph" w:styleId="56">
    <w:name w:val="No Spacing"/>
    <w:link w:val="57"/>
    <w:qFormat/>
    <w:uiPriority w:val="1"/>
    <w:rPr>
      <w:rFonts w:ascii="Calibri" w:hAnsi="Calibri" w:eastAsia="宋体" w:cs="Times New Roman"/>
      <w:sz w:val="22"/>
      <w:szCs w:val="22"/>
      <w:lang w:val="en-US" w:eastAsia="zh-CN" w:bidi="ar-SA"/>
    </w:rPr>
  </w:style>
  <w:style w:type="character" w:customStyle="1" w:styleId="57">
    <w:name w:val="无间隔 字符"/>
    <w:link w:val="56"/>
    <w:qFormat/>
    <w:uiPriority w:val="1"/>
    <w:rPr>
      <w:rFonts w:ascii="Calibri" w:hAnsi="Calibri"/>
      <w:sz w:val="22"/>
      <w:szCs w:val="22"/>
      <w:lang w:bidi="ar-SA"/>
    </w:rPr>
  </w:style>
  <w:style w:type="paragraph" w:customStyle="1" w:styleId="58">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59">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60">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61">
    <w:name w:val="Table Paragraph"/>
    <w:basedOn w:val="1"/>
    <w:qFormat/>
    <w:uiPriority w:val="1"/>
    <w:pPr>
      <w:widowControl w:val="0"/>
      <w:autoSpaceDE w:val="0"/>
      <w:autoSpaceDN w:val="0"/>
    </w:pPr>
    <w:rPr>
      <w:rFonts w:ascii="宋体" w:hAnsi="宋体" w:cs="宋体"/>
      <w:sz w:val="22"/>
      <w:szCs w:val="22"/>
      <w:lang w:val="zh-CN" w:bidi="zh-CN"/>
    </w:rPr>
  </w:style>
  <w:style w:type="table" w:customStyle="1" w:styleId="62">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paragraph" w:customStyle="1" w:styleId="63">
    <w:name w:val="Revision"/>
    <w:hidden/>
    <w:semiHidden/>
    <w:qFormat/>
    <w:uiPriority w:val="99"/>
    <w:rPr>
      <w:rFonts w:ascii="Times New Roman" w:hAnsi="Times New Roman" w:eastAsia="宋体" w:cs="Times New Roman"/>
      <w:sz w:val="24"/>
      <w:lang w:val="en-US" w:eastAsia="zh-CN" w:bidi="ar-SA"/>
    </w:rPr>
  </w:style>
  <w:style w:type="character" w:customStyle="1" w:styleId="64">
    <w:name w:val="标题 1 字符"/>
    <w:link w:val="2"/>
    <w:qFormat/>
    <w:uiPriority w:val="0"/>
    <w:rPr>
      <w:rFonts w:ascii="Arial" w:hAnsi="Arial" w:eastAsia="仿宋_GB2312" w:cs="Arial"/>
      <w:b/>
      <w:sz w:val="28"/>
    </w:rPr>
  </w:style>
  <w:style w:type="character" w:customStyle="1" w:styleId="65">
    <w:name w:val="font31"/>
    <w:basedOn w:val="34"/>
    <w:qFormat/>
    <w:uiPriority w:val="0"/>
    <w:rPr>
      <w:rFonts w:hint="eastAsia" w:ascii="微软雅黑" w:hAnsi="微软雅黑" w:eastAsia="微软雅黑" w:cs="微软雅黑"/>
      <w:color w:val="333333"/>
      <w:sz w:val="18"/>
      <w:szCs w:val="18"/>
      <w:u w:val="none"/>
    </w:rPr>
  </w:style>
  <w:style w:type="character" w:customStyle="1" w:styleId="66">
    <w:name w:val="font11"/>
    <w:basedOn w:val="34"/>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jpe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charset="0"/>
                    <a:ea typeface="+mn-ea"/>
                    <a:cs typeface="Arial" panose="020B06040202020202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charset="0"/>
                    <a:ea typeface="+mn-ea"/>
                    <a:cs typeface="Arial" panose="020B06040202020202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84418304"/>
        <c:axId val="222221824"/>
      </c:lineChart>
      <c:catAx>
        <c:axId val="16795916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charset="0"/>
                <a:ea typeface="+mn-ea"/>
                <a:cs typeface="Arial" panose="020B0604020202020204" charset="0"/>
              </a:defRPr>
            </a:pPr>
          </a:p>
        </c:txPr>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charset="0"/>
                <a:ea typeface="+mn-ea"/>
                <a:cs typeface="Arial" panose="020B0604020202020204" charset="0"/>
              </a:defRPr>
            </a:pPr>
          </a:p>
        </c:txPr>
        <c:crossAx val="167959168"/>
        <c:crosses val="autoZero"/>
        <c:crossBetween val="between"/>
        <c:majorUnit val="500"/>
      </c:valAx>
      <c:catAx>
        <c:axId val="18441830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charset="0"/>
                <a:ea typeface="+mn-ea"/>
                <a:cs typeface="Arial" panose="020B0604020202020204" charset="0"/>
              </a:defRPr>
            </a:pPr>
          </a:p>
        </c:txPr>
        <c:crossAx val="222221824"/>
        <c:crosses val="autoZero"/>
        <c:auto val="1"/>
        <c:lblAlgn val="ctr"/>
        <c:lblOffset val="100"/>
        <c:noMultiLvlLbl val="0"/>
      </c:catAx>
      <c:valAx>
        <c:axId val="22222182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charset="0"/>
                <a:ea typeface="+mn-ea"/>
                <a:cs typeface="Arial" panose="020B0604020202020204" charset="0"/>
              </a:defRPr>
            </a:pPr>
          </a:p>
        </c:txPr>
        <c:crossAx val="18441830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charset="0"/>
              <a:ea typeface="+mn-ea"/>
              <a:cs typeface="Arial" panose="020B0604020202020204" charset="0"/>
            </a:defRPr>
          </a:pPr>
        </a:p>
      </c:txPr>
    </c:legend>
    <c:plotVisOnly val="1"/>
    <c:dispBlanksAs val="gap"/>
    <c:showDLblsOverMax val="0"/>
  </c:chart>
  <c:txPr>
    <a:bodyPr/>
    <a:lstStyle/>
    <a:p>
      <a:pPr>
        <a:defRPr lang="zh-CN" sz="800">
          <a:latin typeface="Arial" panose="020B0604020202020204" charset="0"/>
          <a:cs typeface="Arial" panose="020B06040202020202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3956F-57BB-44A6-9097-13AB250455A5}">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59</Pages>
  <Words>32788</Words>
  <Characters>36877</Characters>
  <Lines>308</Lines>
  <Paragraphs>86</Paragraphs>
  <TotalTime>1</TotalTime>
  <ScaleCrop>false</ScaleCrop>
  <LinksUpToDate>false</LinksUpToDate>
  <CharactersWithSpaces>37146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2022-05-31T02:53:00Z</dcterms:created>
  <dc:creator>djg</dc:creator>
  <cp:lastModifiedBy>俊然</cp:lastModifiedBy>
  <cp:lastPrinted>2023-01-17T07:44:00Z</cp:lastPrinted>
  <dcterms:modified xsi:type="dcterms:W3CDTF">2023-05-12T06:24:18Z</dcterms:modified>
  <dc:title>电 话：82253558  传真：82253565</dc:title>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1C8827C3F0C74C6FB89330A7F216C4BD_12</vt:lpwstr>
  </property>
</Properties>
</file>