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8F020">
      <w:pPr>
        <w:adjustRightInd w:val="0"/>
        <w:spacing w:line="432" w:lineRule="auto"/>
        <w:jc w:val="right"/>
        <w:textAlignment w:val="baseline"/>
        <w:rPr>
          <w:rFonts w:ascii="Arial" w:hAnsi="Arial" w:eastAsia="宋体" w:cs="Arial"/>
          <w:b/>
          <w:kern w:val="0"/>
          <w:sz w:val="36"/>
          <w:szCs w:val="36"/>
        </w:rPr>
      </w:pPr>
      <w:r>
        <w:rPr>
          <w:rFonts w:hint="default" w:ascii="Arial" w:hAnsi="Arial" w:eastAsia="方正黑体简体" w:cs="Arial"/>
          <w:szCs w:val="21"/>
        </w:rPr>
        <w:t>康正评字2025-1-0221-F0</w:t>
      </w:r>
      <w:r>
        <w:rPr>
          <w:rFonts w:hint="default" w:ascii="Arial" w:hAnsi="Arial" w:eastAsia="方正黑体简体" w:cs="Arial"/>
          <w:szCs w:val="21"/>
          <w:lang w:val="en-US" w:eastAsia="zh-CN"/>
        </w:rPr>
        <w:t>4</w:t>
      </w:r>
      <w:r>
        <w:rPr>
          <w:rFonts w:hint="default" w:ascii="Arial" w:hAnsi="Arial" w:eastAsia="方正黑体简体" w:cs="Arial"/>
          <w:szCs w:val="21"/>
        </w:rPr>
        <w:t>DYGJ2号</w:t>
      </w:r>
    </w:p>
    <w:p w14:paraId="4D389D21">
      <w:pPr>
        <w:adjustRightInd w:val="0"/>
        <w:spacing w:line="432" w:lineRule="auto"/>
        <w:jc w:val="center"/>
        <w:textAlignment w:val="baseline"/>
        <w:rPr>
          <w:rFonts w:ascii="Arial" w:hAnsi="Arial" w:eastAsia="方正黑体简体" w:cs="Arial"/>
          <w:b/>
          <w:color w:val="000000"/>
          <w:sz w:val="32"/>
          <w:szCs w:val="32"/>
        </w:rPr>
      </w:pPr>
      <w:r>
        <w:rPr>
          <w:rFonts w:hint="eastAsia" w:ascii="Arial" w:hAnsi="Arial" w:eastAsia="方正黑体简体" w:cs="Arial"/>
          <w:b/>
          <w:color w:val="000000"/>
          <w:sz w:val="32"/>
          <w:szCs w:val="32"/>
        </w:rPr>
        <w:t>补 充 说 明</w:t>
      </w:r>
    </w:p>
    <w:p w14:paraId="7B4B6B9B">
      <w:pPr>
        <w:spacing w:line="480" w:lineRule="auto"/>
        <w:jc w:val="both"/>
        <w:rPr>
          <w:rFonts w:ascii="Arial" w:hAnsi="Arial" w:cs="Arial"/>
          <w:sz w:val="21"/>
          <w:szCs w:val="21"/>
        </w:rPr>
      </w:pPr>
      <w:r>
        <w:rPr>
          <w:rFonts w:hint="eastAsia" w:ascii="Arial" w:hAnsi="Arial" w:cs="Arial"/>
          <w:b/>
          <w:kern w:val="2"/>
          <w:sz w:val="21"/>
          <w:szCs w:val="21"/>
        </w:rPr>
        <w:t>中国建设银行股份有限公司北京城市建设开发专业支行</w:t>
      </w:r>
      <w:r>
        <w:rPr>
          <w:rFonts w:ascii="Arial" w:hAnsi="Arial" w:cs="Arial"/>
          <w:sz w:val="21"/>
          <w:szCs w:val="21"/>
        </w:rPr>
        <w:t>：</w:t>
      </w:r>
    </w:p>
    <w:p w14:paraId="655455F6">
      <w:pPr>
        <w:overflowPunct w:val="0"/>
        <w:adjustRightInd w:val="0"/>
        <w:spacing w:line="480" w:lineRule="auto"/>
        <w:ind w:firstLine="420" w:firstLineChars="200"/>
        <w:jc w:val="both"/>
        <w:textAlignment w:val="auto"/>
        <w:rPr>
          <w:rFonts w:ascii="Arial" w:hAnsi="Arial" w:eastAsia="宋体" w:cs="Arial"/>
          <w:kern w:val="0"/>
          <w:sz w:val="21"/>
          <w:szCs w:val="21"/>
        </w:rPr>
      </w:pPr>
      <w:r>
        <w:rPr>
          <w:rFonts w:hint="eastAsia" w:ascii="Arial" w:hAnsi="Arial" w:eastAsia="宋体" w:cs="Arial"/>
          <w:kern w:val="0"/>
          <w:sz w:val="21"/>
          <w:szCs w:val="21"/>
        </w:rPr>
        <w:t>受贵公司委托，我公司于2025年3月18日（</w:t>
      </w:r>
      <w:r>
        <w:rPr>
          <w:rFonts w:hint="eastAsia" w:ascii="Arial" w:hAnsi="Arial" w:eastAsia="宋体" w:cs="Arial"/>
          <w:kern w:val="0"/>
          <w:sz w:val="21"/>
          <w:szCs w:val="21"/>
          <w:lang w:val="en-US" w:eastAsia="zh-CN"/>
        </w:rPr>
        <w:t>价值时点</w:t>
      </w:r>
      <w:r>
        <w:rPr>
          <w:rFonts w:hint="eastAsia" w:ascii="Arial" w:hAnsi="Arial" w:eastAsia="宋体" w:cs="Arial"/>
          <w:kern w:val="0"/>
          <w:sz w:val="21"/>
          <w:szCs w:val="21"/>
        </w:rPr>
        <w:t>）对北京市丰台区地铁九号线郭公庄车辆段项目（三期）1518-621地块R2二类居住用地、1518-629地块B4综合性商业金融服务业用地部分用房分摊出让国有建设用地使用权及在建建筑物房地产抵押</w:t>
      </w:r>
      <w:r>
        <w:rPr>
          <w:rFonts w:hint="eastAsia" w:ascii="Arial" w:hAnsi="Arial" w:eastAsia="宋体" w:cs="Arial"/>
          <w:kern w:val="0"/>
          <w:sz w:val="21"/>
          <w:szCs w:val="21"/>
          <w:lang w:val="en-US" w:eastAsia="zh-CN"/>
        </w:rPr>
        <w:t>价值</w:t>
      </w:r>
      <w:r>
        <w:rPr>
          <w:rFonts w:hint="eastAsia" w:ascii="Arial" w:hAnsi="Arial" w:eastAsia="宋体" w:cs="Arial"/>
          <w:kern w:val="0"/>
          <w:sz w:val="21"/>
          <w:szCs w:val="21"/>
        </w:rPr>
        <w:t>进行了评估，并于2025年</w:t>
      </w:r>
      <w:r>
        <w:rPr>
          <w:rFonts w:hint="eastAsia" w:ascii="Arial" w:hAnsi="Arial" w:eastAsia="宋体" w:cs="Arial"/>
          <w:kern w:val="0"/>
          <w:sz w:val="21"/>
          <w:szCs w:val="21"/>
          <w:lang w:val="en-US" w:eastAsia="zh-CN"/>
        </w:rPr>
        <w:t>5</w:t>
      </w:r>
      <w:r>
        <w:rPr>
          <w:rFonts w:hint="eastAsia" w:ascii="Arial" w:hAnsi="Arial" w:eastAsia="宋体" w:cs="Arial"/>
          <w:kern w:val="0"/>
          <w:sz w:val="21"/>
          <w:szCs w:val="21"/>
        </w:rPr>
        <w:t>月1</w:t>
      </w:r>
      <w:r>
        <w:rPr>
          <w:rFonts w:hint="eastAsia" w:ascii="Arial" w:hAnsi="Arial" w:eastAsia="宋体" w:cs="Arial"/>
          <w:kern w:val="0"/>
          <w:sz w:val="21"/>
          <w:szCs w:val="21"/>
          <w:lang w:val="en-US" w:eastAsia="zh-CN"/>
        </w:rPr>
        <w:t>4</w:t>
      </w:r>
      <w:r>
        <w:rPr>
          <w:rFonts w:hint="eastAsia" w:ascii="Arial" w:hAnsi="Arial" w:eastAsia="宋体" w:cs="Arial"/>
          <w:kern w:val="0"/>
          <w:sz w:val="21"/>
          <w:szCs w:val="21"/>
        </w:rPr>
        <w:t>日出具了《房地产抵押估价报告》，报告编号：康正评字2025-1-0221-F0</w:t>
      </w:r>
      <w:r>
        <w:rPr>
          <w:rFonts w:hint="eastAsia" w:ascii="Arial" w:hAnsi="Arial" w:eastAsia="宋体" w:cs="Arial"/>
          <w:kern w:val="0"/>
          <w:sz w:val="21"/>
          <w:szCs w:val="21"/>
          <w:lang w:val="en-US" w:eastAsia="zh-CN"/>
        </w:rPr>
        <w:t>3</w:t>
      </w:r>
      <w:r>
        <w:rPr>
          <w:rFonts w:hint="eastAsia" w:ascii="Arial" w:hAnsi="Arial" w:eastAsia="宋体" w:cs="Arial"/>
          <w:kern w:val="0"/>
          <w:sz w:val="21"/>
          <w:szCs w:val="21"/>
        </w:rPr>
        <w:t>DYGJ2号。</w:t>
      </w:r>
    </w:p>
    <w:p w14:paraId="5DA4F3DC">
      <w:pPr>
        <w:overflowPunct w:val="0"/>
        <w:adjustRightInd w:val="0"/>
        <w:spacing w:line="480" w:lineRule="auto"/>
        <w:ind w:firstLine="420" w:firstLineChars="200"/>
        <w:jc w:val="both"/>
        <w:textAlignment w:val="auto"/>
        <w:rPr>
          <w:rFonts w:hint="eastAsia" w:ascii="Arial" w:hAnsi="Arial" w:eastAsia="宋体" w:cs="Arial"/>
          <w:kern w:val="0"/>
          <w:sz w:val="21"/>
          <w:szCs w:val="21"/>
        </w:rPr>
      </w:pPr>
      <w:r>
        <w:rPr>
          <w:rFonts w:hint="eastAsia" w:ascii="Arial" w:hAnsi="Arial" w:eastAsia="宋体" w:cs="Arial"/>
          <w:kern w:val="0"/>
          <w:sz w:val="21"/>
          <w:szCs w:val="21"/>
        </w:rPr>
        <w:t>应估价委托人要求，本补充说明对估价结果一览表</w:t>
      </w:r>
      <w:r>
        <w:rPr>
          <w:rFonts w:hint="eastAsia" w:ascii="Arial" w:hAnsi="Arial" w:eastAsia="宋体" w:cs="Arial"/>
          <w:kern w:val="0"/>
          <w:sz w:val="21"/>
          <w:szCs w:val="21"/>
          <w:lang w:eastAsia="zh-CN"/>
        </w:rPr>
        <w:t>（</w:t>
      </w:r>
      <w:r>
        <w:rPr>
          <w:rFonts w:hint="eastAsia" w:ascii="Arial" w:hAnsi="Arial" w:eastAsia="宋体" w:cs="Arial"/>
          <w:kern w:val="0"/>
          <w:sz w:val="21"/>
          <w:szCs w:val="21"/>
        </w:rPr>
        <w:t>表-3</w:t>
      </w:r>
      <w:r>
        <w:rPr>
          <w:rFonts w:hint="eastAsia" w:ascii="Arial" w:hAnsi="Arial" w:eastAsia="宋体" w:cs="Arial"/>
          <w:kern w:val="0"/>
          <w:sz w:val="21"/>
          <w:szCs w:val="21"/>
          <w:lang w:eastAsia="zh-CN"/>
        </w:rPr>
        <w:t>）</w:t>
      </w:r>
      <w:r>
        <w:rPr>
          <w:rFonts w:hint="eastAsia" w:ascii="Arial" w:hAnsi="Arial" w:eastAsia="宋体" w:cs="Arial"/>
          <w:kern w:val="0"/>
          <w:sz w:val="21"/>
          <w:szCs w:val="21"/>
          <w:lang w:val="en-US" w:eastAsia="zh-CN"/>
        </w:rPr>
        <w:t>房地产价值说明如下</w:t>
      </w:r>
      <w:r>
        <w:rPr>
          <w:rFonts w:hint="eastAsia" w:ascii="Arial" w:hAnsi="Arial" w:eastAsia="宋体" w:cs="Arial"/>
          <w:kern w:val="0"/>
          <w:sz w:val="21"/>
          <w:szCs w:val="21"/>
        </w:rPr>
        <w:t>：</w:t>
      </w:r>
    </w:p>
    <w:p w14:paraId="0606AE58">
      <w:pPr>
        <w:overflowPunct w:val="0"/>
        <w:adjustRightInd w:val="0"/>
        <w:spacing w:line="480" w:lineRule="auto"/>
        <w:ind w:firstLine="420" w:firstLineChars="200"/>
        <w:jc w:val="both"/>
        <w:textAlignment w:val="auto"/>
        <w:rPr>
          <w:rFonts w:hint="eastAsia" w:ascii="Arial" w:hAnsi="Arial" w:eastAsia="宋体" w:cs="Arial"/>
          <w:kern w:val="0"/>
          <w:sz w:val="21"/>
          <w:szCs w:val="21"/>
        </w:rPr>
      </w:pPr>
      <w:r>
        <w:rPr>
          <w:rFonts w:hint="eastAsia" w:ascii="Arial" w:hAnsi="Arial" w:eastAsia="宋体" w:cs="Arial"/>
          <w:kern w:val="0"/>
          <w:sz w:val="21"/>
          <w:szCs w:val="21"/>
        </w:rPr>
        <w:t>1518-621住宅地块</w:t>
      </w:r>
      <w:r>
        <w:rPr>
          <w:rFonts w:hint="eastAsia" w:ascii="Arial" w:hAnsi="Arial" w:eastAsia="宋体" w:cs="Arial"/>
          <w:kern w:val="0"/>
          <w:sz w:val="21"/>
          <w:szCs w:val="21"/>
          <w:lang w:val="en-US" w:eastAsia="zh-CN"/>
        </w:rPr>
        <w:t>房地产价值为563767万元，</w:t>
      </w:r>
      <w:r>
        <w:rPr>
          <w:rFonts w:hint="eastAsia" w:ascii="Arial" w:hAnsi="Arial" w:eastAsia="宋体" w:cs="Arial"/>
          <w:kern w:val="0"/>
          <w:sz w:val="21"/>
          <w:szCs w:val="21"/>
        </w:rPr>
        <w:t>需补缴的政府土地收益及契税、印花税</w:t>
      </w:r>
      <w:r>
        <w:rPr>
          <w:rFonts w:hint="eastAsia" w:ascii="Arial" w:hAnsi="Arial" w:eastAsia="宋体" w:cs="Arial"/>
          <w:kern w:val="0"/>
          <w:sz w:val="21"/>
          <w:szCs w:val="21"/>
          <w:lang w:val="en-US" w:eastAsia="zh-CN"/>
        </w:rPr>
        <w:t>为</w:t>
      </w:r>
      <w:r>
        <w:rPr>
          <w:rFonts w:hint="eastAsia" w:ascii="Arial" w:hAnsi="Arial" w:eastAsia="宋体" w:cs="Arial"/>
          <w:kern w:val="0"/>
          <w:sz w:val="21"/>
          <w:szCs w:val="21"/>
        </w:rPr>
        <w:t>4677万元</w:t>
      </w:r>
      <w:r>
        <w:rPr>
          <w:rFonts w:hint="eastAsia" w:ascii="Arial" w:hAnsi="Arial" w:eastAsia="宋体" w:cs="Arial"/>
          <w:kern w:val="0"/>
          <w:sz w:val="21"/>
          <w:szCs w:val="21"/>
          <w:lang w:eastAsia="zh-CN"/>
        </w:rPr>
        <w:t>，</w:t>
      </w:r>
      <w:r>
        <w:rPr>
          <w:rFonts w:hint="eastAsia" w:ascii="Arial" w:hAnsi="Arial" w:eastAsia="宋体" w:cs="Arial"/>
          <w:kern w:val="0"/>
          <w:sz w:val="21"/>
          <w:szCs w:val="21"/>
          <w:lang w:val="en-US" w:eastAsia="zh-CN"/>
        </w:rPr>
        <w:t>扣除补缴后的出让国有建设用地使用权抵押价值为512297万元，在建建筑物抵押价值为46793万元。</w:t>
      </w:r>
    </w:p>
    <w:p w14:paraId="4ECC71C1">
      <w:pPr>
        <w:overflowPunct w:val="0"/>
        <w:adjustRightInd w:val="0"/>
        <w:spacing w:line="480" w:lineRule="auto"/>
        <w:ind w:firstLine="420" w:firstLineChars="200"/>
        <w:jc w:val="both"/>
        <w:textAlignment w:val="auto"/>
        <w:rPr>
          <w:rFonts w:hint="eastAsia" w:ascii="Arial" w:hAnsi="Arial" w:eastAsia="宋体" w:cs="Arial"/>
          <w:kern w:val="0"/>
          <w:sz w:val="21"/>
          <w:szCs w:val="21"/>
        </w:rPr>
      </w:pPr>
      <w:r>
        <w:rPr>
          <w:rFonts w:hint="eastAsia" w:ascii="Arial" w:hAnsi="Arial" w:eastAsia="宋体" w:cs="Arial"/>
          <w:kern w:val="0"/>
          <w:sz w:val="21"/>
          <w:szCs w:val="21"/>
        </w:rPr>
        <w:t>1518-629商办地块</w:t>
      </w:r>
      <w:r>
        <w:rPr>
          <w:rFonts w:hint="eastAsia" w:ascii="Arial" w:hAnsi="Arial" w:eastAsia="宋体" w:cs="Arial"/>
          <w:kern w:val="0"/>
          <w:sz w:val="21"/>
          <w:szCs w:val="21"/>
          <w:lang w:val="en-US" w:eastAsia="zh-CN"/>
        </w:rPr>
        <w:t>房地产价值为128461万元，</w:t>
      </w:r>
      <w:r>
        <w:rPr>
          <w:rFonts w:hint="eastAsia" w:ascii="Arial" w:hAnsi="Arial" w:eastAsia="宋体" w:cs="Arial"/>
          <w:kern w:val="0"/>
          <w:sz w:val="21"/>
          <w:szCs w:val="21"/>
        </w:rPr>
        <w:t>需补缴的政府土地收益及契税、印花税</w:t>
      </w:r>
      <w:r>
        <w:rPr>
          <w:rFonts w:hint="eastAsia" w:ascii="Arial" w:hAnsi="Arial" w:eastAsia="宋体" w:cs="Arial"/>
          <w:kern w:val="0"/>
          <w:sz w:val="21"/>
          <w:szCs w:val="21"/>
          <w:lang w:val="en-US" w:eastAsia="zh-CN"/>
        </w:rPr>
        <w:t>为</w:t>
      </w:r>
      <w:r>
        <w:rPr>
          <w:rFonts w:hint="eastAsia" w:ascii="Arial" w:hAnsi="Arial" w:eastAsia="宋体" w:cs="Arial"/>
          <w:kern w:val="0"/>
          <w:sz w:val="21"/>
          <w:szCs w:val="21"/>
        </w:rPr>
        <w:t>2290万元</w:t>
      </w:r>
      <w:r>
        <w:rPr>
          <w:rFonts w:hint="eastAsia" w:ascii="Arial" w:hAnsi="Arial" w:eastAsia="宋体" w:cs="Arial"/>
          <w:kern w:val="0"/>
          <w:sz w:val="21"/>
          <w:szCs w:val="21"/>
          <w:lang w:eastAsia="zh-CN"/>
        </w:rPr>
        <w:t>，</w:t>
      </w:r>
      <w:r>
        <w:rPr>
          <w:rFonts w:hint="eastAsia" w:ascii="Arial" w:hAnsi="Arial" w:eastAsia="宋体" w:cs="Arial"/>
          <w:kern w:val="0"/>
          <w:sz w:val="21"/>
          <w:szCs w:val="21"/>
          <w:lang w:val="en-US" w:eastAsia="zh-CN"/>
        </w:rPr>
        <w:t>扣除补缴后的出让国有建设用地使用权抵押价值为126171万元，在建建筑物抵押价值为0万元</w:t>
      </w:r>
      <w:r>
        <w:rPr>
          <w:rFonts w:hint="eastAsia" w:ascii="Arial" w:hAnsi="Arial" w:eastAsia="宋体" w:cs="Arial"/>
          <w:kern w:val="0"/>
          <w:sz w:val="21"/>
          <w:szCs w:val="21"/>
        </w:rPr>
        <w:t>。</w:t>
      </w:r>
    </w:p>
    <w:p w14:paraId="12C7628D">
      <w:pPr>
        <w:overflowPunct w:val="0"/>
        <w:adjustRightInd w:val="0"/>
        <w:spacing w:line="480" w:lineRule="auto"/>
        <w:ind w:firstLine="420" w:firstLineChars="200"/>
        <w:jc w:val="both"/>
        <w:textAlignment w:val="auto"/>
        <w:rPr>
          <w:rFonts w:hint="eastAsia" w:ascii="Arial" w:hAnsi="Arial" w:eastAsia="宋体" w:cs="Arial"/>
          <w:kern w:val="0"/>
          <w:sz w:val="21"/>
          <w:szCs w:val="21"/>
        </w:rPr>
      </w:pPr>
      <w:r>
        <w:rPr>
          <w:rFonts w:hint="eastAsia" w:ascii="Arial" w:hAnsi="Arial" w:eastAsia="宋体" w:cs="Arial"/>
          <w:kern w:val="0"/>
          <w:sz w:val="21"/>
          <w:szCs w:val="21"/>
          <w:lang w:val="en-US" w:eastAsia="zh-CN"/>
        </w:rPr>
        <w:t>以上</w:t>
      </w:r>
      <w:r>
        <w:rPr>
          <w:rFonts w:hint="eastAsia" w:ascii="Arial" w:hAnsi="Arial" w:eastAsia="宋体" w:cs="Arial"/>
          <w:kern w:val="0"/>
          <w:sz w:val="21"/>
          <w:szCs w:val="21"/>
        </w:rPr>
        <w:t>金额仅为测算值，最终应补缴的金额应以土地管理部门的审定结果为准。</w:t>
      </w:r>
    </w:p>
    <w:p w14:paraId="07935FDF">
      <w:pPr>
        <w:spacing w:line="360" w:lineRule="auto"/>
        <w:ind w:firstLine="562" w:firstLineChars="200"/>
        <w:jc w:val="both"/>
        <w:rPr>
          <w:rFonts w:ascii="Arial" w:hAnsi="Arial" w:eastAsia="楷体_GB2312" w:cs="Arial"/>
          <w:b/>
          <w:bCs/>
          <w:sz w:val="28"/>
        </w:rPr>
      </w:pPr>
    </w:p>
    <w:p w14:paraId="1247D86E">
      <w:pPr>
        <w:overflowPunct w:val="0"/>
        <w:adjustRightInd w:val="0"/>
        <w:spacing w:line="480" w:lineRule="auto"/>
        <w:ind w:firstLine="420" w:firstLineChars="200"/>
        <w:jc w:val="both"/>
        <w:textAlignment w:val="auto"/>
        <w:rPr>
          <w:rFonts w:hint="default" w:ascii="Arial" w:hAnsi="Arial" w:eastAsia="宋体" w:cs="Arial"/>
          <w:kern w:val="0"/>
          <w:sz w:val="21"/>
          <w:szCs w:val="21"/>
          <w:lang w:val="en-US" w:eastAsia="zh-CN"/>
        </w:rPr>
      </w:pPr>
      <w:r>
        <w:rPr>
          <w:rFonts w:hint="eastAsia" w:ascii="Arial" w:hAnsi="Arial" w:eastAsia="宋体" w:cs="Arial"/>
          <w:kern w:val="0"/>
          <w:sz w:val="21"/>
          <w:szCs w:val="21"/>
          <w:lang w:val="en-US" w:eastAsia="zh-CN"/>
        </w:rPr>
        <w:t>特此说明</w:t>
      </w:r>
    </w:p>
    <w:p w14:paraId="1FF266CA">
      <w:pPr>
        <w:spacing w:line="360" w:lineRule="auto"/>
        <w:ind w:firstLine="562" w:firstLineChars="200"/>
        <w:jc w:val="both"/>
        <w:rPr>
          <w:rFonts w:ascii="Arial" w:hAnsi="Arial" w:eastAsia="楷体_GB2312" w:cs="Arial"/>
          <w:b/>
          <w:bCs/>
          <w:sz w:val="28"/>
        </w:rPr>
      </w:pPr>
    </w:p>
    <w:p w14:paraId="4A7ECFCC">
      <w:pPr>
        <w:spacing w:line="360" w:lineRule="auto"/>
        <w:ind w:firstLine="562" w:firstLineChars="200"/>
        <w:jc w:val="both"/>
        <w:rPr>
          <w:rFonts w:ascii="Arial" w:hAnsi="Arial" w:eastAsia="楷体_GB2312" w:cs="Arial"/>
          <w:b/>
          <w:bCs/>
          <w:sz w:val="28"/>
        </w:rPr>
      </w:pPr>
    </w:p>
    <w:tbl>
      <w:tblPr>
        <w:tblStyle w:val="6"/>
        <w:tblW w:w="9299" w:type="dxa"/>
        <w:jc w:val="center"/>
        <w:tblLayout w:type="fixed"/>
        <w:tblCellMar>
          <w:top w:w="0" w:type="dxa"/>
          <w:left w:w="0" w:type="dxa"/>
          <w:bottom w:w="0" w:type="dxa"/>
          <w:right w:w="0" w:type="dxa"/>
        </w:tblCellMar>
      </w:tblPr>
      <w:tblGrid>
        <w:gridCol w:w="6096"/>
        <w:gridCol w:w="3203"/>
      </w:tblGrid>
      <w:tr w14:paraId="3B6B63F7">
        <w:tblPrEx>
          <w:tblCellMar>
            <w:top w:w="0" w:type="dxa"/>
            <w:left w:w="0" w:type="dxa"/>
            <w:bottom w:w="0" w:type="dxa"/>
            <w:right w:w="0" w:type="dxa"/>
          </w:tblCellMar>
        </w:tblPrEx>
        <w:trPr>
          <w:cantSplit/>
          <w:jc w:val="center"/>
        </w:trPr>
        <w:tc>
          <w:tcPr>
            <w:tcW w:w="6096" w:type="dxa"/>
            <w:noWrap w:val="0"/>
            <w:vAlign w:val="top"/>
          </w:tcPr>
          <w:p w14:paraId="59E9C843">
            <w:pPr>
              <w:spacing w:line="480" w:lineRule="auto"/>
              <w:jc w:val="right"/>
              <w:rPr>
                <w:rFonts w:ascii="Arial" w:hAnsi="Arial" w:cs="Arial"/>
                <w:sz w:val="21"/>
                <w:szCs w:val="21"/>
              </w:rPr>
            </w:pPr>
          </w:p>
        </w:tc>
        <w:tc>
          <w:tcPr>
            <w:tcW w:w="3203" w:type="dxa"/>
            <w:noWrap w:val="0"/>
            <w:vAlign w:val="top"/>
          </w:tcPr>
          <w:p w14:paraId="54FEBD04">
            <w:pPr>
              <w:spacing w:line="480" w:lineRule="auto"/>
              <w:rPr>
                <w:rFonts w:ascii="Arial" w:hAnsi="Arial" w:cs="Arial"/>
                <w:sz w:val="21"/>
                <w:szCs w:val="21"/>
              </w:rPr>
            </w:pPr>
            <w:r>
              <w:rPr>
                <w:rFonts w:ascii="Arial" w:hAnsi="Arial" w:cs="Arial"/>
                <w:sz w:val="21"/>
                <w:szCs w:val="21"/>
              </w:rPr>
              <w:t>北京康正宏基房地产评估有限公司</w:t>
            </w:r>
          </w:p>
        </w:tc>
      </w:tr>
      <w:tr w14:paraId="0761928B">
        <w:tblPrEx>
          <w:tblCellMar>
            <w:top w:w="0" w:type="dxa"/>
            <w:left w:w="0" w:type="dxa"/>
            <w:bottom w:w="0" w:type="dxa"/>
            <w:right w:w="0" w:type="dxa"/>
          </w:tblCellMar>
        </w:tblPrEx>
        <w:trPr>
          <w:cantSplit/>
          <w:jc w:val="center"/>
        </w:trPr>
        <w:tc>
          <w:tcPr>
            <w:tcW w:w="6096" w:type="dxa"/>
            <w:noWrap w:val="0"/>
            <w:vAlign w:val="top"/>
          </w:tcPr>
          <w:p w14:paraId="0A97EE5C">
            <w:pPr>
              <w:spacing w:line="480" w:lineRule="auto"/>
              <w:jc w:val="right"/>
              <w:rPr>
                <w:rFonts w:ascii="Arial" w:hAnsi="Arial" w:cs="Arial"/>
                <w:sz w:val="21"/>
                <w:szCs w:val="21"/>
              </w:rPr>
            </w:pPr>
          </w:p>
        </w:tc>
        <w:tc>
          <w:tcPr>
            <w:tcW w:w="3203" w:type="dxa"/>
            <w:noWrap w:val="0"/>
            <w:vAlign w:val="top"/>
          </w:tcPr>
          <w:p w14:paraId="3AFF5F88">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○二五</w:t>
            </w:r>
            <w:r>
              <w:rPr>
                <w:rFonts w:ascii="Arial" w:hAnsi="Arial" w:cs="Arial"/>
                <w:sz w:val="21"/>
                <w:szCs w:val="21"/>
              </w:rPr>
              <w:t>年</w:t>
            </w:r>
            <w:r>
              <w:rPr>
                <w:rFonts w:hint="eastAsia" w:ascii="Arial" w:hAnsi="Arial" w:cs="Arial"/>
                <w:sz w:val="21"/>
                <w:szCs w:val="21"/>
              </w:rPr>
              <w:t>五月</w:t>
            </w:r>
            <w:r>
              <w:rPr>
                <w:rFonts w:hint="eastAsia" w:ascii="Arial" w:hAnsi="Arial" w:cs="Arial"/>
                <w:sz w:val="21"/>
                <w:szCs w:val="21"/>
                <w:lang w:val="en-US" w:eastAsia="zh-CN"/>
              </w:rPr>
              <w:t>二</w:t>
            </w:r>
            <w:r>
              <w:rPr>
                <w:rFonts w:hint="eastAsia" w:ascii="Arial" w:hAnsi="Arial" w:cs="Arial"/>
                <w:sz w:val="21"/>
                <w:szCs w:val="21"/>
              </w:rPr>
              <w:t>十</w:t>
            </w:r>
            <w:r>
              <w:rPr>
                <w:rFonts w:hint="eastAsia" w:ascii="Arial" w:hAnsi="Arial" w:cs="Arial"/>
                <w:sz w:val="21"/>
                <w:szCs w:val="21"/>
                <w:lang w:val="en-US" w:eastAsia="zh-CN"/>
              </w:rPr>
              <w:t>一</w:t>
            </w:r>
            <w:r>
              <w:rPr>
                <w:rFonts w:hint="eastAsia" w:ascii="Arial" w:hAnsi="Arial" w:cs="Arial"/>
                <w:sz w:val="21"/>
                <w:szCs w:val="21"/>
              </w:rPr>
              <w:t>日</w:t>
            </w:r>
          </w:p>
        </w:tc>
      </w:tr>
    </w:tbl>
    <w:p w14:paraId="18832684">
      <w:pPr>
        <w:rPr>
          <w:rFonts w:ascii="Arial" w:hAnsi="Arial" w:eastAsia="仿宋_GB2312" w:cs="Arial"/>
          <w:kern w:val="0"/>
          <w:sz w:val="28"/>
          <w:szCs w:val="20"/>
        </w:rPr>
      </w:pPr>
      <w:bookmarkStart w:id="0" w:name="_GoBack"/>
      <w:bookmarkEnd w:id="0"/>
    </w:p>
    <w:sectPr>
      <w:headerReference r:id="rId3"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1DCD">
    <w:pPr>
      <w:pStyle w:val="5"/>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28F71645"/>
    <w:rsid w:val="000263DD"/>
    <w:rsid w:val="000D5268"/>
    <w:rsid w:val="00143511"/>
    <w:rsid w:val="001C240C"/>
    <w:rsid w:val="00412E59"/>
    <w:rsid w:val="00605CC5"/>
    <w:rsid w:val="00702FC7"/>
    <w:rsid w:val="00744717"/>
    <w:rsid w:val="007B73CE"/>
    <w:rsid w:val="008A7B41"/>
    <w:rsid w:val="00A44002"/>
    <w:rsid w:val="00A74520"/>
    <w:rsid w:val="00C30223"/>
    <w:rsid w:val="00CC75FF"/>
    <w:rsid w:val="00DA6D09"/>
    <w:rsid w:val="00F21EC7"/>
    <w:rsid w:val="00F6538B"/>
    <w:rsid w:val="07866582"/>
    <w:rsid w:val="11AD4154"/>
    <w:rsid w:val="200D34F7"/>
    <w:rsid w:val="28F71645"/>
    <w:rsid w:val="2E2666C5"/>
    <w:rsid w:val="334A46BD"/>
    <w:rsid w:val="3ECD02AA"/>
    <w:rsid w:val="43A85162"/>
    <w:rsid w:val="45C30776"/>
    <w:rsid w:val="472A5B3C"/>
    <w:rsid w:val="514A7668"/>
    <w:rsid w:val="56AF342B"/>
    <w:rsid w:val="60B749D3"/>
    <w:rsid w:val="64A66221"/>
    <w:rsid w:val="652561BA"/>
    <w:rsid w:val="674A1316"/>
    <w:rsid w:val="69795742"/>
    <w:rsid w:val="6BCF24A3"/>
    <w:rsid w:val="6F833042"/>
    <w:rsid w:val="72921E4D"/>
    <w:rsid w:val="77AE3374"/>
    <w:rsid w:val="7F37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00" w:lineRule="auto"/>
      <w:outlineLvl w:val="0"/>
    </w:pPr>
    <w:rPr>
      <w:rFonts w:ascii="Arial" w:hAnsi="Arial" w:eastAsia="仿宋_GB2312" w:cs="Arial"/>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Char"/>
    <w:basedOn w:val="8"/>
    <w:link w:val="3"/>
    <w:qFormat/>
    <w:uiPriority w:val="0"/>
    <w:rPr>
      <w:kern w:val="2"/>
      <w:sz w:val="18"/>
      <w:szCs w:val="18"/>
    </w:rPr>
  </w:style>
  <w:style w:type="character" w:customStyle="1" w:styleId="12">
    <w:name w:val="font21"/>
    <w:basedOn w:val="8"/>
    <w:qFormat/>
    <w:uiPriority w:val="0"/>
    <w:rPr>
      <w:rFonts w:hint="default" w:ascii="Arial" w:hAnsi="Arial" w:cs="Arial"/>
      <w:color w:val="000000"/>
      <w:sz w:val="22"/>
      <w:szCs w:val="22"/>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122"/>
    <w:basedOn w:val="8"/>
    <w:qFormat/>
    <w:uiPriority w:val="0"/>
    <w:rPr>
      <w:rFonts w:ascii="仿宋_GB2312" w:eastAsia="仿宋_GB2312" w:cs="仿宋_GB2312"/>
      <w:b/>
      <w:bCs/>
      <w:color w:val="000000"/>
      <w:sz w:val="20"/>
      <w:szCs w:val="20"/>
      <w:u w:val="none"/>
    </w:rPr>
  </w:style>
  <w:style w:type="character" w:customStyle="1" w:styleId="15">
    <w:name w:val="font91"/>
    <w:basedOn w:val="8"/>
    <w:qFormat/>
    <w:uiPriority w:val="0"/>
    <w:rPr>
      <w:rFonts w:hint="default" w:ascii="仿宋_GB2312" w:eastAsia="仿宋_GB2312" w:cs="仿宋_GB2312"/>
      <w:color w:val="000000"/>
      <w:sz w:val="20"/>
      <w:szCs w:val="20"/>
      <w:u w:val="none"/>
    </w:rPr>
  </w:style>
  <w:style w:type="character" w:customStyle="1" w:styleId="16">
    <w:name w:val="font131"/>
    <w:basedOn w:val="8"/>
    <w:qFormat/>
    <w:uiPriority w:val="0"/>
    <w:rPr>
      <w:rFonts w:hint="default" w:ascii="仿宋_GB2312" w:eastAsia="仿宋_GB2312" w:cs="仿宋_GB2312"/>
      <w:b/>
      <w:bCs/>
      <w:color w:val="000000"/>
      <w:sz w:val="20"/>
      <w:szCs w:val="20"/>
      <w:u w:val="none"/>
    </w:rPr>
  </w:style>
  <w:style w:type="character" w:customStyle="1" w:styleId="17">
    <w:name w:val="font71"/>
    <w:basedOn w:val="8"/>
    <w:qFormat/>
    <w:uiPriority w:val="0"/>
    <w:rPr>
      <w:rFonts w:hint="eastAsia" w:ascii="宋体" w:hAnsi="宋体" w:eastAsia="宋体" w:cs="宋体"/>
      <w:color w:val="000000"/>
      <w:sz w:val="20"/>
      <w:szCs w:val="20"/>
      <w:u w:val="none"/>
    </w:rPr>
  </w:style>
  <w:style w:type="character" w:customStyle="1" w:styleId="18">
    <w:name w:val="font12"/>
    <w:basedOn w:val="8"/>
    <w:qFormat/>
    <w:uiPriority w:val="0"/>
    <w:rPr>
      <w:rFonts w:hint="default" w:ascii="Arial" w:hAnsi="Arial" w:cs="Arial"/>
      <w:color w:val="000000"/>
      <w:sz w:val="20"/>
      <w:szCs w:val="20"/>
      <w:u w:val="none"/>
    </w:rPr>
  </w:style>
  <w:style w:type="character" w:customStyle="1" w:styleId="19">
    <w:name w:val="font141"/>
    <w:basedOn w:val="8"/>
    <w:qFormat/>
    <w:uiPriority w:val="0"/>
    <w:rPr>
      <w:rFonts w:hint="default" w:ascii="仿宋_GB2312" w:eastAsia="仿宋_GB2312" w:cs="仿宋_GB2312"/>
      <w:color w:val="000000"/>
      <w:sz w:val="20"/>
      <w:szCs w:val="20"/>
      <w:u w:val="none"/>
    </w:rPr>
  </w:style>
  <w:style w:type="character" w:customStyle="1" w:styleId="20">
    <w:name w:val="font151"/>
    <w:basedOn w:val="8"/>
    <w:qFormat/>
    <w:uiPriority w:val="0"/>
    <w:rPr>
      <w:rFonts w:hint="default" w:ascii="仿宋_GB2312" w:eastAsia="仿宋_GB2312" w:cs="仿宋_GB2312"/>
      <w:color w:val="000000"/>
      <w:sz w:val="18"/>
      <w:szCs w:val="18"/>
      <w:u w:val="none"/>
    </w:rPr>
  </w:style>
  <w:style w:type="character" w:customStyle="1" w:styleId="21">
    <w:name w:val="font161"/>
    <w:basedOn w:val="8"/>
    <w:qFormat/>
    <w:uiPriority w:val="0"/>
    <w:rPr>
      <w:rFonts w:hint="default" w:ascii="仿宋_GB2312" w:eastAsia="仿宋_GB2312" w:cs="仿宋_GB2312"/>
      <w:color w:val="FF0000"/>
      <w:sz w:val="20"/>
      <w:szCs w:val="20"/>
      <w:u w:val="none"/>
    </w:rPr>
  </w:style>
  <w:style w:type="character" w:customStyle="1" w:styleId="22">
    <w:name w:val="font171"/>
    <w:basedOn w:val="8"/>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3271</Words>
  <Characters>6403</Characters>
  <Lines>14</Lines>
  <Paragraphs>4</Paragraphs>
  <TotalTime>1</TotalTime>
  <ScaleCrop>false</ScaleCrop>
  <LinksUpToDate>false</LinksUpToDate>
  <CharactersWithSpaces>6406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2022-10-11T02:21:00Z</dcterms:created>
  <dc:creator>kbb2345</dc:creator>
  <cp:lastModifiedBy>WPS_1673068481</cp:lastModifiedBy>
  <cp:lastPrinted>2025-05-21T01:13:00Z</cp:lastPrinted>
  <dcterms:modified xsi:type="dcterms:W3CDTF">2025-05-21T02:17:19Z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714B8439682A446FBCD2CDDDC24A3E51</vt:lpwstr>
  </property>
  <property fmtid="{D5CDD505-2E9C-101B-9397-08002B2CF9AE}" pid="4" name="KSOTemplateDocerSaveRecord">
    <vt:lpwstr>eyJoZGlkIjoiMmE3OTZkMDU4ZmY0NjM3NjQ3MGQzZDk0ZmE4NjBlMjMiLCJ1c2VySWQiOiIxNDY1MTE2MjA1In0=</vt:lpwstr>
  </property>
</Properties>
</file>