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419A9F1E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1F31">
        <w:rPr>
          <w:rFonts w:ascii="Arial" w:eastAsia="方正黑体简体;微软雅黑" w:hAnsi="Arial" w:cs="Arial"/>
          <w:sz w:val="21"/>
          <w:szCs w:val="21"/>
        </w:rPr>
        <w:t>房山区长阳镇阜盛大街</w:t>
      </w:r>
      <w:r w:rsidR="00501F31">
        <w:rPr>
          <w:rFonts w:ascii="Arial" w:eastAsia="方正黑体简体;微软雅黑" w:hAnsi="Arial" w:cs="Arial"/>
          <w:sz w:val="21"/>
          <w:szCs w:val="21"/>
        </w:rPr>
        <w:t>57</w:t>
      </w:r>
      <w:r w:rsidR="00501F31">
        <w:rPr>
          <w:rFonts w:ascii="Arial" w:eastAsia="方正黑体简体;微软雅黑" w:hAnsi="Arial" w:cs="Arial"/>
          <w:sz w:val="21"/>
          <w:szCs w:val="21"/>
        </w:rPr>
        <w:t>号（万科新里程）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53402CBA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501F31">
        <w:rPr>
          <w:rFonts w:ascii="Arial" w:eastAsia="方正黑体简体;微软雅黑" w:hAnsi="Arial" w:cs="Arial"/>
          <w:sz w:val="21"/>
          <w:szCs w:val="21"/>
        </w:rPr>
        <w:t>7</w:t>
      </w:r>
      <w:r w:rsidR="00382F9D">
        <w:rPr>
          <w:rFonts w:ascii="Arial" w:eastAsia="方正黑体简体;微软雅黑" w:hAnsi="Arial" w:cs="Arial"/>
          <w:sz w:val="21"/>
          <w:szCs w:val="21"/>
        </w:rPr>
        <w:t>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079204CF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1F31">
        <w:rPr>
          <w:rFonts w:ascii="Arial" w:hAnsi="Arial" w:cs="Arial"/>
          <w:kern w:val="2"/>
          <w:sz w:val="21"/>
        </w:rPr>
        <w:t>房山区长阳镇阜盛大街</w:t>
      </w:r>
      <w:r w:rsidR="00501F31">
        <w:rPr>
          <w:rFonts w:ascii="Arial" w:hAnsi="Arial" w:cs="Arial"/>
          <w:kern w:val="2"/>
          <w:sz w:val="21"/>
        </w:rPr>
        <w:t>57</w:t>
      </w:r>
      <w:r w:rsidR="00501F31">
        <w:rPr>
          <w:rFonts w:ascii="Arial" w:hAnsi="Arial" w:cs="Arial"/>
          <w:kern w:val="2"/>
          <w:sz w:val="21"/>
        </w:rPr>
        <w:t>号（万科新里程）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6B3DF3F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1F31">
        <w:rPr>
          <w:rFonts w:ascii="Arial" w:hAnsi="Arial" w:hint="eastAsia"/>
          <w:bCs/>
          <w:sz w:val="21"/>
        </w:rPr>
        <w:t>咨询对象为</w:t>
      </w:r>
      <w:r w:rsidR="00501F31">
        <w:rPr>
          <w:rFonts w:ascii="Arial" w:hAnsi="Arial" w:hint="eastAsia"/>
          <w:kern w:val="2"/>
          <w:sz w:val="21"/>
        </w:rPr>
        <w:t>北京市</w:t>
      </w:r>
      <w:bookmarkStart w:id="0" w:name="_Hlk190264232"/>
      <w:r w:rsidR="00501F31">
        <w:rPr>
          <w:rFonts w:ascii="Arial" w:hAnsi="Arial" w:hint="eastAsia"/>
          <w:kern w:val="2"/>
          <w:sz w:val="21"/>
        </w:rPr>
        <w:t>房山区长阳镇阜盛大街</w:t>
      </w:r>
      <w:r w:rsidR="00501F31">
        <w:rPr>
          <w:rFonts w:ascii="Arial" w:hAnsi="Arial"/>
          <w:kern w:val="2"/>
          <w:sz w:val="21"/>
        </w:rPr>
        <w:t>57</w:t>
      </w:r>
      <w:r w:rsidR="00501F31">
        <w:rPr>
          <w:rFonts w:ascii="Arial" w:hAnsi="Arial" w:hint="eastAsia"/>
          <w:kern w:val="2"/>
          <w:sz w:val="21"/>
        </w:rPr>
        <w:t>号</w:t>
      </w:r>
      <w:bookmarkEnd w:id="0"/>
      <w:r w:rsidR="00501F31">
        <w:rPr>
          <w:rFonts w:ascii="Arial" w:hAnsi="Arial" w:hint="eastAsia"/>
          <w:kern w:val="2"/>
          <w:sz w:val="21"/>
        </w:rPr>
        <w:t>（万科新里程）住宅项目</w:t>
      </w:r>
      <w:r w:rsidR="00501F31">
        <w:rPr>
          <w:rFonts w:ascii="Arial" w:hAnsi="Arial" w:hint="eastAsia"/>
          <w:bCs/>
          <w:sz w:val="21"/>
        </w:rPr>
        <w:t>，该项目位于西南五环外，东至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盛大街，西至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盛西街，南至良乡东路，北至水碾屯北路。</w:t>
      </w:r>
    </w:p>
    <w:p w14:paraId="2D32EC8A" w14:textId="1CDA8782" w:rsidR="00CE2EA0" w:rsidRDefault="00501F31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bookmarkStart w:id="1" w:name="_Hlk190264315"/>
      <w:r>
        <w:rPr>
          <w:rFonts w:ascii="Arial" w:hAnsi="Arial" w:hint="eastAsia"/>
          <w:sz w:val="21"/>
        </w:rPr>
        <w:t>周边有金地</w:t>
      </w:r>
      <w:proofErr w:type="gramStart"/>
      <w:r>
        <w:rPr>
          <w:rFonts w:ascii="Arial" w:hAnsi="Arial" w:hint="eastAsia"/>
          <w:sz w:val="21"/>
        </w:rPr>
        <w:t>朗悦朗</w:t>
      </w:r>
      <w:proofErr w:type="gramEnd"/>
      <w:r>
        <w:rPr>
          <w:rFonts w:ascii="Arial" w:hAnsi="Arial" w:hint="eastAsia"/>
          <w:sz w:val="21"/>
        </w:rPr>
        <w:t>园、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、水碾屯西里、国誉府等社区，综合评价居住社区成熟度较好。周边有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400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commentRangeStart w:id="2"/>
      <w:r>
        <w:rPr>
          <w:rFonts w:ascii="Arial" w:hAnsi="Arial" w:hint="eastAsia"/>
          <w:sz w:val="21"/>
        </w:rPr>
        <w:t>高</w:t>
      </w:r>
      <w:commentRangeEnd w:id="2"/>
      <w:r w:rsidR="001607D1">
        <w:rPr>
          <w:rStyle w:val="a4"/>
        </w:rPr>
        <w:commentReference w:id="2"/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</w:t>
      </w:r>
      <w:bookmarkEnd w:id="1"/>
      <w:r>
        <w:rPr>
          <w:rFonts w:ascii="Arial" w:hAnsi="Arial" w:hint="eastAsia"/>
          <w:sz w:val="21"/>
        </w:rPr>
        <w:t>。总体评价影响咨询对象的区位状况较好。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11FB01DA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FF670E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3"/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  <w:commentRangeEnd w:id="3"/>
            <w:r w:rsidR="001607D1">
              <w:rPr>
                <w:rStyle w:val="a4"/>
              </w:rPr>
              <w:commentReference w:id="3"/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06CCDF51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1A7F23AA" w:rsidR="00AB4ED9" w:rsidRDefault="009D53A8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5</w:t>
            </w:r>
            <w:r w:rsidR="00382F9D">
              <w:rPr>
                <w:rFonts w:ascii="Arial" w:eastAsia="华文细黑" w:hAnsi="Arial" w:cs="宋体"/>
                <w:sz w:val="18"/>
                <w:szCs w:val="24"/>
              </w:rPr>
              <w:t>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8CE033E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0BA1723" w:rsidR="00AB4ED9" w:rsidRDefault="009D53A8" w:rsidP="00382F9D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55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63421B9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水碾屯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小区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13193B7A" w:rsidR="00CE2EA0" w:rsidRDefault="00A679F6" w:rsidP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55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021FBDA4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金地朗悦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2C556CED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54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4AE58DCE" w:rsidR="00CE2EA0" w:rsidRDefault="00A679F6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</w:t>
            </w:r>
            <w:proofErr w:type="gramStart"/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隅畅和园</w:t>
            </w:r>
            <w:proofErr w:type="gram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9DE23FC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房山区阜盛西街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0878B9AE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</w:p>
    <w:p w14:paraId="4D3A8049" w14:textId="6604283D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55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为高层板楼，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1.6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900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commentRangeStart w:id="4"/>
      <w:r>
        <w:rPr>
          <w:rFonts w:ascii="Arial" w:hAnsi="Arial" w:hint="eastAsia"/>
          <w:sz w:val="21"/>
        </w:rPr>
        <w:t>高</w:t>
      </w:r>
      <w:commentRangeEnd w:id="4"/>
      <w:r w:rsidR="001607D1">
        <w:rPr>
          <w:rStyle w:val="a4"/>
          <w:rFonts w:ascii="Times New Roman" w:hAnsi="Times New Roman"/>
        </w:rPr>
        <w:commentReference w:id="4"/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44.7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44098B3C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</w:p>
    <w:p w14:paraId="518D9609" w14:textId="1756C8DB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54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19.0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>
        <w:rPr>
          <w:rFonts w:ascii="Arial" w:hAnsi="Arial" w:cs="Arial"/>
          <w:color w:val="000000"/>
          <w:sz w:val="21"/>
          <w:szCs w:val="21"/>
        </w:rPr>
        <w:t>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</w:t>
      </w:r>
      <w:r>
        <w:rPr>
          <w:rFonts w:ascii="Arial" w:hAnsi="Arial" w:cs="Arial" w:hint="eastAsia"/>
          <w:color w:val="000000"/>
          <w:sz w:val="21"/>
          <w:szCs w:val="21"/>
        </w:rPr>
        <w:t>高层</w:t>
      </w:r>
      <w:r w:rsidR="00F1359F">
        <w:rPr>
          <w:rFonts w:ascii="Arial" w:hAnsi="Arial" w:cs="Arial" w:hint="eastAsia"/>
          <w:color w:val="000000"/>
          <w:sz w:val="21"/>
          <w:szCs w:val="21"/>
        </w:rPr>
        <w:t>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F1359F"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52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14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路、等多条公交线路，距离地铁房山线广阳城站约</w:t>
      </w:r>
      <w:r>
        <w:rPr>
          <w:rFonts w:ascii="Arial" w:hAnsi="Arial" w:hint="eastAsia"/>
          <w:sz w:val="21"/>
        </w:rPr>
        <w:t>1</w:t>
      </w:r>
      <w:r>
        <w:rPr>
          <w:rFonts w:ascii="Arial" w:hAnsi="Arial"/>
          <w:sz w:val="21"/>
        </w:rPr>
        <w:t>100</w:t>
      </w:r>
      <w:r>
        <w:rPr>
          <w:rFonts w:ascii="Arial" w:hAnsi="Arial"/>
          <w:sz w:val="21"/>
        </w:rPr>
        <w:t>米、</w:t>
      </w:r>
      <w:r>
        <w:rPr>
          <w:rFonts w:ascii="Arial" w:hAnsi="Arial" w:hint="eastAsia"/>
          <w:sz w:val="21"/>
        </w:rPr>
        <w:t>良乡大学城站约</w:t>
      </w:r>
      <w:r>
        <w:rPr>
          <w:rFonts w:ascii="Arial" w:hAnsi="Arial"/>
          <w:sz w:val="21"/>
        </w:rPr>
        <w:t>1200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</w:t>
      </w:r>
      <w:r>
        <w:rPr>
          <w:rFonts w:ascii="Arial" w:hAnsi="Arial" w:hint="eastAsia"/>
          <w:sz w:val="21"/>
        </w:rPr>
        <w:lastRenderedPageBreak/>
        <w:t>程度较高。区域内有小清河、良乡大学城公园、房山新城滨水森林公园等自然、人文景观，综合评价环境状况较好。总体评价影响咨询对象的区位状况较好。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5.9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68CF79F6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proofErr w:type="gramEnd"/>
    </w:p>
    <w:p w14:paraId="039FDF3A" w14:textId="10D95221" w:rsidR="005B4787" w:rsidRDefault="00A679F6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r w:rsidR="005B4787">
        <w:rPr>
          <w:rFonts w:ascii="Arial" w:hAnsi="Arial" w:cs="Arial" w:hint="eastAsia"/>
          <w:color w:val="000000"/>
          <w:sz w:val="21"/>
          <w:szCs w:val="21"/>
        </w:rPr>
        <w:t>项目</w:t>
      </w:r>
      <w:proofErr w:type="gramEnd"/>
      <w:r w:rsidR="005B4787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房山区阜盛西街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6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>
        <w:rPr>
          <w:rFonts w:ascii="Arial" w:hAnsi="Arial" w:cs="Arial" w:hint="eastAsia"/>
          <w:color w:val="000000"/>
          <w:sz w:val="21"/>
          <w:szCs w:val="21"/>
        </w:rPr>
        <w:t>为高层板楼及塔楼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2.7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5B4787">
        <w:rPr>
          <w:rFonts w:ascii="Arial" w:hAnsi="Arial" w:cs="Arial" w:hint="eastAsia"/>
          <w:color w:val="000000"/>
          <w:sz w:val="21"/>
          <w:szCs w:val="21"/>
        </w:rPr>
        <w:t>2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5B4787">
        <w:rPr>
          <w:rFonts w:ascii="Arial" w:hAnsi="Arial" w:cs="Arial"/>
          <w:color w:val="000000"/>
          <w:sz w:val="21"/>
          <w:szCs w:val="21"/>
        </w:rPr>
        <w:t>年</w:t>
      </w:r>
      <w:r w:rsidR="005B4787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10200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commentRangeStart w:id="5"/>
      <w:r>
        <w:rPr>
          <w:rFonts w:ascii="Arial" w:hAnsi="Arial" w:hint="eastAsia"/>
          <w:sz w:val="21"/>
        </w:rPr>
        <w:t>高</w:t>
      </w:r>
      <w:commentRangeEnd w:id="5"/>
      <w:r w:rsidR="001607D1">
        <w:rPr>
          <w:rStyle w:val="a4"/>
        </w:rPr>
        <w:commentReference w:id="5"/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。区域内有小清河、良乡大学城公园、房山新城滨水森林公园等自然、人文景观，综合评价环境状况较好。总体评价影响咨询对象的区位状况较好。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</w:t>
      </w:r>
      <w:r w:rsidR="005B4787">
        <w:rPr>
          <w:rFonts w:ascii="Arial" w:hAnsi="Arial" w:cs="Arial"/>
          <w:color w:val="000000"/>
          <w:sz w:val="21"/>
          <w:szCs w:val="21"/>
        </w:rPr>
        <w:t>近</w:t>
      </w:r>
      <w:proofErr w:type="gramStart"/>
      <w:r w:rsidR="005B4787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5B4787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49.7</w:t>
      </w:r>
      <w:r w:rsidR="005B4787">
        <w:rPr>
          <w:rFonts w:ascii="Arial" w:hAnsi="Arial" w:cs="Arial"/>
          <w:color w:val="000000"/>
          <w:sz w:val="21"/>
          <w:szCs w:val="21"/>
        </w:rPr>
        <w:t>元</w:t>
      </w:r>
      <w:r w:rsidR="005B4787">
        <w:rPr>
          <w:rFonts w:ascii="Arial" w:hAnsi="Arial" w:cs="Arial"/>
          <w:color w:val="000000"/>
          <w:sz w:val="21"/>
          <w:szCs w:val="21"/>
        </w:rPr>
        <w:t>/</w:t>
      </w:r>
      <w:r w:rsidR="005B4787">
        <w:rPr>
          <w:rFonts w:ascii="Arial" w:hAnsi="Arial" w:cs="Arial"/>
          <w:color w:val="000000"/>
          <w:sz w:val="21"/>
          <w:szCs w:val="21"/>
        </w:rPr>
        <w:t>建筑面积平方米</w:t>
      </w:r>
      <w:r w:rsidR="005B4787">
        <w:rPr>
          <w:rFonts w:ascii="Arial" w:hAnsi="Arial" w:cs="Arial"/>
          <w:color w:val="000000"/>
          <w:sz w:val="21"/>
          <w:szCs w:val="21"/>
        </w:rPr>
        <w:t>•</w:t>
      </w:r>
      <w:r w:rsidR="005B4787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71809151" w:rsidR="00CE2EA0" w:rsidRDefault="00A679F6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C53CD54" wp14:editId="107B4423">
            <wp:extent cx="4664134" cy="36000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13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sectPr w:rsidR="00CE2EA0">
      <w:headerReference w:type="default" r:id="rId13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hp" w:date="2025-04-30T08:57:00Z" w:initials="h">
    <w:p w14:paraId="035C9862" w14:textId="6CE7FCB4" w:rsidR="001607D1" w:rsidRDefault="001607D1">
      <w:pPr>
        <w:pStyle w:val="ac"/>
      </w:pPr>
      <w:r>
        <w:rPr>
          <w:rStyle w:val="a4"/>
        </w:rPr>
        <w:annotationRef/>
      </w:r>
      <w:r>
        <w:t>好</w:t>
      </w:r>
    </w:p>
  </w:comment>
  <w:comment w:id="3" w:author="hp" w:date="2025-04-30T08:57:00Z" w:initials="h">
    <w:p w14:paraId="1AD66AD9" w14:textId="251AFE41" w:rsidR="001607D1" w:rsidRDefault="001607D1">
      <w:pPr>
        <w:pStyle w:val="ac"/>
      </w:pPr>
      <w:r>
        <w:rPr>
          <w:rStyle w:val="a4"/>
        </w:rPr>
        <w:annotationRef/>
      </w:r>
      <w:r>
        <w:t>居中</w:t>
      </w:r>
    </w:p>
  </w:comment>
  <w:comment w:id="4" w:author="hp" w:date="2025-04-30T08:58:00Z" w:initials="h">
    <w:p w14:paraId="1798BF2F" w14:textId="2EC5F520" w:rsidR="001607D1" w:rsidRDefault="001607D1">
      <w:pPr>
        <w:pStyle w:val="ac"/>
      </w:pPr>
      <w:r>
        <w:rPr>
          <w:rStyle w:val="a4"/>
        </w:rPr>
        <w:annotationRef/>
      </w:r>
      <w:r>
        <w:t>好</w:t>
      </w:r>
    </w:p>
  </w:comment>
  <w:comment w:id="5" w:author="hp" w:date="2025-04-30T08:59:00Z" w:initials="h">
    <w:p w14:paraId="7B599CF2" w14:textId="37E6E554" w:rsidR="001607D1" w:rsidRDefault="001607D1">
      <w:pPr>
        <w:pStyle w:val="ac"/>
      </w:pPr>
      <w:r>
        <w:rPr>
          <w:rStyle w:val="a4"/>
        </w:rPr>
        <w:annotationRef/>
      </w:r>
      <w:bookmarkStart w:id="6" w:name="_GoBack"/>
      <w:bookmarkEnd w:id="6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929ED" w14:textId="77777777" w:rsidR="00FF670E" w:rsidRDefault="00FF670E">
      <w:pPr>
        <w:spacing w:line="240" w:lineRule="auto"/>
      </w:pPr>
      <w:r>
        <w:separator/>
      </w:r>
    </w:p>
  </w:endnote>
  <w:endnote w:type="continuationSeparator" w:id="0">
    <w:p w14:paraId="283448AA" w14:textId="77777777" w:rsidR="00FF670E" w:rsidRDefault="00FF6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AED4C" w14:textId="77777777" w:rsidR="00FF670E" w:rsidRDefault="00FF670E">
      <w:pPr>
        <w:spacing w:line="240" w:lineRule="auto"/>
      </w:pPr>
      <w:r>
        <w:separator/>
      </w:r>
    </w:p>
  </w:footnote>
  <w:footnote w:type="continuationSeparator" w:id="0">
    <w:p w14:paraId="635D8791" w14:textId="77777777" w:rsidR="00FF670E" w:rsidRDefault="00FF67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607D1"/>
    <w:rsid w:val="001C7D80"/>
    <w:rsid w:val="0021443F"/>
    <w:rsid w:val="002D3944"/>
    <w:rsid w:val="002F14DF"/>
    <w:rsid w:val="0034192F"/>
    <w:rsid w:val="00382F9D"/>
    <w:rsid w:val="004033CC"/>
    <w:rsid w:val="004D5CF7"/>
    <w:rsid w:val="00501F31"/>
    <w:rsid w:val="005B4787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D53A8"/>
    <w:rsid w:val="009E4C48"/>
    <w:rsid w:val="00A07C84"/>
    <w:rsid w:val="00A679F6"/>
    <w:rsid w:val="00AB4ED9"/>
    <w:rsid w:val="00AC3AF7"/>
    <w:rsid w:val="00B475F3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2BC3F-F079-4C0A-83E4-A7DBF160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5</Pages>
  <Words>426</Words>
  <Characters>2431</Characters>
  <Application>Microsoft Office Word</Application>
  <DocSecurity>0</DocSecurity>
  <Lines>20</Lines>
  <Paragraphs>5</Paragraphs>
  <ScaleCrop>false</ScaleCrop>
  <Company>P R C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hp</cp:lastModifiedBy>
  <cp:revision>59</cp:revision>
  <cp:lastPrinted>2022-01-14T17:29:00Z</cp:lastPrinted>
  <dcterms:created xsi:type="dcterms:W3CDTF">2020-08-21T14:44:00Z</dcterms:created>
  <dcterms:modified xsi:type="dcterms:W3CDTF">2025-04-30T00:59:00Z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