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jc w:val="center"/>
      </w:pPr>
      <w:r>
        <w:rPr>
          <w:rFonts w:ascii="Arial" w:hAnsi="Arial" w:eastAsia="华文楷体" w:cs="Arial"/>
          <w:b/>
          <w:color w:val="000000" w:themeColor="text1"/>
          <w:sz w:val="36"/>
          <w:szCs w:val="36"/>
          <w14:textFill>
            <w14:solidFill>
              <w14:schemeClr w14:val="tx1"/>
            </w14:solidFill>
          </w14:textFill>
        </w:rPr>
        <w:t>关于（2022）京74执418号案件</w:t>
      </w:r>
    </w:p>
    <w:p>
      <w:pPr>
        <w:spacing w:before="156" w:after="156"/>
        <w:jc w:val="center"/>
        <w:rPr>
          <w:rFonts w:ascii="Arial" w:hAnsi="Arial" w:eastAsia="华文楷体" w:cs="Arial"/>
          <w:b/>
          <w:color w:val="000000" w:themeColor="text1"/>
          <w:sz w:val="36"/>
          <w:szCs w:val="36"/>
          <w14:textFill>
            <w14:solidFill>
              <w14:schemeClr w14:val="tx1"/>
            </w14:solidFill>
          </w14:textFill>
        </w:rPr>
      </w:pPr>
      <w:r>
        <w:rPr>
          <w:rFonts w:ascii="Arial" w:hAnsi="Arial" w:eastAsia="华文楷体" w:cs="Arial"/>
          <w:b/>
          <w:color w:val="000000" w:themeColor="text1"/>
          <w:sz w:val="36"/>
          <w:szCs w:val="36"/>
          <w14:textFill>
            <w14:solidFill>
              <w14:schemeClr w14:val="tx1"/>
            </w14:solidFill>
          </w14:textFill>
        </w:rPr>
        <w:t>异议答复</w:t>
      </w:r>
    </w:p>
    <w:p>
      <w:pPr>
        <w:spacing w:before="312" w:line="276" w:lineRule="auto"/>
        <w:jc w:val="both"/>
        <w:rPr>
          <w:rFonts w:ascii="Arial" w:hAnsi="Arial" w:eastAsia="华文楷体" w:cs="Arial"/>
          <w:b/>
          <w:color w:val="000000" w:themeColor="text1"/>
          <w:sz w:val="28"/>
          <w:szCs w:val="28"/>
          <w14:textFill>
            <w14:solidFill>
              <w14:schemeClr w14:val="tx1"/>
            </w14:solidFill>
          </w14:textFill>
        </w:rPr>
      </w:pPr>
      <w:r>
        <w:rPr>
          <w:rFonts w:ascii="Arial" w:hAnsi="Arial" w:eastAsia="华文楷体" w:cs="Arial"/>
          <w:b/>
          <w:color w:val="000000" w:themeColor="text1"/>
          <w:sz w:val="28"/>
          <w:szCs w:val="28"/>
          <w14:textFill>
            <w14:solidFill>
              <w14:schemeClr w14:val="tx1"/>
            </w14:solidFill>
          </w14:textFill>
        </w:rPr>
        <w:t>北京金融法院：</w:t>
      </w:r>
    </w:p>
    <w:p>
      <w:pPr>
        <w:spacing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我公司于2023年2月15日受贵院委托对北京润丰房地产开发有限公司名下的位于北京市朝阳区青年路西里5号院16号楼的9处房产进行评估，并于2023年11月7日出具《不动产估价报告书》[康正执评字2023-1-0250-F01SFZC6]。</w:t>
      </w:r>
    </w:p>
    <w:p>
      <w:pPr>
        <w:spacing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 xml:space="preserve">2023年12月7日，我公司收到贵院寄来的《评估报告异议申请书》，现对异议申请人北京润丰房地产开发有限公司提出的异议作如下答复： </w:t>
      </w: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一：对于《评估报告》中9套配套商业用房即评估对象采用“成本法+收益法”进行评估的方式及过程不予认可，该方法明显违背评估原则，对异议人造成严重损害，应采用“收益法+比较法”进行估价更为科学合理，且能最大程度维护异议人的权益。</w:t>
      </w:r>
    </w:p>
    <w:p>
      <w:pPr>
        <w:widowControl/>
        <w:autoSpaceDE/>
        <w:autoSpaceDN/>
        <w:adjustRightInd/>
        <w:spacing w:beforeLines="-2147483648" w:afterLines="-2147483648"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答复1：</w:t>
      </w:r>
    </w:p>
    <w:p>
      <w:pPr>
        <w:widowControl/>
        <w:autoSpaceDE/>
        <w:autoSpaceDN/>
        <w:adjustRightInd/>
        <w:spacing w:beforeLines="-2147483648" w:afterLines="-2147483648" w:line="480" w:lineRule="auto"/>
        <w:ind w:firstLine="560"/>
        <w:contextualSpacing/>
        <w:jc w:val="both"/>
        <w:rPr>
          <w:rFonts w:hint="default" w:ascii="Arial" w:hAnsi="Arial" w:eastAsia="华文楷体" w:cs="Arial"/>
          <w:color w:val="000000" w:themeColor="text1"/>
          <w:sz w:val="28"/>
          <w:szCs w:val="28"/>
          <w:lang w:val="zh-CN" w:eastAsia="zh-CN" w:bidi="ar-SA"/>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根据中华人民共和国国家标准《房地产估价规范》（GB/T50291-2015），</w:t>
      </w:r>
      <w:r>
        <w:rPr>
          <w:rFonts w:hint="eastAsia" w:ascii="Arial" w:hAnsi="Arial" w:eastAsia="华文楷体" w:cs="Arial"/>
          <w:color w:val="000000" w:themeColor="text1"/>
          <w:sz w:val="28"/>
          <w:szCs w:val="28"/>
          <w:lang w:eastAsia="zh-CN"/>
          <w14:textFill>
            <w14:solidFill>
              <w14:schemeClr w14:val="tx1"/>
            </w14:solidFill>
          </w14:textFill>
        </w:rPr>
        <w:t>选用估价方法时，</w:t>
      </w:r>
      <w:r>
        <w:rPr>
          <w:rFonts w:hint="default" w:ascii="Arial" w:hAnsi="Arial" w:eastAsia="华文楷体" w:cs="Arial"/>
          <w:color w:val="000000" w:themeColor="text1"/>
          <w:sz w:val="28"/>
          <w:szCs w:val="28"/>
          <w:lang w:val="zh-CN" w:eastAsia="zh-CN"/>
          <w14:textFill>
            <w14:solidFill>
              <w14:schemeClr w14:val="tx1"/>
            </w14:solidFill>
          </w14:textFill>
        </w:rPr>
        <w:t>应根据估价对</w:t>
      </w:r>
      <w:r>
        <w:rPr>
          <w:rFonts w:hint="eastAsia" w:ascii="Arial" w:hAnsi="Arial" w:eastAsia="华文楷体" w:cs="Arial"/>
          <w:color w:val="000000" w:themeColor="text1"/>
          <w:sz w:val="28"/>
          <w:szCs w:val="28"/>
          <w:lang w:val="zh-CN" w:eastAsia="zh-CN"/>
          <w14:textFill>
            <w14:solidFill>
              <w14:schemeClr w14:val="tx1"/>
            </w14:solidFill>
          </w14:textFill>
        </w:rPr>
        <w:t>象</w:t>
      </w:r>
      <w:r>
        <w:rPr>
          <w:rFonts w:hint="default" w:ascii="Arial" w:hAnsi="Arial" w:eastAsia="华文楷体" w:cs="Arial"/>
          <w:color w:val="000000" w:themeColor="text1"/>
          <w:sz w:val="28"/>
          <w:szCs w:val="28"/>
          <w:lang w:val="zh-CN" w:eastAsia="zh-CN"/>
          <w14:textFill>
            <w14:solidFill>
              <w14:schemeClr w14:val="tx1"/>
            </w14:solidFill>
          </w14:textFill>
        </w:rPr>
        <w:t>及其所在地的房地产市场状况等客观条件，对比较法、收益法、成本法、假设开发法等估价方法进行适用性分析</w:t>
      </w:r>
      <w:r>
        <w:rPr>
          <w:rFonts w:hint="eastAsia" w:ascii="Arial" w:hAnsi="Arial" w:eastAsia="华文楷体" w:cs="Arial"/>
          <w:color w:val="000000" w:themeColor="text1"/>
          <w:sz w:val="28"/>
          <w:szCs w:val="28"/>
          <w:lang w:val="zh-CN" w:eastAsia="zh-CN"/>
          <w14:textFill>
            <w14:solidFill>
              <w14:schemeClr w14:val="tx1"/>
            </w14:solidFill>
          </w14:textFill>
        </w:rPr>
        <w:t>。</w:t>
      </w:r>
      <w:r>
        <w:rPr>
          <w:rFonts w:hint="default" w:ascii="Arial" w:hAnsi="Arial" w:eastAsia="华文楷体" w:cs="Arial"/>
          <w:color w:val="000000" w:themeColor="text1"/>
          <w:sz w:val="28"/>
          <w:szCs w:val="28"/>
          <w:lang w:val="zh-CN" w:eastAsia="zh-CN" w:bidi="ar-SA"/>
          <w14:textFill>
            <w14:solidFill>
              <w14:schemeClr w14:val="tx1"/>
            </w14:solidFill>
          </w14:textFill>
        </w:rPr>
        <w:t>1</w:t>
      </w:r>
      <w:r>
        <w:rPr>
          <w:rFonts w:hint="eastAsia" w:ascii="Arial" w:hAnsi="Arial" w:eastAsia="华文楷体" w:cs="Arial"/>
          <w:color w:val="000000" w:themeColor="text1"/>
          <w:sz w:val="28"/>
          <w:szCs w:val="28"/>
          <w:lang w:val="en-US" w:eastAsia="zh-CN" w:bidi="ar-SA"/>
          <w14:textFill>
            <w14:solidFill>
              <w14:schemeClr w14:val="tx1"/>
            </w14:solidFill>
          </w14:textFill>
        </w:rPr>
        <w:t>.</w:t>
      </w:r>
      <w:r>
        <w:rPr>
          <w:rFonts w:hint="default" w:ascii="Arial" w:hAnsi="Arial" w:eastAsia="华文楷体" w:cs="Arial"/>
          <w:color w:val="000000" w:themeColor="text1"/>
          <w:sz w:val="28"/>
          <w:szCs w:val="28"/>
          <w:lang w:val="zh-CN" w:eastAsia="zh-CN" w:bidi="ar-SA"/>
          <w14:textFill>
            <w14:solidFill>
              <w14:schemeClr w14:val="tx1"/>
            </w14:solidFill>
          </w14:textFill>
        </w:rPr>
        <w:t>估价对象的同类房地产有较多交易的，应选用比较法。 2</w:t>
      </w:r>
      <w:r>
        <w:rPr>
          <w:rFonts w:hint="eastAsia" w:ascii="Arial" w:hAnsi="Arial" w:eastAsia="华文楷体" w:cs="Arial"/>
          <w:color w:val="000000" w:themeColor="text1"/>
          <w:sz w:val="28"/>
          <w:szCs w:val="28"/>
          <w:lang w:val="en-US" w:eastAsia="zh-CN" w:bidi="ar-SA"/>
          <w14:textFill>
            <w14:solidFill>
              <w14:schemeClr w14:val="tx1"/>
            </w14:solidFill>
          </w14:textFill>
        </w:rPr>
        <w:t>.</w:t>
      </w:r>
      <w:r>
        <w:rPr>
          <w:rFonts w:hint="default" w:ascii="Arial" w:hAnsi="Arial" w:eastAsia="华文楷体" w:cs="Arial"/>
          <w:color w:val="000000" w:themeColor="text1"/>
          <w:sz w:val="28"/>
          <w:szCs w:val="28"/>
          <w:lang w:val="zh-CN" w:eastAsia="zh-CN" w:bidi="ar-SA"/>
          <w14:textFill>
            <w14:solidFill>
              <w14:schemeClr w14:val="tx1"/>
            </w14:solidFill>
          </w14:textFill>
        </w:rPr>
        <w:t>估价对象或其同类房地产通常有租金等经济收人的，应选用收益法。3</w:t>
      </w:r>
      <w:r>
        <w:rPr>
          <w:rFonts w:hint="eastAsia" w:ascii="Arial" w:hAnsi="Arial" w:eastAsia="华文楷体" w:cs="Arial"/>
          <w:color w:val="000000" w:themeColor="text1"/>
          <w:sz w:val="28"/>
          <w:szCs w:val="28"/>
          <w:lang w:val="en-US" w:eastAsia="zh-CN" w:bidi="ar-SA"/>
          <w14:textFill>
            <w14:solidFill>
              <w14:schemeClr w14:val="tx1"/>
            </w14:solidFill>
          </w14:textFill>
        </w:rPr>
        <w:t>.</w:t>
      </w:r>
      <w:r>
        <w:rPr>
          <w:rFonts w:hint="default" w:ascii="Arial" w:hAnsi="Arial" w:eastAsia="华文楷体" w:cs="Arial"/>
          <w:color w:val="000000" w:themeColor="text1"/>
          <w:sz w:val="28"/>
          <w:szCs w:val="28"/>
          <w:lang w:val="zh-CN" w:eastAsia="zh-CN" w:bidi="ar-SA"/>
          <w14:textFill>
            <w14:solidFill>
              <w14:schemeClr w14:val="tx1"/>
            </w14:solidFill>
          </w14:textFill>
        </w:rPr>
        <w:t>估价对象可假定为独立的开发建设项目进行重新开发建设的，宜选用成本法;当估价对象的同类房地产没有交易或交易很少，且估价对象或其同类房地产没有租金等经济收人时，应选用成本法。4</w:t>
      </w:r>
      <w:r>
        <w:rPr>
          <w:rFonts w:hint="eastAsia" w:ascii="Arial" w:hAnsi="Arial" w:eastAsia="华文楷体" w:cs="Arial"/>
          <w:color w:val="000000" w:themeColor="text1"/>
          <w:sz w:val="28"/>
          <w:szCs w:val="28"/>
          <w:lang w:val="en-US" w:eastAsia="zh-CN" w:bidi="ar-SA"/>
          <w14:textFill>
            <w14:solidFill>
              <w14:schemeClr w14:val="tx1"/>
            </w14:solidFill>
          </w14:textFill>
        </w:rPr>
        <w:t>.</w:t>
      </w:r>
      <w:r>
        <w:rPr>
          <w:rFonts w:hint="default" w:ascii="Arial" w:hAnsi="Arial" w:eastAsia="华文楷体" w:cs="Arial"/>
          <w:color w:val="000000" w:themeColor="text1"/>
          <w:sz w:val="28"/>
          <w:szCs w:val="28"/>
          <w:lang w:val="zh-CN" w:eastAsia="zh-CN" w:bidi="ar-SA"/>
          <w14:textFill>
            <w14:solidFill>
              <w14:schemeClr w14:val="tx1"/>
            </w14:solidFill>
          </w14:textFill>
        </w:rPr>
        <w:t>估价对象具有开发或再开发潜力且开发完成后的价值可采用除成本法以外的方法测算的，应选用假设开发法。</w:t>
      </w:r>
    </w:p>
    <w:p>
      <w:pPr>
        <w:spacing w:line="480" w:lineRule="auto"/>
        <w:ind w:firstLine="560"/>
        <w:contextualSpacing/>
        <w:jc w:val="both"/>
        <w:rPr>
          <w:rFonts w:hint="eastAsia" w:ascii="Arial" w:hAnsi="Arial" w:eastAsia="华文楷体" w:cs="Arial"/>
          <w:color w:val="000000" w:themeColor="text1"/>
          <w:sz w:val="28"/>
          <w:szCs w:val="28"/>
          <w:lang w:val="zh-CN" w:eastAsia="zh-CN"/>
          <w14:textFill>
            <w14:solidFill>
              <w14:schemeClr w14:val="tx1"/>
            </w14:solidFill>
          </w14:textFill>
        </w:rPr>
      </w:pPr>
      <w:r>
        <w:rPr>
          <w:rFonts w:hint="eastAsia" w:ascii="Arial" w:hAnsi="Arial" w:eastAsia="华文楷体" w:cs="Arial"/>
          <w:color w:val="000000" w:themeColor="text1"/>
          <w:sz w:val="28"/>
          <w:szCs w:val="28"/>
          <w:lang w:val="zh-CN" w:eastAsia="zh-CN"/>
          <w14:textFill>
            <w14:solidFill>
              <w14:schemeClr w14:val="tx1"/>
            </w14:solidFill>
          </w14:textFill>
        </w:rPr>
        <w:t>估价对象同质区域交易案例很少。故</w:t>
      </w:r>
      <w:r>
        <w:rPr>
          <w:rFonts w:ascii="Arial" w:hAnsi="Arial" w:eastAsia="华文楷体" w:cs="Arial"/>
          <w:color w:val="000000" w:themeColor="text1"/>
          <w:sz w:val="28"/>
          <w:szCs w:val="28"/>
          <w14:textFill>
            <w14:solidFill>
              <w14:schemeClr w14:val="tx1"/>
            </w14:solidFill>
          </w14:textFill>
        </w:rPr>
        <w:t>我公司遵循估价原则、依照估价程序、根据估价目的、结合估价对象的具体情况，确定成本法和收益法为适用的估价方法。</w:t>
      </w: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异议二：《评估报告》对于估价对象的评定价值明显过低，远低于所在区域板块的真实市场价值，甚至低于较偏远区域的商业成交价格，而且未考虑估价对象为一个整体商业环境和整体使用功能的因素。</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答复2：</w:t>
      </w:r>
    </w:p>
    <w:p>
      <w:pPr>
        <w:spacing w:line="480" w:lineRule="auto"/>
        <w:ind w:firstLine="560"/>
        <w:contextualSpacing/>
        <w:jc w:val="both"/>
        <w:rPr>
          <w:rFonts w:hint="eastAsia" w:ascii="Arial" w:hAnsi="Arial" w:eastAsia="华文楷体" w:cs="Arial"/>
          <w:color w:val="000000" w:themeColor="text1"/>
          <w:sz w:val="28"/>
          <w:szCs w:val="28"/>
          <w:lang w:eastAsia="zh-CN"/>
          <w14:textFill>
            <w14:solidFill>
              <w14:schemeClr w14:val="tx1"/>
            </w14:solidFill>
          </w14:textFill>
        </w:rPr>
      </w:pPr>
      <w:r>
        <w:rPr>
          <w:rFonts w:hint="eastAsia" w:ascii="Arial" w:hAnsi="Arial" w:eastAsia="华文楷体" w:cs="Arial"/>
          <w:color w:val="000000" w:themeColor="text1"/>
          <w:sz w:val="28"/>
          <w:szCs w:val="28"/>
          <w:lang w:eastAsia="zh-CN"/>
          <w14:textFill>
            <w14:solidFill>
              <w14:schemeClr w14:val="tx1"/>
            </w14:solidFill>
          </w14:textFill>
        </w:rPr>
        <w:t>商业用房房地产价格受所在位置、楼层、面积等多种因素影响巨大，简单的几个数字无法说明估价对象或估价对象所在区域商业用房房地产价值。</w:t>
      </w:r>
    </w:p>
    <w:p>
      <w:pPr>
        <w:spacing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我公司根据估价对象9处房产所处的楼层、部位，以及租约的租金价格水平、租期长短等具体情况，严格遵循中华人民共和国国家标准《房地产估价规范》（GB/T50291-2015），得出估价结果，并撰写估价报告。本估价报告作为估价对象的</w:t>
      </w:r>
      <w:bookmarkStart w:id="0" w:name="__DdeLink__1304_1579053525"/>
      <w:r>
        <w:rPr>
          <w:rFonts w:ascii="Arial" w:hAnsi="Arial" w:eastAsia="华文楷体" w:cs="Arial"/>
          <w:color w:val="000000" w:themeColor="text1"/>
          <w:sz w:val="28"/>
          <w:szCs w:val="28"/>
          <w14:textFill>
            <w14:solidFill>
              <w14:schemeClr w14:val="tx1"/>
            </w14:solidFill>
          </w14:textFill>
        </w:rPr>
        <w:t>涉执房地产处置司法评估</w:t>
      </w:r>
      <w:bookmarkEnd w:id="0"/>
      <w:r>
        <w:rPr>
          <w:rFonts w:ascii="Arial" w:hAnsi="Arial" w:eastAsia="华文楷体" w:cs="Arial"/>
          <w:color w:val="000000" w:themeColor="text1"/>
          <w:sz w:val="28"/>
          <w:szCs w:val="28"/>
          <w14:textFill>
            <w14:solidFill>
              <w14:schemeClr w14:val="tx1"/>
            </w14:solidFill>
          </w14:textFill>
        </w:rPr>
        <w:t>，我公司在充分了解估价对象权属状况，全面考虑影响价格的因素，调研了市场行情的基础上，做出的在估价时点的符合正常市场水平的估价结果。</w:t>
      </w:r>
    </w:p>
    <w:p>
      <w:pPr>
        <w:keepNext w:val="0"/>
        <w:keepLines w:val="0"/>
        <w:pageBreakBefore w:val="0"/>
        <w:widowControl w:val="0"/>
        <w:kinsoku/>
        <w:wordWrap/>
        <w:overflowPunct/>
        <w:topLinePunct w:val="0"/>
        <w:autoSpaceDE/>
        <w:autoSpaceDN/>
        <w:bidi w:val="0"/>
        <w:adjustRightInd/>
        <w:snapToGrid/>
        <w:spacing w:line="480" w:lineRule="auto"/>
        <w:ind w:firstLine="561"/>
        <w:contextualSpacing/>
        <w:jc w:val="both"/>
        <w:textAlignment w:val="auto"/>
      </w:pPr>
      <w:r>
        <w:rPr>
          <w:rFonts w:ascii="Arial" w:hAnsi="Arial" w:eastAsia="华文楷体" w:cs="Arial"/>
          <w:b/>
          <w:color w:val="000000" w:themeColor="text1"/>
          <w:sz w:val="28"/>
          <w:szCs w:val="28"/>
          <w14:textFill>
            <w14:solidFill>
              <w14:schemeClr w14:val="tx1"/>
            </w14:solidFill>
          </w14:textFill>
        </w:rPr>
        <w:t>异议三：从近两年对估价对象的历史估价结果来看，结合估价对象所在朝青板块的优势区位，交通便捷程度，周边社区繁华程度以及类似商业交易和租赁价格等综合因素表明，本次估价远低于历史评估价格。</w:t>
      </w:r>
    </w:p>
    <w:p>
      <w:pPr>
        <w:spacing w:line="480" w:lineRule="auto"/>
        <w:ind w:firstLine="560"/>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答复3：根据中华人民共和国国家标准《房地产估价规范》[GB/T 50291-2015]的规定，房地产市场价值评估须遵循“价值时点原则”，异议申请人所提的“2021年4月2日抵押价值评估”、“2018年融资价值评定”等均与本次涉执房地产处置司法评估的价值时点、估价目的不相一致，不具有任何可比性。</w:t>
      </w: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 xml:space="preserve"> 异议四：估价一览表中形成的最终估价结果没有充分依据支撑，没有详细全面的演算过程，没有完整和全面的估价过程。另外，结合评估机构调取的四环-五环中商业房屋销售数据，将估价对象单价草率确定为30458元/平方米，非常不合理。</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答复4：</w:t>
      </w:r>
      <w:r>
        <w:rPr>
          <w:rFonts w:hint="eastAsia" w:ascii="Arial" w:hAnsi="Arial" w:eastAsia="华文楷体" w:cs="Arial"/>
          <w:color w:val="000000" w:themeColor="text1"/>
          <w:sz w:val="28"/>
          <w:szCs w:val="28"/>
          <w14:textFill>
            <w14:solidFill>
              <w14:schemeClr w14:val="tx1"/>
            </w14:solidFill>
          </w14:textFill>
        </w:rPr>
        <w:t>估价报告分为估价结果报告和估价技术报告，估价结果报告是向估价委托人提供的，估价技术报告是机构存档并供行政管理部门核查备案及专家技术评审使用。</w:t>
      </w: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异议五：《评估报告》的出具明显超出法定期限，不符合法律相关规定，康正评估涉嫌评估程序违法。</w:t>
      </w:r>
    </w:p>
    <w:p>
      <w:pPr>
        <w:pStyle w:val="2"/>
        <w:keepNext w:val="0"/>
        <w:keepLines w:val="0"/>
        <w:widowControl/>
        <w:shd w:val="clear" w:color="auto" w:fill="FFFFFF"/>
        <w:spacing w:before="0" w:after="0" w:line="540" w:lineRule="atLeast"/>
        <w:ind w:firstLine="560" w:firstLineChars="200"/>
        <w:jc w:val="both"/>
        <w:rPr>
          <w:rFonts w:ascii="Arial" w:hAnsi="Arial" w:eastAsia="华文楷体" w:cs="Arial"/>
          <w:b w:val="0"/>
          <w:bCs w:val="0"/>
          <w:color w:val="000000" w:themeColor="text1"/>
          <w:kern w:val="0"/>
          <w:sz w:val="28"/>
          <w:szCs w:val="28"/>
          <w14:textFill>
            <w14:solidFill>
              <w14:schemeClr w14:val="tx1"/>
            </w14:solidFill>
          </w14:textFill>
        </w:rPr>
      </w:pPr>
      <w:r>
        <w:rPr>
          <w:rFonts w:ascii="Arial" w:hAnsi="Arial" w:eastAsia="华文楷体" w:cs="Arial"/>
          <w:b w:val="0"/>
          <w:bCs w:val="0"/>
          <w:color w:val="000000" w:themeColor="text1"/>
          <w:kern w:val="0"/>
          <w:sz w:val="28"/>
          <w:szCs w:val="28"/>
          <w14:textFill>
            <w14:solidFill>
              <w14:schemeClr w14:val="tx1"/>
            </w14:solidFill>
          </w14:textFill>
        </w:rPr>
        <w:t>答复5：根据</w:t>
      </w:r>
      <w:r>
        <w:rPr>
          <w:rFonts w:hint="eastAsia" w:ascii="Arial" w:hAnsi="Arial" w:eastAsia="华文楷体" w:cs="Arial"/>
          <w:b w:val="0"/>
          <w:bCs w:val="0"/>
          <w:color w:val="000000" w:themeColor="text1"/>
          <w:kern w:val="0"/>
          <w:sz w:val="28"/>
          <w:szCs w:val="28"/>
          <w14:textFill>
            <w14:solidFill>
              <w14:schemeClr w14:val="tx1"/>
            </w14:solidFill>
          </w14:textFill>
        </w:rPr>
        <w:t>《关于印发&lt;人民法院委托评估工作规范&gt;的通知》（法办[2018]273号）及附件，第二十条，评估机构应在收到评估委托书和相关材料后三十日内出具评估报告，并通过系统发送给人民法院</w:t>
      </w:r>
      <w:r>
        <w:rPr>
          <w:rFonts w:ascii="Arial" w:hAnsi="Arial" w:eastAsia="华文楷体" w:cs="Arial"/>
          <w:b w:val="0"/>
          <w:bCs w:val="0"/>
          <w:color w:val="000000" w:themeColor="text1"/>
          <w:kern w:val="0"/>
          <w:sz w:val="28"/>
          <w:szCs w:val="28"/>
          <w14:textFill>
            <w14:solidFill>
              <w14:schemeClr w14:val="tx1"/>
            </w14:solidFill>
          </w14:textFill>
        </w:rPr>
        <w:t>。</w:t>
      </w:r>
      <w:r>
        <w:rPr>
          <w:rFonts w:hint="eastAsia" w:ascii="Arial" w:hAnsi="Arial" w:eastAsia="华文楷体" w:cs="Arial"/>
          <w:b w:val="0"/>
          <w:bCs w:val="0"/>
          <w:color w:val="000000" w:themeColor="text1"/>
          <w:kern w:val="0"/>
          <w:sz w:val="28"/>
          <w:szCs w:val="28"/>
          <w14:textFill>
            <w14:solidFill>
              <w14:schemeClr w14:val="tx1"/>
            </w14:solidFill>
          </w14:textFill>
        </w:rPr>
        <w:t>附件《人民法院委托评估需要提供的材料清单》，一、房地产类（一）必需材料包括，...3.抵押等他项权证明，已出租房地产的租赁合同；4.法院查明的财产权属、质量瑕疵等材料，以及关于财产的特殊情况说明。</w:t>
      </w:r>
    </w:p>
    <w:p>
      <w:pPr>
        <w:pStyle w:val="2"/>
        <w:keepNext w:val="0"/>
        <w:keepLines w:val="0"/>
        <w:widowControl/>
        <w:shd w:val="clear" w:color="auto" w:fill="FFFFFF"/>
        <w:spacing w:before="0" w:after="0" w:line="540" w:lineRule="atLeast"/>
        <w:ind w:firstLine="560" w:firstLineChars="200"/>
        <w:jc w:val="both"/>
        <w:rPr>
          <w:rFonts w:ascii="Arial" w:hAnsi="Arial" w:eastAsia="华文楷体" w:cs="Arial"/>
          <w:b w:val="0"/>
          <w:bCs w:val="0"/>
          <w:color w:val="000000" w:themeColor="text1"/>
          <w:kern w:val="0"/>
          <w:sz w:val="28"/>
          <w:szCs w:val="28"/>
          <w14:textFill>
            <w14:solidFill>
              <w14:schemeClr w14:val="tx1"/>
            </w14:solidFill>
          </w14:textFill>
        </w:rPr>
      </w:pPr>
      <w:r>
        <w:rPr>
          <w:rFonts w:hint="eastAsia" w:ascii="Arial" w:hAnsi="Arial" w:eastAsia="华文楷体" w:cs="Arial"/>
          <w:b w:val="0"/>
          <w:bCs w:val="0"/>
          <w:color w:val="000000" w:themeColor="text1"/>
          <w:kern w:val="0"/>
          <w:sz w:val="28"/>
          <w:szCs w:val="28"/>
          <w14:textFill>
            <w14:solidFill>
              <w14:schemeClr w14:val="tx1"/>
            </w14:solidFill>
          </w14:textFill>
        </w:rPr>
        <w:t>我司在收到贵院委托函后，积极与联系人沟通评估事宜。</w:t>
      </w:r>
      <w:r>
        <w:rPr>
          <w:rFonts w:hint="eastAsia" w:ascii="Arial" w:hAnsi="Arial" w:eastAsia="华文楷体" w:cs="Arial"/>
          <w:b w:val="0"/>
          <w:bCs w:val="0"/>
          <w:color w:val="000000" w:themeColor="text1"/>
          <w:kern w:val="0"/>
          <w:sz w:val="28"/>
          <w:szCs w:val="28"/>
          <w14:textFill>
            <w14:solidFill>
              <w14:schemeClr w14:val="tx1"/>
            </w14:solidFill>
          </w14:textFill>
        </w:rPr>
        <w:t>2023年</w:t>
      </w:r>
      <w:r>
        <w:rPr>
          <w:rFonts w:hint="eastAsia" w:ascii="Arial" w:hAnsi="Arial" w:eastAsia="华文楷体" w:cs="Arial"/>
          <w:b w:val="0"/>
          <w:bCs w:val="0"/>
          <w:color w:val="000000" w:themeColor="text1"/>
          <w:kern w:val="0"/>
          <w:sz w:val="28"/>
          <w:szCs w:val="28"/>
          <w:lang w:val="en-US" w:eastAsia="zh-CN"/>
          <w14:textFill>
            <w14:solidFill>
              <w14:schemeClr w14:val="tx1"/>
            </w14:solidFill>
          </w14:textFill>
        </w:rPr>
        <w:t>2</w:t>
      </w:r>
      <w:r>
        <w:rPr>
          <w:rFonts w:hint="eastAsia" w:ascii="Arial" w:hAnsi="Arial" w:eastAsia="华文楷体" w:cs="Arial"/>
          <w:b w:val="0"/>
          <w:bCs w:val="0"/>
          <w:color w:val="000000" w:themeColor="text1"/>
          <w:kern w:val="0"/>
          <w:sz w:val="28"/>
          <w:szCs w:val="28"/>
          <w14:textFill>
            <w14:solidFill>
              <w14:schemeClr w14:val="tx1"/>
            </w14:solidFill>
          </w14:textFill>
        </w:rPr>
        <w:t>月</w:t>
      </w:r>
      <w:r>
        <w:rPr>
          <w:rFonts w:hint="eastAsia" w:ascii="Arial" w:hAnsi="Arial" w:eastAsia="华文楷体" w:cs="Arial"/>
          <w:b w:val="0"/>
          <w:bCs w:val="0"/>
          <w:color w:val="000000" w:themeColor="text1"/>
          <w:kern w:val="0"/>
          <w:sz w:val="28"/>
          <w:szCs w:val="28"/>
          <w:lang w:val="en-US" w:eastAsia="zh-CN"/>
          <w14:textFill>
            <w14:solidFill>
              <w14:schemeClr w14:val="tx1"/>
            </w14:solidFill>
          </w14:textFill>
        </w:rPr>
        <w:t>15</w:t>
      </w:r>
      <w:r>
        <w:rPr>
          <w:rFonts w:hint="eastAsia" w:ascii="Arial" w:hAnsi="Arial" w:eastAsia="华文楷体" w:cs="Arial"/>
          <w:b w:val="0"/>
          <w:bCs w:val="0"/>
          <w:color w:val="000000" w:themeColor="text1"/>
          <w:kern w:val="0"/>
          <w:sz w:val="28"/>
          <w:szCs w:val="28"/>
          <w14:textFill>
            <w14:solidFill>
              <w14:schemeClr w14:val="tx1"/>
            </w14:solidFill>
          </w14:textFill>
        </w:rPr>
        <w:t>日</w:t>
      </w:r>
      <w:r>
        <w:rPr>
          <w:rFonts w:hint="eastAsia" w:ascii="Arial" w:hAnsi="Arial" w:eastAsia="华文楷体" w:cs="Arial"/>
          <w:b w:val="0"/>
          <w:bCs w:val="0"/>
          <w:color w:val="000000" w:themeColor="text1"/>
          <w:kern w:val="0"/>
          <w:sz w:val="28"/>
          <w:szCs w:val="28"/>
          <w:lang w:eastAsia="zh-CN"/>
          <w14:textFill>
            <w14:solidFill>
              <w14:schemeClr w14:val="tx1"/>
            </w14:solidFill>
          </w14:textFill>
        </w:rPr>
        <w:t>，我司收到</w:t>
      </w:r>
      <w:r>
        <w:rPr>
          <w:rFonts w:hint="eastAsia" w:ascii="Arial" w:hAnsi="Arial" w:eastAsia="华文楷体" w:cs="Arial"/>
          <w:b w:val="0"/>
          <w:bCs w:val="0"/>
          <w:color w:val="000000" w:themeColor="text1"/>
          <w:kern w:val="0"/>
          <w:sz w:val="28"/>
          <w:szCs w:val="28"/>
          <w14:textFill>
            <w14:solidFill>
              <w14:schemeClr w14:val="tx1"/>
            </w14:solidFill>
          </w14:textFill>
        </w:rPr>
        <w:t>《北京金融法院委托书》[（2022）京74执418号]</w:t>
      </w:r>
      <w:r>
        <w:rPr>
          <w:rFonts w:hint="eastAsia" w:ascii="Arial" w:hAnsi="Arial" w:eastAsia="华文楷体" w:cs="Arial"/>
          <w:b w:val="0"/>
          <w:bCs w:val="0"/>
          <w:color w:val="000000" w:themeColor="text1"/>
          <w:kern w:val="0"/>
          <w:sz w:val="28"/>
          <w:szCs w:val="28"/>
          <w:lang w:eastAsia="zh-CN"/>
          <w14:textFill>
            <w14:solidFill>
              <w14:schemeClr w14:val="tx1"/>
            </w14:solidFill>
          </w14:textFill>
        </w:rPr>
        <w:t>，同时</w:t>
      </w:r>
      <w:r>
        <w:rPr>
          <w:rFonts w:hint="eastAsia" w:ascii="Arial" w:hAnsi="Arial" w:eastAsia="华文楷体" w:cs="Arial"/>
          <w:b w:val="0"/>
          <w:bCs w:val="0"/>
          <w:color w:val="000000" w:themeColor="text1"/>
          <w:kern w:val="0"/>
          <w:sz w:val="28"/>
          <w:szCs w:val="28"/>
          <w14:textFill>
            <w14:solidFill>
              <w14:schemeClr w14:val="tx1"/>
            </w14:solidFill>
          </w14:textFill>
        </w:rPr>
        <w:t>司法辅助人员</w:t>
      </w:r>
      <w:r>
        <w:rPr>
          <w:rFonts w:hint="eastAsia" w:ascii="Arial" w:hAnsi="Arial" w:eastAsia="华文楷体" w:cs="Arial"/>
          <w:b w:val="0"/>
          <w:bCs w:val="0"/>
          <w:color w:val="000000" w:themeColor="text1"/>
          <w:kern w:val="0"/>
          <w:sz w:val="28"/>
          <w:szCs w:val="28"/>
          <w:lang w:eastAsia="zh-CN"/>
          <w14:textFill>
            <w14:solidFill>
              <w14:schemeClr w14:val="tx1"/>
            </w14:solidFill>
          </w14:textFill>
        </w:rPr>
        <w:t>称法官正在调取评估必需资料。至</w:t>
      </w:r>
      <w:r>
        <w:rPr>
          <w:rFonts w:hint="eastAsia" w:ascii="Arial" w:hAnsi="Arial" w:eastAsia="华文楷体" w:cs="Arial"/>
          <w:b w:val="0"/>
          <w:bCs w:val="0"/>
          <w:color w:val="000000" w:themeColor="text1"/>
          <w:kern w:val="0"/>
          <w:sz w:val="28"/>
          <w:szCs w:val="28"/>
          <w:lang w:val="en-US" w:eastAsia="zh-CN"/>
          <w14:textFill>
            <w14:solidFill>
              <w14:schemeClr w14:val="tx1"/>
            </w14:solidFill>
          </w14:textFill>
        </w:rPr>
        <w:t>2023年3月16日，</w:t>
      </w:r>
      <w:r>
        <w:rPr>
          <w:rFonts w:hint="eastAsia" w:ascii="Arial" w:hAnsi="Arial" w:eastAsia="华文楷体" w:cs="Arial"/>
          <w:b w:val="0"/>
          <w:bCs w:val="0"/>
          <w:color w:val="000000" w:themeColor="text1"/>
          <w:kern w:val="0"/>
          <w:sz w:val="28"/>
          <w:szCs w:val="28"/>
          <w14:textFill>
            <w14:solidFill>
              <w14:schemeClr w14:val="tx1"/>
            </w14:solidFill>
          </w14:textFill>
        </w:rPr>
        <w:t>司法辅助人员</w:t>
      </w:r>
      <w:r>
        <w:rPr>
          <w:rFonts w:hint="eastAsia" w:ascii="Arial" w:hAnsi="Arial" w:eastAsia="华文楷体" w:cs="Arial"/>
          <w:b w:val="0"/>
          <w:bCs w:val="0"/>
          <w:color w:val="000000" w:themeColor="text1"/>
          <w:kern w:val="0"/>
          <w:sz w:val="28"/>
          <w:szCs w:val="28"/>
          <w:lang w:eastAsia="zh-CN"/>
          <w14:textFill>
            <w14:solidFill>
              <w14:schemeClr w14:val="tx1"/>
            </w14:solidFill>
          </w14:textFill>
        </w:rPr>
        <w:t>通知我司报告出具形式，并称下周将提供评估资料。</w:t>
      </w:r>
      <w:r>
        <w:rPr>
          <w:rFonts w:hint="eastAsia" w:ascii="Arial" w:hAnsi="Arial" w:eastAsia="华文楷体" w:cs="Arial"/>
          <w:b w:val="0"/>
          <w:bCs w:val="0"/>
          <w:color w:val="000000" w:themeColor="text1"/>
          <w:kern w:val="0"/>
          <w:sz w:val="28"/>
          <w:szCs w:val="28"/>
          <w14:textFill>
            <w14:solidFill>
              <w14:schemeClr w14:val="tx1"/>
            </w14:solidFill>
          </w14:textFill>
        </w:rPr>
        <w:t>2023年3月24日我司评估专业人员与当事人北京国际信托有限公司代理人取得联系并通知其预缴评估费，并等其回复。2023年4月3日至5月5日，</w:t>
      </w:r>
      <w:r>
        <w:rPr>
          <w:rFonts w:hint="eastAsia" w:ascii="Arial" w:hAnsi="Arial" w:eastAsia="华文楷体" w:cs="Arial"/>
          <w:b w:val="0"/>
          <w:bCs w:val="0"/>
          <w:color w:val="000000" w:themeColor="text1"/>
          <w:kern w:val="0"/>
          <w:sz w:val="28"/>
          <w:szCs w:val="28"/>
          <w14:textFill>
            <w14:solidFill>
              <w14:schemeClr w14:val="tx1"/>
            </w14:solidFill>
          </w14:textFill>
        </w:rPr>
        <w:t>我司评估专业人员多次与当事人、司法辅助人员及贵院申法官联系，在满足了实地查勘条件后，于2023年5月8日对估价对象进行了实地查勘</w:t>
      </w:r>
      <w:r>
        <w:rPr>
          <w:rFonts w:hint="eastAsia" w:ascii="Arial" w:hAnsi="Arial" w:eastAsia="华文楷体" w:cs="Arial"/>
          <w:b w:val="0"/>
          <w:bCs w:val="0"/>
          <w:color w:val="000000" w:themeColor="text1"/>
          <w:kern w:val="0"/>
          <w:sz w:val="28"/>
          <w:szCs w:val="28"/>
          <w:lang w:eastAsia="zh-CN"/>
          <w14:textFill>
            <w14:solidFill>
              <w14:schemeClr w14:val="tx1"/>
            </w14:solidFill>
          </w14:textFill>
        </w:rPr>
        <w:t>，</w:t>
      </w:r>
      <w:r>
        <w:rPr>
          <w:rFonts w:hint="eastAsia" w:ascii="Arial" w:hAnsi="Arial" w:eastAsia="华文楷体" w:cs="Arial"/>
          <w:b w:val="0"/>
          <w:bCs w:val="0"/>
          <w:color w:val="000000" w:themeColor="text1"/>
          <w:kern w:val="0"/>
          <w:sz w:val="28"/>
          <w:szCs w:val="28"/>
          <w14:textFill>
            <w14:solidFill>
              <w14:schemeClr w14:val="tx1"/>
            </w14:solidFill>
          </w14:textFill>
        </w:rPr>
        <w:t>现场</w:t>
      </w:r>
      <w:r>
        <w:rPr>
          <w:rFonts w:hint="eastAsia" w:ascii="Arial" w:hAnsi="Arial" w:eastAsia="华文楷体" w:cs="Arial"/>
          <w:b w:val="0"/>
          <w:bCs w:val="0"/>
          <w:color w:val="000000" w:themeColor="text1"/>
          <w:kern w:val="0"/>
          <w:sz w:val="28"/>
          <w:szCs w:val="28"/>
          <w:lang w:eastAsia="zh-CN"/>
          <w14:textFill>
            <w14:solidFill>
              <w14:schemeClr w14:val="tx1"/>
            </w14:solidFill>
          </w14:textFill>
        </w:rPr>
        <w:t>刘</w:t>
      </w:r>
      <w:bookmarkStart w:id="1" w:name="_GoBack"/>
      <w:bookmarkEnd w:id="1"/>
      <w:r>
        <w:rPr>
          <w:rFonts w:hint="eastAsia" w:ascii="Arial" w:hAnsi="Arial" w:eastAsia="华文楷体" w:cs="Arial"/>
          <w:b w:val="0"/>
          <w:bCs w:val="0"/>
          <w:color w:val="000000" w:themeColor="text1"/>
          <w:kern w:val="0"/>
          <w:sz w:val="28"/>
          <w:szCs w:val="28"/>
          <w:lang w:eastAsia="zh-CN"/>
          <w14:textFill>
            <w14:solidFill>
              <w14:schemeClr w14:val="tx1"/>
            </w14:solidFill>
          </w14:textFill>
        </w:rPr>
        <w:t>法官</w:t>
      </w:r>
      <w:r>
        <w:rPr>
          <w:rFonts w:hint="eastAsia" w:ascii="Arial" w:hAnsi="Arial" w:eastAsia="华文楷体" w:cs="Arial"/>
          <w:b w:val="0"/>
          <w:bCs w:val="0"/>
          <w:color w:val="000000" w:themeColor="text1"/>
          <w:kern w:val="0"/>
          <w:sz w:val="28"/>
          <w:szCs w:val="28"/>
          <w14:textFill>
            <w14:solidFill>
              <w14:schemeClr w14:val="tx1"/>
            </w14:solidFill>
          </w14:textFill>
        </w:rPr>
        <w:t>口头告知被申请人须尽快补充提供材料</w:t>
      </w:r>
      <w:r>
        <w:rPr>
          <w:rFonts w:hint="eastAsia" w:ascii="Arial" w:hAnsi="Arial" w:eastAsia="华文楷体" w:cs="Arial"/>
          <w:b w:val="0"/>
          <w:bCs w:val="0"/>
          <w:color w:val="000000" w:themeColor="text1"/>
          <w:kern w:val="0"/>
          <w:sz w:val="28"/>
          <w:szCs w:val="28"/>
          <w:lang w:eastAsia="zh-CN"/>
          <w14:textFill>
            <w14:solidFill>
              <w14:schemeClr w14:val="tx1"/>
            </w14:solidFill>
          </w14:textFill>
        </w:rPr>
        <w:t>。在未收到相关资料后，我司评估专业人员于</w:t>
      </w:r>
      <w:r>
        <w:rPr>
          <w:rFonts w:hint="eastAsia" w:ascii="Arial" w:hAnsi="Arial" w:eastAsia="华文楷体" w:cs="Arial"/>
          <w:b w:val="0"/>
          <w:bCs w:val="0"/>
          <w:color w:val="000000" w:themeColor="text1"/>
          <w:kern w:val="0"/>
          <w:sz w:val="28"/>
          <w:szCs w:val="28"/>
          <w:lang w:val="en-US" w:eastAsia="zh-CN"/>
          <w14:textFill>
            <w14:solidFill>
              <w14:schemeClr w14:val="tx1"/>
            </w14:solidFill>
          </w14:textFill>
        </w:rPr>
        <w:t>2023年5月30日向贵院出具了需补充材料的书面说明。</w:t>
      </w:r>
      <w:r>
        <w:rPr>
          <w:rFonts w:hint="eastAsia" w:ascii="Arial" w:hAnsi="Arial" w:eastAsia="华文楷体" w:cs="Arial"/>
          <w:b w:val="0"/>
          <w:bCs w:val="0"/>
          <w:color w:val="000000" w:themeColor="text1"/>
          <w:kern w:val="0"/>
          <w:sz w:val="28"/>
          <w:szCs w:val="28"/>
          <w:lang w:val="en-US" w:eastAsia="zh-CN"/>
          <w14:textFill>
            <w14:solidFill>
              <w14:schemeClr w14:val="tx1"/>
            </w14:solidFill>
          </w14:textFill>
        </w:rPr>
        <w:t>2023年8月24日，我司</w:t>
      </w:r>
      <w:r>
        <w:rPr>
          <w:rFonts w:hint="eastAsia" w:ascii="Arial" w:hAnsi="Arial" w:eastAsia="华文楷体" w:cs="Arial"/>
          <w:b w:val="0"/>
          <w:bCs w:val="0"/>
          <w:color w:val="000000" w:themeColor="text1"/>
          <w:kern w:val="0"/>
          <w:sz w:val="28"/>
          <w:szCs w:val="28"/>
          <w14:textFill>
            <w14:solidFill>
              <w14:schemeClr w14:val="tx1"/>
            </w14:solidFill>
          </w14:textFill>
        </w:rPr>
        <w:t>评估专业人员</w:t>
      </w:r>
      <w:r>
        <w:rPr>
          <w:rFonts w:hint="eastAsia" w:ascii="Arial" w:hAnsi="Arial" w:eastAsia="华文楷体" w:cs="Arial"/>
          <w:b w:val="0"/>
          <w:bCs w:val="0"/>
          <w:color w:val="000000" w:themeColor="text1"/>
          <w:kern w:val="0"/>
          <w:sz w:val="28"/>
          <w:szCs w:val="28"/>
          <w:lang w:val="en-US" w:eastAsia="zh-CN"/>
          <w14:textFill>
            <w14:solidFill>
              <w14:schemeClr w14:val="tx1"/>
            </w14:solidFill>
          </w14:textFill>
        </w:rPr>
        <w:t>收到租赁合同，</w:t>
      </w:r>
      <w:r>
        <w:rPr>
          <w:rFonts w:hint="eastAsia" w:ascii="Arial" w:hAnsi="Arial" w:eastAsia="华文楷体" w:cs="Arial"/>
          <w:b w:val="0"/>
          <w:bCs w:val="0"/>
          <w:color w:val="000000" w:themeColor="text1"/>
          <w:kern w:val="0"/>
          <w:sz w:val="28"/>
          <w:szCs w:val="28"/>
          <w14:textFill>
            <w14:solidFill>
              <w14:schemeClr w14:val="tx1"/>
            </w14:solidFill>
          </w14:textFill>
        </w:rPr>
        <w:t>2023年10月10日，</w:t>
      </w:r>
      <w:r>
        <w:rPr>
          <w:rFonts w:hint="eastAsia" w:ascii="Arial" w:hAnsi="Arial" w:eastAsia="华文楷体" w:cs="Arial"/>
          <w:b w:val="0"/>
          <w:bCs w:val="0"/>
          <w:color w:val="000000" w:themeColor="text1"/>
          <w:kern w:val="0"/>
          <w:sz w:val="28"/>
          <w:szCs w:val="28"/>
          <w:lang w:val="en-US" w:eastAsia="zh-CN"/>
          <w14:textFill>
            <w14:solidFill>
              <w14:schemeClr w14:val="tx1"/>
            </w14:solidFill>
          </w14:textFill>
        </w:rPr>
        <w:t>我司</w:t>
      </w:r>
      <w:r>
        <w:rPr>
          <w:rFonts w:hint="eastAsia" w:ascii="Arial" w:hAnsi="Arial" w:eastAsia="华文楷体" w:cs="Arial"/>
          <w:b w:val="0"/>
          <w:bCs w:val="0"/>
          <w:color w:val="000000" w:themeColor="text1"/>
          <w:kern w:val="0"/>
          <w:sz w:val="28"/>
          <w:szCs w:val="28"/>
          <w14:textFill>
            <w14:solidFill>
              <w14:schemeClr w14:val="tx1"/>
            </w14:solidFill>
          </w14:textFill>
        </w:rPr>
        <w:t>评估专业人员</w:t>
      </w:r>
      <w:r>
        <w:rPr>
          <w:rFonts w:hint="eastAsia" w:ascii="Arial" w:hAnsi="Arial" w:eastAsia="华文楷体" w:cs="Arial"/>
          <w:b w:val="0"/>
          <w:bCs w:val="0"/>
          <w:color w:val="000000" w:themeColor="text1"/>
          <w:kern w:val="0"/>
          <w:sz w:val="28"/>
          <w:szCs w:val="28"/>
          <w:lang w:val="en-US" w:eastAsia="zh-CN"/>
          <w14:textFill>
            <w14:solidFill>
              <w14:schemeClr w14:val="tx1"/>
            </w14:solidFill>
          </w14:textFill>
        </w:rPr>
        <w:t>收到</w:t>
      </w:r>
      <w:r>
        <w:rPr>
          <w:rFonts w:hint="eastAsia" w:ascii="Arial" w:hAnsi="Arial" w:eastAsia="华文楷体" w:cs="Arial"/>
          <w:b w:val="0"/>
          <w:bCs w:val="0"/>
          <w:color w:val="000000" w:themeColor="text1"/>
          <w:kern w:val="0"/>
          <w:sz w:val="28"/>
          <w:szCs w:val="28"/>
          <w14:textFill>
            <w14:solidFill>
              <w14:schemeClr w14:val="tx1"/>
            </w14:solidFill>
          </w14:textFill>
        </w:rPr>
        <w:t>测绘报告</w:t>
      </w:r>
      <w:r>
        <w:rPr>
          <w:rFonts w:hint="eastAsia" w:ascii="Arial" w:hAnsi="Arial" w:eastAsia="华文楷体" w:cs="Arial"/>
          <w:b w:val="0"/>
          <w:bCs w:val="0"/>
          <w:color w:val="000000" w:themeColor="text1"/>
          <w:kern w:val="0"/>
          <w:sz w:val="28"/>
          <w:szCs w:val="28"/>
          <w:lang w:eastAsia="zh-CN"/>
          <w14:textFill>
            <w14:solidFill>
              <w14:schemeClr w14:val="tx1"/>
            </w14:solidFill>
          </w14:textFill>
        </w:rPr>
        <w:t>。至此，本次委托的评估必需材料才收集齐全。</w:t>
      </w:r>
      <w:r>
        <w:rPr>
          <w:rFonts w:hint="eastAsia" w:ascii="Arial" w:hAnsi="Arial" w:eastAsia="华文楷体" w:cs="Arial"/>
          <w:b w:val="0"/>
          <w:bCs w:val="0"/>
          <w:color w:val="000000" w:themeColor="text1"/>
          <w:kern w:val="0"/>
          <w:sz w:val="28"/>
          <w:szCs w:val="28"/>
          <w14:textFill>
            <w14:solidFill>
              <w14:schemeClr w14:val="tx1"/>
            </w14:solidFill>
          </w14:textFill>
        </w:rPr>
        <w:t>2023年11月7日</w:t>
      </w:r>
      <w:r>
        <w:rPr>
          <w:rFonts w:hint="eastAsia" w:ascii="Arial" w:hAnsi="Arial" w:eastAsia="华文楷体" w:cs="Arial"/>
          <w:b w:val="0"/>
          <w:bCs w:val="0"/>
          <w:color w:val="000000" w:themeColor="text1"/>
          <w:kern w:val="0"/>
          <w:sz w:val="28"/>
          <w:szCs w:val="28"/>
          <w:lang w:eastAsia="zh-CN"/>
          <w14:textFill>
            <w14:solidFill>
              <w14:schemeClr w14:val="tx1"/>
            </w14:solidFill>
          </w14:textFill>
        </w:rPr>
        <w:t>我司</w:t>
      </w:r>
      <w:r>
        <w:rPr>
          <w:rFonts w:hint="eastAsia" w:ascii="Arial" w:hAnsi="Arial" w:eastAsia="华文楷体" w:cs="Arial"/>
          <w:b w:val="0"/>
          <w:bCs w:val="0"/>
          <w:color w:val="000000" w:themeColor="text1"/>
          <w:kern w:val="0"/>
          <w:sz w:val="28"/>
          <w:szCs w:val="28"/>
          <w14:textFill>
            <w14:solidFill>
              <w14:schemeClr w14:val="tx1"/>
            </w14:solidFill>
          </w14:textFill>
        </w:rPr>
        <w:t>出具了《不动产估价报告书》[康正执评字2023-1-0250-F01SFZC6]。整个过程不存在嫌评估程序违法的情况。</w:t>
      </w: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特此说明。</w:t>
      </w: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北京康正宏基房地产评估有限公司</w:t>
      </w:r>
    </w:p>
    <w:p>
      <w:pPr>
        <w:spacing w:line="480" w:lineRule="auto"/>
        <w:ind w:firstLine="840"/>
        <w:jc w:val="right"/>
      </w:pPr>
      <w:r>
        <w:rPr>
          <w:rFonts w:ascii="Arial" w:hAnsi="Arial" w:eastAsia="华文楷体" w:cs="Arial"/>
          <w:color w:val="000000" w:themeColor="text1"/>
          <w:sz w:val="28"/>
          <w:szCs w:val="28"/>
          <w14:textFill>
            <w14:solidFill>
              <w14:schemeClr w14:val="tx1"/>
            </w14:solidFill>
          </w14:textFill>
        </w:rPr>
        <w:t>二〇二三年十二月十一日</w:t>
      </w:r>
    </w:p>
    <w:sectPr>
      <w:headerReference r:id="rId3" w:type="default"/>
      <w:pgSz w:w="11906" w:h="16838"/>
      <w:pgMar w:top="1440" w:right="1558" w:bottom="1440" w:left="1800" w:header="851"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Lucida Sans">
    <w:panose1 w:val="020B0602030504020204"/>
    <w:charset w:val="00"/>
    <w:family w:val="swiss"/>
    <w:pitch w:val="default"/>
    <w:sig w:usb0="00000003" w:usb1="00000000" w:usb2="00000000" w:usb3="00000000" w:csb0="20000001" w:csb1="0000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stretch>
                    <a:fillRect/>
                  </a:stretch>
                </pic:blipFill>
                <pic:spPr>
                  <a:xfrm>
                    <a:off x="0" y="0"/>
                    <a:ext cx="5543550" cy="274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ZjVlM2VmNjAwMmNmMzg0MTcxOTI1ODA5M2MyOGEifQ=="/>
  </w:docVars>
  <w:rsids>
    <w:rsidRoot w:val="00C3647A"/>
    <w:rsid w:val="003E25AB"/>
    <w:rsid w:val="00841300"/>
    <w:rsid w:val="00C3647A"/>
    <w:rsid w:val="00ED4F97"/>
    <w:rsid w:val="05B83FB7"/>
    <w:rsid w:val="6EE7265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7"/>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2"/>
      <w:sz w:val="44"/>
      <w:szCs w:val="44"/>
    </w:rPr>
  </w:style>
  <w:style w:type="paragraph" w:styleId="3">
    <w:name w:val="heading 2"/>
    <w:basedOn w:val="1"/>
    <w:next w:val="1"/>
    <w:link w:val="28"/>
    <w:semiHidden/>
    <w:unhideWhenUsed/>
    <w:qFormat/>
    <w:uiPriority w:val="9"/>
    <w:pPr>
      <w:keepNext/>
      <w:keepLines/>
      <w:widowControl w:val="0"/>
      <w:spacing w:before="260" w:after="260" w:line="415" w:lineRule="auto"/>
      <w:jc w:val="both"/>
      <w:outlineLvl w:val="1"/>
    </w:pPr>
    <w:rPr>
      <w:rFonts w:asciiTheme="majorHAnsi" w:hAnsiTheme="majorHAnsi" w:eastAsiaTheme="majorEastAsia" w:cstheme="majorBidi"/>
      <w:b/>
      <w:bCs/>
      <w:kern w:val="2"/>
      <w:sz w:val="32"/>
      <w:szCs w:val="32"/>
    </w:rPr>
  </w:style>
  <w:style w:type="paragraph" w:styleId="4">
    <w:name w:val="heading 3"/>
    <w:basedOn w:val="1"/>
    <w:link w:val="26"/>
    <w:qFormat/>
    <w:uiPriority w:val="9"/>
    <w:pPr>
      <w:spacing w:beforeAutospacing="1" w:afterAutospacing="1"/>
      <w:outlineLvl w:val="2"/>
    </w:pPr>
    <w:rPr>
      <w:rFonts w:ascii="宋体" w:hAnsi="宋体" w:cs="宋体"/>
      <w:b/>
      <w:bCs/>
      <w:sz w:val="27"/>
      <w:szCs w:val="27"/>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caption"/>
    <w:basedOn w:val="1"/>
    <w:qFormat/>
    <w:uiPriority w:val="0"/>
    <w:pPr>
      <w:suppressLineNumbers/>
      <w:spacing w:before="120" w:after="120"/>
    </w:pPr>
    <w:rPr>
      <w:rFonts w:cs="Lucida Sans"/>
      <w:i/>
      <w:iCs/>
    </w:rPr>
  </w:style>
  <w:style w:type="paragraph" w:styleId="6">
    <w:name w:val="annotation text"/>
    <w:basedOn w:val="1"/>
    <w:unhideWhenUsed/>
    <w:qFormat/>
    <w:uiPriority w:val="99"/>
    <w:pPr>
      <w:widowControl w:val="0"/>
    </w:pPr>
    <w:rPr>
      <w:rFonts w:asciiTheme="minorHAnsi" w:hAnsiTheme="minorHAnsi" w:eastAsiaTheme="minorEastAsia" w:cstheme="minorBidi"/>
      <w:kern w:val="2"/>
      <w:sz w:val="21"/>
      <w:szCs w:val="22"/>
    </w:rPr>
  </w:style>
  <w:style w:type="paragraph" w:styleId="7">
    <w:name w:val="Body Text"/>
    <w:basedOn w:val="1"/>
    <w:uiPriority w:val="0"/>
    <w:pPr>
      <w:spacing w:after="140" w:line="276" w:lineRule="auto"/>
    </w:pPr>
  </w:style>
  <w:style w:type="paragraph" w:styleId="8">
    <w:name w:val="Date"/>
    <w:basedOn w:val="1"/>
    <w:next w:val="1"/>
    <w:unhideWhenUsed/>
    <w:qFormat/>
    <w:uiPriority w:val="99"/>
    <w:pPr>
      <w:widowControl w:val="0"/>
      <w:ind w:left="100"/>
      <w:jc w:val="both"/>
    </w:pPr>
    <w:rPr>
      <w:rFonts w:asciiTheme="minorHAnsi" w:hAnsiTheme="minorHAnsi" w:eastAsiaTheme="minorEastAsia" w:cstheme="minorBidi"/>
      <w:kern w:val="2"/>
      <w:sz w:val="21"/>
      <w:szCs w:val="22"/>
    </w:rPr>
  </w:style>
  <w:style w:type="paragraph" w:styleId="9">
    <w:name w:val="Balloon Text"/>
    <w:basedOn w:val="1"/>
    <w:unhideWhenUsed/>
    <w:qFormat/>
    <w:uiPriority w:val="99"/>
    <w:pPr>
      <w:widowControl w:val="0"/>
      <w:jc w:val="both"/>
    </w:pPr>
    <w:rPr>
      <w:rFonts w:asciiTheme="minorHAnsi" w:hAnsiTheme="minorHAnsi" w:eastAsiaTheme="minorEastAsia" w:cstheme="minorBidi"/>
      <w:kern w:val="2"/>
      <w:sz w:val="18"/>
      <w:szCs w:val="18"/>
    </w:rPr>
  </w:style>
  <w:style w:type="paragraph" w:styleId="10">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1">
    <w:name w:val="header"/>
    <w:basedOn w:val="1"/>
    <w:unhideWhenUsed/>
    <w:qFormat/>
    <w:uiPriority w:val="99"/>
    <w:pPr>
      <w:widowControl w:val="0"/>
      <w:pBdr>
        <w:bottom w:val="single" w:color="000000"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2">
    <w:name w:val="List"/>
    <w:basedOn w:val="7"/>
    <w:uiPriority w:val="0"/>
    <w:rPr>
      <w:rFonts w:cs="Lucida Sans"/>
    </w:rPr>
  </w:style>
  <w:style w:type="paragraph" w:styleId="13">
    <w:name w:val="Normal (Web)"/>
    <w:basedOn w:val="1"/>
    <w:semiHidden/>
    <w:unhideWhenUsed/>
    <w:qFormat/>
    <w:uiPriority w:val="99"/>
    <w:pPr>
      <w:spacing w:beforeAutospacing="1" w:afterAutospacing="1"/>
    </w:pPr>
    <w:rPr>
      <w:rFonts w:ascii="宋体" w:hAnsi="宋体" w:cs="宋体"/>
    </w:rPr>
  </w:style>
  <w:style w:type="paragraph" w:styleId="14">
    <w:name w:val="annotation subject"/>
    <w:basedOn w:val="6"/>
    <w:next w:val="6"/>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annotation reference"/>
    <w:basedOn w:val="17"/>
    <w:unhideWhenUsed/>
    <w:qFormat/>
    <w:uiPriority w:val="99"/>
    <w:rPr>
      <w:sz w:val="21"/>
      <w:szCs w:val="21"/>
    </w:rPr>
  </w:style>
  <w:style w:type="character" w:customStyle="1" w:styleId="20">
    <w:name w:val="页眉字符"/>
    <w:basedOn w:val="17"/>
    <w:qFormat/>
    <w:uiPriority w:val="99"/>
    <w:rPr>
      <w:sz w:val="18"/>
      <w:szCs w:val="18"/>
    </w:rPr>
  </w:style>
  <w:style w:type="character" w:customStyle="1" w:styleId="21">
    <w:name w:val="页脚字符"/>
    <w:basedOn w:val="17"/>
    <w:qFormat/>
    <w:uiPriority w:val="99"/>
    <w:rPr>
      <w:sz w:val="18"/>
      <w:szCs w:val="18"/>
    </w:rPr>
  </w:style>
  <w:style w:type="character" w:customStyle="1" w:styleId="22">
    <w:name w:val="批注框文本字符"/>
    <w:basedOn w:val="17"/>
    <w:semiHidden/>
    <w:qFormat/>
    <w:uiPriority w:val="99"/>
    <w:rPr>
      <w:sz w:val="18"/>
      <w:szCs w:val="18"/>
    </w:rPr>
  </w:style>
  <w:style w:type="character" w:customStyle="1" w:styleId="23">
    <w:name w:val="批注文字字符"/>
    <w:basedOn w:val="17"/>
    <w:semiHidden/>
    <w:qFormat/>
    <w:uiPriority w:val="99"/>
  </w:style>
  <w:style w:type="character" w:customStyle="1" w:styleId="24">
    <w:name w:val="批注主题字符"/>
    <w:basedOn w:val="23"/>
    <w:semiHidden/>
    <w:qFormat/>
    <w:uiPriority w:val="99"/>
    <w:rPr>
      <w:b/>
      <w:bCs/>
    </w:rPr>
  </w:style>
  <w:style w:type="character" w:customStyle="1" w:styleId="25">
    <w:name w:val="日期字符"/>
    <w:basedOn w:val="17"/>
    <w:semiHidden/>
    <w:qFormat/>
    <w:uiPriority w:val="99"/>
  </w:style>
  <w:style w:type="character" w:customStyle="1" w:styleId="26">
    <w:name w:val="标题 3 Char"/>
    <w:basedOn w:val="17"/>
    <w:link w:val="4"/>
    <w:qFormat/>
    <w:uiPriority w:val="9"/>
    <w:rPr>
      <w:rFonts w:ascii="宋体" w:hAnsi="宋体" w:cs="宋体"/>
      <w:b/>
      <w:bCs/>
      <w:sz w:val="27"/>
      <w:szCs w:val="27"/>
    </w:rPr>
  </w:style>
  <w:style w:type="character" w:customStyle="1" w:styleId="27">
    <w:name w:val="标题 1 Char"/>
    <w:basedOn w:val="17"/>
    <w:link w:val="2"/>
    <w:qFormat/>
    <w:uiPriority w:val="9"/>
    <w:rPr>
      <w:rFonts w:asciiTheme="minorHAnsi" w:hAnsiTheme="minorHAnsi" w:eastAsiaTheme="minorEastAsia" w:cstheme="minorBidi"/>
      <w:b/>
      <w:bCs/>
      <w:kern w:val="2"/>
      <w:sz w:val="44"/>
      <w:szCs w:val="44"/>
    </w:rPr>
  </w:style>
  <w:style w:type="character" w:customStyle="1" w:styleId="28">
    <w:name w:val="标题 2 Char"/>
    <w:basedOn w:val="17"/>
    <w:link w:val="3"/>
    <w:semiHidden/>
    <w:qFormat/>
    <w:uiPriority w:val="9"/>
    <w:rPr>
      <w:rFonts w:asciiTheme="majorHAnsi" w:hAnsiTheme="majorHAnsi" w:eastAsiaTheme="majorEastAsia" w:cstheme="majorBidi"/>
      <w:b/>
      <w:bCs/>
      <w:kern w:val="2"/>
      <w:sz w:val="32"/>
      <w:szCs w:val="32"/>
    </w:rPr>
  </w:style>
  <w:style w:type="character" w:customStyle="1" w:styleId="29">
    <w:name w:val="Internet 链接"/>
    <w:basedOn w:val="17"/>
    <w:unhideWhenUsed/>
    <w:uiPriority w:val="99"/>
    <w:rPr>
      <w:color w:val="0000FF" w:themeColor="hyperlink"/>
      <w:u w:val="single"/>
      <w14:textFill>
        <w14:solidFill>
          <w14:schemeClr w14:val="hlink"/>
        </w14:solidFill>
      </w14:textFill>
    </w:rPr>
  </w:style>
  <w:style w:type="paragraph" w:customStyle="1" w:styleId="30">
    <w:name w:val="标题样式"/>
    <w:basedOn w:val="1"/>
    <w:next w:val="7"/>
    <w:qFormat/>
    <w:uiPriority w:val="0"/>
    <w:pPr>
      <w:keepNext/>
      <w:spacing w:before="240" w:after="120"/>
    </w:pPr>
    <w:rPr>
      <w:rFonts w:ascii="Liberation Sans" w:hAnsi="Liberation Sans" w:eastAsia="微软雅黑" w:cs="Lucida Sans"/>
      <w:sz w:val="28"/>
      <w:szCs w:val="28"/>
    </w:rPr>
  </w:style>
  <w:style w:type="paragraph" w:customStyle="1" w:styleId="31">
    <w:name w:val="索引"/>
    <w:basedOn w:val="1"/>
    <w:qFormat/>
    <w:uiPriority w:val="0"/>
    <w:pPr>
      <w:suppressLineNumbers/>
    </w:pPr>
    <w:rPr>
      <w:rFonts w:cs="Lucida Sans"/>
    </w:rPr>
  </w:style>
  <w:style w:type="paragraph" w:customStyle="1" w:styleId="32">
    <w:name w:val="列出段落1"/>
    <w:basedOn w:val="1"/>
    <w:qFormat/>
    <w:uiPriority w:val="34"/>
    <w:pPr>
      <w:widowControl w:val="0"/>
      <w:ind w:firstLine="420"/>
      <w:jc w:val="both"/>
    </w:pPr>
    <w:rPr>
      <w:rFonts w:asciiTheme="minorHAnsi" w:hAnsiTheme="minorHAnsi" w:eastAsiaTheme="minorEastAsia" w:cstheme="minorBidi"/>
      <w:kern w:val="2"/>
      <w:sz w:val="21"/>
      <w:szCs w:val="22"/>
    </w:rPr>
  </w:style>
  <w:style w:type="paragraph" w:customStyle="1" w:styleId="33">
    <w:name w:val="Default"/>
    <w:qFormat/>
    <w:uiPriority w:val="0"/>
    <w:pPr>
      <w:widowControl w:val="0"/>
    </w:pPr>
    <w:rPr>
      <w:rFonts w:ascii="楷体_GB2312" w:eastAsia="楷体_GB2312" w:cs="楷体_GB2312" w:hAnsiTheme="minorHAnsi"/>
      <w:color w:val="000000"/>
      <w:sz w:val="24"/>
      <w:szCs w:val="24"/>
      <w:lang w:val="en-US" w:eastAsia="zh-CN" w:bidi="ar-SA"/>
    </w:rPr>
  </w:style>
  <w:style w:type="paragraph" w:styleId="34">
    <w:name w:val="List Paragraph"/>
    <w:basedOn w:val="1"/>
    <w:qFormat/>
    <w:uiPriority w:val="99"/>
    <w:pPr>
      <w:widowControl w:val="0"/>
      <w:ind w:firstLine="420"/>
      <w:jc w:val="both"/>
    </w:pPr>
    <w:rPr>
      <w:rFonts w:asciiTheme="minorHAnsi" w:hAnsiTheme="minorHAnsi" w:eastAsiaTheme="minorEastAsia" w:cstheme="minorBidi"/>
      <w:kern w:val="2"/>
      <w:sz w:val="21"/>
      <w:szCs w:val="22"/>
    </w:rPr>
  </w:style>
  <w:style w:type="paragraph" w:customStyle="1" w:styleId="35">
    <w:name w:val="修订1"/>
    <w:semiHidden/>
    <w:qFormat/>
    <w:uiPriority w:val="99"/>
    <w:rPr>
      <w:rFonts w:ascii="Times New Roman" w:hAnsi="Times New Roman" w:eastAsia="宋体" w:cs="Times New Roman"/>
      <w:sz w:val="24"/>
      <w:szCs w:val="24"/>
      <w:lang w:val="en-US" w:eastAsia="zh-CN" w:bidi="ar-SA"/>
    </w:rPr>
  </w:style>
  <w:style w:type="paragraph" w:customStyle="1" w:styleId="36">
    <w:name w:val="表格内容"/>
    <w:basedOn w:val="1"/>
    <w:qFormat/>
    <w:uiPriority w:val="0"/>
    <w:pPr>
      <w:suppressLineNumbers/>
    </w:pPr>
  </w:style>
  <w:style w:type="paragraph" w:customStyle="1" w:styleId="37">
    <w:name w:val="表格标题"/>
    <w:basedOn w:val="36"/>
    <w:qFormat/>
    <w:uiPriority w:val="0"/>
    <w:pPr>
      <w:jc w:val="center"/>
    </w:pPr>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3A31-FB99-4FE8-B65C-C4F64B637A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295</Words>
  <Characters>1684</Characters>
  <Lines>14</Lines>
  <Paragraphs>3</Paragraphs>
  <TotalTime>28</TotalTime>
  <ScaleCrop>false</ScaleCrop>
  <LinksUpToDate>false</LinksUpToDate>
  <CharactersWithSpaces>1976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2022-05-13T09:32:00Z</dcterms:created>
  <dc:creator>USER</dc:creator>
  <cp:lastModifiedBy>俊然</cp:lastModifiedBy>
  <cp:lastPrinted>2022-05-13T09:32:00Z</cp:lastPrinted>
  <dcterms:modified xsi:type="dcterms:W3CDTF">2023-12-11T06:24:16Z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ICV">
    <vt:lpwstr>E90A370E6E38931C7C79C860A7A5E561</vt:lpwstr>
  </property>
  <property fmtid="{D5CDD505-2E9C-101B-9397-08002B2CF9AE}" pid="7" name="KSOProductBuildVer">
    <vt:lpwstr>2052-12.1.0.15990</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