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jc w:val="center"/>
      </w:pPr>
      <w:r>
        <w:rPr>
          <w:rFonts w:ascii="Arial" w:hAnsi="Arial" w:eastAsia="华文楷体" w:cs="Arial"/>
          <w:b/>
          <w:color w:val="000000" w:themeColor="text1"/>
          <w:sz w:val="36"/>
          <w:szCs w:val="36"/>
          <w14:textFill>
            <w14:solidFill>
              <w14:schemeClr w14:val="tx1"/>
            </w14:solidFill>
          </w14:textFill>
        </w:rPr>
        <w:t>关于（2022）京74执418号案件</w:t>
      </w:r>
    </w:p>
    <w:p>
      <w:pPr>
        <w:spacing w:before="156" w:after="156"/>
        <w:jc w:val="center"/>
        <w:rPr>
          <w:rFonts w:ascii="Arial" w:hAnsi="Arial" w:eastAsia="华文楷体" w:cs="Arial"/>
          <w:b/>
          <w:color w:val="000000" w:themeColor="text1"/>
          <w:sz w:val="36"/>
          <w:szCs w:val="36"/>
          <w14:textFill>
            <w14:solidFill>
              <w14:schemeClr w14:val="tx1"/>
            </w14:solidFill>
          </w14:textFill>
        </w:rPr>
      </w:pPr>
      <w:r>
        <w:rPr>
          <w:rFonts w:ascii="Arial" w:hAnsi="Arial" w:eastAsia="华文楷体" w:cs="Arial"/>
          <w:b/>
          <w:color w:val="000000" w:themeColor="text1"/>
          <w:sz w:val="36"/>
          <w:szCs w:val="36"/>
          <w14:textFill>
            <w14:solidFill>
              <w14:schemeClr w14:val="tx1"/>
            </w14:solidFill>
          </w14:textFill>
        </w:rPr>
        <w:t>异议答复</w:t>
      </w:r>
    </w:p>
    <w:p>
      <w:pPr>
        <w:spacing w:before="312" w:line="276" w:lineRule="auto"/>
        <w:jc w:val="both"/>
        <w:rPr>
          <w:rFonts w:ascii="Arial" w:hAnsi="Arial" w:eastAsia="华文楷体" w:cs="Arial"/>
          <w:b/>
          <w:color w:val="000000" w:themeColor="text1"/>
          <w:sz w:val="28"/>
          <w:szCs w:val="28"/>
          <w14:textFill>
            <w14:solidFill>
              <w14:schemeClr w14:val="tx1"/>
            </w14:solidFill>
          </w14:textFill>
        </w:rPr>
      </w:pPr>
      <w:r>
        <w:rPr>
          <w:rFonts w:ascii="Arial" w:hAnsi="Arial" w:eastAsia="华文楷体" w:cs="Arial"/>
          <w:b/>
          <w:color w:val="000000" w:themeColor="text1"/>
          <w:sz w:val="28"/>
          <w:szCs w:val="28"/>
          <w14:textFill>
            <w14:solidFill>
              <w14:schemeClr w14:val="tx1"/>
            </w14:solidFill>
          </w14:textFill>
        </w:rPr>
        <w:t>北京金融法院：</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我公司于2023年2月15日受贵院委托</w:t>
      </w:r>
      <w:r>
        <w:rPr>
          <w:rFonts w:hint="eastAsia" w:ascii="Arial" w:hAnsi="Arial" w:eastAsia="华文楷体" w:cs="Arial"/>
          <w:color w:val="000000" w:themeColor="text1"/>
          <w:sz w:val="28"/>
          <w:szCs w:val="28"/>
          <w14:textFill>
            <w14:solidFill>
              <w14:schemeClr w14:val="tx1"/>
            </w14:solidFill>
          </w14:textFill>
        </w:rPr>
        <w:t>，</w:t>
      </w:r>
      <w:r>
        <w:rPr>
          <w:rFonts w:ascii="Arial" w:hAnsi="Arial" w:eastAsia="华文楷体" w:cs="Arial"/>
          <w:color w:val="000000" w:themeColor="text1"/>
          <w:sz w:val="28"/>
          <w:szCs w:val="28"/>
          <w14:textFill>
            <w14:solidFill>
              <w14:schemeClr w14:val="tx1"/>
            </w14:solidFill>
          </w14:textFill>
        </w:rPr>
        <w:t>对北京润丰房地产开发有限公司名下的位于北京市朝阳区青年路西里5号院16号楼的9处房产进行评估，并于2023年11月7日出具《不动产估价报告书》[康正执评字2023-1-0250-F01SFZC6]</w:t>
      </w:r>
      <w:r>
        <w:rPr>
          <w:rFonts w:hint="eastAsia" w:ascii="Arial" w:hAnsi="Arial" w:eastAsia="华文楷体" w:cs="Arial"/>
          <w:color w:val="000000" w:themeColor="text1"/>
          <w:sz w:val="28"/>
          <w:szCs w:val="28"/>
          <w14:textFill>
            <w14:solidFill>
              <w14:schemeClr w14:val="tx1"/>
            </w14:solidFill>
          </w14:textFill>
        </w:rPr>
        <w:t>（以下简称“评估报告”）</w:t>
      </w:r>
      <w:r>
        <w:rPr>
          <w:rFonts w:ascii="Arial" w:hAnsi="Arial" w:eastAsia="华文楷体" w:cs="Arial"/>
          <w:color w:val="000000" w:themeColor="text1"/>
          <w:sz w:val="28"/>
          <w:szCs w:val="28"/>
          <w14:textFill>
            <w14:solidFill>
              <w14:schemeClr w14:val="tx1"/>
            </w14:solidFill>
          </w14:textFill>
        </w:rPr>
        <w:t>。</w:t>
      </w:r>
    </w:p>
    <w:p>
      <w:pPr>
        <w:spacing w:line="480" w:lineRule="auto"/>
        <w:ind w:firstLine="560"/>
        <w:contextualSpacing/>
        <w:jc w:val="both"/>
      </w:pPr>
      <w:r>
        <w:rPr>
          <w:rFonts w:ascii="Arial" w:hAnsi="Arial" w:eastAsia="华文楷体" w:cs="Arial"/>
          <w:color w:val="000000" w:themeColor="text1"/>
          <w:sz w:val="28"/>
          <w:szCs w:val="28"/>
          <w14:textFill>
            <w14:solidFill>
              <w14:schemeClr w14:val="tx1"/>
            </w14:solidFill>
          </w14:textFill>
        </w:rPr>
        <w:t xml:space="preserve">2023年12月7日，我公司收到贵院寄来的《评估报告异议申请书》，现对异议申请人北京润丰房地产开发有限公司提出的异议作如下答复： </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一：对于《评估报告》中9套配套商业用房即评估对象采用“成本法+收益法”进行评估的方式及过程不予认可，该方法明显违背评估原则，对异议人造成严重损害，应采用“收益法+比较法”进行估价更为科学合理，且能最大程度维护异议人的权益。</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答复1：</w:t>
      </w:r>
    </w:p>
    <w:p>
      <w:pPr>
        <w:spacing w:line="480" w:lineRule="auto"/>
        <w:ind w:firstLine="560"/>
        <w:contextualSpacing/>
        <w:jc w:val="both"/>
        <w:rPr>
          <w:rFonts w:ascii="Arial" w:hAnsi="Arial" w:eastAsia="华文楷体" w:cs="Arial"/>
          <w:color w:val="000000" w:themeColor="text1"/>
          <w:sz w:val="28"/>
          <w:szCs w:val="28"/>
          <w:lang w:val="zh-CN"/>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根据《房地产估价规范》（GB/T50291-2015），</w:t>
      </w:r>
      <w:r>
        <w:rPr>
          <w:rFonts w:hint="eastAsia" w:ascii="Arial" w:hAnsi="Arial" w:eastAsia="华文楷体" w:cs="Arial"/>
          <w:color w:val="000000" w:themeColor="text1"/>
          <w:sz w:val="28"/>
          <w:szCs w:val="28"/>
          <w14:textFill>
            <w14:solidFill>
              <w14:schemeClr w14:val="tx1"/>
            </w14:solidFill>
          </w14:textFill>
        </w:rPr>
        <w:t>选用估价方法时，</w:t>
      </w:r>
      <w:r>
        <w:rPr>
          <w:rFonts w:ascii="Arial" w:hAnsi="Arial" w:eastAsia="华文楷体" w:cs="Arial"/>
          <w:color w:val="000000" w:themeColor="text1"/>
          <w:sz w:val="28"/>
          <w:szCs w:val="28"/>
          <w:lang w:val="zh-CN"/>
          <w14:textFill>
            <w14:solidFill>
              <w14:schemeClr w14:val="tx1"/>
            </w14:solidFill>
          </w14:textFill>
        </w:rPr>
        <w:t>应根据估价对</w:t>
      </w:r>
      <w:r>
        <w:rPr>
          <w:rFonts w:hint="eastAsia" w:ascii="Arial" w:hAnsi="Arial" w:eastAsia="华文楷体" w:cs="Arial"/>
          <w:color w:val="000000" w:themeColor="text1"/>
          <w:sz w:val="28"/>
          <w:szCs w:val="28"/>
          <w:lang w:val="zh-CN"/>
          <w14:textFill>
            <w14:solidFill>
              <w14:schemeClr w14:val="tx1"/>
            </w14:solidFill>
          </w14:textFill>
        </w:rPr>
        <w:t>象</w:t>
      </w:r>
      <w:r>
        <w:rPr>
          <w:rFonts w:ascii="Arial" w:hAnsi="Arial" w:eastAsia="华文楷体" w:cs="Arial"/>
          <w:color w:val="000000" w:themeColor="text1"/>
          <w:sz w:val="28"/>
          <w:szCs w:val="28"/>
          <w:lang w:val="zh-CN"/>
          <w14:textFill>
            <w14:solidFill>
              <w14:schemeClr w14:val="tx1"/>
            </w14:solidFill>
          </w14:textFill>
        </w:rPr>
        <w:t>及其所在地的房地产市场状况等客观条件，对比较法、收益法、成本法、假设开发法等估价方法进行适用性分析</w:t>
      </w:r>
      <w:r>
        <w:rPr>
          <w:rFonts w:hint="eastAsia" w:ascii="Arial" w:hAnsi="Arial" w:eastAsia="华文楷体" w:cs="Arial"/>
          <w:color w:val="000000" w:themeColor="text1"/>
          <w:sz w:val="28"/>
          <w:szCs w:val="28"/>
          <w:lang w:val="zh-CN"/>
          <w14:textFill>
            <w14:solidFill>
              <w14:schemeClr w14:val="tx1"/>
            </w14:solidFill>
          </w14:textFill>
        </w:rPr>
        <w:t>。</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lang w:val="zh-CN"/>
          <w14:textFill>
            <w14:solidFill>
              <w14:schemeClr w14:val="tx1"/>
            </w14:solidFill>
          </w14:textFill>
        </w:rPr>
        <w:t>近一年时间内，估价对象同质可比区域交易案例很少，评估专业人员调查到2个交易实例，一处为</w:t>
      </w:r>
      <w:r>
        <w:rPr>
          <w:rFonts w:hint="eastAsia" w:ascii="Arial" w:hAnsi="Arial" w:eastAsia="华文楷体" w:cs="Arial"/>
          <w:color w:val="000000" w:themeColor="text1"/>
          <w:sz w:val="28"/>
          <w:szCs w:val="28"/>
          <w14:textFill>
            <w14:solidFill>
              <w14:schemeClr w14:val="tx1"/>
            </w14:solidFill>
          </w14:textFill>
        </w:rPr>
        <w:t>-1至1层商业用房、一处为1层复式商业用房，面积均不超过5</w:t>
      </w:r>
      <w:r>
        <w:rPr>
          <w:rFonts w:ascii="Arial" w:hAnsi="Arial" w:eastAsia="华文楷体" w:cs="Arial"/>
          <w:color w:val="000000" w:themeColor="text1"/>
          <w:sz w:val="28"/>
          <w:szCs w:val="28"/>
          <w14:textFill>
            <w14:solidFill>
              <w14:schemeClr w14:val="tx1"/>
            </w14:solidFill>
          </w14:textFill>
        </w:rPr>
        <w:t>00</w:t>
      </w:r>
      <w:r>
        <w:rPr>
          <w:rFonts w:hint="eastAsia" w:ascii="Arial" w:hAnsi="Arial" w:eastAsia="华文楷体" w:cs="Arial"/>
          <w:color w:val="000000" w:themeColor="text1"/>
          <w:sz w:val="28"/>
          <w:szCs w:val="28"/>
          <w14:textFill>
            <w14:solidFill>
              <w14:schemeClr w14:val="tx1"/>
            </w14:solidFill>
          </w14:textFill>
        </w:rPr>
        <w:t>平方米，与估价对象-</w:t>
      </w:r>
      <w:r>
        <w:rPr>
          <w:rFonts w:ascii="Arial" w:hAnsi="Arial" w:eastAsia="华文楷体" w:cs="Arial"/>
          <w:color w:val="000000" w:themeColor="text1"/>
          <w:sz w:val="28"/>
          <w:szCs w:val="28"/>
          <w14:textFill>
            <w14:solidFill>
              <w14:schemeClr w14:val="tx1"/>
            </w14:solidFill>
          </w14:textFill>
        </w:rPr>
        <w:t>2</w:t>
      </w:r>
      <w:r>
        <w:rPr>
          <w:rFonts w:hint="eastAsia" w:ascii="Arial" w:hAnsi="Arial" w:eastAsia="华文楷体" w:cs="Arial"/>
          <w:color w:val="000000" w:themeColor="text1"/>
          <w:sz w:val="28"/>
          <w:szCs w:val="28"/>
          <w14:textFill>
            <w14:solidFill>
              <w14:schemeClr w14:val="tx1"/>
            </w14:solidFill>
          </w14:textFill>
        </w:rPr>
        <w:t>到2层6</w:t>
      </w:r>
      <w:r>
        <w:rPr>
          <w:rFonts w:ascii="Arial" w:hAnsi="Arial" w:eastAsia="华文楷体" w:cs="Arial"/>
          <w:color w:val="000000" w:themeColor="text1"/>
          <w:sz w:val="28"/>
          <w:szCs w:val="28"/>
          <w14:textFill>
            <w14:solidFill>
              <w14:schemeClr w14:val="tx1"/>
            </w14:solidFill>
          </w14:textFill>
        </w:rPr>
        <w:t>592.62</w:t>
      </w:r>
      <w:r>
        <w:rPr>
          <w:rFonts w:hint="eastAsia" w:ascii="Arial" w:hAnsi="Arial" w:eastAsia="华文楷体" w:cs="Arial"/>
          <w:color w:val="000000" w:themeColor="text1"/>
          <w:sz w:val="28"/>
          <w:szCs w:val="28"/>
          <w14:textFill>
            <w14:solidFill>
              <w14:schemeClr w14:val="tx1"/>
            </w14:solidFill>
          </w14:textFill>
        </w:rPr>
        <w:t>平方米差异较大，同时不满足3个可比实例的条件，因此无法选用比较法。</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成本法是测算估价对象在价值时点的重置成本或重建成本和折旧，将重置成本或重建成本减去折旧得到估价对象价值或价格的方法。</w:t>
      </w:r>
      <w:r>
        <w:rPr>
          <w:rFonts w:ascii="Arial" w:hAnsi="Arial" w:eastAsia="华文楷体" w:cs="Arial"/>
          <w:color w:val="000000" w:themeColor="text1"/>
          <w:sz w:val="28"/>
          <w:szCs w:val="28"/>
          <w:lang w:val="zh-CN"/>
          <w14:textFill>
            <w14:solidFill>
              <w14:schemeClr w14:val="tx1"/>
            </w14:solidFill>
          </w14:textFill>
        </w:rPr>
        <w:t>估价对象</w:t>
      </w:r>
      <w:r>
        <w:rPr>
          <w:rFonts w:hint="eastAsia" w:ascii="Arial" w:hAnsi="Arial" w:eastAsia="华文楷体" w:cs="Arial"/>
          <w:color w:val="000000" w:themeColor="text1"/>
          <w:sz w:val="28"/>
          <w:szCs w:val="28"/>
          <w:lang w:val="zh-CN"/>
          <w14:textFill>
            <w14:solidFill>
              <w14:schemeClr w14:val="tx1"/>
            </w14:solidFill>
          </w14:textFill>
        </w:rPr>
        <w:t>为</w:t>
      </w:r>
      <w:r>
        <w:rPr>
          <w:rFonts w:ascii="Arial" w:hAnsi="Arial" w:eastAsia="华文楷体" w:cs="Arial"/>
          <w:color w:val="000000" w:themeColor="text1"/>
          <w:sz w:val="28"/>
          <w:szCs w:val="28"/>
          <w:lang w:val="zh-CN"/>
          <w14:textFill>
            <w14:solidFill>
              <w14:schemeClr w14:val="tx1"/>
            </w14:solidFill>
          </w14:textFill>
        </w:rPr>
        <w:t>已建成房地产，</w:t>
      </w:r>
      <w:r>
        <w:rPr>
          <w:rFonts w:hint="eastAsia" w:ascii="Arial" w:hAnsi="Arial" w:eastAsia="华文楷体" w:cs="Arial"/>
          <w:color w:val="000000" w:themeColor="text1"/>
          <w:sz w:val="28"/>
          <w:szCs w:val="28"/>
          <w:lang w:val="zh-CN"/>
          <w14:textFill>
            <w14:solidFill>
              <w14:schemeClr w14:val="tx1"/>
            </w14:solidFill>
          </w14:textFill>
        </w:rPr>
        <w:t>其成本价格包括土地重置价格和建筑物重置价格。由于该区域近年来已无土地招拍挂成交案例，土地价格采用基准地价系数修正法进行求取。北京市人民政府于</w:t>
      </w:r>
      <w:r>
        <w:rPr>
          <w:rFonts w:hint="eastAsia" w:ascii="Arial" w:hAnsi="Arial" w:eastAsia="华文楷体" w:cs="Arial"/>
          <w:color w:val="000000" w:themeColor="text1"/>
          <w:sz w:val="28"/>
          <w:szCs w:val="28"/>
          <w14:textFill>
            <w14:solidFill>
              <w14:schemeClr w14:val="tx1"/>
            </w14:solidFill>
          </w14:textFill>
        </w:rPr>
        <w:t>2022年3月14日发布了</w:t>
      </w:r>
      <w:r>
        <w:rPr>
          <w:rFonts w:ascii="Arial" w:hAnsi="Arial" w:eastAsia="华文楷体" w:cs="Arial"/>
          <w:color w:val="000000" w:themeColor="text1"/>
          <w:sz w:val="28"/>
          <w:szCs w:val="28"/>
          <w:lang w:val="zh-CN"/>
          <w14:textFill>
            <w14:solidFill>
              <w14:schemeClr w14:val="tx1"/>
            </w14:solidFill>
          </w14:textFill>
        </w:rPr>
        <w:t>《北京市人民政府关于更新出让国有建设用地使用权基准地价的通知》[京政发[20</w:t>
      </w:r>
      <w:r>
        <w:rPr>
          <w:rFonts w:hint="eastAsia" w:ascii="Arial" w:hAnsi="Arial" w:eastAsia="华文楷体" w:cs="Arial"/>
          <w:color w:val="000000" w:themeColor="text1"/>
          <w:sz w:val="28"/>
          <w:szCs w:val="28"/>
          <w:lang w:val="zh-CN"/>
          <w14:textFill>
            <w14:solidFill>
              <w14:schemeClr w14:val="tx1"/>
            </w14:solidFill>
          </w14:textFill>
        </w:rPr>
        <w:t>22</w:t>
      </w:r>
      <w:r>
        <w:rPr>
          <w:rFonts w:ascii="Arial" w:hAnsi="Arial" w:eastAsia="华文楷体" w:cs="Arial"/>
          <w:color w:val="000000" w:themeColor="text1"/>
          <w:sz w:val="28"/>
          <w:szCs w:val="28"/>
          <w:lang w:val="zh-CN"/>
          <w14:textFill>
            <w14:solidFill>
              <w14:schemeClr w14:val="tx1"/>
            </w14:solidFill>
          </w14:textFill>
        </w:rPr>
        <w:t>]</w:t>
      </w:r>
      <w:r>
        <w:rPr>
          <w:rFonts w:hint="eastAsia" w:ascii="Arial" w:hAnsi="Arial" w:eastAsia="华文楷体" w:cs="Arial"/>
          <w:color w:val="000000" w:themeColor="text1"/>
          <w:sz w:val="28"/>
          <w:szCs w:val="28"/>
          <w:lang w:val="zh-CN"/>
          <w14:textFill>
            <w14:solidFill>
              <w14:schemeClr w14:val="tx1"/>
            </w14:solidFill>
          </w14:textFill>
        </w:rPr>
        <w:t>12</w:t>
      </w:r>
      <w:r>
        <w:rPr>
          <w:rFonts w:ascii="Arial" w:hAnsi="Arial" w:eastAsia="华文楷体" w:cs="Arial"/>
          <w:color w:val="000000" w:themeColor="text1"/>
          <w:sz w:val="28"/>
          <w:szCs w:val="28"/>
          <w:lang w:val="zh-CN"/>
          <w14:textFill>
            <w14:solidFill>
              <w14:schemeClr w14:val="tx1"/>
            </w14:solidFill>
          </w14:textFill>
        </w:rPr>
        <w:t>号]</w:t>
      </w:r>
      <w:r>
        <w:rPr>
          <w:rFonts w:hint="eastAsia" w:ascii="Arial" w:hAnsi="Arial" w:eastAsia="华文楷体" w:cs="Arial"/>
          <w:color w:val="000000" w:themeColor="text1"/>
          <w:sz w:val="28"/>
          <w:szCs w:val="28"/>
          <w:lang w:val="zh-CN"/>
          <w14:textFill>
            <w14:solidFill>
              <w14:schemeClr w14:val="tx1"/>
            </w14:solidFill>
          </w14:textFill>
        </w:rPr>
        <w:t>，距价值时点较近，能够较为准确的反映估价对象的土地市场价格水平，同时采用符合市场的建造成本，因此</w:t>
      </w:r>
      <w:r>
        <w:rPr>
          <w:rFonts w:ascii="Arial" w:hAnsi="Arial" w:eastAsia="华文楷体" w:cs="Arial"/>
          <w:color w:val="000000" w:themeColor="text1"/>
          <w:sz w:val="28"/>
          <w:szCs w:val="28"/>
          <w:lang w:val="zh-CN"/>
          <w14:textFill>
            <w14:solidFill>
              <w14:schemeClr w14:val="tx1"/>
            </w14:solidFill>
          </w14:textFill>
        </w:rPr>
        <w:t>成本法</w:t>
      </w:r>
      <w:r>
        <w:rPr>
          <w:rFonts w:hint="eastAsia" w:ascii="Arial" w:hAnsi="Arial" w:eastAsia="华文楷体" w:cs="Arial"/>
          <w:color w:val="000000" w:themeColor="text1"/>
          <w:sz w:val="28"/>
          <w:szCs w:val="28"/>
          <w:lang w:val="zh-CN"/>
          <w14:textFill>
            <w14:solidFill>
              <w14:schemeClr w14:val="tx1"/>
            </w14:solidFill>
          </w14:textFill>
        </w:rPr>
        <w:t>可以</w:t>
      </w:r>
      <w:r>
        <w:rPr>
          <w:rFonts w:ascii="Arial" w:hAnsi="Arial" w:eastAsia="华文楷体" w:cs="Arial"/>
          <w:color w:val="000000" w:themeColor="text1"/>
          <w:sz w:val="28"/>
          <w:szCs w:val="28"/>
          <w:lang w:val="zh-CN"/>
          <w14:textFill>
            <w14:solidFill>
              <w14:schemeClr w14:val="tx1"/>
            </w14:solidFill>
          </w14:textFill>
        </w:rPr>
        <w:t>较为准确地反映</w:t>
      </w:r>
      <w:r>
        <w:rPr>
          <w:rFonts w:hint="eastAsia" w:ascii="Arial" w:hAnsi="Arial" w:eastAsia="华文楷体" w:cs="Arial"/>
          <w:color w:val="000000" w:themeColor="text1"/>
          <w:sz w:val="28"/>
          <w:szCs w:val="28"/>
          <w:lang w:val="zh-CN"/>
          <w14:textFill>
            <w14:solidFill>
              <w14:schemeClr w14:val="tx1"/>
            </w14:solidFill>
          </w14:textFill>
        </w:rPr>
        <w:t>估价对象</w:t>
      </w:r>
      <w:r>
        <w:rPr>
          <w:rFonts w:ascii="Arial" w:hAnsi="Arial" w:eastAsia="华文楷体" w:cs="Arial"/>
          <w:color w:val="000000" w:themeColor="text1"/>
          <w:sz w:val="28"/>
          <w:szCs w:val="28"/>
          <w:lang w:val="zh-CN"/>
          <w14:textFill>
            <w14:solidFill>
              <w14:schemeClr w14:val="tx1"/>
            </w14:solidFill>
          </w14:textFill>
        </w:rPr>
        <w:t>的</w:t>
      </w:r>
      <w:r>
        <w:rPr>
          <w:rFonts w:hint="eastAsia" w:ascii="Arial" w:hAnsi="Arial" w:eastAsia="华文楷体" w:cs="Arial"/>
          <w:color w:val="000000" w:themeColor="text1"/>
          <w:sz w:val="28"/>
          <w:szCs w:val="28"/>
          <w:lang w:val="zh-CN"/>
          <w14:textFill>
            <w14:solidFill>
              <w14:schemeClr w14:val="tx1"/>
            </w14:solidFill>
          </w14:textFill>
        </w:rPr>
        <w:t>市场</w:t>
      </w:r>
      <w:r>
        <w:rPr>
          <w:rFonts w:ascii="Arial" w:hAnsi="Arial" w:eastAsia="华文楷体" w:cs="Arial"/>
          <w:color w:val="000000" w:themeColor="text1"/>
          <w:sz w:val="28"/>
          <w:szCs w:val="28"/>
          <w:lang w:val="zh-CN"/>
          <w14:textFill>
            <w14:solidFill>
              <w14:schemeClr w14:val="tx1"/>
            </w14:solidFill>
          </w14:textFill>
        </w:rPr>
        <w:t>价格</w:t>
      </w:r>
      <w:r>
        <w:rPr>
          <w:rFonts w:hint="eastAsia" w:ascii="Arial" w:hAnsi="Arial" w:eastAsia="华文楷体" w:cs="Arial"/>
          <w:color w:val="000000" w:themeColor="text1"/>
          <w:sz w:val="28"/>
          <w:szCs w:val="28"/>
          <w:lang w:val="zh-CN"/>
          <w14:textFill>
            <w14:solidFill>
              <w14:schemeClr w14:val="tx1"/>
            </w14:solidFill>
          </w14:textFill>
        </w:rPr>
        <w:t>水平。</w:t>
      </w:r>
    </w:p>
    <w:p>
      <w:pPr>
        <w:spacing w:line="480" w:lineRule="auto"/>
        <w:ind w:firstLine="560"/>
        <w:contextualSpacing/>
        <w:jc w:val="both"/>
        <w:rPr>
          <w:rFonts w:ascii="Arial" w:hAnsi="Arial" w:eastAsia="华文楷体" w:cs="Arial"/>
          <w:color w:val="000000" w:themeColor="text1"/>
          <w:sz w:val="28"/>
          <w:szCs w:val="28"/>
          <w:lang w:val="zh-CN"/>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我公司遵循估价原则、依照估价程序、根据估价目的、结合估价对象的具体情况，</w:t>
      </w:r>
      <w:r>
        <w:rPr>
          <w:rFonts w:hint="eastAsia" w:ascii="Arial" w:hAnsi="Arial" w:eastAsia="华文楷体" w:cs="Arial"/>
          <w:color w:val="000000" w:themeColor="text1"/>
          <w:sz w:val="28"/>
          <w:szCs w:val="28"/>
          <w14:textFill>
            <w14:solidFill>
              <w14:schemeClr w14:val="tx1"/>
            </w14:solidFill>
          </w14:textFill>
        </w:rPr>
        <w:t>选用</w:t>
      </w:r>
      <w:r>
        <w:rPr>
          <w:rFonts w:ascii="Arial" w:hAnsi="Arial" w:eastAsia="华文楷体" w:cs="Arial"/>
          <w:color w:val="000000" w:themeColor="text1"/>
          <w:sz w:val="28"/>
          <w:szCs w:val="28"/>
          <w14:textFill>
            <w14:solidFill>
              <w14:schemeClr w14:val="tx1"/>
            </w14:solidFill>
          </w14:textFill>
        </w:rPr>
        <w:t>成本法和收益法为适用的估价方法。</w:t>
      </w:r>
    </w:p>
    <w:p>
      <w:pPr>
        <w:spacing w:line="480" w:lineRule="auto"/>
        <w:ind w:firstLine="560"/>
        <w:contextualSpacing/>
        <w:jc w:val="both"/>
        <w:rPr>
          <w:rFonts w:ascii="Arial" w:hAnsi="Arial" w:eastAsia="华文楷体" w:cs="Arial"/>
          <w:b/>
          <w:color w:val="000000" w:themeColor="text1"/>
          <w:sz w:val="28"/>
          <w:szCs w:val="28"/>
          <w14:textFill>
            <w14:solidFill>
              <w14:schemeClr w14:val="tx1"/>
            </w14:solidFill>
          </w14:textFill>
        </w:rPr>
      </w:pP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异议二：《评估报告》对于估价对象的评定价值明显过低，远低于所在区域板块的真实市场价值，甚至低于较偏远区域的商业成交价格，而且未考虑估价对象为一个整体商业环境和整体使用功能的因素。</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答复2：</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异议中提供若干项目的销售案例作为比较，经查询北京市住建委网和中指数据信息系统进行核实，小悦中心项目，在区域位置上，与估价对象最为接近且可比，但成交日期为2016年1月及4月，与我司评估报告时点相去甚远，建筑面积为264.31及243.1㎡，完全不具可比性。和悦园、利锦新苑、华瀚福园均位于东坝地区，距估价对象距离较远，不属于可比区域，利锦新苑成交单位面积在5</w:t>
      </w:r>
      <w:r>
        <w:rPr>
          <w:rFonts w:ascii="Arial" w:hAnsi="Arial" w:eastAsia="华文楷体" w:cs="Arial"/>
          <w:color w:val="000000" w:themeColor="text1"/>
          <w:sz w:val="28"/>
          <w:szCs w:val="28"/>
          <w14:textFill>
            <w14:solidFill>
              <w14:schemeClr w14:val="tx1"/>
            </w14:solidFill>
          </w14:textFill>
        </w:rPr>
        <w:t>4-128</w:t>
      </w:r>
      <w:r>
        <w:rPr>
          <w:rFonts w:hint="eastAsia" w:ascii="Arial" w:hAnsi="Arial" w:eastAsia="华文楷体" w:cs="Arial"/>
          <w:color w:val="000000" w:themeColor="text1"/>
          <w:sz w:val="28"/>
          <w:szCs w:val="28"/>
          <w14:textFill>
            <w14:solidFill>
              <w14:schemeClr w14:val="tx1"/>
            </w14:solidFill>
          </w14:textFill>
        </w:rPr>
        <w:t>平方米，华瀚福园成交单位面积在</w:t>
      </w:r>
      <w:r>
        <w:rPr>
          <w:rFonts w:ascii="Arial" w:hAnsi="Arial" w:eastAsia="华文楷体" w:cs="Arial"/>
          <w:color w:val="000000" w:themeColor="text1"/>
          <w:sz w:val="28"/>
          <w:szCs w:val="28"/>
          <w14:textFill>
            <w14:solidFill>
              <w14:schemeClr w14:val="tx1"/>
            </w14:solidFill>
          </w14:textFill>
        </w:rPr>
        <w:t>65-475</w:t>
      </w:r>
      <w:r>
        <w:rPr>
          <w:rFonts w:hint="eastAsia" w:ascii="Arial" w:hAnsi="Arial" w:eastAsia="华文楷体" w:cs="Arial"/>
          <w:color w:val="000000" w:themeColor="text1"/>
          <w:sz w:val="28"/>
          <w:szCs w:val="28"/>
          <w14:textFill>
            <w14:solidFill>
              <w14:schemeClr w14:val="tx1"/>
            </w14:solidFill>
          </w14:textFill>
        </w:rPr>
        <w:t>平方米，建筑规模与估价对象相差较大；利锦园接近常营地区，距估价对象距离较远，且建筑面积在20-120㎡不等，建筑规模与估价对象相差较大。以上案例从建筑规模、位置、交易时间等方面均不能作为估价对象的可比案例，其成交价亦不具备参考性。（上述案例查询结果详见附件）</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w:t>
      </w:r>
      <w:r>
        <w:rPr>
          <w:rFonts w:hint="eastAsia" w:ascii="Arial" w:hAnsi="Arial" w:eastAsia="华文楷体" w:cs="Arial"/>
          <w:color w:val="000000" w:themeColor="text1"/>
          <w:kern w:val="2"/>
          <w:sz w:val="28"/>
          <w:szCs w:val="28"/>
          <w14:textFill>
            <w14:solidFill>
              <w14:schemeClr w14:val="tx1"/>
            </w14:solidFill>
          </w14:textFill>
        </w:rPr>
        <w:t>2</w:t>
      </w:r>
      <w:r>
        <w:rPr>
          <w:rFonts w:ascii="Arial" w:hAnsi="Arial" w:eastAsia="华文楷体" w:cs="Arial"/>
          <w:color w:val="000000" w:themeColor="text1"/>
          <w:kern w:val="2"/>
          <w:sz w:val="28"/>
          <w:szCs w:val="28"/>
          <w14:textFill>
            <w14:solidFill>
              <w14:schemeClr w14:val="tx1"/>
            </w14:solidFill>
          </w14:textFill>
        </w:rPr>
        <w:t>）</w:t>
      </w:r>
      <w:r>
        <w:rPr>
          <w:rFonts w:ascii="Arial" w:hAnsi="Arial" w:eastAsia="华文楷体" w:cs="Arial"/>
          <w:color w:val="000000" w:themeColor="text1"/>
          <w:sz w:val="28"/>
          <w:szCs w:val="28"/>
          <w14:textFill>
            <w14:solidFill>
              <w14:schemeClr w14:val="tx1"/>
            </w14:solidFill>
          </w14:textFill>
        </w:rPr>
        <w:t>我公司根据估价对象9处房产所处的楼层、部位，以及租约的租金价格水平、租期长短等具体情况，严格遵循《房地产估价规范》（GB/T50291-2015），全面考虑影响价格的因素，调研了市场行情的基础上，做出的在估价时点的符合正常市场水平的估价结果。</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根据估价委托人确认，本次评估按整体测算估价对象评估价值，无需分层计算，现根据各层修正系数对估价对象各层评估价值进行拆分，具体情况详见下表：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714"/>
        <w:gridCol w:w="2361"/>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981"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楼层</w:t>
            </w:r>
          </w:p>
        </w:tc>
        <w:tc>
          <w:tcPr>
            <w:tcW w:w="1714"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建筑面积（㎡）</w:t>
            </w:r>
          </w:p>
        </w:tc>
        <w:tc>
          <w:tcPr>
            <w:tcW w:w="2361"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评估价值单价（元/㎡）</w:t>
            </w:r>
          </w:p>
        </w:tc>
        <w:tc>
          <w:tcPr>
            <w:tcW w:w="2703" w:type="dxa"/>
            <w:vAlign w:val="center"/>
          </w:tcPr>
          <w:p>
            <w:pPr>
              <w:adjustRightInd w:val="0"/>
              <w:snapToGrid w:val="0"/>
              <w:contextualSpacing/>
              <w:jc w:val="center"/>
              <w:rPr>
                <w:rFonts w:ascii="华文细黑" w:hAnsi="华文细黑" w:eastAsia="华文细黑" w:cs="华文细黑"/>
                <w:color w:val="000000" w:themeColor="text1"/>
                <w:sz w:val="18"/>
                <w:szCs w:val="18"/>
                <w14:textFill>
                  <w14:solidFill>
                    <w14:schemeClr w14:val="tx1"/>
                  </w14:solidFill>
                </w14:textFill>
              </w:rPr>
            </w:pPr>
            <w:r>
              <w:rPr>
                <w:rFonts w:hint="eastAsia" w:ascii="华文细黑" w:hAnsi="华文细黑" w:eastAsia="华文细黑" w:cs="华文细黑"/>
                <w:color w:val="000000" w:themeColor="text1"/>
                <w:sz w:val="18"/>
                <w:szCs w:val="18"/>
                <w14:textFill>
                  <w14:solidFill>
                    <w14:schemeClr w14:val="tx1"/>
                  </w14:solidFill>
                </w14:textFill>
              </w:rPr>
              <w:t>评估价值总价（万元）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B2</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874.94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7989</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B1</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1432.04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13316</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2052.5</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53263</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2233.14</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29295</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6542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8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ascii="Arial" w:hAnsi="Arial" w:eastAsia="华文细黑" w:cs="Arial"/>
                <w:color w:val="000000" w:themeColor="text1"/>
                <w:sz w:val="18"/>
                <w:szCs w:val="18"/>
                <w14:textFill>
                  <w14:solidFill>
                    <w14:schemeClr w14:val="tx1"/>
                  </w14:solidFill>
                </w14:textFill>
              </w:rPr>
              <w:t>整体</w:t>
            </w:r>
          </w:p>
        </w:tc>
        <w:tc>
          <w:tcPr>
            <w:tcW w:w="1714"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6592.62</w:t>
            </w:r>
          </w:p>
        </w:tc>
        <w:tc>
          <w:tcPr>
            <w:tcW w:w="2361"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30458</w:t>
            </w:r>
          </w:p>
        </w:tc>
        <w:tc>
          <w:tcPr>
            <w:tcW w:w="2703" w:type="dxa"/>
            <w:vAlign w:val="center"/>
          </w:tcPr>
          <w:p>
            <w:pPr>
              <w:adjustRightInd w:val="0"/>
              <w:snapToGrid w:val="0"/>
              <w:contextualSpacing/>
              <w:jc w:val="center"/>
              <w:rPr>
                <w:rFonts w:ascii="Arial" w:hAnsi="Arial" w:eastAsia="华文细黑" w:cs="Arial"/>
                <w:color w:val="000000" w:themeColor="text1"/>
                <w:sz w:val="18"/>
                <w:szCs w:val="18"/>
                <w14:textFill>
                  <w14:solidFill>
                    <w14:schemeClr w14:val="tx1"/>
                  </w14:solidFill>
                </w14:textFill>
              </w:rPr>
            </w:pPr>
            <w:r>
              <w:rPr>
                <w:rFonts w:hint="eastAsia" w:ascii="Arial" w:hAnsi="Arial" w:eastAsia="华文细黑" w:cs="Arial"/>
                <w:color w:val="000000" w:themeColor="text1"/>
                <w:sz w:val="18"/>
                <w:szCs w:val="18"/>
                <w14:textFill>
                  <w14:solidFill>
                    <w14:schemeClr w14:val="tx1"/>
                  </w14:solidFill>
                </w14:textFill>
              </w:rPr>
              <w:t>20080</w:t>
            </w:r>
          </w:p>
        </w:tc>
      </w:tr>
    </w:tbl>
    <w:p/>
    <w:p>
      <w:pPr>
        <w:jc w:val="both"/>
        <w:rPr>
          <w:rFonts w:ascii="Arial" w:hAnsi="Arial" w:eastAsia="华文楷体" w:cs="Arial"/>
          <w:color w:val="000000" w:themeColor="text1"/>
          <w:sz w:val="28"/>
          <w:szCs w:val="28"/>
          <w14:textFill>
            <w14:solidFill>
              <w14:schemeClr w14:val="tx1"/>
            </w14:solidFill>
          </w14:textFill>
        </w:rPr>
      </w:pPr>
      <w:r>
        <w:rPr>
          <w:rFonts w:hint="eastAsia"/>
        </w:rPr>
        <w:t xml:space="preserve"> </w:t>
      </w:r>
      <w:r>
        <w:t xml:space="preserve">         </w:t>
      </w:r>
      <w:r>
        <w:rPr>
          <w:rFonts w:hint="eastAsia" w:ascii="Arial" w:hAnsi="Arial" w:eastAsia="华文楷体" w:cs="Arial"/>
          <w:color w:val="000000" w:themeColor="text1"/>
          <w:sz w:val="28"/>
          <w:szCs w:val="28"/>
          <w14:textFill>
            <w14:solidFill>
              <w14:schemeClr w14:val="tx1"/>
            </w14:solidFill>
          </w14:textFill>
        </w:rPr>
        <w:t>估价对象一层建筑面积2</w:t>
      </w:r>
      <w:r>
        <w:rPr>
          <w:rFonts w:ascii="Arial" w:hAnsi="Arial" w:eastAsia="华文楷体" w:cs="Arial"/>
          <w:color w:val="000000" w:themeColor="text1"/>
          <w:sz w:val="28"/>
          <w:szCs w:val="28"/>
          <w14:textFill>
            <w14:solidFill>
              <w14:schemeClr w14:val="tx1"/>
            </w14:solidFill>
          </w14:textFill>
        </w:rPr>
        <w:t>052.5</w:t>
      </w:r>
      <w:r>
        <w:rPr>
          <w:rFonts w:hint="eastAsia" w:ascii="Arial" w:hAnsi="Arial" w:eastAsia="华文楷体" w:cs="Arial"/>
          <w:color w:val="000000" w:themeColor="text1"/>
          <w:sz w:val="28"/>
          <w:szCs w:val="28"/>
          <w14:textFill>
            <w14:solidFill>
              <w14:schemeClr w14:val="tx1"/>
            </w14:solidFill>
          </w14:textFill>
        </w:rPr>
        <w:t>平方米，现有租约租金为1</w:t>
      </w:r>
      <w:r>
        <w:rPr>
          <w:rFonts w:ascii="Arial" w:hAnsi="Arial" w:eastAsia="华文楷体" w:cs="Arial"/>
          <w:color w:val="000000" w:themeColor="text1"/>
          <w:sz w:val="28"/>
          <w:szCs w:val="28"/>
          <w14:textFill>
            <w14:solidFill>
              <w14:schemeClr w14:val="tx1"/>
            </w14:solidFill>
          </w14:textFill>
        </w:rPr>
        <w:t>2-22</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平方米·天，评估结果为5</w:t>
      </w:r>
      <w:r>
        <w:rPr>
          <w:rFonts w:ascii="Arial" w:hAnsi="Arial" w:eastAsia="华文楷体" w:cs="Arial"/>
          <w:color w:val="000000" w:themeColor="text1"/>
          <w:sz w:val="28"/>
          <w:szCs w:val="28"/>
          <w14:textFill>
            <w14:solidFill>
              <w14:schemeClr w14:val="tx1"/>
            </w14:solidFill>
          </w14:textFill>
        </w:rPr>
        <w:t>3263</w:t>
      </w:r>
      <w:r>
        <w:rPr>
          <w:rFonts w:hint="eastAsia" w:ascii="Arial" w:hAnsi="Arial" w:eastAsia="华文楷体" w:cs="Arial"/>
          <w:color w:val="000000" w:themeColor="text1"/>
          <w:sz w:val="28"/>
          <w:szCs w:val="28"/>
          <w14:textFill>
            <w14:solidFill>
              <w14:schemeClr w14:val="tx1"/>
            </w14:solidFill>
          </w14:textFill>
        </w:rPr>
        <w:t>元/平方米；二层建筑面积2</w:t>
      </w:r>
      <w:r>
        <w:rPr>
          <w:rFonts w:ascii="Arial" w:hAnsi="Arial" w:eastAsia="华文楷体" w:cs="Arial"/>
          <w:color w:val="000000" w:themeColor="text1"/>
          <w:sz w:val="28"/>
          <w:szCs w:val="28"/>
          <w14:textFill>
            <w14:solidFill>
              <w14:schemeClr w14:val="tx1"/>
            </w14:solidFill>
          </w14:textFill>
        </w:rPr>
        <w:t>233.14</w:t>
      </w:r>
      <w:r>
        <w:rPr>
          <w:rFonts w:hint="eastAsia" w:ascii="Arial" w:hAnsi="Arial" w:eastAsia="华文楷体" w:cs="Arial"/>
          <w:color w:val="000000" w:themeColor="text1"/>
          <w:sz w:val="28"/>
          <w:szCs w:val="28"/>
          <w14:textFill>
            <w14:solidFill>
              <w14:schemeClr w14:val="tx1"/>
            </w14:solidFill>
          </w14:textFill>
        </w:rPr>
        <w:t>平方米，现有租约租金为6</w:t>
      </w:r>
      <w:r>
        <w:rPr>
          <w:rFonts w:ascii="Arial" w:hAnsi="Arial" w:eastAsia="华文楷体" w:cs="Arial"/>
          <w:color w:val="000000" w:themeColor="text1"/>
          <w:sz w:val="28"/>
          <w:szCs w:val="28"/>
          <w14:textFill>
            <w14:solidFill>
              <w14:schemeClr w14:val="tx1"/>
            </w14:solidFill>
          </w14:textFill>
        </w:rPr>
        <w:t>.8</w:t>
      </w:r>
      <w:r>
        <w:rPr>
          <w:rFonts w:hint="eastAsia" w:ascii="Arial" w:hAnsi="Arial" w:eastAsia="华文楷体" w:cs="Arial"/>
          <w:color w:val="000000" w:themeColor="text1"/>
          <w:sz w:val="28"/>
          <w:szCs w:val="28"/>
          <w14:textFill>
            <w14:solidFill>
              <w14:schemeClr w14:val="tx1"/>
            </w14:solidFill>
          </w14:textFill>
        </w:rPr>
        <w:t>—8</w:t>
      </w:r>
      <w:r>
        <w:rPr>
          <w:rFonts w:ascii="Arial" w:hAnsi="Arial" w:eastAsia="华文楷体" w:cs="Arial"/>
          <w:color w:val="000000" w:themeColor="text1"/>
          <w:sz w:val="28"/>
          <w:szCs w:val="28"/>
          <w14:textFill>
            <w14:solidFill>
              <w14:schemeClr w14:val="tx1"/>
            </w14:solidFill>
          </w14:textFill>
        </w:rPr>
        <w:t>.5</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w:t>
      </w:r>
      <w:r>
        <w:rPr>
          <w:rFonts w:ascii="Arial" w:hAnsi="Arial" w:eastAsia="华文楷体" w:cs="Arial"/>
          <w:color w:val="000000" w:themeColor="text1"/>
          <w:sz w:val="28"/>
          <w:szCs w:val="28"/>
          <w14:textFill>
            <w14:solidFill>
              <w14:schemeClr w14:val="tx1"/>
            </w14:solidFill>
          </w14:textFill>
        </w:rPr>
        <w:t>29295</w:t>
      </w:r>
      <w:r>
        <w:rPr>
          <w:rFonts w:hint="eastAsia" w:ascii="Arial" w:hAnsi="Arial" w:eastAsia="华文楷体" w:cs="Arial"/>
          <w:color w:val="000000" w:themeColor="text1"/>
          <w:sz w:val="28"/>
          <w:szCs w:val="28"/>
          <w14:textFill>
            <w14:solidFill>
              <w14:schemeClr w14:val="tx1"/>
            </w14:solidFill>
          </w14:textFill>
        </w:rPr>
        <w:t>元/平方米；地下一层建筑面积1</w:t>
      </w:r>
      <w:r>
        <w:rPr>
          <w:rFonts w:ascii="Arial" w:hAnsi="Arial" w:eastAsia="华文楷体" w:cs="Arial"/>
          <w:color w:val="000000" w:themeColor="text1"/>
          <w:sz w:val="28"/>
          <w:szCs w:val="28"/>
          <w14:textFill>
            <w14:solidFill>
              <w14:schemeClr w14:val="tx1"/>
            </w14:solidFill>
          </w14:textFill>
        </w:rPr>
        <w:t>432.04</w:t>
      </w:r>
      <w:r>
        <w:rPr>
          <w:rFonts w:hint="eastAsia" w:ascii="Arial" w:hAnsi="Arial" w:eastAsia="华文楷体" w:cs="Arial"/>
          <w:color w:val="000000" w:themeColor="text1"/>
          <w:sz w:val="28"/>
          <w:szCs w:val="28"/>
          <w14:textFill>
            <w14:solidFill>
              <w14:schemeClr w14:val="tx1"/>
            </w14:solidFill>
          </w14:textFill>
        </w:rPr>
        <w:t>平方米，现有租约租金为1</w:t>
      </w:r>
      <w:r>
        <w:rPr>
          <w:rFonts w:ascii="Arial" w:hAnsi="Arial" w:eastAsia="华文楷体" w:cs="Arial"/>
          <w:color w:val="000000" w:themeColor="text1"/>
          <w:sz w:val="28"/>
          <w:szCs w:val="28"/>
          <w14:textFill>
            <w14:solidFill>
              <w14:schemeClr w14:val="tx1"/>
            </w14:solidFill>
          </w14:textFill>
        </w:rPr>
        <w:t>.3</w:t>
      </w:r>
      <w:r>
        <w:rPr>
          <w:rFonts w:hint="eastAsia" w:ascii="Arial" w:hAnsi="Arial" w:eastAsia="华文楷体" w:cs="Arial"/>
          <w:color w:val="000000" w:themeColor="text1"/>
          <w:sz w:val="28"/>
          <w:szCs w:val="28"/>
          <w14:textFill>
            <w14:solidFill>
              <w14:schemeClr w14:val="tx1"/>
            </w14:solidFill>
          </w14:textFill>
        </w:rPr>
        <w:t>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w:t>
      </w:r>
      <w:r>
        <w:rPr>
          <w:rFonts w:ascii="Arial" w:hAnsi="Arial" w:eastAsia="华文楷体" w:cs="Arial"/>
          <w:color w:val="000000" w:themeColor="text1"/>
          <w:sz w:val="28"/>
          <w:szCs w:val="28"/>
          <w14:textFill>
            <w14:solidFill>
              <w14:schemeClr w14:val="tx1"/>
            </w14:solidFill>
          </w14:textFill>
        </w:rPr>
        <w:t>13316</w:t>
      </w:r>
      <w:r>
        <w:rPr>
          <w:rFonts w:hint="eastAsia" w:ascii="Arial" w:hAnsi="Arial" w:eastAsia="华文楷体" w:cs="Arial"/>
          <w:color w:val="000000" w:themeColor="text1"/>
          <w:sz w:val="28"/>
          <w:szCs w:val="28"/>
          <w14:textFill>
            <w14:solidFill>
              <w14:schemeClr w14:val="tx1"/>
            </w14:solidFill>
          </w14:textFill>
        </w:rPr>
        <w:t>元/平方米；地下二层建筑面积8</w:t>
      </w:r>
      <w:r>
        <w:rPr>
          <w:rFonts w:ascii="Arial" w:hAnsi="Arial" w:eastAsia="华文楷体" w:cs="Arial"/>
          <w:color w:val="000000" w:themeColor="text1"/>
          <w:sz w:val="28"/>
          <w:szCs w:val="28"/>
          <w14:textFill>
            <w14:solidFill>
              <w14:schemeClr w14:val="tx1"/>
            </w14:solidFill>
          </w14:textFill>
        </w:rPr>
        <w:t>74.94</w:t>
      </w:r>
      <w:r>
        <w:rPr>
          <w:rFonts w:hint="eastAsia" w:ascii="Arial" w:hAnsi="Arial" w:eastAsia="华文楷体" w:cs="Arial"/>
          <w:color w:val="000000" w:themeColor="text1"/>
          <w:sz w:val="28"/>
          <w:szCs w:val="28"/>
          <w14:textFill>
            <w14:solidFill>
              <w14:schemeClr w14:val="tx1"/>
            </w14:solidFill>
          </w14:textFill>
        </w:rPr>
        <w:t>平方米，现有租约租金为1元</w:t>
      </w:r>
      <w:r>
        <w:rPr>
          <w:rFonts w:ascii="Arial" w:hAnsi="Arial" w:eastAsia="华文楷体" w:cs="Arial"/>
          <w:color w:val="000000" w:themeColor="text1"/>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平方米·天，评估结果为7</w:t>
      </w:r>
      <w:r>
        <w:rPr>
          <w:rFonts w:ascii="Arial" w:hAnsi="Arial" w:eastAsia="华文楷体" w:cs="Arial"/>
          <w:color w:val="000000" w:themeColor="text1"/>
          <w:sz w:val="28"/>
          <w:szCs w:val="28"/>
          <w14:textFill>
            <w14:solidFill>
              <w14:schemeClr w14:val="tx1"/>
            </w14:solidFill>
          </w14:textFill>
        </w:rPr>
        <w:t>989</w:t>
      </w:r>
      <w:r>
        <w:rPr>
          <w:rFonts w:hint="eastAsia" w:ascii="Arial" w:hAnsi="Arial" w:eastAsia="华文楷体" w:cs="Arial"/>
          <w:color w:val="000000" w:themeColor="text1"/>
          <w:sz w:val="28"/>
          <w:szCs w:val="28"/>
          <w14:textFill>
            <w14:solidFill>
              <w14:schemeClr w14:val="tx1"/>
            </w14:solidFill>
          </w14:textFill>
        </w:rPr>
        <w:t>元/平方米。估价对象每层的估价结果既反映了市场租金的结果，也反映了市场价格的水平，并综合得到平均单价。也是估价对象剩余土地使用年限2</w:t>
      </w:r>
      <w:r>
        <w:rPr>
          <w:rFonts w:ascii="Arial" w:hAnsi="Arial" w:eastAsia="华文楷体" w:cs="Arial"/>
          <w:color w:val="000000" w:themeColor="text1"/>
          <w:sz w:val="28"/>
          <w:szCs w:val="28"/>
          <w14:textFill>
            <w14:solidFill>
              <w14:schemeClr w14:val="tx1"/>
            </w14:solidFill>
          </w14:textFill>
        </w:rPr>
        <w:t>1.56</w:t>
      </w:r>
      <w:r>
        <w:rPr>
          <w:rFonts w:hint="eastAsia" w:ascii="Arial" w:hAnsi="Arial" w:eastAsia="华文楷体" w:cs="Arial"/>
          <w:color w:val="000000" w:themeColor="text1"/>
          <w:sz w:val="28"/>
          <w:szCs w:val="28"/>
          <w14:textFill>
            <w14:solidFill>
              <w14:schemeClr w14:val="tx1"/>
            </w14:solidFill>
          </w14:textFill>
        </w:rPr>
        <w:t>年收益能力的体现。</w:t>
      </w:r>
    </w:p>
    <w:p>
      <w:pPr>
        <w:widowControl w:val="0"/>
        <w:spacing w:line="480" w:lineRule="auto"/>
        <w:ind w:firstLine="561"/>
        <w:contextualSpacing/>
        <w:jc w:val="both"/>
        <w:rPr>
          <w:rFonts w:ascii="Arial" w:hAnsi="Arial" w:eastAsia="华文楷体" w:cs="Arial"/>
          <w:b/>
          <w:color w:val="000000" w:themeColor="text1"/>
          <w:sz w:val="28"/>
          <w:szCs w:val="28"/>
          <w14:textFill>
            <w14:solidFill>
              <w14:schemeClr w14:val="tx1"/>
            </w14:solidFill>
          </w14:textFill>
        </w:rPr>
      </w:pPr>
    </w:p>
    <w:p>
      <w:pPr>
        <w:widowControl w:val="0"/>
        <w:spacing w:line="480" w:lineRule="auto"/>
        <w:ind w:firstLine="561"/>
        <w:contextualSpacing/>
        <w:jc w:val="both"/>
      </w:pPr>
      <w:r>
        <w:rPr>
          <w:rFonts w:ascii="Arial" w:hAnsi="Arial" w:eastAsia="华文楷体" w:cs="Arial"/>
          <w:b/>
          <w:color w:val="000000" w:themeColor="text1"/>
          <w:sz w:val="28"/>
          <w:szCs w:val="28"/>
          <w14:textFill>
            <w14:solidFill>
              <w14:schemeClr w14:val="tx1"/>
            </w14:solidFill>
          </w14:textFill>
        </w:rPr>
        <w:t>异议三：从近两年对估价对象的历史估价结果来看，结合估价对象所在朝青板块的优势区位，交通便捷程度，周边社区繁华程度以及类似商业交易和租赁价格等综合因素表明，本次估价远低于历史评估价格。</w:t>
      </w:r>
    </w:p>
    <w:p>
      <w:pPr>
        <w:spacing w:line="480" w:lineRule="auto"/>
        <w:ind w:firstLine="560"/>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答复3：</w:t>
      </w:r>
    </w:p>
    <w:p>
      <w:pPr>
        <w:widowControl w:val="0"/>
        <w:spacing w:line="480" w:lineRule="auto"/>
        <w:ind w:firstLine="561"/>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异议中根据 2021 年4月2日由北京首佳房地产评估有限公司针对北京市朝阳区青年路西里5号院(润枫水尚) 项目出具的1、4、5、8、11、12、15、16 号楼共计 54 套及朝阳区朝阳北路 129 号院2号楼、5 幢(润枫嘉尚) 部分共14 套房地产抵押价值评估的参考意见，经核实，该份报告时点为2</w:t>
      </w:r>
      <w:r>
        <w:rPr>
          <w:rFonts w:ascii="Arial" w:hAnsi="Arial" w:eastAsia="华文楷体" w:cs="Arial"/>
          <w:color w:val="000000" w:themeColor="text1"/>
          <w:sz w:val="28"/>
          <w:szCs w:val="28"/>
          <w14:textFill>
            <w14:solidFill>
              <w14:schemeClr w14:val="tx1"/>
            </w14:solidFill>
          </w14:textFill>
        </w:rPr>
        <w:t>021</w:t>
      </w:r>
      <w:r>
        <w:rPr>
          <w:rFonts w:hint="eastAsia" w:ascii="Arial" w:hAnsi="Arial" w:eastAsia="华文楷体" w:cs="Arial"/>
          <w:color w:val="000000" w:themeColor="text1"/>
          <w:sz w:val="28"/>
          <w:szCs w:val="28"/>
          <w14:textFill>
            <w14:solidFill>
              <w14:schemeClr w14:val="tx1"/>
            </w14:solidFill>
          </w14:textFill>
        </w:rPr>
        <w:t>年3月2</w:t>
      </w:r>
      <w:r>
        <w:rPr>
          <w:rFonts w:ascii="Arial" w:hAnsi="Arial" w:eastAsia="华文楷体" w:cs="Arial"/>
          <w:color w:val="000000" w:themeColor="text1"/>
          <w:sz w:val="28"/>
          <w:szCs w:val="28"/>
          <w14:textFill>
            <w14:solidFill>
              <w14:schemeClr w14:val="tx1"/>
            </w14:solidFill>
          </w14:textFill>
        </w:rPr>
        <w:t>4</w:t>
      </w:r>
      <w:r>
        <w:rPr>
          <w:rFonts w:hint="eastAsia" w:ascii="Arial" w:hAnsi="Arial" w:eastAsia="华文楷体" w:cs="Arial"/>
          <w:color w:val="000000" w:themeColor="text1"/>
          <w:sz w:val="28"/>
          <w:szCs w:val="28"/>
          <w14:textFill>
            <w14:solidFill>
              <w14:schemeClr w14:val="tx1"/>
            </w14:solidFill>
          </w14:textFill>
        </w:rPr>
        <w:t>日，声明半年后即已失效。报告形式为预评估咨询意见，该意见书载明，未进入室内进行勘察，且无注册房地产估价师签字，不属于</w:t>
      </w:r>
      <w:r>
        <w:rPr>
          <w:rFonts w:ascii="Arial" w:hAnsi="Arial" w:eastAsia="华文楷体" w:cs="Arial"/>
          <w:color w:val="000000" w:themeColor="text1"/>
          <w:sz w:val="28"/>
          <w:szCs w:val="28"/>
          <w14:textFill>
            <w14:solidFill>
              <w14:schemeClr w14:val="tx1"/>
            </w14:solidFill>
          </w14:textFill>
        </w:rPr>
        <w:t>《房地产估价规范》[GB/T 50291-2015]规定的</w:t>
      </w:r>
      <w:r>
        <w:rPr>
          <w:rFonts w:hint="eastAsia" w:ascii="Arial" w:hAnsi="Arial" w:eastAsia="华文楷体" w:cs="Arial"/>
          <w:color w:val="000000" w:themeColor="text1"/>
          <w:sz w:val="28"/>
          <w:szCs w:val="28"/>
          <w14:textFill>
            <w14:solidFill>
              <w14:schemeClr w14:val="tx1"/>
            </w14:solidFill>
          </w14:textFill>
        </w:rPr>
        <w:t>评估报告格式。与我司评估报告不具可比性。</w:t>
      </w:r>
    </w:p>
    <w:p>
      <w:pPr>
        <w:widowControl w:val="0"/>
        <w:spacing w:line="480" w:lineRule="auto"/>
        <w:ind w:firstLine="561"/>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kern w:val="2"/>
          <w:sz w:val="28"/>
          <w:szCs w:val="28"/>
          <w14:textFill>
            <w14:solidFill>
              <w14:schemeClr w14:val="tx1"/>
            </w14:solidFill>
          </w14:textFill>
        </w:rPr>
        <w:t>（</w:t>
      </w:r>
      <w:r>
        <w:rPr>
          <w:rFonts w:hint="eastAsia" w:ascii="Arial" w:hAnsi="Arial" w:eastAsia="华文楷体" w:cs="Arial"/>
          <w:color w:val="000000" w:themeColor="text1"/>
          <w:kern w:val="2"/>
          <w:sz w:val="28"/>
          <w:szCs w:val="28"/>
          <w14:textFill>
            <w14:solidFill>
              <w14:schemeClr w14:val="tx1"/>
            </w14:solidFill>
          </w14:textFill>
        </w:rPr>
        <w:t>2</w:t>
      </w:r>
      <w:r>
        <w:rPr>
          <w:rFonts w:ascii="Arial" w:hAnsi="Arial" w:eastAsia="华文楷体" w:cs="Arial"/>
          <w:color w:val="000000" w:themeColor="text1"/>
          <w:kern w:val="2"/>
          <w:sz w:val="28"/>
          <w:szCs w:val="28"/>
          <w14:textFill>
            <w14:solidFill>
              <w14:schemeClr w14:val="tx1"/>
            </w14:solidFill>
          </w14:textFill>
        </w:rPr>
        <w:t>）</w:t>
      </w:r>
      <w:r>
        <w:rPr>
          <w:rFonts w:hint="eastAsia" w:ascii="Arial" w:hAnsi="Arial" w:eastAsia="华文楷体" w:cs="Arial"/>
          <w:color w:val="000000" w:themeColor="text1"/>
          <w:sz w:val="28"/>
          <w:szCs w:val="28"/>
          <w14:textFill>
            <w14:solidFill>
              <w14:schemeClr w14:val="tx1"/>
            </w14:solidFill>
          </w14:textFill>
        </w:rPr>
        <w:t>异议中依据2018 年深圳市世联房地产评估有限公司北京分公司，对北京市朝阳区朝阳北路 129 号院(润枫嘉尚) 2号楼13套商业及5幢超市房地产、青年路西里5号院(润枫水尚) 1号楼、15号楼等50套配套商业、景观、底商房地产、朝阳区安立路60号院（润枫德尚）1、2、3、6号楼配套及地下车库房地产价值进行预估。经核实，估价对象2所属项目为本次估价对象所属项目，但该次预估并不包括本次评估的估价对象，该份报告时点为2</w:t>
      </w:r>
      <w:r>
        <w:rPr>
          <w:rFonts w:ascii="Arial" w:hAnsi="Arial" w:eastAsia="华文楷体" w:cs="Arial"/>
          <w:color w:val="000000" w:themeColor="text1"/>
          <w:sz w:val="28"/>
          <w:szCs w:val="28"/>
          <w14:textFill>
            <w14:solidFill>
              <w14:schemeClr w14:val="tx1"/>
            </w14:solidFill>
          </w14:textFill>
        </w:rPr>
        <w:t>018</w:t>
      </w:r>
      <w:r>
        <w:rPr>
          <w:rFonts w:hint="eastAsia" w:ascii="Arial" w:hAnsi="Arial" w:eastAsia="华文楷体" w:cs="Arial"/>
          <w:color w:val="000000" w:themeColor="text1"/>
          <w:sz w:val="28"/>
          <w:szCs w:val="28"/>
          <w14:textFill>
            <w14:solidFill>
              <w14:schemeClr w14:val="tx1"/>
            </w14:solidFill>
          </w14:textFill>
        </w:rPr>
        <w:t>年</w:t>
      </w:r>
      <w:r>
        <w:rPr>
          <w:rFonts w:ascii="Arial" w:hAnsi="Arial" w:eastAsia="华文楷体" w:cs="Arial"/>
          <w:color w:val="000000" w:themeColor="text1"/>
          <w:sz w:val="28"/>
          <w:szCs w:val="28"/>
          <w14:textFill>
            <w14:solidFill>
              <w14:schemeClr w14:val="tx1"/>
            </w14:solidFill>
          </w14:textFill>
        </w:rPr>
        <w:t>11</w:t>
      </w:r>
      <w:r>
        <w:rPr>
          <w:rFonts w:hint="eastAsia" w:ascii="Arial" w:hAnsi="Arial" w:eastAsia="华文楷体" w:cs="Arial"/>
          <w:color w:val="000000" w:themeColor="text1"/>
          <w:sz w:val="28"/>
          <w:szCs w:val="28"/>
          <w14:textFill>
            <w14:solidFill>
              <w14:schemeClr w14:val="tx1"/>
            </w14:solidFill>
          </w14:textFill>
        </w:rPr>
        <w:t>月3</w:t>
      </w:r>
      <w:r>
        <w:rPr>
          <w:rFonts w:ascii="Arial" w:hAnsi="Arial" w:eastAsia="华文楷体" w:cs="Arial"/>
          <w:color w:val="000000" w:themeColor="text1"/>
          <w:sz w:val="28"/>
          <w:szCs w:val="28"/>
          <w14:textFill>
            <w14:solidFill>
              <w14:schemeClr w14:val="tx1"/>
            </w14:solidFill>
          </w14:textFill>
        </w:rPr>
        <w:t>0</w:t>
      </w:r>
      <w:r>
        <w:rPr>
          <w:rFonts w:hint="eastAsia" w:ascii="Arial" w:hAnsi="Arial" w:eastAsia="华文楷体" w:cs="Arial"/>
          <w:color w:val="000000" w:themeColor="text1"/>
          <w:sz w:val="28"/>
          <w:szCs w:val="28"/>
          <w14:textFill>
            <w14:solidFill>
              <w14:schemeClr w14:val="tx1"/>
            </w14:solidFill>
          </w14:textFill>
        </w:rPr>
        <w:t>日，报告形式为预评估报告，且无注册房地产估价师签字，不属于</w:t>
      </w:r>
      <w:r>
        <w:rPr>
          <w:rFonts w:ascii="Arial" w:hAnsi="Arial" w:eastAsia="华文楷体" w:cs="Arial"/>
          <w:color w:val="000000" w:themeColor="text1"/>
          <w:sz w:val="28"/>
          <w:szCs w:val="28"/>
          <w14:textFill>
            <w14:solidFill>
              <w14:schemeClr w14:val="tx1"/>
            </w14:solidFill>
          </w14:textFill>
        </w:rPr>
        <w:t>《房地产估价规范》[GB/T 50291-2015]规定的</w:t>
      </w:r>
      <w:r>
        <w:rPr>
          <w:rFonts w:hint="eastAsia" w:ascii="Arial" w:hAnsi="Arial" w:eastAsia="华文楷体" w:cs="Arial"/>
          <w:color w:val="000000" w:themeColor="text1"/>
          <w:sz w:val="28"/>
          <w:szCs w:val="28"/>
          <w14:textFill>
            <w14:solidFill>
              <w14:schemeClr w14:val="tx1"/>
            </w14:solidFill>
          </w14:textFill>
        </w:rPr>
        <w:t>评估报告格式。与我司评估报告不具可比性。</w:t>
      </w:r>
    </w:p>
    <w:p>
      <w:pPr>
        <w:widowControl w:val="0"/>
        <w:spacing w:line="480" w:lineRule="auto"/>
        <w:ind w:firstLine="561"/>
        <w:jc w:val="both"/>
        <w:rPr>
          <w:rFonts w:hint="eastAsia" w:ascii="Arial" w:hAnsi="Arial" w:eastAsia="华文楷体" w:cs="Arial"/>
          <w:color w:val="000000" w:themeColor="text1"/>
          <w:sz w:val="28"/>
          <w:szCs w:val="28"/>
          <w:lang w:eastAsia="zh-CN"/>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以上两份预评估报告在北京市商业用房市场环境和估价对象土地使用年期的折减上有差距，同时价值时点与我司评估报告也存在明显的差距，价值时点是商业用房房地产价值的重要影响因素，近年来，受多重因素影响，北京市商办类项目售价下降趋势明显。上述情况在我司出具的评估报告中已进行了描述。</w:t>
      </w:r>
      <w:r>
        <w:rPr>
          <w:rFonts w:hint="eastAsia" w:ascii="Arial" w:hAnsi="Arial" w:eastAsia="华文楷体" w:cs="Arial"/>
          <w:color w:val="000000" w:themeColor="text1"/>
          <w:sz w:val="28"/>
          <w:szCs w:val="28"/>
          <w:lang w:eastAsia="zh-CN"/>
          <w14:textFill>
            <w14:solidFill>
              <w14:schemeClr w14:val="tx1"/>
            </w14:solidFill>
          </w14:textFill>
        </w:rPr>
        <w:t>根据</w:t>
      </w:r>
      <w:r>
        <w:rPr>
          <w:rFonts w:hint="eastAsia" w:ascii="Arial" w:hAnsi="Arial" w:eastAsia="华文楷体" w:cs="Arial"/>
          <w:color w:val="000000" w:themeColor="text1"/>
          <w:sz w:val="28"/>
          <w:szCs w:val="28"/>
          <w14:textFill>
            <w14:solidFill>
              <w14:schemeClr w14:val="tx1"/>
            </w14:solidFill>
          </w14:textFill>
        </w:rPr>
        <w:t>中指数据信息系统</w:t>
      </w:r>
      <w:r>
        <w:rPr>
          <w:rFonts w:hint="eastAsia" w:ascii="Arial" w:hAnsi="Arial" w:eastAsia="华文楷体" w:cs="Arial"/>
          <w:color w:val="000000" w:themeColor="text1"/>
          <w:sz w:val="28"/>
          <w:szCs w:val="28"/>
          <w:lang w:eastAsia="zh-CN"/>
          <w14:textFill>
            <w14:solidFill>
              <w14:schemeClr w14:val="tx1"/>
            </w14:solidFill>
          </w14:textFill>
        </w:rPr>
        <w:t>查询数据，</w:t>
      </w:r>
      <w:bookmarkStart w:id="0" w:name="_GoBack"/>
      <w:bookmarkEnd w:id="0"/>
      <w:r>
        <w:rPr>
          <w:rFonts w:hint="eastAsia" w:ascii="Arial" w:hAnsi="Arial" w:eastAsia="华文楷体" w:cs="Arial"/>
          <w:color w:val="000000" w:themeColor="text1"/>
          <w:sz w:val="28"/>
          <w:szCs w:val="28"/>
          <w14:textFill>
            <w14:solidFill>
              <w14:schemeClr w14:val="tx1"/>
            </w14:solidFill>
          </w14:textFill>
        </w:rPr>
        <w:t>2</w:t>
      </w:r>
      <w:r>
        <w:rPr>
          <w:rFonts w:ascii="Arial" w:hAnsi="Arial" w:eastAsia="华文楷体" w:cs="Arial"/>
          <w:color w:val="000000" w:themeColor="text1"/>
          <w:sz w:val="28"/>
          <w:szCs w:val="28"/>
          <w14:textFill>
            <w14:solidFill>
              <w14:schemeClr w14:val="tx1"/>
            </w14:solidFill>
          </w14:textFill>
        </w:rPr>
        <w:t>023</w:t>
      </w:r>
      <w:r>
        <w:rPr>
          <w:rFonts w:hint="eastAsia" w:ascii="Arial" w:hAnsi="Arial" w:eastAsia="华文楷体" w:cs="Arial"/>
          <w:color w:val="000000" w:themeColor="text1"/>
          <w:sz w:val="28"/>
          <w:szCs w:val="28"/>
          <w14:textFill>
            <w14:solidFill>
              <w14:schemeClr w14:val="tx1"/>
            </w14:solidFill>
          </w14:textFill>
        </w:rPr>
        <w:t>年</w:t>
      </w:r>
      <w:r>
        <w:rPr>
          <w:rFonts w:hint="eastAsia" w:ascii="Arial" w:hAnsi="Arial" w:eastAsia="华文楷体" w:cs="Arial"/>
          <w:color w:val="000000" w:themeColor="text1"/>
          <w:sz w:val="28"/>
          <w:szCs w:val="28"/>
          <w:lang w:eastAsia="zh-CN"/>
          <w14:textFill>
            <w14:solidFill>
              <w14:schemeClr w14:val="tx1"/>
            </w14:solidFill>
          </w14:textFill>
        </w:rPr>
        <w:t>一</w:t>
      </w:r>
      <w:r>
        <w:rPr>
          <w:rFonts w:hint="eastAsia" w:ascii="Arial" w:hAnsi="Arial" w:eastAsia="华文楷体" w:cs="Arial"/>
          <w:color w:val="000000" w:themeColor="text1"/>
          <w:sz w:val="28"/>
          <w:szCs w:val="28"/>
          <w14:textFill>
            <w14:solidFill>
              <w14:schemeClr w14:val="tx1"/>
            </w14:solidFill>
          </w14:textFill>
        </w:rPr>
        <w:t>季度的全市均价相较2</w:t>
      </w:r>
      <w:r>
        <w:rPr>
          <w:rFonts w:ascii="Arial" w:hAnsi="Arial" w:eastAsia="华文楷体" w:cs="Arial"/>
          <w:color w:val="000000" w:themeColor="text1"/>
          <w:sz w:val="28"/>
          <w:szCs w:val="28"/>
          <w14:textFill>
            <w14:solidFill>
              <w14:schemeClr w14:val="tx1"/>
            </w14:solidFill>
          </w14:textFill>
        </w:rPr>
        <w:t>019</w:t>
      </w:r>
      <w:r>
        <w:rPr>
          <w:rFonts w:hint="eastAsia" w:ascii="Arial" w:hAnsi="Arial" w:eastAsia="华文楷体" w:cs="Arial"/>
          <w:color w:val="000000" w:themeColor="text1"/>
          <w:sz w:val="28"/>
          <w:szCs w:val="28"/>
          <w14:textFill>
            <w14:solidFill>
              <w14:schemeClr w14:val="tx1"/>
            </w14:solidFill>
          </w14:textFill>
        </w:rPr>
        <w:t>年已大幅下降。</w:t>
      </w:r>
    </w:p>
    <w:p>
      <w:pPr>
        <w:widowControl w:val="0"/>
        <w:spacing w:line="480" w:lineRule="auto"/>
        <w:jc w:val="center"/>
        <w:rPr>
          <w:rFonts w:ascii="Arial" w:hAnsi="Arial" w:eastAsia="华文楷体" w:cs="Arial"/>
          <w:color w:val="000000" w:themeColor="text1"/>
          <w:sz w:val="28"/>
          <w:szCs w:val="28"/>
          <w14:textFill>
            <w14:solidFill>
              <w14:schemeClr w14:val="tx1"/>
            </w14:solidFill>
          </w14:textFill>
        </w:rPr>
      </w:pPr>
      <w:r>
        <w:drawing>
          <wp:inline distT="0" distB="0" distL="114300" distR="114300">
            <wp:extent cx="4333875" cy="241935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333875" cy="2419350"/>
                    </a:xfrm>
                    <a:prstGeom prst="rect">
                      <a:avLst/>
                    </a:prstGeom>
                    <a:noFill/>
                    <a:ln>
                      <a:noFill/>
                    </a:ln>
                  </pic:spPr>
                </pic:pic>
              </a:graphicData>
            </a:graphic>
          </wp:inline>
        </w:drawing>
      </w:r>
    </w:p>
    <w:p>
      <w:pPr>
        <w:spacing w:line="480" w:lineRule="auto"/>
        <w:ind w:firstLine="560"/>
        <w:contextualSpacing/>
        <w:jc w:val="both"/>
        <w:rPr>
          <w:rFonts w:ascii="Arial" w:hAnsi="Arial" w:eastAsia="华文楷体" w:cs="Arial"/>
          <w:b/>
          <w:color w:val="000000" w:themeColor="text1"/>
          <w:sz w:val="28"/>
          <w:szCs w:val="28"/>
          <w14:textFill>
            <w14:solidFill>
              <w14:schemeClr w14:val="tx1"/>
            </w14:solidFill>
          </w14:textFill>
        </w:rPr>
      </w:pP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四：估价一览表中形成的最终估价结果没有充分依据支撑，没有详细全面的演算过程，没有完整和全面的估价过程。另外，结合评估机构调取的四环-五环中商业房屋销售数据，将估价对象单价草率确定为30458元/平方米，非常不合理。</w:t>
      </w:r>
    </w:p>
    <w:p>
      <w:pPr>
        <w:spacing w:line="480" w:lineRule="auto"/>
        <w:ind w:firstLine="560"/>
        <w:contextualSpacing/>
        <w:jc w:val="both"/>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答复4：</w:t>
      </w:r>
      <w:r>
        <w:rPr>
          <w:rFonts w:hint="eastAsia" w:ascii="Arial" w:hAnsi="Arial" w:eastAsia="华文楷体" w:cs="Arial"/>
          <w:color w:val="000000" w:themeColor="text1"/>
          <w:sz w:val="28"/>
          <w:szCs w:val="28"/>
          <w14:textFill>
            <w14:solidFill>
              <w14:schemeClr w14:val="tx1"/>
            </w14:solidFill>
          </w14:textFill>
        </w:rPr>
        <w:t xml:space="preserve"> </w:t>
      </w:r>
    </w:p>
    <w:p>
      <w:pPr>
        <w:pStyle w:val="34"/>
        <w:spacing w:line="480" w:lineRule="auto"/>
        <w:ind w:left="1280" w:hanging="720"/>
        <w:contextualSpacing/>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（1）</w:t>
      </w:r>
      <w:r>
        <w:rPr>
          <w:rFonts w:hint="eastAsia" w:ascii="Arial" w:hAnsi="Arial" w:eastAsia="华文楷体" w:cs="Arial"/>
          <w:color w:val="000000" w:themeColor="text1"/>
          <w:sz w:val="28"/>
          <w:szCs w:val="28"/>
          <w14:textFill>
            <w14:solidFill>
              <w14:schemeClr w14:val="tx1"/>
            </w14:solidFill>
          </w14:textFill>
        </w:rPr>
        <w:t>已在答复2中回答。</w:t>
      </w:r>
    </w:p>
    <w:p>
      <w:pPr>
        <w:ind w:firstLine="560" w:firstLineChars="200"/>
      </w:pPr>
      <w:r>
        <w:rPr>
          <w:rFonts w:hint="eastAsia" w:ascii="Arial" w:hAnsi="Arial" w:eastAsia="华文楷体" w:cs="Arial"/>
          <w:color w:val="000000" w:themeColor="text1"/>
          <w:sz w:val="28"/>
          <w:szCs w:val="28"/>
          <w14:textFill>
            <w14:solidFill>
              <w14:schemeClr w14:val="tx1"/>
            </w14:solidFill>
          </w14:textFill>
        </w:rPr>
        <w:t>（2）本次估价报告引用的分析数据中，2023年朝阳区商业用房销售情况，为一手房销售数据，且为全区在售项目的平均水平。一手商业用房销售，一般剩余土地使用年限较长均大于35年，而估价对象剩余土地使用年限为21.56年。而土地剩余使用年限基本等同于商业用房的可收益年期，因此该因素对商业用房价值影响较大。</w:t>
      </w:r>
    </w:p>
    <w:p>
      <w:pPr>
        <w:spacing w:line="480" w:lineRule="auto"/>
        <w:ind w:firstLine="560"/>
        <w:contextualSpacing/>
        <w:jc w:val="both"/>
      </w:pPr>
      <w:r>
        <w:rPr>
          <w:rFonts w:ascii="Arial" w:hAnsi="Arial" w:eastAsia="华文楷体" w:cs="Arial"/>
          <w:b/>
          <w:color w:val="000000" w:themeColor="text1"/>
          <w:sz w:val="28"/>
          <w:szCs w:val="28"/>
          <w14:textFill>
            <w14:solidFill>
              <w14:schemeClr w14:val="tx1"/>
            </w14:solidFill>
          </w14:textFill>
        </w:rPr>
        <w:t>异议五：《评估报告》的出具明显超出法定期限，不符合法律相关规定，康正评估涉嫌评估程序违法。</w:t>
      </w:r>
    </w:p>
    <w:p>
      <w:pPr>
        <w:pStyle w:val="2"/>
        <w:keepNext w:val="0"/>
        <w:keepLines w:val="0"/>
        <w:widowControl/>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ascii="Arial" w:hAnsi="Arial" w:eastAsia="华文楷体" w:cs="Arial"/>
          <w:b w:val="0"/>
          <w:bCs w:val="0"/>
          <w:color w:val="000000" w:themeColor="text1"/>
          <w:kern w:val="0"/>
          <w:sz w:val="28"/>
          <w:szCs w:val="28"/>
          <w14:textFill>
            <w14:solidFill>
              <w14:schemeClr w14:val="tx1"/>
            </w14:solidFill>
          </w14:textFill>
        </w:rPr>
        <w:t>答复5：</w:t>
      </w:r>
    </w:p>
    <w:p>
      <w:pPr>
        <w:pStyle w:val="2"/>
        <w:keepNext w:val="0"/>
        <w:keepLines w:val="0"/>
        <w:widowControl/>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ascii="Arial" w:hAnsi="Arial" w:eastAsia="华文楷体" w:cs="Arial"/>
          <w:b w:val="0"/>
          <w:bCs w:val="0"/>
          <w:color w:val="000000" w:themeColor="text1"/>
          <w:kern w:val="0"/>
          <w:sz w:val="28"/>
          <w:szCs w:val="28"/>
          <w14:textFill>
            <w14:solidFill>
              <w14:schemeClr w14:val="tx1"/>
            </w14:solidFill>
          </w14:textFill>
        </w:rPr>
        <w:t>根据</w:t>
      </w:r>
      <w:r>
        <w:rPr>
          <w:rFonts w:hint="eastAsia" w:ascii="Arial" w:hAnsi="Arial" w:eastAsia="华文楷体" w:cs="Arial"/>
          <w:b w:val="0"/>
          <w:bCs w:val="0"/>
          <w:color w:val="000000" w:themeColor="text1"/>
          <w:kern w:val="0"/>
          <w:sz w:val="28"/>
          <w:szCs w:val="28"/>
          <w14:textFill>
            <w14:solidFill>
              <w14:schemeClr w14:val="tx1"/>
            </w14:solidFill>
          </w14:textFill>
        </w:rPr>
        <w:t>《关于印发&lt;人民法院委托评估工作规范&gt;的通知》（法办[2018]273号）及附件，第二十条，评估机构应在收到评估委托书和相关材料后三十日内出具评估报告，并通过系统发送给人民法院</w:t>
      </w:r>
      <w:r>
        <w:rPr>
          <w:rFonts w:ascii="Arial" w:hAnsi="Arial" w:eastAsia="华文楷体" w:cs="Arial"/>
          <w:b w:val="0"/>
          <w:bCs w:val="0"/>
          <w:color w:val="000000" w:themeColor="text1"/>
          <w:kern w:val="0"/>
          <w:sz w:val="28"/>
          <w:szCs w:val="28"/>
          <w14:textFill>
            <w14:solidFill>
              <w14:schemeClr w14:val="tx1"/>
            </w14:solidFill>
          </w14:textFill>
        </w:rPr>
        <w:t>。</w:t>
      </w:r>
      <w:r>
        <w:rPr>
          <w:rFonts w:hint="eastAsia" w:ascii="Arial" w:hAnsi="Arial" w:eastAsia="华文楷体" w:cs="Arial"/>
          <w:b w:val="0"/>
          <w:bCs w:val="0"/>
          <w:color w:val="000000" w:themeColor="text1"/>
          <w:kern w:val="0"/>
          <w:sz w:val="28"/>
          <w:szCs w:val="28"/>
          <w14:textFill>
            <w14:solidFill>
              <w14:schemeClr w14:val="tx1"/>
            </w14:solidFill>
          </w14:textFill>
        </w:rPr>
        <w:t>附件《人民法院委托评估需要提供的材料清单》，一、房地产类（一）必需材料包括，...3.抵押等他项权证明，已出租房地产的租赁合同；4.法院查明的财产权属、质量瑕疵等材料，以及关于财产的特殊情况说明。</w:t>
      </w:r>
    </w:p>
    <w:p>
      <w:pPr>
        <w:pStyle w:val="2"/>
        <w:keepNext w:val="0"/>
        <w:keepLines w:val="0"/>
        <w:shd w:val="clear" w:color="auto" w:fill="FFFFFF"/>
        <w:spacing w:before="0" w:after="0" w:line="540" w:lineRule="atLeast"/>
        <w:ind w:firstLine="560" w:firstLineChars="200"/>
        <w:rPr>
          <w:rFonts w:ascii="Arial" w:hAnsi="Arial" w:eastAsia="华文楷体" w:cs="Arial"/>
          <w:b w:val="0"/>
          <w:bCs w:val="0"/>
          <w:color w:val="000000" w:themeColor="text1"/>
          <w:kern w:val="0"/>
          <w:sz w:val="28"/>
          <w:szCs w:val="28"/>
          <w14:textFill>
            <w14:solidFill>
              <w14:schemeClr w14:val="tx1"/>
            </w14:solidFill>
          </w14:textFill>
        </w:rPr>
      </w:pPr>
      <w:r>
        <w:rPr>
          <w:rFonts w:hint="eastAsia" w:ascii="Arial" w:hAnsi="Arial" w:eastAsia="华文楷体" w:cs="Arial"/>
          <w:b w:val="0"/>
          <w:bCs w:val="0"/>
          <w:color w:val="000000" w:themeColor="text1"/>
          <w:kern w:val="0"/>
          <w:sz w:val="28"/>
          <w:szCs w:val="28"/>
          <w14:textFill>
            <w14:solidFill>
              <w14:schemeClr w14:val="tx1"/>
            </w14:solidFill>
          </w14:textFill>
        </w:rPr>
        <w:t>我司在收到贵院委托函后，积极与联系人沟通评估事宜。2023年4月3日至5月5日，我司评估专业人员多次与当事人、司法辅助人员及贵院申法官联系，在满足了实地查勘条件后，于2023年5月8日对估价对象进行了实地查勘，现场法官口头告知被申请人尽快提供评估必需材料。我司评估专业人员在未收到相关资料情况下，于2023年5月30日向贵院出具了需补充材料的书面说明。2023年8月24日，我司评估专业人员收到租赁合同，2023年10月10日，我司评估专业人员收到测绘报告。至此，本次委托的评估所需材料才收集齐全。2023年11月7日我司出具了《不动产估价报告书》[康正执评字2023-1-0250-F01SFZC6]。整个评估过程符合《&lt;人民法院委托评估工作规范》的要求。</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特此说明。</w:t>
      </w:r>
    </w:p>
    <w:p>
      <w:pPr>
        <w:spacing w:line="480" w:lineRule="auto"/>
        <w:ind w:firstLine="560"/>
        <w:contextualSpacing/>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p>
    <w:p>
      <w:pPr>
        <w:spacing w:line="480" w:lineRule="auto"/>
        <w:ind w:firstLine="4340"/>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北京康正宏基房地产评估有限公司</w:t>
      </w:r>
    </w:p>
    <w:p>
      <w:pPr>
        <w:spacing w:line="480" w:lineRule="auto"/>
        <w:ind w:firstLine="840"/>
        <w:jc w:val="right"/>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t>二〇二三年十二月十一日</w:t>
      </w:r>
    </w:p>
    <w:p>
      <w:pPr>
        <w:rPr>
          <w:rFonts w:ascii="Arial" w:hAnsi="Arial" w:eastAsia="华文楷体" w:cs="Arial"/>
          <w:color w:val="000000" w:themeColor="text1"/>
          <w:sz w:val="28"/>
          <w:szCs w:val="28"/>
          <w14:textFill>
            <w14:solidFill>
              <w14:schemeClr w14:val="tx1"/>
            </w14:solidFill>
          </w14:textFill>
        </w:rPr>
      </w:pPr>
      <w:r>
        <w:rPr>
          <w:rFonts w:ascii="Arial" w:hAnsi="Arial" w:eastAsia="华文楷体" w:cs="Arial"/>
          <w:color w:val="000000" w:themeColor="text1"/>
          <w:sz w:val="28"/>
          <w:szCs w:val="28"/>
          <w14:textFill>
            <w14:solidFill>
              <w14:schemeClr w14:val="tx1"/>
            </w14:solidFill>
          </w14:textFill>
        </w:rPr>
        <w:br w:type="page"/>
      </w:r>
    </w:p>
    <w:p>
      <w:pPr>
        <w:spacing w:line="480" w:lineRule="auto"/>
        <w:jc w:val="both"/>
        <w:rPr>
          <w:rFonts w:ascii="Arial" w:hAnsi="Arial" w:eastAsia="华文楷体" w:cs="Arial"/>
          <w:b/>
          <w:bCs/>
          <w:color w:val="000000" w:themeColor="text1"/>
          <w:sz w:val="28"/>
          <w:szCs w:val="28"/>
          <w14:textFill>
            <w14:solidFill>
              <w14:schemeClr w14:val="tx1"/>
            </w14:solidFill>
          </w14:textFill>
        </w:rPr>
      </w:pPr>
      <w:r>
        <w:rPr>
          <w:rFonts w:hint="eastAsia" w:ascii="Arial" w:hAnsi="Arial" w:eastAsia="华文楷体" w:cs="Arial"/>
          <w:b/>
          <w:bCs/>
          <w:color w:val="000000" w:themeColor="text1"/>
          <w:sz w:val="28"/>
          <w:szCs w:val="28"/>
          <w14:textFill>
            <w14:solidFill>
              <w14:schemeClr w14:val="tx1"/>
            </w14:solidFill>
          </w14:textFill>
        </w:rPr>
        <w:t>附件：</w:t>
      </w:r>
    </w:p>
    <w:p>
      <w:pPr>
        <w:spacing w:line="480" w:lineRule="auto"/>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我司查询异议申请人提供案例的销售情况汇总</w:t>
      </w:r>
    </w:p>
    <w:p>
      <w:pPr>
        <w:spacing w:line="480" w:lineRule="auto"/>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小悦中心：</w:t>
      </w:r>
    </w:p>
    <w:p>
      <w:pPr>
        <w:spacing w:line="480" w:lineRule="auto"/>
        <w:jc w:val="center"/>
        <w:rPr>
          <w:rFonts w:ascii="Arial" w:hAnsi="Arial" w:eastAsia="华文楷体" w:cs="Arial"/>
          <w:color w:val="000000" w:themeColor="text1"/>
          <w:sz w:val="28"/>
          <w:szCs w:val="28"/>
          <w14:textFill>
            <w14:solidFill>
              <w14:schemeClr w14:val="tx1"/>
            </w14:solidFill>
          </w14:textFill>
        </w:rPr>
      </w:pPr>
      <w:r>
        <w:drawing>
          <wp:inline distT="0" distB="0" distL="114300" distR="114300">
            <wp:extent cx="4343400" cy="3179445"/>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343400" cy="3179445"/>
                    </a:xfrm>
                    <a:prstGeom prst="rect">
                      <a:avLst/>
                    </a:prstGeom>
                  </pic:spPr>
                </pic:pic>
              </a:graphicData>
            </a:graphic>
          </wp:inline>
        </w:drawing>
      </w:r>
    </w:p>
    <w:p>
      <w:pPr>
        <w:spacing w:line="480" w:lineRule="auto"/>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利锦新苑</w:t>
      </w:r>
    </w:p>
    <w:p>
      <w:pPr>
        <w:spacing w:line="480" w:lineRule="auto"/>
        <w:jc w:val="center"/>
        <w:rPr>
          <w:rFonts w:ascii="Arial" w:hAnsi="Arial" w:eastAsia="华文楷体" w:cs="Arial"/>
          <w:color w:val="000000" w:themeColor="text1"/>
          <w:sz w:val="28"/>
          <w:szCs w:val="28"/>
          <w14:textFill>
            <w14:solidFill>
              <w14:schemeClr w14:val="tx1"/>
            </w14:solidFill>
          </w14:textFill>
        </w:rPr>
      </w:pPr>
      <w:r>
        <w:drawing>
          <wp:inline distT="0" distB="0" distL="114300" distR="114300">
            <wp:extent cx="4319905" cy="3162935"/>
            <wp:effectExtent l="0" t="0" r="4445"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4319905" cy="3162935"/>
                    </a:xfrm>
                    <a:prstGeom prst="rect">
                      <a:avLst/>
                    </a:prstGeom>
                  </pic:spPr>
                </pic:pic>
              </a:graphicData>
            </a:graphic>
          </wp:inline>
        </w:drawing>
      </w:r>
    </w:p>
    <w:p>
      <w:pPr>
        <w:spacing w:line="480" w:lineRule="auto"/>
        <w:jc w:val="both"/>
        <w:rPr>
          <w:rFonts w:ascii="Arial" w:hAnsi="Arial" w:eastAsia="华文楷体" w:cs="Arial"/>
          <w:color w:val="000000" w:themeColor="text1"/>
          <w:sz w:val="28"/>
          <w:szCs w:val="28"/>
          <w14:textFill>
            <w14:solidFill>
              <w14:schemeClr w14:val="tx1"/>
            </w14:solidFill>
          </w14:textFill>
        </w:rPr>
      </w:pPr>
    </w:p>
    <w:p>
      <w:pPr>
        <w:spacing w:line="480" w:lineRule="auto"/>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华瀚福园</w:t>
      </w:r>
    </w:p>
    <w:p>
      <w:pPr>
        <w:spacing w:line="480" w:lineRule="auto"/>
        <w:jc w:val="center"/>
        <w:rPr>
          <w:rFonts w:ascii="Arial" w:hAnsi="Arial" w:eastAsia="华文楷体" w:cs="Arial"/>
          <w:color w:val="000000" w:themeColor="text1"/>
          <w:sz w:val="28"/>
          <w:szCs w:val="28"/>
          <w14:textFill>
            <w14:solidFill>
              <w14:schemeClr w14:val="tx1"/>
            </w14:solidFill>
          </w14:textFill>
        </w:rPr>
      </w:pPr>
      <w:r>
        <w:drawing>
          <wp:inline distT="0" distB="0" distL="114300" distR="114300">
            <wp:extent cx="4345305" cy="3181350"/>
            <wp:effectExtent l="0" t="0" r="1714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4345305" cy="3181350"/>
                    </a:xfrm>
                    <a:prstGeom prst="rect">
                      <a:avLst/>
                    </a:prstGeom>
                  </pic:spPr>
                </pic:pic>
              </a:graphicData>
            </a:graphic>
          </wp:inline>
        </w:drawing>
      </w:r>
    </w:p>
    <w:p>
      <w:pPr>
        <w:spacing w:line="480" w:lineRule="auto"/>
        <w:jc w:val="both"/>
        <w:rPr>
          <w:rFonts w:ascii="Arial" w:hAnsi="Arial" w:eastAsia="华文楷体" w:cs="Arial"/>
          <w:color w:val="000000" w:themeColor="text1"/>
          <w:sz w:val="28"/>
          <w:szCs w:val="28"/>
          <w14:textFill>
            <w14:solidFill>
              <w14:schemeClr w14:val="tx1"/>
            </w14:solidFill>
          </w14:textFill>
        </w:rPr>
      </w:pPr>
      <w:r>
        <w:rPr>
          <w:rFonts w:hint="eastAsia" w:ascii="Arial" w:hAnsi="Arial" w:eastAsia="华文楷体" w:cs="Arial"/>
          <w:color w:val="000000" w:themeColor="text1"/>
          <w:sz w:val="28"/>
          <w:szCs w:val="28"/>
          <w14:textFill>
            <w14:solidFill>
              <w14:schemeClr w14:val="tx1"/>
            </w14:solidFill>
          </w14:textFill>
        </w:rPr>
        <w:t>利锦园</w:t>
      </w:r>
    </w:p>
    <w:p>
      <w:pPr>
        <w:spacing w:line="480" w:lineRule="auto"/>
        <w:jc w:val="center"/>
        <w:rPr>
          <w:rFonts w:ascii="Arial" w:hAnsi="Arial" w:eastAsia="华文楷体" w:cs="Arial"/>
          <w:color w:val="000000" w:themeColor="text1"/>
          <w:sz w:val="28"/>
          <w:szCs w:val="28"/>
          <w14:textFill>
            <w14:solidFill>
              <w14:schemeClr w14:val="tx1"/>
            </w14:solidFill>
          </w14:textFill>
        </w:rPr>
      </w:pPr>
      <w:r>
        <w:drawing>
          <wp:inline distT="0" distB="0" distL="114300" distR="114300">
            <wp:extent cx="4417695" cy="3234690"/>
            <wp:effectExtent l="0" t="0" r="1905"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4417695" cy="3234690"/>
                    </a:xfrm>
                    <a:prstGeom prst="rect">
                      <a:avLst/>
                    </a:prstGeom>
                  </pic:spPr>
                </pic:pic>
              </a:graphicData>
            </a:graphic>
          </wp:inline>
        </w:drawing>
      </w:r>
    </w:p>
    <w:p>
      <w:pPr>
        <w:spacing w:line="480" w:lineRule="auto"/>
        <w:jc w:val="both"/>
        <w:rPr>
          <w:rFonts w:ascii="Arial" w:hAnsi="Arial" w:eastAsia="华文楷体" w:cs="Arial"/>
          <w:color w:val="000000" w:themeColor="text1"/>
          <w:sz w:val="28"/>
          <w:szCs w:val="28"/>
          <w14:textFill>
            <w14:solidFill>
              <w14:schemeClr w14:val="tx1"/>
            </w14:solidFill>
          </w14:textFill>
        </w:rPr>
      </w:pPr>
    </w:p>
    <w:p>
      <w:pPr>
        <w:spacing w:line="480" w:lineRule="auto"/>
        <w:jc w:val="both"/>
        <w:rPr>
          <w:rFonts w:ascii="Arial" w:hAnsi="Arial" w:eastAsia="华文楷体" w:cs="Arial"/>
          <w:color w:val="000000" w:themeColor="text1"/>
          <w:sz w:val="28"/>
          <w:szCs w:val="28"/>
          <w14:textFill>
            <w14:solidFill>
              <w14:schemeClr w14:val="tx1"/>
            </w14:solidFill>
          </w14:textFill>
        </w:rPr>
      </w:pPr>
    </w:p>
    <w:p>
      <w:pPr>
        <w:spacing w:line="480" w:lineRule="auto"/>
        <w:ind w:firstLine="840"/>
        <w:jc w:val="right"/>
        <w:rPr>
          <w:rFonts w:ascii="Arial" w:hAnsi="Arial" w:eastAsia="华文楷体" w:cs="Arial"/>
          <w:color w:val="000000" w:themeColor="text1"/>
          <w:sz w:val="28"/>
          <w:szCs w:val="28"/>
          <w14:textFill>
            <w14:solidFill>
              <w14:schemeClr w14:val="tx1"/>
            </w14:solidFill>
          </w14:textFill>
        </w:rPr>
      </w:pPr>
    </w:p>
    <w:sectPr>
      <w:headerReference r:id="rId3" w:type="default"/>
      <w:pgSz w:w="11906" w:h="16838"/>
      <w:pgMar w:top="1440" w:right="1558"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Lucida Sans">
    <w:panose1 w:val="020B0602030504020204"/>
    <w:charset w:val="00"/>
    <w:family w:val="swiss"/>
    <w:pitch w:val="default"/>
    <w:sig w:usb0="00000003" w:usb1="00000000" w:usb2="00000000" w:usb3="00000000" w:csb0="20000001" w:csb1="00000000"/>
  </w:font>
  <w:font w:name="Liberation Sans">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5543550" cy="274955"/>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a:picLocks noChangeAspect="1" noChangeArrowheads="1"/>
                  </pic:cNvPicPr>
                </pic:nvPicPr>
                <pic:blipFill>
                  <a:blip r:embed="rId1"/>
                  <a:stretch>
                    <a:fillRect/>
                  </a:stretch>
                </pic:blipFill>
                <pic:spPr>
                  <a:xfrm>
                    <a:off x="0" y="0"/>
                    <a:ext cx="5543550" cy="2749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2ZjVlM2VmNjAwMmNmMzg0MTcxOTI1ODA5M2MyOGEifQ=="/>
  </w:docVars>
  <w:rsids>
    <w:rsidRoot w:val="00C3647A"/>
    <w:rsid w:val="00160EAD"/>
    <w:rsid w:val="00263DE2"/>
    <w:rsid w:val="002E65A3"/>
    <w:rsid w:val="003268C1"/>
    <w:rsid w:val="00376FFF"/>
    <w:rsid w:val="003E25AB"/>
    <w:rsid w:val="00414DA0"/>
    <w:rsid w:val="00420162"/>
    <w:rsid w:val="00437965"/>
    <w:rsid w:val="004C4E72"/>
    <w:rsid w:val="005339F5"/>
    <w:rsid w:val="00551595"/>
    <w:rsid w:val="0060743B"/>
    <w:rsid w:val="007D2A4A"/>
    <w:rsid w:val="00841300"/>
    <w:rsid w:val="0088253C"/>
    <w:rsid w:val="008B25D6"/>
    <w:rsid w:val="008B5541"/>
    <w:rsid w:val="009C2DEE"/>
    <w:rsid w:val="00A1502C"/>
    <w:rsid w:val="00B81B46"/>
    <w:rsid w:val="00C3647A"/>
    <w:rsid w:val="00C50473"/>
    <w:rsid w:val="00C62108"/>
    <w:rsid w:val="00C83F42"/>
    <w:rsid w:val="00E838BD"/>
    <w:rsid w:val="00ED4F97"/>
    <w:rsid w:val="00F2581A"/>
    <w:rsid w:val="00F41DE7"/>
    <w:rsid w:val="00F809D6"/>
    <w:rsid w:val="00FE4EB3"/>
    <w:rsid w:val="05B83FB7"/>
    <w:rsid w:val="097F473B"/>
    <w:rsid w:val="102429FD"/>
    <w:rsid w:val="133E2072"/>
    <w:rsid w:val="1A4E6A75"/>
    <w:rsid w:val="1BDB2B53"/>
    <w:rsid w:val="28101DD7"/>
    <w:rsid w:val="2A9860B3"/>
    <w:rsid w:val="3C8D359E"/>
    <w:rsid w:val="3D4540C9"/>
    <w:rsid w:val="43E27B68"/>
    <w:rsid w:val="52DE64AA"/>
    <w:rsid w:val="6E5108FB"/>
    <w:rsid w:val="6EE7265C"/>
    <w:rsid w:val="786B4135"/>
    <w:rsid w:val="7C5E0553"/>
    <w:rsid w:val="7DC61F2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7"/>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2"/>
      <w:sz w:val="44"/>
      <w:szCs w:val="44"/>
    </w:rPr>
  </w:style>
  <w:style w:type="paragraph" w:styleId="3">
    <w:name w:val="heading 2"/>
    <w:basedOn w:val="1"/>
    <w:next w:val="1"/>
    <w:link w:val="28"/>
    <w:semiHidden/>
    <w:unhideWhenUsed/>
    <w:qFormat/>
    <w:uiPriority w:val="9"/>
    <w:pPr>
      <w:keepNext/>
      <w:keepLines/>
      <w:widowControl w:val="0"/>
      <w:spacing w:before="260" w:after="260" w:line="415" w:lineRule="auto"/>
      <w:jc w:val="both"/>
      <w:outlineLvl w:val="1"/>
    </w:pPr>
    <w:rPr>
      <w:rFonts w:asciiTheme="majorHAnsi" w:hAnsiTheme="majorHAnsi" w:eastAsiaTheme="majorEastAsia" w:cstheme="majorBidi"/>
      <w:b/>
      <w:bCs/>
      <w:kern w:val="2"/>
      <w:sz w:val="32"/>
      <w:szCs w:val="32"/>
    </w:rPr>
  </w:style>
  <w:style w:type="paragraph" w:styleId="4">
    <w:name w:val="heading 3"/>
    <w:basedOn w:val="1"/>
    <w:link w:val="26"/>
    <w:qFormat/>
    <w:uiPriority w:val="9"/>
    <w:pPr>
      <w:spacing w:beforeAutospacing="1" w:afterAutospacing="1"/>
      <w:outlineLvl w:val="2"/>
    </w:pPr>
    <w:rPr>
      <w:rFonts w:ascii="宋体" w:hAnsi="宋体" w:cs="宋体"/>
      <w:b/>
      <w:bCs/>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caption"/>
    <w:basedOn w:val="1"/>
    <w:qFormat/>
    <w:uiPriority w:val="0"/>
    <w:pPr>
      <w:suppressLineNumbers/>
      <w:spacing w:before="120" w:after="120"/>
    </w:pPr>
    <w:rPr>
      <w:rFonts w:cs="Lucida Sans"/>
      <w:i/>
      <w:iCs/>
    </w:rPr>
  </w:style>
  <w:style w:type="paragraph" w:styleId="6">
    <w:name w:val="annotation text"/>
    <w:basedOn w:val="1"/>
    <w:unhideWhenUsed/>
    <w:qFormat/>
    <w:uiPriority w:val="99"/>
    <w:pPr>
      <w:widowControl w:val="0"/>
    </w:pPr>
    <w:rPr>
      <w:rFonts w:asciiTheme="minorHAnsi" w:hAnsiTheme="minorHAnsi" w:eastAsiaTheme="minorEastAsia" w:cstheme="minorBidi"/>
      <w:kern w:val="2"/>
      <w:sz w:val="21"/>
      <w:szCs w:val="22"/>
    </w:rPr>
  </w:style>
  <w:style w:type="paragraph" w:styleId="7">
    <w:name w:val="Body Text"/>
    <w:basedOn w:val="1"/>
    <w:qFormat/>
    <w:uiPriority w:val="0"/>
    <w:pPr>
      <w:spacing w:after="140" w:line="276" w:lineRule="auto"/>
    </w:pPr>
  </w:style>
  <w:style w:type="paragraph" w:styleId="8">
    <w:name w:val="Date"/>
    <w:basedOn w:val="1"/>
    <w:next w:val="1"/>
    <w:unhideWhenUsed/>
    <w:qFormat/>
    <w:uiPriority w:val="99"/>
    <w:pPr>
      <w:widowControl w:val="0"/>
      <w:ind w:left="100"/>
      <w:jc w:val="both"/>
    </w:pPr>
    <w:rPr>
      <w:rFonts w:asciiTheme="minorHAnsi" w:hAnsiTheme="minorHAnsi" w:eastAsiaTheme="minorEastAsia" w:cstheme="minorBidi"/>
      <w:kern w:val="2"/>
      <w:sz w:val="21"/>
      <w:szCs w:val="22"/>
    </w:rPr>
  </w:style>
  <w:style w:type="paragraph" w:styleId="9">
    <w:name w:val="Balloon Text"/>
    <w:basedOn w:val="1"/>
    <w:unhideWhenUsed/>
    <w:qFormat/>
    <w:uiPriority w:val="99"/>
    <w:pPr>
      <w:widowControl w:val="0"/>
      <w:jc w:val="both"/>
    </w:pPr>
    <w:rPr>
      <w:rFonts w:asciiTheme="minorHAnsi" w:hAnsiTheme="minorHAnsi" w:eastAsiaTheme="minorEastAsia" w:cstheme="minorBidi"/>
      <w:kern w:val="2"/>
      <w:sz w:val="18"/>
      <w:szCs w:val="18"/>
    </w:rPr>
  </w:style>
  <w:style w:type="paragraph" w:styleId="10">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1">
    <w:name w:val="header"/>
    <w:basedOn w:val="1"/>
    <w:unhideWhenUsed/>
    <w:qFormat/>
    <w:uiPriority w:val="99"/>
    <w:pPr>
      <w:widowControl w:val="0"/>
      <w:pBdr>
        <w:bottom w:val="single" w:color="000000"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2">
    <w:name w:val="List"/>
    <w:basedOn w:val="7"/>
    <w:qFormat/>
    <w:uiPriority w:val="0"/>
    <w:rPr>
      <w:rFonts w:cs="Lucida Sans"/>
    </w:rPr>
  </w:style>
  <w:style w:type="paragraph" w:styleId="13">
    <w:name w:val="Normal (Web)"/>
    <w:basedOn w:val="1"/>
    <w:semiHidden/>
    <w:unhideWhenUsed/>
    <w:qFormat/>
    <w:uiPriority w:val="99"/>
    <w:pPr>
      <w:spacing w:beforeAutospacing="1" w:afterAutospacing="1"/>
    </w:pPr>
    <w:rPr>
      <w:rFonts w:ascii="宋体" w:hAnsi="宋体" w:cs="宋体"/>
    </w:rPr>
  </w:style>
  <w:style w:type="paragraph" w:styleId="14">
    <w:name w:val="annotation subject"/>
    <w:basedOn w:val="6"/>
    <w:next w:val="6"/>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annotation reference"/>
    <w:basedOn w:val="17"/>
    <w:unhideWhenUsed/>
    <w:qFormat/>
    <w:uiPriority w:val="99"/>
    <w:rPr>
      <w:sz w:val="21"/>
      <w:szCs w:val="21"/>
    </w:rPr>
  </w:style>
  <w:style w:type="character" w:customStyle="1" w:styleId="20">
    <w:name w:val="页眉字符"/>
    <w:basedOn w:val="17"/>
    <w:qFormat/>
    <w:uiPriority w:val="99"/>
    <w:rPr>
      <w:sz w:val="18"/>
      <w:szCs w:val="18"/>
    </w:rPr>
  </w:style>
  <w:style w:type="character" w:customStyle="1" w:styleId="21">
    <w:name w:val="页脚字符"/>
    <w:basedOn w:val="17"/>
    <w:qFormat/>
    <w:uiPriority w:val="99"/>
    <w:rPr>
      <w:sz w:val="18"/>
      <w:szCs w:val="18"/>
    </w:rPr>
  </w:style>
  <w:style w:type="character" w:customStyle="1" w:styleId="22">
    <w:name w:val="批注框文本字符"/>
    <w:basedOn w:val="17"/>
    <w:semiHidden/>
    <w:qFormat/>
    <w:uiPriority w:val="99"/>
    <w:rPr>
      <w:sz w:val="18"/>
      <w:szCs w:val="18"/>
    </w:rPr>
  </w:style>
  <w:style w:type="character" w:customStyle="1" w:styleId="23">
    <w:name w:val="批注文字字符"/>
    <w:basedOn w:val="17"/>
    <w:semiHidden/>
    <w:qFormat/>
    <w:uiPriority w:val="99"/>
  </w:style>
  <w:style w:type="character" w:customStyle="1" w:styleId="24">
    <w:name w:val="批注主题字符"/>
    <w:basedOn w:val="23"/>
    <w:semiHidden/>
    <w:qFormat/>
    <w:uiPriority w:val="99"/>
    <w:rPr>
      <w:b/>
      <w:bCs/>
    </w:rPr>
  </w:style>
  <w:style w:type="character" w:customStyle="1" w:styleId="25">
    <w:name w:val="日期字符"/>
    <w:basedOn w:val="17"/>
    <w:semiHidden/>
    <w:qFormat/>
    <w:uiPriority w:val="99"/>
  </w:style>
  <w:style w:type="character" w:customStyle="1" w:styleId="26">
    <w:name w:val="标题 3 字符"/>
    <w:basedOn w:val="17"/>
    <w:link w:val="4"/>
    <w:qFormat/>
    <w:uiPriority w:val="9"/>
    <w:rPr>
      <w:rFonts w:ascii="宋体" w:hAnsi="宋体" w:cs="宋体"/>
      <w:b/>
      <w:bCs/>
      <w:sz w:val="27"/>
      <w:szCs w:val="27"/>
    </w:rPr>
  </w:style>
  <w:style w:type="character" w:customStyle="1" w:styleId="27">
    <w:name w:val="标题 1 字符"/>
    <w:basedOn w:val="17"/>
    <w:link w:val="2"/>
    <w:qFormat/>
    <w:uiPriority w:val="9"/>
    <w:rPr>
      <w:rFonts w:asciiTheme="minorHAnsi" w:hAnsiTheme="minorHAnsi" w:eastAsiaTheme="minorEastAsia" w:cstheme="minorBidi"/>
      <w:b/>
      <w:bCs/>
      <w:kern w:val="2"/>
      <w:sz w:val="44"/>
      <w:szCs w:val="44"/>
    </w:rPr>
  </w:style>
  <w:style w:type="character" w:customStyle="1" w:styleId="28">
    <w:name w:val="标题 2 字符"/>
    <w:basedOn w:val="17"/>
    <w:link w:val="3"/>
    <w:semiHidden/>
    <w:qFormat/>
    <w:uiPriority w:val="9"/>
    <w:rPr>
      <w:rFonts w:asciiTheme="majorHAnsi" w:hAnsiTheme="majorHAnsi" w:eastAsiaTheme="majorEastAsia" w:cstheme="majorBidi"/>
      <w:b/>
      <w:bCs/>
      <w:kern w:val="2"/>
      <w:sz w:val="32"/>
      <w:szCs w:val="32"/>
    </w:rPr>
  </w:style>
  <w:style w:type="character" w:customStyle="1" w:styleId="29">
    <w:name w:val="Internet 链接"/>
    <w:basedOn w:val="17"/>
    <w:unhideWhenUsed/>
    <w:qFormat/>
    <w:uiPriority w:val="99"/>
    <w:rPr>
      <w:color w:val="0000FF" w:themeColor="hyperlink"/>
      <w:u w:val="single"/>
      <w14:textFill>
        <w14:solidFill>
          <w14:schemeClr w14:val="hlink"/>
        </w14:solidFill>
      </w14:textFill>
    </w:rPr>
  </w:style>
  <w:style w:type="paragraph" w:customStyle="1" w:styleId="30">
    <w:name w:val="标题样式"/>
    <w:basedOn w:val="1"/>
    <w:next w:val="7"/>
    <w:qFormat/>
    <w:uiPriority w:val="0"/>
    <w:pPr>
      <w:keepNext/>
      <w:spacing w:before="240" w:after="120"/>
    </w:pPr>
    <w:rPr>
      <w:rFonts w:ascii="Liberation Sans" w:hAnsi="Liberation Sans" w:eastAsia="微软雅黑" w:cs="Lucida Sans"/>
      <w:sz w:val="28"/>
      <w:szCs w:val="28"/>
    </w:rPr>
  </w:style>
  <w:style w:type="paragraph" w:customStyle="1" w:styleId="31">
    <w:name w:val="索引"/>
    <w:basedOn w:val="1"/>
    <w:qFormat/>
    <w:uiPriority w:val="0"/>
    <w:pPr>
      <w:suppressLineNumbers/>
    </w:pPr>
    <w:rPr>
      <w:rFonts w:cs="Lucida Sans"/>
    </w:rPr>
  </w:style>
  <w:style w:type="paragraph" w:customStyle="1" w:styleId="32">
    <w:name w:val="列出段落1"/>
    <w:basedOn w:val="1"/>
    <w:qFormat/>
    <w:uiPriority w:val="34"/>
    <w:pPr>
      <w:widowControl w:val="0"/>
      <w:ind w:firstLine="420"/>
      <w:jc w:val="both"/>
    </w:pPr>
    <w:rPr>
      <w:rFonts w:asciiTheme="minorHAnsi" w:hAnsiTheme="minorHAnsi" w:eastAsiaTheme="minorEastAsia" w:cstheme="minorBidi"/>
      <w:kern w:val="2"/>
      <w:sz w:val="21"/>
      <w:szCs w:val="22"/>
    </w:rPr>
  </w:style>
  <w:style w:type="paragraph" w:customStyle="1" w:styleId="33">
    <w:name w:val="Default"/>
    <w:qFormat/>
    <w:uiPriority w:val="0"/>
    <w:pPr>
      <w:widowControl w:val="0"/>
    </w:pPr>
    <w:rPr>
      <w:rFonts w:ascii="楷体_GB2312" w:eastAsia="楷体_GB2312" w:cs="楷体_GB2312" w:hAnsiTheme="minorHAnsi"/>
      <w:color w:val="000000"/>
      <w:sz w:val="24"/>
      <w:szCs w:val="24"/>
      <w:lang w:val="en-US" w:eastAsia="zh-CN" w:bidi="ar-SA"/>
    </w:rPr>
  </w:style>
  <w:style w:type="paragraph" w:styleId="34">
    <w:name w:val="List Paragraph"/>
    <w:basedOn w:val="1"/>
    <w:qFormat/>
    <w:uiPriority w:val="99"/>
    <w:pPr>
      <w:widowControl w:val="0"/>
      <w:ind w:firstLine="420"/>
      <w:jc w:val="both"/>
    </w:pPr>
    <w:rPr>
      <w:rFonts w:asciiTheme="minorHAnsi" w:hAnsiTheme="minorHAnsi" w:eastAsiaTheme="minorEastAsia" w:cstheme="minorBidi"/>
      <w:kern w:val="2"/>
      <w:sz w:val="21"/>
      <w:szCs w:val="22"/>
    </w:rPr>
  </w:style>
  <w:style w:type="paragraph" w:customStyle="1" w:styleId="35">
    <w:name w:val="修订1"/>
    <w:semiHidden/>
    <w:qFormat/>
    <w:uiPriority w:val="99"/>
    <w:rPr>
      <w:rFonts w:ascii="Times New Roman" w:hAnsi="Times New Roman" w:eastAsia="宋体" w:cs="Times New Roman"/>
      <w:sz w:val="24"/>
      <w:szCs w:val="24"/>
      <w:lang w:val="en-US" w:eastAsia="zh-CN" w:bidi="ar-SA"/>
    </w:rPr>
  </w:style>
  <w:style w:type="paragraph" w:customStyle="1" w:styleId="36">
    <w:name w:val="表格内容"/>
    <w:basedOn w:val="1"/>
    <w:qFormat/>
    <w:uiPriority w:val="0"/>
    <w:pPr>
      <w:suppressLineNumbers/>
    </w:pPr>
  </w:style>
  <w:style w:type="paragraph" w:customStyle="1" w:styleId="37">
    <w:name w:val="表格标题"/>
    <w:basedOn w:val="36"/>
    <w:qFormat/>
    <w:uiPriority w:val="0"/>
    <w:pPr>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E8FCD-C26D-483B-9619-4BBF0E5997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578</Words>
  <Characters>3300</Characters>
  <Lines>27</Lines>
  <Paragraphs>7</Paragraphs>
  <TotalTime>1</TotalTime>
  <ScaleCrop>false</ScaleCrop>
  <LinksUpToDate>false</LinksUpToDate>
  <CharactersWithSpaces>3871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2023-12-12T07:00:00Z</dcterms:created>
  <dc:creator>USER</dc:creator>
  <cp:lastModifiedBy>俊然</cp:lastModifiedBy>
  <cp:lastPrinted>2022-05-13T09:32:00Z</cp:lastPrinted>
  <dcterms:modified xsi:type="dcterms:W3CDTF">2023-12-12T07:20:17Z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CHINA</vt:lpwstr>
  </property>
  <property fmtid="{D5CDD505-2E9C-101B-9397-08002B2CF9AE}" pid="4" name="DocSecurity">
    <vt:i4>0</vt:i4>
  </property>
  <property fmtid="{D5CDD505-2E9C-101B-9397-08002B2CF9AE}" pid="5" name="HyperlinksChanged">
    <vt:bool>false</vt:bool>
  </property>
  <property fmtid="{D5CDD505-2E9C-101B-9397-08002B2CF9AE}" pid="6" name="ICV">
    <vt:lpwstr>E90A370E6E38931C7C79C860A7A5E561</vt:lpwstr>
  </property>
  <property fmtid="{D5CDD505-2E9C-101B-9397-08002B2CF9AE}" pid="7" name="KSOProductBuildVer">
    <vt:lpwstr>2052-12.1.0.15990</vt:lpwstr>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