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jc w:val="center"/>
      </w:pPr>
      <w:r>
        <w:rPr>
          <w:rFonts w:ascii="Arial" w:hAnsi="Arial" w:eastAsia="华文楷体" w:cs="Arial"/>
          <w:b/>
          <w:color w:val="000000" w:themeColor="text1"/>
          <w:sz w:val="36"/>
          <w:szCs w:val="36"/>
          <w14:textFill>
            <w14:solidFill>
              <w14:schemeClr w14:val="tx1"/>
            </w14:solidFill>
          </w14:textFill>
        </w:rPr>
        <w:t>关于（2022）京74执418号案件</w:t>
      </w:r>
    </w:p>
    <w:p>
      <w:pPr>
        <w:spacing w:before="156" w:after="156"/>
        <w:jc w:val="center"/>
        <w:rPr>
          <w:rFonts w:ascii="Arial" w:hAnsi="Arial" w:eastAsia="华文楷体" w:cs="Arial"/>
          <w:b/>
          <w:color w:val="000000" w:themeColor="text1"/>
          <w:sz w:val="36"/>
          <w:szCs w:val="36"/>
          <w14:textFill>
            <w14:solidFill>
              <w14:schemeClr w14:val="tx1"/>
            </w14:solidFill>
          </w14:textFill>
        </w:rPr>
      </w:pPr>
      <w:r>
        <w:rPr>
          <w:rFonts w:ascii="Arial" w:hAnsi="Arial" w:eastAsia="华文楷体" w:cs="Arial"/>
          <w:b/>
          <w:color w:val="000000" w:themeColor="text1"/>
          <w:sz w:val="36"/>
          <w:szCs w:val="36"/>
          <w14:textFill>
            <w14:solidFill>
              <w14:schemeClr w14:val="tx1"/>
            </w14:solidFill>
          </w14:textFill>
        </w:rPr>
        <w:t>异议答复</w:t>
      </w:r>
    </w:p>
    <w:p>
      <w:pPr>
        <w:spacing w:before="312" w:after="0" w:line="276" w:lineRule="auto"/>
        <w:rPr>
          <w:rFonts w:ascii="Arial" w:hAnsi="Arial" w:eastAsia="华文楷体" w:cs="Arial"/>
          <w:b/>
          <w:color w:val="000000" w:themeColor="text1"/>
          <w:sz w:val="28"/>
          <w:szCs w:val="28"/>
          <w14:textFill>
            <w14:solidFill>
              <w14:schemeClr w14:val="tx1"/>
            </w14:solidFill>
          </w14:textFill>
        </w:rPr>
      </w:pPr>
      <w:r>
        <w:rPr>
          <w:rFonts w:ascii="Arial" w:hAnsi="Arial" w:eastAsia="华文楷体" w:cs="Arial"/>
          <w:b/>
          <w:color w:val="000000" w:themeColor="text1"/>
          <w:sz w:val="28"/>
          <w:szCs w:val="28"/>
          <w14:textFill>
            <w14:solidFill>
              <w14:schemeClr w14:val="tx1"/>
            </w14:solidFill>
          </w14:textFill>
        </w:rPr>
        <w:t>北京金融法院：</w:t>
      </w:r>
    </w:p>
    <w:p>
      <w:pPr>
        <w:spacing w:before="0" w:after="0"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我公司于2023年2月15日受贵院委托对北京润丰房地产开发有限公司名下的位于北京市朝阳区青年路西里5号院16号楼的9处房产进行评估，并于2023年11月7日出具《不动产估价报告书》[康正执评字2023-1-0250-F01SFZC6]。</w:t>
      </w:r>
    </w:p>
    <w:p>
      <w:pPr>
        <w:spacing w:before="0" w:after="0"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 xml:space="preserve">2023年12月7日，我公司收到贵院寄来的《评估报告异议申请书》，现对异议申请人北京润丰房地产开发有限公司提出的异议作如下答复： </w:t>
      </w:r>
    </w:p>
    <w:p>
      <w:pPr>
        <w:spacing w:before="0" w:after="0" w:line="480" w:lineRule="auto"/>
        <w:ind w:firstLine="560"/>
        <w:contextualSpacing/>
      </w:pPr>
      <w:r>
        <w:rPr>
          <w:rFonts w:ascii="Arial" w:hAnsi="Arial" w:eastAsia="华文楷体" w:cs="Arial"/>
          <w:b/>
          <w:color w:val="000000" w:themeColor="text1"/>
          <w:sz w:val="28"/>
          <w:szCs w:val="28"/>
          <w14:textFill>
            <w14:solidFill>
              <w14:schemeClr w14:val="tx1"/>
            </w14:solidFill>
          </w14:textFill>
        </w:rPr>
        <w:t>异议一：对于《评估报告》中9套配套商业用房即评估对象采用“成本法+收益法”进行评估的方式及过程不予认可，该方法明显违背评估原则，对异议人造成严重损害，应采用“收益法+比较法”进行估价更为科学合理，且能最大程度维护异议人的权益。</w:t>
      </w:r>
    </w:p>
    <w:p>
      <w:pPr>
        <w:spacing w:before="0" w:after="0"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答复1：根据中华人民共和国国家标准《房地产估价规范》（GB/T50291-2015），成本法和比较法都是《房地产估价规范》中规定的估价方法。我公司遵循估价原则、依照估价程序、根据估价目的、结合估价对象的具体情况，确定成本法和收益法为适用的估价方法。</w:t>
      </w:r>
    </w:p>
    <w:p>
      <w:pPr>
        <w:spacing w:before="0" w:after="0"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异议二：《评估报告》对于估价对象的评定价值明显过低，远低于所在区域板块的真实市场价值，甚至低于较偏远区域的商业成交价格，而且未考虑估价对象为一个整体商业环境和整体使用功能的因素。</w:t>
      </w:r>
    </w:p>
    <w:p>
      <w:pPr>
        <w:spacing w:before="0" w:after="0"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答复2：我公司根据估价对象9处房产所处的楼层、部位，以及租约的租金价格水平、租期长短等具体情况，严格遵循中华人民共和国国家标准《房地产估价规范》（GB/T50291-2015），得出估价结果，并撰写估价报告。本估价报告作为估价对象的</w:t>
      </w:r>
      <w:bookmarkStart w:id="0" w:name="__DdeLink__1304_1579053525"/>
      <w:r>
        <w:rPr>
          <w:rFonts w:ascii="Arial" w:hAnsi="Arial" w:eastAsia="华文楷体" w:cs="Arial"/>
          <w:color w:val="000000" w:themeColor="text1"/>
          <w:sz w:val="28"/>
          <w:szCs w:val="28"/>
          <w14:textFill>
            <w14:solidFill>
              <w14:schemeClr w14:val="tx1"/>
            </w14:solidFill>
          </w14:textFill>
        </w:rPr>
        <w:t>涉执房地产处置司法评估</w:t>
      </w:r>
      <w:bookmarkEnd w:id="0"/>
      <w:r>
        <w:rPr>
          <w:rFonts w:ascii="Arial" w:hAnsi="Arial" w:eastAsia="华文楷体" w:cs="Arial"/>
          <w:color w:val="000000" w:themeColor="text1"/>
          <w:sz w:val="28"/>
          <w:szCs w:val="28"/>
          <w14:textFill>
            <w14:solidFill>
              <w14:schemeClr w14:val="tx1"/>
            </w14:solidFill>
          </w14:textFill>
        </w:rPr>
        <w:t>，我公司在充分了解估价对象权属状况，全面考虑影响价格的因素，调研了市场行情的基础上，做出的在估价时点的符合正常市场水平的估价结果。</w:t>
      </w:r>
    </w:p>
    <w:p>
      <w:pPr>
        <w:spacing w:before="0" w:after="0"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异议三：从近两年对估价对象的历史估价结果来看，结合估价对象所在朝青板块的优势区位，交通便捷程度，周边社区繁华程度以及类似商业交易和租赁价格等综合因素表明，本次估价远低于历史评估价格。</w:t>
      </w:r>
    </w:p>
    <w:p>
      <w:pPr>
        <w:spacing w:line="480" w:lineRule="auto"/>
        <w:ind w:firstLine="560"/>
        <w:jc w:val="both"/>
        <w:rPr>
          <w:rFonts w:ascii="Arial" w:hAnsi="Arial" w:eastAsia="华文楷体" w:cs="Arial"/>
          <w:color w:val="000000" w:themeColor="text1"/>
          <w:kern w:val="0"/>
          <w:sz w:val="28"/>
          <w:szCs w:val="28"/>
          <w:lang w:val="en-US" w:eastAsia="zh-CN" w:bidi="ar-SA"/>
          <w14:textFill>
            <w14:solidFill>
              <w14:schemeClr w14:val="tx1"/>
            </w14:solidFill>
          </w14:textFill>
        </w:rPr>
      </w:pPr>
      <w:r>
        <w:rPr>
          <w:rFonts w:ascii="Arial" w:hAnsi="Arial" w:eastAsia="华文楷体" w:cs="Arial"/>
          <w:color w:val="000000" w:themeColor="text1"/>
          <w:kern w:val="0"/>
          <w:sz w:val="28"/>
          <w:szCs w:val="28"/>
          <w:lang w:val="en-US" w:eastAsia="zh-CN" w:bidi="ar-SA"/>
          <w14:textFill>
            <w14:solidFill>
              <w14:schemeClr w14:val="tx1"/>
            </w14:solidFill>
          </w14:textFill>
        </w:rPr>
        <w:t>答复3：根据中华人民共和国国家标准《房地产估价规范》[GB/T 50291-2015]的规定，房地产市场价值评估须遵循“价值时点原则”，异议申请人所提的“2021年4月2日抵押价值评估”、“2018年融资价值评定”等均与本次涉执房地产处置司法评估的价值时点、估价目的不相一致，不具有任何可比性。</w:t>
      </w:r>
    </w:p>
    <w:p>
      <w:pPr>
        <w:spacing w:before="0" w:after="0"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 xml:space="preserve"> 异议四：估价一览表中形成的最终估价结果没有充分依据支撑，没有详细全面的演算过程，没有完整和全面的估价过程。另外，结合评估机构调取的四环-五环中商业房屋销售数据，将估价对象单价草率确定为30458元/平方米，非常不合理。</w:t>
      </w:r>
    </w:p>
    <w:p>
      <w:pPr>
        <w:spacing w:before="0" w:after="0"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答复4：根据《房地产估价规范》[GB/T 50291-2015]、《涉执房地产处置司法评估指导意见（试行）》等相关规定，估价报告分为估价结果报告和估价技术报告，估价结果报告是向估价委托人提供的，估价技术报告是估价机构存档并提供行政管理部门核查备案及技术评审使用。</w:t>
      </w:r>
    </w:p>
    <w:p>
      <w:pPr>
        <w:spacing w:before="0" w:after="0"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异议五：《评估报告》的出具明显超出法定期限，不符合法律相关规定，康正评估涉嫌评估程序违法。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60" w:firstLineChars="200"/>
        <w:jc w:val="left"/>
        <w:textAlignment w:val="auto"/>
        <w:rPr>
          <w:rFonts w:hint="default" w:ascii="Arial" w:hAnsi="Arial" w:eastAsia="华文楷体" w:cs="Arial"/>
          <w:b w:val="0"/>
          <w:bCs w:val="0"/>
          <w:color w:val="000000" w:themeColor="text1"/>
          <w:kern w:val="0"/>
          <w:sz w:val="28"/>
          <w:szCs w:val="28"/>
          <w:lang w:val="en-US" w:eastAsia="zh-CN" w:bidi="ar-SA"/>
          <w14:textFill>
            <w14:solidFill>
              <w14:schemeClr w14:val="tx1"/>
            </w14:solidFill>
          </w14:textFill>
        </w:rPr>
      </w:pPr>
      <w:r>
        <w:rPr>
          <w:rFonts w:ascii="Arial" w:hAnsi="Arial" w:eastAsia="华文楷体" w:cs="Arial"/>
          <w:b w:val="0"/>
          <w:bCs w:val="0"/>
          <w:color w:val="000000" w:themeColor="text1"/>
          <w:kern w:val="0"/>
          <w:sz w:val="28"/>
          <w:szCs w:val="28"/>
          <w:lang w:val="en-US" w:eastAsia="zh-CN" w:bidi="ar-SA"/>
          <w14:textFill>
            <w14:solidFill>
              <w14:schemeClr w14:val="tx1"/>
            </w14:solidFill>
          </w14:textFill>
        </w:rPr>
        <w:t>答复5：根据</w:t>
      </w:r>
      <w:r>
        <w:rPr>
          <w:rFonts w:hint="eastAsia" w:ascii="Arial" w:hAnsi="Arial" w:eastAsia="华文楷体" w:cs="Arial"/>
          <w:b w:val="0"/>
          <w:bCs w:val="0"/>
          <w:color w:val="000000" w:themeColor="text1"/>
          <w:kern w:val="0"/>
          <w:sz w:val="28"/>
          <w:szCs w:val="28"/>
          <w:lang w:val="en-US" w:eastAsia="zh-CN" w:bidi="ar-SA"/>
          <w14:textFill>
            <w14:solidFill>
              <w14:schemeClr w14:val="tx1"/>
            </w14:solidFill>
          </w14:textFill>
        </w:rPr>
        <w:t>《</w:t>
      </w:r>
      <w:r>
        <w:rPr>
          <w:rFonts w:hint="eastAsia" w:ascii="Arial" w:hAnsi="Arial" w:eastAsia="华文楷体" w:cs="Arial"/>
          <w:b w:val="0"/>
          <w:bCs w:val="0"/>
          <w:color w:val="000000" w:themeColor="text1"/>
          <w:kern w:val="0"/>
          <w:sz w:val="28"/>
          <w:szCs w:val="28"/>
          <w:lang w:val="en-US" w:eastAsia="zh-CN" w:bidi="ar-SA"/>
          <w14:textFill>
            <w14:solidFill>
              <w14:schemeClr w14:val="tx1"/>
            </w14:solidFill>
          </w14:textFill>
        </w:rPr>
        <w:t>关于印发&lt;人民法院委托评估工作规范&gt;的通知</w:t>
      </w:r>
      <w:r>
        <w:rPr>
          <w:rFonts w:hint="eastAsia" w:ascii="Arial" w:hAnsi="Arial" w:eastAsia="华文楷体" w:cs="Arial"/>
          <w:b w:val="0"/>
          <w:bCs w:val="0"/>
          <w:color w:val="000000" w:themeColor="text1"/>
          <w:kern w:val="0"/>
          <w:sz w:val="28"/>
          <w:szCs w:val="28"/>
          <w:lang w:val="en-US" w:eastAsia="zh-CN" w:bidi="ar-SA"/>
          <w14:textFill>
            <w14:solidFill>
              <w14:schemeClr w14:val="tx1"/>
            </w14:solidFill>
          </w14:textFill>
        </w:rPr>
        <w:t>》</w:t>
      </w:r>
      <w:r>
        <w:rPr>
          <w:rFonts w:hint="eastAsia" w:ascii="Arial" w:hAnsi="Arial" w:eastAsia="华文楷体" w:cs="Arial"/>
          <w:b w:val="0"/>
          <w:bCs w:val="0"/>
          <w:color w:val="000000" w:themeColor="text1"/>
          <w:kern w:val="0"/>
          <w:sz w:val="28"/>
          <w:szCs w:val="28"/>
          <w:lang w:val="en-US" w:eastAsia="zh-CN" w:bidi="ar-SA"/>
          <w14:textFill>
            <w14:solidFill>
              <w14:schemeClr w14:val="tx1"/>
            </w14:solidFill>
          </w14:textFill>
        </w:rPr>
        <w:t>（法办[2018]273号）及附件，</w:t>
      </w:r>
      <w:r>
        <w:rPr>
          <w:rFonts w:hint="eastAsia" w:ascii="Arial" w:hAnsi="Arial" w:eastAsia="华文楷体" w:cs="Arial"/>
          <w:b w:val="0"/>
          <w:bCs w:val="0"/>
          <w:color w:val="000000" w:themeColor="text1"/>
          <w:kern w:val="0"/>
          <w:sz w:val="28"/>
          <w:szCs w:val="28"/>
          <w:lang w:val="en-US" w:eastAsia="zh-CN" w:bidi="ar-SA"/>
          <w14:textFill>
            <w14:solidFill>
              <w14:schemeClr w14:val="tx1"/>
            </w14:solidFill>
          </w14:textFill>
        </w:rPr>
        <w:t>第二十条，评估机构应在收到评估委托书和相关材料后三十日内出具评估报告，并通过系统发送给人民法院</w:t>
      </w:r>
      <w:r>
        <w:rPr>
          <w:rFonts w:ascii="Arial" w:hAnsi="Arial" w:eastAsia="华文楷体" w:cs="Arial"/>
          <w:b w:val="0"/>
          <w:bCs w:val="0"/>
          <w:color w:val="000000" w:themeColor="text1"/>
          <w:kern w:val="0"/>
          <w:sz w:val="28"/>
          <w:szCs w:val="28"/>
          <w:lang w:val="en-US" w:eastAsia="zh-CN" w:bidi="ar-SA"/>
          <w14:textFill>
            <w14:solidFill>
              <w14:schemeClr w14:val="tx1"/>
            </w14:solidFill>
          </w14:textFill>
        </w:rPr>
        <w:t>。</w:t>
      </w:r>
      <w:r>
        <w:rPr>
          <w:rFonts w:hint="eastAsia" w:ascii="Arial" w:hAnsi="Arial" w:eastAsia="华文楷体" w:cs="Arial"/>
          <w:b w:val="0"/>
          <w:bCs w:val="0"/>
          <w:color w:val="000000" w:themeColor="text1"/>
          <w:kern w:val="0"/>
          <w:sz w:val="28"/>
          <w:szCs w:val="28"/>
          <w:lang w:val="en-US" w:eastAsia="zh-CN" w:bidi="ar-SA"/>
          <w14:textFill>
            <w14:solidFill>
              <w14:schemeClr w14:val="tx1"/>
            </w14:solidFill>
          </w14:textFill>
        </w:rPr>
        <w:t>附件《人民法院</w:t>
      </w:r>
      <w:r>
        <w:rPr>
          <w:rFonts w:hint="eastAsia" w:ascii="Arial" w:hAnsi="Arial" w:eastAsia="华文楷体" w:cs="Arial"/>
          <w:b w:val="0"/>
          <w:bCs w:val="0"/>
          <w:color w:val="000000" w:themeColor="text1"/>
          <w:kern w:val="0"/>
          <w:sz w:val="28"/>
          <w:szCs w:val="28"/>
          <w:lang w:val="en-US" w:eastAsia="zh-CN" w:bidi="ar-SA"/>
          <w14:textFill>
            <w14:solidFill>
              <w14:schemeClr w14:val="tx1"/>
            </w14:solidFill>
          </w14:textFill>
        </w:rPr>
        <w:t>委托评估需要提供的材料清单</w:t>
      </w:r>
      <w:r>
        <w:rPr>
          <w:rFonts w:hint="eastAsia" w:ascii="Arial" w:hAnsi="Arial" w:eastAsia="华文楷体" w:cs="Arial"/>
          <w:b w:val="0"/>
          <w:bCs w:val="0"/>
          <w:color w:val="000000" w:themeColor="text1"/>
          <w:kern w:val="0"/>
          <w:sz w:val="28"/>
          <w:szCs w:val="28"/>
          <w:lang w:val="en-US" w:eastAsia="zh-CN" w:bidi="ar-SA"/>
          <w14:textFill>
            <w14:solidFill>
              <w14:schemeClr w14:val="tx1"/>
            </w14:solidFill>
          </w14:textFill>
        </w:rPr>
        <w:t>》，一、房地产类（一）必需材料包括，...3.抵押等他项权证明，已出租房地产的租赁合同；4.法院查明的财产权属、质量瑕疵等材料，以及关于财产的特殊情况说明。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60" w:firstLineChars="200"/>
        <w:jc w:val="left"/>
        <w:textAlignment w:val="auto"/>
        <w:rPr>
          <w:rFonts w:hint="eastAsia" w:ascii="Arial" w:hAnsi="Arial" w:eastAsia="华文楷体" w:cs="Arial"/>
          <w:b w:val="0"/>
          <w:bCs w:val="0"/>
          <w:color w:val="000000" w:themeColor="text1"/>
          <w:kern w:val="0"/>
          <w:sz w:val="28"/>
          <w:szCs w:val="28"/>
          <w:lang w:val="en-US" w:eastAsia="zh-CN" w:bidi="ar-SA"/>
          <w14:textFill>
            <w14:solidFill>
              <w14:schemeClr w14:val="tx1"/>
            </w14:solidFill>
          </w14:textFill>
        </w:rPr>
      </w:pPr>
      <w:r>
        <w:rPr>
          <w:rFonts w:hint="eastAsia" w:ascii="Arial" w:hAnsi="Arial" w:eastAsia="华文楷体" w:cs="Arial"/>
          <w:b w:val="0"/>
          <w:bCs w:val="0"/>
          <w:color w:val="000000" w:themeColor="text1"/>
          <w:kern w:val="0"/>
          <w:sz w:val="28"/>
          <w:szCs w:val="28"/>
          <w:lang w:val="en-US" w:eastAsia="zh-CN" w:bidi="ar-SA"/>
          <w14:textFill>
            <w14:solidFill>
              <w14:schemeClr w14:val="tx1"/>
            </w14:solidFill>
          </w14:textFill>
        </w:rPr>
        <w:t>我司在收到贵院委托函后，积极与联系人沟通评估事</w:t>
      </w:r>
      <w:r>
        <w:rPr>
          <w:rFonts w:hint="eastAsia" w:ascii="Arial" w:hAnsi="Arial" w:eastAsia="华文楷体" w:cs="Arial"/>
          <w:b w:val="0"/>
          <w:bCs w:val="0"/>
          <w:color w:val="000000" w:themeColor="text1"/>
          <w:kern w:val="0"/>
          <w:sz w:val="28"/>
          <w:szCs w:val="28"/>
          <w:lang w:val="en-US" w:eastAsia="zh-CN" w:bidi="ar-SA"/>
          <w14:textFill>
            <w14:solidFill>
              <w14:schemeClr w14:val="tx1"/>
            </w14:solidFill>
          </w14:textFill>
        </w:rPr>
        <w:t>宜。因《北京金融法院委托书》[（2022）京74执418号]中，仅有刘辉法官的联系方式，通过刘辉法官，我司评估专业人员于2023年3月22日得到司法辅助人员联系方式，并通过司法辅助人员得到当事人北京国际信托有限公司代理人联系方式。2023年3月24日我司评估专业人员与当事人北京国际信托有限公司代理人取得联系并通知其预缴评估费，并等其回复。2023年4月3日至5月5日，我司评估专业人员多次与当事人、司法辅助人员及贵院申法官联系，在满足了实地查勘条件后，于2023年5月8日对估价对象进行了实地查勘。2023年5月8日至10月9日，我司评估专业人员多次就本次评估所缺少的必需材料与当事人北京国际信托有限公司工作人员、被执行方工作人员、司法辅助人员等进行沟通，并发送了补充材料说明。至2023年10月10日，我司评估专业人员陆续收齐测绘报告、租赁合同等评估必需材料，并于2023年11月7日出具了《不动产估价报告书》[康正执评字2023-1-0250-F01SFZC6]。整个过程不存在嫌评估程序违法的情况。</w:t>
      </w:r>
    </w:p>
    <w:p>
      <w:pPr>
        <w:spacing w:before="0" w:after="0" w:line="480" w:lineRule="auto"/>
        <w:ind w:firstLine="560"/>
        <w:contextualSpacing/>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特此说明。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60" w:firstLineChars="200"/>
        <w:jc w:val="left"/>
        <w:textAlignment w:val="auto"/>
        <w:rPr>
          <w:rFonts w:hint="eastAsia" w:ascii="Arial" w:hAnsi="Arial" w:eastAsia="华文楷体" w:cs="Arial"/>
          <w:b w:val="0"/>
          <w:bCs w:val="0"/>
          <w:color w:val="000000" w:themeColor="text1"/>
          <w:kern w:val="0"/>
          <w:sz w:val="28"/>
          <w:szCs w:val="28"/>
          <w:lang w:val="en-US" w:eastAsia="zh-CN" w:bidi="ar-SA"/>
          <w14:textFill>
            <w14:solidFill>
              <w14:schemeClr w14:val="tx1"/>
            </w14:solidFill>
          </w14:textFill>
        </w:rPr>
      </w:pPr>
    </w:p>
    <w:p>
      <w:pPr>
        <w:spacing w:before="0" w:after="0"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p>
    <w:p>
      <w:pPr>
        <w:spacing w:before="0" w:after="0"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p>
    <w:p>
      <w:pPr>
        <w:spacing w:line="480" w:lineRule="auto"/>
        <w:ind w:firstLine="4340"/>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北京康正宏基房地产评估有限公司</w:t>
      </w:r>
    </w:p>
    <w:p>
      <w:pPr>
        <w:spacing w:line="480" w:lineRule="auto"/>
        <w:ind w:firstLine="840"/>
        <w:jc w:val="right"/>
      </w:pPr>
      <w:r>
        <w:rPr>
          <w:rFonts w:ascii="Arial" w:hAnsi="Arial" w:eastAsia="华文楷体" w:cs="Arial"/>
          <w:color w:val="000000" w:themeColor="text1"/>
          <w:sz w:val="28"/>
          <w:szCs w:val="28"/>
          <w14:textFill>
            <w14:solidFill>
              <w14:schemeClr w14:val="tx1"/>
            </w14:solidFill>
          </w14:textFill>
        </w:rPr>
        <w:t>二〇二三年十二月</w:t>
      </w:r>
      <w:bookmarkStart w:id="1" w:name="_GoBack"/>
      <w:r>
        <w:rPr>
          <w:rFonts w:ascii="Arial" w:hAnsi="Arial" w:eastAsia="华文楷体" w:cs="Arial"/>
          <w:color w:val="000000" w:themeColor="text1"/>
          <w:sz w:val="28"/>
          <w:szCs w:val="28"/>
          <w14:textFill>
            <w14:solidFill>
              <w14:schemeClr w14:val="tx1"/>
            </w14:solidFill>
          </w14:textFill>
        </w:rPr>
        <w:t>十一</w:t>
      </w:r>
      <w:bookmarkEnd w:id="1"/>
      <w:r>
        <w:rPr>
          <w:rFonts w:ascii="Arial" w:hAnsi="Arial" w:eastAsia="华文楷体" w:cs="Arial"/>
          <w:color w:val="000000" w:themeColor="text1"/>
          <w:sz w:val="28"/>
          <w:szCs w:val="28"/>
          <w14:textFill>
            <w14:solidFill>
              <w14:schemeClr w14:val="tx1"/>
            </w14:solidFill>
          </w14:textFill>
        </w:rPr>
        <w:t>日</w:t>
      </w:r>
    </w:p>
    <w:sectPr>
      <w:headerReference r:id="rId3" w:type="default"/>
      <w:pgSz w:w="11906" w:h="16838"/>
      <w:pgMar w:top="1440" w:right="1558" w:bottom="1440" w:left="1800" w:header="851" w:footer="0"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roman"/>
    <w:pitch w:val="default"/>
    <w:sig w:usb0="E10002FF" w:usb1="4000ACFF" w:usb2="00000009" w:usb3="00000000" w:csb0="2000019F" w:csb1="00000000"/>
  </w:font>
  <w:font w:name="Cambria">
    <w:panose1 w:val="02040503050406030204"/>
    <w:charset w:val="86"/>
    <w:family w:val="roman"/>
    <w:pitch w:val="default"/>
    <w:sig w:usb0="E00002FF" w:usb1="400004FF" w:usb2="00000000" w:usb3="00000000" w:csb0="2000019F" w:csb1="00000000"/>
  </w:font>
  <w:font w:name="Liberation Sans">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Lucida Sans">
    <w:panose1 w:val="020B0602030504020204"/>
    <w:charset w:val="00"/>
    <w:family w:val="auto"/>
    <w:pitch w:val="default"/>
    <w:sig w:usb0="00000003" w:usb1="00000000" w:usb2="00000000" w:usb3="00000000" w:csb0="20000001" w:csb1="00000000"/>
  </w:font>
  <w:font w:name="楷体_GB2312">
    <w:altName w:val="楷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stretch>
                    <a:fillRect/>
                  </a:stretch>
                </pic:blipFill>
                <pic:spPr>
                  <a:xfrm>
                    <a:off x="0" y="0"/>
                    <a:ext cx="5543550" cy="2749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2ZjVlM2VmNjAwMmNmMzg0MTcxOTI1ODA5M2MyOGEifQ=="/>
  </w:docVars>
  <w:rsids>
    <w:rsidRoot w:val="00000000"/>
    <w:rsid w:val="05B83FB7"/>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jc w:val="left"/>
    </w:pPr>
    <w:rPr>
      <w:rFonts w:ascii="Times New Roman" w:hAnsi="Times New Roman" w:eastAsia="宋体" w:cs="Times New Roman"/>
      <w:color w:val="auto"/>
      <w:kern w:val="0"/>
      <w:sz w:val="24"/>
      <w:szCs w:val="24"/>
      <w:lang w:val="en-US" w:eastAsia="zh-CN" w:bidi="ar-SA"/>
    </w:rPr>
  </w:style>
  <w:style w:type="paragraph" w:styleId="2">
    <w:name w:val="heading 1"/>
    <w:basedOn w:val="1"/>
    <w:next w:val="1"/>
    <w:link w:val="27"/>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2"/>
      <w:sz w:val="44"/>
      <w:szCs w:val="44"/>
    </w:rPr>
  </w:style>
  <w:style w:type="paragraph" w:styleId="3">
    <w:name w:val="heading 2"/>
    <w:basedOn w:val="1"/>
    <w:next w:val="1"/>
    <w:link w:val="28"/>
    <w:semiHidden/>
    <w:unhideWhenUsed/>
    <w:qFormat/>
    <w:uiPriority w:val="9"/>
    <w:pPr>
      <w:keepNext/>
      <w:keepLines/>
      <w:widowControl w:val="0"/>
      <w:spacing w:before="260" w:after="260" w:line="415" w:lineRule="auto"/>
      <w:jc w:val="both"/>
      <w:outlineLvl w:val="1"/>
    </w:pPr>
    <w:rPr>
      <w:rFonts w:asciiTheme="majorHAnsi" w:hAnsiTheme="majorHAnsi" w:eastAsiaTheme="majorEastAsia" w:cstheme="majorBidi"/>
      <w:b/>
      <w:bCs/>
      <w:kern w:val="2"/>
      <w:sz w:val="32"/>
      <w:szCs w:val="32"/>
    </w:rPr>
  </w:style>
  <w:style w:type="paragraph" w:styleId="4">
    <w:name w:val="heading 3"/>
    <w:basedOn w:val="1"/>
    <w:link w:val="26"/>
    <w:qFormat/>
    <w:uiPriority w:val="9"/>
    <w:pPr>
      <w:spacing w:beforeAutospacing="1" w:afterAutospacing="1"/>
      <w:outlineLvl w:val="2"/>
    </w:pPr>
    <w:rPr>
      <w:rFonts w:ascii="宋体" w:hAnsi="宋体" w:cs="宋体"/>
      <w:b/>
      <w:bCs/>
      <w:sz w:val="27"/>
      <w:szCs w:val="27"/>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caption"/>
    <w:basedOn w:val="1"/>
    <w:qFormat/>
    <w:uiPriority w:val="0"/>
    <w:pPr>
      <w:suppressLineNumbers/>
      <w:spacing w:before="120" w:after="120"/>
    </w:pPr>
    <w:rPr>
      <w:rFonts w:cs="Lucida Sans"/>
      <w:i/>
      <w:iCs/>
      <w:sz w:val="24"/>
      <w:szCs w:val="24"/>
    </w:rPr>
  </w:style>
  <w:style w:type="paragraph" w:styleId="6">
    <w:name w:val="annotation text"/>
    <w:basedOn w:val="1"/>
    <w:unhideWhenUsed/>
    <w:qFormat/>
    <w:uiPriority w:val="99"/>
    <w:pPr>
      <w:widowControl w:val="0"/>
    </w:pPr>
    <w:rPr>
      <w:rFonts w:asciiTheme="minorHAnsi" w:hAnsiTheme="minorHAnsi" w:eastAsiaTheme="minorEastAsia" w:cstheme="minorBidi"/>
      <w:kern w:val="2"/>
      <w:sz w:val="21"/>
      <w:szCs w:val="22"/>
    </w:rPr>
  </w:style>
  <w:style w:type="paragraph" w:styleId="7">
    <w:name w:val="Body Text"/>
    <w:basedOn w:val="1"/>
    <w:uiPriority w:val="0"/>
    <w:pPr>
      <w:spacing w:before="0" w:after="140" w:line="276" w:lineRule="auto"/>
    </w:pPr>
  </w:style>
  <w:style w:type="paragraph" w:styleId="8">
    <w:name w:val="Date"/>
    <w:basedOn w:val="1"/>
    <w:next w:val="1"/>
    <w:unhideWhenUsed/>
    <w:qFormat/>
    <w:uiPriority w:val="99"/>
    <w:pPr>
      <w:widowControl w:val="0"/>
      <w:ind w:left="100" w:firstLine="0"/>
      <w:jc w:val="both"/>
    </w:pPr>
    <w:rPr>
      <w:rFonts w:asciiTheme="minorHAnsi" w:hAnsiTheme="minorHAnsi" w:eastAsiaTheme="minorEastAsia" w:cstheme="minorBidi"/>
      <w:kern w:val="2"/>
      <w:sz w:val="21"/>
      <w:szCs w:val="22"/>
    </w:rPr>
  </w:style>
  <w:style w:type="paragraph" w:styleId="9">
    <w:name w:val="Balloon Text"/>
    <w:basedOn w:val="1"/>
    <w:unhideWhenUsed/>
    <w:qFormat/>
    <w:uiPriority w:val="99"/>
    <w:pPr>
      <w:widowControl w:val="0"/>
      <w:jc w:val="both"/>
    </w:pPr>
    <w:rPr>
      <w:rFonts w:asciiTheme="minorHAnsi" w:hAnsiTheme="minorHAnsi" w:eastAsiaTheme="minorEastAsia" w:cstheme="minorBidi"/>
      <w:kern w:val="2"/>
      <w:sz w:val="18"/>
      <w:szCs w:val="18"/>
    </w:rPr>
  </w:style>
  <w:style w:type="paragraph" w:styleId="10">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1">
    <w:name w:val="header"/>
    <w:basedOn w:val="1"/>
    <w:unhideWhenUsed/>
    <w:qFormat/>
    <w:uiPriority w:val="99"/>
    <w:pPr>
      <w:widowControl w:val="0"/>
      <w:pBdr>
        <w:bottom w:val="single" w:color="000000"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2">
    <w:name w:val="List"/>
    <w:basedOn w:val="7"/>
    <w:uiPriority w:val="0"/>
    <w:rPr>
      <w:rFonts w:cs="Lucida Sans"/>
    </w:rPr>
  </w:style>
  <w:style w:type="paragraph" w:styleId="13">
    <w:name w:val="Normal (Web)"/>
    <w:basedOn w:val="1"/>
    <w:semiHidden/>
    <w:unhideWhenUsed/>
    <w:qFormat/>
    <w:uiPriority w:val="99"/>
    <w:pPr>
      <w:spacing w:beforeAutospacing="1" w:afterAutospacing="1"/>
    </w:pPr>
    <w:rPr>
      <w:rFonts w:ascii="宋体" w:hAnsi="宋体" w:cs="宋体"/>
    </w:rPr>
  </w:style>
  <w:style w:type="paragraph" w:styleId="14">
    <w:name w:val="annotation subject"/>
    <w:basedOn w:val="6"/>
    <w:next w:val="6"/>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annotation reference"/>
    <w:basedOn w:val="17"/>
    <w:unhideWhenUsed/>
    <w:qFormat/>
    <w:uiPriority w:val="99"/>
    <w:rPr>
      <w:sz w:val="21"/>
      <w:szCs w:val="21"/>
    </w:rPr>
  </w:style>
  <w:style w:type="character" w:customStyle="1" w:styleId="20">
    <w:name w:val="页眉字符"/>
    <w:basedOn w:val="17"/>
    <w:qFormat/>
    <w:uiPriority w:val="99"/>
    <w:rPr>
      <w:sz w:val="18"/>
      <w:szCs w:val="18"/>
    </w:rPr>
  </w:style>
  <w:style w:type="character" w:customStyle="1" w:styleId="21">
    <w:name w:val="页脚字符"/>
    <w:basedOn w:val="17"/>
    <w:qFormat/>
    <w:uiPriority w:val="99"/>
    <w:rPr>
      <w:sz w:val="18"/>
      <w:szCs w:val="18"/>
    </w:rPr>
  </w:style>
  <w:style w:type="character" w:customStyle="1" w:styleId="22">
    <w:name w:val="批注框文本字符"/>
    <w:basedOn w:val="17"/>
    <w:semiHidden/>
    <w:qFormat/>
    <w:uiPriority w:val="99"/>
    <w:rPr>
      <w:sz w:val="18"/>
      <w:szCs w:val="18"/>
    </w:rPr>
  </w:style>
  <w:style w:type="character" w:customStyle="1" w:styleId="23">
    <w:name w:val="批注文字字符"/>
    <w:basedOn w:val="17"/>
    <w:semiHidden/>
    <w:qFormat/>
    <w:uiPriority w:val="99"/>
  </w:style>
  <w:style w:type="character" w:customStyle="1" w:styleId="24">
    <w:name w:val="批注主题字符"/>
    <w:basedOn w:val="23"/>
    <w:semiHidden/>
    <w:qFormat/>
    <w:uiPriority w:val="99"/>
    <w:rPr>
      <w:b/>
      <w:bCs/>
    </w:rPr>
  </w:style>
  <w:style w:type="character" w:customStyle="1" w:styleId="25">
    <w:name w:val="日期字符"/>
    <w:basedOn w:val="17"/>
    <w:semiHidden/>
    <w:qFormat/>
    <w:uiPriority w:val="99"/>
  </w:style>
  <w:style w:type="character" w:customStyle="1" w:styleId="26">
    <w:name w:val="标题 3字符"/>
    <w:basedOn w:val="17"/>
    <w:link w:val="4"/>
    <w:qFormat/>
    <w:uiPriority w:val="9"/>
    <w:rPr>
      <w:rFonts w:ascii="宋体" w:hAnsi="宋体" w:cs="宋体"/>
      <w:b/>
      <w:bCs/>
      <w:sz w:val="27"/>
      <w:szCs w:val="27"/>
    </w:rPr>
  </w:style>
  <w:style w:type="character" w:customStyle="1" w:styleId="27">
    <w:name w:val="标题 1字符"/>
    <w:basedOn w:val="17"/>
    <w:link w:val="2"/>
    <w:qFormat/>
    <w:uiPriority w:val="9"/>
    <w:rPr>
      <w:rFonts w:asciiTheme="minorHAnsi" w:hAnsiTheme="minorHAnsi" w:eastAsiaTheme="minorEastAsia" w:cstheme="minorBidi"/>
      <w:b/>
      <w:bCs/>
      <w:kern w:val="2"/>
      <w:sz w:val="44"/>
      <w:szCs w:val="44"/>
    </w:rPr>
  </w:style>
  <w:style w:type="character" w:customStyle="1" w:styleId="28">
    <w:name w:val="标题 2字符"/>
    <w:basedOn w:val="17"/>
    <w:link w:val="3"/>
    <w:semiHidden/>
    <w:qFormat/>
    <w:uiPriority w:val="9"/>
    <w:rPr>
      <w:rFonts w:asciiTheme="majorHAnsi" w:hAnsiTheme="majorHAnsi" w:eastAsiaTheme="majorEastAsia" w:cstheme="majorBidi"/>
      <w:b/>
      <w:bCs/>
      <w:kern w:val="2"/>
      <w:sz w:val="32"/>
      <w:szCs w:val="32"/>
    </w:rPr>
  </w:style>
  <w:style w:type="character" w:customStyle="1" w:styleId="29">
    <w:name w:val="Internet 链接"/>
    <w:basedOn w:val="17"/>
    <w:unhideWhenUsed/>
    <w:uiPriority w:val="99"/>
    <w:rPr>
      <w:color w:val="0000FF" w:themeColor="hyperlink"/>
      <w:u w:val="single"/>
      <w14:textFill>
        <w14:solidFill>
          <w14:schemeClr w14:val="hlink"/>
        </w14:solidFill>
      </w14:textFill>
    </w:rPr>
  </w:style>
  <w:style w:type="paragraph" w:customStyle="1" w:styleId="30">
    <w:name w:val="标题样式"/>
    <w:basedOn w:val="1"/>
    <w:next w:val="7"/>
    <w:qFormat/>
    <w:uiPriority w:val="0"/>
    <w:pPr>
      <w:keepNext/>
      <w:spacing w:before="240" w:after="120"/>
    </w:pPr>
    <w:rPr>
      <w:rFonts w:ascii="Liberation Sans" w:hAnsi="Liberation Sans" w:eastAsia="微软雅黑" w:cs="Lucida Sans"/>
      <w:sz w:val="28"/>
      <w:szCs w:val="28"/>
    </w:rPr>
  </w:style>
  <w:style w:type="paragraph" w:customStyle="1" w:styleId="31">
    <w:name w:val="索引"/>
    <w:basedOn w:val="1"/>
    <w:qFormat/>
    <w:uiPriority w:val="0"/>
    <w:pPr>
      <w:suppressLineNumbers/>
    </w:pPr>
    <w:rPr>
      <w:rFonts w:cs="Lucida Sans"/>
    </w:rPr>
  </w:style>
  <w:style w:type="paragraph" w:customStyle="1" w:styleId="32">
    <w:name w:val="列出段落1"/>
    <w:basedOn w:val="1"/>
    <w:qFormat/>
    <w:uiPriority w:val="34"/>
    <w:pPr>
      <w:widowControl w:val="0"/>
      <w:ind w:firstLine="420"/>
      <w:jc w:val="both"/>
    </w:pPr>
    <w:rPr>
      <w:rFonts w:asciiTheme="minorHAnsi" w:hAnsiTheme="minorHAnsi" w:eastAsiaTheme="minorEastAsia" w:cstheme="minorBidi"/>
      <w:kern w:val="2"/>
      <w:sz w:val="21"/>
      <w:szCs w:val="22"/>
    </w:rPr>
  </w:style>
  <w:style w:type="paragraph" w:customStyle="1" w:styleId="33">
    <w:name w:val="Default"/>
    <w:qFormat/>
    <w:uiPriority w:val="0"/>
    <w:pPr>
      <w:widowControl w:val="0"/>
      <w:bidi w:val="0"/>
      <w:jc w:val="left"/>
    </w:pPr>
    <w:rPr>
      <w:rFonts w:ascii="楷体_GB2312" w:eastAsia="楷体_GB2312" w:cs="楷体_GB2312" w:hAnsiTheme="minorHAnsi"/>
      <w:color w:val="000000"/>
      <w:kern w:val="0"/>
      <w:sz w:val="24"/>
      <w:szCs w:val="24"/>
      <w:lang w:val="en-US" w:eastAsia="zh-CN" w:bidi="ar-SA"/>
    </w:rPr>
  </w:style>
  <w:style w:type="paragraph" w:styleId="34">
    <w:name w:val="List Paragraph"/>
    <w:basedOn w:val="1"/>
    <w:qFormat/>
    <w:uiPriority w:val="99"/>
    <w:pPr>
      <w:widowControl w:val="0"/>
      <w:ind w:firstLine="420"/>
      <w:jc w:val="both"/>
    </w:pPr>
    <w:rPr>
      <w:rFonts w:asciiTheme="minorHAnsi" w:hAnsiTheme="minorHAnsi" w:eastAsiaTheme="minorEastAsia" w:cstheme="minorBidi"/>
      <w:kern w:val="2"/>
      <w:sz w:val="21"/>
      <w:szCs w:val="22"/>
    </w:rPr>
  </w:style>
  <w:style w:type="paragraph" w:customStyle="1" w:styleId="35">
    <w:name w:val="Revision"/>
    <w:semiHidden/>
    <w:qFormat/>
    <w:uiPriority w:val="99"/>
    <w:pPr>
      <w:widowControl/>
      <w:bidi w:val="0"/>
      <w:jc w:val="left"/>
    </w:pPr>
    <w:rPr>
      <w:rFonts w:ascii="Times New Roman" w:hAnsi="Times New Roman" w:eastAsia="宋体" w:cs="Times New Roman"/>
      <w:color w:val="auto"/>
      <w:kern w:val="0"/>
      <w:sz w:val="24"/>
      <w:szCs w:val="24"/>
      <w:lang w:val="en-US" w:eastAsia="zh-CN" w:bidi="ar-SA"/>
    </w:rPr>
  </w:style>
  <w:style w:type="paragraph" w:customStyle="1" w:styleId="36">
    <w:name w:val="表格内容"/>
    <w:basedOn w:val="1"/>
    <w:qFormat/>
    <w:uiPriority w:val="0"/>
    <w:pPr>
      <w:suppressLineNumbers/>
    </w:pPr>
  </w:style>
  <w:style w:type="paragraph" w:customStyle="1" w:styleId="37">
    <w:name w:val="表格标题"/>
    <w:basedOn w:val="36"/>
    <w:qFormat/>
    <w:uiPriority w:val="0"/>
    <w:pPr>
      <w:suppressLineNumbers/>
      <w:jc w:val="center"/>
    </w:pPr>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C274-556C-9C44-8E99-C0D8141EEE8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1229</Words>
  <Characters>1334</Characters>
  <Paragraphs>19</Paragraphs>
  <TotalTime>9</TotalTime>
  <ScaleCrop>false</ScaleCrop>
  <LinksUpToDate>false</LinksUpToDate>
  <CharactersWithSpaces>1338</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2022-05-13T09:32:00Z</dcterms:created>
  <dc:creator>USER</dc:creator>
  <cp:lastModifiedBy>俊然</cp:lastModifiedBy>
  <cp:lastPrinted>2022-05-13T09:32:00Z</cp:lastPrinted>
  <dcterms:modified xsi:type="dcterms:W3CDTF">2023-12-08T11:59:35Z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CHINA</vt:lpwstr>
  </property>
  <property fmtid="{D5CDD505-2E9C-101B-9397-08002B2CF9AE}" pid="4" name="DocSecurity">
    <vt:i4>0</vt:i4>
  </property>
  <property fmtid="{D5CDD505-2E9C-101B-9397-08002B2CF9AE}" pid="5" name="HyperlinksChanged">
    <vt:bool>false</vt:bool>
  </property>
  <property fmtid="{D5CDD505-2E9C-101B-9397-08002B2CF9AE}" pid="6" name="ICV">
    <vt:lpwstr>E90A370E6E38931C7C79C860A7A5E561</vt:lpwstr>
  </property>
  <property fmtid="{D5CDD505-2E9C-101B-9397-08002B2CF9AE}" pid="7" name="KSOProductBuildVer">
    <vt:lpwstr>2052-12.1.0.15990</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