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000000">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42F63A80" w14:textId="77777777" w:rsidR="00CE2EA0" w:rsidRDefault="00CE2EA0"/>
    <w:p w14:paraId="7B2F0A27" w14:textId="77777777" w:rsidR="00CE2EA0" w:rsidRDefault="00CE2EA0"/>
    <w:p w14:paraId="56A56936"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000000">
      <w:pPr>
        <w:pStyle w:val="12"/>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北京市大兴区拾光悦公寓周边普通商品住宅房地产市场租金水平咨询</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000000">
      <w:pPr>
        <w:pStyle w:val="12"/>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北京康正宏基房地产评估有限公司</w:t>
      </w:r>
    </w:p>
    <w:p w14:paraId="48C6F524" w14:textId="77777777" w:rsidR="00CE2EA0" w:rsidRDefault="00CE2EA0">
      <w:pPr>
        <w:pStyle w:val="12"/>
        <w:spacing w:line="320" w:lineRule="exact"/>
        <w:ind w:left="360" w:firstLine="0"/>
        <w:textAlignment w:val="bottom"/>
        <w:rPr>
          <w:rFonts w:ascii="Arial" w:eastAsia="方正黑体简体;微软雅黑" w:hAnsi="Arial" w:cs="Arial"/>
          <w:sz w:val="21"/>
          <w:szCs w:val="21"/>
        </w:rPr>
      </w:pPr>
    </w:p>
    <w:p w14:paraId="13B74EAE" w14:textId="77777777" w:rsidR="00CE2EA0" w:rsidRDefault="00000000">
      <w:pPr>
        <w:pStyle w:val="13"/>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35C0C969"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w:t>
      </w:r>
      <w:r w:rsidR="00DC33E6">
        <w:rPr>
          <w:rFonts w:ascii="Arial" w:eastAsia="方正黑体简体;微软雅黑" w:hAnsi="Arial" w:cs="Arial" w:hint="eastAsia"/>
          <w:sz w:val="21"/>
          <w:szCs w:val="21"/>
        </w:rPr>
        <w:t>刘朝阳</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77777777" w:rsidR="00CE2EA0" w:rsidRDefault="00000000">
      <w:pPr>
        <w:pStyle w:val="Style1"/>
        <w:spacing w:line="320" w:lineRule="exact"/>
        <w:ind w:left="360" w:firstLine="0"/>
        <w:textAlignment w:val="bottom"/>
        <w:sectPr w:rsidR="00CE2EA0">
          <w:headerReference w:type="default" r:id="rId9"/>
          <w:pgSz w:w="11906" w:h="16838"/>
          <w:pgMar w:top="1843" w:right="1304" w:bottom="1134" w:left="1304" w:header="851" w:footer="0" w:gutter="0"/>
          <w:pgNumType w:start="0"/>
          <w:cols w:space="720"/>
          <w:formProt w:val="0"/>
          <w:docGrid w:linePitch="326"/>
        </w:sectPr>
      </w:pPr>
      <w:r>
        <w:rPr>
          <w:rFonts w:ascii="Arial" w:eastAsia="方正黑体简体;微软雅黑" w:hAnsi="Arial" w:cs="Arial"/>
          <w:sz w:val="21"/>
          <w:szCs w:val="21"/>
        </w:rPr>
        <w:t>康正预评字</w:t>
      </w:r>
      <w:r>
        <w:rPr>
          <w:rFonts w:ascii="Arial" w:eastAsia="方正黑体简体;微软雅黑" w:hAnsi="Arial" w:cs="Arial"/>
          <w:sz w:val="21"/>
          <w:szCs w:val="21"/>
        </w:rPr>
        <w:t>2023-1-0897-P01ZLGJ6</w:t>
      </w:r>
      <w:r>
        <w:rPr>
          <w:rFonts w:ascii="Arial" w:eastAsia="方正黑体简体;微软雅黑" w:hAnsi="Arial" w:cs="Arial"/>
          <w:sz w:val="21"/>
          <w:szCs w:val="21"/>
        </w:rPr>
        <w:t>号</w:t>
      </w:r>
    </w:p>
    <w:p w14:paraId="60EB05E9" w14:textId="77777777" w:rsidR="00CE2EA0" w:rsidRDefault="00000000">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000000">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77777777" w:rsidR="00CE2EA0" w:rsidRDefault="00000000">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北京市大兴区拾光悦公寓周边普通商品住宅房地产</w:t>
      </w:r>
      <w:r>
        <w:rPr>
          <w:rFonts w:ascii="Arial" w:hAnsi="Arial" w:cs="Arial"/>
          <w:sz w:val="21"/>
          <w:szCs w:val="28"/>
        </w:rPr>
        <w:t>市场租金水平进行了咨询。</w:t>
      </w:r>
    </w:p>
    <w:p w14:paraId="70349B33" w14:textId="77777777" w:rsidR="00CE2EA0" w:rsidRDefault="00000000">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北京市大兴区拾光悦公寓</w:t>
      </w:r>
      <w:r>
        <w:rPr>
          <w:rFonts w:ascii="Arial" w:hAnsi="Arial" w:cs="Arial"/>
          <w:bCs/>
          <w:sz w:val="21"/>
        </w:rPr>
        <w:t>，该项目位于</w:t>
      </w:r>
      <w:r>
        <w:rPr>
          <w:rFonts w:ascii="Arial" w:hAnsi="Arial" w:cs="Arial"/>
          <w:kern w:val="2"/>
          <w:sz w:val="21"/>
        </w:rPr>
        <w:t>大</w:t>
      </w:r>
      <w:r>
        <w:rPr>
          <w:rFonts w:ascii="Arial" w:hAnsi="Arial" w:cs="Arial"/>
          <w:bCs/>
          <w:sz w:val="21"/>
        </w:rPr>
        <w:t>兴区龙发大街</w:t>
      </w:r>
      <w:r>
        <w:rPr>
          <w:rFonts w:ascii="Arial" w:hAnsi="Arial" w:cs="Arial"/>
          <w:bCs/>
          <w:sz w:val="21"/>
        </w:rPr>
        <w:t>1</w:t>
      </w:r>
      <w:r>
        <w:rPr>
          <w:rFonts w:ascii="Arial" w:hAnsi="Arial" w:cs="Arial"/>
          <w:bCs/>
          <w:sz w:val="21"/>
        </w:rPr>
        <w:t>号院。</w:t>
      </w:r>
    </w:p>
    <w:p w14:paraId="2D32EC8A" w14:textId="48219590" w:rsidR="00CE2EA0" w:rsidRDefault="00000000">
      <w:pPr>
        <w:spacing w:line="480" w:lineRule="auto"/>
        <w:ind w:right="17" w:firstLine="420"/>
        <w:jc w:val="both"/>
        <w:textAlignment w:val="auto"/>
        <w:rPr>
          <w:rFonts w:ascii="Arial" w:hAnsi="Arial" w:cs="Arial"/>
          <w:sz w:val="21"/>
        </w:rPr>
      </w:pPr>
      <w:r>
        <w:rPr>
          <w:rFonts w:ascii="Arial" w:hAnsi="Arial" w:cs="Arial"/>
          <w:sz w:val="21"/>
        </w:rPr>
        <w:t>咨询对象周边</w:t>
      </w:r>
      <w:r w:rsidR="00D5009C">
        <w:rPr>
          <w:rFonts w:ascii="Arial" w:hAnsi="Arial" w:cs="Arial" w:hint="eastAsia"/>
          <w:sz w:val="21"/>
        </w:rPr>
        <w:t>有北京密码、大兴金茂悦、颂善园等社区，综合评价居住社区成熟度一般</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路等多条公交线路，综合评价交通便捷度一般。以咨询对象为圆心半径</w:t>
      </w:r>
      <w:r>
        <w:rPr>
          <w:rFonts w:ascii="Arial" w:hAnsi="Arial" w:cs="Arial"/>
          <w:sz w:val="21"/>
        </w:rPr>
        <w:t>2</w:t>
      </w:r>
      <w:r>
        <w:rPr>
          <w:rFonts w:ascii="Arial" w:hAnsi="Arial" w:cs="Arial"/>
          <w:sz w:val="21"/>
        </w:rPr>
        <w:t>公里范围内有购多购超市、芦垡小学、新航道北京学校</w:t>
      </w:r>
      <w:r>
        <w:rPr>
          <w:rFonts w:ascii="Arial" w:hAnsi="Arial" w:cs="Arial"/>
          <w:sz w:val="21"/>
        </w:rPr>
        <w:t>(</w:t>
      </w:r>
      <w:r>
        <w:rPr>
          <w:rFonts w:ascii="Arial" w:hAnsi="Arial" w:cs="Arial"/>
          <w:sz w:val="21"/>
        </w:rPr>
        <w:t>全封闭大兴基地</w:t>
      </w:r>
      <w:r>
        <w:rPr>
          <w:rFonts w:ascii="Arial" w:hAnsi="Arial" w:cs="Arial"/>
          <w:sz w:val="21"/>
        </w:rPr>
        <w:t>)</w:t>
      </w:r>
      <w:r>
        <w:rPr>
          <w:rFonts w:ascii="Arial" w:hAnsi="Arial" w:cs="Arial"/>
          <w:sz w:val="21"/>
        </w:rPr>
        <w:t>、魏善庄镇第一中心幼儿园雅善分园、中国邮政储蓄银行</w:t>
      </w:r>
      <w:r>
        <w:rPr>
          <w:rFonts w:ascii="Arial" w:hAnsi="Arial" w:cs="Arial"/>
          <w:sz w:val="21"/>
        </w:rPr>
        <w:t>(</w:t>
      </w:r>
      <w:r>
        <w:rPr>
          <w:rFonts w:ascii="Arial" w:hAnsi="Arial" w:cs="Arial"/>
          <w:sz w:val="21"/>
        </w:rPr>
        <w:t>北京大兴区魏善庄营业所</w:t>
      </w:r>
      <w:r>
        <w:rPr>
          <w:rFonts w:ascii="Arial" w:hAnsi="Arial" w:cs="Arial"/>
          <w:sz w:val="21"/>
        </w:rPr>
        <w:t>)</w:t>
      </w:r>
      <w:r>
        <w:rPr>
          <w:rFonts w:ascii="Arial" w:hAnsi="Arial" w:cs="Arial"/>
          <w:sz w:val="21"/>
        </w:rPr>
        <w:t>等，各类配套设施基本齐全，故公共配套设施状况一般。区域内有魏善庄城市森林公园、月季主题园、龙河水系等自然景观，综合评价环境状况较好。总体评价影响咨询对象的区位状况一般。</w:t>
      </w:r>
    </w:p>
    <w:p w14:paraId="15A92B19" w14:textId="77777777" w:rsidR="00CE2EA0" w:rsidRDefault="00000000">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为咨询委托人了解项目周边普通商品住宅</w:t>
      </w:r>
      <w:r>
        <w:rPr>
          <w:rFonts w:ascii="Arial" w:hAnsi="Arial" w:cs="Arial"/>
          <w:kern w:val="2"/>
          <w:sz w:val="21"/>
        </w:rPr>
        <w:t>房地产</w:t>
      </w:r>
      <w:r>
        <w:rPr>
          <w:rFonts w:ascii="Arial" w:hAnsi="Arial" w:cs="Arial"/>
          <w:sz w:val="21"/>
        </w:rPr>
        <w:t>市场租金水平提供价格参考依据。</w:t>
      </w:r>
    </w:p>
    <w:p w14:paraId="15E72411"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p>
    <w:p w14:paraId="5F5F6CAD"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6AD91425" w14:textId="451C05D0" w:rsidR="00CE2EA0" w:rsidRDefault="00000000">
      <w:pPr>
        <w:spacing w:line="480" w:lineRule="auto"/>
        <w:ind w:firstLine="411"/>
        <w:jc w:val="both"/>
      </w:pPr>
      <w:r>
        <w:rPr>
          <w:rFonts w:ascii="Arial" w:hAnsi="Arial" w:cs="Arial"/>
          <w:bCs/>
          <w:sz w:val="21"/>
        </w:rPr>
        <w:t>本次估价的</w:t>
      </w:r>
      <w:r>
        <w:rPr>
          <w:rFonts w:ascii="Arial" w:hAnsi="Arial" w:cs="Arial"/>
          <w:bCs/>
          <w:sz w:val="21"/>
        </w:rPr>
        <w:t>“</w:t>
      </w:r>
      <w:r>
        <w:rPr>
          <w:rFonts w:ascii="Arial" w:hAnsi="Arial" w:cs="Arial"/>
          <w:sz w:val="21"/>
          <w:szCs w:val="21"/>
        </w:rPr>
        <w:t>房地产市场租金水平</w:t>
      </w:r>
      <w:r>
        <w:rPr>
          <w:rFonts w:ascii="Arial" w:hAnsi="Arial" w:cs="Arial"/>
          <w:bCs/>
          <w:sz w:val="21"/>
        </w:rPr>
        <w:t>”</w:t>
      </w:r>
      <w:r>
        <w:rPr>
          <w:rFonts w:eastAsia="Times New Roman"/>
        </w:rPr>
        <w:t xml:space="preserve"> </w:t>
      </w:r>
      <w:r>
        <w:rPr>
          <w:rFonts w:ascii="Arial" w:hAnsi="Arial" w:cs="Arial"/>
          <w:bCs/>
          <w:sz w:val="21"/>
        </w:rPr>
        <w:t>是指在正常市场情况下，与咨询对象同地段、同类型的用途设定为</w:t>
      </w:r>
      <w:r w:rsidR="0021443F">
        <w:rPr>
          <w:rFonts w:ascii="Arial" w:hAnsi="Arial" w:cs="Arial" w:hint="eastAsia"/>
          <w:bCs/>
          <w:sz w:val="21"/>
        </w:rPr>
        <w:t>住宅</w:t>
      </w:r>
      <w:r>
        <w:rPr>
          <w:rFonts w:ascii="Arial" w:hAnsi="Arial" w:cs="Arial"/>
          <w:bCs/>
          <w:sz w:val="21"/>
        </w:rPr>
        <w:t>，土地取得方式设定为出让的房地产在咨询时点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r>
        <w:rPr>
          <w:rFonts w:ascii="Arial" w:hAnsi="Arial" w:cs="Arial"/>
          <w:bCs/>
          <w:sz w:val="21"/>
        </w:rPr>
        <w:t>的租赁价格。</w:t>
      </w:r>
      <w:r>
        <w:rPr>
          <w:rFonts w:ascii="Arial" w:hAnsi="Arial" w:cs="Arial"/>
          <w:kern w:val="2"/>
          <w:sz w:val="21"/>
          <w:szCs w:val="21"/>
        </w:rPr>
        <w:t>包含地租、房屋折旧、设备折旧、维修费、保险费、物业费、供暖费、利息、利润</w:t>
      </w:r>
      <w:r>
        <w:rPr>
          <w:rFonts w:ascii="Arial" w:hAnsi="Arial" w:cs="Arial"/>
          <w:bCs/>
          <w:sz w:val="21"/>
        </w:rPr>
        <w:t>及租赁税费</w:t>
      </w:r>
      <w:r>
        <w:rPr>
          <w:rFonts w:ascii="Arial" w:hAnsi="Arial" w:cs="Arial"/>
          <w:kern w:val="2"/>
          <w:sz w:val="21"/>
          <w:szCs w:val="21"/>
        </w:rPr>
        <w:t>等，不含水电费、天然气费、通信费、有线电视费、上网宽带费和家具、家电租赁费等。</w:t>
      </w:r>
    </w:p>
    <w:p w14:paraId="24E6AD7A" w14:textId="77777777" w:rsidR="00CE2EA0" w:rsidRDefault="00000000">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000000">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真分析现有资料的基础上，结合本次咨询的特殊要求，通过仔细测算和认真分析各种影响房地产价格的因素，确定咨询对象于价值时点的房地产市场租金水平咨询评估结果，详见咨询结果一览表。</w:t>
      </w:r>
    </w:p>
    <w:p w14:paraId="323929F0" w14:textId="77777777" w:rsidR="00DC33E6" w:rsidRDefault="00DC33E6">
      <w:pPr>
        <w:spacing w:line="480" w:lineRule="auto"/>
        <w:ind w:firstLine="422"/>
        <w:jc w:val="both"/>
        <w:textAlignment w:val="auto"/>
        <w:rPr>
          <w:rFonts w:ascii="Arial" w:hAnsi="Arial" w:cs="Arial" w:hint="eastAsia"/>
          <w:sz w:val="21"/>
          <w:szCs w:val="28"/>
        </w:rPr>
      </w:pPr>
    </w:p>
    <w:p w14:paraId="045904CC" w14:textId="77777777" w:rsidR="00AB4ED9" w:rsidRDefault="00AB4ED9" w:rsidP="00AB4ED9">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lastRenderedPageBreak/>
        <w:t>咨询结果一览表</w:t>
      </w:r>
    </w:p>
    <w:tbl>
      <w:tblPr>
        <w:tblW w:w="8227" w:type="dxa"/>
        <w:jc w:val="center"/>
        <w:tblCellMar>
          <w:top w:w="57" w:type="dxa"/>
          <w:left w:w="57" w:type="dxa"/>
          <w:bottom w:w="57" w:type="dxa"/>
          <w:right w:w="57" w:type="dxa"/>
        </w:tblCellMar>
        <w:tblLook w:val="04A0" w:firstRow="1" w:lastRow="0" w:firstColumn="1" w:lastColumn="0" w:noHBand="0" w:noVBand="1"/>
      </w:tblPr>
      <w:tblGrid>
        <w:gridCol w:w="4678"/>
        <w:gridCol w:w="3549"/>
      </w:tblGrid>
      <w:tr w:rsidR="00AB4ED9" w14:paraId="692BF3FE" w14:textId="77777777" w:rsidTr="00F96556">
        <w:trPr>
          <w:cantSplit/>
          <w:jc w:val="center"/>
        </w:trPr>
        <w:tc>
          <w:tcPr>
            <w:tcW w:w="4678" w:type="dxa"/>
            <w:tcBorders>
              <w:top w:val="thickThinSmallGap" w:sz="12" w:space="0" w:color="000000"/>
              <w:left w:val="dotted" w:sz="2" w:space="0" w:color="404040"/>
              <w:bottom w:val="dotted" w:sz="2" w:space="0" w:color="000000"/>
              <w:right w:val="nil"/>
            </w:tcBorders>
            <w:vAlign w:val="center"/>
            <w:hideMark/>
          </w:tcPr>
          <w:p w14:paraId="6619AAF9" w14:textId="77777777" w:rsidR="00AB4ED9" w:rsidRDefault="00000000" w:rsidP="00F96556">
            <w:pPr>
              <w:widowControl/>
              <w:spacing w:line="240" w:lineRule="exact"/>
              <w:jc w:val="right"/>
              <w:rPr>
                <w:rFonts w:ascii="Arial" w:eastAsia="华文细黑" w:hAnsi="Arial" w:cs="Arial"/>
                <w:sz w:val="18"/>
                <w:szCs w:val="24"/>
              </w:rPr>
            </w:pPr>
            <w:r>
              <w:pict w14:anchorId="1356CF3D">
                <v:line id="_x0000_s2050" style="position:absolute;left:0;text-align:left;z-index:251658240;mso-width-relative:page;mso-height-relative:page" from="-3.3pt,-2.85pt" to="232.15pt,27.15pt">
                  <v:stroke dashstyle="1 1" endcap="round"/>
                </v:line>
              </w:pict>
            </w:r>
            <w:r w:rsidR="00AB4ED9">
              <w:rPr>
                <w:rFonts w:ascii="Arial" w:eastAsia="Arial" w:hAnsi="Arial" w:cs="Arial"/>
                <w:sz w:val="18"/>
                <w:szCs w:val="24"/>
              </w:rPr>
              <w:t xml:space="preserve">                                          </w:t>
            </w:r>
            <w:r w:rsidR="00AB4ED9">
              <w:rPr>
                <w:rFonts w:ascii="Arial" w:eastAsia="华文细黑" w:hAnsi="Arial" w:cs="Arial" w:hint="eastAsia"/>
                <w:sz w:val="18"/>
                <w:szCs w:val="24"/>
              </w:rPr>
              <w:t>咨询方法</w:t>
            </w:r>
          </w:p>
          <w:p w14:paraId="01C0FA63" w14:textId="77777777" w:rsidR="00AB4ED9" w:rsidRDefault="00AB4ED9" w:rsidP="00F96556">
            <w:pPr>
              <w:widowControl/>
              <w:spacing w:line="240" w:lineRule="exact"/>
              <w:jc w:val="both"/>
              <w:rPr>
                <w:rFonts w:ascii="Arial" w:eastAsia="华文细黑" w:hAnsi="Arial" w:cs="Arial"/>
                <w:sz w:val="18"/>
                <w:szCs w:val="24"/>
              </w:rPr>
            </w:pPr>
            <w:r>
              <w:rPr>
                <w:rFonts w:ascii="Arial" w:eastAsia="华文细黑" w:hAnsi="Arial" w:cs="Arial" w:hint="eastAsia"/>
                <w:sz w:val="18"/>
                <w:szCs w:val="24"/>
              </w:rPr>
              <w:t>项目名称</w:t>
            </w:r>
          </w:p>
        </w:tc>
        <w:tc>
          <w:tcPr>
            <w:tcW w:w="3549" w:type="dxa"/>
            <w:tcBorders>
              <w:top w:val="thickThinSmallGap" w:sz="12" w:space="0" w:color="404040"/>
              <w:left w:val="dotted" w:sz="2" w:space="0" w:color="404040"/>
              <w:bottom w:val="dotted" w:sz="2" w:space="0" w:color="404040"/>
              <w:right w:val="dotted" w:sz="2" w:space="0" w:color="404040"/>
            </w:tcBorders>
            <w:vAlign w:val="center"/>
            <w:hideMark/>
          </w:tcPr>
          <w:p w14:paraId="635258F7" w14:textId="77777777" w:rsidR="00AB4ED9" w:rsidRDefault="00AB4ED9" w:rsidP="00F96556">
            <w:pPr>
              <w:widowControl/>
              <w:spacing w:line="240" w:lineRule="exact"/>
              <w:rPr>
                <w:rFonts w:ascii="Arial" w:eastAsia="华文细黑" w:hAnsi="Arial" w:cs="宋体"/>
                <w:sz w:val="18"/>
                <w:szCs w:val="24"/>
              </w:rPr>
            </w:pPr>
            <w:r>
              <w:rPr>
                <w:rFonts w:ascii="Arial" w:eastAsia="华文细黑" w:hAnsi="Arial" w:cs="宋体" w:hint="eastAsia"/>
                <w:sz w:val="18"/>
                <w:szCs w:val="24"/>
              </w:rPr>
              <w:t>比较法</w:t>
            </w:r>
          </w:p>
        </w:tc>
      </w:tr>
      <w:tr w:rsidR="00AB4ED9" w14:paraId="7BB0A635" w14:textId="77777777" w:rsidTr="00F96556">
        <w:trPr>
          <w:cantSplit/>
          <w:trHeight w:val="631"/>
          <w:jc w:val="center"/>
        </w:trPr>
        <w:tc>
          <w:tcPr>
            <w:tcW w:w="4678" w:type="dxa"/>
            <w:tcBorders>
              <w:top w:val="dotted" w:sz="2" w:space="0" w:color="000000"/>
              <w:left w:val="dotted" w:sz="2" w:space="0" w:color="404040"/>
              <w:bottom w:val="thickThinSmallGap" w:sz="12" w:space="0" w:color="404040"/>
              <w:right w:val="nil"/>
            </w:tcBorders>
            <w:vAlign w:val="center"/>
            <w:hideMark/>
          </w:tcPr>
          <w:p w14:paraId="563C3635" w14:textId="77777777" w:rsidR="00AB4ED9" w:rsidRDefault="00AB4ED9" w:rsidP="00F96556">
            <w:pPr>
              <w:widowControl/>
              <w:spacing w:line="240" w:lineRule="exact"/>
              <w:rPr>
                <w:rFonts w:ascii="Arial" w:eastAsia="华文细黑" w:hAnsi="Arial" w:cs="Arial"/>
                <w:sz w:val="18"/>
                <w:szCs w:val="24"/>
              </w:rPr>
            </w:pPr>
            <w:r>
              <w:rPr>
                <w:rFonts w:ascii="Arial" w:eastAsia="华文细黑" w:hAnsi="Arial" w:cs="Arial"/>
                <w:sz w:val="18"/>
                <w:szCs w:val="24"/>
              </w:rPr>
              <w:t>北京市大兴区拾光悦公寓</w:t>
            </w:r>
          </w:p>
        </w:tc>
        <w:tc>
          <w:tcPr>
            <w:tcW w:w="3549" w:type="dxa"/>
            <w:tcBorders>
              <w:top w:val="dotted" w:sz="2" w:space="0" w:color="404040"/>
              <w:left w:val="dotted" w:sz="2" w:space="0" w:color="404040"/>
              <w:bottom w:val="thickThinSmallGap" w:sz="12" w:space="0" w:color="404040"/>
              <w:right w:val="dotted" w:sz="2" w:space="0" w:color="404040"/>
            </w:tcBorders>
            <w:vAlign w:val="center"/>
            <w:hideMark/>
          </w:tcPr>
          <w:p w14:paraId="5EF86E69" w14:textId="560A9907" w:rsidR="00AB4ED9" w:rsidRDefault="00C561F4" w:rsidP="00F96556">
            <w:pPr>
              <w:widowControl/>
              <w:spacing w:line="240" w:lineRule="exact"/>
              <w:rPr>
                <w:rFonts w:ascii="Arial" w:eastAsia="华文细黑" w:hAnsi="Arial" w:cs="宋体"/>
                <w:sz w:val="18"/>
                <w:szCs w:val="24"/>
              </w:rPr>
            </w:pPr>
            <w:r>
              <w:rPr>
                <w:rFonts w:ascii="Arial" w:eastAsia="华文细黑" w:hAnsi="Arial" w:cs="宋体" w:hint="eastAsia"/>
                <w:sz w:val="18"/>
                <w:szCs w:val="24"/>
              </w:rPr>
              <w:t>37.2</w:t>
            </w:r>
          </w:p>
        </w:tc>
      </w:tr>
    </w:tbl>
    <w:p w14:paraId="42E526F4" w14:textId="77777777" w:rsidR="00AB4ED9" w:rsidRDefault="00AB4ED9" w:rsidP="00AB4ED9">
      <w:pPr>
        <w:spacing w:line="360" w:lineRule="auto"/>
        <w:rPr>
          <w:rFonts w:ascii="Arial" w:eastAsia="华文细黑" w:hAnsi="Arial" w:cs="Arial"/>
          <w:sz w:val="18"/>
        </w:rPr>
      </w:pPr>
      <w:r>
        <w:rPr>
          <w:rFonts w:ascii="Arial" w:eastAsia="华文细黑" w:hAnsi="Arial" w:cs="Arial" w:hint="eastAsia"/>
          <w:sz w:val="18"/>
        </w:rPr>
        <w:t>单位：元</w:t>
      </w:r>
      <w:r>
        <w:rPr>
          <w:rFonts w:ascii="Arial" w:eastAsia="华文细黑" w:hAnsi="Arial" w:cs="Arial"/>
          <w:sz w:val="18"/>
        </w:rPr>
        <w:t>/</w:t>
      </w:r>
      <w:r>
        <w:rPr>
          <w:rFonts w:ascii="Arial" w:eastAsia="华文细黑" w:hAnsi="Arial" w:cs="Arial" w:hint="eastAsia"/>
          <w:sz w:val="18"/>
        </w:rPr>
        <w:t>建筑面积平方米</w:t>
      </w:r>
      <w:r>
        <w:rPr>
          <w:rFonts w:ascii="Arial" w:eastAsia="华文细黑" w:hAnsi="Arial" w:cs="Arial"/>
          <w:sz w:val="18"/>
        </w:rPr>
        <w:t>•</w:t>
      </w:r>
      <w:r>
        <w:rPr>
          <w:rFonts w:ascii="Arial" w:eastAsia="华文细黑" w:hAnsi="Arial" w:cs="Arial" w:hint="eastAsia"/>
          <w:sz w:val="18"/>
        </w:rPr>
        <w:t>月（币种：人民币）</w:t>
      </w:r>
    </w:p>
    <w:p w14:paraId="6C144777" w14:textId="77777777" w:rsidR="00AB4ED9" w:rsidRDefault="00AB4ED9" w:rsidP="00AB4ED9">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市场租金水平</w:t>
      </w:r>
    </w:p>
    <w:tbl>
      <w:tblPr>
        <w:tblW w:w="4650" w:type="pct"/>
        <w:jc w:val="center"/>
        <w:tblCellMar>
          <w:top w:w="85" w:type="dxa"/>
          <w:left w:w="28" w:type="dxa"/>
          <w:bottom w:w="85" w:type="dxa"/>
          <w:right w:w="28" w:type="dxa"/>
        </w:tblCellMar>
        <w:tblLook w:val="04A0" w:firstRow="1" w:lastRow="0" w:firstColumn="1" w:lastColumn="0" w:noHBand="0" w:noVBand="1"/>
      </w:tblPr>
      <w:tblGrid>
        <w:gridCol w:w="5005"/>
        <w:gridCol w:w="3746"/>
      </w:tblGrid>
      <w:tr w:rsidR="00AB4ED9" w14:paraId="23B7D64D" w14:textId="77777777" w:rsidTr="00F96556">
        <w:trPr>
          <w:trHeight w:val="494"/>
          <w:jc w:val="center"/>
        </w:trPr>
        <w:tc>
          <w:tcPr>
            <w:tcW w:w="4644" w:type="dxa"/>
            <w:tcBorders>
              <w:top w:val="thickThinMediumGap" w:sz="12" w:space="0" w:color="000000"/>
              <w:left w:val="dotted" w:sz="2" w:space="0" w:color="000000"/>
              <w:bottom w:val="dotted" w:sz="2" w:space="0" w:color="000000"/>
              <w:right w:val="nil"/>
            </w:tcBorders>
            <w:vAlign w:val="center"/>
            <w:hideMark/>
          </w:tcPr>
          <w:p w14:paraId="61067E7D" w14:textId="77777777" w:rsidR="00AB4ED9" w:rsidRDefault="00AB4ED9" w:rsidP="00F96556">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vAlign w:val="center"/>
            <w:hideMark/>
          </w:tcPr>
          <w:p w14:paraId="512F6EBB" w14:textId="77777777" w:rsidR="00AB4ED9" w:rsidRDefault="00AB4ED9" w:rsidP="00F96556">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估价结果</w:t>
            </w:r>
          </w:p>
        </w:tc>
      </w:tr>
      <w:tr w:rsidR="00AB4ED9" w14:paraId="390F49E3" w14:textId="77777777" w:rsidTr="00F96556">
        <w:trPr>
          <w:trHeight w:val="518"/>
          <w:jc w:val="center"/>
        </w:trPr>
        <w:tc>
          <w:tcPr>
            <w:tcW w:w="4644" w:type="dxa"/>
            <w:tcBorders>
              <w:top w:val="dotted" w:sz="2" w:space="0" w:color="000000"/>
              <w:left w:val="dotted" w:sz="2" w:space="0" w:color="000000"/>
              <w:bottom w:val="thickThinMediumGap" w:sz="12" w:space="0" w:color="000000"/>
              <w:right w:val="nil"/>
            </w:tcBorders>
            <w:vAlign w:val="center"/>
            <w:hideMark/>
          </w:tcPr>
          <w:p w14:paraId="5EA4FDB2" w14:textId="77777777" w:rsidR="00AB4ED9" w:rsidRDefault="00AB4ED9" w:rsidP="00F96556">
            <w:pPr>
              <w:widowControl/>
              <w:spacing w:line="240" w:lineRule="auto"/>
              <w:jc w:val="both"/>
              <w:rPr>
                <w:rFonts w:ascii="Arial" w:eastAsia="华文细黑" w:hAnsi="Arial" w:cs="宋体"/>
                <w:sz w:val="18"/>
                <w:szCs w:val="18"/>
              </w:rPr>
            </w:pPr>
            <w:r>
              <w:rPr>
                <w:rFonts w:ascii="Arial" w:eastAsia="华文细黑" w:hAnsi="Arial" w:cs="Arial"/>
                <w:sz w:val="18"/>
                <w:szCs w:val="24"/>
              </w:rPr>
              <w:t>北京市大兴区拾光悦公寓</w:t>
            </w:r>
          </w:p>
        </w:tc>
        <w:tc>
          <w:tcPr>
            <w:tcW w:w="3475" w:type="dxa"/>
            <w:tcBorders>
              <w:top w:val="dotted" w:sz="2" w:space="0" w:color="000000"/>
              <w:left w:val="dotted" w:sz="2" w:space="0" w:color="000000"/>
              <w:bottom w:val="thickThinMediumGap" w:sz="12" w:space="0" w:color="000000"/>
              <w:right w:val="dotted" w:sz="2" w:space="0" w:color="000000"/>
            </w:tcBorders>
            <w:vAlign w:val="center"/>
            <w:hideMark/>
          </w:tcPr>
          <w:p w14:paraId="7AA57891" w14:textId="4200036B" w:rsidR="00AB4ED9" w:rsidRDefault="00C561F4" w:rsidP="00F96556">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33.</w:t>
            </w:r>
            <w:r w:rsidR="00DC33E6">
              <w:rPr>
                <w:rFonts w:ascii="Arial" w:eastAsia="华文细黑" w:hAnsi="Arial" w:cs="宋体" w:hint="eastAsia"/>
                <w:sz w:val="18"/>
                <w:szCs w:val="18"/>
              </w:rPr>
              <w:t>5</w:t>
            </w:r>
            <w:r w:rsidR="00AB4ED9">
              <w:rPr>
                <w:rFonts w:ascii="Arial" w:eastAsia="华文细黑" w:hAnsi="Arial" w:cs="宋体" w:hint="eastAsia"/>
                <w:sz w:val="18"/>
                <w:szCs w:val="18"/>
              </w:rPr>
              <w:t>～</w:t>
            </w:r>
            <w:r>
              <w:rPr>
                <w:rFonts w:ascii="Arial" w:eastAsia="华文细黑" w:hAnsi="Arial" w:cs="宋体" w:hint="eastAsia"/>
                <w:sz w:val="18"/>
                <w:szCs w:val="18"/>
              </w:rPr>
              <w:t>40.9</w:t>
            </w:r>
          </w:p>
        </w:tc>
      </w:tr>
    </w:tbl>
    <w:p w14:paraId="1A926302" w14:textId="77777777" w:rsidR="00AB4ED9" w:rsidRDefault="00AB4ED9" w:rsidP="00AB4ED9">
      <w:pPr>
        <w:spacing w:line="480" w:lineRule="auto"/>
        <w:rPr>
          <w:rFonts w:ascii="楷体_GB2312;楷体" w:eastAsia="楷体_GB2312;楷体" w:hAnsi="楷体_GB2312;楷体" w:cs="Arial"/>
          <w:bCs/>
          <w:sz w:val="21"/>
        </w:rPr>
      </w:pPr>
      <w:r>
        <w:rPr>
          <w:rFonts w:ascii="Arial" w:eastAsia="华文细黑" w:hAnsi="Arial" w:cs="宋体" w:hint="eastAsia"/>
          <w:sz w:val="18"/>
          <w:szCs w:val="18"/>
        </w:rPr>
        <w:t>单位：元</w:t>
      </w:r>
      <w:r>
        <w:rPr>
          <w:rFonts w:ascii="Arial" w:eastAsia="华文细黑" w:hAnsi="Arial" w:cs="宋体"/>
          <w:sz w:val="18"/>
          <w:szCs w:val="18"/>
        </w:rPr>
        <w:t>/</w:t>
      </w:r>
      <w:r>
        <w:rPr>
          <w:rFonts w:ascii="Arial" w:eastAsia="华文细黑" w:hAnsi="Arial" w:cs="宋体" w:hint="eastAsia"/>
          <w:sz w:val="18"/>
          <w:szCs w:val="18"/>
        </w:rPr>
        <w:t>建筑面积平方米</w:t>
      </w:r>
      <w:r>
        <w:rPr>
          <w:rFonts w:ascii="Arial" w:eastAsia="华文细黑" w:hAnsi="Arial" w:cs="宋体"/>
          <w:sz w:val="18"/>
          <w:szCs w:val="18"/>
        </w:rPr>
        <w:t>·</w:t>
      </w:r>
      <w:r>
        <w:rPr>
          <w:rFonts w:ascii="Arial" w:eastAsia="华文细黑" w:hAnsi="Arial" w:cs="宋体" w:hint="eastAsia"/>
          <w:sz w:val="18"/>
          <w:szCs w:val="18"/>
        </w:rPr>
        <w:t>月（币种：人民币）</w:t>
      </w:r>
    </w:p>
    <w:p w14:paraId="7CECF986" w14:textId="77777777" w:rsidR="00AB4ED9" w:rsidRDefault="00AB4ED9" w:rsidP="00AB4ED9">
      <w:pPr>
        <w:spacing w:line="480" w:lineRule="auto"/>
        <w:ind w:firstLine="352"/>
        <w:jc w:val="both"/>
        <w:rPr>
          <w:rFonts w:ascii="Arial" w:eastAsia="华文细黑" w:hAnsi="Arial" w:cs="宋体"/>
          <w:sz w:val="18"/>
          <w:szCs w:val="18"/>
        </w:rPr>
      </w:pPr>
      <w:r>
        <w:rPr>
          <w:rFonts w:ascii="Arial" w:eastAsia="华文细黑" w:hAnsi="Arial" w:cs="宋体" w:hint="eastAsia"/>
          <w:sz w:val="18"/>
          <w:szCs w:val="18"/>
        </w:rPr>
        <w:t>备注：因市场情况复杂，实际价格将受交易双方对项目心理预期的影响，会在评估价值的基础上出现一定范围内的上下浮动，浮动</w:t>
      </w:r>
      <w:r>
        <w:rPr>
          <w:rFonts w:ascii="Arial" w:eastAsia="华文细黑" w:hAnsi="Arial" w:cs="宋体"/>
          <w:sz w:val="18"/>
          <w:szCs w:val="18"/>
        </w:rPr>
        <w:t>±10%</w:t>
      </w:r>
      <w:r>
        <w:rPr>
          <w:rFonts w:ascii="Arial" w:eastAsia="华文细黑" w:hAnsi="Arial" w:cs="宋体" w:hint="eastAsia"/>
          <w:sz w:val="18"/>
          <w:szCs w:val="18"/>
        </w:rPr>
        <w:t>为合理范围。</w:t>
      </w:r>
    </w:p>
    <w:p w14:paraId="1EDA1658" w14:textId="77777777" w:rsidR="00CE2EA0" w:rsidRPr="00AB4ED9" w:rsidRDefault="00CE2EA0">
      <w:pPr>
        <w:spacing w:line="480" w:lineRule="auto"/>
        <w:rPr>
          <w:rFonts w:ascii="Arial" w:eastAsia="华文细黑" w:hAnsi="Arial" w:cs="宋体"/>
          <w:sz w:val="18"/>
          <w:szCs w:val="18"/>
        </w:rPr>
      </w:pPr>
    </w:p>
    <w:p w14:paraId="2F97F274" w14:textId="77777777" w:rsidR="00CE2EA0" w:rsidRDefault="00CE2EA0">
      <w:pPr>
        <w:spacing w:line="480" w:lineRule="auto"/>
        <w:rPr>
          <w:rFonts w:ascii="Arial" w:eastAsia="华文细黑" w:hAnsi="Arial" w:cs="宋体"/>
          <w:sz w:val="18"/>
          <w:szCs w:val="18"/>
        </w:rPr>
      </w:pP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000000">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000000">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000000">
            <w:pPr>
              <w:spacing w:line="480" w:lineRule="auto"/>
              <w:rPr>
                <w:rFonts w:ascii="Arial" w:hAnsi="Arial" w:cs="Arial"/>
                <w:sz w:val="21"/>
                <w:szCs w:val="21"/>
              </w:rPr>
            </w:pPr>
            <w:r>
              <w:rPr>
                <w:rFonts w:ascii="Arial" w:hAnsi="Arial" w:cs="Arial"/>
                <w:sz w:val="21"/>
                <w:szCs w:val="21"/>
              </w:rPr>
              <w:t>北京康正宏基房地产评估有限公司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7777777" w:rsidR="00CE2EA0" w:rsidRDefault="00000000">
            <w:pPr>
              <w:spacing w:line="480" w:lineRule="auto"/>
              <w:jc w:val="right"/>
              <w:rPr>
                <w:rFonts w:ascii="Arial" w:hAnsi="Arial" w:cs="Arial"/>
                <w:sz w:val="21"/>
                <w:szCs w:val="21"/>
              </w:rPr>
            </w:pPr>
            <w:r>
              <w:rPr>
                <w:rFonts w:ascii="Arial" w:hAnsi="Arial" w:cs="Arial"/>
                <w:sz w:val="21"/>
                <w:szCs w:val="21"/>
              </w:rPr>
              <w:t>二〇二三年八月四日</w:t>
            </w:r>
          </w:p>
        </w:tc>
      </w:tr>
    </w:tbl>
    <w:p w14:paraId="4FDA0DF2" w14:textId="77777777" w:rsidR="00CE2EA0" w:rsidRDefault="00000000">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Default="00000000">
      <w:pPr>
        <w:pStyle w:val="11"/>
        <w:spacing w:line="360" w:lineRule="auto"/>
        <w:ind w:firstLine="420"/>
        <w:jc w:val="both"/>
        <w:textAlignment w:val="bottom"/>
        <w:rPr>
          <w:rFonts w:ascii="Arial" w:hAnsi="Arial" w:cs="Arial"/>
          <w:color w:val="000000"/>
          <w:szCs w:val="21"/>
        </w:rPr>
      </w:pPr>
      <w:r>
        <w:rPr>
          <w:rFonts w:ascii="Arial" w:hAnsi="Arial" w:cs="Arial"/>
          <w:color w:val="000000"/>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000000">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北京密码</w:t>
            </w:r>
          </w:p>
        </w:tc>
        <w:tc>
          <w:tcPr>
            <w:tcW w:w="2042" w:type="dxa"/>
            <w:tcBorders>
              <w:left w:val="single" w:sz="4" w:space="0" w:color="000000"/>
              <w:bottom w:val="single" w:sz="4" w:space="0" w:color="000000"/>
            </w:tcBorders>
            <w:shd w:val="clear" w:color="auto" w:fill="FFFFFF"/>
            <w:vAlign w:val="center"/>
          </w:tcPr>
          <w:p w14:paraId="2AEB458F"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商住公寓</w:t>
            </w:r>
          </w:p>
        </w:tc>
      </w:tr>
      <w:tr w:rsidR="00CE2EA0" w14:paraId="467CEBD9"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雅善园</w:t>
            </w:r>
          </w:p>
        </w:tc>
        <w:tc>
          <w:tcPr>
            <w:tcW w:w="2042" w:type="dxa"/>
            <w:tcBorders>
              <w:left w:val="single" w:sz="4" w:space="0" w:color="000000"/>
              <w:bottom w:val="single" w:sz="4" w:space="0" w:color="000000"/>
            </w:tcBorders>
            <w:shd w:val="clear" w:color="auto" w:fill="FFFFFF"/>
            <w:vAlign w:val="center"/>
          </w:tcPr>
          <w:p w14:paraId="6C252A6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4170C863"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left w:val="single" w:sz="4" w:space="0" w:color="000000"/>
              <w:bottom w:val="single" w:sz="4" w:space="0" w:color="000000"/>
            </w:tcBorders>
            <w:shd w:val="clear" w:color="auto" w:fill="FFFFFF"/>
            <w:vAlign w:val="center"/>
          </w:tcPr>
          <w:p w14:paraId="1EC44EA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颂善园</w:t>
            </w:r>
          </w:p>
        </w:tc>
        <w:tc>
          <w:tcPr>
            <w:tcW w:w="2042" w:type="dxa"/>
            <w:tcBorders>
              <w:left w:val="single" w:sz="4" w:space="0" w:color="000000"/>
              <w:bottom w:val="single" w:sz="4" w:space="0" w:color="000000"/>
            </w:tcBorders>
            <w:shd w:val="clear" w:color="auto" w:fill="FFFFFF"/>
            <w:vAlign w:val="center"/>
          </w:tcPr>
          <w:p w14:paraId="6C0A9B4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DF41CF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77777777" w:rsidR="00CE2EA0" w:rsidRDefault="00000000">
      <w:pPr>
        <w:pStyle w:val="11"/>
        <w:spacing w:before="327"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A</w:t>
      </w:r>
      <w:r>
        <w:rPr>
          <w:rFonts w:ascii="Arial" w:hAnsi="Arial" w:cs="Arial"/>
          <w:color w:val="000000"/>
          <w:sz w:val="21"/>
          <w:szCs w:val="21"/>
        </w:rPr>
        <w:t>：北京密码</w:t>
      </w:r>
    </w:p>
    <w:p w14:paraId="732DEDE3"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北京密码位于北京市大兴区魏善庄地区，东至龙发大街，西至龙达路，南至龙江路，北至后查路；项目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2016</w:t>
      </w:r>
      <w:r>
        <w:rPr>
          <w:rFonts w:ascii="Arial" w:hAnsi="Arial" w:cs="Arial"/>
          <w:color w:val="000000"/>
          <w:sz w:val="21"/>
          <w:szCs w:val="21"/>
        </w:rPr>
        <w:t>年，由</w:t>
      </w:r>
      <w:r>
        <w:rPr>
          <w:rFonts w:ascii="Arial" w:hAnsi="Arial" w:cs="Arial"/>
          <w:color w:val="000000"/>
          <w:sz w:val="21"/>
          <w:szCs w:val="21"/>
        </w:rPr>
        <w:t>6</w:t>
      </w:r>
      <w:r>
        <w:rPr>
          <w:rFonts w:ascii="Arial" w:hAnsi="Arial" w:cs="Arial"/>
          <w:color w:val="000000"/>
          <w:sz w:val="21"/>
          <w:szCs w:val="21"/>
        </w:rPr>
        <w:t>栋塔楼组成，建筑结构为钢混，主力户型为</w:t>
      </w:r>
      <w:r>
        <w:rPr>
          <w:rFonts w:ascii="Arial" w:hAnsi="Arial" w:cs="Arial"/>
          <w:color w:val="000000"/>
          <w:sz w:val="21"/>
          <w:szCs w:val="21"/>
        </w:rPr>
        <w:t>40-70</w:t>
      </w:r>
      <w:r>
        <w:rPr>
          <w:rFonts w:ascii="Arial" w:hAnsi="Arial" w:cs="Arial"/>
          <w:color w:val="000000"/>
          <w:sz w:val="21"/>
          <w:szCs w:val="21"/>
        </w:rPr>
        <w:t>㎡的</w:t>
      </w:r>
      <w:r>
        <w:rPr>
          <w:rFonts w:ascii="Arial" w:hAnsi="Arial" w:cs="Arial"/>
          <w:color w:val="000000"/>
          <w:sz w:val="21"/>
          <w:szCs w:val="21"/>
        </w:rPr>
        <w:t>loft</w:t>
      </w:r>
      <w:r>
        <w:rPr>
          <w:rFonts w:ascii="Arial" w:hAnsi="Arial" w:cs="Arial"/>
          <w:color w:val="000000"/>
          <w:sz w:val="21"/>
          <w:szCs w:val="21"/>
        </w:rPr>
        <w:t>；占地面积约为</w:t>
      </w:r>
      <w:r>
        <w:rPr>
          <w:rFonts w:ascii="Arial" w:hAnsi="Arial" w:cs="Arial"/>
          <w:color w:val="000000"/>
          <w:sz w:val="21"/>
          <w:szCs w:val="21"/>
        </w:rPr>
        <w:t>280000</w:t>
      </w:r>
      <w:r>
        <w:rPr>
          <w:rFonts w:ascii="Arial" w:hAnsi="Arial" w:cs="Arial"/>
          <w:color w:val="000000"/>
          <w:sz w:val="21"/>
          <w:szCs w:val="21"/>
        </w:rPr>
        <w:t>平方米，建筑面积约为</w:t>
      </w:r>
      <w:r>
        <w:rPr>
          <w:rFonts w:ascii="Arial" w:hAnsi="Arial" w:cs="Arial"/>
          <w:color w:val="000000"/>
          <w:sz w:val="21"/>
          <w:szCs w:val="21"/>
        </w:rPr>
        <w:t>434300</w:t>
      </w:r>
      <w:r>
        <w:rPr>
          <w:rFonts w:ascii="Arial" w:hAnsi="Arial" w:cs="Arial"/>
          <w:color w:val="000000"/>
          <w:sz w:val="21"/>
          <w:szCs w:val="21"/>
        </w:rPr>
        <w:t>平方米，建筑密度适中，环境状况较好，与咨询对象位于同一供需圈。近一年平均租金为</w:t>
      </w:r>
      <w:r>
        <w:rPr>
          <w:rFonts w:ascii="Arial" w:hAnsi="Arial" w:cs="Arial"/>
          <w:color w:val="000000"/>
          <w:sz w:val="21"/>
          <w:szCs w:val="21"/>
        </w:rPr>
        <w:t>45</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440C229D"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B</w:t>
      </w:r>
      <w:r>
        <w:rPr>
          <w:rFonts w:ascii="Arial" w:hAnsi="Arial" w:cs="Arial"/>
          <w:color w:val="000000"/>
          <w:sz w:val="21"/>
          <w:szCs w:val="21"/>
        </w:rPr>
        <w:t>：雅善园</w:t>
      </w:r>
    </w:p>
    <w:p w14:paraId="2098B256" w14:textId="5C48946C"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雅善园位于北京市大兴区魏善庄地区，东至龙康路，西至龙善大街，南至现状建设用地，北至龙江路；项目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r>
        <w:rPr>
          <w:rFonts w:ascii="Arial" w:hAnsi="Arial" w:cs="Arial"/>
          <w:color w:val="000000"/>
          <w:sz w:val="21"/>
          <w:szCs w:val="21"/>
        </w:rPr>
        <w:t>10</w:t>
      </w:r>
      <w:r>
        <w:rPr>
          <w:rFonts w:ascii="Arial" w:hAnsi="Arial" w:cs="Arial"/>
          <w:color w:val="000000"/>
          <w:sz w:val="21"/>
          <w:szCs w:val="21"/>
        </w:rPr>
        <w:t>栋板楼组成，建筑结构为钢混，主力户型为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1386</w:t>
      </w:r>
      <w:r>
        <w:rPr>
          <w:rFonts w:ascii="Arial" w:hAnsi="Arial" w:cs="Arial"/>
          <w:color w:val="000000"/>
          <w:sz w:val="21"/>
          <w:szCs w:val="21"/>
        </w:rPr>
        <w:t>户，建筑密度适中，环境状况较好，与咨询对象位于同一供需圈。近一年平均租金为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1CFE43CB"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C</w:t>
      </w:r>
      <w:r>
        <w:rPr>
          <w:rFonts w:ascii="Arial" w:hAnsi="Arial" w:cs="Arial"/>
          <w:color w:val="000000"/>
          <w:sz w:val="21"/>
          <w:szCs w:val="21"/>
        </w:rPr>
        <w:t>：颂善园</w:t>
      </w:r>
    </w:p>
    <w:p w14:paraId="617B7F36" w14:textId="59F1AA6A" w:rsidR="00CE2EA0" w:rsidRDefault="00000000">
      <w:pPr>
        <w:pStyle w:val="11"/>
        <w:spacing w:line="360" w:lineRule="auto"/>
        <w:ind w:firstLine="420"/>
        <w:jc w:val="both"/>
        <w:textAlignment w:val="bottom"/>
        <w:rPr>
          <w:rFonts w:ascii="Arial" w:hAnsi="Arial" w:cs="Arial"/>
          <w:color w:val="000000"/>
          <w:sz w:val="21"/>
          <w:szCs w:val="21"/>
        </w:rPr>
        <w:sectPr w:rsidR="00CE2EA0" w:rsidSect="00A07C84">
          <w:headerReference w:type="default" r:id="rId10"/>
          <w:pgSz w:w="11906" w:h="16838"/>
          <w:pgMar w:top="1361" w:right="1134" w:bottom="1134" w:left="1418" w:header="1304" w:footer="0" w:gutter="0"/>
          <w:cols w:space="720"/>
          <w:formProt w:val="0"/>
          <w:docGrid w:linePitch="326"/>
        </w:sectPr>
      </w:pPr>
      <w:r>
        <w:rPr>
          <w:rFonts w:ascii="Arial" w:hAnsi="Arial" w:cs="Arial"/>
          <w:color w:val="000000"/>
          <w:sz w:val="21"/>
          <w:szCs w:val="21"/>
        </w:rPr>
        <w:t>颂善园位于北京市大兴区魏善庄地区，东至龙善大街，西至龙欣路，南至</w:t>
      </w:r>
      <w:r w:rsidR="0021443F">
        <w:rPr>
          <w:rFonts w:ascii="Arial" w:hAnsi="Arial" w:cs="Arial" w:hint="eastAsia"/>
          <w:color w:val="000000"/>
          <w:sz w:val="21"/>
          <w:szCs w:val="21"/>
        </w:rPr>
        <w:t>G230</w:t>
      </w:r>
      <w:r>
        <w:rPr>
          <w:rFonts w:ascii="Arial" w:hAnsi="Arial" w:cs="Arial"/>
          <w:color w:val="000000"/>
          <w:sz w:val="21"/>
          <w:szCs w:val="21"/>
        </w:rPr>
        <w:t>通武线，北至龙海路；项目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r>
        <w:rPr>
          <w:rFonts w:ascii="Arial" w:hAnsi="Arial" w:cs="Arial"/>
          <w:color w:val="000000"/>
          <w:sz w:val="21"/>
          <w:szCs w:val="21"/>
        </w:rPr>
        <w:t>17</w:t>
      </w:r>
      <w:r>
        <w:rPr>
          <w:rFonts w:ascii="Arial" w:hAnsi="Arial" w:cs="Arial"/>
          <w:color w:val="000000"/>
          <w:sz w:val="21"/>
          <w:szCs w:val="21"/>
        </w:rPr>
        <w:t>栋板楼组成，建筑结构为钢混，主力户型为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2721</w:t>
      </w:r>
      <w:r>
        <w:rPr>
          <w:rFonts w:ascii="Arial" w:hAnsi="Arial" w:cs="Arial"/>
          <w:color w:val="000000"/>
          <w:sz w:val="21"/>
          <w:szCs w:val="21"/>
        </w:rPr>
        <w:t>户，建筑密度适中，环境状况较好，与咨询对象位于同一供需圈。近一年平均租金为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59CC2ADC" w14:textId="77777777" w:rsidR="00CE2EA0" w:rsidRDefault="00000000">
      <w:pPr>
        <w:spacing w:line="360" w:lineRule="auto"/>
        <w:jc w:val="center"/>
        <w:rPr>
          <w:rFonts w:ascii="Arial" w:hAnsi="Arial" w:cs="Arial"/>
        </w:rPr>
      </w:pPr>
      <w:r>
        <w:rPr>
          <w:rFonts w:ascii="Arial" w:hAnsi="Arial" w:cs="Arial"/>
        </w:rPr>
        <w:lastRenderedPageBreak/>
        <w:t>咨询对象及周边可比小区位置图</w:t>
      </w:r>
    </w:p>
    <w:p w14:paraId="08951783" w14:textId="77777777" w:rsidR="00CE2EA0" w:rsidRDefault="00000000">
      <w:pPr>
        <w:spacing w:line="480" w:lineRule="auto"/>
        <w:jc w:val="center"/>
        <w:textAlignment w:val="auto"/>
        <w:rPr>
          <w:rFonts w:ascii="Arial" w:hAnsi="Arial" w:cs="Arial"/>
          <w:sz w:val="21"/>
          <w:szCs w:val="21"/>
        </w:rPr>
      </w:pPr>
      <w:r>
        <w:rPr>
          <w:noProof/>
        </w:rPr>
        <w:drawing>
          <wp:inline distT="0" distB="0" distL="0" distR="0" wp14:anchorId="0A46F65A" wp14:editId="5F6585DA">
            <wp:extent cx="5544185" cy="3201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stretch>
                      <a:fillRect/>
                    </a:stretch>
                  </pic:blipFill>
                  <pic:spPr bwMode="auto">
                    <a:xfrm>
                      <a:off x="0" y="0"/>
                      <a:ext cx="5544185" cy="3201670"/>
                    </a:xfrm>
                    <a:prstGeom prst="rect">
                      <a:avLst/>
                    </a:prstGeom>
                  </pic:spPr>
                </pic:pic>
              </a:graphicData>
            </a:graphic>
          </wp:inline>
        </w:drawing>
      </w:r>
    </w:p>
    <w:p w14:paraId="5AB3AB0B" w14:textId="77777777" w:rsidR="00CE2EA0" w:rsidRDefault="00CE2EA0">
      <w:pPr>
        <w:spacing w:line="480" w:lineRule="auto"/>
        <w:ind w:firstLine="420"/>
        <w:jc w:val="both"/>
        <w:textAlignment w:val="auto"/>
        <w:rPr>
          <w:rFonts w:ascii="Arial" w:hAnsi="Arial" w:cs="Arial"/>
          <w:sz w:val="21"/>
          <w:szCs w:val="21"/>
        </w:rPr>
      </w:pPr>
    </w:p>
    <w:p w14:paraId="39B5B683" w14:textId="77777777" w:rsidR="00CE2EA0" w:rsidRDefault="00CE2EA0">
      <w:pPr>
        <w:spacing w:line="480" w:lineRule="auto"/>
        <w:ind w:firstLine="420"/>
        <w:jc w:val="both"/>
        <w:textAlignment w:val="auto"/>
        <w:rPr>
          <w:rFonts w:ascii="Arial" w:hAnsi="Arial" w:cs="Arial"/>
          <w:sz w:val="21"/>
          <w:szCs w:val="21"/>
        </w:rPr>
      </w:pPr>
    </w:p>
    <w:p w14:paraId="0B27A08D" w14:textId="77777777" w:rsidR="00CE2EA0" w:rsidRDefault="00CE2EA0">
      <w:pPr>
        <w:spacing w:line="480" w:lineRule="auto"/>
        <w:jc w:val="center"/>
      </w:pPr>
    </w:p>
    <w:sectPr w:rsidR="00CE2EA0">
      <w:headerReference w:type="default" r:id="rId12"/>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11BBA" w14:textId="77777777" w:rsidR="00115046" w:rsidRDefault="00115046">
      <w:pPr>
        <w:spacing w:line="240" w:lineRule="auto"/>
      </w:pPr>
      <w:r>
        <w:separator/>
      </w:r>
    </w:p>
  </w:endnote>
  <w:endnote w:type="continuationSeparator" w:id="0">
    <w:p w14:paraId="7408BDD5" w14:textId="77777777" w:rsidR="00115046" w:rsidRDefault="00115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panose1 w:val="00000000000000000000"/>
    <w:charset w:val="86"/>
    <w:family w:val="roman"/>
    <w:notTrueType/>
    <w:pitch w:val="default"/>
  </w:font>
  <w:font w:name="楷体_GB2312;楷体">
    <w:altName w:val="宋体"/>
    <w:panose1 w:val="00000000000000000000"/>
    <w:charset w:val="86"/>
    <w:family w:val="roman"/>
    <w:notTrueType/>
    <w:pitch w:val="default"/>
  </w:font>
  <w:font w:name="Liberation Sans">
    <w:altName w:val="Arial"/>
    <w:charset w:val="86"/>
    <w:family w:val="roman"/>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panose1 w:val="00000000000000000000"/>
    <w:charset w:val="86"/>
    <w:family w:val="roman"/>
    <w:notTrueType/>
    <w:pitch w:val="default"/>
  </w:font>
  <w:font w:name="Adobe 黑体 Std R;微软雅黑">
    <w:altName w:val="宋体"/>
    <w:panose1 w:val="00000000000000000000"/>
    <w:charset w:val="86"/>
    <w:family w:val="roman"/>
    <w:notTrueType/>
    <w:pitch w:val="default"/>
  </w:font>
  <w:font w:name="方正黑体简体;微软雅黑">
    <w:altName w:val="宋体"/>
    <w:panose1 w:val="00000000000000000000"/>
    <w:charset w:val="86"/>
    <w:family w:val="roman"/>
    <w:notTrueType/>
    <w:pitch w:val="default"/>
  </w:font>
  <w:font w:name="Adobe 黑体 Std R;黑体">
    <w:panose1 w:val="00000000000000000000"/>
    <w:charset w:val="86"/>
    <w:family w:val="roman"/>
    <w:notTrueType/>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5C158" w14:textId="77777777" w:rsidR="00115046" w:rsidRDefault="00115046">
      <w:pPr>
        <w:spacing w:line="240" w:lineRule="auto"/>
      </w:pPr>
      <w:r>
        <w:separator/>
      </w:r>
    </w:p>
  </w:footnote>
  <w:footnote w:type="continuationSeparator" w:id="0">
    <w:p w14:paraId="2B9EE0FE" w14:textId="77777777" w:rsidR="00115046" w:rsidRDefault="001150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37BB" w14:textId="77777777" w:rsidR="00CE2EA0" w:rsidRDefault="00000000">
    <w:pPr>
      <w:pStyle w:val="af2"/>
      <w:pBdr>
        <w:bottom w:val="nil"/>
      </w:pBdr>
      <w:rPr>
        <w:rFonts w:ascii="楷体_GB2312;楷体" w:eastAsia="楷体_GB2312;楷体" w:hAnsi="楷体_GB2312;楷体"/>
        <w:spacing w:val="-20"/>
        <w:sz w:val="24"/>
      </w:rPr>
    </w:pPr>
    <w:r>
      <w:rPr>
        <w:noProof/>
      </w:rPr>
      <w:drawing>
        <wp:inline distT="0" distB="0" distL="0" distR="0" wp14:anchorId="27BC84E3" wp14:editId="0642B16A">
          <wp:extent cx="5536565" cy="285750"/>
          <wp:effectExtent l="0" t="0" r="0" b="0"/>
          <wp:docPr id="387344459"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36565" cy="285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557A" w14:textId="77777777" w:rsidR="00CE2EA0" w:rsidRDefault="00000000">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17916720">
    <w:abstractNumId w:val="1"/>
  </w:num>
  <w:num w:numId="2" w16cid:durableId="2017950642">
    <w:abstractNumId w:val="2"/>
  </w:num>
  <w:num w:numId="3" w16cid:durableId="18495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characterSpacingControl w:val="doNotCompress"/>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2EA0"/>
    <w:rsid w:val="00110481"/>
    <w:rsid w:val="00115046"/>
    <w:rsid w:val="0021443F"/>
    <w:rsid w:val="00623D2C"/>
    <w:rsid w:val="00681E87"/>
    <w:rsid w:val="007462CB"/>
    <w:rsid w:val="00815B17"/>
    <w:rsid w:val="00877058"/>
    <w:rsid w:val="00A07C84"/>
    <w:rsid w:val="00AB4ED9"/>
    <w:rsid w:val="00B475F3"/>
    <w:rsid w:val="00BE5C25"/>
    <w:rsid w:val="00C561F4"/>
    <w:rsid w:val="00CE2EA0"/>
    <w:rsid w:val="00D5009C"/>
    <w:rsid w:val="00DC33E6"/>
    <w:rsid w:val="00DD09CE"/>
    <w:rsid w:val="00F6101C"/>
    <w:rsid w:val="00FD1C7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TOC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TOC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TOC6">
    <w:name w:val="toc 6"/>
    <w:basedOn w:val="a"/>
    <w:next w:val="a"/>
    <w:qFormat/>
    <w:pPr>
      <w:ind w:left="2100"/>
    </w:pPr>
  </w:style>
  <w:style w:type="paragraph" w:styleId="30">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21">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0">
    <w:name w:val="列表段落1"/>
    <w:basedOn w:val="a"/>
    <w:qFormat/>
    <w:pPr>
      <w:ind w:firstLine="420"/>
    </w:pPr>
  </w:style>
  <w:style w:type="paragraph" w:customStyle="1" w:styleId="11">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2">
    <w:name w:val="列出段落1"/>
    <w:basedOn w:val="a"/>
    <w:qFormat/>
    <w:pPr>
      <w:ind w:firstLine="420"/>
    </w:pPr>
  </w:style>
  <w:style w:type="paragraph" w:customStyle="1" w:styleId="13">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77C04-1A11-4345-BB70-2E8B7147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318</Words>
  <Characters>1817</Characters>
  <Application>Microsoft Office Word</Application>
  <DocSecurity>0</DocSecurity>
  <Lines>15</Lines>
  <Paragraphs>4</Paragraphs>
  <ScaleCrop>false</ScaleCrop>
  <Company>P R C</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Administrator</cp:lastModifiedBy>
  <cp:revision>43</cp:revision>
  <cp:lastPrinted>2022-01-14T17:29:00Z</cp:lastPrinted>
  <dcterms:created xsi:type="dcterms:W3CDTF">2020-08-21T14:44:00Z</dcterms:created>
  <dcterms:modified xsi:type="dcterms:W3CDTF">2024-06-20T02:06:00Z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