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CCA20">
      <w:pPr>
        <w:tabs>
          <w:tab w:val="left" w:pos="6804"/>
        </w:tabs>
        <w:spacing w:line="300" w:lineRule="exact"/>
        <w:jc w:val="center"/>
        <w:rPr>
          <w:rFonts w:ascii="Arial" w:hAnsi="Arial"/>
        </w:rPr>
      </w:pPr>
    </w:p>
    <w:p w14:paraId="57731639">
      <w:pPr>
        <w:spacing w:line="300" w:lineRule="exact"/>
        <w:rPr>
          <w:rFonts w:ascii="Arial" w:hAnsi="Arial"/>
        </w:rPr>
      </w:pPr>
    </w:p>
    <w:p w14:paraId="7528786C">
      <w:pPr>
        <w:spacing w:line="300" w:lineRule="exact"/>
        <w:rPr>
          <w:rFonts w:ascii="Arial" w:hAnsi="Arial"/>
        </w:rPr>
      </w:pPr>
    </w:p>
    <w:p w14:paraId="2CA0C0C5">
      <w:pPr>
        <w:spacing w:line="300" w:lineRule="exact"/>
        <w:rPr>
          <w:rFonts w:ascii="Arial" w:hAnsi="Arial"/>
        </w:rPr>
      </w:pPr>
    </w:p>
    <w:p w14:paraId="2E101105">
      <w:pPr>
        <w:spacing w:line="300" w:lineRule="exact"/>
        <w:rPr>
          <w:rFonts w:ascii="Arial" w:hAnsi="Arial"/>
        </w:rPr>
      </w:pPr>
    </w:p>
    <w:p w14:paraId="3969C349">
      <w:pPr>
        <w:spacing w:line="300" w:lineRule="exact"/>
        <w:rPr>
          <w:rFonts w:ascii="Arial" w:hAnsi="Arial"/>
        </w:rPr>
      </w:pPr>
    </w:p>
    <w:p w14:paraId="29759286">
      <w:pPr>
        <w:spacing w:line="300" w:lineRule="exact"/>
        <w:rPr>
          <w:rFonts w:ascii="Arial" w:hAnsi="Arial"/>
        </w:rPr>
      </w:pPr>
    </w:p>
    <w:p w14:paraId="1E82F1B4">
      <w:pPr>
        <w:spacing w:line="300" w:lineRule="exact"/>
        <w:rPr>
          <w:rFonts w:ascii="Arial" w:hAnsi="Arial"/>
        </w:rPr>
      </w:pPr>
    </w:p>
    <w:p w14:paraId="207F43C2">
      <w:pPr>
        <w:spacing w:line="300" w:lineRule="exact"/>
        <w:rPr>
          <w:rFonts w:ascii="Arial" w:hAnsi="Arial"/>
        </w:rPr>
      </w:pPr>
    </w:p>
    <w:p w14:paraId="4D573A40">
      <w:pPr>
        <w:spacing w:line="300" w:lineRule="exact"/>
        <w:rPr>
          <w:rFonts w:ascii="Arial" w:hAnsi="Arial"/>
        </w:rPr>
      </w:pPr>
    </w:p>
    <w:p w14:paraId="26627BBF">
      <w:pPr>
        <w:spacing w:line="300" w:lineRule="exact"/>
        <w:rPr>
          <w:rFonts w:ascii="Arial" w:hAnsi="Arial"/>
        </w:rPr>
      </w:pPr>
    </w:p>
    <w:p w14:paraId="2B3227B4">
      <w:pPr>
        <w:spacing w:line="300" w:lineRule="exact"/>
        <w:rPr>
          <w:rFonts w:ascii="Arial" w:hAnsi="Arial"/>
        </w:rPr>
      </w:pPr>
    </w:p>
    <w:p w14:paraId="3E29EBA6">
      <w:pPr>
        <w:spacing w:line="300" w:lineRule="exact"/>
        <w:rPr>
          <w:rFonts w:ascii="Arial" w:hAnsi="Arial"/>
        </w:rPr>
      </w:pPr>
    </w:p>
    <w:p w14:paraId="69420F2D">
      <w:pPr>
        <w:spacing w:line="300" w:lineRule="exact"/>
        <w:rPr>
          <w:rFonts w:ascii="Arial" w:hAnsi="Arial"/>
        </w:rPr>
      </w:pPr>
    </w:p>
    <w:p w14:paraId="264D2351">
      <w:pPr>
        <w:spacing w:line="300" w:lineRule="exact"/>
        <w:rPr>
          <w:rFonts w:ascii="Arial" w:hAnsi="Arial"/>
        </w:rPr>
      </w:pPr>
    </w:p>
    <w:p w14:paraId="78509877">
      <w:pPr>
        <w:spacing w:line="300" w:lineRule="exact"/>
        <w:rPr>
          <w:rFonts w:ascii="Arial" w:hAnsi="Arial"/>
        </w:rPr>
      </w:pPr>
    </w:p>
    <w:p w14:paraId="46F5F65B">
      <w:pPr>
        <w:spacing w:line="300" w:lineRule="exact"/>
        <w:rPr>
          <w:rFonts w:ascii="Arial" w:hAnsi="Arial"/>
        </w:rPr>
      </w:pPr>
    </w:p>
    <w:p w14:paraId="64F8D4E7">
      <w:pPr>
        <w:spacing w:line="300" w:lineRule="exact"/>
        <w:rPr>
          <w:rFonts w:ascii="Arial" w:hAnsi="Arial"/>
        </w:rPr>
      </w:pPr>
    </w:p>
    <w:p w14:paraId="390C8593">
      <w:pPr>
        <w:spacing w:line="300" w:lineRule="exact"/>
        <w:rPr>
          <w:rFonts w:ascii="Arial" w:hAnsi="Arial"/>
        </w:rPr>
      </w:pPr>
    </w:p>
    <w:p w14:paraId="306D2235">
      <w:pPr>
        <w:spacing w:line="300" w:lineRule="exact"/>
        <w:rPr>
          <w:rFonts w:ascii="Arial" w:hAnsi="Arial"/>
        </w:rPr>
      </w:pPr>
    </w:p>
    <w:p w14:paraId="65C621DE">
      <w:pPr>
        <w:spacing w:line="300" w:lineRule="exact"/>
        <w:rPr>
          <w:rFonts w:ascii="Arial" w:hAnsi="Arial"/>
        </w:rPr>
      </w:pPr>
    </w:p>
    <w:p w14:paraId="7D0E40F3">
      <w:pPr>
        <w:spacing w:line="300" w:lineRule="exact"/>
        <w:rPr>
          <w:rFonts w:ascii="Arial" w:hAnsi="Arial"/>
        </w:rPr>
      </w:pPr>
    </w:p>
    <w:p w14:paraId="26DE9B6C">
      <w:pPr>
        <w:spacing w:line="300" w:lineRule="exact"/>
        <w:rPr>
          <w:rFonts w:ascii="Arial" w:hAnsi="Arial"/>
        </w:rPr>
      </w:pPr>
    </w:p>
    <w:p w14:paraId="44FD3C80">
      <w:pPr>
        <w:spacing w:line="300" w:lineRule="exact"/>
        <w:rPr>
          <w:rFonts w:ascii="Arial" w:hAnsi="Arial"/>
        </w:rPr>
      </w:pPr>
    </w:p>
    <w:p w14:paraId="4206D22B">
      <w:pPr>
        <w:spacing w:line="300" w:lineRule="exact"/>
        <w:rPr>
          <w:rFonts w:ascii="Arial" w:hAnsi="Arial"/>
        </w:rPr>
      </w:pPr>
    </w:p>
    <w:p w14:paraId="1AB98308">
      <w:pPr>
        <w:spacing w:line="300" w:lineRule="exact"/>
        <w:rPr>
          <w:rFonts w:ascii="Arial" w:hAnsi="Arial"/>
        </w:rPr>
      </w:pPr>
    </w:p>
    <w:p w14:paraId="59E4815A">
      <w:pPr>
        <w:pStyle w:val="54"/>
        <w:numPr>
          <w:ilvl w:val="0"/>
          <w:numId w:val="3"/>
        </w:numPr>
        <w:spacing w:line="300" w:lineRule="exact"/>
        <w:ind w:right="-93" w:firstLineChars="0"/>
        <w:jc w:val="both"/>
        <w:outlineLvl w:val="0"/>
        <w:rPr>
          <w:rFonts w:ascii="Arial" w:hAnsi="Arial" w:eastAsia="方正黑体简体" w:cs="Arial"/>
          <w:b/>
          <w:bCs/>
          <w:sz w:val="21"/>
          <w:szCs w:val="21"/>
        </w:rPr>
      </w:pPr>
      <w:r>
        <w:rPr>
          <w:rFonts w:hint="eastAsia" w:ascii="Arial" w:hAnsi="Arial" w:eastAsia="方正黑体简体" w:cs="Arial"/>
          <w:b/>
          <w:bCs/>
          <w:sz w:val="21"/>
          <w:szCs w:val="21"/>
        </w:rPr>
        <w:t>估价项目名称：</w:t>
      </w:r>
    </w:p>
    <w:p w14:paraId="2E43436C">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北京市大兴区景明路16号院3、4、5、7、8号楼（燕保</w:t>
      </w:r>
      <w:r>
        <w:rPr>
          <w:rFonts w:hint="eastAsia" w:ascii="Arial" w:hAnsi="Arial" w:cs="Arial"/>
          <w:kern w:val="2"/>
          <w:sz w:val="21"/>
          <w:szCs w:val="21"/>
        </w:rPr>
        <w:t>·</w:t>
      </w:r>
      <w:r>
        <w:rPr>
          <w:rFonts w:ascii="Arial" w:hAnsi="Arial" w:eastAsia="方正黑体简体" w:cs="Arial"/>
          <w:sz w:val="21"/>
          <w:szCs w:val="21"/>
        </w:rPr>
        <w:t>高米店家园）共1830套公共租赁住房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657E4506">
      <w:pPr>
        <w:spacing w:line="300" w:lineRule="exact"/>
        <w:rPr>
          <w:rFonts w:ascii="Arial" w:hAnsi="Arial" w:eastAsia="方正黑体简体" w:cs="Arial"/>
          <w:b/>
          <w:bCs/>
          <w:sz w:val="21"/>
          <w:szCs w:val="21"/>
        </w:rPr>
      </w:pPr>
    </w:p>
    <w:p w14:paraId="382AD943">
      <w:pPr>
        <w:pStyle w:val="54"/>
        <w:numPr>
          <w:ilvl w:val="0"/>
          <w:numId w:val="3"/>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5EDDB043">
      <w:pPr>
        <w:pStyle w:val="54"/>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cs="Arial"/>
          <w:sz w:val="21"/>
          <w:szCs w:val="21"/>
        </w:rPr>
        <w:t>北京保障房中心有限公司</w:t>
      </w:r>
    </w:p>
    <w:p w14:paraId="79BFDAC5">
      <w:pPr>
        <w:pStyle w:val="54"/>
        <w:spacing w:line="300" w:lineRule="exact"/>
        <w:ind w:left="360" w:firstLine="0" w:firstLineChars="0"/>
        <w:jc w:val="both"/>
        <w:rPr>
          <w:rFonts w:ascii="Arial" w:hAnsi="Arial" w:eastAsia="方正黑体简体" w:cs="Arial"/>
          <w:sz w:val="21"/>
          <w:szCs w:val="21"/>
        </w:rPr>
      </w:pPr>
    </w:p>
    <w:p w14:paraId="5038AF00">
      <w:pPr>
        <w:pStyle w:val="54"/>
        <w:numPr>
          <w:ilvl w:val="0"/>
          <w:numId w:val="3"/>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299E8185">
      <w:pPr>
        <w:pStyle w:val="54"/>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40DBA215">
      <w:pPr>
        <w:spacing w:line="300" w:lineRule="exact"/>
        <w:jc w:val="both"/>
        <w:rPr>
          <w:rFonts w:ascii="Arial" w:hAnsi="Arial" w:eastAsia="方正黑体简体" w:cs="Arial"/>
          <w:b/>
          <w:sz w:val="21"/>
          <w:szCs w:val="21"/>
        </w:rPr>
      </w:pPr>
    </w:p>
    <w:p w14:paraId="44E5E681">
      <w:pPr>
        <w:pStyle w:val="54"/>
        <w:numPr>
          <w:ilvl w:val="0"/>
          <w:numId w:val="3"/>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42C8CBC3">
      <w:pPr>
        <w:pStyle w:val="54"/>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sz w:val="21"/>
          <w:szCs w:val="21"/>
        </w:rPr>
        <w:t>高 鹏</w:t>
      </w:r>
      <w:r>
        <w:rPr>
          <w:rFonts w:ascii="Arial" w:hAnsi="Arial" w:eastAsia="方正黑体简体"/>
          <w:sz w:val="21"/>
          <w:szCs w:val="21"/>
        </w:rPr>
        <w:t>（注册号：1120140024</w:t>
      </w:r>
      <w:r>
        <w:rPr>
          <w:rFonts w:hint="eastAsia" w:ascii="Arial" w:hAnsi="Arial" w:eastAsia="方正黑体简体"/>
          <w:sz w:val="21"/>
          <w:szCs w:val="21"/>
        </w:rPr>
        <w:t>）、</w:t>
      </w:r>
      <w:r>
        <w:rPr>
          <w:rFonts w:hint="eastAsia" w:ascii="Arial" w:hAnsi="Arial" w:eastAsia="方正黑体简体" w:cs="Arial"/>
          <w:sz w:val="21"/>
          <w:szCs w:val="21"/>
        </w:rPr>
        <w:t>许皓源（注册号：1119980019）</w:t>
      </w:r>
    </w:p>
    <w:p w14:paraId="2C3DDD12">
      <w:pPr>
        <w:pStyle w:val="54"/>
        <w:spacing w:line="300" w:lineRule="exact"/>
        <w:ind w:left="360" w:firstLine="0" w:firstLineChars="0"/>
        <w:jc w:val="both"/>
      </w:pPr>
    </w:p>
    <w:p w14:paraId="5C56BE39">
      <w:pPr>
        <w:pStyle w:val="54"/>
        <w:numPr>
          <w:ilvl w:val="0"/>
          <w:numId w:val="3"/>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06CC83E0">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2025年6月26日</w:t>
      </w:r>
    </w:p>
    <w:p w14:paraId="6EEBE2D1">
      <w:pPr>
        <w:spacing w:line="300" w:lineRule="exact"/>
        <w:jc w:val="both"/>
        <w:rPr>
          <w:rFonts w:ascii="Arial" w:hAnsi="Arial" w:eastAsia="方正黑体简体" w:cs="Arial"/>
          <w:b/>
          <w:sz w:val="21"/>
          <w:szCs w:val="21"/>
        </w:rPr>
      </w:pPr>
    </w:p>
    <w:p w14:paraId="6A695FD6">
      <w:pPr>
        <w:pStyle w:val="54"/>
        <w:numPr>
          <w:ilvl w:val="0"/>
          <w:numId w:val="3"/>
        </w:numPr>
        <w:spacing w:line="300" w:lineRule="exact"/>
        <w:ind w:firstLineChars="0"/>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678E94F1">
      <w:pPr>
        <w:pStyle w:val="54"/>
        <w:spacing w:line="300" w:lineRule="exact"/>
        <w:ind w:left="360" w:firstLine="0" w:firstLineChars="0"/>
        <w:jc w:val="both"/>
        <w:rPr>
          <w:rFonts w:ascii="Arial" w:hAnsi="Arial" w:eastAsia="方正黑体简体" w:cs="Arial"/>
          <w:sz w:val="21"/>
          <w:szCs w:val="21"/>
        </w:rPr>
        <w:sectPr>
          <w:headerReference r:id="rId6" w:type="first"/>
          <w:footerReference r:id="rId9" w:type="first"/>
          <w:headerReference r:id="rId5" w:type="default"/>
          <w:footerReference r:id="rId7" w:type="default"/>
          <w:footerReference r:id="rId8"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w:t>
      </w:r>
      <w:r>
        <w:rPr>
          <w:rFonts w:ascii="Arial" w:hAnsi="Arial" w:eastAsia="方正黑体简体" w:cs="Arial"/>
          <w:sz w:val="21"/>
          <w:szCs w:val="21"/>
        </w:rPr>
        <w:t>2025-1-0454-F01ZLGJ6</w:t>
      </w:r>
      <w:r>
        <w:rPr>
          <w:rFonts w:hint="eastAsia" w:ascii="Arial" w:hAnsi="Arial" w:eastAsia="方正黑体简体" w:cs="Arial"/>
          <w:sz w:val="21"/>
          <w:szCs w:val="21"/>
        </w:rPr>
        <w:t>号</w:t>
      </w:r>
    </w:p>
    <w:p w14:paraId="63F4D996">
      <w:pPr>
        <w:pStyle w:val="2"/>
        <w:spacing w:line="480" w:lineRule="auto"/>
        <w:jc w:val="center"/>
        <w:rPr>
          <w:rFonts w:eastAsia="方正黑体简体"/>
          <w:b w:val="0"/>
          <w:kern w:val="2"/>
          <w:sz w:val="32"/>
          <w:szCs w:val="32"/>
        </w:rPr>
      </w:pPr>
      <w:bookmarkStart w:id="0" w:name="_Toc379795040"/>
      <w:bookmarkStart w:id="1" w:name="_Toc477252437"/>
      <w:bookmarkStart w:id="2" w:name="_Toc525655414"/>
      <w:r>
        <w:rPr>
          <w:rFonts w:eastAsia="方正黑体简体"/>
          <w:b w:val="0"/>
          <w:kern w:val="2"/>
          <w:sz w:val="32"/>
          <w:szCs w:val="32"/>
        </w:rPr>
        <w:t>致估价委托人函</w:t>
      </w:r>
      <w:bookmarkEnd w:id="0"/>
      <w:bookmarkEnd w:id="1"/>
      <w:bookmarkEnd w:id="2"/>
    </w:p>
    <w:p w14:paraId="434C28E2">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北京保障房中心有限公司</w:t>
      </w:r>
      <w:r>
        <w:rPr>
          <w:rFonts w:ascii="Arial" w:hAnsi="Arial" w:cs="Arial"/>
          <w:b/>
          <w:bCs/>
          <w:sz w:val="21"/>
          <w:szCs w:val="21"/>
        </w:rPr>
        <w:t>：</w:t>
      </w:r>
    </w:p>
    <w:p w14:paraId="5BC93453">
      <w:pPr>
        <w:overflowPunct w:val="0"/>
        <w:spacing w:line="480" w:lineRule="auto"/>
        <w:ind w:firstLine="420" w:firstLineChars="20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北京市大兴区景明路16号院3、4、5、7、8号楼（燕保·高米店家园）共1830套公共租赁住房项目市场租金</w:t>
      </w:r>
      <w:r>
        <w:rPr>
          <w:rFonts w:ascii="Arial" w:hAnsi="Arial" w:cs="Arial"/>
          <w:kern w:val="2"/>
          <w:sz w:val="21"/>
          <w:szCs w:val="21"/>
        </w:rPr>
        <w:t>进行了评估。</w:t>
      </w:r>
    </w:p>
    <w:p w14:paraId="50E9464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65594C56">
      <w:pPr>
        <w:overflowPunct w:val="0"/>
        <w:spacing w:line="480" w:lineRule="auto"/>
        <w:ind w:firstLine="422" w:firstLineChars="200"/>
        <w:jc w:val="both"/>
        <w:textAlignment w:val="auto"/>
        <w:rPr>
          <w:rFonts w:ascii="Arial" w:hAnsi="Arial" w:cs="Arial"/>
          <w:sz w:val="21"/>
          <w:szCs w:val="21"/>
          <w:highlight w:val="yellow"/>
        </w:rPr>
      </w:pPr>
      <w:r>
        <w:rPr>
          <w:rFonts w:ascii="Arial" w:hAnsi="Arial" w:cs="Arial"/>
          <w:b/>
          <w:bCs/>
          <w:sz w:val="21"/>
          <w:szCs w:val="21"/>
        </w:rPr>
        <w:t>估价对象：</w:t>
      </w:r>
      <w:r>
        <w:rPr>
          <w:rFonts w:ascii="Arial" w:hAnsi="Arial" w:cs="Arial"/>
          <w:bCs/>
          <w:sz w:val="21"/>
          <w:szCs w:val="21"/>
        </w:rPr>
        <w:t>估价对象</w:t>
      </w:r>
      <w:r>
        <w:rPr>
          <w:rFonts w:hint="eastAsia" w:ascii="Arial" w:hAnsi="Arial" w:cs="Arial"/>
          <w:bCs/>
          <w:sz w:val="21"/>
          <w:szCs w:val="21"/>
        </w:rPr>
        <w:t>为</w:t>
      </w:r>
      <w:r>
        <w:rPr>
          <w:rFonts w:hint="eastAsia" w:ascii="Arial" w:hAnsi="Arial" w:cs="Arial"/>
          <w:kern w:val="2"/>
          <w:sz w:val="21"/>
          <w:szCs w:val="21"/>
        </w:rPr>
        <w:t>北京市大兴区景明路16号院3、4、5、7、8号楼（燕保·高米店家园）共1830套公共租赁住房。截至报告出具日，估价对象尚未取得《不动产权证书》。根据估价委托人提供的《北京市发展和改革委员会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大兴区高米店公共租赁住房项目由北京市保障性住房建设投资中心开发建设，国有建设用地土地使用权性质为划拨，房屋性质为公共租赁住房。根据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《燕保·高米店家园项目房源表》，估价对象总建筑面积为9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公共租赁住房。估价对象房源具体情况如下：</w:t>
      </w:r>
    </w:p>
    <w:p w14:paraId="52C42707">
      <w:pPr>
        <w:overflowPunct w:val="0"/>
        <w:spacing w:line="360" w:lineRule="auto"/>
        <w:jc w:val="center"/>
        <w:textAlignment w:val="auto"/>
        <w:rPr>
          <w:rFonts w:ascii="Arial" w:hAnsi="Arial" w:cs="Arial"/>
          <w:b/>
          <w:sz w:val="21"/>
          <w:szCs w:val="21"/>
        </w:rPr>
      </w:pPr>
      <w:r>
        <w:rPr>
          <w:rFonts w:ascii="Arial" w:hAnsi="Arial" w:cs="Arial"/>
          <w:b/>
          <w:sz w:val="21"/>
          <w:szCs w:val="21"/>
        </w:rPr>
        <w:t>估价对象房源汇总表</w:t>
      </w:r>
    </w:p>
    <w:tbl>
      <w:tblPr>
        <w:tblStyle w:val="23"/>
        <w:tblW w:w="5000" w:type="pct"/>
        <w:tblInd w:w="0" w:type="dxa"/>
        <w:tblLayout w:type="autofit"/>
        <w:tblCellMar>
          <w:top w:w="0" w:type="dxa"/>
          <w:left w:w="108" w:type="dxa"/>
          <w:bottom w:w="0" w:type="dxa"/>
          <w:right w:w="108" w:type="dxa"/>
        </w:tblCellMar>
      </w:tblPr>
      <w:tblGrid>
        <w:gridCol w:w="2176"/>
        <w:gridCol w:w="3182"/>
        <w:gridCol w:w="1981"/>
        <w:gridCol w:w="2176"/>
      </w:tblGrid>
      <w:tr w14:paraId="1E0F1798">
        <w:tblPrEx>
          <w:tblCellMar>
            <w:top w:w="0" w:type="dxa"/>
            <w:left w:w="108" w:type="dxa"/>
            <w:bottom w:w="0" w:type="dxa"/>
            <w:right w:w="108" w:type="dxa"/>
          </w:tblCellMar>
        </w:tblPrEx>
        <w:trPr>
          <w:trHeight w:val="252" w:hRule="atLeast"/>
          <w:tblHeader/>
        </w:trPr>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29BF148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户型</w:t>
            </w:r>
          </w:p>
        </w:tc>
        <w:tc>
          <w:tcPr>
            <w:tcW w:w="1672" w:type="pct"/>
            <w:tcBorders>
              <w:top w:val="single" w:color="auto" w:sz="4" w:space="0"/>
              <w:left w:val="nil"/>
              <w:bottom w:val="single" w:color="auto" w:sz="4" w:space="0"/>
              <w:right w:val="single" w:color="auto" w:sz="4" w:space="0"/>
            </w:tcBorders>
            <w:shd w:val="clear" w:color="auto" w:fill="auto"/>
            <w:vAlign w:val="center"/>
          </w:tcPr>
          <w:p w14:paraId="228393D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建筑面积（平方米）</w:t>
            </w:r>
          </w:p>
        </w:tc>
        <w:tc>
          <w:tcPr>
            <w:tcW w:w="1041" w:type="pct"/>
            <w:tcBorders>
              <w:top w:val="single" w:color="auto" w:sz="4" w:space="0"/>
              <w:left w:val="nil"/>
              <w:bottom w:val="single" w:color="auto" w:sz="4" w:space="0"/>
              <w:right w:val="single" w:color="auto" w:sz="4" w:space="0"/>
            </w:tcBorders>
            <w:shd w:val="clear" w:color="auto" w:fill="auto"/>
            <w:vAlign w:val="center"/>
          </w:tcPr>
          <w:p w14:paraId="2CCBE1F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朝向</w:t>
            </w:r>
          </w:p>
        </w:tc>
        <w:tc>
          <w:tcPr>
            <w:tcW w:w="1143" w:type="pct"/>
            <w:tcBorders>
              <w:top w:val="single" w:color="auto" w:sz="4" w:space="0"/>
              <w:left w:val="nil"/>
              <w:bottom w:val="single" w:color="auto" w:sz="4" w:space="0"/>
              <w:right w:val="single" w:color="auto" w:sz="4" w:space="0"/>
            </w:tcBorders>
            <w:shd w:val="clear" w:color="auto" w:fill="auto"/>
            <w:vAlign w:val="center"/>
          </w:tcPr>
          <w:p w14:paraId="24A9B84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套数（套）</w:t>
            </w:r>
          </w:p>
        </w:tc>
      </w:tr>
      <w:tr w14:paraId="1FCCCD73">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4408E49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零居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2436E59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30.04-32.61</w:t>
            </w:r>
          </w:p>
        </w:tc>
        <w:tc>
          <w:tcPr>
            <w:tcW w:w="1041" w:type="pct"/>
            <w:tcBorders>
              <w:top w:val="nil"/>
              <w:left w:val="nil"/>
              <w:bottom w:val="single" w:color="auto" w:sz="4" w:space="0"/>
              <w:right w:val="single" w:color="auto" w:sz="4" w:space="0"/>
            </w:tcBorders>
            <w:shd w:val="clear" w:color="auto" w:fill="auto"/>
            <w:vAlign w:val="center"/>
          </w:tcPr>
          <w:p w14:paraId="69130FD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1B54D06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272</w:t>
            </w:r>
          </w:p>
        </w:tc>
      </w:tr>
      <w:tr w14:paraId="1B524F33">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EF2852E">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8EBE55E">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CCB0EB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74FFFB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240</w:t>
            </w:r>
          </w:p>
        </w:tc>
      </w:tr>
      <w:tr w14:paraId="24F7FB4B">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FB51724">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2145A21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767EFF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396CFB7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6BEFB12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87037C6">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418845D">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B9AD10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1D51F34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424E5ED1">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656D143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24AE62F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511792C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10665EC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544</w:t>
            </w:r>
          </w:p>
        </w:tc>
      </w:tr>
      <w:tr w14:paraId="58FD3D78">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53985B0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一居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16EA0DD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41.49-50.94</w:t>
            </w:r>
          </w:p>
        </w:tc>
        <w:tc>
          <w:tcPr>
            <w:tcW w:w="1041" w:type="pct"/>
            <w:tcBorders>
              <w:top w:val="nil"/>
              <w:left w:val="nil"/>
              <w:bottom w:val="single" w:color="auto" w:sz="4" w:space="0"/>
              <w:right w:val="single" w:color="auto" w:sz="4" w:space="0"/>
            </w:tcBorders>
            <w:shd w:val="clear" w:color="auto" w:fill="auto"/>
            <w:vAlign w:val="center"/>
          </w:tcPr>
          <w:p w14:paraId="2C21BE3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258ACD9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104</w:t>
            </w:r>
          </w:p>
        </w:tc>
      </w:tr>
      <w:tr w14:paraId="48EDAC54">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62BFFDC">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103578A">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84220F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7BF6DF9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72</w:t>
            </w:r>
          </w:p>
        </w:tc>
      </w:tr>
      <w:tr w14:paraId="004254A6">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0F8FD2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B1413C3">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C46F6D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29781EC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w:t>
            </w:r>
          </w:p>
        </w:tc>
      </w:tr>
      <w:tr w14:paraId="0A81396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BB6244C">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59B2FBB">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D83030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7617CF8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w:t>
            </w:r>
          </w:p>
        </w:tc>
      </w:tr>
      <w:tr w14:paraId="3D9D96E6">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1A84B3E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6FF5C22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42268FA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5C622E7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186</w:t>
            </w:r>
          </w:p>
        </w:tc>
      </w:tr>
      <w:tr w14:paraId="542B8B73">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61B2BF3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两居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215E434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57.9-61.95</w:t>
            </w:r>
          </w:p>
        </w:tc>
        <w:tc>
          <w:tcPr>
            <w:tcW w:w="1041" w:type="pct"/>
            <w:tcBorders>
              <w:top w:val="nil"/>
              <w:left w:val="nil"/>
              <w:bottom w:val="single" w:color="auto" w:sz="4" w:space="0"/>
              <w:right w:val="single" w:color="auto" w:sz="4" w:space="0"/>
            </w:tcBorders>
            <w:shd w:val="clear" w:color="auto" w:fill="auto"/>
            <w:vAlign w:val="center"/>
          </w:tcPr>
          <w:p w14:paraId="38489BC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548D84C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3E340A4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591ADB8">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0C237BF">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5E1744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0537869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6A5C4916">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D7C20EF">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E085F6B">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241699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东南</w:t>
            </w:r>
          </w:p>
        </w:tc>
        <w:tc>
          <w:tcPr>
            <w:tcW w:w="1143" w:type="pct"/>
            <w:tcBorders>
              <w:top w:val="nil"/>
              <w:left w:val="nil"/>
              <w:bottom w:val="single" w:color="auto" w:sz="4" w:space="0"/>
              <w:right w:val="single" w:color="auto" w:sz="4" w:space="0"/>
            </w:tcBorders>
            <w:shd w:val="clear" w:color="auto" w:fill="auto"/>
            <w:vAlign w:val="center"/>
          </w:tcPr>
          <w:p w14:paraId="127D421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5629192C">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16CB2B2">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2105178">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77125DB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西南</w:t>
            </w:r>
          </w:p>
        </w:tc>
        <w:tc>
          <w:tcPr>
            <w:tcW w:w="1143" w:type="pct"/>
            <w:tcBorders>
              <w:top w:val="nil"/>
              <w:left w:val="nil"/>
              <w:bottom w:val="single" w:color="auto" w:sz="4" w:space="0"/>
              <w:right w:val="single" w:color="auto" w:sz="4" w:space="0"/>
            </w:tcBorders>
            <w:shd w:val="clear" w:color="auto" w:fill="auto"/>
            <w:vAlign w:val="center"/>
          </w:tcPr>
          <w:p w14:paraId="16A1BF0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40AA1CC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1B79357">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A9C28B9">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3D3434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6AC91EA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432</w:t>
            </w:r>
          </w:p>
        </w:tc>
      </w:tr>
      <w:tr w14:paraId="67B4B368">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91DC631">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6493AD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2263194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4ECE9EF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350</w:t>
            </w:r>
          </w:p>
        </w:tc>
      </w:tr>
      <w:tr w14:paraId="5C77E32D">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1A53828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10C38EE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394CD75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53ED94F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1100</w:t>
            </w:r>
          </w:p>
        </w:tc>
      </w:tr>
      <w:tr w14:paraId="53E6A7E7">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7E53185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总计</w:t>
            </w:r>
          </w:p>
        </w:tc>
        <w:tc>
          <w:tcPr>
            <w:tcW w:w="1672" w:type="pct"/>
            <w:tcBorders>
              <w:top w:val="nil"/>
              <w:left w:val="nil"/>
              <w:bottom w:val="single" w:color="auto" w:sz="4" w:space="0"/>
              <w:right w:val="single" w:color="auto" w:sz="4" w:space="0"/>
            </w:tcBorders>
            <w:shd w:val="clear" w:color="auto" w:fill="auto"/>
            <w:vAlign w:val="center"/>
          </w:tcPr>
          <w:p w14:paraId="54D9265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29A0603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0898404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1830</w:t>
            </w:r>
          </w:p>
        </w:tc>
      </w:tr>
    </w:tbl>
    <w:p w14:paraId="50F41A18">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4126"/>
        <w:gridCol w:w="2569"/>
      </w:tblGrid>
      <w:tr w14:paraId="6356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58C71B5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楼层</w:t>
            </w:r>
          </w:p>
        </w:tc>
        <w:tc>
          <w:tcPr>
            <w:tcW w:w="2168" w:type="pct"/>
            <w:shd w:val="clear" w:color="auto" w:fill="auto"/>
            <w:vAlign w:val="center"/>
          </w:tcPr>
          <w:p w14:paraId="6971ED2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shd w:val="clear" w:color="auto" w:fill="auto"/>
            <w:vAlign w:val="center"/>
          </w:tcPr>
          <w:p w14:paraId="52A371E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627E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78C39B7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高楼层</w:t>
            </w:r>
          </w:p>
        </w:tc>
        <w:tc>
          <w:tcPr>
            <w:tcW w:w="2168" w:type="pct"/>
            <w:shd w:val="clear" w:color="auto" w:fill="auto"/>
            <w:vAlign w:val="center"/>
          </w:tcPr>
          <w:p w14:paraId="032F418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634</w:t>
            </w:r>
          </w:p>
        </w:tc>
        <w:tc>
          <w:tcPr>
            <w:tcW w:w="1350" w:type="pct"/>
            <w:shd w:val="clear" w:color="auto" w:fill="auto"/>
            <w:vAlign w:val="center"/>
          </w:tcPr>
          <w:p w14:paraId="46F28FA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34.64%</w:t>
            </w:r>
          </w:p>
        </w:tc>
      </w:tr>
      <w:tr w14:paraId="6645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29B384B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中楼层</w:t>
            </w:r>
          </w:p>
        </w:tc>
        <w:tc>
          <w:tcPr>
            <w:tcW w:w="2168" w:type="pct"/>
            <w:shd w:val="clear" w:color="auto" w:fill="auto"/>
            <w:vAlign w:val="center"/>
          </w:tcPr>
          <w:p w14:paraId="66F6157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636</w:t>
            </w:r>
          </w:p>
        </w:tc>
        <w:tc>
          <w:tcPr>
            <w:tcW w:w="1350" w:type="pct"/>
            <w:shd w:val="clear" w:color="auto" w:fill="auto"/>
            <w:vAlign w:val="center"/>
          </w:tcPr>
          <w:p w14:paraId="09A3A6D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34.75%</w:t>
            </w:r>
          </w:p>
        </w:tc>
      </w:tr>
      <w:tr w14:paraId="552E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0F2F16C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低楼层</w:t>
            </w:r>
          </w:p>
        </w:tc>
        <w:tc>
          <w:tcPr>
            <w:tcW w:w="2168" w:type="pct"/>
            <w:shd w:val="clear" w:color="auto" w:fill="auto"/>
            <w:vAlign w:val="center"/>
          </w:tcPr>
          <w:p w14:paraId="1C8A2B9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560</w:t>
            </w:r>
          </w:p>
        </w:tc>
        <w:tc>
          <w:tcPr>
            <w:tcW w:w="1350" w:type="pct"/>
            <w:shd w:val="clear" w:color="auto" w:fill="auto"/>
            <w:vAlign w:val="center"/>
          </w:tcPr>
          <w:p w14:paraId="7BB7CC8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30.60%</w:t>
            </w:r>
          </w:p>
        </w:tc>
      </w:tr>
      <w:tr w14:paraId="1A87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06EB7CB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shd w:val="clear" w:color="auto" w:fill="auto"/>
            <w:vAlign w:val="center"/>
          </w:tcPr>
          <w:p w14:paraId="131C7FF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shd w:val="clear" w:color="auto" w:fill="auto"/>
            <w:vAlign w:val="center"/>
          </w:tcPr>
          <w:p w14:paraId="476576B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5C0E8A7D">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41077188">
        <w:tblPrEx>
          <w:tblCellMar>
            <w:top w:w="0" w:type="dxa"/>
            <w:left w:w="108" w:type="dxa"/>
            <w:bottom w:w="0" w:type="dxa"/>
            <w:right w:w="108" w:type="dxa"/>
          </w:tblCellMar>
        </w:tblPrEx>
        <w:trPr>
          <w:trHeight w:val="264"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D49532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朝向配比表</w:t>
            </w:r>
          </w:p>
        </w:tc>
      </w:tr>
      <w:tr w14:paraId="6FA276B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59B45F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w:t>
            </w:r>
          </w:p>
        </w:tc>
        <w:tc>
          <w:tcPr>
            <w:tcW w:w="2168" w:type="pct"/>
            <w:tcBorders>
              <w:top w:val="nil"/>
              <w:left w:val="nil"/>
              <w:bottom w:val="single" w:color="auto" w:sz="4" w:space="0"/>
              <w:right w:val="single" w:color="auto" w:sz="4" w:space="0"/>
            </w:tcBorders>
            <w:shd w:val="clear" w:color="auto" w:fill="auto"/>
            <w:vAlign w:val="center"/>
          </w:tcPr>
          <w:p w14:paraId="40D92E7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nil"/>
              <w:left w:val="nil"/>
              <w:bottom w:val="single" w:color="auto" w:sz="4" w:space="0"/>
              <w:right w:val="single" w:color="auto" w:sz="4" w:space="0"/>
            </w:tcBorders>
            <w:shd w:val="clear" w:color="auto" w:fill="auto"/>
            <w:vAlign w:val="center"/>
          </w:tcPr>
          <w:p w14:paraId="66D7609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23E8B1C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6B2661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w:t>
            </w:r>
          </w:p>
        </w:tc>
        <w:tc>
          <w:tcPr>
            <w:tcW w:w="2168" w:type="pct"/>
            <w:tcBorders>
              <w:top w:val="nil"/>
              <w:left w:val="nil"/>
              <w:bottom w:val="single" w:color="auto" w:sz="4" w:space="0"/>
              <w:right w:val="single" w:color="auto" w:sz="4" w:space="0"/>
            </w:tcBorders>
            <w:shd w:val="clear" w:color="auto" w:fill="auto"/>
            <w:vAlign w:val="center"/>
          </w:tcPr>
          <w:p w14:paraId="4502443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376</w:t>
            </w:r>
          </w:p>
        </w:tc>
        <w:tc>
          <w:tcPr>
            <w:tcW w:w="1350" w:type="pct"/>
            <w:tcBorders>
              <w:top w:val="nil"/>
              <w:left w:val="nil"/>
              <w:bottom w:val="single" w:color="auto" w:sz="4" w:space="0"/>
              <w:right w:val="single" w:color="auto" w:sz="4" w:space="0"/>
            </w:tcBorders>
            <w:shd w:val="clear" w:color="auto" w:fill="auto"/>
            <w:vAlign w:val="center"/>
          </w:tcPr>
          <w:p w14:paraId="02FFA1A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20.55%</w:t>
            </w:r>
          </w:p>
        </w:tc>
      </w:tr>
      <w:tr w14:paraId="5E21B68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0F8BE5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w:t>
            </w:r>
          </w:p>
        </w:tc>
        <w:tc>
          <w:tcPr>
            <w:tcW w:w="2168" w:type="pct"/>
            <w:tcBorders>
              <w:top w:val="nil"/>
              <w:left w:val="nil"/>
              <w:bottom w:val="single" w:color="auto" w:sz="4" w:space="0"/>
              <w:right w:val="single" w:color="auto" w:sz="4" w:space="0"/>
            </w:tcBorders>
            <w:shd w:val="clear" w:color="auto" w:fill="auto"/>
            <w:vAlign w:val="center"/>
          </w:tcPr>
          <w:p w14:paraId="51A9FB8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312</w:t>
            </w:r>
          </w:p>
        </w:tc>
        <w:tc>
          <w:tcPr>
            <w:tcW w:w="1350" w:type="pct"/>
            <w:tcBorders>
              <w:top w:val="nil"/>
              <w:left w:val="nil"/>
              <w:bottom w:val="single" w:color="auto" w:sz="4" w:space="0"/>
              <w:right w:val="single" w:color="auto" w:sz="4" w:space="0"/>
            </w:tcBorders>
            <w:shd w:val="clear" w:color="auto" w:fill="auto"/>
            <w:vAlign w:val="center"/>
          </w:tcPr>
          <w:p w14:paraId="012406B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17.05%</w:t>
            </w:r>
          </w:p>
        </w:tc>
      </w:tr>
      <w:tr w14:paraId="0D24934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E64270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东北</w:t>
            </w:r>
          </w:p>
        </w:tc>
        <w:tc>
          <w:tcPr>
            <w:tcW w:w="2168" w:type="pct"/>
            <w:tcBorders>
              <w:top w:val="nil"/>
              <w:left w:val="nil"/>
              <w:bottom w:val="single" w:color="auto" w:sz="4" w:space="0"/>
              <w:right w:val="single" w:color="auto" w:sz="4" w:space="0"/>
            </w:tcBorders>
            <w:shd w:val="clear" w:color="auto" w:fill="auto"/>
            <w:vAlign w:val="center"/>
          </w:tcPr>
          <w:p w14:paraId="733AB9A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2EF1CBC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129635B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F31C9E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西北</w:t>
            </w:r>
          </w:p>
        </w:tc>
        <w:tc>
          <w:tcPr>
            <w:tcW w:w="2168" w:type="pct"/>
            <w:tcBorders>
              <w:top w:val="nil"/>
              <w:left w:val="nil"/>
              <w:bottom w:val="single" w:color="auto" w:sz="4" w:space="0"/>
              <w:right w:val="single" w:color="auto" w:sz="4" w:space="0"/>
            </w:tcBorders>
            <w:shd w:val="clear" w:color="auto" w:fill="auto"/>
            <w:vAlign w:val="center"/>
          </w:tcPr>
          <w:p w14:paraId="441C747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12AD049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0AA355D4">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797F9B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东南</w:t>
            </w:r>
          </w:p>
        </w:tc>
        <w:tc>
          <w:tcPr>
            <w:tcW w:w="2168" w:type="pct"/>
            <w:tcBorders>
              <w:top w:val="nil"/>
              <w:left w:val="nil"/>
              <w:bottom w:val="single" w:color="auto" w:sz="4" w:space="0"/>
              <w:right w:val="single" w:color="auto" w:sz="4" w:space="0"/>
            </w:tcBorders>
            <w:shd w:val="clear" w:color="auto" w:fill="auto"/>
            <w:vAlign w:val="center"/>
          </w:tcPr>
          <w:p w14:paraId="0C5480F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20E4F54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61A10AB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7206B1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西南</w:t>
            </w:r>
          </w:p>
        </w:tc>
        <w:tc>
          <w:tcPr>
            <w:tcW w:w="2168" w:type="pct"/>
            <w:tcBorders>
              <w:top w:val="nil"/>
              <w:left w:val="nil"/>
              <w:bottom w:val="single" w:color="auto" w:sz="4" w:space="0"/>
              <w:right w:val="single" w:color="auto" w:sz="4" w:space="0"/>
            </w:tcBorders>
            <w:shd w:val="clear" w:color="auto" w:fill="auto"/>
            <w:vAlign w:val="center"/>
          </w:tcPr>
          <w:p w14:paraId="71B98A0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75F20B1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32EB33B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A24C45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w:t>
            </w:r>
          </w:p>
        </w:tc>
        <w:tc>
          <w:tcPr>
            <w:tcW w:w="2168" w:type="pct"/>
            <w:tcBorders>
              <w:top w:val="nil"/>
              <w:left w:val="nil"/>
              <w:bottom w:val="single" w:color="auto" w:sz="4" w:space="0"/>
              <w:right w:val="single" w:color="auto" w:sz="4" w:space="0"/>
            </w:tcBorders>
            <w:shd w:val="clear" w:color="auto" w:fill="auto"/>
            <w:vAlign w:val="center"/>
          </w:tcPr>
          <w:p w14:paraId="6F8DA18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435</w:t>
            </w:r>
          </w:p>
        </w:tc>
        <w:tc>
          <w:tcPr>
            <w:tcW w:w="1350" w:type="pct"/>
            <w:tcBorders>
              <w:top w:val="nil"/>
              <w:left w:val="nil"/>
              <w:bottom w:val="single" w:color="auto" w:sz="4" w:space="0"/>
              <w:right w:val="single" w:color="auto" w:sz="4" w:space="0"/>
            </w:tcBorders>
            <w:shd w:val="clear" w:color="auto" w:fill="auto"/>
            <w:vAlign w:val="center"/>
          </w:tcPr>
          <w:p w14:paraId="277AF3E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23.77%</w:t>
            </w:r>
          </w:p>
        </w:tc>
      </w:tr>
      <w:tr w14:paraId="67B1AC39">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42ADA2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南北</w:t>
            </w:r>
          </w:p>
        </w:tc>
        <w:tc>
          <w:tcPr>
            <w:tcW w:w="2168" w:type="pct"/>
            <w:tcBorders>
              <w:top w:val="nil"/>
              <w:left w:val="nil"/>
              <w:bottom w:val="single" w:color="auto" w:sz="4" w:space="0"/>
              <w:right w:val="single" w:color="auto" w:sz="4" w:space="0"/>
            </w:tcBorders>
            <w:shd w:val="clear" w:color="auto" w:fill="auto"/>
            <w:vAlign w:val="center"/>
          </w:tcPr>
          <w:p w14:paraId="7B00D81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357</w:t>
            </w:r>
          </w:p>
        </w:tc>
        <w:tc>
          <w:tcPr>
            <w:tcW w:w="1350" w:type="pct"/>
            <w:tcBorders>
              <w:top w:val="nil"/>
              <w:left w:val="nil"/>
              <w:bottom w:val="single" w:color="auto" w:sz="4" w:space="0"/>
              <w:right w:val="single" w:color="auto" w:sz="4" w:space="0"/>
            </w:tcBorders>
            <w:shd w:val="clear" w:color="auto" w:fill="auto"/>
            <w:vAlign w:val="center"/>
          </w:tcPr>
          <w:p w14:paraId="6A700D0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19.51%</w:t>
            </w:r>
          </w:p>
        </w:tc>
      </w:tr>
      <w:tr w14:paraId="0B3163A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628F44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0C2F2A8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087F000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7D67CB85">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建筑面积</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720B89FF">
        <w:tblPrEx>
          <w:tblCellMar>
            <w:top w:w="0" w:type="dxa"/>
            <w:left w:w="108" w:type="dxa"/>
            <w:bottom w:w="0" w:type="dxa"/>
            <w:right w:w="108" w:type="dxa"/>
          </w:tblCellMar>
        </w:tblPrEx>
        <w:trPr>
          <w:trHeight w:val="528"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74CF095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建筑面积范围（平方米）</w:t>
            </w:r>
          </w:p>
        </w:tc>
        <w:tc>
          <w:tcPr>
            <w:tcW w:w="2168" w:type="pct"/>
            <w:tcBorders>
              <w:top w:val="single" w:color="auto" w:sz="4" w:space="0"/>
              <w:left w:val="nil"/>
              <w:bottom w:val="single" w:color="auto" w:sz="4" w:space="0"/>
              <w:right w:val="single" w:color="auto" w:sz="4" w:space="0"/>
            </w:tcBorders>
            <w:shd w:val="clear" w:color="auto" w:fill="auto"/>
            <w:vAlign w:val="center"/>
          </w:tcPr>
          <w:p w14:paraId="45A5F75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0B0FA3C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59526019">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FB9E10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30.04-32.61</w:t>
            </w:r>
          </w:p>
        </w:tc>
        <w:tc>
          <w:tcPr>
            <w:tcW w:w="2168" w:type="pct"/>
            <w:tcBorders>
              <w:top w:val="nil"/>
              <w:left w:val="nil"/>
              <w:bottom w:val="single" w:color="auto" w:sz="4" w:space="0"/>
              <w:right w:val="single" w:color="auto" w:sz="4" w:space="0"/>
            </w:tcBorders>
            <w:shd w:val="clear" w:color="auto" w:fill="auto"/>
            <w:vAlign w:val="center"/>
          </w:tcPr>
          <w:p w14:paraId="58FA272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0FBCCEB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56921CB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83D8C5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41.49-50.94</w:t>
            </w:r>
          </w:p>
        </w:tc>
        <w:tc>
          <w:tcPr>
            <w:tcW w:w="2168" w:type="pct"/>
            <w:tcBorders>
              <w:top w:val="nil"/>
              <w:left w:val="nil"/>
              <w:bottom w:val="single" w:color="auto" w:sz="4" w:space="0"/>
              <w:right w:val="single" w:color="auto" w:sz="4" w:space="0"/>
            </w:tcBorders>
            <w:shd w:val="clear" w:color="auto" w:fill="auto"/>
            <w:vAlign w:val="center"/>
          </w:tcPr>
          <w:p w14:paraId="7C3D45E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55AFDBD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7227DFD9">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E64DFF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57.9-61.95</w:t>
            </w:r>
          </w:p>
        </w:tc>
        <w:tc>
          <w:tcPr>
            <w:tcW w:w="2168" w:type="pct"/>
            <w:tcBorders>
              <w:top w:val="nil"/>
              <w:left w:val="nil"/>
              <w:bottom w:val="single" w:color="auto" w:sz="4" w:space="0"/>
              <w:right w:val="single" w:color="auto" w:sz="4" w:space="0"/>
            </w:tcBorders>
            <w:shd w:val="clear" w:color="auto" w:fill="auto"/>
            <w:vAlign w:val="center"/>
          </w:tcPr>
          <w:p w14:paraId="3EEFE84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14ADFF4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1599CA4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EC36E7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2A725F3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00BAB40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57104826">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户型</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39E80BD1">
        <w:tblPrEx>
          <w:tblCellMar>
            <w:top w:w="0" w:type="dxa"/>
            <w:left w:w="108" w:type="dxa"/>
            <w:bottom w:w="0" w:type="dxa"/>
            <w:right w:w="108" w:type="dxa"/>
          </w:tblCellMar>
        </w:tblPrEx>
        <w:trPr>
          <w:trHeight w:val="264"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3ACE658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户型</w:t>
            </w:r>
          </w:p>
        </w:tc>
        <w:tc>
          <w:tcPr>
            <w:tcW w:w="2168" w:type="pct"/>
            <w:tcBorders>
              <w:top w:val="single" w:color="auto" w:sz="4" w:space="0"/>
              <w:left w:val="nil"/>
              <w:bottom w:val="single" w:color="auto" w:sz="4" w:space="0"/>
              <w:right w:val="single" w:color="auto" w:sz="4" w:space="0"/>
            </w:tcBorders>
            <w:shd w:val="clear" w:color="auto" w:fill="auto"/>
            <w:vAlign w:val="center"/>
          </w:tcPr>
          <w:p w14:paraId="1B1A599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5CEAE1D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494C6BC0">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61A28A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零居</w:t>
            </w:r>
          </w:p>
        </w:tc>
        <w:tc>
          <w:tcPr>
            <w:tcW w:w="2168" w:type="pct"/>
            <w:tcBorders>
              <w:top w:val="nil"/>
              <w:left w:val="nil"/>
              <w:bottom w:val="single" w:color="auto" w:sz="4" w:space="0"/>
              <w:right w:val="single" w:color="auto" w:sz="4" w:space="0"/>
            </w:tcBorders>
            <w:shd w:val="clear" w:color="auto" w:fill="auto"/>
            <w:vAlign w:val="center"/>
          </w:tcPr>
          <w:p w14:paraId="0496F68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2E7B3FD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4D9141B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3CE866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一居</w:t>
            </w:r>
          </w:p>
        </w:tc>
        <w:tc>
          <w:tcPr>
            <w:tcW w:w="2168" w:type="pct"/>
            <w:tcBorders>
              <w:top w:val="nil"/>
              <w:left w:val="nil"/>
              <w:bottom w:val="single" w:color="auto" w:sz="4" w:space="0"/>
              <w:right w:val="single" w:color="auto" w:sz="4" w:space="0"/>
            </w:tcBorders>
            <w:shd w:val="clear" w:color="auto" w:fill="auto"/>
            <w:vAlign w:val="center"/>
          </w:tcPr>
          <w:p w14:paraId="75062B1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08AF711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3270402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892C73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两居</w:t>
            </w:r>
          </w:p>
        </w:tc>
        <w:tc>
          <w:tcPr>
            <w:tcW w:w="2168" w:type="pct"/>
            <w:tcBorders>
              <w:top w:val="nil"/>
              <w:left w:val="nil"/>
              <w:bottom w:val="single" w:color="auto" w:sz="4" w:space="0"/>
              <w:right w:val="single" w:color="auto" w:sz="4" w:space="0"/>
            </w:tcBorders>
            <w:shd w:val="clear" w:color="auto" w:fill="auto"/>
            <w:vAlign w:val="center"/>
          </w:tcPr>
          <w:p w14:paraId="11F1A2F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7E05754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4C79232C">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75A675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023B7DE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3F58CB3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26ACB6A5">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梯户比</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6A241508">
        <w:tblPrEx>
          <w:tblCellMar>
            <w:top w:w="0" w:type="dxa"/>
            <w:left w:w="108" w:type="dxa"/>
            <w:bottom w:w="0" w:type="dxa"/>
            <w:right w:w="108" w:type="dxa"/>
          </w:tblCellMar>
        </w:tblPrEx>
        <w:trPr>
          <w:trHeight w:val="264"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2845169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梯户比</w:t>
            </w:r>
          </w:p>
        </w:tc>
        <w:tc>
          <w:tcPr>
            <w:tcW w:w="2168" w:type="pct"/>
            <w:tcBorders>
              <w:top w:val="single" w:color="auto" w:sz="4" w:space="0"/>
              <w:left w:val="nil"/>
              <w:bottom w:val="single" w:color="auto" w:sz="4" w:space="0"/>
              <w:right w:val="single" w:color="auto" w:sz="4" w:space="0"/>
            </w:tcBorders>
            <w:shd w:val="clear" w:color="auto" w:fill="auto"/>
            <w:vAlign w:val="center"/>
          </w:tcPr>
          <w:p w14:paraId="7D80E76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553B973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75B6D5E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547B2C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两梯六户</w:t>
            </w:r>
          </w:p>
        </w:tc>
        <w:tc>
          <w:tcPr>
            <w:tcW w:w="2168" w:type="pct"/>
            <w:tcBorders>
              <w:top w:val="nil"/>
              <w:left w:val="nil"/>
              <w:bottom w:val="single" w:color="auto" w:sz="4" w:space="0"/>
              <w:right w:val="single" w:color="auto" w:sz="4" w:space="0"/>
            </w:tcBorders>
            <w:shd w:val="clear" w:color="auto" w:fill="auto"/>
            <w:vAlign w:val="center"/>
          </w:tcPr>
          <w:p w14:paraId="2AA1E16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720</w:t>
            </w:r>
          </w:p>
        </w:tc>
        <w:tc>
          <w:tcPr>
            <w:tcW w:w="1350" w:type="pct"/>
            <w:tcBorders>
              <w:top w:val="nil"/>
              <w:left w:val="nil"/>
              <w:bottom w:val="single" w:color="auto" w:sz="4" w:space="0"/>
              <w:right w:val="single" w:color="auto" w:sz="4" w:space="0"/>
            </w:tcBorders>
            <w:shd w:val="clear" w:color="auto" w:fill="auto"/>
            <w:vAlign w:val="center"/>
          </w:tcPr>
          <w:p w14:paraId="1F50B18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39.34%</w:t>
            </w:r>
          </w:p>
        </w:tc>
      </w:tr>
      <w:tr w14:paraId="5F968BC8">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2395E5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两梯五户</w:t>
            </w:r>
          </w:p>
        </w:tc>
        <w:tc>
          <w:tcPr>
            <w:tcW w:w="2168" w:type="pct"/>
            <w:tcBorders>
              <w:top w:val="nil"/>
              <w:left w:val="nil"/>
              <w:bottom w:val="single" w:color="auto" w:sz="4" w:space="0"/>
              <w:right w:val="single" w:color="auto" w:sz="4" w:space="0"/>
            </w:tcBorders>
            <w:shd w:val="clear" w:color="auto" w:fill="auto"/>
            <w:vAlign w:val="center"/>
          </w:tcPr>
          <w:p w14:paraId="6DE595B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494</w:t>
            </w:r>
          </w:p>
        </w:tc>
        <w:tc>
          <w:tcPr>
            <w:tcW w:w="1350" w:type="pct"/>
            <w:tcBorders>
              <w:top w:val="nil"/>
              <w:left w:val="nil"/>
              <w:bottom w:val="single" w:color="auto" w:sz="4" w:space="0"/>
              <w:right w:val="single" w:color="auto" w:sz="4" w:space="0"/>
            </w:tcBorders>
            <w:shd w:val="clear" w:color="auto" w:fill="auto"/>
            <w:vAlign w:val="center"/>
          </w:tcPr>
          <w:p w14:paraId="1BAD39F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26.99%</w:t>
            </w:r>
          </w:p>
        </w:tc>
      </w:tr>
      <w:tr w14:paraId="4057D32C">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D7D4E9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两梯四户</w:t>
            </w:r>
          </w:p>
        </w:tc>
        <w:tc>
          <w:tcPr>
            <w:tcW w:w="2168" w:type="pct"/>
            <w:tcBorders>
              <w:top w:val="nil"/>
              <w:left w:val="nil"/>
              <w:bottom w:val="single" w:color="auto" w:sz="4" w:space="0"/>
              <w:right w:val="single" w:color="auto" w:sz="4" w:space="0"/>
            </w:tcBorders>
            <w:shd w:val="clear" w:color="auto" w:fill="auto"/>
            <w:vAlign w:val="center"/>
          </w:tcPr>
          <w:p w14:paraId="3B3C2BD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w:t>
            </w:r>
          </w:p>
        </w:tc>
        <w:tc>
          <w:tcPr>
            <w:tcW w:w="1350" w:type="pct"/>
            <w:tcBorders>
              <w:top w:val="nil"/>
              <w:left w:val="nil"/>
              <w:bottom w:val="single" w:color="auto" w:sz="4" w:space="0"/>
              <w:right w:val="single" w:color="auto" w:sz="4" w:space="0"/>
            </w:tcBorders>
            <w:shd w:val="clear" w:color="auto" w:fill="auto"/>
            <w:vAlign w:val="center"/>
          </w:tcPr>
          <w:p w14:paraId="0E6B2AD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0.44%</w:t>
            </w:r>
          </w:p>
        </w:tc>
      </w:tr>
      <w:tr w14:paraId="687AB5D2">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44D20F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六梯三十八户</w:t>
            </w:r>
          </w:p>
        </w:tc>
        <w:tc>
          <w:tcPr>
            <w:tcW w:w="2168" w:type="pct"/>
            <w:tcBorders>
              <w:top w:val="nil"/>
              <w:left w:val="nil"/>
              <w:bottom w:val="single" w:color="auto" w:sz="4" w:space="0"/>
              <w:right w:val="single" w:color="auto" w:sz="4" w:space="0"/>
            </w:tcBorders>
            <w:shd w:val="clear" w:color="auto" w:fill="auto"/>
            <w:vAlign w:val="center"/>
          </w:tcPr>
          <w:p w14:paraId="1DF77A3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608</w:t>
            </w:r>
          </w:p>
        </w:tc>
        <w:tc>
          <w:tcPr>
            <w:tcW w:w="1350" w:type="pct"/>
            <w:tcBorders>
              <w:top w:val="nil"/>
              <w:left w:val="nil"/>
              <w:bottom w:val="single" w:color="auto" w:sz="4" w:space="0"/>
              <w:right w:val="single" w:color="auto" w:sz="4" w:space="0"/>
            </w:tcBorders>
            <w:shd w:val="clear" w:color="auto" w:fill="auto"/>
            <w:vAlign w:val="center"/>
          </w:tcPr>
          <w:p w14:paraId="3A18E7A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33.22%</w:t>
            </w:r>
          </w:p>
        </w:tc>
      </w:tr>
      <w:tr w14:paraId="2918F45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69E2B2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3CEB612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2CFAB5B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5AC6A1CB">
      <w:pPr>
        <w:pStyle w:val="61"/>
        <w:wordWrap w:val="0"/>
        <w:overflowPunct w:val="0"/>
        <w:spacing w:before="120" w:beforeLines="5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参照《关于发布&lt;北京市公共租赁住房项目市场租金评估技术指引&gt;的通知》[北估秘[2019]020号]，公共租赁住房项目市场租金采取标准房进行评估。标准房是指参照被评估公共租赁住房项目的户型、面积、朝向、楼层、装修及设备等因素按照众数原则设定的房屋状况。</w:t>
      </w:r>
    </w:p>
    <w:p w14:paraId="3B2A6392">
      <w:pPr>
        <w:pStyle w:val="61"/>
        <w:wordWrap w:val="0"/>
        <w:overflowPunct w:val="0"/>
        <w:spacing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根据《燕保·高米店家园项目房源表》及上述楼层、朝向、面积、户型、梯户比等配比情况，本次估价按照众数原则设定具有代表性的标准房屋，具体标准房详见下表:</w:t>
      </w:r>
    </w:p>
    <w:p w14:paraId="74BEFC6D">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5D9DE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31E9D41">
            <w:pPr>
              <w:overflowPunct w:val="0"/>
              <w:spacing w:line="240" w:lineRule="atLeast"/>
              <w:jc w:val="center"/>
              <w:rPr>
                <w:rFonts w:ascii="宋体" w:hAnsi="宋体" w:cs="Arial"/>
                <w:kern w:val="2"/>
                <w:sz w:val="20"/>
              </w:rPr>
            </w:pPr>
            <w:r>
              <w:rPr>
                <w:rFonts w:ascii="宋体" w:hAnsi="宋体" w:cs="Arial"/>
                <w:kern w:val="2"/>
                <w:sz w:val="20"/>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2883A6AC">
            <w:pPr>
              <w:overflowPunct w:val="0"/>
              <w:spacing w:line="240" w:lineRule="atLeast"/>
              <w:jc w:val="center"/>
              <w:rPr>
                <w:rFonts w:ascii="宋体" w:hAnsi="宋体" w:cs="Arial"/>
                <w:kern w:val="2"/>
                <w:sz w:val="20"/>
              </w:rPr>
            </w:pPr>
            <w:r>
              <w:rPr>
                <w:rFonts w:ascii="宋体" w:hAnsi="宋体" w:cs="Arial"/>
                <w:kern w:val="2"/>
                <w:sz w:val="20"/>
              </w:rPr>
              <w:t>设定标准</w:t>
            </w:r>
          </w:p>
        </w:tc>
      </w:tr>
      <w:tr w14:paraId="77FEC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E0380E1">
            <w:pPr>
              <w:overflowPunct w:val="0"/>
              <w:spacing w:line="240" w:lineRule="atLeast"/>
              <w:jc w:val="center"/>
              <w:rPr>
                <w:rFonts w:ascii="宋体" w:hAnsi="宋体" w:cs="Arial"/>
                <w:kern w:val="2"/>
                <w:sz w:val="20"/>
              </w:rPr>
            </w:pPr>
            <w:r>
              <w:rPr>
                <w:rFonts w:ascii="宋体" w:hAnsi="宋体" w:cs="Arial"/>
                <w:kern w:val="2"/>
                <w:sz w:val="20"/>
              </w:rPr>
              <w:t>所在楼层</w:t>
            </w:r>
            <w:r>
              <w:rPr>
                <w:rFonts w:hint="eastAsia" w:ascii="宋体" w:hAnsi="宋体" w:cs="Arial"/>
                <w:kern w:val="2"/>
                <w:sz w:val="20"/>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3773FEB2">
            <w:pPr>
              <w:overflowPunct w:val="0"/>
              <w:spacing w:line="240" w:lineRule="atLeast"/>
              <w:jc w:val="center"/>
              <w:rPr>
                <w:rFonts w:ascii="宋体" w:hAnsi="宋体" w:cs="Arial"/>
                <w:kern w:val="2"/>
                <w:sz w:val="20"/>
              </w:rPr>
            </w:pPr>
            <w:r>
              <w:rPr>
                <w:rFonts w:ascii="宋体" w:hAnsi="宋体" w:cs="Arial"/>
                <w:kern w:val="2"/>
                <w:sz w:val="20"/>
              </w:rPr>
              <w:t>中楼层</w:t>
            </w:r>
            <w:r>
              <w:rPr>
                <w:rFonts w:hint="eastAsia" w:ascii="宋体" w:hAnsi="宋体" w:cs="Arial"/>
                <w:kern w:val="2"/>
                <w:sz w:val="20"/>
              </w:rPr>
              <w:t>/1</w:t>
            </w:r>
            <w:r>
              <w:rPr>
                <w:rFonts w:ascii="宋体" w:hAnsi="宋体" w:cs="Arial"/>
                <w:kern w:val="2"/>
                <w:sz w:val="20"/>
              </w:rPr>
              <w:t>8</w:t>
            </w:r>
            <w:r>
              <w:rPr>
                <w:rFonts w:hint="eastAsia" w:ascii="宋体" w:hAnsi="宋体" w:cs="Arial"/>
                <w:kern w:val="2"/>
                <w:sz w:val="20"/>
              </w:rPr>
              <w:t>层</w:t>
            </w:r>
          </w:p>
        </w:tc>
      </w:tr>
      <w:tr w14:paraId="6F581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50C61A2">
            <w:pPr>
              <w:overflowPunct w:val="0"/>
              <w:spacing w:line="240" w:lineRule="atLeast"/>
              <w:jc w:val="center"/>
              <w:rPr>
                <w:rFonts w:ascii="宋体" w:hAnsi="宋体" w:cs="Arial"/>
                <w:kern w:val="2"/>
                <w:sz w:val="20"/>
              </w:rPr>
            </w:pPr>
            <w:r>
              <w:rPr>
                <w:rFonts w:ascii="宋体" w:hAnsi="宋体" w:cs="Arial"/>
                <w:kern w:val="2"/>
                <w:sz w:val="20"/>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470A4078">
            <w:pPr>
              <w:overflowPunct w:val="0"/>
              <w:spacing w:line="240" w:lineRule="atLeast"/>
              <w:jc w:val="center"/>
              <w:rPr>
                <w:rFonts w:ascii="宋体" w:hAnsi="宋体" w:cs="Arial"/>
                <w:kern w:val="2"/>
                <w:sz w:val="20"/>
              </w:rPr>
            </w:pPr>
            <w:r>
              <w:rPr>
                <w:rFonts w:hint="eastAsia" w:ascii="宋体" w:hAnsi="宋体" w:cs="Arial"/>
                <w:kern w:val="2"/>
                <w:sz w:val="20"/>
              </w:rPr>
              <w:t>南</w:t>
            </w:r>
          </w:p>
        </w:tc>
      </w:tr>
      <w:tr w14:paraId="5917C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20ED787D">
            <w:pPr>
              <w:overflowPunct w:val="0"/>
              <w:spacing w:line="240" w:lineRule="atLeast"/>
              <w:jc w:val="center"/>
              <w:rPr>
                <w:rFonts w:ascii="宋体" w:hAnsi="宋体" w:cs="Arial"/>
                <w:kern w:val="2"/>
                <w:sz w:val="20"/>
              </w:rPr>
            </w:pPr>
            <w:r>
              <w:rPr>
                <w:rFonts w:ascii="宋体" w:hAnsi="宋体" w:cs="Arial"/>
                <w:kern w:val="2"/>
                <w:sz w:val="20"/>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5134290D">
            <w:pPr>
              <w:overflowPunct w:val="0"/>
              <w:spacing w:line="240" w:lineRule="atLeast"/>
              <w:jc w:val="center"/>
              <w:rPr>
                <w:rFonts w:ascii="宋体" w:hAnsi="宋体" w:cs="Arial"/>
                <w:kern w:val="2"/>
                <w:sz w:val="20"/>
              </w:rPr>
            </w:pPr>
            <w:r>
              <w:rPr>
                <w:rFonts w:ascii="宋体" w:hAnsi="宋体" w:cs="Arial"/>
                <w:kern w:val="2"/>
                <w:sz w:val="20"/>
              </w:rPr>
              <w:t>57.9</w:t>
            </w:r>
            <w:r>
              <w:rPr>
                <w:rFonts w:hint="eastAsia" w:ascii="宋体" w:hAnsi="宋体" w:cs="Arial"/>
                <w:kern w:val="2"/>
                <w:sz w:val="20"/>
              </w:rPr>
              <w:t>-</w:t>
            </w:r>
            <w:r>
              <w:rPr>
                <w:rFonts w:ascii="宋体" w:hAnsi="宋体" w:cs="Arial"/>
                <w:kern w:val="2"/>
                <w:sz w:val="20"/>
              </w:rPr>
              <w:t>61.95</w:t>
            </w:r>
          </w:p>
        </w:tc>
      </w:tr>
      <w:tr w14:paraId="3EF2E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08D2A40">
            <w:pPr>
              <w:overflowPunct w:val="0"/>
              <w:spacing w:line="240" w:lineRule="atLeast"/>
              <w:jc w:val="center"/>
              <w:rPr>
                <w:rFonts w:ascii="宋体" w:hAnsi="宋体" w:cs="Arial"/>
                <w:kern w:val="2"/>
                <w:sz w:val="20"/>
              </w:rPr>
            </w:pPr>
            <w:r>
              <w:rPr>
                <w:rFonts w:ascii="宋体" w:hAnsi="宋体" w:cs="Arial"/>
                <w:kern w:val="2"/>
                <w:sz w:val="20"/>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429A927F">
            <w:pPr>
              <w:overflowPunct w:val="0"/>
              <w:spacing w:line="240" w:lineRule="atLeast"/>
              <w:jc w:val="center"/>
              <w:rPr>
                <w:rFonts w:ascii="宋体" w:hAnsi="宋体" w:cs="Arial"/>
                <w:kern w:val="2"/>
                <w:sz w:val="20"/>
              </w:rPr>
            </w:pPr>
            <w:r>
              <w:rPr>
                <w:rFonts w:ascii="宋体" w:hAnsi="宋体" w:cs="Arial"/>
                <w:kern w:val="2"/>
                <w:sz w:val="20"/>
              </w:rPr>
              <w:t>精装修</w:t>
            </w:r>
          </w:p>
        </w:tc>
      </w:tr>
      <w:tr w14:paraId="1CC4A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98A429C">
            <w:pPr>
              <w:overflowPunct w:val="0"/>
              <w:spacing w:line="240" w:lineRule="atLeast"/>
              <w:jc w:val="center"/>
              <w:rPr>
                <w:rFonts w:ascii="宋体" w:hAnsi="宋体" w:cs="Arial"/>
                <w:kern w:val="2"/>
                <w:sz w:val="20"/>
              </w:rPr>
            </w:pPr>
            <w:r>
              <w:rPr>
                <w:rFonts w:hint="eastAsia" w:ascii="宋体" w:hAnsi="宋体" w:cs="Arial"/>
                <w:kern w:val="2"/>
                <w:sz w:val="20"/>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482A607E">
            <w:pPr>
              <w:overflowPunct w:val="0"/>
              <w:spacing w:line="240" w:lineRule="atLeast"/>
              <w:jc w:val="center"/>
              <w:rPr>
                <w:rFonts w:ascii="宋体" w:hAnsi="宋体" w:cs="Arial"/>
                <w:kern w:val="2"/>
                <w:sz w:val="20"/>
              </w:rPr>
            </w:pPr>
            <w:r>
              <w:rPr>
                <w:rFonts w:hint="eastAsia" w:ascii="宋体" w:hAnsi="宋体" w:cs="Arial"/>
                <w:kern w:val="2"/>
                <w:sz w:val="20"/>
              </w:rPr>
              <w:t>两居室</w:t>
            </w:r>
          </w:p>
        </w:tc>
      </w:tr>
      <w:tr w14:paraId="79D61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70641F6">
            <w:pPr>
              <w:overflowPunct w:val="0"/>
              <w:spacing w:line="240" w:lineRule="atLeast"/>
              <w:jc w:val="center"/>
              <w:rPr>
                <w:rFonts w:ascii="宋体" w:hAnsi="宋体" w:cs="Arial"/>
                <w:kern w:val="2"/>
                <w:sz w:val="20"/>
              </w:rPr>
            </w:pPr>
            <w:r>
              <w:rPr>
                <w:rFonts w:ascii="宋体" w:hAnsi="宋体" w:cs="Arial"/>
                <w:kern w:val="2"/>
                <w:sz w:val="20"/>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161D3710">
            <w:pPr>
              <w:overflowPunct w:val="0"/>
              <w:spacing w:line="240" w:lineRule="atLeast"/>
              <w:jc w:val="center"/>
              <w:rPr>
                <w:rFonts w:ascii="宋体" w:hAnsi="宋体" w:cs="Arial"/>
                <w:kern w:val="2"/>
                <w:sz w:val="20"/>
              </w:rPr>
            </w:pPr>
            <w:r>
              <w:rPr>
                <w:rFonts w:ascii="宋体" w:hAnsi="宋体" w:cs="Arial"/>
                <w:kern w:val="2"/>
                <w:sz w:val="20"/>
              </w:rPr>
              <w:t>两梯六户</w:t>
            </w:r>
          </w:p>
        </w:tc>
      </w:tr>
    </w:tbl>
    <w:p w14:paraId="0DFC2B78">
      <w:pPr>
        <w:overflowPunct w:val="0"/>
        <w:spacing w:after="120" w:afterLines="50" w:line="240" w:lineRule="auto"/>
        <w:jc w:val="both"/>
        <w:textAlignment w:val="auto"/>
        <w:rPr>
          <w:rFonts w:ascii="Arial" w:hAnsi="Arial" w:cs="Arial"/>
          <w:sz w:val="18"/>
          <w:szCs w:val="18"/>
        </w:rPr>
      </w:pPr>
    </w:p>
    <w:p w14:paraId="1E1C555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ascii="Arial" w:hAnsi="Arial" w:cs="Arial"/>
          <w:sz w:val="21"/>
          <w:szCs w:val="21"/>
        </w:rPr>
        <w:t>2025年5月1日</w:t>
      </w:r>
    </w:p>
    <w:p w14:paraId="4002C4AB">
      <w:pPr>
        <w:overflowPunct w:val="0"/>
        <w:spacing w:line="480" w:lineRule="auto"/>
        <w:ind w:firstLine="422" w:firstLineChars="200"/>
        <w:jc w:val="both"/>
        <w:textAlignment w:val="auto"/>
        <w:rPr>
          <w:rFonts w:ascii="Arial" w:hAnsi="Arial" w:cs="Arial"/>
          <w:sz w:val="21"/>
          <w:szCs w:val="21"/>
        </w:rPr>
      </w:pPr>
      <w:r>
        <w:rPr>
          <w:rFonts w:hint="eastAsia" w:ascii="Arial" w:hAnsi="Arial" w:cs="Arial"/>
          <w:b/>
          <w:bCs/>
          <w:sz w:val="21"/>
          <w:szCs w:val="21"/>
        </w:rPr>
        <w:t>估价时段：</w:t>
      </w:r>
      <w:r>
        <w:rPr>
          <w:rFonts w:hint="eastAsia" w:ascii="Arial" w:hAnsi="Arial" w:cs="Arial"/>
          <w:sz w:val="21"/>
          <w:szCs w:val="21"/>
        </w:rPr>
        <w:t>于价值时点</w:t>
      </w:r>
      <w:r>
        <w:rPr>
          <w:rFonts w:ascii="Arial" w:hAnsi="Arial" w:cs="Arial"/>
          <w:sz w:val="21"/>
          <w:szCs w:val="21"/>
        </w:rPr>
        <w:t>2025年5月1日</w:t>
      </w:r>
      <w:r>
        <w:rPr>
          <w:rFonts w:hint="eastAsia" w:ascii="Arial" w:hAnsi="Arial" w:cs="Arial"/>
          <w:sz w:val="21"/>
          <w:szCs w:val="21"/>
        </w:rPr>
        <w:t>前一年内（202</w:t>
      </w:r>
      <w:r>
        <w:rPr>
          <w:rFonts w:ascii="Arial" w:hAnsi="Arial" w:cs="Arial"/>
          <w:sz w:val="21"/>
          <w:szCs w:val="21"/>
        </w:rPr>
        <w:t>4</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月1日至202</w:t>
      </w:r>
      <w:r>
        <w:rPr>
          <w:rFonts w:ascii="Arial" w:hAnsi="Arial" w:cs="Arial"/>
          <w:sz w:val="21"/>
          <w:szCs w:val="21"/>
        </w:rPr>
        <w:t>5</w:t>
      </w:r>
      <w:r>
        <w:rPr>
          <w:rFonts w:hint="eastAsia" w:ascii="Arial" w:hAnsi="Arial" w:cs="Arial"/>
          <w:sz w:val="21"/>
          <w:szCs w:val="21"/>
        </w:rPr>
        <w:t>年</w:t>
      </w:r>
      <w:r>
        <w:rPr>
          <w:rFonts w:ascii="Arial" w:hAnsi="Arial" w:cs="Arial"/>
          <w:sz w:val="21"/>
          <w:szCs w:val="21"/>
        </w:rPr>
        <w:t>4</w:t>
      </w:r>
      <w:r>
        <w:rPr>
          <w:rFonts w:hint="eastAsia" w:ascii="Arial" w:hAnsi="Arial" w:cs="Arial"/>
          <w:sz w:val="21"/>
          <w:szCs w:val="21"/>
        </w:rPr>
        <w:t>月3</w:t>
      </w:r>
      <w:r>
        <w:rPr>
          <w:rFonts w:ascii="Arial" w:hAnsi="Arial" w:cs="Arial"/>
          <w:sz w:val="21"/>
          <w:szCs w:val="21"/>
        </w:rPr>
        <w:t>0日</w:t>
      </w:r>
      <w:r>
        <w:rPr>
          <w:rFonts w:hint="eastAsia" w:ascii="Arial" w:hAnsi="Arial" w:cs="Arial"/>
          <w:sz w:val="21"/>
          <w:szCs w:val="21"/>
        </w:rPr>
        <w:t>）</w:t>
      </w:r>
    </w:p>
    <w:p w14:paraId="453FBAB3">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估价结果中的房地产租金价格是指估价对象在估价时段（2024年5月1日至2025年4月30日）规划利用条件及下述设定条件下的市场平均租金价格：</w:t>
      </w:r>
    </w:p>
    <w:p w14:paraId="38EA320E">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）同地段是指按照就近原则，能够满足公共租赁住房项目市场租金评估所需要的可比小区数量所形成的同质区域。</w:t>
      </w:r>
    </w:p>
    <w:p w14:paraId="0AC313E1">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）同类型是指使用功能、建筑结构、面积、户型、装修、家具家电设备及周边环境与配套相同或相似的住房。</w:t>
      </w:r>
    </w:p>
    <w:p w14:paraId="78DE534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3</w:t>
      </w:r>
      <w:r>
        <w:rPr>
          <w:rFonts w:hint="eastAsia" w:ascii="Arial" w:hAnsi="Arial" w:cs="Arial"/>
          <w:sz w:val="21"/>
          <w:szCs w:val="21"/>
        </w:rPr>
        <w:t>）估价时段是指价值时点前一年。</w:t>
      </w:r>
    </w:p>
    <w:p w14:paraId="042D17D9">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hint="eastAsia" w:ascii="Arial" w:hAnsi="Arial" w:cs="Arial"/>
          <w:bCs/>
          <w:sz w:val="21"/>
          <w:szCs w:val="21"/>
        </w:rPr>
        <w:t>比较法、成本法（比较法测算项目的市场租金，成本法对项目的成本收益进行分析）</w:t>
      </w:r>
      <w:r>
        <w:rPr>
          <w:rFonts w:ascii="Arial" w:hAnsi="Arial" w:cs="Arial"/>
          <w:sz w:val="21"/>
          <w:szCs w:val="21"/>
        </w:rPr>
        <w:t>。</w:t>
      </w:r>
    </w:p>
    <w:p w14:paraId="50F87F87">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注册房地产估价师根据估价的目的，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同地段、同类型普通住宅房地产于价值时点</w:t>
      </w:r>
      <w:r>
        <w:rPr>
          <w:rFonts w:ascii="Arial" w:hAnsi="Arial" w:cs="Arial"/>
          <w:sz w:val="21"/>
          <w:szCs w:val="21"/>
        </w:rPr>
        <w:t>2025年5月1日</w:t>
      </w:r>
      <w:r>
        <w:rPr>
          <w:rFonts w:hint="eastAsia" w:ascii="Arial" w:hAnsi="Arial" w:cs="Arial"/>
          <w:sz w:val="21"/>
          <w:szCs w:val="21"/>
        </w:rPr>
        <w:t>前一年内（2024年5月1日至2025年4月30日）</w:t>
      </w:r>
      <w:bookmarkStart w:id="3" w:name="_Hlk111638309"/>
      <w:r>
        <w:rPr>
          <w:rFonts w:hint="eastAsia" w:ascii="Arial" w:hAnsi="Arial" w:cs="Arial"/>
          <w:sz w:val="21"/>
          <w:szCs w:val="21"/>
        </w:rPr>
        <w:t>市场平均租金价格</w:t>
      </w:r>
      <w:bookmarkEnd w:id="3"/>
      <w:r>
        <w:rPr>
          <w:rFonts w:hint="eastAsia" w:ascii="Arial" w:hAnsi="Arial" w:cs="Arial"/>
          <w:sz w:val="21"/>
          <w:szCs w:val="21"/>
        </w:rPr>
        <w:t>为：</w:t>
      </w:r>
    </w:p>
    <w:p w14:paraId="68413183">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估价对象市场租金：</w:t>
      </w:r>
      <w:r>
        <w:rPr>
          <w:rFonts w:ascii="Arial" w:hAnsi="Arial" w:cs="Arial"/>
          <w:b/>
          <w:bCs/>
          <w:sz w:val="21"/>
          <w:szCs w:val="21"/>
        </w:rPr>
        <w:t>58.87</w:t>
      </w:r>
      <w:r>
        <w:rPr>
          <w:rFonts w:hint="eastAsia" w:ascii="Arial" w:hAnsi="Arial" w:cs="Arial"/>
          <w:b/>
          <w:bCs/>
          <w:sz w:val="21"/>
          <w:szCs w:val="21"/>
        </w:rPr>
        <w:t>元/平方米·月（货币种类：人民币）</w:t>
      </w:r>
    </w:p>
    <w:p w14:paraId="281555C5">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5881E9D">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620B41C7">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bookmarkStart w:id="4" w:name="_Hlk104887094"/>
    </w:p>
    <w:bookmarkEnd w:id="4"/>
    <w:p w14:paraId="64E759D7">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4、估价结果包括地租、房屋折旧、设备折旧、维修费、保险费、物业费、</w:t>
      </w:r>
      <w:r>
        <w:rPr>
          <w:rFonts w:hint="eastAsia" w:ascii="Arial" w:hAnsi="Arial" w:cs="Arial"/>
          <w:sz w:val="18"/>
          <w:szCs w:val="18"/>
        </w:rPr>
        <w:t>管理费、</w:t>
      </w:r>
      <w:r>
        <w:rPr>
          <w:rFonts w:ascii="Arial" w:hAnsi="Arial" w:cs="Arial"/>
          <w:sz w:val="18"/>
          <w:szCs w:val="18"/>
        </w:rPr>
        <w:t>利息、利润等，不含供暖费、水电费、天然气费、通信费、有线电视费、上网宽带费和家具、家电租赁费及租赁税费等。</w:t>
      </w:r>
    </w:p>
    <w:p w14:paraId="1A6E7230">
      <w:pPr>
        <w:spacing w:line="480" w:lineRule="auto"/>
        <w:ind w:firstLine="3600" w:firstLineChars="2000"/>
        <w:jc w:val="both"/>
        <w:rPr>
          <w:rFonts w:ascii="Arial" w:hAnsi="Arial" w:cs="Arial"/>
          <w:sz w:val="18"/>
          <w:szCs w:val="18"/>
        </w:rPr>
      </w:pPr>
    </w:p>
    <w:p w14:paraId="1A1F5031">
      <w:pPr>
        <w:spacing w:line="480" w:lineRule="auto"/>
        <w:ind w:firstLine="3600" w:firstLineChars="2000"/>
        <w:jc w:val="both"/>
        <w:rPr>
          <w:rFonts w:ascii="Arial" w:hAnsi="Arial" w:cs="Arial"/>
          <w:sz w:val="18"/>
          <w:szCs w:val="18"/>
        </w:rPr>
      </w:pPr>
    </w:p>
    <w:p w14:paraId="3E54167B">
      <w:pPr>
        <w:spacing w:line="480" w:lineRule="auto"/>
        <w:ind w:firstLine="3600" w:firstLineChars="2000"/>
        <w:jc w:val="both"/>
        <w:rPr>
          <w:rFonts w:ascii="Arial" w:hAnsi="Arial" w:cs="Arial"/>
          <w:sz w:val="18"/>
          <w:szCs w:val="18"/>
        </w:rPr>
      </w:pPr>
    </w:p>
    <w:p w14:paraId="3AEF4CBE">
      <w:pPr>
        <w:spacing w:line="480" w:lineRule="auto"/>
        <w:ind w:firstLine="3600" w:firstLineChars="2000"/>
        <w:jc w:val="both"/>
        <w:rPr>
          <w:rFonts w:ascii="Arial" w:hAnsi="Arial" w:cs="Arial"/>
          <w:sz w:val="18"/>
          <w:szCs w:val="18"/>
        </w:rPr>
      </w:pPr>
    </w:p>
    <w:p w14:paraId="095FE99F">
      <w:pPr>
        <w:spacing w:line="480" w:lineRule="auto"/>
        <w:ind w:firstLine="3600" w:firstLineChars="2000"/>
        <w:jc w:val="both"/>
        <w:rPr>
          <w:rFonts w:ascii="Arial" w:hAnsi="Arial" w:cs="Arial"/>
          <w:sz w:val="18"/>
          <w:szCs w:val="18"/>
        </w:rPr>
      </w:pPr>
    </w:p>
    <w:p w14:paraId="3F922F03">
      <w:pPr>
        <w:spacing w:line="480" w:lineRule="auto"/>
        <w:ind w:firstLine="3600" w:firstLineChars="2000"/>
        <w:jc w:val="both"/>
        <w:rPr>
          <w:rFonts w:ascii="Arial" w:hAnsi="Arial" w:cs="Arial"/>
          <w:sz w:val="18"/>
          <w:szCs w:val="18"/>
        </w:rPr>
      </w:pPr>
    </w:p>
    <w:p w14:paraId="66224D0C">
      <w:pPr>
        <w:spacing w:line="480" w:lineRule="auto"/>
        <w:ind w:firstLine="4200" w:firstLineChars="2000"/>
        <w:jc w:val="both"/>
        <w:rPr>
          <w:rFonts w:ascii="Arial" w:hAnsi="Arial" w:cs="Arial"/>
          <w:sz w:val="21"/>
          <w:szCs w:val="21"/>
        </w:rPr>
      </w:pPr>
      <w:r>
        <w:rPr>
          <w:rFonts w:ascii="Arial" w:hAnsi="Arial" w:cs="Arial"/>
          <w:sz w:val="21"/>
          <w:szCs w:val="21"/>
        </w:rPr>
        <w:t>顺致</w:t>
      </w:r>
    </w:p>
    <w:p w14:paraId="4CF29FB9">
      <w:pPr>
        <w:spacing w:line="480" w:lineRule="auto"/>
        <w:ind w:firstLine="420" w:firstLineChars="200"/>
        <w:jc w:val="both"/>
        <w:rPr>
          <w:rFonts w:ascii="Arial" w:hAnsi="Arial" w:cs="Arial"/>
          <w:sz w:val="21"/>
          <w:szCs w:val="21"/>
        </w:rPr>
      </w:pPr>
      <w:r>
        <w:rPr>
          <w:rFonts w:ascii="Arial" w:hAnsi="Arial" w:cs="Arial"/>
          <w:sz w:val="21"/>
          <w:szCs w:val="21"/>
        </w:rPr>
        <w:t>商祺</w:t>
      </w:r>
    </w:p>
    <w:tbl>
      <w:tblPr>
        <w:tblStyle w:val="23"/>
        <w:tblW w:w="0" w:type="auto"/>
        <w:tblInd w:w="5920" w:type="dxa"/>
        <w:tblLayout w:type="autofit"/>
        <w:tblCellMar>
          <w:top w:w="0" w:type="dxa"/>
          <w:left w:w="108" w:type="dxa"/>
          <w:bottom w:w="0" w:type="dxa"/>
          <w:right w:w="108" w:type="dxa"/>
        </w:tblCellMar>
      </w:tblPr>
      <w:tblGrid>
        <w:gridCol w:w="3402"/>
      </w:tblGrid>
      <w:tr w14:paraId="29D61827">
        <w:tblPrEx>
          <w:tblCellMar>
            <w:top w:w="0" w:type="dxa"/>
            <w:left w:w="108" w:type="dxa"/>
            <w:bottom w:w="0" w:type="dxa"/>
            <w:right w:w="108" w:type="dxa"/>
          </w:tblCellMar>
        </w:tblPrEx>
        <w:tc>
          <w:tcPr>
            <w:tcW w:w="3402" w:type="dxa"/>
          </w:tcPr>
          <w:p w14:paraId="12E6584C">
            <w:pPr>
              <w:spacing w:line="480" w:lineRule="auto"/>
              <w:rPr>
                <w:rFonts w:ascii="Arial" w:hAnsi="Arial" w:cs="Arial"/>
                <w:sz w:val="21"/>
                <w:szCs w:val="21"/>
              </w:rPr>
            </w:pPr>
            <w:r>
              <w:rPr>
                <w:rFonts w:ascii="Arial" w:hAnsi="Arial" w:cs="Arial"/>
                <w:sz w:val="21"/>
                <w:szCs w:val="21"/>
              </w:rPr>
              <w:t>北京康正宏基房地产评估有限公司</w:t>
            </w:r>
          </w:p>
        </w:tc>
      </w:tr>
      <w:tr w14:paraId="06BBAFEC">
        <w:tblPrEx>
          <w:tblCellMar>
            <w:top w:w="0" w:type="dxa"/>
            <w:left w:w="108" w:type="dxa"/>
            <w:bottom w:w="0" w:type="dxa"/>
            <w:right w:w="108" w:type="dxa"/>
          </w:tblCellMar>
        </w:tblPrEx>
        <w:trPr>
          <w:trHeight w:val="1431" w:hRule="atLeast"/>
        </w:trPr>
        <w:tc>
          <w:tcPr>
            <w:tcW w:w="3402" w:type="dxa"/>
          </w:tcPr>
          <w:p w14:paraId="15696105">
            <w:pPr>
              <w:spacing w:line="480" w:lineRule="auto"/>
              <w:rPr>
                <w:rFonts w:ascii="Arial" w:hAnsi="Arial" w:cs="Arial"/>
                <w:sz w:val="21"/>
                <w:szCs w:val="21"/>
              </w:rPr>
            </w:pPr>
            <w:r>
              <w:rPr>
                <w:rFonts w:ascii="Arial" w:hAnsi="Arial" w:cs="Arial"/>
                <w:sz w:val="21"/>
                <w:szCs w:val="21"/>
              </w:rPr>
              <w:t>法定代表人：</w:t>
            </w:r>
          </w:p>
        </w:tc>
      </w:tr>
      <w:tr w14:paraId="07EE4550">
        <w:tblPrEx>
          <w:tblCellMar>
            <w:top w:w="0" w:type="dxa"/>
            <w:left w:w="108" w:type="dxa"/>
            <w:bottom w:w="0" w:type="dxa"/>
            <w:right w:w="108" w:type="dxa"/>
          </w:tblCellMar>
        </w:tblPrEx>
        <w:tc>
          <w:tcPr>
            <w:tcW w:w="3402" w:type="dxa"/>
          </w:tcPr>
          <w:p w14:paraId="69589F90">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五</w:t>
            </w:r>
            <w:r>
              <w:rPr>
                <w:rFonts w:ascii="Arial" w:hAnsi="Arial" w:cs="Arial"/>
                <w:sz w:val="21"/>
                <w:szCs w:val="21"/>
              </w:rPr>
              <w:t>年</w:t>
            </w:r>
            <w:r>
              <w:rPr>
                <w:rFonts w:hint="eastAsia" w:ascii="Arial" w:hAnsi="Arial" w:cs="Arial"/>
                <w:sz w:val="21"/>
                <w:szCs w:val="21"/>
              </w:rPr>
              <w:t>六</w:t>
            </w:r>
            <w:r>
              <w:rPr>
                <w:rFonts w:ascii="Arial" w:hAnsi="Arial" w:cs="Arial"/>
                <w:sz w:val="21"/>
                <w:szCs w:val="21"/>
              </w:rPr>
              <w:t>月</w:t>
            </w:r>
            <w:r>
              <w:rPr>
                <w:rFonts w:hint="eastAsia" w:ascii="Arial" w:hAnsi="Arial" w:cs="Arial"/>
                <w:sz w:val="21"/>
                <w:szCs w:val="21"/>
              </w:rPr>
              <w:t>二十六</w:t>
            </w:r>
            <w:r>
              <w:rPr>
                <w:rFonts w:ascii="Arial" w:hAnsi="Arial" w:cs="Arial"/>
                <w:sz w:val="21"/>
                <w:szCs w:val="21"/>
              </w:rPr>
              <w:t>日</w:t>
            </w:r>
          </w:p>
        </w:tc>
      </w:tr>
    </w:tbl>
    <w:p w14:paraId="5AE5B40D">
      <w:pPr>
        <w:spacing w:line="480" w:lineRule="auto"/>
        <w:jc w:val="right"/>
        <w:rPr>
          <w:rFonts w:ascii="Arial" w:hAnsi="Arial" w:cs="Arial"/>
          <w:sz w:val="21"/>
          <w:szCs w:val="21"/>
        </w:rPr>
      </w:pPr>
    </w:p>
    <w:p w14:paraId="39393416">
      <w:pPr>
        <w:spacing w:line="480" w:lineRule="auto"/>
        <w:rPr>
          <w:rFonts w:ascii="Arial" w:hAnsi="Arial" w:cs="Arial"/>
          <w:sz w:val="21"/>
          <w:szCs w:val="21"/>
        </w:rPr>
        <w:sectPr>
          <w:headerReference r:id="rId10" w:type="default"/>
          <w:pgSz w:w="11907" w:h="16840"/>
          <w:pgMar w:top="1843" w:right="1134" w:bottom="1134" w:left="1134" w:header="1134" w:footer="907" w:gutter="340"/>
          <w:pgNumType w:start="1"/>
          <w:cols w:space="720" w:num="1"/>
          <w:docGrid w:linePitch="326" w:charSpace="0"/>
        </w:sectPr>
      </w:pPr>
    </w:p>
    <w:p w14:paraId="628FEFE7">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46F36ECC">
      <w:pPr>
        <w:pStyle w:val="39"/>
        <w:rPr>
          <w:rFonts w:ascii="宋体" w:hAnsi="宋体" w:eastAsia="宋体"/>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"_Toc525655414" </w:instrText>
      </w:r>
      <w:r>
        <w:fldChar w:fldCharType="separate"/>
      </w:r>
      <w:r>
        <w:rPr>
          <w:rStyle w:val="29"/>
          <w:rFonts w:hint="eastAsia" w:ascii="宋体" w:hAnsi="宋体" w:eastAsia="宋体"/>
          <w:color w:val="auto"/>
          <w:sz w:val="24"/>
          <w:szCs w:val="24"/>
        </w:rPr>
        <w:t>致估价委托人函</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_Toc525655414 \h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fldChar w:fldCharType="end"/>
      </w:r>
    </w:p>
    <w:p w14:paraId="03EE67F2">
      <w:pPr>
        <w:pStyle w:val="39"/>
        <w:rPr>
          <w:rFonts w:ascii="宋体" w:hAnsi="宋体" w:eastAsia="宋体"/>
          <w:b w:val="0"/>
          <w:bCs w:val="0"/>
          <w:kern w:val="2"/>
          <w:sz w:val="24"/>
          <w:szCs w:val="24"/>
        </w:rPr>
      </w:pPr>
      <w:r>
        <w:fldChar w:fldCharType="begin"/>
      </w:r>
      <w:r>
        <w:instrText xml:space="preserve"> HYPERLINK \l "_Toc525655415" </w:instrText>
      </w:r>
      <w:r>
        <w:fldChar w:fldCharType="separate"/>
      </w:r>
      <w:r>
        <w:rPr>
          <w:rStyle w:val="29"/>
          <w:rFonts w:hint="eastAsia" w:ascii="宋体" w:hAnsi="宋体" w:eastAsia="宋体"/>
          <w:color w:val="auto"/>
          <w:sz w:val="24"/>
          <w:szCs w:val="24"/>
        </w:rPr>
        <w:t>估价师声明</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_Toc525655415 \h </w:instrText>
      </w:r>
      <w:r>
        <w:rPr>
          <w:rFonts w:ascii="宋体" w:hAnsi="宋体" w:eastAsia="宋体"/>
          <w:sz w:val="24"/>
          <w:szCs w:val="24"/>
        </w:rPr>
        <w:fldChar w:fldCharType="separate"/>
      </w:r>
      <w:r>
        <w:rPr>
          <w:rFonts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14:paraId="6C166E9A">
      <w:pPr>
        <w:pStyle w:val="39"/>
        <w:rPr>
          <w:rFonts w:ascii="宋体" w:hAnsi="宋体" w:eastAsia="宋体"/>
          <w:b w:val="0"/>
          <w:bCs w:val="0"/>
          <w:kern w:val="2"/>
          <w:sz w:val="24"/>
          <w:szCs w:val="24"/>
        </w:rPr>
      </w:pPr>
      <w:r>
        <w:fldChar w:fldCharType="begin"/>
      </w:r>
      <w:r>
        <w:instrText xml:space="preserve"> HYPERLINK \l "_Toc525655416" </w:instrText>
      </w:r>
      <w:r>
        <w:fldChar w:fldCharType="separate"/>
      </w:r>
      <w:r>
        <w:rPr>
          <w:rStyle w:val="29"/>
          <w:rFonts w:hint="eastAsia" w:ascii="宋体" w:hAnsi="宋体" w:eastAsia="宋体"/>
          <w:color w:val="auto"/>
          <w:sz w:val="24"/>
          <w:szCs w:val="24"/>
        </w:rPr>
        <w:t>估价假设和限制条件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_Toc525655416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339DF2EC">
      <w:pPr>
        <w:pStyle w:val="39"/>
        <w:rPr>
          <w:rFonts w:ascii="宋体" w:hAnsi="宋体" w:eastAsia="宋体"/>
          <w:b w:val="0"/>
          <w:bCs w:val="0"/>
          <w:kern w:val="2"/>
          <w:sz w:val="24"/>
          <w:szCs w:val="24"/>
        </w:rPr>
      </w:pPr>
      <w:r>
        <w:fldChar w:fldCharType="begin"/>
      </w:r>
      <w:r>
        <w:instrText xml:space="preserve"> HYPERLINK \l "_Toc525655417" </w:instrText>
      </w:r>
      <w:r>
        <w:fldChar w:fldCharType="separate"/>
      </w:r>
      <w:r>
        <w:rPr>
          <w:rStyle w:val="29"/>
          <w:rFonts w:hint="eastAsia" w:ascii="宋体" w:hAnsi="宋体" w:eastAsia="宋体"/>
          <w:color w:val="auto"/>
          <w:sz w:val="24"/>
          <w:szCs w:val="24"/>
        </w:rPr>
        <w:t>估价结果报告</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_Toc525655417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4D7D0DA4">
      <w:pPr>
        <w:pStyle w:val="42"/>
        <w:rPr>
          <w:rFonts w:ascii="宋体" w:hAnsi="宋体" w:eastAsia="宋体"/>
          <w:kern w:val="2"/>
          <w:sz w:val="21"/>
          <w:szCs w:val="21"/>
        </w:rPr>
      </w:pPr>
      <w:r>
        <w:fldChar w:fldCharType="begin"/>
      </w:r>
      <w:r>
        <w:instrText xml:space="preserve"> HYPERLINK \l "_Toc525655418" </w:instrText>
      </w:r>
      <w:r>
        <w:fldChar w:fldCharType="separate"/>
      </w:r>
      <w:r>
        <w:rPr>
          <w:rStyle w:val="29"/>
          <w:rFonts w:hint="eastAsia" w:ascii="宋体" w:hAnsi="宋体" w:eastAsia="宋体"/>
          <w:color w:val="auto"/>
          <w:sz w:val="21"/>
          <w:szCs w:val="21"/>
        </w:rPr>
        <w:t>一、估价委托人</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_Toc525655418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51813879">
      <w:pPr>
        <w:pStyle w:val="42"/>
        <w:rPr>
          <w:rFonts w:ascii="宋体" w:hAnsi="宋体" w:eastAsia="宋体"/>
          <w:kern w:val="2"/>
          <w:sz w:val="21"/>
          <w:szCs w:val="21"/>
        </w:rPr>
      </w:pPr>
      <w:r>
        <w:fldChar w:fldCharType="begin"/>
      </w:r>
      <w:r>
        <w:instrText xml:space="preserve"> HYPERLINK \l "_Toc525655419" </w:instrText>
      </w:r>
      <w:r>
        <w:fldChar w:fldCharType="separate"/>
      </w:r>
      <w:r>
        <w:rPr>
          <w:rStyle w:val="29"/>
          <w:rFonts w:hint="eastAsia" w:ascii="宋体" w:hAnsi="宋体" w:eastAsia="宋体"/>
          <w:color w:val="auto"/>
          <w:sz w:val="21"/>
          <w:szCs w:val="21"/>
        </w:rPr>
        <w:t>二、房地产估价机构</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_Toc525655419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65606960">
      <w:pPr>
        <w:pStyle w:val="42"/>
        <w:rPr>
          <w:rFonts w:ascii="宋体" w:hAnsi="宋体" w:eastAsia="宋体"/>
          <w:kern w:val="2"/>
          <w:sz w:val="21"/>
          <w:szCs w:val="21"/>
        </w:rPr>
      </w:pPr>
      <w:r>
        <w:fldChar w:fldCharType="begin"/>
      </w:r>
      <w:r>
        <w:instrText xml:space="preserve"> HYPERLINK \l "_Toc525655420" </w:instrText>
      </w:r>
      <w:r>
        <w:fldChar w:fldCharType="separate"/>
      </w:r>
      <w:r>
        <w:rPr>
          <w:rStyle w:val="29"/>
          <w:rFonts w:hint="eastAsia" w:ascii="宋体" w:hAnsi="宋体" w:eastAsia="宋体"/>
          <w:color w:val="auto"/>
          <w:sz w:val="21"/>
          <w:szCs w:val="21"/>
        </w:rPr>
        <w:t>三、估价目的</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_Toc525655420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3EB76589">
      <w:pPr>
        <w:pStyle w:val="42"/>
        <w:rPr>
          <w:rFonts w:ascii="宋体" w:hAnsi="宋体" w:eastAsia="宋体"/>
          <w:kern w:val="2"/>
          <w:sz w:val="21"/>
          <w:szCs w:val="21"/>
        </w:rPr>
      </w:pPr>
      <w:r>
        <w:fldChar w:fldCharType="begin"/>
      </w:r>
      <w:r>
        <w:instrText xml:space="preserve"> HYPERLINK \l "_Toc525655421" </w:instrText>
      </w:r>
      <w:r>
        <w:fldChar w:fldCharType="separate"/>
      </w:r>
      <w:r>
        <w:rPr>
          <w:rStyle w:val="29"/>
          <w:rFonts w:hint="eastAsia" w:ascii="宋体" w:hAnsi="宋体" w:eastAsia="宋体"/>
          <w:color w:val="auto"/>
          <w:sz w:val="21"/>
          <w:szCs w:val="21"/>
        </w:rPr>
        <w:t>四、估价对象</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_Toc525655421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1CBF148F">
      <w:pPr>
        <w:pStyle w:val="42"/>
        <w:rPr>
          <w:rFonts w:ascii="宋体" w:hAnsi="宋体" w:eastAsia="宋体"/>
          <w:kern w:val="2"/>
          <w:sz w:val="21"/>
          <w:szCs w:val="21"/>
        </w:rPr>
      </w:pPr>
      <w:r>
        <w:fldChar w:fldCharType="begin"/>
      </w:r>
      <w:r>
        <w:instrText xml:space="preserve"> HYPERLINK \l "_Toc525655422" </w:instrText>
      </w:r>
      <w:r>
        <w:fldChar w:fldCharType="separate"/>
      </w:r>
      <w:r>
        <w:rPr>
          <w:rStyle w:val="29"/>
          <w:rFonts w:hint="eastAsia" w:ascii="宋体" w:hAnsi="宋体" w:eastAsia="宋体"/>
          <w:color w:val="auto"/>
          <w:sz w:val="21"/>
          <w:szCs w:val="21"/>
        </w:rPr>
        <w:t>五、价值时点</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_Toc525655422 \h </w:instrText>
      </w:r>
      <w:r>
        <w:rPr>
          <w:rFonts w:ascii="宋体" w:hAnsi="宋体" w:eastAsia="宋体"/>
          <w:sz w:val="21"/>
          <w:szCs w:val="21"/>
        </w:rPr>
        <w:fldChar w:fldCharType="separate"/>
      </w:r>
      <w:r>
        <w:rPr>
          <w:rFonts w:ascii="宋体" w:hAnsi="宋体" w:eastAsia="宋体"/>
          <w:sz w:val="21"/>
          <w:szCs w:val="21"/>
        </w:rPr>
        <w:t>16</w:t>
      </w:r>
      <w:r>
        <w:rPr>
          <w:rFonts w:ascii="宋体" w:hAnsi="宋体" w:eastAsia="宋体"/>
          <w:sz w:val="21"/>
          <w:szCs w:val="21"/>
        </w:rPr>
        <w:fldChar w:fldCharType="end"/>
      </w:r>
      <w:r>
        <w:rPr>
          <w:rFonts w:ascii="宋体" w:hAnsi="宋体" w:eastAsia="宋体"/>
          <w:sz w:val="21"/>
          <w:szCs w:val="21"/>
        </w:rPr>
        <w:fldChar w:fldCharType="end"/>
      </w:r>
    </w:p>
    <w:p w14:paraId="698478FB">
      <w:pPr>
        <w:pStyle w:val="42"/>
        <w:rPr>
          <w:rFonts w:ascii="宋体" w:hAnsi="宋体" w:eastAsia="宋体"/>
          <w:kern w:val="2"/>
          <w:sz w:val="21"/>
          <w:szCs w:val="21"/>
        </w:rPr>
      </w:pPr>
      <w:r>
        <w:fldChar w:fldCharType="begin"/>
      </w:r>
      <w:r>
        <w:instrText xml:space="preserve"> HYPERLINK \l "_Toc525655423" </w:instrText>
      </w:r>
      <w:r>
        <w:fldChar w:fldCharType="separate"/>
      </w:r>
      <w:r>
        <w:rPr>
          <w:rStyle w:val="29"/>
          <w:rFonts w:hint="eastAsia" w:ascii="宋体" w:hAnsi="宋体" w:eastAsia="宋体"/>
          <w:color w:val="auto"/>
          <w:sz w:val="21"/>
          <w:szCs w:val="21"/>
        </w:rPr>
        <w:t>六、价值类型</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_Toc525655423 \h </w:instrText>
      </w:r>
      <w:r>
        <w:rPr>
          <w:rFonts w:ascii="宋体" w:hAnsi="宋体" w:eastAsia="宋体"/>
          <w:sz w:val="21"/>
          <w:szCs w:val="21"/>
        </w:rPr>
        <w:fldChar w:fldCharType="separate"/>
      </w:r>
      <w:r>
        <w:rPr>
          <w:rFonts w:ascii="宋体" w:hAnsi="宋体" w:eastAsia="宋体"/>
          <w:sz w:val="21"/>
          <w:szCs w:val="21"/>
        </w:rPr>
        <w:t>16</w:t>
      </w:r>
      <w:r>
        <w:rPr>
          <w:rFonts w:ascii="宋体" w:hAnsi="宋体" w:eastAsia="宋体"/>
          <w:sz w:val="21"/>
          <w:szCs w:val="21"/>
        </w:rPr>
        <w:fldChar w:fldCharType="end"/>
      </w:r>
      <w:r>
        <w:rPr>
          <w:rFonts w:ascii="宋体" w:hAnsi="宋体" w:eastAsia="宋体"/>
          <w:sz w:val="21"/>
          <w:szCs w:val="21"/>
        </w:rPr>
        <w:fldChar w:fldCharType="end"/>
      </w:r>
    </w:p>
    <w:p w14:paraId="1A221685">
      <w:pPr>
        <w:pStyle w:val="42"/>
        <w:rPr>
          <w:rFonts w:ascii="宋体" w:hAnsi="宋体" w:eastAsia="宋体"/>
          <w:kern w:val="2"/>
          <w:sz w:val="21"/>
          <w:szCs w:val="21"/>
        </w:rPr>
      </w:pPr>
      <w:r>
        <w:fldChar w:fldCharType="begin"/>
      </w:r>
      <w:r>
        <w:instrText xml:space="preserve"> HYPERLINK \l "_Toc525655424" </w:instrText>
      </w:r>
      <w:r>
        <w:fldChar w:fldCharType="separate"/>
      </w:r>
      <w:r>
        <w:rPr>
          <w:rStyle w:val="29"/>
          <w:rFonts w:hint="eastAsia" w:ascii="宋体" w:hAnsi="宋体" w:eastAsia="宋体"/>
          <w:color w:val="auto"/>
          <w:sz w:val="21"/>
          <w:szCs w:val="21"/>
        </w:rPr>
        <w:t>七、估价原则</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_Toc525655424 \h </w:instrText>
      </w:r>
      <w:r>
        <w:rPr>
          <w:rFonts w:ascii="宋体" w:hAnsi="宋体" w:eastAsia="宋体"/>
          <w:sz w:val="21"/>
          <w:szCs w:val="21"/>
        </w:rPr>
        <w:fldChar w:fldCharType="separate"/>
      </w:r>
      <w:r>
        <w:rPr>
          <w:rFonts w:ascii="宋体" w:hAnsi="宋体" w:eastAsia="宋体"/>
          <w:sz w:val="21"/>
          <w:szCs w:val="21"/>
        </w:rPr>
        <w:t>17</w:t>
      </w:r>
      <w:r>
        <w:rPr>
          <w:rFonts w:ascii="宋体" w:hAnsi="宋体" w:eastAsia="宋体"/>
          <w:sz w:val="21"/>
          <w:szCs w:val="21"/>
        </w:rPr>
        <w:fldChar w:fldCharType="end"/>
      </w:r>
      <w:r>
        <w:rPr>
          <w:rFonts w:ascii="宋体" w:hAnsi="宋体" w:eastAsia="宋体"/>
          <w:sz w:val="21"/>
          <w:szCs w:val="21"/>
        </w:rPr>
        <w:fldChar w:fldCharType="end"/>
      </w:r>
    </w:p>
    <w:p w14:paraId="28C69DEC">
      <w:pPr>
        <w:pStyle w:val="42"/>
        <w:rPr>
          <w:rFonts w:ascii="宋体" w:hAnsi="宋体" w:eastAsia="宋体"/>
          <w:kern w:val="2"/>
          <w:sz w:val="21"/>
          <w:szCs w:val="21"/>
        </w:rPr>
      </w:pPr>
      <w:r>
        <w:fldChar w:fldCharType="begin"/>
      </w:r>
      <w:r>
        <w:instrText xml:space="preserve"> HYPERLINK \l "_Toc525655425" </w:instrText>
      </w:r>
      <w:r>
        <w:fldChar w:fldCharType="separate"/>
      </w:r>
      <w:r>
        <w:rPr>
          <w:rStyle w:val="29"/>
          <w:rFonts w:hint="eastAsia" w:ascii="宋体" w:hAnsi="宋体" w:eastAsia="宋体"/>
          <w:color w:val="auto"/>
          <w:sz w:val="21"/>
          <w:szCs w:val="21"/>
        </w:rPr>
        <w:t>八、估价依据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_Toc525655425 \h </w:instrText>
      </w:r>
      <w:r>
        <w:rPr>
          <w:rFonts w:ascii="宋体" w:hAnsi="宋体" w:eastAsia="宋体"/>
          <w:sz w:val="21"/>
          <w:szCs w:val="21"/>
        </w:rPr>
        <w:fldChar w:fldCharType="separate"/>
      </w:r>
      <w:r>
        <w:rPr>
          <w:rFonts w:ascii="宋体" w:hAnsi="宋体" w:eastAsia="宋体"/>
          <w:sz w:val="21"/>
          <w:szCs w:val="21"/>
        </w:rPr>
        <w:t>19</w:t>
      </w:r>
      <w:r>
        <w:rPr>
          <w:rFonts w:ascii="宋体" w:hAnsi="宋体" w:eastAsia="宋体"/>
          <w:sz w:val="21"/>
          <w:szCs w:val="21"/>
        </w:rPr>
        <w:fldChar w:fldCharType="end"/>
      </w:r>
      <w:r>
        <w:rPr>
          <w:rFonts w:ascii="宋体" w:hAnsi="宋体" w:eastAsia="宋体"/>
          <w:sz w:val="21"/>
          <w:szCs w:val="21"/>
        </w:rPr>
        <w:fldChar w:fldCharType="end"/>
      </w:r>
    </w:p>
    <w:p w14:paraId="66A523A6">
      <w:pPr>
        <w:pStyle w:val="42"/>
        <w:rPr>
          <w:rFonts w:ascii="宋体" w:hAnsi="宋体" w:eastAsia="宋体"/>
          <w:kern w:val="2"/>
          <w:sz w:val="21"/>
          <w:szCs w:val="21"/>
        </w:rPr>
      </w:pPr>
      <w:r>
        <w:fldChar w:fldCharType="begin"/>
      </w:r>
      <w:r>
        <w:instrText xml:space="preserve"> HYPERLINK \l "_Toc525655426" </w:instrText>
      </w:r>
      <w:r>
        <w:fldChar w:fldCharType="separate"/>
      </w:r>
      <w:r>
        <w:rPr>
          <w:rStyle w:val="29"/>
          <w:rFonts w:hint="eastAsia" w:ascii="宋体" w:hAnsi="宋体" w:eastAsia="宋体"/>
          <w:color w:val="auto"/>
          <w:sz w:val="21"/>
          <w:szCs w:val="21"/>
        </w:rPr>
        <w:t>九、估价方法</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_Toc525655426 \h </w:instrText>
      </w:r>
      <w:r>
        <w:rPr>
          <w:rFonts w:ascii="宋体" w:hAnsi="宋体" w:eastAsia="宋体"/>
          <w:sz w:val="21"/>
          <w:szCs w:val="21"/>
        </w:rPr>
        <w:fldChar w:fldCharType="separate"/>
      </w:r>
      <w:r>
        <w:rPr>
          <w:rFonts w:ascii="宋体" w:hAnsi="宋体" w:eastAsia="宋体"/>
          <w:sz w:val="21"/>
          <w:szCs w:val="21"/>
        </w:rPr>
        <w:t>22</w:t>
      </w:r>
      <w:r>
        <w:rPr>
          <w:rFonts w:ascii="宋体" w:hAnsi="宋体" w:eastAsia="宋体"/>
          <w:sz w:val="21"/>
          <w:szCs w:val="21"/>
        </w:rPr>
        <w:fldChar w:fldCharType="end"/>
      </w:r>
      <w:r>
        <w:rPr>
          <w:rFonts w:ascii="宋体" w:hAnsi="宋体" w:eastAsia="宋体"/>
          <w:sz w:val="21"/>
          <w:szCs w:val="21"/>
        </w:rPr>
        <w:fldChar w:fldCharType="end"/>
      </w:r>
    </w:p>
    <w:p w14:paraId="68558AFE">
      <w:pPr>
        <w:pStyle w:val="42"/>
        <w:rPr>
          <w:rFonts w:ascii="宋体" w:hAnsi="宋体" w:eastAsia="宋体"/>
          <w:kern w:val="2"/>
          <w:sz w:val="21"/>
          <w:szCs w:val="21"/>
        </w:rPr>
      </w:pPr>
      <w:r>
        <w:fldChar w:fldCharType="begin"/>
      </w:r>
      <w:r>
        <w:instrText xml:space="preserve"> HYPERLINK \l "_Toc525655427" </w:instrText>
      </w:r>
      <w:r>
        <w:fldChar w:fldCharType="separate"/>
      </w:r>
      <w:r>
        <w:rPr>
          <w:rStyle w:val="29"/>
          <w:rFonts w:hint="eastAsia" w:ascii="宋体" w:hAnsi="宋体" w:eastAsia="宋体"/>
          <w:color w:val="auto"/>
          <w:sz w:val="21"/>
          <w:szCs w:val="21"/>
        </w:rPr>
        <w:t>十、估价结果</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_Toc525655427 \h </w:instrText>
      </w:r>
      <w:r>
        <w:rPr>
          <w:rFonts w:ascii="宋体" w:hAnsi="宋体" w:eastAsia="宋体"/>
          <w:sz w:val="21"/>
          <w:szCs w:val="21"/>
        </w:rPr>
        <w:fldChar w:fldCharType="separate"/>
      </w:r>
      <w:r>
        <w:rPr>
          <w:rFonts w:ascii="宋体" w:hAnsi="宋体" w:eastAsia="宋体"/>
          <w:sz w:val="21"/>
          <w:szCs w:val="21"/>
        </w:rPr>
        <w:t>25</w:t>
      </w:r>
      <w:r>
        <w:rPr>
          <w:rFonts w:ascii="宋体" w:hAnsi="宋体" w:eastAsia="宋体"/>
          <w:sz w:val="21"/>
          <w:szCs w:val="21"/>
        </w:rPr>
        <w:fldChar w:fldCharType="end"/>
      </w:r>
      <w:r>
        <w:rPr>
          <w:rFonts w:ascii="宋体" w:hAnsi="宋体" w:eastAsia="宋体"/>
          <w:sz w:val="21"/>
          <w:szCs w:val="21"/>
        </w:rPr>
        <w:fldChar w:fldCharType="end"/>
      </w:r>
    </w:p>
    <w:p w14:paraId="34C21D7F">
      <w:pPr>
        <w:pStyle w:val="42"/>
        <w:rPr>
          <w:rFonts w:ascii="宋体" w:hAnsi="宋体" w:eastAsia="宋体"/>
          <w:kern w:val="2"/>
          <w:sz w:val="21"/>
          <w:szCs w:val="21"/>
        </w:rPr>
      </w:pPr>
      <w:r>
        <w:fldChar w:fldCharType="begin"/>
      </w:r>
      <w:r>
        <w:instrText xml:space="preserve"> HYPERLINK \l "_Toc525655428" </w:instrText>
      </w:r>
      <w:r>
        <w:fldChar w:fldCharType="separate"/>
      </w:r>
      <w:r>
        <w:rPr>
          <w:rStyle w:val="29"/>
          <w:rFonts w:hint="eastAsia" w:ascii="宋体" w:hAnsi="宋体" w:eastAsia="宋体"/>
          <w:color w:val="auto"/>
          <w:sz w:val="21"/>
          <w:szCs w:val="21"/>
        </w:rPr>
        <w:t>十一、参与本次估价工作的评估专业人员</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_Toc525655428 \h </w:instrText>
      </w:r>
      <w:r>
        <w:rPr>
          <w:rFonts w:ascii="宋体" w:hAnsi="宋体" w:eastAsia="宋体"/>
          <w:sz w:val="21"/>
          <w:szCs w:val="21"/>
        </w:rPr>
        <w:fldChar w:fldCharType="separate"/>
      </w:r>
      <w:r>
        <w:rPr>
          <w:rFonts w:ascii="宋体" w:hAnsi="宋体" w:eastAsia="宋体"/>
          <w:sz w:val="21"/>
          <w:szCs w:val="21"/>
        </w:rPr>
        <w:t>27</w:t>
      </w:r>
      <w:r>
        <w:rPr>
          <w:rFonts w:ascii="宋体" w:hAnsi="宋体" w:eastAsia="宋体"/>
          <w:sz w:val="21"/>
          <w:szCs w:val="21"/>
        </w:rPr>
        <w:fldChar w:fldCharType="end"/>
      </w:r>
      <w:r>
        <w:rPr>
          <w:rFonts w:ascii="宋体" w:hAnsi="宋体" w:eastAsia="宋体"/>
          <w:sz w:val="21"/>
          <w:szCs w:val="21"/>
        </w:rPr>
        <w:fldChar w:fldCharType="end"/>
      </w:r>
    </w:p>
    <w:p w14:paraId="15F26835">
      <w:pPr>
        <w:pStyle w:val="42"/>
        <w:rPr>
          <w:rFonts w:ascii="宋体" w:hAnsi="宋体" w:eastAsia="宋体"/>
          <w:kern w:val="2"/>
          <w:sz w:val="21"/>
          <w:szCs w:val="21"/>
        </w:rPr>
      </w:pPr>
      <w:r>
        <w:fldChar w:fldCharType="begin"/>
      </w:r>
      <w:r>
        <w:instrText xml:space="preserve"> HYPERLINK \l "_Toc525655429" </w:instrText>
      </w:r>
      <w:r>
        <w:fldChar w:fldCharType="separate"/>
      </w:r>
      <w:r>
        <w:rPr>
          <w:rStyle w:val="29"/>
          <w:rFonts w:hint="eastAsia" w:ascii="宋体" w:hAnsi="宋体" w:eastAsia="宋体"/>
          <w:color w:val="auto"/>
          <w:sz w:val="21"/>
          <w:szCs w:val="21"/>
        </w:rPr>
        <w:t>十二、实地查勘期</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_Toc525655429 \h </w:instrText>
      </w:r>
      <w:r>
        <w:rPr>
          <w:rFonts w:ascii="宋体" w:hAnsi="宋体" w:eastAsia="宋体"/>
          <w:sz w:val="21"/>
          <w:szCs w:val="21"/>
        </w:rPr>
        <w:fldChar w:fldCharType="separate"/>
      </w:r>
      <w:r>
        <w:rPr>
          <w:rFonts w:ascii="宋体" w:hAnsi="宋体" w:eastAsia="宋体"/>
          <w:sz w:val="21"/>
          <w:szCs w:val="21"/>
        </w:rPr>
        <w:t>27</w:t>
      </w:r>
      <w:r>
        <w:rPr>
          <w:rFonts w:ascii="宋体" w:hAnsi="宋体" w:eastAsia="宋体"/>
          <w:sz w:val="21"/>
          <w:szCs w:val="21"/>
        </w:rPr>
        <w:fldChar w:fldCharType="end"/>
      </w:r>
      <w:r>
        <w:rPr>
          <w:rFonts w:ascii="宋体" w:hAnsi="宋体" w:eastAsia="宋体"/>
          <w:sz w:val="21"/>
          <w:szCs w:val="21"/>
        </w:rPr>
        <w:fldChar w:fldCharType="end"/>
      </w:r>
    </w:p>
    <w:p w14:paraId="0F946F48">
      <w:pPr>
        <w:pStyle w:val="42"/>
        <w:rPr>
          <w:rFonts w:ascii="宋体" w:hAnsi="宋体" w:eastAsia="宋体"/>
          <w:kern w:val="2"/>
          <w:szCs w:val="24"/>
        </w:rPr>
      </w:pPr>
      <w:r>
        <w:fldChar w:fldCharType="begin"/>
      </w:r>
      <w:r>
        <w:instrText xml:space="preserve"> HYPERLINK \l "_Toc525655430" </w:instrText>
      </w:r>
      <w:r>
        <w:fldChar w:fldCharType="separate"/>
      </w:r>
      <w:r>
        <w:rPr>
          <w:rStyle w:val="29"/>
          <w:rFonts w:hint="eastAsia" w:ascii="宋体" w:hAnsi="宋体" w:eastAsia="宋体"/>
          <w:color w:val="auto"/>
          <w:sz w:val="21"/>
          <w:szCs w:val="21"/>
        </w:rPr>
        <w:t>十三、估价作业期</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_Toc525655430 \h </w:instrText>
      </w:r>
      <w:r>
        <w:rPr>
          <w:rFonts w:ascii="宋体" w:hAnsi="宋体" w:eastAsia="宋体"/>
          <w:sz w:val="21"/>
          <w:szCs w:val="21"/>
        </w:rPr>
        <w:fldChar w:fldCharType="separate"/>
      </w:r>
      <w:r>
        <w:rPr>
          <w:rFonts w:ascii="宋体" w:hAnsi="宋体" w:eastAsia="宋体"/>
          <w:sz w:val="21"/>
          <w:szCs w:val="21"/>
        </w:rPr>
        <w:t>27</w:t>
      </w:r>
      <w:r>
        <w:rPr>
          <w:rFonts w:ascii="宋体" w:hAnsi="宋体" w:eastAsia="宋体"/>
          <w:sz w:val="21"/>
          <w:szCs w:val="21"/>
        </w:rPr>
        <w:fldChar w:fldCharType="end"/>
      </w:r>
      <w:r>
        <w:rPr>
          <w:rFonts w:ascii="宋体" w:hAnsi="宋体" w:eastAsia="宋体"/>
          <w:sz w:val="21"/>
          <w:szCs w:val="21"/>
        </w:rPr>
        <w:fldChar w:fldCharType="end"/>
      </w:r>
    </w:p>
    <w:p w14:paraId="4C7DCF35">
      <w:pPr>
        <w:pStyle w:val="39"/>
        <w:rPr>
          <w:rFonts w:ascii="宋体" w:hAnsi="宋体" w:eastAsia="宋体"/>
          <w:b w:val="0"/>
          <w:bCs w:val="0"/>
          <w:kern w:val="2"/>
          <w:sz w:val="24"/>
          <w:szCs w:val="24"/>
        </w:rPr>
      </w:pPr>
      <w:r>
        <w:fldChar w:fldCharType="begin"/>
      </w:r>
      <w:r>
        <w:instrText xml:space="preserve"> HYPERLINK \l "_Toc525655431" </w:instrText>
      </w:r>
      <w:r>
        <w:fldChar w:fldCharType="separate"/>
      </w:r>
      <w:r>
        <w:rPr>
          <w:rStyle w:val="29"/>
          <w:rFonts w:hint="eastAsia" w:ascii="宋体" w:hAnsi="宋体" w:eastAsia="宋体"/>
          <w:color w:val="auto"/>
          <w:sz w:val="24"/>
          <w:szCs w:val="24"/>
        </w:rPr>
        <w:t>估价技术报告</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_Toc525655431 \h </w:instrText>
      </w:r>
      <w:r>
        <w:rPr>
          <w:rFonts w:ascii="宋体" w:hAnsi="宋体" w:eastAsia="宋体"/>
          <w:sz w:val="24"/>
          <w:szCs w:val="24"/>
        </w:rPr>
        <w:fldChar w:fldCharType="separate"/>
      </w:r>
      <w:r>
        <w:rPr>
          <w:rFonts w:ascii="宋体" w:hAnsi="宋体" w:eastAsia="宋体"/>
          <w:sz w:val="24"/>
          <w:szCs w:val="24"/>
        </w:rPr>
        <w:t>28</w:t>
      </w:r>
      <w:r>
        <w:rPr>
          <w:rFonts w:ascii="宋体" w:hAnsi="宋体" w:eastAsia="宋体"/>
          <w:sz w:val="24"/>
          <w:szCs w:val="24"/>
        </w:rPr>
        <w:fldChar w:fldCharType="end"/>
      </w:r>
      <w:r>
        <w:rPr>
          <w:rFonts w:ascii="宋体" w:hAnsi="宋体" w:eastAsia="宋体"/>
          <w:sz w:val="24"/>
          <w:szCs w:val="24"/>
        </w:rPr>
        <w:fldChar w:fldCharType="end"/>
      </w:r>
    </w:p>
    <w:p w14:paraId="11830AFC">
      <w:pPr>
        <w:pStyle w:val="42"/>
        <w:rPr>
          <w:rFonts w:ascii="宋体" w:hAnsi="宋体" w:eastAsia="宋体"/>
          <w:kern w:val="2"/>
          <w:sz w:val="21"/>
          <w:szCs w:val="21"/>
        </w:rPr>
      </w:pPr>
      <w:r>
        <w:fldChar w:fldCharType="begin"/>
      </w:r>
      <w:r>
        <w:instrText xml:space="preserve"> HYPERLINK \l "_Toc525655432" </w:instrText>
      </w:r>
      <w:r>
        <w:fldChar w:fldCharType="separate"/>
      </w:r>
      <w:r>
        <w:rPr>
          <w:rStyle w:val="29"/>
          <w:rFonts w:hint="eastAsia" w:ascii="宋体" w:hAnsi="宋体" w:eastAsia="宋体"/>
          <w:color w:val="auto"/>
          <w:sz w:val="21"/>
          <w:szCs w:val="21"/>
        </w:rPr>
        <w:t>一、估价对象描述</w:t>
      </w:r>
      <w:bookmarkStart w:id="5" w:name="_Hlt110348687"/>
      <w:bookmarkStart w:id="6" w:name="_Hlt110348686"/>
      <w:r>
        <w:rPr>
          <w:rStyle w:val="29"/>
          <w:rFonts w:hint="eastAsia" w:ascii="宋体" w:hAnsi="宋体" w:eastAsia="宋体"/>
          <w:color w:val="auto"/>
          <w:sz w:val="21"/>
          <w:szCs w:val="21"/>
        </w:rPr>
        <w:t>与</w:t>
      </w:r>
      <w:bookmarkEnd w:id="5"/>
      <w:bookmarkEnd w:id="6"/>
      <w:r>
        <w:rPr>
          <w:rStyle w:val="29"/>
          <w:rFonts w:hint="eastAsia" w:ascii="宋体" w:hAnsi="宋体" w:eastAsia="宋体"/>
          <w:color w:val="auto"/>
          <w:sz w:val="21"/>
          <w:szCs w:val="21"/>
        </w:rPr>
        <w:t>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_Toc525655432 \h </w:instrText>
      </w:r>
      <w:r>
        <w:rPr>
          <w:rFonts w:ascii="宋体" w:hAnsi="宋体" w:eastAsia="宋体"/>
          <w:sz w:val="21"/>
          <w:szCs w:val="21"/>
        </w:rPr>
        <w:fldChar w:fldCharType="separate"/>
      </w:r>
      <w:r>
        <w:rPr>
          <w:rFonts w:ascii="宋体" w:hAnsi="宋体" w:eastAsia="宋体"/>
          <w:sz w:val="21"/>
          <w:szCs w:val="21"/>
        </w:rPr>
        <w:t>28</w:t>
      </w:r>
      <w:r>
        <w:rPr>
          <w:rFonts w:ascii="宋体" w:hAnsi="宋体" w:eastAsia="宋体"/>
          <w:sz w:val="21"/>
          <w:szCs w:val="21"/>
        </w:rPr>
        <w:fldChar w:fldCharType="end"/>
      </w:r>
      <w:r>
        <w:rPr>
          <w:rFonts w:ascii="宋体" w:hAnsi="宋体" w:eastAsia="宋体"/>
          <w:sz w:val="21"/>
          <w:szCs w:val="21"/>
        </w:rPr>
        <w:fldChar w:fldCharType="end"/>
      </w:r>
    </w:p>
    <w:p w14:paraId="6B491A25">
      <w:pPr>
        <w:pStyle w:val="42"/>
        <w:rPr>
          <w:rFonts w:ascii="宋体" w:hAnsi="宋体" w:eastAsia="宋体"/>
          <w:kern w:val="2"/>
          <w:sz w:val="21"/>
          <w:szCs w:val="21"/>
        </w:rPr>
      </w:pPr>
      <w:r>
        <w:fldChar w:fldCharType="begin"/>
      </w:r>
      <w:r>
        <w:instrText xml:space="preserve"> HYPERLINK \l "_Toc525655433" </w:instrText>
      </w:r>
      <w:r>
        <w:fldChar w:fldCharType="separate"/>
      </w:r>
      <w:r>
        <w:rPr>
          <w:rStyle w:val="29"/>
          <w:rFonts w:hint="eastAsia" w:ascii="宋体" w:hAnsi="宋体" w:eastAsia="宋体"/>
          <w:color w:val="auto"/>
          <w:sz w:val="21"/>
          <w:szCs w:val="21"/>
        </w:rPr>
        <w:t>（一）区位状况分析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_Toc525655433 \h </w:instrText>
      </w:r>
      <w:r>
        <w:rPr>
          <w:rFonts w:ascii="宋体" w:hAnsi="宋体" w:eastAsia="宋体"/>
          <w:sz w:val="21"/>
          <w:szCs w:val="21"/>
        </w:rPr>
        <w:fldChar w:fldCharType="separate"/>
      </w:r>
      <w:r>
        <w:rPr>
          <w:rFonts w:ascii="宋体" w:hAnsi="宋体" w:eastAsia="宋体"/>
          <w:sz w:val="21"/>
          <w:szCs w:val="21"/>
        </w:rPr>
        <w:t>28</w:t>
      </w:r>
      <w:r>
        <w:rPr>
          <w:rFonts w:ascii="宋体" w:hAnsi="宋体" w:eastAsia="宋体"/>
          <w:sz w:val="21"/>
          <w:szCs w:val="21"/>
        </w:rPr>
        <w:fldChar w:fldCharType="end"/>
      </w:r>
      <w:r>
        <w:rPr>
          <w:rFonts w:ascii="宋体" w:hAnsi="宋体" w:eastAsia="宋体"/>
          <w:sz w:val="21"/>
          <w:szCs w:val="21"/>
        </w:rPr>
        <w:fldChar w:fldCharType="end"/>
      </w:r>
    </w:p>
    <w:p w14:paraId="6E7CEAE9">
      <w:pPr>
        <w:pStyle w:val="42"/>
        <w:rPr>
          <w:rFonts w:ascii="宋体" w:hAnsi="宋体" w:eastAsia="宋体"/>
          <w:kern w:val="2"/>
          <w:sz w:val="21"/>
          <w:szCs w:val="21"/>
        </w:rPr>
      </w:pPr>
      <w:r>
        <w:fldChar w:fldCharType="begin"/>
      </w:r>
      <w:r>
        <w:instrText xml:space="preserve"> HYPERLINK \l "_Toc525655435" </w:instrText>
      </w:r>
      <w:r>
        <w:fldChar w:fldCharType="separate"/>
      </w:r>
      <w:r>
        <w:rPr>
          <w:rStyle w:val="29"/>
          <w:rFonts w:hint="eastAsia" w:ascii="宋体" w:hAnsi="宋体" w:eastAsia="宋体"/>
          <w:color w:val="auto"/>
          <w:sz w:val="21"/>
          <w:szCs w:val="21"/>
        </w:rPr>
        <w:t>（二）实物状况分析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_Toc525655435 \h </w:instrText>
      </w:r>
      <w:r>
        <w:rPr>
          <w:rFonts w:ascii="宋体" w:hAnsi="宋体" w:eastAsia="宋体"/>
          <w:sz w:val="21"/>
          <w:szCs w:val="21"/>
        </w:rPr>
        <w:fldChar w:fldCharType="separate"/>
      </w:r>
      <w:r>
        <w:rPr>
          <w:rFonts w:ascii="宋体" w:hAnsi="宋体" w:eastAsia="宋体"/>
          <w:sz w:val="21"/>
          <w:szCs w:val="21"/>
        </w:rPr>
        <w:t>29</w:t>
      </w:r>
      <w:r>
        <w:rPr>
          <w:rFonts w:ascii="宋体" w:hAnsi="宋体" w:eastAsia="宋体"/>
          <w:sz w:val="21"/>
          <w:szCs w:val="21"/>
        </w:rPr>
        <w:fldChar w:fldCharType="end"/>
      </w:r>
      <w:r>
        <w:rPr>
          <w:rFonts w:ascii="宋体" w:hAnsi="宋体" w:eastAsia="宋体"/>
          <w:sz w:val="21"/>
          <w:szCs w:val="21"/>
        </w:rPr>
        <w:fldChar w:fldCharType="end"/>
      </w:r>
    </w:p>
    <w:p w14:paraId="494CD505">
      <w:pPr>
        <w:pStyle w:val="42"/>
        <w:rPr>
          <w:rFonts w:ascii="宋体" w:hAnsi="宋体" w:eastAsia="宋体"/>
          <w:kern w:val="2"/>
          <w:sz w:val="21"/>
          <w:szCs w:val="21"/>
        </w:rPr>
      </w:pPr>
      <w:r>
        <w:fldChar w:fldCharType="begin"/>
      </w:r>
      <w:r>
        <w:instrText xml:space="preserve"> HYPERLINK \l "_Toc525655436" </w:instrText>
      </w:r>
      <w:r>
        <w:fldChar w:fldCharType="separate"/>
      </w:r>
      <w:r>
        <w:rPr>
          <w:rStyle w:val="29"/>
          <w:rFonts w:hint="eastAsia" w:ascii="宋体" w:hAnsi="宋体" w:eastAsia="宋体"/>
          <w:color w:val="auto"/>
          <w:sz w:val="21"/>
          <w:szCs w:val="21"/>
        </w:rPr>
        <w:t>（三）权益状况分析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_Toc525655436 \h </w:instrText>
      </w:r>
      <w:r>
        <w:rPr>
          <w:rFonts w:ascii="宋体" w:hAnsi="宋体" w:eastAsia="宋体"/>
          <w:sz w:val="21"/>
          <w:szCs w:val="21"/>
        </w:rPr>
        <w:fldChar w:fldCharType="separate"/>
      </w:r>
      <w:r>
        <w:rPr>
          <w:rFonts w:ascii="宋体" w:hAnsi="宋体" w:eastAsia="宋体"/>
          <w:sz w:val="21"/>
          <w:szCs w:val="21"/>
        </w:rPr>
        <w:t>32</w:t>
      </w:r>
      <w:r>
        <w:rPr>
          <w:rFonts w:ascii="宋体" w:hAnsi="宋体" w:eastAsia="宋体"/>
          <w:sz w:val="21"/>
          <w:szCs w:val="21"/>
        </w:rPr>
        <w:fldChar w:fldCharType="end"/>
      </w:r>
      <w:r>
        <w:rPr>
          <w:rFonts w:ascii="宋体" w:hAnsi="宋体" w:eastAsia="宋体"/>
          <w:sz w:val="21"/>
          <w:szCs w:val="21"/>
        </w:rPr>
        <w:fldChar w:fldCharType="end"/>
      </w:r>
    </w:p>
    <w:p w14:paraId="2394FBB5">
      <w:pPr>
        <w:pStyle w:val="42"/>
        <w:rPr>
          <w:rFonts w:ascii="宋体" w:hAnsi="宋体" w:eastAsia="宋体"/>
          <w:kern w:val="2"/>
          <w:sz w:val="21"/>
          <w:szCs w:val="21"/>
        </w:rPr>
      </w:pPr>
      <w:r>
        <w:fldChar w:fldCharType="begin"/>
      </w:r>
      <w:r>
        <w:instrText xml:space="preserve"> HYPERLINK \l "_Toc525655437" </w:instrText>
      </w:r>
      <w:r>
        <w:fldChar w:fldCharType="separate"/>
      </w:r>
      <w:r>
        <w:rPr>
          <w:rStyle w:val="29"/>
          <w:rFonts w:hint="eastAsia" w:ascii="宋体" w:hAnsi="宋体" w:eastAsia="宋体"/>
          <w:color w:val="auto"/>
          <w:sz w:val="21"/>
          <w:szCs w:val="21"/>
        </w:rPr>
        <w:t>二、市场背景描述与分析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_Toc525655437 \h </w:instrText>
      </w:r>
      <w:r>
        <w:rPr>
          <w:rFonts w:ascii="宋体" w:hAnsi="宋体" w:eastAsia="宋体"/>
          <w:sz w:val="21"/>
          <w:szCs w:val="21"/>
        </w:rPr>
        <w:fldChar w:fldCharType="separate"/>
      </w:r>
      <w:r>
        <w:rPr>
          <w:rFonts w:ascii="宋体" w:hAnsi="宋体" w:eastAsia="宋体"/>
          <w:sz w:val="21"/>
          <w:szCs w:val="21"/>
        </w:rPr>
        <w:t>33</w:t>
      </w:r>
      <w:r>
        <w:rPr>
          <w:rFonts w:ascii="宋体" w:hAnsi="宋体" w:eastAsia="宋体"/>
          <w:sz w:val="21"/>
          <w:szCs w:val="21"/>
        </w:rPr>
        <w:fldChar w:fldCharType="end"/>
      </w:r>
      <w:r>
        <w:rPr>
          <w:rFonts w:ascii="宋体" w:hAnsi="宋体" w:eastAsia="宋体"/>
          <w:sz w:val="21"/>
          <w:szCs w:val="21"/>
        </w:rPr>
        <w:fldChar w:fldCharType="end"/>
      </w:r>
    </w:p>
    <w:p w14:paraId="25890EE5">
      <w:pPr>
        <w:pStyle w:val="42"/>
        <w:rPr>
          <w:rFonts w:ascii="宋体" w:hAnsi="宋体" w:eastAsia="宋体"/>
          <w:kern w:val="2"/>
          <w:sz w:val="21"/>
          <w:szCs w:val="21"/>
        </w:rPr>
      </w:pPr>
      <w:r>
        <w:fldChar w:fldCharType="begin"/>
      </w:r>
      <w:r>
        <w:instrText xml:space="preserve"> HYPERLINK \l "_Toc525655438" </w:instrText>
      </w:r>
      <w:r>
        <w:fldChar w:fldCharType="separate"/>
      </w:r>
      <w:r>
        <w:rPr>
          <w:rStyle w:val="29"/>
          <w:rFonts w:hint="eastAsia" w:ascii="宋体" w:hAnsi="宋体" w:eastAsia="宋体"/>
          <w:color w:val="auto"/>
          <w:sz w:val="21"/>
          <w:szCs w:val="21"/>
        </w:rPr>
        <w:t>三、最高最佳利用分析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_Toc525655438 \h </w:instrText>
      </w:r>
      <w:r>
        <w:rPr>
          <w:rFonts w:ascii="宋体" w:hAnsi="宋体" w:eastAsia="宋体"/>
          <w:sz w:val="21"/>
          <w:szCs w:val="21"/>
        </w:rPr>
        <w:fldChar w:fldCharType="separate"/>
      </w:r>
      <w:r>
        <w:rPr>
          <w:rFonts w:ascii="宋体" w:hAnsi="宋体" w:eastAsia="宋体"/>
          <w:sz w:val="21"/>
          <w:szCs w:val="21"/>
        </w:rPr>
        <w:t>39</w:t>
      </w:r>
      <w:r>
        <w:rPr>
          <w:rFonts w:ascii="宋体" w:hAnsi="宋体" w:eastAsia="宋体"/>
          <w:sz w:val="21"/>
          <w:szCs w:val="21"/>
        </w:rPr>
        <w:fldChar w:fldCharType="end"/>
      </w:r>
      <w:r>
        <w:rPr>
          <w:rFonts w:ascii="宋体" w:hAnsi="宋体" w:eastAsia="宋体"/>
          <w:sz w:val="21"/>
          <w:szCs w:val="21"/>
        </w:rPr>
        <w:fldChar w:fldCharType="end"/>
      </w:r>
    </w:p>
    <w:p w14:paraId="160D2D41">
      <w:pPr>
        <w:pStyle w:val="42"/>
        <w:rPr>
          <w:rFonts w:ascii="宋体" w:hAnsi="宋体" w:eastAsia="宋体"/>
          <w:kern w:val="2"/>
          <w:sz w:val="21"/>
          <w:szCs w:val="21"/>
        </w:rPr>
      </w:pPr>
      <w:r>
        <w:fldChar w:fldCharType="begin"/>
      </w:r>
      <w:r>
        <w:instrText xml:space="preserve"> HYPERLINK \l "_Toc525655439" </w:instrText>
      </w:r>
      <w:r>
        <w:fldChar w:fldCharType="separate"/>
      </w:r>
      <w:r>
        <w:rPr>
          <w:rStyle w:val="29"/>
          <w:rFonts w:hint="eastAsia" w:ascii="宋体" w:hAnsi="宋体" w:eastAsia="宋体"/>
          <w:color w:val="auto"/>
          <w:sz w:val="21"/>
          <w:szCs w:val="21"/>
        </w:rPr>
        <w:t>四、估价方法适用性分析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_Toc525655439 \h </w:instrText>
      </w:r>
      <w:r>
        <w:rPr>
          <w:rFonts w:ascii="宋体" w:hAnsi="宋体" w:eastAsia="宋体"/>
          <w:sz w:val="21"/>
          <w:szCs w:val="21"/>
        </w:rPr>
        <w:fldChar w:fldCharType="separate"/>
      </w:r>
      <w:r>
        <w:rPr>
          <w:rFonts w:ascii="宋体" w:hAnsi="宋体" w:eastAsia="宋体"/>
          <w:sz w:val="21"/>
          <w:szCs w:val="21"/>
        </w:rPr>
        <w:t>40</w:t>
      </w:r>
      <w:r>
        <w:rPr>
          <w:rFonts w:ascii="宋体" w:hAnsi="宋体" w:eastAsia="宋体"/>
          <w:sz w:val="21"/>
          <w:szCs w:val="21"/>
        </w:rPr>
        <w:fldChar w:fldCharType="end"/>
      </w:r>
      <w:r>
        <w:rPr>
          <w:rFonts w:ascii="宋体" w:hAnsi="宋体" w:eastAsia="宋体"/>
          <w:sz w:val="21"/>
          <w:szCs w:val="21"/>
        </w:rPr>
        <w:fldChar w:fldCharType="end"/>
      </w:r>
    </w:p>
    <w:p w14:paraId="128DC3B9">
      <w:pPr>
        <w:pStyle w:val="42"/>
        <w:rPr>
          <w:rFonts w:ascii="宋体" w:hAnsi="宋体" w:eastAsia="宋体"/>
          <w:kern w:val="2"/>
          <w:sz w:val="21"/>
          <w:szCs w:val="21"/>
        </w:rPr>
      </w:pPr>
      <w:r>
        <w:fldChar w:fldCharType="begin"/>
      </w:r>
      <w:r>
        <w:instrText xml:space="preserve"> HYPERLINK \l "_Toc525655440" </w:instrText>
      </w:r>
      <w:r>
        <w:fldChar w:fldCharType="separate"/>
      </w:r>
      <w:r>
        <w:rPr>
          <w:rStyle w:val="29"/>
          <w:rFonts w:hint="eastAsia" w:ascii="宋体" w:hAnsi="宋体" w:eastAsia="宋体"/>
          <w:color w:val="auto"/>
          <w:sz w:val="21"/>
          <w:szCs w:val="21"/>
        </w:rPr>
        <w:t>五、估价测算过程</w:t>
      </w:r>
      <w:bookmarkStart w:id="7" w:name="_Hlt51234900"/>
      <w:bookmarkStart w:id="8" w:name="_Hlt51234901"/>
      <w:r>
        <w:rPr>
          <w:rFonts w:ascii="宋体" w:hAnsi="宋体" w:eastAsia="宋体"/>
          <w:sz w:val="21"/>
          <w:szCs w:val="21"/>
        </w:rPr>
        <w:tab/>
      </w:r>
      <w:bookmarkEnd w:id="7"/>
      <w:bookmarkEnd w:id="8"/>
      <w:r>
        <w:rPr>
          <w:rFonts w:ascii="宋体" w:hAnsi="宋体" w:eastAsia="宋体"/>
          <w:sz w:val="21"/>
          <w:szCs w:val="21"/>
        </w:rPr>
        <w:fldChar w:fldCharType="begin"/>
      </w:r>
      <w:r>
        <w:rPr>
          <w:rFonts w:ascii="宋体" w:hAnsi="宋体" w:eastAsia="宋体"/>
          <w:sz w:val="21"/>
          <w:szCs w:val="21"/>
        </w:rPr>
        <w:instrText xml:space="preserve"> PAGEREF _Toc525655440 \h </w:instrText>
      </w:r>
      <w:r>
        <w:rPr>
          <w:rFonts w:ascii="宋体" w:hAnsi="宋体" w:eastAsia="宋体"/>
          <w:sz w:val="21"/>
          <w:szCs w:val="21"/>
        </w:rPr>
        <w:fldChar w:fldCharType="separate"/>
      </w:r>
      <w:r>
        <w:rPr>
          <w:rFonts w:ascii="宋体" w:hAnsi="宋体" w:eastAsia="宋体"/>
          <w:sz w:val="21"/>
          <w:szCs w:val="21"/>
        </w:rPr>
        <w:t>45</w:t>
      </w:r>
      <w:r>
        <w:rPr>
          <w:rFonts w:ascii="宋体" w:hAnsi="宋体" w:eastAsia="宋体"/>
          <w:sz w:val="21"/>
          <w:szCs w:val="21"/>
        </w:rPr>
        <w:fldChar w:fldCharType="end"/>
      </w:r>
      <w:r>
        <w:rPr>
          <w:rFonts w:ascii="宋体" w:hAnsi="宋体" w:eastAsia="宋体"/>
          <w:sz w:val="21"/>
          <w:szCs w:val="21"/>
        </w:rPr>
        <w:fldChar w:fldCharType="end"/>
      </w:r>
    </w:p>
    <w:p w14:paraId="639A5105">
      <w:pPr>
        <w:pStyle w:val="42"/>
        <w:rPr>
          <w:rFonts w:ascii="宋体" w:hAnsi="宋体" w:eastAsia="宋体"/>
          <w:kern w:val="2"/>
          <w:szCs w:val="24"/>
        </w:rPr>
      </w:pPr>
      <w:r>
        <w:fldChar w:fldCharType="begin"/>
      </w:r>
      <w:r>
        <w:instrText xml:space="preserve"> HYPERLINK \l "_Toc525655441" </w:instrText>
      </w:r>
      <w:r>
        <w:fldChar w:fldCharType="separate"/>
      </w:r>
      <w:r>
        <w:rPr>
          <w:rStyle w:val="29"/>
          <w:rFonts w:hint="eastAsia" w:ascii="宋体" w:hAnsi="宋体" w:eastAsia="宋体"/>
          <w:color w:val="auto"/>
          <w:sz w:val="21"/>
          <w:szCs w:val="21"/>
        </w:rPr>
        <w:t>六、估价结果确定</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_Toc525655441 \h </w:instrText>
      </w:r>
      <w:r>
        <w:rPr>
          <w:rFonts w:ascii="宋体" w:hAnsi="宋体" w:eastAsia="宋体"/>
          <w:sz w:val="21"/>
          <w:szCs w:val="21"/>
        </w:rPr>
        <w:fldChar w:fldCharType="separate"/>
      </w:r>
      <w:r>
        <w:rPr>
          <w:rFonts w:ascii="宋体" w:hAnsi="宋体" w:eastAsia="宋体"/>
          <w:sz w:val="21"/>
          <w:szCs w:val="21"/>
        </w:rPr>
        <w:t>61</w:t>
      </w:r>
      <w:r>
        <w:rPr>
          <w:rFonts w:ascii="宋体" w:hAnsi="宋体" w:eastAsia="宋体"/>
          <w:sz w:val="21"/>
          <w:szCs w:val="21"/>
        </w:rPr>
        <w:fldChar w:fldCharType="end"/>
      </w:r>
      <w:r>
        <w:rPr>
          <w:rFonts w:ascii="宋体" w:hAnsi="宋体" w:eastAsia="宋体"/>
          <w:sz w:val="21"/>
          <w:szCs w:val="21"/>
        </w:rPr>
        <w:fldChar w:fldCharType="end"/>
      </w:r>
    </w:p>
    <w:p w14:paraId="32230B3A">
      <w:pPr>
        <w:pStyle w:val="39"/>
        <w:rPr>
          <w:rFonts w:ascii="宋体" w:hAnsi="宋体" w:eastAsia="宋体"/>
          <w:b w:val="0"/>
          <w:bCs w:val="0"/>
          <w:kern w:val="2"/>
          <w:sz w:val="24"/>
          <w:szCs w:val="24"/>
        </w:rPr>
      </w:pPr>
      <w:r>
        <w:fldChar w:fldCharType="begin"/>
      </w:r>
      <w:r>
        <w:instrText xml:space="preserve"> HYPERLINK \l "_Toc525655442" </w:instrText>
      </w:r>
      <w:r>
        <w:fldChar w:fldCharType="separate"/>
      </w:r>
      <w:r>
        <w:rPr>
          <w:rStyle w:val="29"/>
          <w:rFonts w:hint="eastAsia" w:ascii="宋体" w:hAnsi="宋体" w:eastAsia="宋体"/>
          <w:color w:val="auto"/>
          <w:sz w:val="24"/>
          <w:szCs w:val="24"/>
        </w:rPr>
        <w:t>附</w:t>
      </w:r>
      <w:r>
        <w:rPr>
          <w:rStyle w:val="29"/>
          <w:rFonts w:ascii="宋体" w:hAnsi="宋体" w:eastAsia="宋体"/>
          <w:color w:val="auto"/>
          <w:sz w:val="24"/>
          <w:szCs w:val="24"/>
        </w:rPr>
        <w:t xml:space="preserve">   </w:t>
      </w:r>
      <w:r>
        <w:rPr>
          <w:rStyle w:val="29"/>
          <w:rFonts w:hint="eastAsia" w:ascii="宋体" w:hAnsi="宋体" w:eastAsia="宋体"/>
          <w:color w:val="auto"/>
          <w:sz w:val="24"/>
          <w:szCs w:val="24"/>
        </w:rPr>
        <w:t>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_Toc525655442 \h </w:instrText>
      </w:r>
      <w:r>
        <w:rPr>
          <w:rFonts w:ascii="宋体" w:hAnsi="宋体" w:eastAsia="宋体"/>
          <w:sz w:val="24"/>
          <w:szCs w:val="24"/>
        </w:rPr>
        <w:fldChar w:fldCharType="separate"/>
      </w:r>
      <w:r>
        <w:rPr>
          <w:rFonts w:ascii="宋体" w:hAnsi="宋体" w:eastAsia="宋体"/>
          <w:sz w:val="24"/>
          <w:szCs w:val="24"/>
        </w:rPr>
        <w:t>62</w:t>
      </w:r>
      <w:r>
        <w:rPr>
          <w:rFonts w:ascii="宋体" w:hAnsi="宋体" w:eastAsia="宋体"/>
          <w:sz w:val="24"/>
          <w:szCs w:val="24"/>
        </w:rPr>
        <w:fldChar w:fldCharType="end"/>
      </w:r>
      <w:r>
        <w:rPr>
          <w:rFonts w:ascii="宋体" w:hAnsi="宋体" w:eastAsia="宋体"/>
          <w:sz w:val="24"/>
          <w:szCs w:val="24"/>
        </w:rPr>
        <w:fldChar w:fldCharType="end"/>
      </w:r>
    </w:p>
    <w:p w14:paraId="04DFB292">
      <w:pPr>
        <w:numPr>
          <w:ilvl w:val="0"/>
          <w:numId w:val="4"/>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《关于燕保•高米店家园公租房项目市场租金委托评估函》复印件</w:t>
      </w:r>
    </w:p>
    <w:p w14:paraId="155E0A1D">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3B6B940">
      <w:pPr>
        <w:numPr>
          <w:ilvl w:val="0"/>
          <w:numId w:val="4"/>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4F6EF1F0">
      <w:pPr>
        <w:numPr>
          <w:ilvl w:val="0"/>
          <w:numId w:val="4"/>
        </w:numPr>
        <w:spacing w:line="360" w:lineRule="auto"/>
        <w:jc w:val="both"/>
        <w:rPr>
          <w:rFonts w:ascii="Arial" w:hAnsi="Arial" w:cs="Arial"/>
          <w:sz w:val="21"/>
          <w:szCs w:val="21"/>
        </w:rPr>
      </w:pPr>
      <w:r>
        <w:rPr>
          <w:rFonts w:hint="eastAsia" w:ascii="Arial" w:hAnsi="Arial" w:cs="Arial"/>
          <w:sz w:val="21"/>
          <w:szCs w:val="21"/>
        </w:rPr>
        <w:t>《北京市发展和改革委员会 关于大兴区高米店公共租赁住房项目核准的批复》 [京发改（2</w:t>
      </w:r>
      <w:r>
        <w:rPr>
          <w:rFonts w:ascii="Arial" w:hAnsi="Arial" w:cs="Arial"/>
          <w:sz w:val="21"/>
          <w:szCs w:val="21"/>
        </w:rPr>
        <w:t>011）</w:t>
      </w:r>
      <w:r>
        <w:rPr>
          <w:rFonts w:hint="eastAsia" w:ascii="Arial" w:hAnsi="Arial" w:cs="Arial"/>
          <w:sz w:val="21"/>
          <w:szCs w:val="21"/>
        </w:rPr>
        <w:t>1</w:t>
      </w:r>
      <w:r>
        <w:rPr>
          <w:rFonts w:ascii="Arial" w:hAnsi="Arial" w:cs="Arial"/>
          <w:sz w:val="21"/>
          <w:szCs w:val="21"/>
        </w:rPr>
        <w:t>769号</w:t>
      </w:r>
      <w:r>
        <w:rPr>
          <w:rFonts w:hint="eastAsia" w:ascii="Arial" w:hAnsi="Arial" w:cs="Arial"/>
          <w:sz w:val="21"/>
          <w:szCs w:val="21"/>
        </w:rPr>
        <w:t>]及附件复印件</w:t>
      </w:r>
    </w:p>
    <w:p w14:paraId="7015235F">
      <w:pPr>
        <w:numPr>
          <w:ilvl w:val="0"/>
          <w:numId w:val="4"/>
        </w:numPr>
        <w:spacing w:line="360" w:lineRule="auto"/>
        <w:jc w:val="both"/>
        <w:rPr>
          <w:rFonts w:ascii="Arial" w:hAnsi="Arial" w:cs="Arial"/>
          <w:sz w:val="21"/>
          <w:szCs w:val="21"/>
        </w:rPr>
      </w:pPr>
      <w:r>
        <w:rPr>
          <w:rFonts w:hint="eastAsia" w:ascii="Arial" w:hAnsi="Arial" w:cs="Arial"/>
          <w:sz w:val="21"/>
          <w:szCs w:val="21"/>
        </w:rPr>
        <w:t>《北京市发展和改革委员会 关于转发大兴区高米店公共租赁住房项目变更建设主体的批复的通知》[京兴发改转（2</w:t>
      </w:r>
      <w:r>
        <w:rPr>
          <w:rFonts w:ascii="Arial" w:hAnsi="Arial" w:cs="Arial"/>
          <w:sz w:val="21"/>
          <w:szCs w:val="21"/>
        </w:rPr>
        <w:t>012）</w:t>
      </w:r>
      <w:r>
        <w:rPr>
          <w:rFonts w:hint="eastAsia" w:ascii="Arial" w:hAnsi="Arial" w:cs="Arial"/>
          <w:sz w:val="21"/>
          <w:szCs w:val="21"/>
        </w:rPr>
        <w:t>5</w:t>
      </w:r>
      <w:r>
        <w:rPr>
          <w:rFonts w:ascii="Arial" w:hAnsi="Arial" w:cs="Arial"/>
          <w:sz w:val="21"/>
          <w:szCs w:val="21"/>
        </w:rPr>
        <w:t>1号</w:t>
      </w:r>
      <w:r>
        <w:rPr>
          <w:rFonts w:hint="eastAsia" w:ascii="Arial" w:hAnsi="Arial" w:cs="Arial"/>
          <w:sz w:val="21"/>
          <w:szCs w:val="21"/>
        </w:rPr>
        <w:t>]及附件复印件</w:t>
      </w:r>
    </w:p>
    <w:p w14:paraId="1F74D9C8">
      <w:pPr>
        <w:numPr>
          <w:ilvl w:val="0"/>
          <w:numId w:val="4"/>
        </w:numPr>
        <w:spacing w:line="360" w:lineRule="auto"/>
        <w:jc w:val="both"/>
        <w:rPr>
          <w:rFonts w:ascii="Arial" w:hAnsi="Arial" w:cs="Arial"/>
          <w:sz w:val="21"/>
          <w:szCs w:val="21"/>
        </w:rPr>
      </w:pPr>
      <w:r>
        <w:rPr>
          <w:rFonts w:hint="eastAsia" w:ascii="Arial" w:hAnsi="Arial" w:cs="Arial"/>
          <w:sz w:val="21"/>
          <w:szCs w:val="21"/>
        </w:rPr>
        <w:t>《北京市发展和改革委员会 关于转发大兴区高米店公共租赁住房项目延期的批复》[京发改（2</w:t>
      </w:r>
      <w:r>
        <w:rPr>
          <w:rFonts w:ascii="Arial" w:hAnsi="Arial" w:cs="Arial"/>
          <w:sz w:val="21"/>
          <w:szCs w:val="21"/>
        </w:rPr>
        <w:t>013）2004号</w:t>
      </w:r>
      <w:r>
        <w:rPr>
          <w:rFonts w:hint="eastAsia" w:ascii="Arial" w:hAnsi="Arial" w:cs="Arial"/>
          <w:sz w:val="21"/>
          <w:szCs w:val="21"/>
        </w:rPr>
        <w:t>]复印件</w:t>
      </w:r>
    </w:p>
    <w:p w14:paraId="5328D1E8">
      <w:pPr>
        <w:numPr>
          <w:ilvl w:val="0"/>
          <w:numId w:val="4"/>
        </w:numPr>
        <w:spacing w:line="360" w:lineRule="auto"/>
        <w:jc w:val="both"/>
        <w:rPr>
          <w:rFonts w:ascii="Arial" w:hAnsi="Arial" w:cs="Arial"/>
          <w:sz w:val="21"/>
          <w:szCs w:val="21"/>
        </w:rPr>
      </w:pPr>
      <w:r>
        <w:rPr>
          <w:rFonts w:hint="eastAsia" w:ascii="Arial" w:hAnsi="Arial" w:cs="Arial"/>
          <w:sz w:val="21"/>
          <w:szCs w:val="21"/>
        </w:rPr>
        <w:t>《建设用地规划许可证》[201</w:t>
      </w:r>
      <w:r>
        <w:rPr>
          <w:rFonts w:ascii="Arial" w:hAnsi="Arial" w:cs="Arial"/>
          <w:sz w:val="21"/>
          <w:szCs w:val="21"/>
        </w:rPr>
        <w:t>3</w:t>
      </w:r>
      <w:r>
        <w:rPr>
          <w:rFonts w:hint="eastAsia" w:ascii="Arial" w:hAnsi="Arial" w:cs="Arial"/>
          <w:sz w:val="21"/>
          <w:szCs w:val="21"/>
        </w:rPr>
        <w:t>规（大）地字</w:t>
      </w:r>
      <w:r>
        <w:rPr>
          <w:rFonts w:ascii="Arial" w:hAnsi="Arial" w:cs="Arial"/>
          <w:sz w:val="21"/>
          <w:szCs w:val="21"/>
        </w:rPr>
        <w:t>0006</w:t>
      </w:r>
      <w:r>
        <w:rPr>
          <w:rFonts w:hint="eastAsia" w:ascii="Arial" w:hAnsi="Arial" w:cs="Arial"/>
          <w:sz w:val="21"/>
          <w:szCs w:val="21"/>
        </w:rPr>
        <w:t>号]及附件复印件</w:t>
      </w:r>
    </w:p>
    <w:p w14:paraId="6009A39F">
      <w:pPr>
        <w:numPr>
          <w:ilvl w:val="0"/>
          <w:numId w:val="4"/>
        </w:numPr>
        <w:spacing w:line="360" w:lineRule="auto"/>
        <w:jc w:val="both"/>
        <w:rPr>
          <w:rFonts w:ascii="Arial" w:hAnsi="Arial" w:cs="Arial"/>
          <w:sz w:val="21"/>
          <w:szCs w:val="21"/>
        </w:rPr>
      </w:pPr>
      <w:r>
        <w:rPr>
          <w:rFonts w:hint="eastAsia" w:ascii="Arial" w:hAnsi="Arial" w:cs="Arial"/>
          <w:sz w:val="21"/>
          <w:szCs w:val="21"/>
        </w:rPr>
        <w:t>《建设工程规划许可证》[2013规（大）建字0113号]及附件附图复印件</w:t>
      </w:r>
    </w:p>
    <w:p w14:paraId="165F8721">
      <w:pPr>
        <w:numPr>
          <w:ilvl w:val="0"/>
          <w:numId w:val="4"/>
        </w:numPr>
        <w:spacing w:line="360" w:lineRule="auto"/>
        <w:jc w:val="both"/>
        <w:rPr>
          <w:rFonts w:ascii="Arial" w:hAnsi="Arial" w:cs="Arial"/>
          <w:sz w:val="21"/>
          <w:szCs w:val="21"/>
        </w:rPr>
      </w:pPr>
      <w:r>
        <w:rPr>
          <w:rFonts w:ascii="Arial" w:hAnsi="Arial" w:cs="Arial"/>
          <w:sz w:val="21"/>
          <w:szCs w:val="21"/>
        </w:rPr>
        <w:t>《规划、施工号与门牌、楼牌编号对照表》复印件</w:t>
      </w:r>
    </w:p>
    <w:p w14:paraId="6CD6EBA4">
      <w:pPr>
        <w:numPr>
          <w:ilvl w:val="0"/>
          <w:numId w:val="4"/>
        </w:numPr>
        <w:spacing w:line="360" w:lineRule="auto"/>
        <w:jc w:val="both"/>
        <w:rPr>
          <w:rFonts w:ascii="Arial" w:hAnsi="Arial" w:cs="Arial"/>
          <w:sz w:val="21"/>
          <w:szCs w:val="21"/>
        </w:rPr>
      </w:pPr>
      <w:r>
        <w:rPr>
          <w:rFonts w:ascii="Arial" w:hAnsi="Arial" w:cs="Arial"/>
          <w:sz w:val="21"/>
          <w:szCs w:val="21"/>
        </w:rPr>
        <w:t>《建筑工程施工许可证》</w:t>
      </w:r>
      <w:r>
        <w:rPr>
          <w:rFonts w:hint="eastAsia" w:ascii="Arial" w:hAnsi="Arial" w:cs="Arial"/>
          <w:sz w:val="21"/>
          <w:szCs w:val="21"/>
        </w:rPr>
        <w:t>[（2</w:t>
      </w:r>
      <w:r>
        <w:rPr>
          <w:rFonts w:ascii="Arial" w:hAnsi="Arial" w:cs="Arial"/>
          <w:sz w:val="21"/>
          <w:szCs w:val="21"/>
        </w:rPr>
        <w:t>014）施建字</w:t>
      </w:r>
      <w:r>
        <w:rPr>
          <w:rFonts w:hint="eastAsia" w:ascii="Arial" w:hAnsi="Arial" w:cs="Arial"/>
          <w:sz w:val="21"/>
          <w:szCs w:val="21"/>
        </w:rPr>
        <w:t>0</w:t>
      </w:r>
      <w:r>
        <w:rPr>
          <w:rFonts w:ascii="Arial" w:hAnsi="Arial" w:cs="Arial"/>
          <w:sz w:val="21"/>
          <w:szCs w:val="21"/>
        </w:rPr>
        <w:t>386号]</w:t>
      </w:r>
      <w:r>
        <w:rPr>
          <w:rFonts w:hint="eastAsia" w:ascii="Arial" w:hAnsi="Arial" w:cs="Arial"/>
          <w:sz w:val="21"/>
          <w:szCs w:val="21"/>
        </w:rPr>
        <w:t>及附件复印件</w:t>
      </w:r>
    </w:p>
    <w:p w14:paraId="0C1AED77">
      <w:pPr>
        <w:numPr>
          <w:ilvl w:val="0"/>
          <w:numId w:val="4"/>
        </w:numPr>
        <w:spacing w:line="360" w:lineRule="auto"/>
        <w:jc w:val="both"/>
        <w:rPr>
          <w:rFonts w:ascii="Arial" w:hAnsi="Arial" w:cs="Arial"/>
          <w:sz w:val="21"/>
          <w:szCs w:val="21"/>
        </w:rPr>
      </w:pPr>
      <w:r>
        <w:rPr>
          <w:rFonts w:ascii="Arial" w:hAnsi="Arial" w:cs="Arial"/>
          <w:sz w:val="21"/>
          <w:szCs w:val="21"/>
        </w:rPr>
        <w:t>《北京市规划委员会 建设工程规划核验（验收）意见》</w:t>
      </w:r>
      <w:r>
        <w:rPr>
          <w:rFonts w:hint="eastAsia" w:ascii="Arial" w:hAnsi="Arial" w:cs="Arial"/>
          <w:sz w:val="21"/>
          <w:szCs w:val="21"/>
        </w:rPr>
        <w:t>[201</w:t>
      </w:r>
      <w:r>
        <w:rPr>
          <w:rFonts w:ascii="Arial" w:hAnsi="Arial" w:cs="Arial"/>
          <w:sz w:val="21"/>
          <w:szCs w:val="21"/>
        </w:rPr>
        <w:t>5</w:t>
      </w:r>
      <w:r>
        <w:rPr>
          <w:rFonts w:hint="eastAsia" w:ascii="Arial" w:hAnsi="Arial" w:cs="Arial"/>
          <w:sz w:val="21"/>
          <w:szCs w:val="21"/>
        </w:rPr>
        <w:t>规（大）竣字</w:t>
      </w:r>
      <w:r>
        <w:rPr>
          <w:rFonts w:ascii="Arial" w:hAnsi="Arial" w:cs="Arial"/>
          <w:sz w:val="21"/>
          <w:szCs w:val="21"/>
        </w:rPr>
        <w:t>0102</w:t>
      </w:r>
      <w:r>
        <w:rPr>
          <w:rFonts w:hint="eastAsia" w:ascii="Arial" w:hAnsi="Arial" w:cs="Arial"/>
          <w:sz w:val="21"/>
          <w:szCs w:val="21"/>
        </w:rPr>
        <w:t>号]复印件</w:t>
      </w:r>
    </w:p>
    <w:p w14:paraId="00149D84">
      <w:pPr>
        <w:numPr>
          <w:ilvl w:val="0"/>
          <w:numId w:val="4"/>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hint="eastAsia" w:ascii="Arial" w:hAnsi="Arial" w:cs="Arial"/>
          <w:sz w:val="21"/>
          <w:szCs w:val="21"/>
        </w:rPr>
        <w:t>[编号：0</w:t>
      </w:r>
      <w:r>
        <w:rPr>
          <w:rFonts w:ascii="Arial" w:hAnsi="Arial" w:cs="Arial"/>
          <w:sz w:val="21"/>
          <w:szCs w:val="21"/>
        </w:rPr>
        <w:t>251大竣工</w:t>
      </w:r>
      <w:r>
        <w:rPr>
          <w:rFonts w:hint="eastAsia" w:ascii="Arial" w:hAnsi="Arial" w:cs="Arial"/>
          <w:sz w:val="21"/>
          <w:szCs w:val="21"/>
        </w:rPr>
        <w:t>2</w:t>
      </w:r>
      <w:r>
        <w:rPr>
          <w:rFonts w:ascii="Arial" w:hAnsi="Arial" w:cs="Arial"/>
          <w:sz w:val="21"/>
          <w:szCs w:val="21"/>
        </w:rPr>
        <w:t>018（建）</w:t>
      </w:r>
      <w:r>
        <w:rPr>
          <w:rFonts w:hint="eastAsia" w:ascii="Arial" w:hAnsi="Arial" w:cs="Arial"/>
          <w:sz w:val="21"/>
          <w:szCs w:val="21"/>
        </w:rPr>
        <w:t>0</w:t>
      </w:r>
      <w:r>
        <w:rPr>
          <w:rFonts w:ascii="Arial" w:hAnsi="Arial" w:cs="Arial"/>
          <w:sz w:val="21"/>
          <w:szCs w:val="21"/>
        </w:rPr>
        <w:t>036号]复印件</w:t>
      </w:r>
    </w:p>
    <w:p w14:paraId="49E1C5A2">
      <w:pPr>
        <w:numPr>
          <w:ilvl w:val="0"/>
          <w:numId w:val="4"/>
        </w:numPr>
        <w:spacing w:line="360" w:lineRule="auto"/>
        <w:jc w:val="both"/>
        <w:rPr>
          <w:rFonts w:ascii="Arial" w:hAnsi="Arial" w:cs="Arial"/>
          <w:sz w:val="21"/>
          <w:szCs w:val="21"/>
        </w:rPr>
      </w:pPr>
      <w:r>
        <w:rPr>
          <w:rFonts w:ascii="Arial" w:hAnsi="Arial" w:cs="Arial"/>
          <w:kern w:val="2"/>
          <w:sz w:val="21"/>
          <w:szCs w:val="21"/>
        </w:rPr>
        <w:t>《房屋面积测算</w:t>
      </w:r>
      <w:r>
        <w:rPr>
          <w:rFonts w:hint="eastAsia" w:ascii="Arial" w:hAnsi="Arial" w:cs="Arial"/>
          <w:kern w:val="2"/>
          <w:sz w:val="21"/>
          <w:szCs w:val="21"/>
        </w:rPr>
        <w:t>技术报告书（商品房类使用》复印件</w:t>
      </w:r>
    </w:p>
    <w:p w14:paraId="31EB75AB">
      <w:pPr>
        <w:numPr>
          <w:ilvl w:val="0"/>
          <w:numId w:val="4"/>
        </w:numPr>
        <w:spacing w:line="360" w:lineRule="auto"/>
        <w:jc w:val="both"/>
        <w:rPr>
          <w:rFonts w:ascii="Arial" w:hAnsi="Arial" w:cs="Arial"/>
          <w:sz w:val="21"/>
          <w:szCs w:val="21"/>
        </w:rPr>
      </w:pPr>
      <w:r>
        <w:rPr>
          <w:rFonts w:hint="eastAsia" w:ascii="Arial" w:hAnsi="Arial" w:cs="Arial"/>
          <w:sz w:val="21"/>
          <w:szCs w:val="21"/>
        </w:rPr>
        <w:t>《燕保·高米店家园项目房源表》</w:t>
      </w:r>
      <w:r>
        <w:rPr>
          <w:rFonts w:ascii="Arial" w:hAnsi="Arial" w:cs="Arial"/>
          <w:sz w:val="21"/>
          <w:szCs w:val="21"/>
        </w:rPr>
        <w:t>复印件</w:t>
      </w:r>
    </w:p>
    <w:p w14:paraId="16383245">
      <w:pPr>
        <w:numPr>
          <w:ilvl w:val="0"/>
          <w:numId w:val="4"/>
        </w:numPr>
        <w:spacing w:line="360" w:lineRule="auto"/>
        <w:jc w:val="both"/>
        <w:rPr>
          <w:rFonts w:ascii="Arial" w:hAnsi="Arial" w:cs="Arial"/>
          <w:sz w:val="21"/>
          <w:szCs w:val="21"/>
        </w:rPr>
      </w:pPr>
      <w:r>
        <w:rPr>
          <w:rFonts w:hint="eastAsia" w:ascii="Arial" w:hAnsi="Arial" w:cs="Arial"/>
          <w:sz w:val="21"/>
          <w:szCs w:val="21"/>
        </w:rPr>
        <w:t>《物业服务合同》[2</w:t>
      </w:r>
      <w:r>
        <w:rPr>
          <w:rFonts w:ascii="Arial" w:hAnsi="Arial" w:cs="Arial"/>
          <w:sz w:val="21"/>
          <w:szCs w:val="21"/>
        </w:rPr>
        <w:t>024年</w:t>
      </w:r>
      <w:r>
        <w:rPr>
          <w:rFonts w:hint="eastAsia" w:ascii="Arial" w:hAnsi="Arial" w:cs="Arial"/>
          <w:sz w:val="21"/>
          <w:szCs w:val="21"/>
        </w:rPr>
        <w:t>2月]复印件</w:t>
      </w:r>
    </w:p>
    <w:p w14:paraId="04ED3AEB">
      <w:pPr>
        <w:numPr>
          <w:ilvl w:val="0"/>
          <w:numId w:val="4"/>
        </w:numPr>
        <w:spacing w:line="360" w:lineRule="auto"/>
        <w:jc w:val="both"/>
        <w:rPr>
          <w:rFonts w:ascii="Arial" w:hAnsi="Arial" w:cs="Arial"/>
          <w:sz w:val="21"/>
          <w:szCs w:val="21"/>
        </w:rPr>
      </w:pPr>
      <w:r>
        <w:rPr>
          <w:rFonts w:hint="eastAsia" w:ascii="Arial" w:hAnsi="Arial" w:cs="Arial"/>
          <w:sz w:val="21"/>
          <w:szCs w:val="21"/>
        </w:rPr>
        <w:t>《燕保·高米店家园公租房项目各项费用说明》复印件</w:t>
      </w:r>
    </w:p>
    <w:p w14:paraId="674EF761">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pPr>
        <w:numPr>
          <w:ilvl w:val="0"/>
          <w:numId w:val="4"/>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2EE0D328">
      <w:pPr>
        <w:numPr>
          <w:ilvl w:val="0"/>
          <w:numId w:val="4"/>
        </w:numPr>
        <w:spacing w:line="360" w:lineRule="auto"/>
        <w:jc w:val="both"/>
        <w:rPr>
          <w:rFonts w:ascii="Arial" w:hAnsi="Arial" w:cs="Arial"/>
          <w:sz w:val="21"/>
          <w:szCs w:val="21"/>
        </w:rPr>
      </w:pPr>
      <w:r>
        <w:rPr>
          <w:rFonts w:ascii="Arial" w:hAnsi="Arial" w:cs="Arial"/>
          <w:sz w:val="21"/>
          <w:szCs w:val="21"/>
        </w:rPr>
        <w:t>房地产估价机构资质证书复印件</w:t>
      </w:r>
    </w:p>
    <w:p w14:paraId="02117A81">
      <w:pPr>
        <w:numPr>
          <w:ilvl w:val="0"/>
          <w:numId w:val="4"/>
        </w:numPr>
        <w:spacing w:line="360" w:lineRule="auto"/>
        <w:jc w:val="both"/>
        <w:rPr>
          <w:rFonts w:ascii="Arial" w:hAnsi="Arial" w:cs="Arial"/>
          <w:sz w:val="21"/>
          <w:szCs w:val="21"/>
        </w:rPr>
      </w:pPr>
      <w:r>
        <w:rPr>
          <w:rFonts w:hint="eastAsia" w:ascii="Arial" w:hAnsi="Arial" w:cs="Arial"/>
          <w:sz w:val="21"/>
          <w:szCs w:val="21"/>
        </w:rPr>
        <w:t>注册房地产估价师</w:t>
      </w:r>
      <w:r>
        <w:rPr>
          <w:rFonts w:ascii="Arial" w:hAnsi="Arial" w:cs="Arial"/>
          <w:sz w:val="21"/>
          <w:szCs w:val="21"/>
        </w:rPr>
        <w:t>执业证书复印件</w:t>
      </w:r>
    </w:p>
    <w:p w14:paraId="73955996">
      <w:pPr>
        <w:spacing w:line="240" w:lineRule="auto"/>
        <w:jc w:val="both"/>
        <w:outlineLvl w:val="0"/>
        <w:rPr>
          <w:rFonts w:ascii="Arial" w:hAnsi="Arial" w:eastAsia="楷体_GB2312" w:cs="Arial"/>
          <w:i/>
          <w:kern w:val="2"/>
          <w:sz w:val="28"/>
          <w:szCs w:val="28"/>
        </w:rPr>
        <w:sectPr>
          <w:headerReference r:id="rId11" w:type="default"/>
          <w:pgSz w:w="11907" w:h="16840"/>
          <w:pgMar w:top="1843" w:right="1134" w:bottom="1134" w:left="1134" w:header="1134" w:footer="907" w:gutter="340"/>
          <w:cols w:space="720" w:num="1"/>
          <w:docGrid w:linePitch="326" w:charSpace="0"/>
        </w:sectPr>
      </w:pPr>
    </w:p>
    <w:p w14:paraId="439ACE93">
      <w:pPr>
        <w:pStyle w:val="2"/>
        <w:spacing w:line="480" w:lineRule="auto"/>
        <w:jc w:val="center"/>
        <w:rPr>
          <w:rFonts w:eastAsia="方正黑体简体"/>
          <w:b w:val="0"/>
          <w:kern w:val="2"/>
          <w:sz w:val="32"/>
          <w:szCs w:val="32"/>
        </w:rPr>
      </w:pPr>
      <w:bookmarkStart w:id="9" w:name="_Toc379795041"/>
      <w:bookmarkStart w:id="10" w:name="_Toc525655415"/>
      <w:r>
        <w:rPr>
          <w:rFonts w:hint="eastAsia" w:eastAsia="方正黑体简体"/>
          <w:b w:val="0"/>
          <w:kern w:val="2"/>
          <w:sz w:val="32"/>
          <w:szCs w:val="32"/>
        </w:rPr>
        <w:t>估价师声明</w:t>
      </w:r>
      <w:bookmarkEnd w:id="9"/>
      <w:bookmarkEnd w:id="10"/>
    </w:p>
    <w:p w14:paraId="24F3AA5B">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32DB2D7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1D6B0D5D">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注册房地产估价师已于2025年5月19日对估价对象进行了实地查勘。我们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32FD2D7F">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pPr>
        <w:spacing w:line="480" w:lineRule="auto"/>
        <w:jc w:val="both"/>
        <w:outlineLvl w:val="0"/>
        <w:rPr>
          <w:rFonts w:ascii="Arial" w:hAnsi="Arial" w:eastAsia="楷体_GB2312" w:cs="Arial"/>
          <w:kern w:val="2"/>
          <w:sz w:val="28"/>
        </w:r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bookmarkStart w:id="11" w:name="_Toc168225811"/>
    </w:p>
    <w:p w14:paraId="35F228B8">
      <w:pPr>
        <w:rPr>
          <w:rFonts w:ascii="Arial" w:hAnsi="Arial" w:eastAsia="楷体_GB2312" w:cs="Arial"/>
          <w:kern w:val="2"/>
          <w:sz w:val="28"/>
        </w:rPr>
        <w:sectPr>
          <w:headerReference r:id="rId13" w:type="first"/>
          <w:footerReference r:id="rId14" w:type="first"/>
          <w:headerReference r:id="rId12" w:type="default"/>
          <w:pgSz w:w="11907" w:h="16840"/>
          <w:pgMar w:top="1843" w:right="1134" w:bottom="1134" w:left="1134" w:header="1134" w:footer="907" w:gutter="340"/>
          <w:cols w:space="720" w:num="1"/>
          <w:docGrid w:linePitch="326" w:charSpace="0"/>
        </w:sectPr>
      </w:pPr>
    </w:p>
    <w:p w14:paraId="2610ED31">
      <w:pPr>
        <w:pStyle w:val="2"/>
        <w:spacing w:line="480" w:lineRule="auto"/>
        <w:jc w:val="center"/>
        <w:rPr>
          <w:rFonts w:eastAsia="方正黑体简体"/>
          <w:b w:val="0"/>
          <w:kern w:val="2"/>
          <w:sz w:val="32"/>
          <w:szCs w:val="32"/>
        </w:rPr>
      </w:pPr>
      <w:bookmarkStart w:id="12" w:name="_Toc525655416"/>
      <w:bookmarkStart w:id="13" w:name="_Toc379795042"/>
      <w:r>
        <w:rPr>
          <w:rFonts w:hint="eastAsia" w:eastAsia="方正黑体简体"/>
          <w:b w:val="0"/>
          <w:kern w:val="2"/>
          <w:sz w:val="32"/>
          <w:szCs w:val="32"/>
        </w:rPr>
        <w:t>估价假设和限制条件</w:t>
      </w:r>
      <w:bookmarkEnd w:id="12"/>
      <w:bookmarkEnd w:id="13"/>
    </w:p>
    <w:p w14:paraId="72683C2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23D98036">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A1866D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52D398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4.本次估价结果是在满足全部假设与限制条件下，于价值时点2025年5月1日前一年内（</w:t>
      </w:r>
      <w:r>
        <w:rPr>
          <w:rFonts w:hint="eastAsia" w:ascii="Arial" w:hAnsi="Arial" w:cs="Arial"/>
          <w:sz w:val="21"/>
          <w:szCs w:val="21"/>
        </w:rPr>
        <w:t>2024年5月1日至2025年4月30日</w:t>
      </w:r>
      <w:r>
        <w:rPr>
          <w:rFonts w:hint="eastAsia" w:ascii="Arial" w:hAnsi="Arial" w:cs="Arial"/>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估价对象</w:t>
      </w:r>
      <w:r>
        <w:rPr>
          <w:rFonts w:hint="eastAsia" w:ascii="Arial" w:hAnsi="Arial" w:cs="Arial"/>
          <w:kern w:val="2"/>
          <w:sz w:val="21"/>
          <w:szCs w:val="21"/>
        </w:rPr>
        <w:t>户型、建筑面积、套数等情况均以估价委托人提供的</w:t>
      </w:r>
      <w:r>
        <w:rPr>
          <w:rFonts w:ascii="Arial" w:hAnsi="Arial" w:cs="Arial"/>
          <w:kern w:val="2"/>
          <w:sz w:val="21"/>
          <w:szCs w:val="21"/>
        </w:rPr>
        <w:t>《房屋面积测算</w:t>
      </w:r>
      <w:r>
        <w:rPr>
          <w:rFonts w:hint="eastAsia" w:ascii="Arial" w:hAnsi="Arial" w:cs="Arial"/>
          <w:kern w:val="2"/>
          <w:sz w:val="21"/>
          <w:szCs w:val="21"/>
        </w:rPr>
        <w:t>技术报告书（商品房类使用》及</w:t>
      </w:r>
      <w:r>
        <w:rPr>
          <w:rFonts w:hint="eastAsia" w:ascii="Arial" w:hAnsi="Arial" w:cs="Arial"/>
          <w:sz w:val="21"/>
          <w:szCs w:val="21"/>
        </w:rPr>
        <w:t>《燕保·高米店家园项目房源表》</w:t>
      </w:r>
      <w:r>
        <w:rPr>
          <w:rFonts w:ascii="Arial" w:hAnsi="Arial" w:cs="Arial"/>
          <w:kern w:val="2"/>
          <w:sz w:val="21"/>
          <w:szCs w:val="21"/>
        </w:rPr>
        <w:t>为</w:t>
      </w:r>
      <w:r>
        <w:rPr>
          <w:rFonts w:ascii="Arial" w:hAnsi="Arial" w:cs="Arial"/>
          <w:sz w:val="21"/>
          <w:szCs w:val="21"/>
        </w:rPr>
        <w:t>依据。</w:t>
      </w:r>
    </w:p>
    <w:p w14:paraId="47D78BF8">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ascii="Arial" w:hAnsi="Arial" w:cs="Arial"/>
          <w:kern w:val="2"/>
          <w:sz w:val="21"/>
          <w:szCs w:val="21"/>
        </w:rPr>
        <w:t>注册房地产估价师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29386A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745B4C5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6D8C0E7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2025年5月19日</w:t>
      </w:r>
      <w:r>
        <w:rPr>
          <w:rFonts w:hint="eastAsia" w:ascii="Arial" w:hAnsi="Arial" w:cs="Arial"/>
          <w:kern w:val="2"/>
          <w:sz w:val="21"/>
          <w:szCs w:val="21"/>
        </w:rPr>
        <w:t>对估价对象现状利用状况进行了实地查勘。</w:t>
      </w:r>
    </w:p>
    <w:p w14:paraId="31134D2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4C84E43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C66E66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截至报告出具日，估价对象尚未取得《不动产权证书》。根据《北京市发展和改革委员会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hint="eastAsia" w:ascii="Arial" w:hAnsi="Arial" w:cs="Arial"/>
          <w:sz w:val="21"/>
          <w:szCs w:val="21"/>
        </w:rPr>
        <w:t>《建设用地规划许可证》[201</w:t>
      </w:r>
      <w:r>
        <w:rPr>
          <w:rFonts w:ascii="Arial" w:hAnsi="Arial" w:cs="Arial"/>
          <w:sz w:val="21"/>
          <w:szCs w:val="21"/>
        </w:rPr>
        <w:t>3</w:t>
      </w:r>
      <w:r>
        <w:rPr>
          <w:rFonts w:hint="eastAsia" w:ascii="Arial" w:hAnsi="Arial" w:cs="Arial"/>
          <w:sz w:val="21"/>
          <w:szCs w:val="21"/>
        </w:rPr>
        <w:t>规（大）地字</w:t>
      </w:r>
      <w:r>
        <w:rPr>
          <w:rFonts w:ascii="Arial" w:hAnsi="Arial" w:cs="Arial"/>
          <w:sz w:val="21"/>
          <w:szCs w:val="21"/>
        </w:rPr>
        <w:t>0006</w:t>
      </w:r>
      <w:r>
        <w:rPr>
          <w:rFonts w:hint="eastAsia" w:ascii="Arial" w:hAnsi="Arial" w:cs="Arial"/>
          <w:sz w:val="21"/>
          <w:szCs w:val="21"/>
        </w:rPr>
        <w:t>号]及附件</w:t>
      </w:r>
      <w:r>
        <w:rPr>
          <w:rFonts w:ascii="Arial" w:hAnsi="Arial" w:cs="Arial"/>
          <w:kern w:val="2"/>
          <w:sz w:val="21"/>
          <w:szCs w:val="21"/>
        </w:rPr>
        <w:t>、</w:t>
      </w:r>
      <w:r>
        <w:rPr>
          <w:rFonts w:hint="eastAsia" w:ascii="Arial" w:hAnsi="Arial" w:cs="Arial"/>
          <w:sz w:val="21"/>
          <w:szCs w:val="21"/>
        </w:rPr>
        <w:t>《建设工程规划许可证》[2013规（大）建字0113号]及附件附图</w:t>
      </w:r>
      <w:r>
        <w:rPr>
          <w:rFonts w:ascii="Arial" w:hAnsi="Arial" w:cs="Arial"/>
          <w:kern w:val="2"/>
          <w:sz w:val="21"/>
          <w:szCs w:val="21"/>
        </w:rPr>
        <w:t>，</w:t>
      </w:r>
      <w:r>
        <w:rPr>
          <w:rFonts w:hint="eastAsia" w:ascii="Arial" w:hAnsi="Arial" w:cs="Arial"/>
          <w:kern w:val="2"/>
          <w:sz w:val="21"/>
          <w:szCs w:val="21"/>
        </w:rPr>
        <w:t>项目建设主体为北京市保障性住房建设投资中心，</w:t>
      </w:r>
      <w:r>
        <w:rPr>
          <w:rFonts w:ascii="Arial" w:hAnsi="Arial" w:cs="Arial"/>
          <w:kern w:val="2"/>
          <w:sz w:val="21"/>
          <w:szCs w:val="21"/>
        </w:rPr>
        <w:t>本次评估国有建设用地</w:t>
      </w:r>
      <w:r>
        <w:rPr>
          <w:rFonts w:hint="eastAsia" w:ascii="Arial" w:hAnsi="Arial" w:cs="Arial"/>
          <w:kern w:val="2"/>
          <w:sz w:val="21"/>
          <w:szCs w:val="21"/>
        </w:rPr>
        <w:t>土地使用权性质设定为划拨，房屋性质设定为公共租赁住房，</w:t>
      </w:r>
      <w:r>
        <w:rPr>
          <w:rFonts w:ascii="Arial" w:hAnsi="Arial" w:cs="Arial"/>
          <w:kern w:val="2"/>
          <w:sz w:val="21"/>
          <w:szCs w:val="21"/>
        </w:rPr>
        <w:t>估价对象建筑面积、</w:t>
      </w:r>
      <w:r>
        <w:rPr>
          <w:rFonts w:hint="eastAsia" w:ascii="Arial" w:hAnsi="Arial" w:cs="Arial"/>
          <w:sz w:val="21"/>
          <w:szCs w:val="21"/>
        </w:rPr>
        <w:t>户型等房源信息依据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《燕保·高米店家园项目房源表》，最终的权利性质、用途、建筑面积等产权信息应依据登记部门核发的《不动产权证书》，若与上述设定情况与登记情况不符，需对估价报告做出相应调整。</w:t>
      </w:r>
    </w:p>
    <w:p w14:paraId="54AD4A6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本次估价的背离事实假设</w:t>
      </w:r>
    </w:p>
    <w:p w14:paraId="170CB235">
      <w:pPr>
        <w:spacing w:line="480" w:lineRule="auto"/>
        <w:ind w:firstLine="420" w:firstLineChars="20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p>
    <w:p w14:paraId="5D1D4BBB">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本次估价的不相一致假设</w:t>
      </w:r>
    </w:p>
    <w:p w14:paraId="2F366AE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w:t>
      </w: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w:t>
      </w:r>
      <w:r>
        <w:rPr>
          <w:rFonts w:ascii="Arial" w:hAnsi="Arial" w:cs="Arial"/>
          <w:kern w:val="2"/>
          <w:sz w:val="21"/>
          <w:szCs w:val="21"/>
        </w:rPr>
        <w:t>5</w:t>
      </w:r>
      <w:r>
        <w:rPr>
          <w:rFonts w:hint="eastAsia" w:ascii="Arial" w:hAnsi="Arial" w:cs="Arial"/>
          <w:kern w:val="2"/>
          <w:sz w:val="21"/>
          <w:szCs w:val="21"/>
        </w:rPr>
        <w:t>月</w:t>
      </w:r>
      <w:r>
        <w:rPr>
          <w:rFonts w:ascii="Arial" w:hAnsi="Arial" w:cs="Arial"/>
          <w:kern w:val="2"/>
          <w:sz w:val="21"/>
          <w:szCs w:val="21"/>
        </w:rPr>
        <w:t>19</w:t>
      </w:r>
      <w:r>
        <w:rPr>
          <w:rFonts w:hint="eastAsia" w:ascii="Arial" w:hAnsi="Arial" w:cs="Arial"/>
          <w:kern w:val="2"/>
          <w:sz w:val="21"/>
          <w:szCs w:val="21"/>
        </w:rPr>
        <w:t>日，与价值时点202</w:t>
      </w:r>
      <w:r>
        <w:rPr>
          <w:rFonts w:ascii="Arial" w:hAnsi="Arial" w:cs="Arial"/>
          <w:kern w:val="2"/>
          <w:sz w:val="21"/>
          <w:szCs w:val="21"/>
        </w:rPr>
        <w:t>5</w:t>
      </w:r>
      <w:r>
        <w:rPr>
          <w:rFonts w:hint="eastAsia" w:ascii="Arial" w:hAnsi="Arial" w:cs="Arial"/>
          <w:kern w:val="2"/>
          <w:sz w:val="21"/>
          <w:szCs w:val="21"/>
        </w:rPr>
        <w:t>年</w:t>
      </w:r>
      <w:r>
        <w:rPr>
          <w:rFonts w:ascii="Arial" w:hAnsi="Arial" w:cs="Arial"/>
          <w:kern w:val="2"/>
          <w:sz w:val="21"/>
          <w:szCs w:val="21"/>
        </w:rPr>
        <w:t>5</w:t>
      </w:r>
      <w:r>
        <w:rPr>
          <w:rFonts w:hint="eastAsia" w:ascii="Arial" w:hAnsi="Arial" w:cs="Arial"/>
          <w:kern w:val="2"/>
          <w:sz w:val="21"/>
          <w:szCs w:val="21"/>
        </w:rPr>
        <w:t>月1日不一致，本次评估假设估价对象于价值时点的实物状况与实地查勘之日一致。在此提请报告使用者注意。</w:t>
      </w:r>
    </w:p>
    <w:p w14:paraId="45B8D5B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szCs w:val="21"/>
        </w:rPr>
        <w:t>.</w:t>
      </w:r>
      <w:r>
        <w:rPr>
          <w:rFonts w:hint="eastAsia" w:ascii="Arial" w:hAnsi="Arial" w:cs="Arial"/>
          <w:sz w:val="21"/>
          <w:szCs w:val="21"/>
        </w:rPr>
        <w:t>《北京市发展和改革委员会 关于转发大兴区高米店公共租赁住房项目变更建设主体的批复的通知》[京兴发改转（2</w:t>
      </w:r>
      <w:r>
        <w:rPr>
          <w:rFonts w:ascii="Arial" w:hAnsi="Arial" w:cs="Arial"/>
          <w:sz w:val="21"/>
          <w:szCs w:val="21"/>
        </w:rPr>
        <w:t>012）</w:t>
      </w:r>
      <w:r>
        <w:rPr>
          <w:rFonts w:hint="eastAsia" w:ascii="Arial" w:hAnsi="Arial" w:cs="Arial"/>
          <w:sz w:val="21"/>
          <w:szCs w:val="21"/>
        </w:rPr>
        <w:t>5</w:t>
      </w:r>
      <w:r>
        <w:rPr>
          <w:rFonts w:ascii="Arial" w:hAnsi="Arial" w:cs="Arial"/>
          <w:sz w:val="21"/>
          <w:szCs w:val="21"/>
        </w:rPr>
        <w:t>1号</w:t>
      </w:r>
      <w:r>
        <w:rPr>
          <w:rFonts w:hint="eastAsia" w:ascii="Arial" w:hAnsi="Arial" w:cs="Arial"/>
          <w:sz w:val="21"/>
          <w:szCs w:val="21"/>
        </w:rPr>
        <w:t>]及附件中批复建设主体为北京市保障性住房建设投资中心；</w:t>
      </w:r>
      <w:r>
        <w:rPr>
          <w:rFonts w:ascii="Arial" w:hAnsi="Arial" w:cs="Arial"/>
          <w:sz w:val="21"/>
          <w:szCs w:val="21"/>
        </w:rPr>
        <w:t>《关于</w:t>
      </w:r>
      <w:r>
        <w:rPr>
          <w:rFonts w:hint="eastAsia" w:ascii="Arial" w:hAnsi="Arial" w:cs="Arial"/>
          <w:sz w:val="21"/>
          <w:szCs w:val="21"/>
        </w:rPr>
        <w:t>燕保·高米店家园公租房项目市场租金委托评估函》中明确本次评估估价委托人为北京保障房中心有限公司，经与估价委托人确认，建筑主体与本次评估估价委托人为同一主体，在此提请报告使用人注意。</w:t>
      </w:r>
    </w:p>
    <w:p w14:paraId="28A4FFEA">
      <w:pPr>
        <w:spacing w:line="480" w:lineRule="auto"/>
        <w:ind w:firstLine="420" w:firstLineChars="200"/>
        <w:jc w:val="both"/>
        <w:rPr>
          <w:rFonts w:ascii="Arial" w:hAnsi="Arial" w:cs="Arial"/>
          <w:kern w:val="2"/>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《建设工程规划许可证》[2013规（大）建字0113号]及附件附图证载楼牌号与注册房地产估价师实地查勘的现状楼牌号不一致，本次评估以建设主体提供的</w:t>
      </w:r>
      <w:r>
        <w:rPr>
          <w:rFonts w:ascii="Arial" w:hAnsi="Arial" w:cs="Arial"/>
          <w:sz w:val="21"/>
          <w:szCs w:val="21"/>
        </w:rPr>
        <w:t>《规划施工号与门牌、楼牌编号对照表</w:t>
      </w:r>
      <w:r>
        <w:rPr>
          <w:rFonts w:hint="eastAsia" w:ascii="Arial" w:hAnsi="Arial" w:cs="Arial"/>
          <w:sz w:val="21"/>
          <w:szCs w:val="21"/>
        </w:rPr>
        <w:t>》为依据。</w:t>
      </w:r>
    </w:p>
    <w:p w14:paraId="3E7BE112">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7F788306">
      <w:pPr>
        <w:spacing w:line="480" w:lineRule="auto"/>
        <w:ind w:firstLine="420" w:firstLineChars="20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p>
    <w:p w14:paraId="23AD2B9C">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456EB7D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4390A25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1EB052D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6D66281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031DDAF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2B662E71">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0A10706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73765B5A">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E9B7306">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C98733D">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2025年6月26日</w:t>
      </w:r>
      <w:r>
        <w:rPr>
          <w:rFonts w:hint="eastAsia" w:ascii="Arial" w:hAnsi="Arial" w:cs="Arial"/>
          <w:kern w:val="2"/>
          <w:sz w:val="21"/>
          <w:szCs w:val="21"/>
        </w:rPr>
        <w:t>至</w:t>
      </w:r>
      <w:r>
        <w:rPr>
          <w:rFonts w:ascii="Arial" w:hAnsi="Arial" w:cs="Arial"/>
          <w:kern w:val="2"/>
          <w:sz w:val="21"/>
          <w:szCs w:val="21"/>
        </w:rPr>
        <w:t>2026年6月25日</w:t>
      </w:r>
      <w:r>
        <w:rPr>
          <w:rFonts w:hint="eastAsia" w:ascii="Arial" w:hAnsi="Arial" w:cs="Arial"/>
          <w:kern w:val="2"/>
          <w:sz w:val="21"/>
          <w:szCs w:val="21"/>
        </w:rPr>
        <w:t>有效</w:t>
      </w:r>
      <w:r>
        <w:rPr>
          <w:rFonts w:ascii="Arial" w:hAnsi="Arial" w:cs="Arial"/>
          <w:kern w:val="2"/>
          <w:sz w:val="21"/>
          <w:szCs w:val="21"/>
        </w:rPr>
        <w:t>。</w:t>
      </w:r>
    </w:p>
    <w:bookmarkEnd w:id="11"/>
    <w:p w14:paraId="32630DAA">
      <w:pPr>
        <w:spacing w:line="480" w:lineRule="auto"/>
        <w:ind w:firstLine="560"/>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1D10112B">
      <w:pPr>
        <w:pStyle w:val="2"/>
        <w:spacing w:line="360" w:lineRule="auto"/>
        <w:jc w:val="center"/>
        <w:rPr>
          <w:rFonts w:eastAsia="方正黑体简体"/>
          <w:b w:val="0"/>
          <w:kern w:val="2"/>
          <w:sz w:val="32"/>
          <w:szCs w:val="32"/>
        </w:rPr>
      </w:pPr>
      <w:bookmarkStart w:id="14" w:name="_Toc525655417"/>
      <w:bookmarkStart w:id="15" w:name="_Toc168225812"/>
      <w:r>
        <w:rPr>
          <w:rFonts w:hint="eastAsia" w:eastAsia="方正黑体简体"/>
          <w:b w:val="0"/>
          <w:kern w:val="2"/>
          <w:sz w:val="32"/>
          <w:szCs w:val="32"/>
        </w:rPr>
        <w:t>估价结果报告</w:t>
      </w:r>
      <w:bookmarkEnd w:id="14"/>
      <w:bookmarkEnd w:id="15"/>
    </w:p>
    <w:p w14:paraId="0C6F735E">
      <w:pPr>
        <w:pStyle w:val="3"/>
        <w:tabs>
          <w:tab w:val="left" w:pos="360"/>
        </w:tabs>
        <w:wordWrap w:val="0"/>
        <w:overflowPunct w:val="0"/>
        <w:spacing w:line="480" w:lineRule="auto"/>
        <w:ind w:left="358" w:hanging="358" w:hangingChars="170"/>
        <w:jc w:val="both"/>
        <w:textAlignment w:val="auto"/>
        <w:rPr>
          <w:rFonts w:eastAsia="宋体"/>
          <w:b w:val="0"/>
          <w:kern w:val="2"/>
          <w:sz w:val="21"/>
          <w:szCs w:val="21"/>
        </w:rPr>
      </w:pPr>
      <w:bookmarkStart w:id="16" w:name="_Toc216083223"/>
      <w:bookmarkStart w:id="17" w:name="_Toc525655418"/>
      <w:r>
        <w:rPr>
          <w:rFonts w:eastAsia="宋体"/>
          <w:kern w:val="2"/>
          <w:sz w:val="21"/>
          <w:szCs w:val="21"/>
        </w:rPr>
        <w:t>一</w:t>
      </w:r>
      <w:bookmarkEnd w:id="16"/>
      <w:r>
        <w:rPr>
          <w:rFonts w:eastAsia="宋体"/>
          <w:kern w:val="2"/>
          <w:sz w:val="21"/>
          <w:szCs w:val="21"/>
        </w:rPr>
        <w:t>、估价委托人</w:t>
      </w:r>
      <w:bookmarkEnd w:id="17"/>
    </w:p>
    <w:p w14:paraId="2AA9A15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估价委托人为</w:t>
      </w:r>
      <w:r>
        <w:rPr>
          <w:rFonts w:hint="eastAsia" w:ascii="Arial" w:hAnsi="Arial" w:cs="Arial"/>
          <w:sz w:val="21"/>
          <w:szCs w:val="21"/>
        </w:rPr>
        <w:t>北京保障房中心有限公司。</w:t>
      </w:r>
    </w:p>
    <w:p w14:paraId="37D3EBF1">
      <w:pPr>
        <w:wordWrap w:val="0"/>
        <w:overflowPunct w:val="0"/>
        <w:spacing w:line="480" w:lineRule="auto"/>
        <w:ind w:firstLine="420" w:firstLineChars="200"/>
        <w:jc w:val="both"/>
        <w:textAlignment w:val="auto"/>
        <w:rPr>
          <w:rFonts w:ascii="Arial" w:hAnsi="Arial" w:cs="Arial"/>
          <w:sz w:val="21"/>
          <w:szCs w:val="21"/>
        </w:rPr>
      </w:pPr>
    </w:p>
    <w:p w14:paraId="580F5C9C">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18" w:name="_Toc525655419"/>
      <w:bookmarkStart w:id="19" w:name="_Toc168225814"/>
      <w:r>
        <w:rPr>
          <w:rFonts w:eastAsia="宋体"/>
          <w:kern w:val="2"/>
          <w:sz w:val="21"/>
          <w:szCs w:val="21"/>
        </w:rPr>
        <w:t>二、房地产估价机构</w:t>
      </w:r>
      <w:bookmarkEnd w:id="18"/>
      <w:bookmarkEnd w:id="19"/>
    </w:p>
    <w:p w14:paraId="6060A14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76178A5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00220C6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3541E60A">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22年08月30日至</w:t>
      </w:r>
      <w:r>
        <w:rPr>
          <w:rFonts w:ascii="Arial" w:hAnsi="Arial"/>
          <w:sz w:val="21"/>
          <w:szCs w:val="21"/>
        </w:rPr>
        <w:t>202</w:t>
      </w:r>
      <w:r>
        <w:rPr>
          <w:rFonts w:hint="eastAsia" w:ascii="Arial" w:hAnsi="Arial"/>
          <w:sz w:val="21"/>
          <w:szCs w:val="21"/>
        </w:rPr>
        <w:t>5年08月29日</w:t>
      </w:r>
    </w:p>
    <w:p w14:paraId="3C22F0B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23787D1C">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6064679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06E73CE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701898CC">
      <w:pPr>
        <w:wordWrap w:val="0"/>
        <w:overflowPunct w:val="0"/>
        <w:spacing w:line="480" w:lineRule="auto"/>
        <w:ind w:firstLine="420" w:firstLineChars="200"/>
        <w:jc w:val="both"/>
        <w:textAlignment w:val="auto"/>
        <w:rPr>
          <w:rFonts w:ascii="Arial" w:hAnsi="Arial" w:cs="Arial"/>
          <w:kern w:val="2"/>
          <w:sz w:val="21"/>
          <w:szCs w:val="21"/>
        </w:rPr>
      </w:pPr>
    </w:p>
    <w:p w14:paraId="7AAAC85C">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20" w:name="_Toc168225815"/>
      <w:bookmarkStart w:id="21" w:name="_Toc525655420"/>
      <w:r>
        <w:rPr>
          <w:rFonts w:eastAsia="宋体"/>
          <w:kern w:val="2"/>
          <w:sz w:val="21"/>
          <w:szCs w:val="21"/>
        </w:rPr>
        <w:t>三、估价目的</w:t>
      </w:r>
      <w:bookmarkEnd w:id="20"/>
      <w:bookmarkEnd w:id="21"/>
    </w:p>
    <w:p w14:paraId="04D5742D">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为估价委托人确定公共租赁住房项目市场租金提供价格参考依据</w:t>
      </w:r>
      <w:r>
        <w:rPr>
          <w:rFonts w:hint="eastAsia" w:ascii="Arial" w:hAnsi="Arial" w:cs="Arial"/>
          <w:kern w:val="2"/>
          <w:sz w:val="21"/>
          <w:szCs w:val="21"/>
        </w:rPr>
        <w:t>。</w:t>
      </w:r>
      <w:r>
        <w:rPr>
          <w:rFonts w:ascii="Arial" w:hAnsi="Arial" w:cs="Arial"/>
          <w:kern w:val="2"/>
          <w:sz w:val="21"/>
          <w:szCs w:val="21"/>
        </w:rPr>
        <w:t xml:space="preserve"> </w:t>
      </w:r>
    </w:p>
    <w:p w14:paraId="0BD6947A">
      <w:pPr>
        <w:wordWrap w:val="0"/>
        <w:overflowPunct w:val="0"/>
        <w:spacing w:line="480" w:lineRule="auto"/>
        <w:ind w:firstLine="420" w:firstLineChars="200"/>
        <w:jc w:val="both"/>
        <w:textAlignment w:val="auto"/>
        <w:rPr>
          <w:rFonts w:ascii="Arial" w:hAnsi="Arial" w:cs="Arial"/>
          <w:sz w:val="21"/>
          <w:szCs w:val="21"/>
        </w:rPr>
      </w:pPr>
    </w:p>
    <w:p w14:paraId="420AD3A7">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22" w:name="_Toc525655421"/>
      <w:bookmarkStart w:id="23" w:name="_Toc168225816"/>
      <w:r>
        <w:rPr>
          <w:rFonts w:eastAsia="宋体"/>
          <w:kern w:val="2"/>
          <w:sz w:val="21"/>
          <w:szCs w:val="21"/>
        </w:rPr>
        <w:t>四、估价对象</w:t>
      </w:r>
      <w:bookmarkEnd w:id="22"/>
      <w:bookmarkEnd w:id="23"/>
    </w:p>
    <w:p w14:paraId="3466848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316CAFC">
      <w:pPr>
        <w:overflowPunct w:val="0"/>
        <w:spacing w:line="480" w:lineRule="auto"/>
        <w:ind w:firstLine="420" w:firstLineChars="200"/>
        <w:jc w:val="both"/>
        <w:textAlignment w:val="auto"/>
        <w:rPr>
          <w:rFonts w:ascii="Arial" w:hAnsi="Arial" w:cs="Arial"/>
          <w:kern w:val="2"/>
          <w:sz w:val="21"/>
          <w:szCs w:val="21"/>
        </w:rPr>
      </w:pPr>
      <w:r>
        <w:rPr>
          <w:rFonts w:ascii="Arial" w:hAnsi="Arial" w:cs="Arial"/>
          <w:bCs/>
          <w:sz w:val="21"/>
          <w:szCs w:val="21"/>
        </w:rPr>
        <w:t>估价对象</w:t>
      </w:r>
      <w:r>
        <w:rPr>
          <w:rFonts w:hint="eastAsia" w:ascii="Arial" w:hAnsi="Arial" w:cs="Arial"/>
          <w:bCs/>
          <w:sz w:val="21"/>
          <w:szCs w:val="21"/>
        </w:rPr>
        <w:t>为</w:t>
      </w:r>
      <w:r>
        <w:rPr>
          <w:rFonts w:hint="eastAsia" w:ascii="Arial" w:hAnsi="Arial" w:cs="Arial"/>
          <w:kern w:val="2"/>
          <w:sz w:val="21"/>
          <w:szCs w:val="21"/>
        </w:rPr>
        <w:t>北京市大兴区景明路16号院3、4、5、7、8号楼（燕保·高米店家园）共1830套公共租赁住房，均属“燕保·高米店家园公租房项目”。截至报告出具日，估价对象尚未取得《不动产权证书》。根据</w:t>
      </w:r>
      <w:r>
        <w:rPr>
          <w:rFonts w:ascii="Arial" w:hAnsi="Arial" w:cs="Arial"/>
          <w:sz w:val="21"/>
          <w:szCs w:val="21"/>
        </w:rPr>
        <w:t>《北京市房屋建筑和市政基础设施工程竣工验收备案表》</w:t>
      </w:r>
      <w:r>
        <w:rPr>
          <w:rFonts w:hint="eastAsia" w:ascii="Arial" w:hAnsi="Arial" w:cs="Arial"/>
          <w:sz w:val="21"/>
          <w:szCs w:val="21"/>
        </w:rPr>
        <w:t>[编号：0</w:t>
      </w:r>
      <w:r>
        <w:rPr>
          <w:rFonts w:ascii="Arial" w:hAnsi="Arial" w:cs="Arial"/>
          <w:sz w:val="21"/>
          <w:szCs w:val="21"/>
        </w:rPr>
        <w:t>251大竣工</w:t>
      </w:r>
      <w:r>
        <w:rPr>
          <w:rFonts w:hint="eastAsia" w:ascii="Arial" w:hAnsi="Arial" w:cs="Arial"/>
          <w:sz w:val="21"/>
          <w:szCs w:val="21"/>
        </w:rPr>
        <w:t>2</w:t>
      </w:r>
      <w:r>
        <w:rPr>
          <w:rFonts w:ascii="Arial" w:hAnsi="Arial" w:cs="Arial"/>
          <w:sz w:val="21"/>
          <w:szCs w:val="21"/>
        </w:rPr>
        <w:t>018（建）</w:t>
      </w:r>
      <w:r>
        <w:rPr>
          <w:rFonts w:hint="eastAsia" w:ascii="Arial" w:hAnsi="Arial" w:cs="Arial"/>
          <w:sz w:val="21"/>
          <w:szCs w:val="21"/>
        </w:rPr>
        <w:t>0</w:t>
      </w:r>
      <w:r>
        <w:rPr>
          <w:rFonts w:ascii="Arial" w:hAnsi="Arial" w:cs="Arial"/>
          <w:sz w:val="21"/>
          <w:szCs w:val="21"/>
        </w:rPr>
        <w:t>036号]及注册房地产估价师实地调查，估价对象所属项目实际工程竣工年份为</w:t>
      </w:r>
      <w:r>
        <w:rPr>
          <w:rFonts w:hint="eastAsia" w:ascii="Arial" w:hAnsi="Arial" w:cs="Arial"/>
          <w:sz w:val="21"/>
          <w:szCs w:val="21"/>
        </w:rPr>
        <w:t>2</w:t>
      </w:r>
      <w:r>
        <w:rPr>
          <w:rFonts w:ascii="Arial" w:hAnsi="Arial" w:cs="Arial"/>
          <w:sz w:val="21"/>
          <w:szCs w:val="21"/>
        </w:rPr>
        <w:t>015年</w:t>
      </w:r>
      <w:r>
        <w:rPr>
          <w:rFonts w:hint="eastAsia" w:ascii="Arial" w:hAnsi="Arial" w:cs="Arial"/>
          <w:sz w:val="21"/>
          <w:szCs w:val="21"/>
        </w:rPr>
        <w:t>，并</w:t>
      </w:r>
      <w:r>
        <w:rPr>
          <w:rFonts w:ascii="Arial" w:hAnsi="Arial" w:cs="Arial"/>
          <w:sz w:val="21"/>
          <w:szCs w:val="21"/>
        </w:rPr>
        <w:t>于</w:t>
      </w:r>
      <w:r>
        <w:rPr>
          <w:rFonts w:hint="eastAsia" w:ascii="Arial" w:hAnsi="Arial" w:cs="Arial"/>
          <w:sz w:val="21"/>
          <w:szCs w:val="21"/>
        </w:rPr>
        <w:t>2</w:t>
      </w:r>
      <w:r>
        <w:rPr>
          <w:rFonts w:ascii="Arial" w:hAnsi="Arial" w:cs="Arial"/>
          <w:sz w:val="21"/>
          <w:szCs w:val="21"/>
        </w:rPr>
        <w:t>018年完成竣工验收备案。</w:t>
      </w:r>
    </w:p>
    <w:p w14:paraId="397478B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根据建设主体提供的《北京市发展和改革委员会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大兴区高米店公共租赁住房项目由北京市保障性住房建设投资中心开发建设，国有建设用地土地使用权性质为划拨，房屋性质为公共租赁住房。</w:t>
      </w:r>
    </w:p>
    <w:p w14:paraId="0A046AD8">
      <w:pPr>
        <w:overflowPunct w:val="0"/>
        <w:spacing w:line="480" w:lineRule="auto"/>
        <w:ind w:firstLine="420" w:firstLineChars="200"/>
        <w:jc w:val="both"/>
        <w:textAlignment w:val="auto"/>
        <w:rPr>
          <w:rFonts w:ascii="Arial" w:hAnsi="Arial" w:cs="Arial"/>
          <w:kern w:val="2"/>
          <w:sz w:val="21"/>
          <w:szCs w:val="21"/>
        </w:rPr>
      </w:pPr>
      <w:bookmarkStart w:id="24" w:name="_Hlk172101695"/>
      <w:r>
        <w:rPr>
          <w:rFonts w:hint="eastAsia" w:ascii="Arial" w:hAnsi="Arial" w:cs="Arial"/>
          <w:kern w:val="2"/>
          <w:sz w:val="21"/>
          <w:szCs w:val="21"/>
        </w:rPr>
        <w:t>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《燕保·高米店家园项目房源表》，估价对象总建筑面积为9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公共租赁住房</w:t>
      </w:r>
      <w:r>
        <w:rPr>
          <w:rFonts w:hint="eastAsia" w:ascii="Arial" w:hAnsi="Arial" w:cs="Arial"/>
          <w:kern w:val="2"/>
          <w:sz w:val="21"/>
          <w:szCs w:val="21"/>
        </w:rPr>
        <w:t>，有</w:t>
      </w:r>
      <w:r>
        <w:rPr>
          <w:rFonts w:ascii="Arial" w:hAnsi="Arial" w:cs="Arial"/>
          <w:kern w:val="2"/>
          <w:sz w:val="21"/>
          <w:szCs w:val="21"/>
        </w:rPr>
        <w:t>38</w:t>
      </w:r>
      <w:r>
        <w:rPr>
          <w:rFonts w:hint="eastAsia" w:ascii="Arial" w:hAnsi="Arial" w:cs="Arial"/>
          <w:kern w:val="2"/>
          <w:sz w:val="21"/>
          <w:szCs w:val="21"/>
        </w:rPr>
        <w:t>种户型，分别为</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5-1‘、5-1‘反、5-2</w:t>
      </w:r>
      <w:r>
        <w:rPr>
          <w:rFonts w:hint="eastAsia" w:ascii="Arial" w:hAnsi="Arial" w:cs="Arial"/>
          <w:kern w:val="2"/>
          <w:sz w:val="21"/>
          <w:szCs w:val="21"/>
        </w:rPr>
        <w:t>、5</w:t>
      </w:r>
      <w:r>
        <w:rPr>
          <w:rFonts w:ascii="Arial" w:hAnsi="Arial" w:cs="Arial"/>
          <w:kern w:val="2"/>
          <w:sz w:val="21"/>
          <w:szCs w:val="21"/>
        </w:rPr>
        <w:t>-2反、A2、A2反、B1、B1反、C2、C2反、C6、C6反、5-4、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。其中，</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w:t>
      </w:r>
      <w:r>
        <w:rPr>
          <w:rFonts w:hint="eastAsia" w:ascii="Arial" w:hAnsi="Arial" w:cs="Arial"/>
          <w:kern w:val="2"/>
          <w:sz w:val="21"/>
          <w:szCs w:val="21"/>
        </w:rPr>
        <w:t>为零居室，共计</w:t>
      </w:r>
      <w:r>
        <w:rPr>
          <w:rFonts w:ascii="Arial" w:hAnsi="Arial" w:cs="Arial"/>
          <w:kern w:val="2"/>
          <w:sz w:val="21"/>
          <w:szCs w:val="21"/>
        </w:rPr>
        <w:t>544</w:t>
      </w:r>
      <w:r>
        <w:rPr>
          <w:rFonts w:hint="eastAsia" w:ascii="Arial" w:hAnsi="Arial" w:cs="Arial"/>
          <w:kern w:val="2"/>
          <w:sz w:val="21"/>
          <w:szCs w:val="21"/>
        </w:rPr>
        <w:t>套，面积区间为</w:t>
      </w:r>
      <w:r>
        <w:rPr>
          <w:rFonts w:ascii="Arial" w:hAnsi="Arial" w:cs="Arial"/>
          <w:kern w:val="2"/>
          <w:sz w:val="21"/>
          <w:szCs w:val="21"/>
        </w:rPr>
        <w:t>30.04-32.61</w:t>
      </w:r>
      <w:r>
        <w:rPr>
          <w:rFonts w:hint="eastAsia" w:ascii="Arial" w:hAnsi="Arial" w:cs="Arial"/>
          <w:kern w:val="2"/>
          <w:sz w:val="21"/>
          <w:szCs w:val="21"/>
        </w:rPr>
        <w:t>平方米，</w:t>
      </w:r>
      <w:r>
        <w:rPr>
          <w:rFonts w:ascii="Arial" w:hAnsi="Arial" w:cs="Arial"/>
          <w:kern w:val="2"/>
          <w:sz w:val="21"/>
          <w:szCs w:val="21"/>
        </w:rPr>
        <w:t>5-2</w:t>
      </w:r>
      <w:r>
        <w:rPr>
          <w:rFonts w:hint="eastAsia" w:ascii="Arial" w:hAnsi="Arial" w:cs="Arial"/>
          <w:kern w:val="2"/>
          <w:sz w:val="21"/>
          <w:szCs w:val="21"/>
        </w:rPr>
        <w:t>、5</w:t>
      </w:r>
      <w:r>
        <w:rPr>
          <w:rFonts w:ascii="Arial" w:hAnsi="Arial" w:cs="Arial"/>
          <w:kern w:val="2"/>
          <w:sz w:val="21"/>
          <w:szCs w:val="21"/>
        </w:rPr>
        <w:t>-2反、A2、A2反、B1、B1反、C2、C2反、C6、C6反</w:t>
      </w:r>
      <w:r>
        <w:rPr>
          <w:rFonts w:hint="eastAsia" w:ascii="Arial" w:hAnsi="Arial" w:cs="Arial"/>
          <w:kern w:val="2"/>
          <w:sz w:val="21"/>
          <w:szCs w:val="21"/>
        </w:rPr>
        <w:t>为一居室，共计</w:t>
      </w:r>
      <w:r>
        <w:rPr>
          <w:rFonts w:ascii="Arial" w:hAnsi="Arial" w:cs="Arial"/>
          <w:kern w:val="2"/>
          <w:sz w:val="21"/>
          <w:szCs w:val="21"/>
        </w:rPr>
        <w:t>186</w:t>
      </w:r>
      <w:r>
        <w:rPr>
          <w:rFonts w:hint="eastAsia" w:ascii="Arial" w:hAnsi="Arial" w:cs="Arial"/>
          <w:kern w:val="2"/>
          <w:sz w:val="21"/>
          <w:szCs w:val="21"/>
        </w:rPr>
        <w:t>套，面积区间为</w:t>
      </w:r>
      <w:r>
        <w:rPr>
          <w:rFonts w:ascii="Arial" w:hAnsi="Arial" w:cs="Arial"/>
          <w:kern w:val="2"/>
          <w:sz w:val="21"/>
          <w:szCs w:val="21"/>
        </w:rPr>
        <w:t>41.49</w:t>
      </w:r>
      <w:r>
        <w:rPr>
          <w:rFonts w:hint="eastAsia" w:ascii="Arial" w:hAnsi="Arial" w:cs="Arial"/>
          <w:kern w:val="2"/>
          <w:sz w:val="21"/>
          <w:szCs w:val="21"/>
        </w:rPr>
        <w:t>-</w:t>
      </w:r>
      <w:r>
        <w:rPr>
          <w:rFonts w:ascii="Arial" w:hAnsi="Arial" w:cs="Arial"/>
          <w:kern w:val="2"/>
          <w:sz w:val="21"/>
          <w:szCs w:val="21"/>
        </w:rPr>
        <w:t>50.94</w:t>
      </w:r>
      <w:r>
        <w:rPr>
          <w:rFonts w:hint="eastAsia" w:ascii="Arial" w:hAnsi="Arial" w:cs="Arial"/>
          <w:kern w:val="2"/>
          <w:sz w:val="21"/>
          <w:szCs w:val="21"/>
        </w:rPr>
        <w:t>平方米。</w:t>
      </w:r>
      <w:r>
        <w:rPr>
          <w:rFonts w:ascii="Arial" w:hAnsi="Arial" w:cs="Arial"/>
          <w:kern w:val="2"/>
          <w:sz w:val="21"/>
          <w:szCs w:val="21"/>
        </w:rPr>
        <w:t>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户型为两居室，共计</w:t>
      </w:r>
      <w:r>
        <w:rPr>
          <w:rFonts w:ascii="Arial" w:hAnsi="Arial" w:cs="Arial"/>
          <w:kern w:val="2"/>
          <w:sz w:val="21"/>
          <w:szCs w:val="21"/>
        </w:rPr>
        <w:t>1100</w:t>
      </w:r>
      <w:r>
        <w:rPr>
          <w:rFonts w:hint="eastAsia" w:ascii="Arial" w:hAnsi="Arial" w:cs="Arial"/>
          <w:kern w:val="2"/>
          <w:sz w:val="21"/>
          <w:szCs w:val="21"/>
        </w:rPr>
        <w:t>套，面积区间为</w:t>
      </w:r>
      <w:r>
        <w:rPr>
          <w:rFonts w:ascii="Arial" w:hAnsi="Arial" w:cs="Arial"/>
          <w:kern w:val="2"/>
          <w:sz w:val="21"/>
          <w:szCs w:val="21"/>
        </w:rPr>
        <w:t>57.9</w:t>
      </w:r>
      <w:r>
        <w:rPr>
          <w:rFonts w:hint="eastAsia" w:ascii="Arial" w:hAnsi="Arial" w:cs="Arial"/>
          <w:kern w:val="2"/>
          <w:sz w:val="21"/>
          <w:szCs w:val="21"/>
        </w:rPr>
        <w:t>-</w:t>
      </w:r>
      <w:r>
        <w:rPr>
          <w:rFonts w:ascii="Arial" w:hAnsi="Arial" w:cs="Arial"/>
          <w:kern w:val="2"/>
          <w:sz w:val="21"/>
          <w:szCs w:val="21"/>
        </w:rPr>
        <w:t>61.95</w:t>
      </w:r>
      <w:r>
        <w:rPr>
          <w:rFonts w:hint="eastAsia" w:ascii="Arial" w:hAnsi="Arial" w:cs="Arial"/>
          <w:kern w:val="2"/>
          <w:sz w:val="21"/>
          <w:szCs w:val="21"/>
        </w:rPr>
        <w:t>平方米。室内装修情况均为精装修，室内厨房卫生间配备家具、家电。</w:t>
      </w:r>
      <w:bookmarkEnd w:id="24"/>
    </w:p>
    <w:p w14:paraId="668383D5">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0DE67EED">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w:t>
      </w:r>
      <w:r>
        <w:rPr>
          <w:rFonts w:hint="eastAsia" w:ascii="Arial" w:hAnsi="Arial" w:cs="Arial"/>
          <w:kern w:val="2"/>
          <w:sz w:val="21"/>
          <w:szCs w:val="21"/>
        </w:rPr>
        <w:t>截至报告出具日，估价对象尚未取得《不动产权证书》。根据估价委托人提供的《北京市发展和改革委员会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大兴区高米店公共租赁住房项目由北京市保障性住房建设投资中心开发建设，国有建设用地土地使用权性质为划拨，房屋性质为公共租赁住房。</w:t>
      </w:r>
    </w:p>
    <w:p w14:paraId="3B9D2F9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2.估价对象所属项目</w:t>
      </w:r>
      <w:r>
        <w:rPr>
          <w:rFonts w:hint="eastAsia" w:ascii="Arial" w:hAnsi="Arial" w:cs="Arial"/>
          <w:sz w:val="21"/>
          <w:szCs w:val="21"/>
        </w:rPr>
        <w:t>现状</w:t>
      </w:r>
      <w:r>
        <w:rPr>
          <w:rFonts w:ascii="Arial" w:hAnsi="Arial" w:cs="Arial"/>
          <w:sz w:val="21"/>
          <w:szCs w:val="21"/>
        </w:rPr>
        <w:t>四至：</w:t>
      </w:r>
    </w:p>
    <w:p w14:paraId="1836716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现状四至为东至广茂大街，南至规划横四路，西至北京赛斯特服装有限公司，北至景明路。</w:t>
      </w:r>
    </w:p>
    <w:p w14:paraId="7BA9E1F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3.估价对象所属项目用地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3F4FE27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4.</w:t>
      </w:r>
      <w:r>
        <w:rPr>
          <w:rFonts w:hint="eastAsia" w:ascii="Arial" w:hAnsi="Arial" w:cs="Arial"/>
          <w:sz w:val="21"/>
          <w:szCs w:val="21"/>
        </w:rPr>
        <w:t>开发程度</w:t>
      </w:r>
      <w:r>
        <w:rPr>
          <w:rFonts w:ascii="Arial" w:hAnsi="Arial" w:cs="Arial"/>
          <w:sz w:val="21"/>
          <w:szCs w:val="21"/>
        </w:rPr>
        <w:t>：</w:t>
      </w:r>
    </w:p>
    <w:p w14:paraId="76AF6EDA">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433CA4E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w:t>
      </w:r>
      <w:r>
        <w:rPr>
          <w:rFonts w:hint="eastAsia" w:ascii="Arial" w:hAnsi="Arial" w:cs="Arial"/>
          <w:kern w:val="2"/>
          <w:sz w:val="21"/>
          <w:szCs w:val="21"/>
        </w:rPr>
        <w:t>较</w:t>
      </w:r>
      <w:r>
        <w:rPr>
          <w:rFonts w:ascii="Arial" w:hAnsi="Arial" w:cs="Arial"/>
          <w:kern w:val="2"/>
          <w:sz w:val="21"/>
          <w:szCs w:val="21"/>
        </w:rPr>
        <w:t>平坦，地质条件良好，基础设施完备，宗地条件有利于估价对象利用，对估价对象租赁价格无不良影响</w:t>
      </w:r>
      <w:r>
        <w:rPr>
          <w:rFonts w:hint="eastAsia" w:ascii="Arial" w:hAnsi="Arial" w:cs="Arial"/>
          <w:sz w:val="21"/>
          <w:szCs w:val="21"/>
        </w:rPr>
        <w:t>。</w:t>
      </w:r>
    </w:p>
    <w:p w14:paraId="088FB1C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BA4C49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1.建筑物权益状况：</w:t>
      </w:r>
    </w:p>
    <w:p w14:paraId="5D0A355E">
      <w:pPr>
        <w:overflowPunct w:val="0"/>
        <w:spacing w:line="480" w:lineRule="auto"/>
        <w:ind w:firstLine="420" w:firstLineChars="200"/>
        <w:jc w:val="both"/>
        <w:textAlignment w:val="auto"/>
        <w:rPr>
          <w:rFonts w:ascii="Arial" w:hAnsi="Arial" w:cs="Arial"/>
          <w:kern w:val="2"/>
          <w:sz w:val="21"/>
          <w:szCs w:val="21"/>
        </w:rPr>
      </w:pPr>
      <w:r>
        <w:rPr>
          <w:rFonts w:ascii="Arial" w:hAnsi="Arial" w:cs="Arial"/>
          <w:bCs/>
          <w:sz w:val="21"/>
          <w:szCs w:val="21"/>
        </w:rPr>
        <w:t>估价对象</w:t>
      </w:r>
      <w:r>
        <w:rPr>
          <w:rFonts w:hint="eastAsia" w:ascii="Arial" w:hAnsi="Arial" w:cs="Arial"/>
          <w:bCs/>
          <w:sz w:val="21"/>
          <w:szCs w:val="21"/>
        </w:rPr>
        <w:t>为</w:t>
      </w:r>
      <w:r>
        <w:rPr>
          <w:rFonts w:hint="eastAsia" w:ascii="Arial" w:hAnsi="Arial" w:cs="Arial"/>
          <w:kern w:val="2"/>
          <w:sz w:val="21"/>
          <w:szCs w:val="21"/>
        </w:rPr>
        <w:t>北京市大兴区景明路16号院3、4、5、7、8号楼（燕保·高米店家园）共1830套公共租赁住房。截至报告出具日，估价对象尚未取得《不动产权证书》。根据估价委托人提供的《北京市发展和改革委员会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大兴区高米店公共租赁住房项目由北京市保障性住房建设投资中心开发建设，国有建设用地土地使用权性质为划拨，房屋性质为公共租赁住房。</w:t>
      </w:r>
      <w:r>
        <w:rPr>
          <w:rFonts w:ascii="Arial" w:hAnsi="Arial" w:cs="Arial"/>
          <w:kern w:val="2"/>
          <w:sz w:val="21"/>
          <w:szCs w:val="21"/>
        </w:rPr>
        <w:t xml:space="preserve"> </w:t>
      </w:r>
    </w:p>
    <w:p w14:paraId="6BAE4B5C">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根据估价委托人提供的</w:t>
      </w:r>
      <w:r>
        <w:rPr>
          <w:rFonts w:ascii="Arial" w:hAnsi="Arial" w:cs="Arial"/>
          <w:sz w:val="21"/>
          <w:szCs w:val="21"/>
        </w:rPr>
        <w:t>《关于</w:t>
      </w:r>
      <w:r>
        <w:rPr>
          <w:rFonts w:hint="eastAsia" w:ascii="Arial" w:hAnsi="Arial" w:cs="Arial"/>
          <w:sz w:val="21"/>
          <w:szCs w:val="21"/>
        </w:rPr>
        <w:t>燕保·高米店家园公租房项目市场租金委托评估函》、《建设工程规划许可证》[2013规（大）建字0113号]及附件附图</w:t>
      </w:r>
      <w:r>
        <w:rPr>
          <w:rFonts w:hint="eastAsia" w:ascii="Arial" w:hAnsi="Arial" w:cs="Arial"/>
          <w:kern w:val="2"/>
          <w:sz w:val="21"/>
          <w:szCs w:val="21"/>
        </w:rPr>
        <w:t>复印件及</w:t>
      </w:r>
      <w:r>
        <w:rPr>
          <w:rFonts w:hint="eastAsia" w:ascii="Arial" w:hAnsi="Arial" w:cs="Arial"/>
          <w:sz w:val="21"/>
          <w:szCs w:val="21"/>
        </w:rPr>
        <w:t>《燕保·高米店家园项目房源表》</w:t>
      </w:r>
      <w:r>
        <w:rPr>
          <w:rFonts w:hint="eastAsia" w:ascii="Arial" w:hAnsi="Arial" w:cs="Arial"/>
          <w:kern w:val="2"/>
          <w:sz w:val="21"/>
          <w:szCs w:val="21"/>
        </w:rPr>
        <w:t>，确定本次估价范围为北京市大兴区景明路16号院3、4、5、7、8号楼燕保·高米店家园公租房项目，估价对象所在楼栋建筑类型为高层板楼，楼宇主体建筑结构为剪力墙（钢混），共</w:t>
      </w:r>
      <w:r>
        <w:rPr>
          <w:rFonts w:ascii="Arial" w:hAnsi="Arial" w:cs="Arial"/>
          <w:kern w:val="2"/>
          <w:sz w:val="21"/>
          <w:szCs w:val="21"/>
        </w:rPr>
        <w:t>18</w:t>
      </w:r>
      <w:r>
        <w:rPr>
          <w:rFonts w:hint="eastAsia" w:ascii="Arial" w:hAnsi="Arial" w:cs="Arial"/>
          <w:kern w:val="2"/>
          <w:sz w:val="21"/>
          <w:szCs w:val="21"/>
        </w:rPr>
        <w:t>层，其中地上</w:t>
      </w:r>
      <w:r>
        <w:rPr>
          <w:rFonts w:ascii="Arial" w:hAnsi="Arial" w:cs="Arial"/>
          <w:kern w:val="2"/>
          <w:sz w:val="21"/>
          <w:szCs w:val="21"/>
        </w:rPr>
        <w:t>18</w:t>
      </w:r>
      <w:r>
        <w:rPr>
          <w:rFonts w:hint="eastAsia" w:ascii="Arial" w:hAnsi="Arial" w:cs="Arial"/>
          <w:kern w:val="2"/>
          <w:sz w:val="21"/>
          <w:szCs w:val="21"/>
        </w:rPr>
        <w:t>层、地下</w:t>
      </w:r>
      <w:r>
        <w:rPr>
          <w:rFonts w:ascii="Arial" w:hAnsi="Arial" w:cs="Arial"/>
          <w:kern w:val="2"/>
          <w:sz w:val="21"/>
          <w:szCs w:val="21"/>
        </w:rPr>
        <w:t>1-2</w:t>
      </w:r>
      <w:r>
        <w:rPr>
          <w:rFonts w:hint="eastAsia" w:ascii="Arial" w:hAnsi="Arial" w:cs="Arial"/>
          <w:kern w:val="2"/>
          <w:sz w:val="21"/>
          <w:szCs w:val="21"/>
        </w:rPr>
        <w:t>层，层高为2.8米，</w:t>
      </w:r>
      <w:r>
        <w:rPr>
          <w:rFonts w:ascii="Arial" w:hAnsi="Arial" w:cs="Arial"/>
          <w:sz w:val="21"/>
          <w:szCs w:val="21"/>
        </w:rPr>
        <w:t>规划</w:t>
      </w:r>
      <w:r>
        <w:rPr>
          <w:rFonts w:hint="eastAsia" w:ascii="Arial" w:hAnsi="Arial" w:cs="Arial"/>
          <w:kern w:val="2"/>
          <w:sz w:val="21"/>
          <w:szCs w:val="21"/>
        </w:rPr>
        <w:t>总建筑面积</w:t>
      </w:r>
      <w:r>
        <w:rPr>
          <w:rFonts w:ascii="Arial" w:hAnsi="Arial" w:cs="Arial"/>
          <w:kern w:val="2"/>
          <w:sz w:val="21"/>
          <w:szCs w:val="21"/>
        </w:rPr>
        <w:t>119160</w:t>
      </w:r>
      <w:r>
        <w:rPr>
          <w:rFonts w:hint="eastAsia" w:ascii="Arial" w:hAnsi="Arial" w:cs="Arial"/>
          <w:kern w:val="2"/>
          <w:sz w:val="21"/>
          <w:szCs w:val="21"/>
        </w:rPr>
        <w:t>平方米，其中公共租赁住房</w:t>
      </w:r>
      <w:r>
        <w:rPr>
          <w:rFonts w:ascii="Arial" w:hAnsi="Arial" w:cs="Arial"/>
          <w:kern w:val="2"/>
          <w:sz w:val="21"/>
          <w:szCs w:val="21"/>
        </w:rPr>
        <w:t>1830</w:t>
      </w:r>
      <w:r>
        <w:rPr>
          <w:rFonts w:hint="eastAsia" w:ascii="Arial" w:hAnsi="Arial" w:cs="Arial"/>
          <w:kern w:val="2"/>
          <w:sz w:val="21"/>
          <w:szCs w:val="21"/>
        </w:rPr>
        <w:t>户，建筑面积9</w:t>
      </w:r>
      <w:r>
        <w:rPr>
          <w:rFonts w:ascii="Arial" w:hAnsi="Arial" w:cs="Arial"/>
          <w:kern w:val="2"/>
          <w:sz w:val="21"/>
          <w:szCs w:val="21"/>
        </w:rPr>
        <w:t>1711.82</w:t>
      </w:r>
      <w:r>
        <w:rPr>
          <w:rFonts w:hint="eastAsia" w:ascii="Arial" w:hAnsi="Arial" w:cs="Arial"/>
          <w:kern w:val="2"/>
          <w:sz w:val="21"/>
          <w:szCs w:val="21"/>
        </w:rPr>
        <w:t>平方米。房源具体户型等情况详见下表：</w:t>
      </w:r>
    </w:p>
    <w:p w14:paraId="7854D029">
      <w:pPr>
        <w:overflowPunct w:val="0"/>
        <w:spacing w:line="360" w:lineRule="auto"/>
        <w:jc w:val="center"/>
        <w:textAlignment w:val="auto"/>
        <w:rPr>
          <w:rFonts w:ascii="Arial" w:hAnsi="Arial" w:cs="Arial"/>
          <w:b/>
          <w:sz w:val="21"/>
          <w:szCs w:val="21"/>
        </w:rPr>
      </w:pPr>
      <w:r>
        <w:rPr>
          <w:rFonts w:ascii="Arial" w:hAnsi="Arial" w:cs="Arial"/>
          <w:b/>
          <w:sz w:val="21"/>
          <w:szCs w:val="21"/>
        </w:rPr>
        <w:t>估价对象房源汇总表</w:t>
      </w:r>
    </w:p>
    <w:tbl>
      <w:tblPr>
        <w:tblStyle w:val="23"/>
        <w:tblW w:w="5000" w:type="pct"/>
        <w:tblInd w:w="0" w:type="dxa"/>
        <w:tblLayout w:type="autofit"/>
        <w:tblCellMar>
          <w:top w:w="0" w:type="dxa"/>
          <w:left w:w="108" w:type="dxa"/>
          <w:bottom w:w="0" w:type="dxa"/>
          <w:right w:w="108" w:type="dxa"/>
        </w:tblCellMar>
      </w:tblPr>
      <w:tblGrid>
        <w:gridCol w:w="2176"/>
        <w:gridCol w:w="3182"/>
        <w:gridCol w:w="1981"/>
        <w:gridCol w:w="2176"/>
      </w:tblGrid>
      <w:tr w14:paraId="0831F096">
        <w:tblPrEx>
          <w:tblCellMar>
            <w:top w:w="0" w:type="dxa"/>
            <w:left w:w="108" w:type="dxa"/>
            <w:bottom w:w="0" w:type="dxa"/>
            <w:right w:w="108" w:type="dxa"/>
          </w:tblCellMar>
        </w:tblPrEx>
        <w:trPr>
          <w:trHeight w:val="252" w:hRule="atLeast"/>
          <w:tblHeader/>
        </w:trPr>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68C2AC6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户型</w:t>
            </w:r>
          </w:p>
        </w:tc>
        <w:tc>
          <w:tcPr>
            <w:tcW w:w="1672" w:type="pct"/>
            <w:tcBorders>
              <w:top w:val="single" w:color="auto" w:sz="4" w:space="0"/>
              <w:left w:val="nil"/>
              <w:bottom w:val="single" w:color="auto" w:sz="4" w:space="0"/>
              <w:right w:val="single" w:color="auto" w:sz="4" w:space="0"/>
            </w:tcBorders>
            <w:shd w:val="clear" w:color="auto" w:fill="auto"/>
            <w:vAlign w:val="center"/>
          </w:tcPr>
          <w:p w14:paraId="0F5CE0D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建筑面积（平方米）</w:t>
            </w:r>
          </w:p>
        </w:tc>
        <w:tc>
          <w:tcPr>
            <w:tcW w:w="1041" w:type="pct"/>
            <w:tcBorders>
              <w:top w:val="single" w:color="auto" w:sz="4" w:space="0"/>
              <w:left w:val="nil"/>
              <w:bottom w:val="single" w:color="auto" w:sz="4" w:space="0"/>
              <w:right w:val="single" w:color="auto" w:sz="4" w:space="0"/>
            </w:tcBorders>
            <w:shd w:val="clear" w:color="auto" w:fill="auto"/>
            <w:vAlign w:val="center"/>
          </w:tcPr>
          <w:p w14:paraId="792A170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朝向</w:t>
            </w:r>
          </w:p>
        </w:tc>
        <w:tc>
          <w:tcPr>
            <w:tcW w:w="1143" w:type="pct"/>
            <w:tcBorders>
              <w:top w:val="single" w:color="auto" w:sz="4" w:space="0"/>
              <w:left w:val="nil"/>
              <w:bottom w:val="single" w:color="auto" w:sz="4" w:space="0"/>
              <w:right w:val="single" w:color="auto" w:sz="4" w:space="0"/>
            </w:tcBorders>
            <w:shd w:val="clear" w:color="auto" w:fill="auto"/>
            <w:vAlign w:val="center"/>
          </w:tcPr>
          <w:p w14:paraId="5EC35F7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套数（套）</w:t>
            </w:r>
          </w:p>
        </w:tc>
      </w:tr>
      <w:tr w14:paraId="2BFB8555">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7EE75F3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零居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0D3DA29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30.04-32.61</w:t>
            </w:r>
          </w:p>
        </w:tc>
        <w:tc>
          <w:tcPr>
            <w:tcW w:w="1041" w:type="pct"/>
            <w:tcBorders>
              <w:top w:val="nil"/>
              <w:left w:val="nil"/>
              <w:bottom w:val="single" w:color="auto" w:sz="4" w:space="0"/>
              <w:right w:val="single" w:color="auto" w:sz="4" w:space="0"/>
            </w:tcBorders>
            <w:shd w:val="clear" w:color="auto" w:fill="auto"/>
            <w:vAlign w:val="center"/>
          </w:tcPr>
          <w:p w14:paraId="109274D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5D9804C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272</w:t>
            </w:r>
          </w:p>
        </w:tc>
      </w:tr>
      <w:tr w14:paraId="5B7921AA">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B36D53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319E4F7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215B296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4150FFF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240</w:t>
            </w:r>
          </w:p>
        </w:tc>
      </w:tr>
      <w:tr w14:paraId="0A681D0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10D5CA9">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8A89A70">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4739626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7F80C73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31081FE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72E0296">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B26100F">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E42C19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0209121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087B53A2">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1FBD8E9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4613BF8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7EA83A6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16D51B0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544</w:t>
            </w:r>
          </w:p>
        </w:tc>
      </w:tr>
      <w:tr w14:paraId="38B43D07">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7E4431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一居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191DE9E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41.49-50.94</w:t>
            </w:r>
          </w:p>
        </w:tc>
        <w:tc>
          <w:tcPr>
            <w:tcW w:w="1041" w:type="pct"/>
            <w:tcBorders>
              <w:top w:val="nil"/>
              <w:left w:val="nil"/>
              <w:bottom w:val="single" w:color="auto" w:sz="4" w:space="0"/>
              <w:right w:val="single" w:color="auto" w:sz="4" w:space="0"/>
            </w:tcBorders>
            <w:shd w:val="clear" w:color="auto" w:fill="auto"/>
            <w:vAlign w:val="center"/>
          </w:tcPr>
          <w:p w14:paraId="2BA302D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27B07CE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104</w:t>
            </w:r>
          </w:p>
        </w:tc>
      </w:tr>
      <w:tr w14:paraId="324819D2">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595F53B">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4EDC169">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0219F0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24DFA19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72</w:t>
            </w:r>
          </w:p>
        </w:tc>
      </w:tr>
      <w:tr w14:paraId="17477962">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131352FA">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762F172">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9D59E3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7322C0B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w:t>
            </w:r>
          </w:p>
        </w:tc>
      </w:tr>
      <w:tr w14:paraId="034A1AA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C085CE0">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7DFC0A9">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DEEF19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12B6A0F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w:t>
            </w:r>
          </w:p>
        </w:tc>
      </w:tr>
      <w:tr w14:paraId="23BD514E">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4CECE98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37C7EC1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0BB8E5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4F3AF45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186</w:t>
            </w:r>
          </w:p>
        </w:tc>
      </w:tr>
      <w:tr w14:paraId="4BFD277F">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30E4D5A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两居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55E664D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57.9-61.95</w:t>
            </w:r>
          </w:p>
        </w:tc>
        <w:tc>
          <w:tcPr>
            <w:tcW w:w="1041" w:type="pct"/>
            <w:tcBorders>
              <w:top w:val="nil"/>
              <w:left w:val="nil"/>
              <w:bottom w:val="single" w:color="auto" w:sz="4" w:space="0"/>
              <w:right w:val="single" w:color="auto" w:sz="4" w:space="0"/>
            </w:tcBorders>
            <w:shd w:val="clear" w:color="auto" w:fill="auto"/>
            <w:vAlign w:val="center"/>
          </w:tcPr>
          <w:p w14:paraId="02B6F31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3F982CD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5C74FB7F">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49E1197D">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B9BAEE5">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7E9162E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2A8C1E5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01BCC10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EE115B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C0A3058">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DED824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东南</w:t>
            </w:r>
          </w:p>
        </w:tc>
        <w:tc>
          <w:tcPr>
            <w:tcW w:w="1143" w:type="pct"/>
            <w:tcBorders>
              <w:top w:val="nil"/>
              <w:left w:val="nil"/>
              <w:bottom w:val="single" w:color="auto" w:sz="4" w:space="0"/>
              <w:right w:val="single" w:color="auto" w:sz="4" w:space="0"/>
            </w:tcBorders>
            <w:shd w:val="clear" w:color="auto" w:fill="auto"/>
            <w:vAlign w:val="center"/>
          </w:tcPr>
          <w:p w14:paraId="7BAB9D4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53200BD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4146BBB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19BDA22">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630C30D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西南</w:t>
            </w:r>
          </w:p>
        </w:tc>
        <w:tc>
          <w:tcPr>
            <w:tcW w:w="1143" w:type="pct"/>
            <w:tcBorders>
              <w:top w:val="nil"/>
              <w:left w:val="nil"/>
              <w:bottom w:val="single" w:color="auto" w:sz="4" w:space="0"/>
              <w:right w:val="single" w:color="auto" w:sz="4" w:space="0"/>
            </w:tcBorders>
            <w:shd w:val="clear" w:color="auto" w:fill="auto"/>
            <w:vAlign w:val="center"/>
          </w:tcPr>
          <w:p w14:paraId="65BB079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37F64C4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F742AD4">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69BBF0F">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4FFD9D8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4F923B3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432</w:t>
            </w:r>
          </w:p>
        </w:tc>
      </w:tr>
      <w:tr w14:paraId="4C5ADFA3">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ED9FCF6">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BCA6527">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6E973F5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3B65D2F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350</w:t>
            </w:r>
          </w:p>
        </w:tc>
      </w:tr>
      <w:tr w14:paraId="768FE8FC">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554259D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6D7E517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22084EC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33C3B8A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1100</w:t>
            </w:r>
          </w:p>
        </w:tc>
      </w:tr>
      <w:tr w14:paraId="1404A61B">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09E9F13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总计</w:t>
            </w:r>
          </w:p>
        </w:tc>
        <w:tc>
          <w:tcPr>
            <w:tcW w:w="1672" w:type="pct"/>
            <w:tcBorders>
              <w:top w:val="nil"/>
              <w:left w:val="nil"/>
              <w:bottom w:val="single" w:color="auto" w:sz="4" w:space="0"/>
              <w:right w:val="single" w:color="auto" w:sz="4" w:space="0"/>
            </w:tcBorders>
            <w:shd w:val="clear" w:color="auto" w:fill="auto"/>
            <w:vAlign w:val="center"/>
          </w:tcPr>
          <w:p w14:paraId="6ED8044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7028F93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6EECF87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1830</w:t>
            </w:r>
          </w:p>
        </w:tc>
      </w:tr>
    </w:tbl>
    <w:p w14:paraId="2BF9DD3F">
      <w:pPr>
        <w:widowControl/>
        <w:adjustRightInd/>
        <w:spacing w:line="240" w:lineRule="atLeast"/>
        <w:jc w:val="center"/>
        <w:textAlignment w:val="auto"/>
        <w:rPr>
          <w:rFonts w:ascii="Arial" w:hAnsi="Arial" w:eastAsia="华文细黑" w:cs="Arial"/>
          <w:sz w:val="21"/>
          <w:szCs w:val="21"/>
        </w:rPr>
      </w:pPr>
    </w:p>
    <w:p w14:paraId="12495AE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3.建筑结构：估价对象所属楼宇建筑结构为</w:t>
      </w:r>
      <w:r>
        <w:rPr>
          <w:rFonts w:hint="eastAsia" w:ascii="Arial" w:hAnsi="Arial" w:cs="Arial"/>
          <w:kern w:val="2"/>
          <w:sz w:val="21"/>
          <w:szCs w:val="21"/>
        </w:rPr>
        <w:t>剪力墙（钢混）</w:t>
      </w:r>
      <w:r>
        <w:rPr>
          <w:rFonts w:hint="eastAsia" w:ascii="Arial" w:hAnsi="Arial" w:cs="Arial"/>
          <w:sz w:val="21"/>
          <w:szCs w:val="21"/>
        </w:rPr>
        <w:t>结构。</w:t>
      </w:r>
      <w:bookmarkStart w:id="25" w:name="OLE_LINK3"/>
      <w:bookmarkStart w:id="26" w:name="OLE_LINK2"/>
    </w:p>
    <w:p w14:paraId="23317B5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4.建筑外观：</w:t>
      </w:r>
      <w:r>
        <w:rPr>
          <w:rFonts w:hint="eastAsia" w:ascii="Arial" w:hAnsi="Arial" w:cs="Arial"/>
          <w:kern w:val="2"/>
          <w:sz w:val="21"/>
          <w:szCs w:val="21"/>
        </w:rPr>
        <w:t>估价对象为</w:t>
      </w:r>
      <w:r>
        <w:rPr>
          <w:rFonts w:hint="eastAsia" w:ascii="Arial" w:hAnsi="Arial" w:cs="Arial"/>
          <w:sz w:val="21"/>
          <w:szCs w:val="21"/>
        </w:rPr>
        <w:t>高层板楼。</w:t>
      </w:r>
    </w:p>
    <w:p w14:paraId="3C561C5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5.设施设备：估价对象所在项目配套设施完备，给排水、电力、电讯等齐全；防火栓、安防系统等设备齐全。</w:t>
      </w:r>
    </w:p>
    <w:p w14:paraId="4E890320">
      <w:pPr>
        <w:overflowPunct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装饰装修：根据估价委托人介绍及注册房地产估价师实地查勘，估价对象为精装修，外立面涂料，公共部分首层地面为地砖地面，墙砖墙面、涂料顶棚。室内木地板地面，涂料墙面，涂料顶棚；厨房地面地砖，墙面墙砖，顶棚PVC；卫生间地面地砖，墙面墙砖，顶棚PVC。</w:t>
      </w:r>
    </w:p>
    <w:p w14:paraId="7949C933">
      <w:pPr>
        <w:snapToGrid w:val="0"/>
        <w:spacing w:line="480" w:lineRule="auto"/>
        <w:ind w:firstLine="420" w:firstLineChars="200"/>
        <w:rPr>
          <w:rFonts w:ascii="Arial" w:hAnsi="Arial" w:cs="Arial"/>
          <w:sz w:val="21"/>
          <w:szCs w:val="21"/>
        </w:rPr>
      </w:pPr>
      <w:r>
        <w:rPr>
          <w:rFonts w:hint="eastAsia" w:ascii="Arial" w:hAnsi="Arial" w:cs="Arial"/>
          <w:sz w:val="21"/>
          <w:szCs w:val="21"/>
        </w:rPr>
        <w:t>7.新旧程度：</w:t>
      </w:r>
      <w:r>
        <w:rPr>
          <w:rFonts w:hint="eastAsia" w:ascii="Arial" w:hAnsi="Arial" w:cs="Arial"/>
          <w:kern w:val="2"/>
          <w:sz w:val="21"/>
          <w:szCs w:val="21"/>
        </w:rPr>
        <w:t>根据</w:t>
      </w:r>
      <w:r>
        <w:rPr>
          <w:rFonts w:ascii="Arial" w:hAnsi="Arial" w:cs="Arial"/>
          <w:sz w:val="21"/>
          <w:szCs w:val="21"/>
        </w:rPr>
        <w:t>《北京市房屋建筑和市政基础设施工程竣工验收备案表》</w:t>
      </w:r>
      <w:r>
        <w:rPr>
          <w:rFonts w:hint="eastAsia" w:ascii="Arial" w:hAnsi="Arial" w:cs="Arial"/>
          <w:sz w:val="21"/>
          <w:szCs w:val="21"/>
        </w:rPr>
        <w:t>[编号：0</w:t>
      </w:r>
      <w:r>
        <w:rPr>
          <w:rFonts w:ascii="Arial" w:hAnsi="Arial" w:cs="Arial"/>
          <w:sz w:val="21"/>
          <w:szCs w:val="21"/>
        </w:rPr>
        <w:t>251大竣工</w:t>
      </w:r>
      <w:r>
        <w:rPr>
          <w:rFonts w:hint="eastAsia" w:ascii="Arial" w:hAnsi="Arial" w:cs="Arial"/>
          <w:sz w:val="21"/>
          <w:szCs w:val="21"/>
        </w:rPr>
        <w:t>2</w:t>
      </w:r>
      <w:r>
        <w:rPr>
          <w:rFonts w:ascii="Arial" w:hAnsi="Arial" w:cs="Arial"/>
          <w:sz w:val="21"/>
          <w:szCs w:val="21"/>
        </w:rPr>
        <w:t>018（建）</w:t>
      </w:r>
      <w:r>
        <w:rPr>
          <w:rFonts w:hint="eastAsia" w:ascii="Arial" w:hAnsi="Arial" w:cs="Arial"/>
          <w:sz w:val="21"/>
          <w:szCs w:val="21"/>
        </w:rPr>
        <w:t>0</w:t>
      </w:r>
      <w:r>
        <w:rPr>
          <w:rFonts w:ascii="Arial" w:hAnsi="Arial" w:cs="Arial"/>
          <w:sz w:val="21"/>
          <w:szCs w:val="21"/>
        </w:rPr>
        <w:t>036号]及注册房地产估价师实地调查，估价对象所属项目实际工程竣工年份为</w:t>
      </w:r>
      <w:r>
        <w:rPr>
          <w:rFonts w:hint="eastAsia" w:ascii="Arial" w:hAnsi="Arial" w:cs="Arial"/>
          <w:sz w:val="21"/>
          <w:szCs w:val="21"/>
        </w:rPr>
        <w:t>2</w:t>
      </w:r>
      <w:r>
        <w:rPr>
          <w:rFonts w:ascii="Arial" w:hAnsi="Arial" w:cs="Arial"/>
          <w:sz w:val="21"/>
          <w:szCs w:val="21"/>
        </w:rPr>
        <w:t>015年</w:t>
      </w:r>
      <w:r>
        <w:rPr>
          <w:rFonts w:hint="eastAsia" w:ascii="Arial" w:hAnsi="Arial" w:cs="Arial"/>
          <w:sz w:val="21"/>
          <w:szCs w:val="21"/>
        </w:rPr>
        <w:t>，并</w:t>
      </w:r>
      <w:r>
        <w:rPr>
          <w:rFonts w:ascii="Arial" w:hAnsi="Arial" w:cs="Arial"/>
          <w:sz w:val="21"/>
          <w:szCs w:val="21"/>
        </w:rPr>
        <w:t>于</w:t>
      </w:r>
      <w:r>
        <w:rPr>
          <w:rFonts w:hint="eastAsia" w:ascii="Arial" w:hAnsi="Arial" w:cs="Arial"/>
          <w:sz w:val="21"/>
          <w:szCs w:val="21"/>
        </w:rPr>
        <w:t>2</w:t>
      </w:r>
      <w:r>
        <w:rPr>
          <w:rFonts w:ascii="Arial" w:hAnsi="Arial" w:cs="Arial"/>
          <w:sz w:val="21"/>
          <w:szCs w:val="21"/>
        </w:rPr>
        <w:t>018年完成竣工验收备案。</w:t>
      </w:r>
      <w:r>
        <w:rPr>
          <w:rFonts w:hint="eastAsia" w:ascii="Arial" w:hAnsi="Arial" w:cs="Arial"/>
          <w:sz w:val="21"/>
          <w:szCs w:val="21"/>
        </w:rPr>
        <w:t>截至价值时点，结合估价对象观察成新，综合确定估价对象成新度约为8</w:t>
      </w:r>
      <w:r>
        <w:rPr>
          <w:rFonts w:ascii="Arial" w:hAnsi="Arial" w:cs="Arial"/>
          <w:sz w:val="21"/>
          <w:szCs w:val="21"/>
        </w:rPr>
        <w:t>8</w:t>
      </w:r>
      <w:r>
        <w:rPr>
          <w:rFonts w:hint="eastAsia" w:ascii="Arial" w:hAnsi="Arial" w:cs="Arial"/>
          <w:sz w:val="21"/>
          <w:szCs w:val="21"/>
        </w:rPr>
        <w:t>%。</w:t>
      </w:r>
    </w:p>
    <w:p w14:paraId="1EB89CEB">
      <w:pPr>
        <w:spacing w:line="480" w:lineRule="auto"/>
        <w:ind w:firstLine="420" w:firstLineChars="200"/>
        <w:rPr>
          <w:rFonts w:ascii="Arial" w:hAnsi="Arial" w:cs="Arial"/>
          <w:sz w:val="21"/>
          <w:szCs w:val="21"/>
        </w:rPr>
      </w:pPr>
      <w:r>
        <w:rPr>
          <w:rFonts w:hint="eastAsia" w:ascii="Arial" w:hAnsi="Arial" w:cs="Arial"/>
          <w:sz w:val="21"/>
          <w:szCs w:val="21"/>
        </w:rPr>
        <w:t>8.户型设计：</w:t>
      </w:r>
    </w:p>
    <w:p w14:paraId="2B68B2B9">
      <w:pPr>
        <w:spacing w:line="480" w:lineRule="auto"/>
        <w:ind w:firstLine="420" w:firstLineChars="200"/>
        <w:rPr>
          <w:rFonts w:ascii="Arial" w:hAnsi="Arial" w:cs="Arial"/>
          <w:sz w:val="21"/>
          <w:szCs w:val="21"/>
        </w:rPr>
      </w:pPr>
      <w:r>
        <w:rPr>
          <w:rFonts w:hint="eastAsia" w:ascii="Arial" w:hAnsi="Arial" w:cs="Arial"/>
          <w:sz w:val="21"/>
          <w:szCs w:val="21"/>
        </w:rPr>
        <w:t>估价对象</w:t>
      </w:r>
      <w:r>
        <w:rPr>
          <w:rFonts w:hint="eastAsia" w:ascii="Arial" w:hAnsi="Arial" w:cs="Arial"/>
          <w:kern w:val="2"/>
          <w:sz w:val="21"/>
          <w:szCs w:val="21"/>
        </w:rPr>
        <w:t>共计</w:t>
      </w:r>
      <w:r>
        <w:rPr>
          <w:rFonts w:ascii="Arial" w:hAnsi="Arial" w:cs="Arial"/>
          <w:kern w:val="2"/>
          <w:sz w:val="21"/>
          <w:szCs w:val="21"/>
        </w:rPr>
        <w:t>1830套</w:t>
      </w:r>
      <w:r>
        <w:rPr>
          <w:rFonts w:hint="eastAsia" w:ascii="Arial" w:hAnsi="Arial" w:cs="Arial"/>
          <w:kern w:val="2"/>
          <w:sz w:val="21"/>
          <w:szCs w:val="21"/>
        </w:rPr>
        <w:t>，有</w:t>
      </w:r>
      <w:r>
        <w:rPr>
          <w:rFonts w:ascii="Arial" w:hAnsi="Arial" w:cs="Arial"/>
          <w:kern w:val="2"/>
          <w:sz w:val="21"/>
          <w:szCs w:val="21"/>
        </w:rPr>
        <w:t>38</w:t>
      </w:r>
      <w:r>
        <w:rPr>
          <w:rFonts w:hint="eastAsia" w:ascii="Arial" w:hAnsi="Arial" w:cs="Arial"/>
          <w:kern w:val="2"/>
          <w:sz w:val="21"/>
          <w:szCs w:val="21"/>
        </w:rPr>
        <w:t>种户型，分别为</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5-1‘、5-1‘反、5-2</w:t>
      </w:r>
      <w:r>
        <w:rPr>
          <w:rFonts w:hint="eastAsia" w:ascii="Arial" w:hAnsi="Arial" w:cs="Arial"/>
          <w:kern w:val="2"/>
          <w:sz w:val="21"/>
          <w:szCs w:val="21"/>
        </w:rPr>
        <w:t>、5</w:t>
      </w:r>
      <w:r>
        <w:rPr>
          <w:rFonts w:ascii="Arial" w:hAnsi="Arial" w:cs="Arial"/>
          <w:kern w:val="2"/>
          <w:sz w:val="21"/>
          <w:szCs w:val="21"/>
        </w:rPr>
        <w:t>-2反、A2、A2反、B1、B1反、C2、C2反、C6、C6反、5-4、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。其中，</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w:t>
      </w:r>
      <w:r>
        <w:rPr>
          <w:rFonts w:hint="eastAsia" w:ascii="Arial" w:hAnsi="Arial" w:cs="Arial"/>
          <w:kern w:val="2"/>
          <w:sz w:val="21"/>
          <w:szCs w:val="21"/>
        </w:rPr>
        <w:t>为零居室，共计</w:t>
      </w:r>
      <w:r>
        <w:rPr>
          <w:rFonts w:ascii="Arial" w:hAnsi="Arial" w:cs="Arial"/>
          <w:kern w:val="2"/>
          <w:sz w:val="21"/>
          <w:szCs w:val="21"/>
        </w:rPr>
        <w:t>544</w:t>
      </w:r>
      <w:r>
        <w:rPr>
          <w:rFonts w:hint="eastAsia" w:ascii="Arial" w:hAnsi="Arial" w:cs="Arial"/>
          <w:kern w:val="2"/>
          <w:sz w:val="21"/>
          <w:szCs w:val="21"/>
        </w:rPr>
        <w:t>套，面积区间为</w:t>
      </w:r>
      <w:r>
        <w:rPr>
          <w:rFonts w:ascii="Arial" w:hAnsi="Arial" w:cs="Arial"/>
          <w:kern w:val="2"/>
          <w:sz w:val="21"/>
          <w:szCs w:val="21"/>
        </w:rPr>
        <w:t>30.04-32.61</w:t>
      </w:r>
      <w:r>
        <w:rPr>
          <w:rFonts w:hint="eastAsia" w:ascii="Arial" w:hAnsi="Arial" w:cs="Arial"/>
          <w:kern w:val="2"/>
          <w:sz w:val="21"/>
          <w:szCs w:val="21"/>
        </w:rPr>
        <w:t>平方米，</w:t>
      </w:r>
      <w:r>
        <w:rPr>
          <w:rFonts w:ascii="Arial" w:hAnsi="Arial" w:cs="Arial"/>
          <w:kern w:val="2"/>
          <w:sz w:val="21"/>
          <w:szCs w:val="21"/>
        </w:rPr>
        <w:t>5-2</w:t>
      </w:r>
      <w:r>
        <w:rPr>
          <w:rFonts w:hint="eastAsia" w:ascii="Arial" w:hAnsi="Arial" w:cs="Arial"/>
          <w:kern w:val="2"/>
          <w:sz w:val="21"/>
          <w:szCs w:val="21"/>
        </w:rPr>
        <w:t>、5</w:t>
      </w:r>
      <w:r>
        <w:rPr>
          <w:rFonts w:ascii="Arial" w:hAnsi="Arial" w:cs="Arial"/>
          <w:kern w:val="2"/>
          <w:sz w:val="21"/>
          <w:szCs w:val="21"/>
        </w:rPr>
        <w:t>-2反、A2、A2反、B1、B1反、C2、C2反、C6、C6反</w:t>
      </w:r>
      <w:r>
        <w:rPr>
          <w:rFonts w:hint="eastAsia" w:ascii="Arial" w:hAnsi="Arial" w:cs="Arial"/>
          <w:kern w:val="2"/>
          <w:sz w:val="21"/>
          <w:szCs w:val="21"/>
        </w:rPr>
        <w:t>为一居室，共计</w:t>
      </w:r>
      <w:r>
        <w:rPr>
          <w:rFonts w:ascii="Arial" w:hAnsi="Arial" w:cs="Arial"/>
          <w:kern w:val="2"/>
          <w:sz w:val="21"/>
          <w:szCs w:val="21"/>
        </w:rPr>
        <w:t>186</w:t>
      </w:r>
      <w:r>
        <w:rPr>
          <w:rFonts w:hint="eastAsia" w:ascii="Arial" w:hAnsi="Arial" w:cs="Arial"/>
          <w:kern w:val="2"/>
          <w:sz w:val="21"/>
          <w:szCs w:val="21"/>
        </w:rPr>
        <w:t>套，面积区间为</w:t>
      </w:r>
      <w:r>
        <w:rPr>
          <w:rFonts w:ascii="Arial" w:hAnsi="Arial" w:cs="Arial"/>
          <w:kern w:val="2"/>
          <w:sz w:val="21"/>
          <w:szCs w:val="21"/>
        </w:rPr>
        <w:t>41.49</w:t>
      </w:r>
      <w:r>
        <w:rPr>
          <w:rFonts w:hint="eastAsia" w:ascii="Arial" w:hAnsi="Arial" w:cs="Arial"/>
          <w:kern w:val="2"/>
          <w:sz w:val="21"/>
          <w:szCs w:val="21"/>
        </w:rPr>
        <w:t>-</w:t>
      </w:r>
      <w:r>
        <w:rPr>
          <w:rFonts w:ascii="Arial" w:hAnsi="Arial" w:cs="Arial"/>
          <w:kern w:val="2"/>
          <w:sz w:val="21"/>
          <w:szCs w:val="21"/>
        </w:rPr>
        <w:t>50.94</w:t>
      </w:r>
      <w:r>
        <w:rPr>
          <w:rFonts w:hint="eastAsia" w:ascii="Arial" w:hAnsi="Arial" w:cs="Arial"/>
          <w:kern w:val="2"/>
          <w:sz w:val="21"/>
          <w:szCs w:val="21"/>
        </w:rPr>
        <w:t>平方米。</w:t>
      </w:r>
      <w:r>
        <w:rPr>
          <w:rFonts w:ascii="Arial" w:hAnsi="Arial" w:cs="Arial"/>
          <w:kern w:val="2"/>
          <w:sz w:val="21"/>
          <w:szCs w:val="21"/>
        </w:rPr>
        <w:t>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户型为两居室，共计</w:t>
      </w:r>
      <w:r>
        <w:rPr>
          <w:rFonts w:ascii="Arial" w:hAnsi="Arial" w:cs="Arial"/>
          <w:kern w:val="2"/>
          <w:sz w:val="21"/>
          <w:szCs w:val="21"/>
        </w:rPr>
        <w:t>1100</w:t>
      </w:r>
      <w:r>
        <w:rPr>
          <w:rFonts w:hint="eastAsia" w:ascii="Arial" w:hAnsi="Arial" w:cs="Arial"/>
          <w:kern w:val="2"/>
          <w:sz w:val="21"/>
          <w:szCs w:val="21"/>
        </w:rPr>
        <w:t>套，面积区间为</w:t>
      </w:r>
      <w:r>
        <w:rPr>
          <w:rFonts w:ascii="Arial" w:hAnsi="Arial" w:cs="Arial"/>
          <w:kern w:val="2"/>
          <w:sz w:val="21"/>
          <w:szCs w:val="21"/>
        </w:rPr>
        <w:t>57.9</w:t>
      </w:r>
      <w:r>
        <w:rPr>
          <w:rFonts w:hint="eastAsia" w:ascii="Arial" w:hAnsi="Arial" w:cs="Arial"/>
          <w:kern w:val="2"/>
          <w:sz w:val="21"/>
          <w:szCs w:val="21"/>
        </w:rPr>
        <w:t>-</w:t>
      </w:r>
      <w:r>
        <w:rPr>
          <w:rFonts w:ascii="Arial" w:hAnsi="Arial" w:cs="Arial"/>
          <w:kern w:val="2"/>
          <w:sz w:val="21"/>
          <w:szCs w:val="21"/>
        </w:rPr>
        <w:t>61.95</w:t>
      </w:r>
      <w:r>
        <w:rPr>
          <w:rFonts w:hint="eastAsia" w:ascii="Arial" w:hAnsi="Arial" w:cs="Arial"/>
          <w:kern w:val="2"/>
          <w:sz w:val="21"/>
          <w:szCs w:val="21"/>
        </w:rPr>
        <w:t>平方米。</w:t>
      </w:r>
    </w:p>
    <w:p w14:paraId="6A9D2464">
      <w:pPr>
        <w:spacing w:line="480" w:lineRule="auto"/>
        <w:ind w:firstLine="420" w:firstLineChars="200"/>
        <w:rPr>
          <w:rFonts w:ascii="Arial" w:hAnsi="Arial" w:cs="Arial"/>
          <w:sz w:val="21"/>
          <w:szCs w:val="21"/>
        </w:rPr>
      </w:pPr>
      <w:r>
        <w:rPr>
          <w:rFonts w:hint="eastAsia" w:ascii="Arial" w:hAnsi="Arial" w:cs="Arial"/>
          <w:sz w:val="21"/>
          <w:szCs w:val="21"/>
        </w:rPr>
        <w:t>9.朝向：</w:t>
      </w:r>
    </w:p>
    <w:p w14:paraId="30AC899C">
      <w:pPr>
        <w:spacing w:line="480" w:lineRule="auto"/>
        <w:ind w:firstLine="420" w:firstLineChars="200"/>
        <w:rPr>
          <w:rFonts w:hint="eastAsia" w:ascii="Arial" w:hAnsi="Arial" w:cs="Arial"/>
          <w:sz w:val="21"/>
          <w:szCs w:val="21"/>
        </w:rPr>
      </w:pPr>
      <w:r>
        <w:rPr>
          <w:rFonts w:hint="eastAsia" w:ascii="Arial" w:hAnsi="Arial" w:cs="Arial"/>
          <w:sz w:val="21"/>
          <w:szCs w:val="21"/>
        </w:rPr>
        <w:t>朝向为东、西、东北、西北、东南、西南、南、南北，其中南朝向共</w:t>
      </w:r>
      <w:r>
        <w:rPr>
          <w:rFonts w:ascii="Arial" w:hAnsi="Arial" w:cs="Arial"/>
          <w:sz w:val="21"/>
          <w:szCs w:val="21"/>
        </w:rPr>
        <w:t>435</w:t>
      </w:r>
      <w:r>
        <w:rPr>
          <w:rFonts w:hint="eastAsia" w:ascii="Arial" w:hAnsi="Arial" w:cs="Arial"/>
          <w:sz w:val="21"/>
          <w:szCs w:val="21"/>
        </w:rPr>
        <w:t>套，以朝南为主。</w:t>
      </w:r>
      <w:bookmarkEnd w:id="25"/>
      <w:bookmarkEnd w:id="26"/>
    </w:p>
    <w:p w14:paraId="01CE4B3F">
      <w:pPr>
        <w:spacing w:line="480" w:lineRule="auto"/>
        <w:rPr>
          <w:rFonts w:ascii="Arial" w:hAnsi="Arial" w:cs="Arial"/>
          <w:sz w:val="21"/>
          <w:szCs w:val="21"/>
        </w:rPr>
      </w:pPr>
      <w:r>
        <w:rPr>
          <w:rFonts w:hint="eastAsia" w:ascii="Arial" w:hAnsi="Arial" w:cs="Arial"/>
          <w:b/>
          <w:kern w:val="2"/>
          <w:sz w:val="21"/>
          <w:szCs w:val="21"/>
        </w:rPr>
        <w:t>（四）对价格影响的分析</w:t>
      </w:r>
    </w:p>
    <w:p w14:paraId="2B82375C">
      <w:pPr>
        <w:spacing w:line="480" w:lineRule="auto"/>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w:t>
      </w:r>
      <w:r>
        <w:rPr>
          <w:rFonts w:hint="eastAsia" w:ascii="Arial" w:hAnsi="Arial" w:cs="Arial"/>
          <w:sz w:val="21"/>
          <w:szCs w:val="21"/>
        </w:rPr>
        <w:t>不会</w:t>
      </w:r>
      <w:r>
        <w:rPr>
          <w:rFonts w:ascii="Arial" w:hAnsi="Arial" w:cs="Arial"/>
          <w:sz w:val="21"/>
          <w:szCs w:val="21"/>
        </w:rPr>
        <w:t>影响其租金价格水平。</w:t>
      </w:r>
    </w:p>
    <w:p w14:paraId="4CB42CFE">
      <w:pPr>
        <w:spacing w:line="480" w:lineRule="auto"/>
        <w:rPr>
          <w:rFonts w:ascii="Arial" w:hAnsi="Arial" w:cs="Arial"/>
          <w:sz w:val="21"/>
          <w:szCs w:val="21"/>
        </w:rPr>
      </w:pPr>
      <w:r>
        <w:rPr>
          <w:rFonts w:hint="eastAsia" w:ascii="Arial" w:hAnsi="Arial" w:cs="Arial"/>
          <w:b/>
          <w:kern w:val="2"/>
          <w:sz w:val="21"/>
          <w:szCs w:val="21"/>
        </w:rPr>
        <w:t>（五）他项权利状况</w:t>
      </w:r>
    </w:p>
    <w:p w14:paraId="764EEE41">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7058CB99">
      <w:pPr>
        <w:spacing w:line="480" w:lineRule="auto"/>
        <w:ind w:firstLine="420" w:firstLineChars="200"/>
        <w:rPr>
          <w:rFonts w:ascii="Arial" w:hAnsi="Arial" w:cs="Arial"/>
          <w:sz w:val="21"/>
          <w:szCs w:val="21"/>
        </w:rPr>
      </w:pPr>
      <w:r>
        <w:rPr>
          <w:rFonts w:hint="eastAsia" w:ascii="Arial" w:hAnsi="Arial" w:cs="Arial"/>
          <w:sz w:val="21"/>
          <w:szCs w:val="21"/>
        </w:rPr>
        <w:t>（2）经建设单位介绍，估价对象于价值时点不存在抵押权、地役权、查封等他项权利，根据估价目的，本次评估设定估价对象于价值时点不存在抵押权、地役权、查封等他项权利。</w:t>
      </w:r>
    </w:p>
    <w:p w14:paraId="1987A7B1">
      <w:pPr>
        <w:overflowPunct w:val="0"/>
        <w:spacing w:line="480" w:lineRule="auto"/>
        <w:ind w:firstLine="420" w:firstLineChars="200"/>
        <w:jc w:val="both"/>
        <w:textAlignment w:val="auto"/>
        <w:rPr>
          <w:rFonts w:ascii="Arial" w:hAnsi="Arial" w:cs="Arial"/>
          <w:sz w:val="21"/>
          <w:szCs w:val="21"/>
        </w:rPr>
      </w:pPr>
    </w:p>
    <w:p w14:paraId="0438F590">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525655422"/>
      <w:r>
        <w:rPr>
          <w:rFonts w:eastAsia="宋体"/>
          <w:kern w:val="2"/>
          <w:sz w:val="21"/>
          <w:szCs w:val="21"/>
        </w:rPr>
        <w:t>五</w:t>
      </w:r>
      <w:bookmarkEnd w:id="27"/>
      <w:r>
        <w:rPr>
          <w:rFonts w:eastAsia="宋体"/>
          <w:kern w:val="2"/>
          <w:sz w:val="21"/>
          <w:szCs w:val="21"/>
        </w:rPr>
        <w:t>、价值时点</w:t>
      </w:r>
      <w:bookmarkEnd w:id="28"/>
    </w:p>
    <w:p w14:paraId="18315B0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2025年5月1日</w:t>
      </w:r>
    </w:p>
    <w:p w14:paraId="387CBFA1">
      <w:pPr>
        <w:wordWrap w:val="0"/>
        <w:overflowPunct w:val="0"/>
        <w:spacing w:line="480" w:lineRule="auto"/>
        <w:ind w:firstLine="420" w:firstLineChars="200"/>
        <w:jc w:val="both"/>
        <w:textAlignment w:val="auto"/>
        <w:rPr>
          <w:rFonts w:ascii="Arial" w:hAnsi="Arial" w:cs="Arial"/>
          <w:sz w:val="21"/>
          <w:szCs w:val="21"/>
        </w:rPr>
      </w:pPr>
    </w:p>
    <w:p w14:paraId="24D058E9">
      <w:pPr>
        <w:pStyle w:val="3"/>
        <w:tabs>
          <w:tab w:val="left" w:pos="360"/>
        </w:tabs>
        <w:overflowPunct w:val="0"/>
        <w:spacing w:line="480" w:lineRule="auto"/>
        <w:ind w:left="358" w:hanging="358" w:hangingChars="170"/>
        <w:jc w:val="both"/>
        <w:textAlignment w:val="auto"/>
        <w:rPr>
          <w:rFonts w:eastAsia="宋体"/>
          <w:kern w:val="2"/>
          <w:sz w:val="21"/>
          <w:szCs w:val="21"/>
        </w:rPr>
      </w:pPr>
      <w:bookmarkStart w:id="29" w:name="_Toc168225818"/>
      <w:bookmarkStart w:id="30" w:name="_Toc525655423"/>
      <w:r>
        <w:rPr>
          <w:rFonts w:eastAsia="宋体"/>
          <w:kern w:val="2"/>
          <w:sz w:val="21"/>
          <w:szCs w:val="21"/>
        </w:rPr>
        <w:t>六</w:t>
      </w:r>
      <w:bookmarkEnd w:id="29"/>
      <w:r>
        <w:rPr>
          <w:rFonts w:eastAsia="宋体"/>
          <w:kern w:val="2"/>
          <w:sz w:val="21"/>
          <w:szCs w:val="21"/>
        </w:rPr>
        <w:t>、价值类型</w:t>
      </w:r>
      <w:bookmarkEnd w:id="30"/>
    </w:p>
    <w:p w14:paraId="67EF98D1">
      <w:pPr>
        <w:spacing w:line="480" w:lineRule="auto"/>
        <w:rPr>
          <w:rFonts w:ascii="Arial" w:hAnsi="Arial" w:cs="Arial"/>
          <w:b/>
          <w:kern w:val="2"/>
          <w:sz w:val="21"/>
          <w:szCs w:val="21"/>
        </w:rPr>
      </w:pPr>
      <w:r>
        <w:rPr>
          <w:rFonts w:hint="eastAsia" w:ascii="Arial" w:hAnsi="Arial" w:cs="Arial"/>
          <w:b/>
          <w:kern w:val="2"/>
          <w:sz w:val="21"/>
          <w:szCs w:val="21"/>
        </w:rPr>
        <w:t>（一）价值类型</w:t>
      </w:r>
    </w:p>
    <w:p w14:paraId="6DC67046">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房地产评估的技术规程和本次估价目的，本次估价采用的是市场价值标准。估价结果中的房地产租金价格是指估价对象在估价时段（2024年5月1日至2025年4月30日）规划利用条件及下述设定条件下的市场平均租金价格：</w:t>
      </w:r>
    </w:p>
    <w:p w14:paraId="70CE3246">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）同地段是指按照就近原则，能够满足公共租赁住房项目市场租金评估所需要的可比小区数量所形成的同质区域。</w:t>
      </w:r>
    </w:p>
    <w:p w14:paraId="0A55803D">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）同类型是指使用功能、建筑结构、面积、户型、装修、家具家电设备及周边环境与配套相同或相似的住房。</w:t>
      </w:r>
    </w:p>
    <w:p w14:paraId="0D25661A">
      <w:pPr>
        <w:spacing w:line="480" w:lineRule="auto"/>
        <w:ind w:firstLine="420" w:firstLineChars="200"/>
        <w:rPr>
          <w:rFonts w:ascii="Arial" w:hAnsi="Arial" w:cs="Arial"/>
          <w:sz w:val="21"/>
          <w:szCs w:val="21"/>
        </w:rPr>
      </w:pPr>
      <w:r>
        <w:rPr>
          <w:rFonts w:hint="eastAsia" w:ascii="Arial" w:hAnsi="Arial" w:cs="Arial"/>
          <w:sz w:val="21"/>
          <w:szCs w:val="21"/>
        </w:rPr>
        <w:t>（</w:t>
      </w:r>
      <w:r>
        <w:rPr>
          <w:rFonts w:ascii="Arial" w:hAnsi="Arial" w:cs="Arial"/>
          <w:sz w:val="21"/>
          <w:szCs w:val="21"/>
        </w:rPr>
        <w:t>3</w:t>
      </w:r>
      <w:r>
        <w:rPr>
          <w:rFonts w:hint="eastAsia" w:ascii="Arial" w:hAnsi="Arial" w:cs="Arial"/>
          <w:sz w:val="21"/>
          <w:szCs w:val="21"/>
        </w:rPr>
        <w:t>）估价时段是指价值时点前一年。</w:t>
      </w:r>
    </w:p>
    <w:p w14:paraId="6ECAA0ED">
      <w:pPr>
        <w:spacing w:line="480" w:lineRule="auto"/>
        <w:rPr>
          <w:rFonts w:ascii="Arial" w:hAnsi="Arial" w:cs="Arial"/>
          <w:b/>
          <w:kern w:val="2"/>
          <w:sz w:val="21"/>
          <w:szCs w:val="21"/>
        </w:rPr>
      </w:pPr>
      <w:r>
        <w:rPr>
          <w:rFonts w:hint="eastAsia" w:ascii="Arial" w:hAnsi="Arial" w:cs="Arial"/>
          <w:b/>
          <w:kern w:val="2"/>
          <w:sz w:val="21"/>
          <w:szCs w:val="21"/>
        </w:rPr>
        <w:t>（二）设定条件</w:t>
      </w:r>
    </w:p>
    <w:p w14:paraId="6E8C87C0">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w:t>
      </w:r>
      <w:r>
        <w:rPr>
          <w:rFonts w:ascii="Arial" w:hAnsi="Arial" w:cs="Arial"/>
          <w:sz w:val="21"/>
          <w:szCs w:val="21"/>
        </w:rPr>
        <w:t>2025年5月1日</w:t>
      </w:r>
      <w:r>
        <w:rPr>
          <w:rFonts w:hint="eastAsia" w:ascii="Arial" w:hAnsi="Arial" w:cs="Arial"/>
          <w:sz w:val="21"/>
          <w:szCs w:val="21"/>
        </w:rPr>
        <w:t>前一年内（2024年5月1日至2025年4月30日）的估价时段内，</w:t>
      </w:r>
      <w:r>
        <w:rPr>
          <w:rFonts w:ascii="Arial" w:hAnsi="Arial" w:cs="Arial"/>
          <w:sz w:val="21"/>
          <w:szCs w:val="21"/>
        </w:rPr>
        <w:t>估价对象在规划利用条件及下述设定条件下的</w:t>
      </w:r>
      <w:r>
        <w:rPr>
          <w:rFonts w:hint="eastAsia" w:ascii="Arial" w:hAnsi="Arial" w:cs="Arial"/>
          <w:sz w:val="21"/>
          <w:szCs w:val="21"/>
        </w:rPr>
        <w:t>市场平均租金价格</w:t>
      </w:r>
      <w:r>
        <w:rPr>
          <w:rFonts w:ascii="Arial" w:hAnsi="Arial" w:cs="Arial"/>
          <w:sz w:val="21"/>
          <w:szCs w:val="21"/>
        </w:rPr>
        <w:t>：</w:t>
      </w:r>
    </w:p>
    <w:p w14:paraId="2040C112">
      <w:pPr>
        <w:spacing w:line="480" w:lineRule="auto"/>
        <w:ind w:firstLine="420" w:firstLineChars="200"/>
        <w:rPr>
          <w:rFonts w:ascii="Arial" w:hAnsi="Arial" w:cs="Arial"/>
          <w:sz w:val="21"/>
          <w:szCs w:val="21"/>
        </w:rPr>
      </w:pPr>
      <w:r>
        <w:rPr>
          <w:rFonts w:ascii="Arial" w:hAnsi="Arial" w:cs="Arial"/>
          <w:sz w:val="21"/>
          <w:szCs w:val="21"/>
        </w:rPr>
        <w:t>1.</w:t>
      </w:r>
      <w:r>
        <w:rPr>
          <w:rFonts w:hint="eastAsia" w:ascii="Arial" w:hAnsi="Arial" w:cs="Arial"/>
          <w:sz w:val="21"/>
          <w:szCs w:val="21"/>
        </w:rPr>
        <w:t>估价结果为项目同地段、同类型普通住宅前12个月的市场平均月租金价格</w:t>
      </w:r>
      <w:r>
        <w:rPr>
          <w:rFonts w:ascii="Arial" w:hAnsi="Arial" w:cs="Arial"/>
          <w:sz w:val="21"/>
          <w:szCs w:val="21"/>
        </w:rPr>
        <w:t>；</w:t>
      </w:r>
    </w:p>
    <w:p w14:paraId="6F3B8DCD">
      <w:pPr>
        <w:spacing w:line="480" w:lineRule="auto"/>
        <w:ind w:firstLine="420" w:firstLineChars="200"/>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同地段</w:t>
      </w:r>
      <w:r>
        <w:rPr>
          <w:rFonts w:ascii="Arial" w:hAnsi="Arial" w:cs="Arial"/>
          <w:sz w:val="21"/>
          <w:szCs w:val="21"/>
        </w:rPr>
        <w:t>是指</w:t>
      </w:r>
      <w:r>
        <w:rPr>
          <w:rFonts w:hint="eastAsia" w:ascii="Arial" w:hAnsi="Arial" w:cs="Arial"/>
          <w:sz w:val="21"/>
          <w:szCs w:val="21"/>
        </w:rPr>
        <w:t>按照就近原则，能够满足公共租赁住房项目市场租金评估所需要的可比小区数量所形成的同质区域</w:t>
      </w:r>
      <w:r>
        <w:rPr>
          <w:rFonts w:ascii="Arial" w:hAnsi="Arial" w:cs="Arial"/>
          <w:sz w:val="21"/>
          <w:szCs w:val="21"/>
        </w:rPr>
        <w:t>；</w:t>
      </w:r>
    </w:p>
    <w:p w14:paraId="5ABBEF80">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.同类型住房是指</w:t>
      </w:r>
      <w:r>
        <w:rPr>
          <w:rFonts w:hint="eastAsia" w:ascii="Arial" w:hAnsi="Arial" w:cs="Arial"/>
          <w:sz w:val="21"/>
          <w:szCs w:val="21"/>
        </w:rPr>
        <w:t>使用功能、建筑结构、面积、户型、装修、家具家电设备及周边环境与配套相同或相似的</w:t>
      </w:r>
      <w:r>
        <w:rPr>
          <w:rFonts w:ascii="Arial" w:hAnsi="Arial" w:cs="Arial"/>
          <w:sz w:val="21"/>
          <w:szCs w:val="21"/>
        </w:rPr>
        <w:t>住</w:t>
      </w:r>
      <w:r>
        <w:rPr>
          <w:rFonts w:hint="eastAsia" w:ascii="Arial" w:hAnsi="Arial" w:cs="Arial"/>
          <w:sz w:val="21"/>
          <w:szCs w:val="21"/>
        </w:rPr>
        <w:t>房</w:t>
      </w:r>
      <w:r>
        <w:rPr>
          <w:rFonts w:ascii="Arial" w:hAnsi="Arial" w:cs="Arial"/>
          <w:sz w:val="21"/>
          <w:szCs w:val="21"/>
        </w:rPr>
        <w:t>，含普通商品住宅、限价商品住房等；</w:t>
      </w:r>
    </w:p>
    <w:p w14:paraId="76DFEF6B">
      <w:pPr>
        <w:pStyle w:val="61"/>
        <w:wordWrap w:val="0"/>
        <w:overflowPunct w:val="0"/>
        <w:spacing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4</w:t>
      </w:r>
      <w:r>
        <w:rPr>
          <w:rFonts w:ascii="Arial" w:hAnsi="Arial" w:cs="Arial"/>
          <w:sz w:val="21"/>
          <w:szCs w:val="21"/>
        </w:rPr>
        <w:t>.</w:t>
      </w:r>
      <w:r>
        <w:rPr>
          <w:rFonts w:hint="eastAsia" w:ascii="Arial" w:hAnsi="Arial" w:cs="Arial"/>
          <w:sz w:val="21"/>
          <w:szCs w:val="21"/>
        </w:rPr>
        <w:t xml:space="preserve"> 根据《关于发布&lt;北京市公共租赁住房项目市场租金评估技术指引&gt;的通知》[北估秘[2019]020号]及《燕保·高米店家园项目房源表》以及上述各户型比例，本次估价按照众数原则设定具有代表性的标准房屋，具体标准房详见下表：</w:t>
      </w:r>
    </w:p>
    <w:p w14:paraId="5BC7C3ED">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36402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19B44280">
            <w:pPr>
              <w:overflowPunct w:val="0"/>
              <w:spacing w:line="240" w:lineRule="atLeast"/>
              <w:jc w:val="center"/>
              <w:rPr>
                <w:rFonts w:ascii="宋体" w:hAnsi="宋体" w:cs="Arial"/>
                <w:kern w:val="2"/>
                <w:sz w:val="21"/>
                <w:szCs w:val="21"/>
              </w:rPr>
            </w:pPr>
            <w:r>
              <w:rPr>
                <w:rFonts w:ascii="宋体" w:hAnsi="宋体" w:cs="Arial"/>
                <w:kern w:val="2"/>
                <w:sz w:val="21"/>
                <w:szCs w:val="21"/>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3367F574">
            <w:pPr>
              <w:overflowPunct w:val="0"/>
              <w:spacing w:line="240" w:lineRule="atLeast"/>
              <w:jc w:val="center"/>
              <w:rPr>
                <w:rFonts w:ascii="宋体" w:hAnsi="宋体" w:cs="Arial"/>
                <w:kern w:val="2"/>
                <w:sz w:val="21"/>
                <w:szCs w:val="21"/>
              </w:rPr>
            </w:pPr>
            <w:r>
              <w:rPr>
                <w:rFonts w:ascii="宋体" w:hAnsi="宋体" w:cs="Arial"/>
                <w:kern w:val="2"/>
                <w:sz w:val="21"/>
                <w:szCs w:val="21"/>
              </w:rPr>
              <w:t>设定标准</w:t>
            </w:r>
          </w:p>
        </w:tc>
      </w:tr>
      <w:tr w14:paraId="1B7E8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56D278FD">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hint="eastAsia" w:ascii="宋体" w:hAnsi="宋体" w:cs="Arial"/>
                <w:kern w:val="2"/>
                <w:sz w:val="21"/>
                <w:szCs w:val="21"/>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63785C6C">
            <w:pPr>
              <w:overflowPunct w:val="0"/>
              <w:spacing w:line="240" w:lineRule="atLeast"/>
              <w:jc w:val="center"/>
              <w:rPr>
                <w:rFonts w:ascii="宋体" w:hAnsi="宋体" w:cs="Arial"/>
                <w:kern w:val="2"/>
                <w:sz w:val="21"/>
                <w:szCs w:val="21"/>
              </w:rPr>
            </w:pPr>
            <w:r>
              <w:rPr>
                <w:rFonts w:ascii="宋体" w:hAnsi="宋体" w:cs="Arial"/>
                <w:kern w:val="2"/>
                <w:sz w:val="21"/>
                <w:szCs w:val="21"/>
              </w:rPr>
              <w:t>中楼层</w:t>
            </w:r>
            <w:r>
              <w:rPr>
                <w:rFonts w:hint="eastAsia" w:ascii="宋体" w:hAnsi="宋体" w:cs="Arial"/>
                <w:kern w:val="2"/>
                <w:sz w:val="21"/>
                <w:szCs w:val="21"/>
              </w:rPr>
              <w:t>/1</w:t>
            </w:r>
            <w:r>
              <w:rPr>
                <w:rFonts w:ascii="宋体" w:hAnsi="宋体" w:cs="Arial"/>
                <w:kern w:val="2"/>
                <w:sz w:val="21"/>
                <w:szCs w:val="21"/>
              </w:rPr>
              <w:t>8</w:t>
            </w:r>
            <w:r>
              <w:rPr>
                <w:rFonts w:hint="eastAsia" w:ascii="宋体" w:hAnsi="宋体" w:cs="Arial"/>
                <w:kern w:val="2"/>
                <w:sz w:val="21"/>
                <w:szCs w:val="21"/>
              </w:rPr>
              <w:t>层</w:t>
            </w:r>
          </w:p>
        </w:tc>
      </w:tr>
      <w:tr w14:paraId="56290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5FCB0FA3">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0C23D82E">
            <w:pPr>
              <w:overflowPunct w:val="0"/>
              <w:spacing w:line="240" w:lineRule="atLeast"/>
              <w:jc w:val="center"/>
              <w:rPr>
                <w:rFonts w:ascii="宋体" w:hAnsi="宋体" w:cs="Arial"/>
                <w:kern w:val="2"/>
                <w:sz w:val="21"/>
                <w:szCs w:val="21"/>
              </w:rPr>
            </w:pPr>
            <w:r>
              <w:rPr>
                <w:rFonts w:hint="eastAsia" w:ascii="宋体" w:hAnsi="宋体" w:cs="Arial"/>
                <w:kern w:val="2"/>
                <w:sz w:val="21"/>
                <w:szCs w:val="21"/>
              </w:rPr>
              <w:t>南</w:t>
            </w:r>
          </w:p>
        </w:tc>
      </w:tr>
      <w:tr w14:paraId="6AAD0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F423FE9">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2B9ABF63">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hint="eastAsia" w:ascii="宋体" w:hAnsi="宋体" w:cs="Arial"/>
                <w:kern w:val="2"/>
                <w:sz w:val="21"/>
                <w:szCs w:val="21"/>
              </w:rPr>
              <w:t>-</w:t>
            </w:r>
            <w:r>
              <w:rPr>
                <w:rFonts w:ascii="宋体" w:hAnsi="宋体" w:cs="Arial"/>
                <w:kern w:val="2"/>
                <w:sz w:val="21"/>
                <w:szCs w:val="21"/>
              </w:rPr>
              <w:t>61.95</w:t>
            </w:r>
          </w:p>
        </w:tc>
      </w:tr>
      <w:tr w14:paraId="097EE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B304C1A">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56E4257C">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14:paraId="40012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57F20B1">
            <w:pPr>
              <w:overflowPunct w:val="0"/>
              <w:spacing w:line="240" w:lineRule="atLeast"/>
              <w:jc w:val="center"/>
              <w:rPr>
                <w:rFonts w:ascii="宋体" w:hAnsi="宋体" w:cs="Arial"/>
                <w:kern w:val="2"/>
                <w:sz w:val="21"/>
                <w:szCs w:val="21"/>
              </w:rPr>
            </w:pPr>
            <w:r>
              <w:rPr>
                <w:rFonts w:hint="eastAsia" w:ascii="宋体" w:hAnsi="宋体" w:cs="Arial"/>
                <w:kern w:val="2"/>
                <w:sz w:val="21"/>
                <w:szCs w:val="21"/>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59161A70">
            <w:pPr>
              <w:overflowPunct w:val="0"/>
              <w:spacing w:line="240" w:lineRule="atLeast"/>
              <w:jc w:val="center"/>
              <w:rPr>
                <w:rFonts w:ascii="宋体" w:hAnsi="宋体" w:cs="Arial"/>
                <w:kern w:val="2"/>
                <w:sz w:val="21"/>
                <w:szCs w:val="21"/>
              </w:rPr>
            </w:pPr>
            <w:r>
              <w:rPr>
                <w:rFonts w:hint="eastAsia" w:ascii="宋体" w:hAnsi="宋体" w:cs="Arial"/>
                <w:kern w:val="2"/>
                <w:sz w:val="21"/>
                <w:szCs w:val="21"/>
              </w:rPr>
              <w:t>两居室</w:t>
            </w:r>
          </w:p>
        </w:tc>
      </w:tr>
      <w:tr w14:paraId="42603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79C6CC4">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1705537A">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3C10A3E">
      <w:pPr>
        <w:overflowPunct w:val="0"/>
        <w:spacing w:line="240" w:lineRule="atLeast"/>
        <w:jc w:val="center"/>
        <w:rPr>
          <w:rFonts w:ascii="Arial" w:hAnsi="Arial" w:cs="Arial"/>
          <w:kern w:val="2"/>
          <w:sz w:val="20"/>
        </w:rPr>
      </w:pPr>
    </w:p>
    <w:p w14:paraId="2141398E">
      <w:pPr>
        <w:pStyle w:val="61"/>
        <w:wordWrap w:val="0"/>
        <w:overflowPunct w:val="0"/>
        <w:spacing w:line="480" w:lineRule="auto"/>
        <w:ind w:right="142" w:firstLine="420" w:firstLineChars="200"/>
        <w:jc w:val="both"/>
        <w:textAlignment w:val="auto"/>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14:paraId="5E49BF45">
      <w:pPr>
        <w:spacing w:line="360" w:lineRule="auto"/>
        <w:ind w:firstLine="420" w:firstLineChars="200"/>
        <w:rPr>
          <w:rFonts w:ascii="Arial" w:hAnsi="Arial" w:cs="Arial"/>
          <w:sz w:val="21"/>
          <w:szCs w:val="21"/>
        </w:rPr>
      </w:pPr>
    </w:p>
    <w:p w14:paraId="4E3BAD3B">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525655424"/>
      <w:r>
        <w:rPr>
          <w:rFonts w:eastAsia="宋体"/>
          <w:kern w:val="2"/>
          <w:sz w:val="21"/>
          <w:szCs w:val="21"/>
        </w:rPr>
        <w:t>七、估价原则</w:t>
      </w:r>
      <w:bookmarkEnd w:id="31"/>
      <w:bookmarkEnd w:id="32"/>
    </w:p>
    <w:p w14:paraId="6271913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9DDC51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0BDE43A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1D699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70BEAE1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5E2A377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0A390564">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489084D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29839AA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3749D4E8">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2679A18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pPr>
        <w:wordWrap w:val="0"/>
        <w:overflowPunct w:val="0"/>
        <w:spacing w:line="360" w:lineRule="auto"/>
        <w:ind w:firstLine="420" w:firstLineChars="200"/>
        <w:jc w:val="both"/>
        <w:textAlignment w:val="auto"/>
        <w:rPr>
          <w:rFonts w:ascii="Arial" w:hAnsi="Arial" w:cs="Arial"/>
          <w:sz w:val="21"/>
          <w:szCs w:val="21"/>
        </w:rPr>
      </w:pPr>
    </w:p>
    <w:p w14:paraId="75F36B16">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525655425"/>
      <w:r>
        <w:rPr>
          <w:rFonts w:eastAsia="宋体"/>
          <w:kern w:val="2"/>
          <w:sz w:val="21"/>
          <w:szCs w:val="21"/>
        </w:rPr>
        <w:t>八、估价</w:t>
      </w:r>
      <w:bookmarkEnd w:id="33"/>
      <w:r>
        <w:rPr>
          <w:rFonts w:eastAsia="宋体"/>
          <w:kern w:val="2"/>
          <w:sz w:val="21"/>
          <w:szCs w:val="21"/>
        </w:rPr>
        <w:t>依据</w:t>
      </w:r>
      <w:bookmarkEnd w:id="34"/>
    </w:p>
    <w:p w14:paraId="16601C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0035680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1BE5B87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56E20C0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38F4B1F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1E5B9A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3B4AED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4473956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21389B2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13A4896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2A38C9C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5FA2A7F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11.《北京保障房中心有限公司关于印发&lt;北京市公共租赁住房申请、审核及配租管理办法&gt;的通知》[京建法[2011]25号]</w:t>
      </w:r>
    </w:p>
    <w:p w14:paraId="7E11CD0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0BF33E6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0DAE3D4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7070AAC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2D55393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397FC1A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7533F32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650361A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4DC618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43AEDE2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268E38F2">
      <w:pPr>
        <w:pStyle w:val="68"/>
        <w:numPr>
          <w:ilvl w:val="0"/>
          <w:numId w:val="5"/>
        </w:numPr>
        <w:wordWrap w:val="0"/>
        <w:overflowPunct w:val="0"/>
        <w:spacing w:line="480" w:lineRule="auto"/>
        <w:ind w:firstLineChars="0"/>
        <w:jc w:val="both"/>
        <w:textAlignment w:val="auto"/>
        <w:rPr>
          <w:rFonts w:ascii="Arial" w:hAnsi="Arial" w:cs="Arial"/>
          <w:sz w:val="21"/>
          <w:szCs w:val="21"/>
        </w:rPr>
      </w:pPr>
      <w:r>
        <w:rPr>
          <w:rFonts w:hint="eastAsia" w:ascii="Arial" w:hAnsi="Arial" w:cs="Arial"/>
          <w:b/>
          <w:sz w:val="21"/>
          <w:szCs w:val="21"/>
        </w:rPr>
        <w:t>技术标准</w:t>
      </w:r>
    </w:p>
    <w:p w14:paraId="392B522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4DFBDC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523C045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0D26F214">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067A5C2B">
      <w:pPr>
        <w:wordWrap w:val="0"/>
        <w:overflowPunct w:val="0"/>
        <w:spacing w:line="480" w:lineRule="auto"/>
        <w:jc w:val="both"/>
        <w:textAlignment w:val="auto"/>
        <w:rPr>
          <w:rFonts w:ascii="Arial" w:hAnsi="Arial" w:cs="Arial"/>
          <w:b/>
          <w:sz w:val="21"/>
          <w:szCs w:val="21"/>
        </w:rPr>
      </w:pPr>
      <w:r>
        <w:rPr>
          <w:rFonts w:ascii="Arial" w:hAnsi="Arial" w:cs="Arial"/>
          <w:sz w:val="21"/>
          <w:szCs w:val="21"/>
        </w:rPr>
        <w:t>1.</w:t>
      </w:r>
      <w:r>
        <w:rPr>
          <w:rFonts w:hint="eastAsia" w:ascii="Arial" w:hAnsi="Arial" w:cs="Arial"/>
          <w:sz w:val="21"/>
          <w:szCs w:val="21"/>
        </w:rPr>
        <w:t>《北京市发展和改革委员会 关于大兴区高米店公共租赁住房项目核准的批复》 [京发改（2011）1769号]及附件复印件</w:t>
      </w:r>
    </w:p>
    <w:p w14:paraId="1F2E97D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《北京市发展和改革委员会 关于转发大兴区高米店公共租赁住房项目变更建设主体的批复的通知》[京兴发改转（2012）51号]及附件复印件</w:t>
      </w:r>
    </w:p>
    <w:p w14:paraId="5983F21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《北京市发展和改革委员会 关于转发大兴区高米店公共租赁住房项目延期的批复》[京发改（2013）2004号]复印件</w:t>
      </w:r>
    </w:p>
    <w:p w14:paraId="35EC28A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w:t>
      </w:r>
      <w:r>
        <w:rPr>
          <w:rFonts w:ascii="Arial" w:hAnsi="Arial" w:cs="Arial"/>
          <w:sz w:val="21"/>
          <w:szCs w:val="21"/>
        </w:rPr>
        <w:t>.</w:t>
      </w:r>
      <w:r>
        <w:rPr>
          <w:rFonts w:hint="eastAsia" w:ascii="Arial" w:hAnsi="Arial" w:cs="Arial"/>
          <w:sz w:val="21"/>
          <w:szCs w:val="21"/>
        </w:rPr>
        <w:t>《建设用地规划许可证》[2013规（大）地字0006号]及附件复印件</w:t>
      </w:r>
    </w:p>
    <w:p w14:paraId="3FE0CB5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w:t>
      </w:r>
      <w:r>
        <w:rPr>
          <w:rFonts w:ascii="Arial" w:hAnsi="Arial" w:cs="Arial"/>
          <w:sz w:val="21"/>
          <w:szCs w:val="21"/>
        </w:rPr>
        <w:t>.</w:t>
      </w:r>
      <w:r>
        <w:rPr>
          <w:rFonts w:hint="eastAsia" w:ascii="Arial" w:hAnsi="Arial" w:cs="Arial"/>
          <w:sz w:val="21"/>
          <w:szCs w:val="21"/>
        </w:rPr>
        <w:t>《建设工程规划许可证》[2013规（大）建字0113号]及附件附图复印件</w:t>
      </w:r>
    </w:p>
    <w:p w14:paraId="2DE58A5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《规划施工号与门牌、楼牌编号对照表》复印件</w:t>
      </w:r>
    </w:p>
    <w:p w14:paraId="59F82AB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ascii="Arial" w:hAnsi="Arial" w:cs="Arial"/>
          <w:sz w:val="21"/>
          <w:szCs w:val="21"/>
        </w:rPr>
        <w:t>《建筑工程施工许可证》[（2014）施建字0386号]及附件复印件</w:t>
      </w:r>
    </w:p>
    <w:p w14:paraId="208C119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《北京市规划委员会 建设工程规划核验（验收）意见》[2015规（大）竣字0102号]复印件</w:t>
      </w:r>
    </w:p>
    <w:p w14:paraId="388B96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《北京市房屋建筑和市政基础设施工程竣工验收备案表》[编号：0251大竣工2018（建）0036号]复印件</w:t>
      </w:r>
    </w:p>
    <w:p w14:paraId="5E1AE6F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0.</w:t>
      </w:r>
      <w:r>
        <w:rPr>
          <w:rFonts w:hint="eastAsia" w:ascii="Arial" w:hAnsi="Arial" w:cs="Arial"/>
          <w:sz w:val="21"/>
          <w:szCs w:val="21"/>
        </w:rPr>
        <w:t>《燕保•高米店家园项目房源表》复印件</w:t>
      </w:r>
    </w:p>
    <w:p w14:paraId="491AE8A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1.</w:t>
      </w:r>
      <w:r>
        <w:rPr>
          <w:rFonts w:hint="eastAsia" w:ascii="Arial" w:hAnsi="Arial" w:cs="Arial"/>
          <w:sz w:val="21"/>
          <w:szCs w:val="21"/>
        </w:rPr>
        <w:t>《物业服务合同》[2024年2月]复印件</w:t>
      </w:r>
    </w:p>
    <w:p w14:paraId="72B332D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2.</w:t>
      </w:r>
      <w:r>
        <w:rPr>
          <w:rFonts w:hint="eastAsia" w:ascii="Arial" w:hAnsi="Arial" w:cs="Arial"/>
          <w:sz w:val="21"/>
          <w:szCs w:val="21"/>
        </w:rPr>
        <w:t>《燕保高米店公租房项目各项费用说明》复印件</w:t>
      </w:r>
    </w:p>
    <w:p w14:paraId="3C39798B">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（四）注册房地产估价师实地查勘的有关资料</w:t>
      </w:r>
    </w:p>
    <w:p w14:paraId="03F8A10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7445CFEC">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354676CA">
      <w:pPr>
        <w:pStyle w:val="3"/>
        <w:numPr>
          <w:ilvl w:val="0"/>
          <w:numId w:val="6"/>
        </w:numPr>
        <w:tabs>
          <w:tab w:val="left" w:pos="360"/>
        </w:tabs>
        <w:spacing w:line="480" w:lineRule="auto"/>
        <w:jc w:val="both"/>
        <w:rPr>
          <w:rFonts w:eastAsia="宋体"/>
          <w:kern w:val="2"/>
          <w:sz w:val="21"/>
          <w:szCs w:val="21"/>
        </w:rPr>
      </w:pPr>
      <w:bookmarkStart w:id="36" w:name="_Toc525655426"/>
      <w:r>
        <w:rPr>
          <w:rFonts w:eastAsia="宋体"/>
          <w:kern w:val="2"/>
          <w:sz w:val="21"/>
          <w:szCs w:val="21"/>
        </w:rPr>
        <w:t>估价方法</w:t>
      </w:r>
      <w:bookmarkEnd w:id="35"/>
      <w:bookmarkEnd w:id="36"/>
    </w:p>
    <w:p w14:paraId="6B47E624">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比较法和成本法</w:t>
      </w:r>
      <w:r>
        <w:rPr>
          <w:rFonts w:ascii="Arial" w:hAnsi="Arial" w:cs="Arial"/>
          <w:sz w:val="21"/>
          <w:szCs w:val="21"/>
        </w:rPr>
        <w:t>进行估价</w:t>
      </w:r>
      <w:r>
        <w:rPr>
          <w:rFonts w:hint="eastAsia" w:ascii="Arial" w:hAnsi="Arial" w:cs="Arial"/>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pPr>
        <w:pStyle w:val="61"/>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151D0D75">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本次选用比较法对估价对象的市场租金水平进行测算，具体测算思路如下：</w:t>
      </w:r>
    </w:p>
    <w:p w14:paraId="1699F701">
      <w:pPr>
        <w:pStyle w:val="61"/>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首先</w:t>
      </w:r>
      <w:r>
        <w:rPr>
          <w:rFonts w:hint="eastAsia" w:ascii="Arial" w:hAnsi="Arial" w:cs="Arial"/>
          <w:sz w:val="21"/>
          <w:szCs w:val="21"/>
        </w:rPr>
        <w:t>确认</w:t>
      </w:r>
      <w:r>
        <w:rPr>
          <w:rFonts w:ascii="Arial" w:hAnsi="Arial" w:cs="Arial"/>
          <w:sz w:val="21"/>
          <w:szCs w:val="21"/>
        </w:rPr>
        <w:t>估价对象标准房</w:t>
      </w:r>
      <w:r>
        <w:rPr>
          <w:rFonts w:hint="eastAsia" w:ascii="Arial" w:hAnsi="Arial" w:cs="Arial"/>
          <w:sz w:val="21"/>
          <w:szCs w:val="21"/>
        </w:rPr>
        <w:t>。标准房设定如下：</w:t>
      </w:r>
    </w:p>
    <w:p w14:paraId="0E025F29">
      <w:pPr>
        <w:overflowPunct w:val="0"/>
        <w:spacing w:line="480" w:lineRule="auto"/>
        <w:ind w:firstLine="420" w:firstLineChars="200"/>
        <w:jc w:val="both"/>
        <w:textAlignment w:val="auto"/>
        <w:rPr>
          <w:rFonts w:ascii="Arial" w:hAnsi="Arial" w:cs="Arial"/>
          <w:sz w:val="21"/>
          <w:szCs w:val="21"/>
          <w:highlight w:val="yellow"/>
        </w:rPr>
      </w:pPr>
      <w:r>
        <w:rPr>
          <w:rFonts w:hint="eastAsia" w:ascii="Arial" w:hAnsi="Arial" w:cs="Arial"/>
          <w:kern w:val="2"/>
          <w:sz w:val="21"/>
          <w:szCs w:val="21"/>
        </w:rPr>
        <w:t>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《燕保·高米店家园项目房源表》，估价对象总建筑面积为9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公共租赁住房。估价对象房源具体情况如下：</w:t>
      </w:r>
    </w:p>
    <w:p w14:paraId="3F4B04E0">
      <w:pPr>
        <w:overflowPunct w:val="0"/>
        <w:spacing w:line="360" w:lineRule="auto"/>
        <w:jc w:val="center"/>
        <w:textAlignment w:val="auto"/>
        <w:rPr>
          <w:rFonts w:ascii="Arial" w:hAnsi="Arial" w:cs="Arial"/>
          <w:b/>
          <w:sz w:val="21"/>
          <w:szCs w:val="21"/>
        </w:rPr>
      </w:pPr>
      <w:r>
        <w:rPr>
          <w:rFonts w:ascii="Arial" w:hAnsi="Arial" w:cs="Arial"/>
          <w:b/>
          <w:sz w:val="21"/>
          <w:szCs w:val="21"/>
        </w:rPr>
        <w:t>估价对象房源汇总表</w:t>
      </w:r>
    </w:p>
    <w:tbl>
      <w:tblPr>
        <w:tblStyle w:val="23"/>
        <w:tblW w:w="5000" w:type="pct"/>
        <w:tblInd w:w="0" w:type="dxa"/>
        <w:tblLayout w:type="autofit"/>
        <w:tblCellMar>
          <w:top w:w="0" w:type="dxa"/>
          <w:left w:w="108" w:type="dxa"/>
          <w:bottom w:w="0" w:type="dxa"/>
          <w:right w:w="108" w:type="dxa"/>
        </w:tblCellMar>
      </w:tblPr>
      <w:tblGrid>
        <w:gridCol w:w="2176"/>
        <w:gridCol w:w="3182"/>
        <w:gridCol w:w="1981"/>
        <w:gridCol w:w="2176"/>
      </w:tblGrid>
      <w:tr w14:paraId="32752D81">
        <w:trPr>
          <w:trHeight w:val="252" w:hRule="atLeast"/>
          <w:tblHeader/>
        </w:trPr>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3C06D57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户型</w:t>
            </w:r>
          </w:p>
        </w:tc>
        <w:tc>
          <w:tcPr>
            <w:tcW w:w="1672" w:type="pct"/>
            <w:tcBorders>
              <w:top w:val="single" w:color="auto" w:sz="4" w:space="0"/>
              <w:left w:val="nil"/>
              <w:bottom w:val="single" w:color="auto" w:sz="4" w:space="0"/>
              <w:right w:val="single" w:color="auto" w:sz="4" w:space="0"/>
            </w:tcBorders>
            <w:shd w:val="clear" w:color="auto" w:fill="auto"/>
            <w:vAlign w:val="center"/>
          </w:tcPr>
          <w:p w14:paraId="6D38637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建筑面积（平方米）</w:t>
            </w:r>
          </w:p>
        </w:tc>
        <w:tc>
          <w:tcPr>
            <w:tcW w:w="1041" w:type="pct"/>
            <w:tcBorders>
              <w:top w:val="single" w:color="auto" w:sz="4" w:space="0"/>
              <w:left w:val="nil"/>
              <w:bottom w:val="single" w:color="auto" w:sz="4" w:space="0"/>
              <w:right w:val="single" w:color="auto" w:sz="4" w:space="0"/>
            </w:tcBorders>
            <w:shd w:val="clear" w:color="auto" w:fill="auto"/>
            <w:vAlign w:val="center"/>
          </w:tcPr>
          <w:p w14:paraId="274CA44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朝向</w:t>
            </w:r>
          </w:p>
        </w:tc>
        <w:tc>
          <w:tcPr>
            <w:tcW w:w="1143" w:type="pct"/>
            <w:tcBorders>
              <w:top w:val="single" w:color="auto" w:sz="4" w:space="0"/>
              <w:left w:val="nil"/>
              <w:bottom w:val="single" w:color="auto" w:sz="4" w:space="0"/>
              <w:right w:val="single" w:color="auto" w:sz="4" w:space="0"/>
            </w:tcBorders>
            <w:shd w:val="clear" w:color="auto" w:fill="auto"/>
            <w:vAlign w:val="center"/>
          </w:tcPr>
          <w:p w14:paraId="4246D56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套数（套）</w:t>
            </w:r>
          </w:p>
        </w:tc>
      </w:tr>
      <w:tr w14:paraId="1718C4C2">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545F6EF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零居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6C3140B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30.04-32.61</w:t>
            </w:r>
          </w:p>
        </w:tc>
        <w:tc>
          <w:tcPr>
            <w:tcW w:w="1041" w:type="pct"/>
            <w:tcBorders>
              <w:top w:val="nil"/>
              <w:left w:val="nil"/>
              <w:bottom w:val="single" w:color="auto" w:sz="4" w:space="0"/>
              <w:right w:val="single" w:color="auto" w:sz="4" w:space="0"/>
            </w:tcBorders>
            <w:shd w:val="clear" w:color="auto" w:fill="auto"/>
            <w:vAlign w:val="center"/>
          </w:tcPr>
          <w:p w14:paraId="388D7D4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270C1F4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272</w:t>
            </w:r>
          </w:p>
        </w:tc>
      </w:tr>
      <w:tr w14:paraId="0AD1A2D7">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C40F169">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27A260E">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312C9E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72D9063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240</w:t>
            </w:r>
          </w:p>
        </w:tc>
      </w:tr>
      <w:tr w14:paraId="757D09FC">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760C0A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5CAFF5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7B2631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318FD22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792B8F0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8F50C1F">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BDED99A">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F4EC8B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4C76807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1C24DC06">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171BD18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2142AA0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15816A9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20E213F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544</w:t>
            </w:r>
          </w:p>
        </w:tc>
      </w:tr>
      <w:tr w14:paraId="1E07D5C2">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4D199E3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一居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6AD8254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41.49-50.94</w:t>
            </w:r>
          </w:p>
        </w:tc>
        <w:tc>
          <w:tcPr>
            <w:tcW w:w="1041" w:type="pct"/>
            <w:tcBorders>
              <w:top w:val="nil"/>
              <w:left w:val="nil"/>
              <w:bottom w:val="single" w:color="auto" w:sz="4" w:space="0"/>
              <w:right w:val="single" w:color="auto" w:sz="4" w:space="0"/>
            </w:tcBorders>
            <w:shd w:val="clear" w:color="auto" w:fill="auto"/>
            <w:vAlign w:val="center"/>
          </w:tcPr>
          <w:p w14:paraId="011B31E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0B56DA7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104</w:t>
            </w:r>
          </w:p>
        </w:tc>
      </w:tr>
      <w:tr w14:paraId="455086B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DA0403E">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7CD54A9">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B35E08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7CF45AE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72</w:t>
            </w:r>
          </w:p>
        </w:tc>
      </w:tr>
      <w:tr w14:paraId="02D64C6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D4E08A8">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5AEE281">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134680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62877D1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w:t>
            </w:r>
          </w:p>
        </w:tc>
      </w:tr>
      <w:tr w14:paraId="0B0E3083">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23CA5C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BB00E19">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4C19A0F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0E41BD7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w:t>
            </w:r>
          </w:p>
        </w:tc>
      </w:tr>
      <w:tr w14:paraId="3DA2B712">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3A67C07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395096B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63B398E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7BFD408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186</w:t>
            </w:r>
          </w:p>
        </w:tc>
      </w:tr>
      <w:tr w14:paraId="5F289BB7">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2655F09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两居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49FC0D3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57.9-61.95</w:t>
            </w:r>
          </w:p>
        </w:tc>
        <w:tc>
          <w:tcPr>
            <w:tcW w:w="1041" w:type="pct"/>
            <w:tcBorders>
              <w:top w:val="nil"/>
              <w:left w:val="nil"/>
              <w:bottom w:val="single" w:color="auto" w:sz="4" w:space="0"/>
              <w:right w:val="single" w:color="auto" w:sz="4" w:space="0"/>
            </w:tcBorders>
            <w:shd w:val="clear" w:color="auto" w:fill="auto"/>
            <w:vAlign w:val="center"/>
          </w:tcPr>
          <w:p w14:paraId="6594364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01F2EAD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4CEDE4C3">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3EA9240">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8F978C4">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259AD70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40385A5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738BC227">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D6DF909">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EF7B332">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5FA278B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东南</w:t>
            </w:r>
          </w:p>
        </w:tc>
        <w:tc>
          <w:tcPr>
            <w:tcW w:w="1143" w:type="pct"/>
            <w:tcBorders>
              <w:top w:val="nil"/>
              <w:left w:val="nil"/>
              <w:bottom w:val="single" w:color="auto" w:sz="4" w:space="0"/>
              <w:right w:val="single" w:color="auto" w:sz="4" w:space="0"/>
            </w:tcBorders>
            <w:shd w:val="clear" w:color="auto" w:fill="auto"/>
            <w:vAlign w:val="center"/>
          </w:tcPr>
          <w:p w14:paraId="76FD6EA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0C60486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3A4542B">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23DD527">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792729B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西南</w:t>
            </w:r>
          </w:p>
        </w:tc>
        <w:tc>
          <w:tcPr>
            <w:tcW w:w="1143" w:type="pct"/>
            <w:tcBorders>
              <w:top w:val="nil"/>
              <w:left w:val="nil"/>
              <w:bottom w:val="single" w:color="auto" w:sz="4" w:space="0"/>
              <w:right w:val="single" w:color="auto" w:sz="4" w:space="0"/>
            </w:tcBorders>
            <w:shd w:val="clear" w:color="auto" w:fill="auto"/>
            <w:vAlign w:val="center"/>
          </w:tcPr>
          <w:p w14:paraId="6E77FE3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5297208B">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4C5F80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9C8D3E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4875F09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6F9C19D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432</w:t>
            </w:r>
          </w:p>
        </w:tc>
      </w:tr>
      <w:tr w14:paraId="1B07500F">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AC86890">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5601DA6">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35E52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24819A4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350</w:t>
            </w:r>
          </w:p>
        </w:tc>
      </w:tr>
      <w:tr w14:paraId="2E988B3B">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02971BE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7A1544B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1CF98F8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2D04DCD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1100</w:t>
            </w:r>
          </w:p>
        </w:tc>
      </w:tr>
      <w:tr w14:paraId="6C66A448">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2D22249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总计</w:t>
            </w:r>
          </w:p>
        </w:tc>
        <w:tc>
          <w:tcPr>
            <w:tcW w:w="1672" w:type="pct"/>
            <w:tcBorders>
              <w:top w:val="nil"/>
              <w:left w:val="nil"/>
              <w:bottom w:val="single" w:color="auto" w:sz="4" w:space="0"/>
              <w:right w:val="single" w:color="auto" w:sz="4" w:space="0"/>
            </w:tcBorders>
            <w:shd w:val="clear" w:color="auto" w:fill="auto"/>
            <w:vAlign w:val="center"/>
          </w:tcPr>
          <w:p w14:paraId="11E2534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32A19AE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7CBFFD5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1830</w:t>
            </w:r>
          </w:p>
        </w:tc>
      </w:tr>
    </w:tbl>
    <w:p w14:paraId="38B9487B">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4126"/>
        <w:gridCol w:w="2569"/>
      </w:tblGrid>
      <w:tr w14:paraId="11F8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371E66E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楼层</w:t>
            </w:r>
          </w:p>
        </w:tc>
        <w:tc>
          <w:tcPr>
            <w:tcW w:w="2168" w:type="pct"/>
            <w:shd w:val="clear" w:color="auto" w:fill="auto"/>
            <w:vAlign w:val="center"/>
          </w:tcPr>
          <w:p w14:paraId="245FA6E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shd w:val="clear" w:color="auto" w:fill="auto"/>
            <w:vAlign w:val="center"/>
          </w:tcPr>
          <w:p w14:paraId="0492E21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7558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72C866D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高楼层</w:t>
            </w:r>
          </w:p>
        </w:tc>
        <w:tc>
          <w:tcPr>
            <w:tcW w:w="2168" w:type="pct"/>
            <w:shd w:val="clear" w:color="auto" w:fill="auto"/>
            <w:vAlign w:val="center"/>
          </w:tcPr>
          <w:p w14:paraId="0D1F150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634</w:t>
            </w:r>
          </w:p>
        </w:tc>
        <w:tc>
          <w:tcPr>
            <w:tcW w:w="1350" w:type="pct"/>
            <w:shd w:val="clear" w:color="auto" w:fill="auto"/>
            <w:vAlign w:val="center"/>
          </w:tcPr>
          <w:p w14:paraId="7C76D1B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34.64%</w:t>
            </w:r>
          </w:p>
        </w:tc>
      </w:tr>
      <w:tr w14:paraId="0A41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4DD0868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中楼层</w:t>
            </w:r>
          </w:p>
        </w:tc>
        <w:tc>
          <w:tcPr>
            <w:tcW w:w="2168" w:type="pct"/>
            <w:shd w:val="clear" w:color="auto" w:fill="auto"/>
            <w:vAlign w:val="center"/>
          </w:tcPr>
          <w:p w14:paraId="53C4F97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636</w:t>
            </w:r>
          </w:p>
        </w:tc>
        <w:tc>
          <w:tcPr>
            <w:tcW w:w="1350" w:type="pct"/>
            <w:shd w:val="clear" w:color="auto" w:fill="auto"/>
            <w:vAlign w:val="center"/>
          </w:tcPr>
          <w:p w14:paraId="46A3856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34.75%</w:t>
            </w:r>
          </w:p>
        </w:tc>
      </w:tr>
      <w:tr w14:paraId="0603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104678F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低楼层</w:t>
            </w:r>
          </w:p>
        </w:tc>
        <w:tc>
          <w:tcPr>
            <w:tcW w:w="2168" w:type="pct"/>
            <w:shd w:val="clear" w:color="auto" w:fill="auto"/>
            <w:vAlign w:val="center"/>
          </w:tcPr>
          <w:p w14:paraId="7A9BF75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560</w:t>
            </w:r>
          </w:p>
        </w:tc>
        <w:tc>
          <w:tcPr>
            <w:tcW w:w="1350" w:type="pct"/>
            <w:shd w:val="clear" w:color="auto" w:fill="auto"/>
            <w:vAlign w:val="center"/>
          </w:tcPr>
          <w:p w14:paraId="4C6CD3B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30.60%</w:t>
            </w:r>
          </w:p>
        </w:tc>
      </w:tr>
      <w:tr w14:paraId="2707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3EBAF66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shd w:val="clear" w:color="auto" w:fill="auto"/>
            <w:vAlign w:val="center"/>
          </w:tcPr>
          <w:p w14:paraId="258AF7C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shd w:val="clear" w:color="auto" w:fill="auto"/>
            <w:vAlign w:val="center"/>
          </w:tcPr>
          <w:p w14:paraId="5F504F8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73D35502">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47CE2E4C">
        <w:tblPrEx>
          <w:tblCellMar>
            <w:top w:w="0" w:type="dxa"/>
            <w:left w:w="108" w:type="dxa"/>
            <w:bottom w:w="0" w:type="dxa"/>
            <w:right w:w="108" w:type="dxa"/>
          </w:tblCellMar>
        </w:tblPrEx>
        <w:trPr>
          <w:trHeight w:val="264"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711F6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朝向配比表</w:t>
            </w:r>
          </w:p>
        </w:tc>
      </w:tr>
      <w:tr w14:paraId="3BC46603">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BD2F3D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w:t>
            </w:r>
          </w:p>
        </w:tc>
        <w:tc>
          <w:tcPr>
            <w:tcW w:w="2168" w:type="pct"/>
            <w:tcBorders>
              <w:top w:val="nil"/>
              <w:left w:val="nil"/>
              <w:bottom w:val="single" w:color="auto" w:sz="4" w:space="0"/>
              <w:right w:val="single" w:color="auto" w:sz="4" w:space="0"/>
            </w:tcBorders>
            <w:shd w:val="clear" w:color="auto" w:fill="auto"/>
            <w:vAlign w:val="center"/>
          </w:tcPr>
          <w:p w14:paraId="76E0B3C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nil"/>
              <w:left w:val="nil"/>
              <w:bottom w:val="single" w:color="auto" w:sz="4" w:space="0"/>
              <w:right w:val="single" w:color="auto" w:sz="4" w:space="0"/>
            </w:tcBorders>
            <w:shd w:val="clear" w:color="auto" w:fill="auto"/>
            <w:vAlign w:val="center"/>
          </w:tcPr>
          <w:p w14:paraId="255EAA9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54719223">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88A492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w:t>
            </w:r>
          </w:p>
        </w:tc>
        <w:tc>
          <w:tcPr>
            <w:tcW w:w="2168" w:type="pct"/>
            <w:tcBorders>
              <w:top w:val="nil"/>
              <w:left w:val="nil"/>
              <w:bottom w:val="single" w:color="auto" w:sz="4" w:space="0"/>
              <w:right w:val="single" w:color="auto" w:sz="4" w:space="0"/>
            </w:tcBorders>
            <w:shd w:val="clear" w:color="auto" w:fill="auto"/>
            <w:vAlign w:val="center"/>
          </w:tcPr>
          <w:p w14:paraId="6C25ECC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376</w:t>
            </w:r>
          </w:p>
        </w:tc>
        <w:tc>
          <w:tcPr>
            <w:tcW w:w="1350" w:type="pct"/>
            <w:tcBorders>
              <w:top w:val="nil"/>
              <w:left w:val="nil"/>
              <w:bottom w:val="single" w:color="auto" w:sz="4" w:space="0"/>
              <w:right w:val="single" w:color="auto" w:sz="4" w:space="0"/>
            </w:tcBorders>
            <w:shd w:val="clear" w:color="auto" w:fill="auto"/>
            <w:vAlign w:val="center"/>
          </w:tcPr>
          <w:p w14:paraId="05F99FB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20.55%</w:t>
            </w:r>
          </w:p>
        </w:tc>
      </w:tr>
      <w:tr w14:paraId="55DD186E">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400345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w:t>
            </w:r>
          </w:p>
        </w:tc>
        <w:tc>
          <w:tcPr>
            <w:tcW w:w="2168" w:type="pct"/>
            <w:tcBorders>
              <w:top w:val="nil"/>
              <w:left w:val="nil"/>
              <w:bottom w:val="single" w:color="auto" w:sz="4" w:space="0"/>
              <w:right w:val="single" w:color="auto" w:sz="4" w:space="0"/>
            </w:tcBorders>
            <w:shd w:val="clear" w:color="auto" w:fill="auto"/>
            <w:vAlign w:val="center"/>
          </w:tcPr>
          <w:p w14:paraId="36E3B49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312</w:t>
            </w:r>
          </w:p>
        </w:tc>
        <w:tc>
          <w:tcPr>
            <w:tcW w:w="1350" w:type="pct"/>
            <w:tcBorders>
              <w:top w:val="nil"/>
              <w:left w:val="nil"/>
              <w:bottom w:val="single" w:color="auto" w:sz="4" w:space="0"/>
              <w:right w:val="single" w:color="auto" w:sz="4" w:space="0"/>
            </w:tcBorders>
            <w:shd w:val="clear" w:color="auto" w:fill="auto"/>
            <w:vAlign w:val="center"/>
          </w:tcPr>
          <w:p w14:paraId="58948C7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17.05%</w:t>
            </w:r>
          </w:p>
        </w:tc>
      </w:tr>
      <w:tr w14:paraId="5B1FEBD4">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DFF091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东北</w:t>
            </w:r>
          </w:p>
        </w:tc>
        <w:tc>
          <w:tcPr>
            <w:tcW w:w="2168" w:type="pct"/>
            <w:tcBorders>
              <w:top w:val="nil"/>
              <w:left w:val="nil"/>
              <w:bottom w:val="single" w:color="auto" w:sz="4" w:space="0"/>
              <w:right w:val="single" w:color="auto" w:sz="4" w:space="0"/>
            </w:tcBorders>
            <w:shd w:val="clear" w:color="auto" w:fill="auto"/>
            <w:vAlign w:val="center"/>
          </w:tcPr>
          <w:p w14:paraId="5C0C2B4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59E5ACB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47C5E3F0">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2A70DD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西北</w:t>
            </w:r>
          </w:p>
        </w:tc>
        <w:tc>
          <w:tcPr>
            <w:tcW w:w="2168" w:type="pct"/>
            <w:tcBorders>
              <w:top w:val="nil"/>
              <w:left w:val="nil"/>
              <w:bottom w:val="single" w:color="auto" w:sz="4" w:space="0"/>
              <w:right w:val="single" w:color="auto" w:sz="4" w:space="0"/>
            </w:tcBorders>
            <w:shd w:val="clear" w:color="auto" w:fill="auto"/>
            <w:vAlign w:val="center"/>
          </w:tcPr>
          <w:p w14:paraId="0DC9D0B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1257A79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06EAB8E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DC646F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东南</w:t>
            </w:r>
          </w:p>
        </w:tc>
        <w:tc>
          <w:tcPr>
            <w:tcW w:w="2168" w:type="pct"/>
            <w:tcBorders>
              <w:top w:val="nil"/>
              <w:left w:val="nil"/>
              <w:bottom w:val="single" w:color="auto" w:sz="4" w:space="0"/>
              <w:right w:val="single" w:color="auto" w:sz="4" w:space="0"/>
            </w:tcBorders>
            <w:shd w:val="clear" w:color="auto" w:fill="auto"/>
            <w:vAlign w:val="center"/>
          </w:tcPr>
          <w:p w14:paraId="0A9DC80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620F7AE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3312CA0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5C4263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西南</w:t>
            </w:r>
          </w:p>
        </w:tc>
        <w:tc>
          <w:tcPr>
            <w:tcW w:w="2168" w:type="pct"/>
            <w:tcBorders>
              <w:top w:val="nil"/>
              <w:left w:val="nil"/>
              <w:bottom w:val="single" w:color="auto" w:sz="4" w:space="0"/>
              <w:right w:val="single" w:color="auto" w:sz="4" w:space="0"/>
            </w:tcBorders>
            <w:shd w:val="clear" w:color="auto" w:fill="auto"/>
            <w:vAlign w:val="center"/>
          </w:tcPr>
          <w:p w14:paraId="00FC1EC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63363EC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135A2DD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2DE731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w:t>
            </w:r>
          </w:p>
        </w:tc>
        <w:tc>
          <w:tcPr>
            <w:tcW w:w="2168" w:type="pct"/>
            <w:tcBorders>
              <w:top w:val="nil"/>
              <w:left w:val="nil"/>
              <w:bottom w:val="single" w:color="auto" w:sz="4" w:space="0"/>
              <w:right w:val="single" w:color="auto" w:sz="4" w:space="0"/>
            </w:tcBorders>
            <w:shd w:val="clear" w:color="auto" w:fill="auto"/>
            <w:vAlign w:val="center"/>
          </w:tcPr>
          <w:p w14:paraId="5AF345A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435</w:t>
            </w:r>
          </w:p>
        </w:tc>
        <w:tc>
          <w:tcPr>
            <w:tcW w:w="1350" w:type="pct"/>
            <w:tcBorders>
              <w:top w:val="nil"/>
              <w:left w:val="nil"/>
              <w:bottom w:val="single" w:color="auto" w:sz="4" w:space="0"/>
              <w:right w:val="single" w:color="auto" w:sz="4" w:space="0"/>
            </w:tcBorders>
            <w:shd w:val="clear" w:color="auto" w:fill="auto"/>
            <w:vAlign w:val="center"/>
          </w:tcPr>
          <w:p w14:paraId="41C3E5F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23.77%</w:t>
            </w:r>
          </w:p>
        </w:tc>
      </w:tr>
      <w:tr w14:paraId="3FF5C2C4">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59C72C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南北</w:t>
            </w:r>
          </w:p>
        </w:tc>
        <w:tc>
          <w:tcPr>
            <w:tcW w:w="2168" w:type="pct"/>
            <w:tcBorders>
              <w:top w:val="nil"/>
              <w:left w:val="nil"/>
              <w:bottom w:val="single" w:color="auto" w:sz="4" w:space="0"/>
              <w:right w:val="single" w:color="auto" w:sz="4" w:space="0"/>
            </w:tcBorders>
            <w:shd w:val="clear" w:color="auto" w:fill="auto"/>
            <w:vAlign w:val="center"/>
          </w:tcPr>
          <w:p w14:paraId="5DEC43E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357</w:t>
            </w:r>
          </w:p>
        </w:tc>
        <w:tc>
          <w:tcPr>
            <w:tcW w:w="1350" w:type="pct"/>
            <w:tcBorders>
              <w:top w:val="nil"/>
              <w:left w:val="nil"/>
              <w:bottom w:val="single" w:color="auto" w:sz="4" w:space="0"/>
              <w:right w:val="single" w:color="auto" w:sz="4" w:space="0"/>
            </w:tcBorders>
            <w:shd w:val="clear" w:color="auto" w:fill="auto"/>
            <w:vAlign w:val="center"/>
          </w:tcPr>
          <w:p w14:paraId="4BF6390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19.51%</w:t>
            </w:r>
          </w:p>
        </w:tc>
      </w:tr>
      <w:tr w14:paraId="040D6FF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23DA62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221C14E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2A5B1A5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128C3437">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建筑面积</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6B52411D">
        <w:tblPrEx>
          <w:tblCellMar>
            <w:top w:w="0" w:type="dxa"/>
            <w:left w:w="108" w:type="dxa"/>
            <w:bottom w:w="0" w:type="dxa"/>
            <w:right w:w="108" w:type="dxa"/>
          </w:tblCellMar>
        </w:tblPrEx>
        <w:trPr>
          <w:trHeight w:val="528"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27BBD64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建筑面积范围（平方米）</w:t>
            </w:r>
          </w:p>
        </w:tc>
        <w:tc>
          <w:tcPr>
            <w:tcW w:w="2168" w:type="pct"/>
            <w:tcBorders>
              <w:top w:val="single" w:color="auto" w:sz="4" w:space="0"/>
              <w:left w:val="nil"/>
              <w:bottom w:val="single" w:color="auto" w:sz="4" w:space="0"/>
              <w:right w:val="single" w:color="auto" w:sz="4" w:space="0"/>
            </w:tcBorders>
            <w:shd w:val="clear" w:color="auto" w:fill="auto"/>
            <w:vAlign w:val="center"/>
          </w:tcPr>
          <w:p w14:paraId="6C1859C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7D38138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35F6F36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D98E75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30.04-32.61</w:t>
            </w:r>
          </w:p>
        </w:tc>
        <w:tc>
          <w:tcPr>
            <w:tcW w:w="2168" w:type="pct"/>
            <w:tcBorders>
              <w:top w:val="nil"/>
              <w:left w:val="nil"/>
              <w:bottom w:val="single" w:color="auto" w:sz="4" w:space="0"/>
              <w:right w:val="single" w:color="auto" w:sz="4" w:space="0"/>
            </w:tcBorders>
            <w:shd w:val="clear" w:color="auto" w:fill="auto"/>
            <w:vAlign w:val="center"/>
          </w:tcPr>
          <w:p w14:paraId="7DF03E3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04907C2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4B66669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DE4821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41.49-50.94</w:t>
            </w:r>
          </w:p>
        </w:tc>
        <w:tc>
          <w:tcPr>
            <w:tcW w:w="2168" w:type="pct"/>
            <w:tcBorders>
              <w:top w:val="nil"/>
              <w:left w:val="nil"/>
              <w:bottom w:val="single" w:color="auto" w:sz="4" w:space="0"/>
              <w:right w:val="single" w:color="auto" w:sz="4" w:space="0"/>
            </w:tcBorders>
            <w:shd w:val="clear" w:color="auto" w:fill="auto"/>
            <w:vAlign w:val="center"/>
          </w:tcPr>
          <w:p w14:paraId="225FBE1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4E0C5D5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5EA1B65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279A1D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57.9-61.95</w:t>
            </w:r>
          </w:p>
        </w:tc>
        <w:tc>
          <w:tcPr>
            <w:tcW w:w="2168" w:type="pct"/>
            <w:tcBorders>
              <w:top w:val="nil"/>
              <w:left w:val="nil"/>
              <w:bottom w:val="single" w:color="auto" w:sz="4" w:space="0"/>
              <w:right w:val="single" w:color="auto" w:sz="4" w:space="0"/>
            </w:tcBorders>
            <w:shd w:val="clear" w:color="auto" w:fill="auto"/>
            <w:vAlign w:val="center"/>
          </w:tcPr>
          <w:p w14:paraId="7F4294C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3852E18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498709CC">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CDD862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596FFF0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389865D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5C8FAF26">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户型</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42A1593B">
        <w:tblPrEx>
          <w:tblCellMar>
            <w:top w:w="0" w:type="dxa"/>
            <w:left w:w="108" w:type="dxa"/>
            <w:bottom w:w="0" w:type="dxa"/>
            <w:right w:w="108" w:type="dxa"/>
          </w:tblCellMar>
        </w:tblPrEx>
        <w:trPr>
          <w:trHeight w:val="264"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0F3F2F0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户型</w:t>
            </w:r>
          </w:p>
        </w:tc>
        <w:tc>
          <w:tcPr>
            <w:tcW w:w="2168" w:type="pct"/>
            <w:tcBorders>
              <w:top w:val="single" w:color="auto" w:sz="4" w:space="0"/>
              <w:left w:val="nil"/>
              <w:bottom w:val="single" w:color="auto" w:sz="4" w:space="0"/>
              <w:right w:val="single" w:color="auto" w:sz="4" w:space="0"/>
            </w:tcBorders>
            <w:shd w:val="clear" w:color="auto" w:fill="auto"/>
            <w:vAlign w:val="center"/>
          </w:tcPr>
          <w:p w14:paraId="05FCF54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545B037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0A7B8A1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2E8F43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零居</w:t>
            </w:r>
          </w:p>
        </w:tc>
        <w:tc>
          <w:tcPr>
            <w:tcW w:w="2168" w:type="pct"/>
            <w:tcBorders>
              <w:top w:val="nil"/>
              <w:left w:val="nil"/>
              <w:bottom w:val="single" w:color="auto" w:sz="4" w:space="0"/>
              <w:right w:val="single" w:color="auto" w:sz="4" w:space="0"/>
            </w:tcBorders>
            <w:shd w:val="clear" w:color="auto" w:fill="auto"/>
            <w:vAlign w:val="center"/>
          </w:tcPr>
          <w:p w14:paraId="7DEDBC4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245C783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6F3B80AD">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06DD7E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一居</w:t>
            </w:r>
          </w:p>
        </w:tc>
        <w:tc>
          <w:tcPr>
            <w:tcW w:w="2168" w:type="pct"/>
            <w:tcBorders>
              <w:top w:val="nil"/>
              <w:left w:val="nil"/>
              <w:bottom w:val="single" w:color="auto" w:sz="4" w:space="0"/>
              <w:right w:val="single" w:color="auto" w:sz="4" w:space="0"/>
            </w:tcBorders>
            <w:shd w:val="clear" w:color="auto" w:fill="auto"/>
            <w:vAlign w:val="center"/>
          </w:tcPr>
          <w:p w14:paraId="51012F5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35829FD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16DE93C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8C4712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两居</w:t>
            </w:r>
          </w:p>
        </w:tc>
        <w:tc>
          <w:tcPr>
            <w:tcW w:w="2168" w:type="pct"/>
            <w:tcBorders>
              <w:top w:val="nil"/>
              <w:left w:val="nil"/>
              <w:bottom w:val="single" w:color="auto" w:sz="4" w:space="0"/>
              <w:right w:val="single" w:color="auto" w:sz="4" w:space="0"/>
            </w:tcBorders>
            <w:shd w:val="clear" w:color="auto" w:fill="auto"/>
            <w:vAlign w:val="center"/>
          </w:tcPr>
          <w:p w14:paraId="0336766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5B6A44C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6645B78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3D88E0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55CCFCE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3410096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1B9F2464">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梯户比</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672F218E">
        <w:tblPrEx>
          <w:tblCellMar>
            <w:top w:w="0" w:type="dxa"/>
            <w:left w:w="108" w:type="dxa"/>
            <w:bottom w:w="0" w:type="dxa"/>
            <w:right w:w="108" w:type="dxa"/>
          </w:tblCellMar>
        </w:tblPrEx>
        <w:trPr>
          <w:trHeight w:val="264" w:hRule="atLeast"/>
          <w:tblHeader/>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4343E27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梯户比</w:t>
            </w:r>
          </w:p>
        </w:tc>
        <w:tc>
          <w:tcPr>
            <w:tcW w:w="2168" w:type="pct"/>
            <w:tcBorders>
              <w:top w:val="single" w:color="auto" w:sz="4" w:space="0"/>
              <w:left w:val="nil"/>
              <w:bottom w:val="single" w:color="auto" w:sz="4" w:space="0"/>
              <w:right w:val="single" w:color="auto" w:sz="4" w:space="0"/>
            </w:tcBorders>
            <w:shd w:val="clear" w:color="auto" w:fill="auto"/>
            <w:vAlign w:val="center"/>
          </w:tcPr>
          <w:p w14:paraId="1E53329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78C98CE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1C436522">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62721E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两梯六户</w:t>
            </w:r>
          </w:p>
        </w:tc>
        <w:tc>
          <w:tcPr>
            <w:tcW w:w="2168" w:type="pct"/>
            <w:tcBorders>
              <w:top w:val="nil"/>
              <w:left w:val="nil"/>
              <w:bottom w:val="single" w:color="auto" w:sz="4" w:space="0"/>
              <w:right w:val="single" w:color="auto" w:sz="4" w:space="0"/>
            </w:tcBorders>
            <w:shd w:val="clear" w:color="auto" w:fill="auto"/>
            <w:vAlign w:val="center"/>
          </w:tcPr>
          <w:p w14:paraId="764B475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720</w:t>
            </w:r>
          </w:p>
        </w:tc>
        <w:tc>
          <w:tcPr>
            <w:tcW w:w="1350" w:type="pct"/>
            <w:tcBorders>
              <w:top w:val="nil"/>
              <w:left w:val="nil"/>
              <w:bottom w:val="single" w:color="auto" w:sz="4" w:space="0"/>
              <w:right w:val="single" w:color="auto" w:sz="4" w:space="0"/>
            </w:tcBorders>
            <w:shd w:val="clear" w:color="auto" w:fill="auto"/>
            <w:vAlign w:val="center"/>
          </w:tcPr>
          <w:p w14:paraId="40FBF06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39.34%</w:t>
            </w:r>
          </w:p>
        </w:tc>
      </w:tr>
      <w:tr w14:paraId="6C7B392D">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608B938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两梯五户</w:t>
            </w:r>
          </w:p>
        </w:tc>
        <w:tc>
          <w:tcPr>
            <w:tcW w:w="2168" w:type="pct"/>
            <w:tcBorders>
              <w:top w:val="nil"/>
              <w:left w:val="nil"/>
              <w:bottom w:val="single" w:color="auto" w:sz="4" w:space="0"/>
              <w:right w:val="single" w:color="auto" w:sz="4" w:space="0"/>
            </w:tcBorders>
            <w:shd w:val="clear" w:color="auto" w:fill="auto"/>
            <w:vAlign w:val="center"/>
          </w:tcPr>
          <w:p w14:paraId="65A79B8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494</w:t>
            </w:r>
          </w:p>
        </w:tc>
        <w:tc>
          <w:tcPr>
            <w:tcW w:w="1350" w:type="pct"/>
            <w:tcBorders>
              <w:top w:val="nil"/>
              <w:left w:val="nil"/>
              <w:bottom w:val="single" w:color="auto" w:sz="4" w:space="0"/>
              <w:right w:val="single" w:color="auto" w:sz="4" w:space="0"/>
            </w:tcBorders>
            <w:shd w:val="clear" w:color="auto" w:fill="auto"/>
            <w:vAlign w:val="center"/>
          </w:tcPr>
          <w:p w14:paraId="6A05683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26.99%</w:t>
            </w:r>
          </w:p>
        </w:tc>
      </w:tr>
      <w:tr w14:paraId="6301564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E4D6C9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两梯四户</w:t>
            </w:r>
          </w:p>
        </w:tc>
        <w:tc>
          <w:tcPr>
            <w:tcW w:w="2168" w:type="pct"/>
            <w:tcBorders>
              <w:top w:val="nil"/>
              <w:left w:val="nil"/>
              <w:bottom w:val="single" w:color="auto" w:sz="4" w:space="0"/>
              <w:right w:val="single" w:color="auto" w:sz="4" w:space="0"/>
            </w:tcBorders>
            <w:shd w:val="clear" w:color="auto" w:fill="auto"/>
            <w:vAlign w:val="center"/>
          </w:tcPr>
          <w:p w14:paraId="0B4B661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w:t>
            </w:r>
          </w:p>
        </w:tc>
        <w:tc>
          <w:tcPr>
            <w:tcW w:w="1350" w:type="pct"/>
            <w:tcBorders>
              <w:top w:val="nil"/>
              <w:left w:val="nil"/>
              <w:bottom w:val="single" w:color="auto" w:sz="4" w:space="0"/>
              <w:right w:val="single" w:color="auto" w:sz="4" w:space="0"/>
            </w:tcBorders>
            <w:shd w:val="clear" w:color="auto" w:fill="auto"/>
            <w:vAlign w:val="center"/>
          </w:tcPr>
          <w:p w14:paraId="6697A77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0.44%</w:t>
            </w:r>
          </w:p>
        </w:tc>
      </w:tr>
      <w:tr w14:paraId="39EAD96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557C2E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六梯三十八户</w:t>
            </w:r>
          </w:p>
        </w:tc>
        <w:tc>
          <w:tcPr>
            <w:tcW w:w="2168" w:type="pct"/>
            <w:tcBorders>
              <w:top w:val="nil"/>
              <w:left w:val="nil"/>
              <w:bottom w:val="single" w:color="auto" w:sz="4" w:space="0"/>
              <w:right w:val="single" w:color="auto" w:sz="4" w:space="0"/>
            </w:tcBorders>
            <w:shd w:val="clear" w:color="auto" w:fill="auto"/>
            <w:vAlign w:val="center"/>
          </w:tcPr>
          <w:p w14:paraId="52DCDAF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608</w:t>
            </w:r>
          </w:p>
        </w:tc>
        <w:tc>
          <w:tcPr>
            <w:tcW w:w="1350" w:type="pct"/>
            <w:tcBorders>
              <w:top w:val="nil"/>
              <w:left w:val="nil"/>
              <w:bottom w:val="single" w:color="auto" w:sz="4" w:space="0"/>
              <w:right w:val="single" w:color="auto" w:sz="4" w:space="0"/>
            </w:tcBorders>
            <w:shd w:val="clear" w:color="auto" w:fill="auto"/>
            <w:vAlign w:val="center"/>
          </w:tcPr>
          <w:p w14:paraId="7DC9987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33.22%</w:t>
            </w:r>
          </w:p>
        </w:tc>
      </w:tr>
      <w:tr w14:paraId="544670F0">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1A446D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163DDBC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5E2533F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2D679B2E">
      <w:pPr>
        <w:pStyle w:val="61"/>
        <w:wordWrap w:val="0"/>
        <w:overflowPunct w:val="0"/>
        <w:spacing w:before="240" w:beforeLines="10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参照《关于发布&lt;北京市公共租赁住房项目市场租金评估技术指引&gt;的通知》[北估秘[2019]020号]，公共租赁住房项目市场租金采取标准房进行评估。标准房是指参照被评估公共租赁住房项目的户型、面积、朝向、楼层、装修及设备等因素按照众数原则设定的房屋状况。</w:t>
      </w:r>
    </w:p>
    <w:p w14:paraId="7AB8EE14">
      <w:pPr>
        <w:pStyle w:val="61"/>
        <w:wordWrap w:val="0"/>
        <w:overflowPunct w:val="0"/>
        <w:spacing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根据《燕保·高米店家园项目房源表》及上述楼层、朝向、面积、户型、梯户比等配比情况，本次估价按照众数原则设定具有代表性的标准房屋，具体标准房详见下表:</w:t>
      </w:r>
    </w:p>
    <w:p w14:paraId="23926237">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72A7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41CE8FA7">
            <w:pPr>
              <w:overflowPunct w:val="0"/>
              <w:spacing w:line="240" w:lineRule="atLeast"/>
              <w:jc w:val="center"/>
              <w:rPr>
                <w:rFonts w:ascii="宋体" w:hAnsi="宋体" w:cs="Arial"/>
                <w:kern w:val="2"/>
                <w:sz w:val="21"/>
                <w:szCs w:val="21"/>
              </w:rPr>
            </w:pPr>
            <w:r>
              <w:rPr>
                <w:rFonts w:ascii="宋体" w:hAnsi="宋体" w:cs="Arial"/>
                <w:kern w:val="2"/>
                <w:sz w:val="21"/>
                <w:szCs w:val="21"/>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2C69D1EF">
            <w:pPr>
              <w:overflowPunct w:val="0"/>
              <w:spacing w:line="240" w:lineRule="atLeast"/>
              <w:jc w:val="center"/>
              <w:rPr>
                <w:rFonts w:ascii="宋体" w:hAnsi="宋体" w:cs="Arial"/>
                <w:kern w:val="2"/>
                <w:sz w:val="21"/>
                <w:szCs w:val="21"/>
              </w:rPr>
            </w:pPr>
            <w:r>
              <w:rPr>
                <w:rFonts w:ascii="宋体" w:hAnsi="宋体" w:cs="Arial"/>
                <w:kern w:val="2"/>
                <w:sz w:val="21"/>
                <w:szCs w:val="21"/>
              </w:rPr>
              <w:t>设定标准</w:t>
            </w:r>
          </w:p>
        </w:tc>
      </w:tr>
      <w:tr w14:paraId="4CE19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2249E83E">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hint="eastAsia" w:ascii="宋体" w:hAnsi="宋体" w:cs="Arial"/>
                <w:kern w:val="2"/>
                <w:sz w:val="21"/>
                <w:szCs w:val="21"/>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085F58E3">
            <w:pPr>
              <w:overflowPunct w:val="0"/>
              <w:spacing w:line="240" w:lineRule="atLeast"/>
              <w:jc w:val="center"/>
              <w:rPr>
                <w:rFonts w:ascii="宋体" w:hAnsi="宋体" w:cs="Arial"/>
                <w:kern w:val="2"/>
                <w:sz w:val="21"/>
                <w:szCs w:val="21"/>
              </w:rPr>
            </w:pPr>
            <w:r>
              <w:rPr>
                <w:rFonts w:ascii="宋体" w:hAnsi="宋体" w:cs="Arial"/>
                <w:kern w:val="2"/>
                <w:sz w:val="21"/>
                <w:szCs w:val="21"/>
              </w:rPr>
              <w:t>中楼层</w:t>
            </w:r>
            <w:r>
              <w:rPr>
                <w:rFonts w:hint="eastAsia" w:ascii="宋体" w:hAnsi="宋体" w:cs="Arial"/>
                <w:kern w:val="2"/>
                <w:sz w:val="21"/>
                <w:szCs w:val="21"/>
              </w:rPr>
              <w:t>/1</w:t>
            </w:r>
            <w:r>
              <w:rPr>
                <w:rFonts w:ascii="宋体" w:hAnsi="宋体" w:cs="Arial"/>
                <w:kern w:val="2"/>
                <w:sz w:val="21"/>
                <w:szCs w:val="21"/>
              </w:rPr>
              <w:t>8</w:t>
            </w:r>
            <w:r>
              <w:rPr>
                <w:rFonts w:hint="eastAsia" w:ascii="宋体" w:hAnsi="宋体" w:cs="Arial"/>
                <w:kern w:val="2"/>
                <w:sz w:val="21"/>
                <w:szCs w:val="21"/>
              </w:rPr>
              <w:t>层</w:t>
            </w:r>
          </w:p>
        </w:tc>
      </w:tr>
      <w:tr w14:paraId="119A7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6A0BF53">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5FD88CB2">
            <w:pPr>
              <w:overflowPunct w:val="0"/>
              <w:spacing w:line="240" w:lineRule="atLeast"/>
              <w:jc w:val="center"/>
              <w:rPr>
                <w:rFonts w:ascii="宋体" w:hAnsi="宋体" w:cs="Arial"/>
                <w:kern w:val="2"/>
                <w:sz w:val="21"/>
                <w:szCs w:val="21"/>
              </w:rPr>
            </w:pPr>
            <w:r>
              <w:rPr>
                <w:rFonts w:hint="eastAsia" w:ascii="宋体" w:hAnsi="宋体" w:cs="Arial"/>
                <w:kern w:val="2"/>
                <w:sz w:val="21"/>
                <w:szCs w:val="21"/>
              </w:rPr>
              <w:t>南</w:t>
            </w:r>
          </w:p>
        </w:tc>
      </w:tr>
      <w:tr w14:paraId="53C9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DA19F6D">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6C6E052B">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hint="eastAsia" w:ascii="宋体" w:hAnsi="宋体" w:cs="Arial"/>
                <w:kern w:val="2"/>
                <w:sz w:val="21"/>
                <w:szCs w:val="21"/>
              </w:rPr>
              <w:t>-</w:t>
            </w:r>
            <w:r>
              <w:rPr>
                <w:rFonts w:ascii="宋体" w:hAnsi="宋体" w:cs="Arial"/>
                <w:kern w:val="2"/>
                <w:sz w:val="21"/>
                <w:szCs w:val="21"/>
              </w:rPr>
              <w:t>61.95</w:t>
            </w:r>
          </w:p>
        </w:tc>
      </w:tr>
      <w:tr w14:paraId="53475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67ADF6C">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12DA143E">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14:paraId="658F8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31A24DF">
            <w:pPr>
              <w:overflowPunct w:val="0"/>
              <w:spacing w:line="240" w:lineRule="atLeast"/>
              <w:jc w:val="center"/>
              <w:rPr>
                <w:rFonts w:ascii="宋体" w:hAnsi="宋体" w:cs="Arial"/>
                <w:kern w:val="2"/>
                <w:sz w:val="21"/>
                <w:szCs w:val="21"/>
              </w:rPr>
            </w:pPr>
            <w:r>
              <w:rPr>
                <w:rFonts w:hint="eastAsia" w:ascii="宋体" w:hAnsi="宋体" w:cs="Arial"/>
                <w:kern w:val="2"/>
                <w:sz w:val="21"/>
                <w:szCs w:val="21"/>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4D057613">
            <w:pPr>
              <w:overflowPunct w:val="0"/>
              <w:spacing w:line="240" w:lineRule="atLeast"/>
              <w:jc w:val="center"/>
              <w:rPr>
                <w:rFonts w:ascii="宋体" w:hAnsi="宋体" w:cs="Arial"/>
                <w:kern w:val="2"/>
                <w:sz w:val="21"/>
                <w:szCs w:val="21"/>
              </w:rPr>
            </w:pPr>
            <w:r>
              <w:rPr>
                <w:rFonts w:hint="eastAsia" w:ascii="宋体" w:hAnsi="宋体" w:cs="Arial"/>
                <w:kern w:val="2"/>
                <w:sz w:val="21"/>
                <w:szCs w:val="21"/>
              </w:rPr>
              <w:t>两居室</w:t>
            </w:r>
          </w:p>
        </w:tc>
      </w:tr>
      <w:tr w14:paraId="3D05F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4D8E7344">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6CE8E0D3">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292613DB">
      <w:pPr>
        <w:overflowPunct w:val="0"/>
        <w:spacing w:after="120" w:afterLines="50" w:line="240" w:lineRule="auto"/>
        <w:jc w:val="both"/>
        <w:textAlignment w:val="auto"/>
        <w:rPr>
          <w:rFonts w:ascii="Arial" w:hAnsi="Arial" w:cs="Arial"/>
          <w:sz w:val="18"/>
          <w:szCs w:val="18"/>
        </w:rPr>
      </w:pPr>
    </w:p>
    <w:p w14:paraId="2372383E">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将所选可比小区与</w:t>
      </w:r>
      <w:r>
        <w:rPr>
          <w:rFonts w:hint="eastAsia" w:ascii="Arial" w:hAnsi="Arial" w:cs="Arial"/>
          <w:sz w:val="21"/>
          <w:szCs w:val="21"/>
        </w:rPr>
        <w:t>估价</w:t>
      </w:r>
      <w:r>
        <w:rPr>
          <w:rFonts w:ascii="Arial" w:hAnsi="Arial" w:cs="Arial"/>
          <w:sz w:val="21"/>
          <w:szCs w:val="21"/>
        </w:rPr>
        <w:t>对象公共租赁住房标准房进行比较，进行区位状况调整和实物状况调整，</w:t>
      </w:r>
      <w:r>
        <w:rPr>
          <w:rFonts w:hint="eastAsia" w:ascii="Arial" w:hAnsi="Arial" w:cs="Arial"/>
          <w:sz w:val="21"/>
          <w:szCs w:val="21"/>
        </w:rPr>
        <w:t>计算各可比实例比准租金，得到估价对象标准房租金水平。</w:t>
      </w:r>
    </w:p>
    <w:p w14:paraId="2847F2B4">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本次选用</w:t>
      </w:r>
      <w:r>
        <w:rPr>
          <w:rFonts w:hint="eastAsia" w:ascii="Arial" w:hAnsi="Arial" w:cs="Arial"/>
          <w:sz w:val="21"/>
          <w:szCs w:val="21"/>
        </w:rPr>
        <w:t>成本法评估结果对公共租赁住房项目的成本收益进行分析。</w:t>
      </w:r>
    </w:p>
    <w:p w14:paraId="6B36BA88">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Arial"/>
          <w:sz w:val="21"/>
          <w:szCs w:val="21"/>
        </w:rPr>
        <w:t>（1）</w:t>
      </w:r>
      <w:r>
        <w:rPr>
          <w:rFonts w:hint="eastAsia" w:ascii="Arial" w:hAnsi="Arial" w:cs="Arial"/>
          <w:sz w:val="21"/>
          <w:szCs w:val="21"/>
        </w:rPr>
        <w:t>公共租赁住房项目由建设、运营和管理费用构成。</w:t>
      </w:r>
    </w:p>
    <w:p w14:paraId="2D9ED6C3">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（2）</w:t>
      </w:r>
      <w:r>
        <w:rPr>
          <w:rFonts w:hint="eastAsia" w:ascii="Arial" w:hAnsi="Arial" w:cs="Arial"/>
          <w:sz w:val="21"/>
          <w:szCs w:val="21"/>
        </w:rPr>
        <w:t>估价对象建设费用为开发建设成本，运营费用由维修费、保险费、物业费构成，管理成本由管理费、利息和利润构成。</w:t>
      </w:r>
    </w:p>
    <w:p w14:paraId="41A1CB49">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（3）本次采用成本静态分析，测算估价对象公共租赁住房项目每月发生的实际成本。即：</w:t>
      </w:r>
    </w:p>
    <w:p w14:paraId="77007E31">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月成本收益=（年折旧及摊销成本+年运营成本+年管理成本）÷（公租房项目建筑面积×12 个月）</w:t>
      </w:r>
    </w:p>
    <w:p w14:paraId="68F6135C">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其中年折旧及摊销成本=收购费用÷非生产用房经济耐用年限</w:t>
      </w:r>
    </w:p>
    <w:p w14:paraId="0B7D94F0">
      <w:pPr>
        <w:pStyle w:val="61"/>
        <w:wordWrap w:val="0"/>
        <w:overflowPunct w:val="0"/>
        <w:autoSpaceDE w:val="0"/>
        <w:autoSpaceDN w:val="0"/>
        <w:spacing w:line="480" w:lineRule="auto"/>
        <w:ind w:right="140"/>
        <w:jc w:val="both"/>
        <w:textAlignment w:val="auto"/>
        <w:rPr>
          <w:rFonts w:ascii="Arial" w:hAnsi="Arial" w:cs="Arial"/>
          <w:b/>
          <w:sz w:val="21"/>
          <w:szCs w:val="21"/>
        </w:rPr>
      </w:pPr>
    </w:p>
    <w:p w14:paraId="4351B079">
      <w:pPr>
        <w:pStyle w:val="61"/>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2FEBFC0F">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060A0E53">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4AD43296">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p>
    <w:p w14:paraId="49A57351">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2.采用成本法的理由：</w:t>
      </w:r>
    </w:p>
    <w:p w14:paraId="6B45C78F">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估价对象成本具有可获得性，且有一定的参考价值。通过测算项目各种成本，并进行成本静态分析，测算公共租赁住房项目每月发生的实际成本。</w:t>
      </w:r>
    </w:p>
    <w:p w14:paraId="6F05B0AF">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3.不采用假设开发法、收益法的理由：</w:t>
      </w:r>
    </w:p>
    <w:p w14:paraId="48580D9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（1）假设开发法可评估房地产市场价值，但不适于租赁价格的评估。</w:t>
      </w:r>
    </w:p>
    <w:p w14:paraId="750EB9A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pPr>
        <w:pStyle w:val="61"/>
        <w:wordWrap w:val="0"/>
        <w:overflowPunct w:val="0"/>
        <w:autoSpaceDE w:val="0"/>
        <w:autoSpaceDN w:val="0"/>
        <w:spacing w:line="360" w:lineRule="auto"/>
        <w:ind w:right="142" w:firstLine="420" w:firstLineChars="200"/>
        <w:jc w:val="both"/>
        <w:textAlignment w:val="auto"/>
        <w:rPr>
          <w:rFonts w:ascii="Arial" w:hAnsi="Arial" w:cs="Arial"/>
          <w:sz w:val="21"/>
          <w:szCs w:val="21"/>
        </w:rPr>
      </w:pPr>
    </w:p>
    <w:p w14:paraId="79BF2249">
      <w:pPr>
        <w:pStyle w:val="3"/>
        <w:tabs>
          <w:tab w:val="left" w:pos="360"/>
        </w:tabs>
        <w:wordWrap w:val="0"/>
        <w:overflowPunct w:val="0"/>
        <w:spacing w:line="480" w:lineRule="auto"/>
        <w:ind w:left="358" w:hanging="358" w:hangingChars="170"/>
        <w:jc w:val="both"/>
        <w:textAlignment w:val="auto"/>
        <w:rPr>
          <w:rFonts w:eastAsia="宋体"/>
          <w:kern w:val="2"/>
          <w:sz w:val="21"/>
          <w:szCs w:val="21"/>
        </w:rPr>
      </w:pPr>
      <w:bookmarkStart w:id="37" w:name="_Toc525655427"/>
      <w:bookmarkStart w:id="38" w:name="_Toc168225822"/>
      <w:r>
        <w:rPr>
          <w:rFonts w:eastAsia="宋体"/>
          <w:kern w:val="2"/>
          <w:sz w:val="21"/>
          <w:szCs w:val="21"/>
        </w:rPr>
        <w:t>十、估价结果</w:t>
      </w:r>
      <w:bookmarkEnd w:id="37"/>
      <w:bookmarkEnd w:id="38"/>
    </w:p>
    <w:p w14:paraId="3493385E">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注册房地产估价师根据估价的目的，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同地段、同类型普通住宅房地产于价值时点</w:t>
      </w:r>
      <w:r>
        <w:rPr>
          <w:rFonts w:ascii="Arial" w:hAnsi="Arial" w:cs="Arial"/>
          <w:sz w:val="21"/>
          <w:szCs w:val="21"/>
        </w:rPr>
        <w:t>2025年5月1日</w:t>
      </w:r>
      <w:r>
        <w:rPr>
          <w:rFonts w:hint="eastAsia" w:ascii="Arial" w:hAnsi="Arial" w:cs="Arial"/>
          <w:sz w:val="21"/>
          <w:szCs w:val="21"/>
        </w:rPr>
        <w:t>前一年内（2024年5月1日至2025年4月30日）市场平均租金价格为：</w:t>
      </w:r>
    </w:p>
    <w:p w14:paraId="51BBFFF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估价对象市场租金：</w:t>
      </w:r>
      <w:r>
        <w:rPr>
          <w:rFonts w:ascii="Arial" w:hAnsi="Arial" w:cs="Arial"/>
          <w:b/>
          <w:bCs/>
          <w:sz w:val="21"/>
          <w:szCs w:val="21"/>
        </w:rPr>
        <w:t>58.87</w:t>
      </w:r>
      <w:r>
        <w:rPr>
          <w:rFonts w:hint="eastAsia" w:ascii="Arial" w:hAnsi="Arial" w:cs="Arial"/>
          <w:b/>
          <w:bCs/>
          <w:sz w:val="21"/>
          <w:szCs w:val="21"/>
        </w:rPr>
        <w:t>元/平方米·月（货币种类：人民币）</w:t>
      </w:r>
    </w:p>
    <w:p w14:paraId="3457A330">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211C36F7">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527562F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7C638C20">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4、估价结果包括地租、房屋折旧、设备折旧、维修费、保险费、物业费、</w:t>
      </w:r>
      <w:r>
        <w:rPr>
          <w:rFonts w:hint="eastAsia" w:ascii="Arial" w:hAnsi="Arial" w:cs="Arial"/>
          <w:sz w:val="18"/>
          <w:szCs w:val="18"/>
        </w:rPr>
        <w:t>管理费、</w:t>
      </w:r>
      <w:r>
        <w:rPr>
          <w:rFonts w:ascii="Arial" w:hAnsi="Arial" w:cs="Arial"/>
          <w:sz w:val="18"/>
          <w:szCs w:val="18"/>
        </w:rPr>
        <w:t>利息、利润等，不含供暖费、水电费、天然气费、通信费、有线电视费、上网宽带费和家具、家电租赁费及租赁税费等。</w:t>
      </w:r>
    </w:p>
    <w:p w14:paraId="3C5BC1B4">
      <w:pPr>
        <w:overflowPunct w:val="0"/>
        <w:spacing w:line="480" w:lineRule="auto"/>
        <w:ind w:left="720" w:leftChars="150" w:hanging="360" w:hangingChars="200"/>
        <w:jc w:val="both"/>
        <w:textAlignment w:val="auto"/>
        <w:rPr>
          <w:rFonts w:ascii="Arial" w:hAnsi="Arial" w:cs="Arial"/>
          <w:sz w:val="18"/>
          <w:szCs w:val="18"/>
        </w:rPr>
        <w:sectPr>
          <w:headerReference r:id="rId15" w:type="default"/>
          <w:footerReference r:id="rId16" w:type="default"/>
          <w:footerReference r:id="rId17" w:type="even"/>
          <w:pgSz w:w="11907" w:h="16840"/>
          <w:pgMar w:top="1843" w:right="1134" w:bottom="1134" w:left="1134" w:header="1134" w:footer="907" w:gutter="340"/>
          <w:cols w:space="720" w:num="1"/>
          <w:docGrid w:linePitch="326" w:charSpace="0"/>
        </w:sectPr>
      </w:pPr>
      <w:r>
        <w:rPr>
          <w:rFonts w:hint="eastAsia" w:ascii="Arial" w:hAnsi="Arial" w:cs="Arial"/>
          <w:sz w:val="18"/>
          <w:szCs w:val="18"/>
        </w:rPr>
        <w:t>（转下页）</w:t>
      </w:r>
    </w:p>
    <w:p w14:paraId="6C414839">
      <w:pPr>
        <w:pStyle w:val="3"/>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2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0BAC600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1F7CA400">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708FDC2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6EEDBA92">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311B69CD">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3B6B392">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313903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600D80F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9FDA606">
            <w:pPr>
              <w:tabs>
                <w:tab w:val="left" w:pos="5160"/>
              </w:tabs>
              <w:overflowPunct w:val="0"/>
              <w:spacing w:line="240" w:lineRule="auto"/>
              <w:rPr>
                <w:rFonts w:ascii="Arial" w:hAnsi="Arial" w:cs="Arial"/>
                <w:sz w:val="21"/>
                <w:szCs w:val="21"/>
              </w:rPr>
            </w:pPr>
            <w:r>
              <w:rPr>
                <w:rFonts w:hint="eastAsia" w:ascii="Arial" w:hAnsi="Arial" w:cs="Arial"/>
                <w:sz w:val="21"/>
                <w:szCs w:val="21"/>
              </w:rPr>
              <w:t xml:space="preserve">高 </w:t>
            </w:r>
            <w:r>
              <w:rPr>
                <w:rFonts w:ascii="Arial" w:hAnsi="Arial" w:cs="Arial"/>
                <w:sz w:val="21"/>
                <w:szCs w:val="21"/>
              </w:rPr>
              <w:t xml:space="preserve"> </w:t>
            </w:r>
            <w:r>
              <w:rPr>
                <w:rFonts w:hint="eastAsia" w:ascii="Arial" w:hAnsi="Arial" w:cs="Arial"/>
                <w:sz w:val="21"/>
                <w:szCs w:val="21"/>
              </w:rPr>
              <w:t>鹏</w:t>
            </w:r>
          </w:p>
        </w:tc>
        <w:tc>
          <w:tcPr>
            <w:tcW w:w="2197" w:type="dxa"/>
            <w:vAlign w:val="center"/>
          </w:tcPr>
          <w:p w14:paraId="72D716B5">
            <w:pPr>
              <w:tabs>
                <w:tab w:val="left" w:pos="5160"/>
              </w:tabs>
              <w:overflowPunct w:val="0"/>
              <w:spacing w:line="240" w:lineRule="auto"/>
              <w:rPr>
                <w:rFonts w:ascii="Arial" w:hAnsi="Arial" w:cs="Arial"/>
                <w:sz w:val="21"/>
                <w:szCs w:val="21"/>
              </w:rPr>
            </w:pPr>
            <w:r>
              <w:rPr>
                <w:rFonts w:ascii="Arial" w:hAnsi="Arial" w:eastAsia="方正黑体简体"/>
                <w:sz w:val="21"/>
                <w:szCs w:val="21"/>
              </w:rPr>
              <w:t>1120140024</w:t>
            </w:r>
          </w:p>
        </w:tc>
        <w:tc>
          <w:tcPr>
            <w:tcW w:w="2774" w:type="dxa"/>
            <w:vAlign w:val="center"/>
          </w:tcPr>
          <w:p w14:paraId="408F187D">
            <w:pPr>
              <w:tabs>
                <w:tab w:val="left" w:pos="5160"/>
              </w:tabs>
              <w:overflowPunct w:val="0"/>
              <w:spacing w:line="240" w:lineRule="auto"/>
              <w:rPr>
                <w:rFonts w:ascii="Arial" w:hAnsi="Arial" w:cs="Arial"/>
                <w:sz w:val="21"/>
                <w:szCs w:val="21"/>
              </w:rPr>
            </w:pPr>
          </w:p>
        </w:tc>
        <w:tc>
          <w:tcPr>
            <w:tcW w:w="2582" w:type="dxa"/>
            <w:vAlign w:val="center"/>
          </w:tcPr>
          <w:p w14:paraId="4CAB3B44">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17D53AA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1192E5E">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3E148D30">
            <w:pPr>
              <w:tabs>
                <w:tab w:val="left" w:pos="5160"/>
              </w:tabs>
              <w:overflowPunct w:val="0"/>
              <w:spacing w:line="240" w:lineRule="auto"/>
              <w:rPr>
                <w:rFonts w:ascii="Arial" w:hAnsi="Arial" w:cs="Arial"/>
                <w:sz w:val="21"/>
                <w:szCs w:val="21"/>
              </w:rPr>
            </w:pPr>
            <w:r>
              <w:rPr>
                <w:rFonts w:hint="eastAsia" w:ascii="Arial" w:hAnsi="Arial" w:cs="Arial"/>
                <w:sz w:val="21"/>
                <w:szCs w:val="21"/>
              </w:rPr>
              <w:t>1119980019</w:t>
            </w:r>
          </w:p>
        </w:tc>
        <w:tc>
          <w:tcPr>
            <w:tcW w:w="2774" w:type="dxa"/>
            <w:vAlign w:val="center"/>
          </w:tcPr>
          <w:p w14:paraId="35793764">
            <w:pPr>
              <w:tabs>
                <w:tab w:val="left" w:pos="5160"/>
              </w:tabs>
              <w:overflowPunct w:val="0"/>
              <w:spacing w:line="240" w:lineRule="auto"/>
              <w:rPr>
                <w:rFonts w:ascii="Arial" w:hAnsi="Arial" w:cs="Arial"/>
                <w:sz w:val="21"/>
                <w:szCs w:val="21"/>
              </w:rPr>
            </w:pPr>
          </w:p>
        </w:tc>
        <w:tc>
          <w:tcPr>
            <w:tcW w:w="2582" w:type="dxa"/>
            <w:vAlign w:val="center"/>
          </w:tcPr>
          <w:p w14:paraId="064ECB2D">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6BB8D93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6A376F61">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395018D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2D721249">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0C344560">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4C5638F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22D3FAFA">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3189EAB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0D5F002">
            <w:pPr>
              <w:tabs>
                <w:tab w:val="left" w:pos="5160"/>
              </w:tabs>
              <w:overflowPunct w:val="0"/>
              <w:spacing w:line="240" w:lineRule="auto"/>
              <w:rPr>
                <w:rFonts w:ascii="Arial" w:hAnsi="Arial" w:cs="Arial"/>
                <w:sz w:val="21"/>
                <w:szCs w:val="21"/>
              </w:rPr>
            </w:pPr>
            <w:r>
              <w:rPr>
                <w:rFonts w:hint="eastAsia" w:ascii="Arial" w:hAnsi="Arial" w:cs="Arial"/>
                <w:sz w:val="21"/>
                <w:szCs w:val="21"/>
              </w:rPr>
              <w:t>李诗霖</w:t>
            </w:r>
          </w:p>
        </w:tc>
        <w:tc>
          <w:tcPr>
            <w:tcW w:w="2197" w:type="dxa"/>
            <w:vAlign w:val="center"/>
          </w:tcPr>
          <w:p w14:paraId="3A6558E4">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5D0FE656">
            <w:pPr>
              <w:tabs>
                <w:tab w:val="left" w:pos="5160"/>
              </w:tabs>
              <w:overflowPunct w:val="0"/>
              <w:spacing w:line="240" w:lineRule="auto"/>
              <w:rPr>
                <w:rFonts w:ascii="Arial" w:hAnsi="Arial" w:cs="Arial"/>
                <w:sz w:val="21"/>
                <w:szCs w:val="21"/>
              </w:rPr>
            </w:pPr>
          </w:p>
        </w:tc>
        <w:tc>
          <w:tcPr>
            <w:tcW w:w="2582" w:type="dxa"/>
            <w:vAlign w:val="center"/>
          </w:tcPr>
          <w:p w14:paraId="46046455">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12FE6685">
      <w:pPr>
        <w:overflowPunct w:val="0"/>
        <w:spacing w:line="480" w:lineRule="auto"/>
        <w:jc w:val="both"/>
        <w:textAlignment w:val="auto"/>
        <w:rPr>
          <w:rFonts w:ascii="Arial" w:hAnsi="Arial" w:cs="Arial"/>
          <w:kern w:val="2"/>
          <w:sz w:val="21"/>
          <w:szCs w:val="21"/>
        </w:rPr>
      </w:pPr>
    </w:p>
    <w:p w14:paraId="44AFAF58">
      <w:pPr>
        <w:pStyle w:val="3"/>
        <w:tabs>
          <w:tab w:val="left" w:pos="360"/>
        </w:tabs>
        <w:overflowPunct w:val="0"/>
        <w:spacing w:line="480" w:lineRule="auto"/>
        <w:jc w:val="both"/>
        <w:textAlignment w:val="auto"/>
        <w:rPr>
          <w:rFonts w:eastAsia="宋体"/>
          <w:kern w:val="2"/>
          <w:sz w:val="21"/>
          <w:szCs w:val="21"/>
        </w:rPr>
      </w:pPr>
      <w:bookmarkStart w:id="41" w:name="_Toc525655429"/>
      <w:r>
        <w:rPr>
          <w:rFonts w:eastAsia="宋体"/>
          <w:kern w:val="2"/>
          <w:sz w:val="21"/>
          <w:szCs w:val="21"/>
        </w:rPr>
        <w:t>十二、实地查勘期</w:t>
      </w:r>
      <w:bookmarkEnd w:id="41"/>
    </w:p>
    <w:p w14:paraId="22E69132">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2025年5月19日</w:t>
      </w:r>
    </w:p>
    <w:p w14:paraId="025CF6EC">
      <w:pPr>
        <w:overflowPunct w:val="0"/>
        <w:spacing w:line="480" w:lineRule="auto"/>
        <w:jc w:val="both"/>
        <w:textAlignment w:val="auto"/>
        <w:rPr>
          <w:rFonts w:ascii="Arial" w:hAnsi="Arial" w:cs="Arial"/>
          <w:kern w:val="2"/>
          <w:sz w:val="21"/>
          <w:szCs w:val="21"/>
        </w:rPr>
      </w:pPr>
    </w:p>
    <w:p w14:paraId="43796159">
      <w:pPr>
        <w:pStyle w:val="3"/>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Pr>
          <w:rFonts w:eastAsia="宋体"/>
          <w:kern w:val="2"/>
          <w:sz w:val="21"/>
          <w:szCs w:val="21"/>
        </w:rPr>
        <w:t>十三、估价作业期</w:t>
      </w:r>
      <w:bookmarkEnd w:id="42"/>
      <w:bookmarkEnd w:id="43"/>
      <w:r>
        <w:rPr>
          <w:rFonts w:hint="eastAsia" w:eastAsia="宋体"/>
          <w:kern w:val="2"/>
          <w:sz w:val="21"/>
          <w:szCs w:val="21"/>
        </w:rPr>
        <w:t xml:space="preserve">  </w:t>
      </w:r>
    </w:p>
    <w:p w14:paraId="2298743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2025年5月19日至2025年6月26日</w:t>
      </w:r>
    </w:p>
    <w:p w14:paraId="4DAF4D81">
      <w:pPr>
        <w:overflowPunct w:val="0"/>
        <w:spacing w:line="480" w:lineRule="auto"/>
        <w:jc w:val="both"/>
        <w:textAlignment w:val="auto"/>
        <w:outlineLvl w:val="0"/>
        <w:rPr>
          <w:rFonts w:ascii="Arial" w:hAnsi="Arial" w:cs="Arial"/>
          <w:b/>
          <w:kern w:val="2"/>
          <w:sz w:val="21"/>
          <w:szCs w:val="21"/>
        </w:rPr>
        <w:sectPr>
          <w:pgSz w:w="11907" w:h="16840"/>
          <w:pgMar w:top="1843" w:right="1134" w:bottom="1134" w:left="1134" w:header="1134" w:footer="907" w:gutter="340"/>
          <w:cols w:space="720" w:num="1"/>
          <w:docGrid w:linePitch="326" w:charSpace="0"/>
        </w:sectPr>
      </w:pPr>
    </w:p>
    <w:p w14:paraId="593D1A70">
      <w:pPr>
        <w:pStyle w:val="2"/>
        <w:spacing w:line="480" w:lineRule="auto"/>
        <w:jc w:val="center"/>
        <w:rPr>
          <w:rFonts w:eastAsia="方正黑体简体"/>
          <w:b w:val="0"/>
          <w:kern w:val="2"/>
          <w:sz w:val="32"/>
          <w:szCs w:val="32"/>
        </w:rPr>
      </w:pPr>
      <w:bookmarkStart w:id="44" w:name="_Toc525655431"/>
      <w:r>
        <w:rPr>
          <w:rFonts w:hint="eastAsia" w:eastAsia="方正黑体简体"/>
          <w:b w:val="0"/>
          <w:kern w:val="2"/>
          <w:sz w:val="32"/>
          <w:szCs w:val="32"/>
        </w:rPr>
        <w:t>估价技术报告</w:t>
      </w:r>
      <w:bookmarkEnd w:id="44"/>
    </w:p>
    <w:p w14:paraId="182C2CF5">
      <w:pPr>
        <w:pStyle w:val="3"/>
        <w:tabs>
          <w:tab w:val="left" w:pos="360"/>
        </w:tabs>
        <w:spacing w:line="480" w:lineRule="auto"/>
        <w:ind w:left="358" w:hanging="358" w:hangingChars="170"/>
        <w:jc w:val="both"/>
        <w:rPr>
          <w:rFonts w:eastAsia="宋体"/>
          <w:kern w:val="2"/>
          <w:sz w:val="21"/>
          <w:szCs w:val="21"/>
        </w:rPr>
      </w:pPr>
      <w:bookmarkStart w:id="45" w:name="_Toc525655432"/>
      <w:r>
        <w:rPr>
          <w:rFonts w:eastAsia="宋体"/>
          <w:kern w:val="2"/>
          <w:sz w:val="21"/>
          <w:szCs w:val="21"/>
        </w:rPr>
        <w:t>一、估价对象描述与分析</w:t>
      </w:r>
      <w:bookmarkEnd w:id="45"/>
    </w:p>
    <w:p w14:paraId="71C5668D">
      <w:pPr>
        <w:pStyle w:val="3"/>
        <w:tabs>
          <w:tab w:val="left" w:pos="360"/>
        </w:tabs>
        <w:spacing w:line="480" w:lineRule="auto"/>
        <w:ind w:left="360" w:hanging="361" w:hangingChars="171"/>
        <w:jc w:val="both"/>
        <w:rPr>
          <w:rFonts w:eastAsia="宋体"/>
          <w:kern w:val="2"/>
          <w:sz w:val="21"/>
          <w:szCs w:val="21"/>
        </w:rPr>
      </w:pPr>
      <w:bookmarkStart w:id="46" w:name="_Toc525655433"/>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6"/>
    </w:p>
    <w:p w14:paraId="3CFC2E3A">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p>
    <w:p w14:paraId="389395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估价对象所属项目</w:t>
      </w:r>
      <w:r>
        <w:rPr>
          <w:rFonts w:ascii="Arial" w:hAnsi="Arial" w:cs="Arial"/>
          <w:kern w:val="2"/>
          <w:sz w:val="21"/>
          <w:szCs w:val="21"/>
        </w:rPr>
        <w:t>位于</w:t>
      </w:r>
      <w:r>
        <w:rPr>
          <w:rFonts w:hint="eastAsia" w:ascii="Arial" w:hAnsi="Arial" w:cs="Arial"/>
          <w:kern w:val="2"/>
          <w:sz w:val="21"/>
          <w:szCs w:val="21"/>
        </w:rPr>
        <w:t>北京市大兴区</w:t>
      </w:r>
      <w:r>
        <w:rPr>
          <w:rFonts w:ascii="Arial" w:hAnsi="Arial" w:cs="Arial"/>
          <w:kern w:val="2"/>
          <w:sz w:val="21"/>
          <w:szCs w:val="21"/>
        </w:rPr>
        <w:t>，其所属项目</w:t>
      </w:r>
      <w:r>
        <w:rPr>
          <w:rFonts w:hint="eastAsia" w:ascii="Arial" w:hAnsi="Arial" w:cs="Arial"/>
          <w:kern w:val="2"/>
          <w:sz w:val="21"/>
          <w:szCs w:val="21"/>
        </w:rPr>
        <w:t>紧邻景明路</w:t>
      </w:r>
      <w:r>
        <w:rPr>
          <w:rFonts w:ascii="Arial" w:hAnsi="Arial" w:cs="Arial"/>
          <w:kern w:val="2"/>
          <w:sz w:val="21"/>
          <w:szCs w:val="21"/>
        </w:rPr>
        <w:t>，土地级别属于北京市基准地价居住类六级，</w:t>
      </w:r>
      <w:r>
        <w:rPr>
          <w:rFonts w:ascii="Arial" w:hAnsi="Arial" w:eastAsia="微软雅黑" w:cs="Arial"/>
          <w:kern w:val="2"/>
          <w:sz w:val="21"/>
          <w:szCs w:val="21"/>
        </w:rPr>
        <w:t>VI-兴</w:t>
      </w:r>
      <w:r>
        <w:rPr>
          <w:rFonts w:hint="eastAsia" w:ascii="Arial" w:hAnsi="Arial" w:eastAsia="微软雅黑" w:cs="Arial"/>
          <w:kern w:val="2"/>
          <w:sz w:val="21"/>
          <w:szCs w:val="21"/>
        </w:rPr>
        <w:t>3</w:t>
      </w:r>
      <w:r>
        <w:rPr>
          <w:rFonts w:ascii="Arial" w:hAnsi="Arial" w:cs="Arial"/>
          <w:kern w:val="2"/>
          <w:sz w:val="21"/>
          <w:szCs w:val="21"/>
        </w:rPr>
        <w:t>区片，地理位置状况较好。</w:t>
      </w:r>
    </w:p>
    <w:p w14:paraId="05C88414">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787FB75F">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估价对象所属项目</w:t>
      </w:r>
      <w:r>
        <w:rPr>
          <w:rFonts w:ascii="Arial" w:hAnsi="Arial" w:cs="Arial"/>
          <w:sz w:val="21"/>
          <w:szCs w:val="21"/>
        </w:rPr>
        <w:t>周边有</w:t>
      </w:r>
      <w:r>
        <w:rPr>
          <w:rFonts w:hint="eastAsia" w:ascii="Arial" w:hAnsi="Arial" w:cs="Arial"/>
          <w:sz w:val="21"/>
          <w:szCs w:val="21"/>
        </w:rPr>
        <w:t>福苑小区、双高花园小区、郁花园小区、青岛嘉园、保利茉莉公馆、兴涛社区</w:t>
      </w:r>
      <w:r>
        <w:rPr>
          <w:rFonts w:ascii="Arial" w:hAnsi="Arial" w:cs="Arial"/>
          <w:sz w:val="21"/>
          <w:szCs w:val="21"/>
        </w:rPr>
        <w:t>等居住小区</w:t>
      </w:r>
      <w:r>
        <w:rPr>
          <w:rFonts w:hint="eastAsia" w:ascii="Arial" w:hAnsi="Arial" w:cs="Arial"/>
          <w:sz w:val="21"/>
          <w:szCs w:val="21"/>
        </w:rPr>
        <w:t>，居住小区规模较大，入住率较高，社区发展完善程度较好，居住社区成熟度较好。</w:t>
      </w:r>
    </w:p>
    <w:p w14:paraId="56AABBFC">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6EFA91C7">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hint="eastAsia" w:ascii="Arial" w:hAnsi="Arial" w:cs="Arial"/>
          <w:sz w:val="21"/>
          <w:szCs w:val="21"/>
        </w:rPr>
        <w:t>紧邻城市次干道——景明路，周边路网密集，道路通达度较好；距离轨道交通地铁4号线（高米店南站）约1.3公里，周边有兴41路、434路、913路、954路等多条线路在附近设站，综合评价交通便捷度较好。</w:t>
      </w:r>
    </w:p>
    <w:p w14:paraId="1DB77A54">
      <w:pPr>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商业设施</w:t>
      </w:r>
    </w:p>
    <w:p w14:paraId="22DCA5E2">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周边有</w:t>
      </w:r>
      <w:r>
        <w:rPr>
          <w:rFonts w:hint="eastAsia" w:ascii="Arial" w:hAnsi="Arial" w:cs="Arial"/>
          <w:sz w:val="21"/>
          <w:szCs w:val="21"/>
        </w:rPr>
        <w:t>绿地缤纷城、玫瑰城购物中心、物美（康庄路店）</w:t>
      </w:r>
      <w:r>
        <w:rPr>
          <w:rFonts w:ascii="Arial" w:hAnsi="Arial" w:cs="Arial"/>
          <w:sz w:val="21"/>
          <w:szCs w:val="21"/>
        </w:rPr>
        <w:t>等大型商业设施及社区配套商业，评价商业设施较好</w:t>
      </w:r>
      <w:r>
        <w:rPr>
          <w:rFonts w:hint="eastAsia" w:ascii="Arial" w:hAnsi="Arial" w:cs="Arial"/>
          <w:sz w:val="21"/>
          <w:szCs w:val="21"/>
        </w:rPr>
        <w:t>。</w:t>
      </w:r>
    </w:p>
    <w:p w14:paraId="05D49FE1">
      <w:pPr>
        <w:spacing w:line="480" w:lineRule="auto"/>
        <w:ind w:firstLine="420" w:firstLineChars="200"/>
        <w:jc w:val="both"/>
        <w:rPr>
          <w:rFonts w:ascii="Arial" w:hAnsi="Arial" w:cs="Arial"/>
          <w:sz w:val="21"/>
          <w:szCs w:val="21"/>
        </w:rPr>
      </w:pPr>
      <w:r>
        <w:rPr>
          <w:rFonts w:hint="eastAsia" w:ascii="Arial" w:hAnsi="Arial" w:cs="Arial"/>
          <w:sz w:val="21"/>
          <w:szCs w:val="21"/>
        </w:rPr>
        <w:t>5.</w:t>
      </w:r>
      <w:r>
        <w:rPr>
          <w:rFonts w:ascii="Arial" w:hAnsi="Arial" w:cs="Arial"/>
          <w:sz w:val="21"/>
          <w:szCs w:val="21"/>
        </w:rPr>
        <w:t>环境状况</w:t>
      </w:r>
    </w:p>
    <w:p w14:paraId="490626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w:t>
      </w:r>
      <w:r>
        <w:rPr>
          <w:rFonts w:ascii="Arial" w:hAnsi="Arial" w:cs="Arial"/>
          <w:sz w:val="21"/>
          <w:szCs w:val="21"/>
        </w:rPr>
        <w:t>周边有高米店公园、金星公园、星光生态文化休闲公园、中国人民公安大学（团河校区）、北京政法职业学院等自然人文景观，自然环境较好</w:t>
      </w:r>
      <w:r>
        <w:rPr>
          <w:rFonts w:hint="eastAsia" w:ascii="Arial" w:hAnsi="Arial" w:cs="Arial"/>
          <w:kern w:val="2"/>
          <w:sz w:val="21"/>
          <w:szCs w:val="21"/>
        </w:rPr>
        <w:t>。</w:t>
      </w:r>
    </w:p>
    <w:p w14:paraId="0C0E1254">
      <w:pPr>
        <w:spacing w:line="480" w:lineRule="auto"/>
        <w:ind w:firstLine="420" w:firstLineChars="200"/>
        <w:jc w:val="both"/>
        <w:rPr>
          <w:rFonts w:ascii="Arial" w:hAnsi="Arial" w:cs="Arial"/>
          <w:i/>
          <w:sz w:val="21"/>
          <w:szCs w:val="21"/>
        </w:rPr>
      </w:pPr>
      <w:r>
        <w:rPr>
          <w:rFonts w:hint="eastAsia" w:ascii="Arial" w:hAnsi="Arial" w:cs="Arial"/>
          <w:sz w:val="21"/>
          <w:szCs w:val="21"/>
        </w:rPr>
        <w:t>6.</w:t>
      </w:r>
      <w:r>
        <w:rPr>
          <w:rFonts w:ascii="Arial" w:hAnsi="Arial" w:cs="Arial"/>
          <w:sz w:val="21"/>
          <w:szCs w:val="21"/>
        </w:rPr>
        <w:t>外部配套设施状况</w:t>
      </w:r>
    </w:p>
    <w:p w14:paraId="12E1E7C7">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估价对象所属项目</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7F8566CD">
      <w:pPr>
        <w:spacing w:line="480" w:lineRule="auto"/>
        <w:ind w:firstLine="420" w:firstLineChars="200"/>
        <w:jc w:val="both"/>
        <w:rPr>
          <w:rFonts w:ascii="Arial" w:hAnsi="Arial" w:cs="Arial"/>
          <w:sz w:val="21"/>
          <w:szCs w:val="21"/>
        </w:rPr>
      </w:pPr>
      <w:bookmarkStart w:id="47" w:name="_Toc525655434"/>
      <w:r>
        <w:rPr>
          <w:rFonts w:ascii="Arial" w:hAnsi="Arial" w:cs="Arial"/>
          <w:sz w:val="21"/>
          <w:szCs w:val="21"/>
        </w:rPr>
        <w:t>周边2公里范围内有</w:t>
      </w:r>
      <w:r>
        <w:rPr>
          <w:rFonts w:hint="eastAsia" w:ascii="Arial" w:hAnsi="Arial" w:cs="Arial"/>
          <w:sz w:val="21"/>
          <w:szCs w:val="21"/>
        </w:rPr>
        <w:t>中国邮政储蓄银行、中国光大银行、北京银行</w:t>
      </w:r>
      <w:r>
        <w:rPr>
          <w:rFonts w:ascii="Arial" w:hAnsi="Arial" w:cs="Arial"/>
          <w:sz w:val="21"/>
          <w:szCs w:val="21"/>
        </w:rPr>
        <w:t>等金融机构；有</w:t>
      </w:r>
      <w:r>
        <w:rPr>
          <w:rFonts w:hint="eastAsia" w:ascii="Arial" w:hAnsi="Arial" w:cs="Arial"/>
          <w:sz w:val="21"/>
          <w:szCs w:val="21"/>
        </w:rPr>
        <w:t>绿地缤纷城、玫瑰城购物中心、物美（康庄路店）</w:t>
      </w:r>
      <w:r>
        <w:rPr>
          <w:rFonts w:ascii="Arial" w:hAnsi="Arial" w:cs="Arial"/>
          <w:sz w:val="21"/>
          <w:szCs w:val="21"/>
        </w:rPr>
        <w:t>等商服设施；周边有</w:t>
      </w:r>
      <w:r>
        <w:rPr>
          <w:rFonts w:hint="eastAsia" w:ascii="Arial" w:hAnsi="Arial" w:cs="Arial"/>
          <w:sz w:val="21"/>
          <w:szCs w:val="21"/>
        </w:rPr>
        <w:t>北京景山学校大兴实验学校、北京市大兴区兴华中学、北京市大兴区燕宝幼儿园</w:t>
      </w:r>
      <w:r>
        <w:rPr>
          <w:rFonts w:ascii="Arial" w:hAnsi="Arial" w:cs="Arial"/>
          <w:sz w:val="21"/>
          <w:szCs w:val="21"/>
        </w:rPr>
        <w:t>等教育设施；有</w:t>
      </w:r>
      <w:r>
        <w:rPr>
          <w:rFonts w:hint="eastAsia" w:ascii="Arial" w:hAnsi="Arial" w:cs="Arial"/>
          <w:sz w:val="21"/>
          <w:szCs w:val="21"/>
        </w:rPr>
        <w:t>北京大学第一医院（大兴院区）、北京市大兴区城镇兴城嘉园社区卫生服务站</w:t>
      </w:r>
      <w:r>
        <w:rPr>
          <w:rFonts w:ascii="Arial" w:hAnsi="Arial" w:cs="Arial"/>
          <w:sz w:val="21"/>
          <w:szCs w:val="21"/>
        </w:rPr>
        <w:t>等医疗设施；公共配套设施较齐全</w:t>
      </w:r>
      <w:r>
        <w:rPr>
          <w:rFonts w:hint="eastAsia" w:ascii="Arial" w:hAnsi="Arial" w:cs="Arial"/>
          <w:kern w:val="2"/>
          <w:sz w:val="21"/>
          <w:szCs w:val="21"/>
        </w:rPr>
        <w:t>。</w:t>
      </w:r>
    </w:p>
    <w:p w14:paraId="3BC5B870">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2B41852B">
      <w:pPr>
        <w:spacing w:line="480" w:lineRule="auto"/>
        <w:ind w:firstLine="420" w:firstLineChars="200"/>
        <w:jc w:val="both"/>
        <w:rPr>
          <w:rFonts w:ascii="Arial" w:hAnsi="Arial" w:cs="Arial"/>
          <w:sz w:val="21"/>
          <w:szCs w:val="21"/>
        </w:rPr>
      </w:pPr>
      <w:r>
        <w:rPr>
          <w:rFonts w:ascii="Arial" w:hAnsi="Arial" w:cs="Arial"/>
          <w:sz w:val="21"/>
          <w:szCs w:val="21"/>
        </w:rPr>
        <w:t>综上，</w:t>
      </w:r>
      <w:r>
        <w:rPr>
          <w:rFonts w:hint="eastAsia" w:ascii="Arial" w:hAnsi="Arial" w:cs="Arial"/>
          <w:kern w:val="2"/>
          <w:sz w:val="21"/>
          <w:szCs w:val="21"/>
        </w:rPr>
        <w:t>燕保·高米店家园公租房项目</w:t>
      </w:r>
      <w:r>
        <w:rPr>
          <w:rFonts w:hint="eastAsia" w:ascii="Arial" w:hAnsi="Arial" w:cs="Arial"/>
          <w:sz w:val="21"/>
          <w:szCs w:val="21"/>
        </w:rPr>
        <w:t>地理位置状况较好，居住社区成熟度较好，交通便捷度较好，商业设施较好，环境状况较好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”，公共配套设施状况较好。</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47"/>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0B9E8C5B">
      <w:pPr>
        <w:pStyle w:val="3"/>
        <w:tabs>
          <w:tab w:val="left" w:pos="360"/>
        </w:tabs>
        <w:spacing w:line="480" w:lineRule="auto"/>
        <w:ind w:left="360" w:hanging="361" w:hangingChars="171"/>
        <w:jc w:val="both"/>
        <w:rPr>
          <w:rFonts w:eastAsia="宋体"/>
          <w:kern w:val="2"/>
          <w:sz w:val="21"/>
          <w:szCs w:val="21"/>
        </w:rPr>
      </w:pPr>
      <w:bookmarkStart w:id="48"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48"/>
    </w:p>
    <w:p w14:paraId="55CE6A9C">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估价对象属北京市保障性住房建设投资中心开发建设的“</w:t>
      </w:r>
      <w:r>
        <w:rPr>
          <w:rFonts w:hint="eastAsia" w:ascii="Arial" w:hAnsi="Arial" w:cs="Arial"/>
          <w:sz w:val="21"/>
          <w:szCs w:val="21"/>
        </w:rPr>
        <w:t>燕保·高米店家园</w:t>
      </w:r>
      <w:r>
        <w:rPr>
          <w:rFonts w:hint="eastAsia" w:ascii="Arial" w:hAnsi="Arial" w:cs="Arial"/>
          <w:kern w:val="2"/>
          <w:sz w:val="21"/>
          <w:szCs w:val="21"/>
        </w:rPr>
        <w:t>”项目，</w:t>
      </w:r>
      <w:r>
        <w:rPr>
          <w:rFonts w:hint="eastAsia" w:ascii="Arial" w:hAnsi="Arial" w:cs="Arial"/>
          <w:sz w:val="21"/>
          <w:szCs w:val="21"/>
        </w:rPr>
        <w:t>项目规划总用地面积为3</w:t>
      </w:r>
      <w:r>
        <w:rPr>
          <w:rFonts w:ascii="Arial" w:hAnsi="Arial" w:cs="Arial"/>
          <w:sz w:val="21"/>
          <w:szCs w:val="21"/>
        </w:rPr>
        <w:t>5056.81平方米，规划</w:t>
      </w:r>
      <w:r>
        <w:rPr>
          <w:rFonts w:hint="eastAsia" w:ascii="Arial" w:hAnsi="Arial" w:cs="Arial"/>
          <w:kern w:val="2"/>
          <w:sz w:val="21"/>
          <w:szCs w:val="21"/>
        </w:rPr>
        <w:t>总建筑面积</w:t>
      </w:r>
      <w:r>
        <w:rPr>
          <w:rFonts w:ascii="Arial" w:hAnsi="Arial" w:cs="Arial"/>
          <w:kern w:val="2"/>
          <w:sz w:val="21"/>
          <w:szCs w:val="21"/>
        </w:rPr>
        <w:t>119160</w:t>
      </w:r>
      <w:r>
        <w:rPr>
          <w:rFonts w:hint="eastAsia" w:ascii="Arial" w:hAnsi="Arial" w:cs="Arial"/>
          <w:kern w:val="2"/>
          <w:sz w:val="21"/>
          <w:szCs w:val="21"/>
        </w:rPr>
        <w:t>平方米，包含</w:t>
      </w:r>
      <w:r>
        <w:rPr>
          <w:rFonts w:ascii="Arial" w:hAnsi="Arial" w:cs="Arial"/>
          <w:kern w:val="2"/>
          <w:sz w:val="21"/>
          <w:szCs w:val="21"/>
        </w:rPr>
        <w:t>9</w:t>
      </w:r>
      <w:r>
        <w:rPr>
          <w:rFonts w:hint="eastAsia" w:ascii="Arial" w:hAnsi="Arial" w:cs="Arial"/>
          <w:kern w:val="2"/>
          <w:sz w:val="21"/>
          <w:szCs w:val="21"/>
        </w:rPr>
        <w:t>幢楼，其中，</w:t>
      </w:r>
      <w:r>
        <w:rPr>
          <w:rFonts w:ascii="Arial" w:hAnsi="Arial" w:cs="Arial"/>
          <w:kern w:val="2"/>
          <w:sz w:val="21"/>
          <w:szCs w:val="21"/>
        </w:rPr>
        <w:t>5</w:t>
      </w:r>
      <w:r>
        <w:rPr>
          <w:rFonts w:hint="eastAsia" w:ascii="Arial" w:hAnsi="Arial" w:cs="Arial"/>
          <w:kern w:val="2"/>
          <w:sz w:val="21"/>
          <w:szCs w:val="21"/>
        </w:rPr>
        <w:t>幢公共租赁住房，</w:t>
      </w:r>
      <w:r>
        <w:rPr>
          <w:rFonts w:ascii="Arial" w:hAnsi="Arial" w:cs="Arial"/>
          <w:kern w:val="2"/>
          <w:sz w:val="21"/>
          <w:szCs w:val="21"/>
        </w:rPr>
        <w:t>4</w:t>
      </w:r>
      <w:r>
        <w:rPr>
          <w:rFonts w:hint="eastAsia" w:ascii="Arial" w:hAnsi="Arial" w:cs="Arial"/>
          <w:kern w:val="2"/>
          <w:sz w:val="21"/>
          <w:szCs w:val="21"/>
        </w:rPr>
        <w:t>幢配套公建。容积率为</w:t>
      </w:r>
      <w:r>
        <w:rPr>
          <w:rFonts w:ascii="Arial" w:hAnsi="Arial" w:cs="Arial"/>
          <w:kern w:val="2"/>
          <w:sz w:val="21"/>
          <w:szCs w:val="21"/>
        </w:rPr>
        <w:t>2.8</w:t>
      </w:r>
      <w:r>
        <w:rPr>
          <w:rFonts w:hint="eastAsia" w:ascii="Arial" w:hAnsi="Arial" w:cs="Arial"/>
          <w:kern w:val="2"/>
          <w:sz w:val="21"/>
          <w:szCs w:val="21"/>
        </w:rPr>
        <w:t>。</w:t>
      </w:r>
    </w:p>
    <w:p w14:paraId="3E47F0D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1.土地实物状况</w:t>
      </w:r>
    </w:p>
    <w:p w14:paraId="12B1C102">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w:t>
      </w:r>
      <w:r>
        <w:rPr>
          <w:rFonts w:hint="eastAsia" w:ascii="Arial" w:hAnsi="Arial" w:cs="Arial"/>
          <w:kern w:val="2"/>
          <w:sz w:val="21"/>
          <w:szCs w:val="21"/>
        </w:rPr>
        <w:t>截至报告出具日，估价对象尚未取得《不动产权证书》。根据估价委托人提供的《北京市发展和改革委员会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大兴区高米店公共租赁住房项目由北京市保障性住房建设投资中心开发建设，国有建设用地土地使用权性质为划拨，房屋性质为公共租赁住房。</w:t>
      </w:r>
    </w:p>
    <w:p w14:paraId="1C695D59">
      <w:pPr>
        <w:wordWrap w:val="0"/>
        <w:overflowPunct w:val="0"/>
        <w:spacing w:line="480" w:lineRule="auto"/>
        <w:ind w:firstLine="420" w:firstLineChars="200"/>
        <w:jc w:val="both"/>
        <w:textAlignment w:val="auto"/>
        <w:rPr>
          <w:rFonts w:ascii="Arial" w:hAnsi="Arial" w:eastAsia="华文细黑" w:cs="Arial"/>
          <w:sz w:val="18"/>
          <w:szCs w:val="18"/>
        </w:rPr>
      </w:pPr>
      <w:r>
        <w:rPr>
          <w:rFonts w:hint="eastAsia" w:ascii="Arial" w:hAnsi="Arial" w:cs="Arial"/>
          <w:kern w:val="2"/>
          <w:sz w:val="21"/>
          <w:szCs w:val="21"/>
        </w:rPr>
        <w:t>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《燕保·高米店家园项目房源表》，估价对象总建筑面积为9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公共租赁住房。</w:t>
      </w:r>
    </w:p>
    <w:p w14:paraId="112ED11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w:t>
      </w:r>
      <w:r>
        <w:rPr>
          <w:rFonts w:hint="eastAsia" w:ascii="Arial" w:hAnsi="Arial" w:cs="Arial"/>
          <w:sz w:val="21"/>
          <w:szCs w:val="21"/>
        </w:rPr>
        <w:t>现状</w:t>
      </w:r>
      <w:r>
        <w:rPr>
          <w:rFonts w:ascii="Arial" w:hAnsi="Arial" w:cs="Arial"/>
          <w:sz w:val="21"/>
          <w:szCs w:val="21"/>
        </w:rPr>
        <w:t>四至：</w:t>
      </w:r>
    </w:p>
    <w:p w14:paraId="3DC5E0E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现状四至为东至广茂大街，南至规划横四路，西至北京赛斯特服装有限公司，北至景明路。</w:t>
      </w:r>
    </w:p>
    <w:p w14:paraId="505860E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698ADCF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（4）开发程度</w:t>
      </w:r>
      <w:r>
        <w:rPr>
          <w:rFonts w:ascii="Arial" w:hAnsi="Arial" w:cs="Arial"/>
          <w:sz w:val="21"/>
          <w:szCs w:val="21"/>
        </w:rPr>
        <w:t>：</w:t>
      </w:r>
    </w:p>
    <w:p w14:paraId="0F4C5936">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B9BA52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w:t>
      </w:r>
      <w:r>
        <w:rPr>
          <w:rFonts w:hint="eastAsia" w:ascii="Arial" w:hAnsi="Arial" w:cs="Arial"/>
          <w:kern w:val="2"/>
          <w:sz w:val="21"/>
          <w:szCs w:val="21"/>
        </w:rPr>
        <w:t>较</w:t>
      </w:r>
      <w:r>
        <w:rPr>
          <w:rFonts w:ascii="Arial" w:hAnsi="Arial" w:cs="Arial"/>
          <w:kern w:val="2"/>
          <w:sz w:val="21"/>
          <w:szCs w:val="21"/>
        </w:rPr>
        <w:t>平坦，地质条件良好，基础设施完备，宗地条件有利于估价对象利用，对估价对象租赁价格无不良影响</w:t>
      </w:r>
      <w:r>
        <w:rPr>
          <w:rFonts w:hint="eastAsia" w:ascii="Arial" w:hAnsi="Arial" w:cs="Arial"/>
          <w:sz w:val="21"/>
          <w:szCs w:val="21"/>
        </w:rPr>
        <w:t>。</w:t>
      </w:r>
    </w:p>
    <w:p w14:paraId="4F5B8AE8">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05ECD04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（1）建筑物权益状况</w:t>
      </w:r>
    </w:p>
    <w:p w14:paraId="2D79D820">
      <w:pPr>
        <w:overflowPunct w:val="0"/>
        <w:spacing w:line="480" w:lineRule="auto"/>
        <w:ind w:firstLine="420" w:firstLineChars="200"/>
        <w:jc w:val="both"/>
        <w:textAlignment w:val="auto"/>
        <w:rPr>
          <w:rFonts w:ascii="Arial" w:hAnsi="Arial" w:cs="Arial"/>
          <w:kern w:val="2"/>
          <w:sz w:val="21"/>
          <w:szCs w:val="21"/>
        </w:rPr>
      </w:pPr>
      <w:r>
        <w:rPr>
          <w:rFonts w:ascii="Arial" w:hAnsi="Arial" w:cs="Arial"/>
          <w:bCs/>
          <w:sz w:val="21"/>
          <w:szCs w:val="21"/>
        </w:rPr>
        <w:t>估价对象</w:t>
      </w:r>
      <w:r>
        <w:rPr>
          <w:rFonts w:hint="eastAsia" w:ascii="Arial" w:hAnsi="Arial" w:cs="Arial"/>
          <w:bCs/>
          <w:sz w:val="21"/>
          <w:szCs w:val="21"/>
        </w:rPr>
        <w:t>为</w:t>
      </w:r>
      <w:r>
        <w:rPr>
          <w:rFonts w:hint="eastAsia" w:ascii="Arial" w:hAnsi="Arial" w:cs="Arial"/>
          <w:kern w:val="2"/>
          <w:sz w:val="21"/>
          <w:szCs w:val="21"/>
        </w:rPr>
        <w:t>北京市大兴区景明路16号院3、4、5、7、8号楼（燕保·高米店家园）共1830套公共租赁住房，截至报告出具日，估价对象尚未取得《不动产权证书》。根据估价委托人提供的《北京市发展和改革委员会 关于大兴区高米店公共租赁住房项目核准的批复》[京发改（2011）1769号]及附件、《北京市发展和改革委员会 关于转发大兴区高米店公共租赁住房项目变更建设主体的批复的通知》[京兴发改转（2012）51号]</w:t>
      </w:r>
      <w:r>
        <w:rPr>
          <w:rFonts w:ascii="Arial" w:hAnsi="Arial" w:cs="Arial"/>
          <w:kern w:val="2"/>
          <w:sz w:val="21"/>
          <w:szCs w:val="21"/>
        </w:rPr>
        <w:t>，</w:t>
      </w:r>
      <w:r>
        <w:rPr>
          <w:rFonts w:hint="eastAsia" w:ascii="Arial" w:hAnsi="Arial" w:cs="Arial"/>
          <w:kern w:val="2"/>
          <w:sz w:val="21"/>
          <w:szCs w:val="21"/>
        </w:rPr>
        <w:t xml:space="preserve">由北京市保障性住房建设投资中心开发建设大兴区高米店公共租赁住房。 </w:t>
      </w:r>
      <w:r>
        <w:rPr>
          <w:rFonts w:ascii="Arial" w:hAnsi="Arial" w:cs="Arial"/>
          <w:kern w:val="2"/>
          <w:sz w:val="21"/>
          <w:szCs w:val="21"/>
        </w:rPr>
        <w:t xml:space="preserve">    </w:t>
      </w:r>
    </w:p>
    <w:p w14:paraId="74F89C7D">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（2）建设规模：</w:t>
      </w:r>
      <w:r>
        <w:rPr>
          <w:rFonts w:hint="eastAsia" w:ascii="Arial" w:hAnsi="Arial" w:cs="Arial"/>
          <w:kern w:val="2"/>
          <w:sz w:val="21"/>
          <w:szCs w:val="21"/>
        </w:rPr>
        <w:t>根据估价委托人提供的</w:t>
      </w:r>
      <w:r>
        <w:rPr>
          <w:rFonts w:hint="eastAsia" w:ascii="Arial" w:hAnsi="Arial" w:cs="Arial"/>
          <w:sz w:val="21"/>
          <w:szCs w:val="21"/>
        </w:rPr>
        <w:t>《建设工程规划许可证》[2013规（大）建字0113号]及附件附图</w:t>
      </w:r>
      <w:r>
        <w:rPr>
          <w:rFonts w:hint="eastAsia" w:ascii="Arial" w:hAnsi="Arial" w:cs="Arial"/>
          <w:kern w:val="2"/>
          <w:sz w:val="21"/>
          <w:szCs w:val="21"/>
        </w:rPr>
        <w:t>复印件、</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w:t>
      </w:r>
      <w:r>
        <w:rPr>
          <w:rFonts w:hint="eastAsia" w:ascii="Arial" w:hAnsi="Arial" w:cs="Arial"/>
          <w:kern w:val="2"/>
          <w:sz w:val="21"/>
          <w:szCs w:val="21"/>
        </w:rPr>
        <w:t>，确定本次估价范围为北京市大兴区景明路16号院3、4、5、7、8号楼燕保·高米店家园公租房项目，估价对象所在楼栋建筑类型为高层板楼，楼宇主体建筑结构为剪力墙（钢混），共</w:t>
      </w:r>
      <w:r>
        <w:rPr>
          <w:rFonts w:ascii="Arial" w:hAnsi="Arial" w:cs="Arial"/>
          <w:kern w:val="2"/>
          <w:sz w:val="21"/>
          <w:szCs w:val="21"/>
        </w:rPr>
        <w:t>18</w:t>
      </w:r>
      <w:r>
        <w:rPr>
          <w:rFonts w:hint="eastAsia" w:ascii="Arial" w:hAnsi="Arial" w:cs="Arial"/>
          <w:kern w:val="2"/>
          <w:sz w:val="21"/>
          <w:szCs w:val="21"/>
        </w:rPr>
        <w:t>层，其中地上</w:t>
      </w:r>
      <w:r>
        <w:rPr>
          <w:rFonts w:ascii="Arial" w:hAnsi="Arial" w:cs="Arial"/>
          <w:kern w:val="2"/>
          <w:sz w:val="21"/>
          <w:szCs w:val="21"/>
        </w:rPr>
        <w:t>18</w:t>
      </w:r>
      <w:r>
        <w:rPr>
          <w:rFonts w:hint="eastAsia" w:ascii="Arial" w:hAnsi="Arial" w:cs="Arial"/>
          <w:kern w:val="2"/>
          <w:sz w:val="21"/>
          <w:szCs w:val="21"/>
        </w:rPr>
        <w:t>层、地下</w:t>
      </w:r>
      <w:r>
        <w:rPr>
          <w:rFonts w:ascii="Arial" w:hAnsi="Arial" w:cs="Arial"/>
          <w:kern w:val="2"/>
          <w:sz w:val="21"/>
          <w:szCs w:val="21"/>
        </w:rPr>
        <w:t>1-2</w:t>
      </w:r>
      <w:r>
        <w:rPr>
          <w:rFonts w:hint="eastAsia" w:ascii="Arial" w:hAnsi="Arial" w:cs="Arial"/>
          <w:kern w:val="2"/>
          <w:sz w:val="21"/>
          <w:szCs w:val="21"/>
        </w:rPr>
        <w:t>层，层高为2.8米，其中公共租赁住房</w:t>
      </w:r>
      <w:r>
        <w:rPr>
          <w:rFonts w:ascii="Arial" w:hAnsi="Arial" w:cs="Arial"/>
          <w:kern w:val="2"/>
          <w:sz w:val="21"/>
          <w:szCs w:val="21"/>
        </w:rPr>
        <w:t>1830</w:t>
      </w:r>
      <w:r>
        <w:rPr>
          <w:rFonts w:hint="eastAsia" w:ascii="Arial" w:hAnsi="Arial" w:cs="Arial"/>
          <w:kern w:val="2"/>
          <w:sz w:val="21"/>
          <w:szCs w:val="21"/>
        </w:rPr>
        <w:t>户，建筑面积9</w:t>
      </w:r>
      <w:r>
        <w:rPr>
          <w:rFonts w:ascii="Arial" w:hAnsi="Arial" w:cs="Arial"/>
          <w:kern w:val="2"/>
          <w:sz w:val="21"/>
          <w:szCs w:val="21"/>
        </w:rPr>
        <w:t>1711.82</w:t>
      </w:r>
      <w:r>
        <w:rPr>
          <w:rFonts w:hint="eastAsia" w:ascii="Arial" w:hAnsi="Arial" w:cs="Arial"/>
          <w:kern w:val="2"/>
          <w:sz w:val="21"/>
          <w:szCs w:val="21"/>
        </w:rPr>
        <w:t>平方米。房源具体户型等情况详见下表：</w:t>
      </w:r>
    </w:p>
    <w:p w14:paraId="0098539C">
      <w:pPr>
        <w:overflowPunct w:val="0"/>
        <w:spacing w:line="360" w:lineRule="auto"/>
        <w:jc w:val="center"/>
        <w:textAlignment w:val="auto"/>
        <w:rPr>
          <w:rFonts w:ascii="Arial" w:hAnsi="Arial" w:cs="Arial"/>
          <w:b/>
          <w:sz w:val="21"/>
          <w:szCs w:val="21"/>
        </w:rPr>
      </w:pPr>
      <w:r>
        <w:rPr>
          <w:rFonts w:ascii="Arial" w:hAnsi="Arial" w:cs="Arial"/>
          <w:b/>
          <w:sz w:val="21"/>
          <w:szCs w:val="21"/>
        </w:rPr>
        <w:t>估价对象房源汇总表</w:t>
      </w:r>
    </w:p>
    <w:tbl>
      <w:tblPr>
        <w:tblStyle w:val="23"/>
        <w:tblW w:w="5000" w:type="pct"/>
        <w:tblInd w:w="0" w:type="dxa"/>
        <w:tblLayout w:type="autofit"/>
        <w:tblCellMar>
          <w:top w:w="0" w:type="dxa"/>
          <w:left w:w="108" w:type="dxa"/>
          <w:bottom w:w="0" w:type="dxa"/>
          <w:right w:w="108" w:type="dxa"/>
        </w:tblCellMar>
      </w:tblPr>
      <w:tblGrid>
        <w:gridCol w:w="2175"/>
        <w:gridCol w:w="3182"/>
        <w:gridCol w:w="1983"/>
        <w:gridCol w:w="2175"/>
      </w:tblGrid>
      <w:tr w14:paraId="73F5187E">
        <w:tblPrEx>
          <w:tblCellMar>
            <w:top w:w="0" w:type="dxa"/>
            <w:left w:w="108" w:type="dxa"/>
            <w:bottom w:w="0" w:type="dxa"/>
            <w:right w:w="108" w:type="dxa"/>
          </w:tblCellMar>
        </w:tblPrEx>
        <w:trPr>
          <w:trHeight w:val="252" w:hRule="atLeast"/>
          <w:tblHeader/>
        </w:trPr>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6ECC463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户型</w:t>
            </w:r>
          </w:p>
        </w:tc>
        <w:tc>
          <w:tcPr>
            <w:tcW w:w="1672" w:type="pct"/>
            <w:tcBorders>
              <w:top w:val="single" w:color="auto" w:sz="4" w:space="0"/>
              <w:left w:val="nil"/>
              <w:bottom w:val="single" w:color="auto" w:sz="4" w:space="0"/>
              <w:right w:val="single" w:color="auto" w:sz="4" w:space="0"/>
            </w:tcBorders>
            <w:shd w:val="clear" w:color="auto" w:fill="auto"/>
            <w:vAlign w:val="center"/>
          </w:tcPr>
          <w:p w14:paraId="2DAF5F5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建筑面积（平方米）</w:t>
            </w:r>
          </w:p>
        </w:tc>
        <w:tc>
          <w:tcPr>
            <w:tcW w:w="1042" w:type="pct"/>
            <w:tcBorders>
              <w:top w:val="single" w:color="auto" w:sz="4" w:space="0"/>
              <w:left w:val="nil"/>
              <w:bottom w:val="single" w:color="auto" w:sz="4" w:space="0"/>
              <w:right w:val="single" w:color="auto" w:sz="4" w:space="0"/>
            </w:tcBorders>
            <w:shd w:val="clear" w:color="auto" w:fill="auto"/>
            <w:vAlign w:val="center"/>
          </w:tcPr>
          <w:p w14:paraId="3BE94F1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朝向</w:t>
            </w:r>
          </w:p>
        </w:tc>
        <w:tc>
          <w:tcPr>
            <w:tcW w:w="1143" w:type="pct"/>
            <w:tcBorders>
              <w:top w:val="single" w:color="auto" w:sz="4" w:space="0"/>
              <w:left w:val="nil"/>
              <w:bottom w:val="single" w:color="auto" w:sz="4" w:space="0"/>
              <w:right w:val="single" w:color="auto" w:sz="4" w:space="0"/>
            </w:tcBorders>
            <w:shd w:val="clear" w:color="auto" w:fill="auto"/>
            <w:vAlign w:val="center"/>
          </w:tcPr>
          <w:p w14:paraId="008B1D7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套数（套）</w:t>
            </w:r>
          </w:p>
        </w:tc>
      </w:tr>
      <w:tr w14:paraId="468041FA">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1CB98C9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零居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1552602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30.04-32.61</w:t>
            </w:r>
          </w:p>
        </w:tc>
        <w:tc>
          <w:tcPr>
            <w:tcW w:w="1042" w:type="pct"/>
            <w:tcBorders>
              <w:top w:val="nil"/>
              <w:left w:val="nil"/>
              <w:bottom w:val="single" w:color="auto" w:sz="4" w:space="0"/>
              <w:right w:val="single" w:color="auto" w:sz="4" w:space="0"/>
            </w:tcBorders>
            <w:shd w:val="clear" w:color="auto" w:fill="auto"/>
            <w:vAlign w:val="center"/>
          </w:tcPr>
          <w:p w14:paraId="1440A5D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0F262C5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272</w:t>
            </w:r>
          </w:p>
        </w:tc>
      </w:tr>
      <w:tr w14:paraId="409E1762">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416FE006">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BF2159A">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1133A37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0512E31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240</w:t>
            </w:r>
          </w:p>
        </w:tc>
      </w:tr>
      <w:tr w14:paraId="29B619D4">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0BF3EF62">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283341D8">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5171BAA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1311B76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15D35501">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4A0995F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CCABDD4">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38E1687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3A70D62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0BE6DD2E">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6770D6D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6EEFAB6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2" w:type="pct"/>
            <w:tcBorders>
              <w:top w:val="nil"/>
              <w:left w:val="nil"/>
              <w:bottom w:val="single" w:color="auto" w:sz="4" w:space="0"/>
              <w:right w:val="single" w:color="auto" w:sz="4" w:space="0"/>
            </w:tcBorders>
            <w:shd w:val="clear" w:color="auto" w:fill="auto"/>
            <w:vAlign w:val="center"/>
          </w:tcPr>
          <w:p w14:paraId="7B8FADC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520B05B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544</w:t>
            </w:r>
          </w:p>
        </w:tc>
      </w:tr>
      <w:tr w14:paraId="4D2DF485">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32BFDAD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一居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053A6B1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41.49-50.94</w:t>
            </w:r>
          </w:p>
        </w:tc>
        <w:tc>
          <w:tcPr>
            <w:tcW w:w="1042" w:type="pct"/>
            <w:tcBorders>
              <w:top w:val="nil"/>
              <w:left w:val="nil"/>
              <w:bottom w:val="single" w:color="auto" w:sz="4" w:space="0"/>
              <w:right w:val="single" w:color="auto" w:sz="4" w:space="0"/>
            </w:tcBorders>
            <w:shd w:val="clear" w:color="auto" w:fill="auto"/>
            <w:vAlign w:val="center"/>
          </w:tcPr>
          <w:p w14:paraId="2D2BA2D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7E13804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104</w:t>
            </w:r>
          </w:p>
        </w:tc>
      </w:tr>
      <w:tr w14:paraId="2667676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70A778B">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798F88B">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7283DFC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482DF6F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72</w:t>
            </w:r>
          </w:p>
        </w:tc>
      </w:tr>
      <w:tr w14:paraId="1B922C3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7F58FF6">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2A0B226">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79DF373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035629E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w:t>
            </w:r>
          </w:p>
        </w:tc>
      </w:tr>
      <w:tr w14:paraId="6AFCF14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1B6A3F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66BC920B">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6B3B97F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6842EFF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w:t>
            </w:r>
          </w:p>
        </w:tc>
      </w:tr>
      <w:tr w14:paraId="6FED13BD">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04C232F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292A5B3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2" w:type="pct"/>
            <w:tcBorders>
              <w:top w:val="nil"/>
              <w:left w:val="nil"/>
              <w:bottom w:val="single" w:color="auto" w:sz="4" w:space="0"/>
              <w:right w:val="single" w:color="auto" w:sz="4" w:space="0"/>
            </w:tcBorders>
            <w:shd w:val="clear" w:color="auto" w:fill="auto"/>
            <w:vAlign w:val="center"/>
          </w:tcPr>
          <w:p w14:paraId="58F92D6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6A4EE67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186</w:t>
            </w:r>
          </w:p>
        </w:tc>
      </w:tr>
      <w:tr w14:paraId="3E2B37B7">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751B1AB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两居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2BDBDAD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57.9-61.95</w:t>
            </w:r>
          </w:p>
        </w:tc>
        <w:tc>
          <w:tcPr>
            <w:tcW w:w="1042" w:type="pct"/>
            <w:tcBorders>
              <w:top w:val="nil"/>
              <w:left w:val="nil"/>
              <w:bottom w:val="single" w:color="auto" w:sz="4" w:space="0"/>
              <w:right w:val="single" w:color="auto" w:sz="4" w:space="0"/>
            </w:tcBorders>
            <w:shd w:val="clear" w:color="auto" w:fill="auto"/>
            <w:vAlign w:val="center"/>
          </w:tcPr>
          <w:p w14:paraId="2C66F1D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0457FA5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3C441A9D">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1B054119">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339F18DA">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7989229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1D00A19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6950C731">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1BBDBD1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90B32AE">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1DA4209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东南</w:t>
            </w:r>
          </w:p>
        </w:tc>
        <w:tc>
          <w:tcPr>
            <w:tcW w:w="1143" w:type="pct"/>
            <w:tcBorders>
              <w:top w:val="nil"/>
              <w:left w:val="nil"/>
              <w:bottom w:val="single" w:color="auto" w:sz="4" w:space="0"/>
              <w:right w:val="single" w:color="auto" w:sz="4" w:space="0"/>
            </w:tcBorders>
            <w:shd w:val="clear" w:color="auto" w:fill="auto"/>
            <w:vAlign w:val="center"/>
          </w:tcPr>
          <w:p w14:paraId="3C822EF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43C9DDB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AF6A09B">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27C332C">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31C4092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西南</w:t>
            </w:r>
          </w:p>
        </w:tc>
        <w:tc>
          <w:tcPr>
            <w:tcW w:w="1143" w:type="pct"/>
            <w:tcBorders>
              <w:top w:val="nil"/>
              <w:left w:val="nil"/>
              <w:bottom w:val="single" w:color="auto" w:sz="4" w:space="0"/>
              <w:right w:val="single" w:color="auto" w:sz="4" w:space="0"/>
            </w:tcBorders>
            <w:shd w:val="clear" w:color="auto" w:fill="auto"/>
            <w:vAlign w:val="center"/>
          </w:tcPr>
          <w:p w14:paraId="48A02C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08A5F4F4">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24B3BED">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B46BE67">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34033DF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7B6C668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432</w:t>
            </w:r>
          </w:p>
        </w:tc>
      </w:tr>
      <w:tr w14:paraId="28C7B153">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1B2F93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2A0EFB16">
            <w:pPr>
              <w:widowControl/>
              <w:adjustRightInd/>
              <w:spacing w:line="240" w:lineRule="auto"/>
              <w:textAlignment w:val="auto"/>
              <w:rPr>
                <w:rFonts w:ascii="等线" w:hAnsi="等线" w:eastAsia="等线" w:cs="宋体"/>
                <w:color w:val="000000"/>
                <w:sz w:val="20"/>
                <w:szCs w:val="21"/>
              </w:rPr>
            </w:pPr>
          </w:p>
        </w:tc>
        <w:tc>
          <w:tcPr>
            <w:tcW w:w="1042" w:type="pct"/>
            <w:tcBorders>
              <w:top w:val="nil"/>
              <w:left w:val="nil"/>
              <w:bottom w:val="single" w:color="auto" w:sz="4" w:space="0"/>
              <w:right w:val="single" w:color="auto" w:sz="4" w:space="0"/>
            </w:tcBorders>
            <w:shd w:val="clear" w:color="auto" w:fill="auto"/>
            <w:vAlign w:val="center"/>
          </w:tcPr>
          <w:p w14:paraId="1BC34181">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2CB4A26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350</w:t>
            </w:r>
          </w:p>
        </w:tc>
      </w:tr>
      <w:tr w14:paraId="49D797B8">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0FEA777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30F5366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2" w:type="pct"/>
            <w:tcBorders>
              <w:top w:val="nil"/>
              <w:left w:val="nil"/>
              <w:bottom w:val="single" w:color="auto" w:sz="4" w:space="0"/>
              <w:right w:val="single" w:color="auto" w:sz="4" w:space="0"/>
            </w:tcBorders>
            <w:shd w:val="clear" w:color="auto" w:fill="auto"/>
            <w:vAlign w:val="center"/>
          </w:tcPr>
          <w:p w14:paraId="4A347C5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5A92B93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1100</w:t>
            </w:r>
          </w:p>
        </w:tc>
      </w:tr>
      <w:tr w14:paraId="0E439A8E">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6EE43E8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总计</w:t>
            </w:r>
          </w:p>
        </w:tc>
        <w:tc>
          <w:tcPr>
            <w:tcW w:w="1672" w:type="pct"/>
            <w:tcBorders>
              <w:top w:val="nil"/>
              <w:left w:val="nil"/>
              <w:bottom w:val="single" w:color="auto" w:sz="4" w:space="0"/>
              <w:right w:val="single" w:color="auto" w:sz="4" w:space="0"/>
            </w:tcBorders>
            <w:shd w:val="clear" w:color="auto" w:fill="auto"/>
            <w:vAlign w:val="center"/>
          </w:tcPr>
          <w:p w14:paraId="4540260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2" w:type="pct"/>
            <w:tcBorders>
              <w:top w:val="nil"/>
              <w:left w:val="nil"/>
              <w:bottom w:val="single" w:color="auto" w:sz="4" w:space="0"/>
              <w:right w:val="single" w:color="auto" w:sz="4" w:space="0"/>
            </w:tcBorders>
            <w:shd w:val="clear" w:color="auto" w:fill="auto"/>
            <w:vAlign w:val="center"/>
          </w:tcPr>
          <w:p w14:paraId="48FF919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0F82214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1830</w:t>
            </w:r>
          </w:p>
        </w:tc>
      </w:tr>
    </w:tbl>
    <w:p w14:paraId="6BB126C5">
      <w:pPr>
        <w:pStyle w:val="61"/>
        <w:wordWrap w:val="0"/>
        <w:overflowPunct w:val="0"/>
        <w:spacing w:before="240" w:beforeLines="10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根据《燕保·高米店家园项目房源表》及上述楼层、朝向、面积、户型、梯户比等配比情况，本次估价按照众数原则设定具有代表性的标准房屋，具体标准房详见下表:</w:t>
      </w:r>
    </w:p>
    <w:p w14:paraId="06293880">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43912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6692D63">
            <w:pPr>
              <w:overflowPunct w:val="0"/>
              <w:spacing w:line="240" w:lineRule="atLeast"/>
              <w:jc w:val="center"/>
              <w:rPr>
                <w:rFonts w:ascii="宋体" w:hAnsi="宋体" w:cs="Arial"/>
                <w:kern w:val="2"/>
                <w:sz w:val="21"/>
                <w:szCs w:val="21"/>
              </w:rPr>
            </w:pPr>
            <w:r>
              <w:rPr>
                <w:rFonts w:ascii="宋体" w:hAnsi="宋体" w:cs="Arial"/>
                <w:kern w:val="2"/>
                <w:sz w:val="21"/>
                <w:szCs w:val="21"/>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3BFF1338">
            <w:pPr>
              <w:overflowPunct w:val="0"/>
              <w:spacing w:line="240" w:lineRule="atLeast"/>
              <w:jc w:val="center"/>
              <w:rPr>
                <w:rFonts w:ascii="宋体" w:hAnsi="宋体" w:cs="Arial"/>
                <w:kern w:val="2"/>
                <w:sz w:val="21"/>
                <w:szCs w:val="21"/>
              </w:rPr>
            </w:pPr>
            <w:r>
              <w:rPr>
                <w:rFonts w:ascii="宋体" w:hAnsi="宋体" w:cs="Arial"/>
                <w:kern w:val="2"/>
                <w:sz w:val="21"/>
                <w:szCs w:val="21"/>
              </w:rPr>
              <w:t>设定标准</w:t>
            </w:r>
          </w:p>
        </w:tc>
      </w:tr>
      <w:tr w14:paraId="28C2F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3285CB29">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hint="eastAsia" w:ascii="宋体" w:hAnsi="宋体" w:cs="Arial"/>
                <w:kern w:val="2"/>
                <w:sz w:val="21"/>
                <w:szCs w:val="21"/>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51CFB797">
            <w:pPr>
              <w:overflowPunct w:val="0"/>
              <w:spacing w:line="240" w:lineRule="atLeast"/>
              <w:jc w:val="center"/>
              <w:rPr>
                <w:rFonts w:ascii="宋体" w:hAnsi="宋体" w:cs="Arial"/>
                <w:kern w:val="2"/>
                <w:sz w:val="21"/>
                <w:szCs w:val="21"/>
              </w:rPr>
            </w:pPr>
            <w:r>
              <w:rPr>
                <w:rFonts w:ascii="宋体" w:hAnsi="宋体" w:cs="Arial"/>
                <w:kern w:val="2"/>
                <w:sz w:val="21"/>
                <w:szCs w:val="21"/>
              </w:rPr>
              <w:t>中楼层</w:t>
            </w:r>
            <w:r>
              <w:rPr>
                <w:rFonts w:hint="eastAsia" w:ascii="宋体" w:hAnsi="宋体" w:cs="Arial"/>
                <w:kern w:val="2"/>
                <w:sz w:val="21"/>
                <w:szCs w:val="21"/>
              </w:rPr>
              <w:t>/1</w:t>
            </w:r>
            <w:r>
              <w:rPr>
                <w:rFonts w:ascii="宋体" w:hAnsi="宋体" w:cs="Arial"/>
                <w:kern w:val="2"/>
                <w:sz w:val="21"/>
                <w:szCs w:val="21"/>
              </w:rPr>
              <w:t>8</w:t>
            </w:r>
            <w:r>
              <w:rPr>
                <w:rFonts w:hint="eastAsia" w:ascii="宋体" w:hAnsi="宋体" w:cs="Arial"/>
                <w:kern w:val="2"/>
                <w:sz w:val="21"/>
                <w:szCs w:val="21"/>
              </w:rPr>
              <w:t>层</w:t>
            </w:r>
          </w:p>
        </w:tc>
      </w:tr>
      <w:tr w14:paraId="163FD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59BA6673">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5EF91FA5">
            <w:pPr>
              <w:overflowPunct w:val="0"/>
              <w:spacing w:line="240" w:lineRule="atLeast"/>
              <w:jc w:val="center"/>
              <w:rPr>
                <w:rFonts w:ascii="宋体" w:hAnsi="宋体" w:cs="Arial"/>
                <w:kern w:val="2"/>
                <w:sz w:val="21"/>
                <w:szCs w:val="21"/>
              </w:rPr>
            </w:pPr>
            <w:r>
              <w:rPr>
                <w:rFonts w:hint="eastAsia" w:ascii="宋体" w:hAnsi="宋体" w:cs="Arial"/>
                <w:kern w:val="2"/>
                <w:sz w:val="21"/>
                <w:szCs w:val="21"/>
              </w:rPr>
              <w:t>南</w:t>
            </w:r>
          </w:p>
        </w:tc>
      </w:tr>
      <w:tr w14:paraId="1A825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2B0B3DBA">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694BC2F0">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hint="eastAsia" w:ascii="宋体" w:hAnsi="宋体" w:cs="Arial"/>
                <w:kern w:val="2"/>
                <w:sz w:val="21"/>
                <w:szCs w:val="21"/>
              </w:rPr>
              <w:t>-</w:t>
            </w:r>
            <w:r>
              <w:rPr>
                <w:rFonts w:ascii="宋体" w:hAnsi="宋体" w:cs="Arial"/>
                <w:kern w:val="2"/>
                <w:sz w:val="21"/>
                <w:szCs w:val="21"/>
              </w:rPr>
              <w:t>61.95</w:t>
            </w:r>
          </w:p>
        </w:tc>
      </w:tr>
      <w:tr w14:paraId="191F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16621C3D">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4CE21A7D">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14:paraId="47D07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5779E781">
            <w:pPr>
              <w:overflowPunct w:val="0"/>
              <w:spacing w:line="240" w:lineRule="atLeast"/>
              <w:jc w:val="center"/>
              <w:rPr>
                <w:rFonts w:ascii="宋体" w:hAnsi="宋体" w:cs="Arial"/>
                <w:kern w:val="2"/>
                <w:sz w:val="21"/>
                <w:szCs w:val="21"/>
              </w:rPr>
            </w:pPr>
            <w:r>
              <w:rPr>
                <w:rFonts w:hint="eastAsia" w:ascii="宋体" w:hAnsi="宋体" w:cs="Arial"/>
                <w:kern w:val="2"/>
                <w:sz w:val="21"/>
                <w:szCs w:val="21"/>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7AB333A0">
            <w:pPr>
              <w:overflowPunct w:val="0"/>
              <w:spacing w:line="240" w:lineRule="atLeast"/>
              <w:jc w:val="center"/>
              <w:rPr>
                <w:rFonts w:ascii="宋体" w:hAnsi="宋体" w:cs="Arial"/>
                <w:kern w:val="2"/>
                <w:sz w:val="21"/>
                <w:szCs w:val="21"/>
              </w:rPr>
            </w:pPr>
            <w:r>
              <w:rPr>
                <w:rFonts w:hint="eastAsia" w:ascii="宋体" w:hAnsi="宋体" w:cs="Arial"/>
                <w:kern w:val="2"/>
                <w:sz w:val="21"/>
                <w:szCs w:val="21"/>
              </w:rPr>
              <w:t>两居室</w:t>
            </w:r>
          </w:p>
        </w:tc>
      </w:tr>
      <w:tr w14:paraId="41C6C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22E4BD60">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3C41C246">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13E3E61">
      <w:pPr>
        <w:wordWrap w:val="0"/>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（3）建筑结构：估价对象所属楼宇建筑结构为</w:t>
      </w:r>
      <w:r>
        <w:rPr>
          <w:rFonts w:hint="eastAsia" w:ascii="Arial" w:hAnsi="Arial" w:cs="Arial"/>
          <w:kern w:val="2"/>
          <w:sz w:val="21"/>
          <w:szCs w:val="21"/>
        </w:rPr>
        <w:t>剪力墙（钢混）</w:t>
      </w:r>
      <w:r>
        <w:rPr>
          <w:rFonts w:hint="eastAsia" w:ascii="Arial" w:hAnsi="Arial" w:cs="Arial"/>
          <w:sz w:val="21"/>
          <w:szCs w:val="21"/>
        </w:rPr>
        <w:t>结构。</w:t>
      </w:r>
    </w:p>
    <w:p w14:paraId="3BEBCB8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（4）建筑外观：</w:t>
      </w:r>
      <w:r>
        <w:rPr>
          <w:rFonts w:hint="eastAsia" w:ascii="Arial" w:hAnsi="Arial" w:cs="Arial"/>
          <w:kern w:val="2"/>
          <w:sz w:val="21"/>
          <w:szCs w:val="21"/>
        </w:rPr>
        <w:t>估价对象全部为高层板楼</w:t>
      </w:r>
      <w:r>
        <w:rPr>
          <w:rFonts w:hint="eastAsia" w:ascii="Arial" w:hAnsi="Arial" w:cs="Arial"/>
          <w:sz w:val="21"/>
          <w:szCs w:val="21"/>
        </w:rPr>
        <w:t>。</w:t>
      </w:r>
    </w:p>
    <w:p w14:paraId="5FECE8E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（5）设施设备：估价对象所在项目配套设施完备，给排水、电力、电讯等齐全；防火栓、安防系统等设备齐全。</w:t>
      </w:r>
    </w:p>
    <w:p w14:paraId="1EAF58A8">
      <w:pPr>
        <w:wordWrap w:val="0"/>
        <w:overflowPunct w:val="0"/>
        <w:spacing w:line="480" w:lineRule="auto"/>
        <w:ind w:firstLine="420" w:firstLineChars="200"/>
        <w:jc w:val="both"/>
        <w:textAlignment w:val="auto"/>
        <w:rPr>
          <w:rFonts w:ascii="华文细黑" w:hAnsi="华文细黑" w:eastAsia="华文细黑" w:cs="Arial"/>
          <w:sz w:val="18"/>
          <w:szCs w:val="18"/>
        </w:rPr>
      </w:pPr>
      <w:r>
        <w:rPr>
          <w:rFonts w:hint="eastAsia" w:ascii="Arial" w:hAnsi="Arial" w:cs="Arial"/>
          <w:sz w:val="21"/>
          <w:szCs w:val="21"/>
        </w:rPr>
        <w:t>（6）装饰装修：根据估价委托人介绍及注册房地产估价师实地查勘，估价对象为精装修，外立面涂料，公共部分首层地面为地砖地面，墙砖墙面、涂料顶棚。室内木地板地面，涂料墙面，涂料顶棚；厨房地面地砖，墙面墙砖，顶棚PVC；卫生间地面地砖，墙面墙砖，顶棚PVC。</w:t>
      </w:r>
    </w:p>
    <w:p w14:paraId="47E8F91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（7）新旧程度：</w:t>
      </w:r>
      <w:r>
        <w:rPr>
          <w:rFonts w:hint="eastAsia" w:ascii="Arial" w:hAnsi="Arial" w:cs="Arial"/>
          <w:kern w:val="2"/>
          <w:sz w:val="21"/>
          <w:szCs w:val="21"/>
        </w:rPr>
        <w:t>根据</w:t>
      </w:r>
      <w:r>
        <w:rPr>
          <w:rFonts w:ascii="Arial" w:hAnsi="Arial" w:cs="Arial"/>
          <w:sz w:val="21"/>
          <w:szCs w:val="21"/>
        </w:rPr>
        <w:t>《北京市房屋建筑和市政基础设施工程竣工验收备案表》</w:t>
      </w:r>
      <w:r>
        <w:rPr>
          <w:rFonts w:hint="eastAsia" w:ascii="Arial" w:hAnsi="Arial" w:cs="Arial"/>
          <w:sz w:val="21"/>
          <w:szCs w:val="21"/>
        </w:rPr>
        <w:t>[编号：0</w:t>
      </w:r>
      <w:r>
        <w:rPr>
          <w:rFonts w:ascii="Arial" w:hAnsi="Arial" w:cs="Arial"/>
          <w:sz w:val="21"/>
          <w:szCs w:val="21"/>
        </w:rPr>
        <w:t>251大竣工</w:t>
      </w:r>
      <w:r>
        <w:rPr>
          <w:rFonts w:hint="eastAsia" w:ascii="Arial" w:hAnsi="Arial" w:cs="Arial"/>
          <w:sz w:val="21"/>
          <w:szCs w:val="21"/>
        </w:rPr>
        <w:t>2</w:t>
      </w:r>
      <w:r>
        <w:rPr>
          <w:rFonts w:ascii="Arial" w:hAnsi="Arial" w:cs="Arial"/>
          <w:sz w:val="21"/>
          <w:szCs w:val="21"/>
        </w:rPr>
        <w:t>018（建）</w:t>
      </w:r>
      <w:r>
        <w:rPr>
          <w:rFonts w:hint="eastAsia" w:ascii="Arial" w:hAnsi="Arial" w:cs="Arial"/>
          <w:sz w:val="21"/>
          <w:szCs w:val="21"/>
        </w:rPr>
        <w:t>0</w:t>
      </w:r>
      <w:r>
        <w:rPr>
          <w:rFonts w:ascii="Arial" w:hAnsi="Arial" w:cs="Arial"/>
          <w:sz w:val="21"/>
          <w:szCs w:val="21"/>
        </w:rPr>
        <w:t>036号]及注册房地产估价师实地调查，估价对象所属项目实际工程竣工年份为</w:t>
      </w:r>
      <w:r>
        <w:rPr>
          <w:rFonts w:hint="eastAsia" w:ascii="Arial" w:hAnsi="Arial" w:cs="Arial"/>
          <w:sz w:val="21"/>
          <w:szCs w:val="21"/>
        </w:rPr>
        <w:t>2</w:t>
      </w:r>
      <w:r>
        <w:rPr>
          <w:rFonts w:ascii="Arial" w:hAnsi="Arial" w:cs="Arial"/>
          <w:sz w:val="21"/>
          <w:szCs w:val="21"/>
        </w:rPr>
        <w:t>015年</w:t>
      </w:r>
      <w:r>
        <w:rPr>
          <w:rFonts w:hint="eastAsia" w:ascii="Arial" w:hAnsi="Arial" w:cs="Arial"/>
          <w:sz w:val="21"/>
          <w:szCs w:val="21"/>
        </w:rPr>
        <w:t>，并</w:t>
      </w:r>
      <w:r>
        <w:rPr>
          <w:rFonts w:ascii="Arial" w:hAnsi="Arial" w:cs="Arial"/>
          <w:sz w:val="21"/>
          <w:szCs w:val="21"/>
        </w:rPr>
        <w:t>于</w:t>
      </w:r>
      <w:r>
        <w:rPr>
          <w:rFonts w:hint="eastAsia" w:ascii="Arial" w:hAnsi="Arial" w:cs="Arial"/>
          <w:sz w:val="21"/>
          <w:szCs w:val="21"/>
        </w:rPr>
        <w:t>2</w:t>
      </w:r>
      <w:r>
        <w:rPr>
          <w:rFonts w:ascii="Arial" w:hAnsi="Arial" w:cs="Arial"/>
          <w:sz w:val="21"/>
          <w:szCs w:val="21"/>
        </w:rPr>
        <w:t>018年完成竣工验收备案。</w:t>
      </w:r>
      <w:r>
        <w:rPr>
          <w:rFonts w:hint="eastAsia" w:ascii="Arial" w:hAnsi="Arial" w:cs="Arial"/>
          <w:sz w:val="21"/>
          <w:szCs w:val="21"/>
        </w:rPr>
        <w:t>截至价值时点，结合估价对象观察成新，综合确定估价对象成新度约为8</w:t>
      </w:r>
      <w:r>
        <w:rPr>
          <w:rFonts w:ascii="Arial" w:hAnsi="Arial" w:cs="Arial"/>
          <w:sz w:val="21"/>
          <w:szCs w:val="21"/>
        </w:rPr>
        <w:t>8</w:t>
      </w:r>
      <w:r>
        <w:rPr>
          <w:rFonts w:hint="eastAsia" w:ascii="Arial" w:hAnsi="Arial" w:cs="Arial"/>
          <w:sz w:val="21"/>
          <w:szCs w:val="21"/>
        </w:rPr>
        <w:t>%。</w:t>
      </w:r>
    </w:p>
    <w:p w14:paraId="4FA92CA4">
      <w:pPr>
        <w:spacing w:line="480" w:lineRule="auto"/>
        <w:ind w:firstLine="420" w:firstLineChars="200"/>
        <w:rPr>
          <w:rFonts w:ascii="Arial" w:hAnsi="Arial" w:cs="Arial"/>
          <w:sz w:val="21"/>
          <w:szCs w:val="21"/>
        </w:rPr>
      </w:pPr>
      <w:r>
        <w:rPr>
          <w:rFonts w:hint="eastAsia" w:ascii="Arial" w:hAnsi="Arial" w:cs="Arial"/>
          <w:sz w:val="21"/>
          <w:szCs w:val="21"/>
        </w:rPr>
        <w:t>（8）户型设计：</w:t>
      </w:r>
    </w:p>
    <w:p w14:paraId="28227362">
      <w:pPr>
        <w:spacing w:line="480" w:lineRule="auto"/>
        <w:ind w:firstLine="420" w:firstLineChars="200"/>
        <w:rPr>
          <w:rFonts w:ascii="Arial" w:hAnsi="Arial" w:cs="Arial"/>
          <w:sz w:val="21"/>
          <w:szCs w:val="21"/>
        </w:rPr>
      </w:pPr>
      <w:r>
        <w:rPr>
          <w:rFonts w:hint="eastAsia" w:ascii="Arial" w:hAnsi="Arial" w:cs="Arial"/>
          <w:sz w:val="21"/>
          <w:szCs w:val="21"/>
        </w:rPr>
        <w:t>估价对象</w:t>
      </w:r>
      <w:r>
        <w:rPr>
          <w:rFonts w:hint="eastAsia" w:ascii="Arial" w:hAnsi="Arial" w:cs="Arial"/>
          <w:kern w:val="2"/>
          <w:sz w:val="21"/>
          <w:szCs w:val="21"/>
        </w:rPr>
        <w:t>共计</w:t>
      </w:r>
      <w:r>
        <w:rPr>
          <w:rFonts w:ascii="Arial" w:hAnsi="Arial" w:cs="Arial"/>
          <w:kern w:val="2"/>
          <w:sz w:val="21"/>
          <w:szCs w:val="21"/>
        </w:rPr>
        <w:t>1830套</w:t>
      </w:r>
      <w:r>
        <w:rPr>
          <w:rFonts w:hint="eastAsia" w:ascii="Arial" w:hAnsi="Arial" w:cs="Arial"/>
          <w:kern w:val="2"/>
          <w:sz w:val="21"/>
          <w:szCs w:val="21"/>
        </w:rPr>
        <w:t>，有</w:t>
      </w:r>
      <w:r>
        <w:rPr>
          <w:rFonts w:ascii="Arial" w:hAnsi="Arial" w:cs="Arial"/>
          <w:kern w:val="2"/>
          <w:sz w:val="21"/>
          <w:szCs w:val="21"/>
        </w:rPr>
        <w:t>38</w:t>
      </w:r>
      <w:r>
        <w:rPr>
          <w:rFonts w:hint="eastAsia" w:ascii="Arial" w:hAnsi="Arial" w:cs="Arial"/>
          <w:kern w:val="2"/>
          <w:sz w:val="21"/>
          <w:szCs w:val="21"/>
        </w:rPr>
        <w:t>种户型，分别为</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5-1‘、5-1‘反、5-2</w:t>
      </w:r>
      <w:r>
        <w:rPr>
          <w:rFonts w:hint="eastAsia" w:ascii="Arial" w:hAnsi="Arial" w:cs="Arial"/>
          <w:kern w:val="2"/>
          <w:sz w:val="21"/>
          <w:szCs w:val="21"/>
        </w:rPr>
        <w:t>、5</w:t>
      </w:r>
      <w:r>
        <w:rPr>
          <w:rFonts w:ascii="Arial" w:hAnsi="Arial" w:cs="Arial"/>
          <w:kern w:val="2"/>
          <w:sz w:val="21"/>
          <w:szCs w:val="21"/>
        </w:rPr>
        <w:t>-2反、A2、A2反、B1、B1反、C2、C2反、C6、C6反、5-4、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。其中，</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w:t>
      </w:r>
      <w:r>
        <w:rPr>
          <w:rFonts w:hint="eastAsia" w:ascii="Arial" w:hAnsi="Arial" w:cs="Arial"/>
          <w:kern w:val="2"/>
          <w:sz w:val="21"/>
          <w:szCs w:val="21"/>
        </w:rPr>
        <w:t>为零居室，共计</w:t>
      </w:r>
      <w:r>
        <w:rPr>
          <w:rFonts w:ascii="Arial" w:hAnsi="Arial" w:cs="Arial"/>
          <w:kern w:val="2"/>
          <w:sz w:val="21"/>
          <w:szCs w:val="21"/>
        </w:rPr>
        <w:t>544</w:t>
      </w:r>
      <w:r>
        <w:rPr>
          <w:rFonts w:hint="eastAsia" w:ascii="Arial" w:hAnsi="Arial" w:cs="Arial"/>
          <w:kern w:val="2"/>
          <w:sz w:val="21"/>
          <w:szCs w:val="21"/>
        </w:rPr>
        <w:t>套，面积区间为</w:t>
      </w:r>
      <w:r>
        <w:rPr>
          <w:rFonts w:ascii="Arial" w:hAnsi="Arial" w:cs="Arial"/>
          <w:kern w:val="2"/>
          <w:sz w:val="21"/>
          <w:szCs w:val="21"/>
        </w:rPr>
        <w:t>30.04-32.61</w:t>
      </w:r>
      <w:r>
        <w:rPr>
          <w:rFonts w:hint="eastAsia" w:ascii="Arial" w:hAnsi="Arial" w:cs="Arial"/>
          <w:kern w:val="2"/>
          <w:sz w:val="21"/>
          <w:szCs w:val="21"/>
        </w:rPr>
        <w:t>平方米，</w:t>
      </w:r>
      <w:r>
        <w:rPr>
          <w:rFonts w:ascii="Arial" w:hAnsi="Arial" w:cs="Arial"/>
          <w:kern w:val="2"/>
          <w:sz w:val="21"/>
          <w:szCs w:val="21"/>
        </w:rPr>
        <w:t>5-2</w:t>
      </w:r>
      <w:r>
        <w:rPr>
          <w:rFonts w:hint="eastAsia" w:ascii="Arial" w:hAnsi="Arial" w:cs="Arial"/>
          <w:kern w:val="2"/>
          <w:sz w:val="21"/>
          <w:szCs w:val="21"/>
        </w:rPr>
        <w:t>、5</w:t>
      </w:r>
      <w:r>
        <w:rPr>
          <w:rFonts w:ascii="Arial" w:hAnsi="Arial" w:cs="Arial"/>
          <w:kern w:val="2"/>
          <w:sz w:val="21"/>
          <w:szCs w:val="21"/>
        </w:rPr>
        <w:t>-2反、A2、A2反、B1、B1反、C2、C2反、C6、C6反</w:t>
      </w:r>
      <w:r>
        <w:rPr>
          <w:rFonts w:hint="eastAsia" w:ascii="Arial" w:hAnsi="Arial" w:cs="Arial"/>
          <w:kern w:val="2"/>
          <w:sz w:val="21"/>
          <w:szCs w:val="21"/>
        </w:rPr>
        <w:t>为一居室，共计</w:t>
      </w:r>
      <w:r>
        <w:rPr>
          <w:rFonts w:ascii="Arial" w:hAnsi="Arial" w:cs="Arial"/>
          <w:kern w:val="2"/>
          <w:sz w:val="21"/>
          <w:szCs w:val="21"/>
        </w:rPr>
        <w:t>186</w:t>
      </w:r>
      <w:r>
        <w:rPr>
          <w:rFonts w:hint="eastAsia" w:ascii="Arial" w:hAnsi="Arial" w:cs="Arial"/>
          <w:kern w:val="2"/>
          <w:sz w:val="21"/>
          <w:szCs w:val="21"/>
        </w:rPr>
        <w:t>套，面积区间为</w:t>
      </w:r>
      <w:r>
        <w:rPr>
          <w:rFonts w:ascii="Arial" w:hAnsi="Arial" w:cs="Arial"/>
          <w:kern w:val="2"/>
          <w:sz w:val="21"/>
          <w:szCs w:val="21"/>
        </w:rPr>
        <w:t>41.49</w:t>
      </w:r>
      <w:r>
        <w:rPr>
          <w:rFonts w:hint="eastAsia" w:ascii="Arial" w:hAnsi="Arial" w:cs="Arial"/>
          <w:kern w:val="2"/>
          <w:sz w:val="21"/>
          <w:szCs w:val="21"/>
        </w:rPr>
        <w:t>-</w:t>
      </w:r>
      <w:r>
        <w:rPr>
          <w:rFonts w:ascii="Arial" w:hAnsi="Arial" w:cs="Arial"/>
          <w:kern w:val="2"/>
          <w:sz w:val="21"/>
          <w:szCs w:val="21"/>
        </w:rPr>
        <w:t>50.94</w:t>
      </w:r>
      <w:r>
        <w:rPr>
          <w:rFonts w:hint="eastAsia" w:ascii="Arial" w:hAnsi="Arial" w:cs="Arial"/>
          <w:kern w:val="2"/>
          <w:sz w:val="21"/>
          <w:szCs w:val="21"/>
        </w:rPr>
        <w:t>平方米。</w:t>
      </w:r>
      <w:r>
        <w:rPr>
          <w:rFonts w:ascii="Arial" w:hAnsi="Arial" w:cs="Arial"/>
          <w:kern w:val="2"/>
          <w:sz w:val="21"/>
          <w:szCs w:val="21"/>
        </w:rPr>
        <w:t>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户型为两居室，共计</w:t>
      </w:r>
      <w:r>
        <w:rPr>
          <w:rFonts w:ascii="Arial" w:hAnsi="Arial" w:cs="Arial"/>
          <w:kern w:val="2"/>
          <w:sz w:val="21"/>
          <w:szCs w:val="21"/>
        </w:rPr>
        <w:t>1100</w:t>
      </w:r>
      <w:r>
        <w:rPr>
          <w:rFonts w:hint="eastAsia" w:ascii="Arial" w:hAnsi="Arial" w:cs="Arial"/>
          <w:kern w:val="2"/>
          <w:sz w:val="21"/>
          <w:szCs w:val="21"/>
        </w:rPr>
        <w:t>套，面积区间为</w:t>
      </w:r>
      <w:r>
        <w:rPr>
          <w:rFonts w:ascii="Arial" w:hAnsi="Arial" w:cs="Arial"/>
          <w:kern w:val="2"/>
          <w:sz w:val="21"/>
          <w:szCs w:val="21"/>
        </w:rPr>
        <w:t>57.9</w:t>
      </w:r>
      <w:r>
        <w:rPr>
          <w:rFonts w:hint="eastAsia" w:ascii="Arial" w:hAnsi="Arial" w:cs="Arial"/>
          <w:kern w:val="2"/>
          <w:sz w:val="21"/>
          <w:szCs w:val="21"/>
        </w:rPr>
        <w:t>-</w:t>
      </w:r>
      <w:r>
        <w:rPr>
          <w:rFonts w:ascii="Arial" w:hAnsi="Arial" w:cs="Arial"/>
          <w:kern w:val="2"/>
          <w:sz w:val="21"/>
          <w:szCs w:val="21"/>
        </w:rPr>
        <w:t>61.95</w:t>
      </w:r>
      <w:r>
        <w:rPr>
          <w:rFonts w:hint="eastAsia" w:ascii="Arial" w:hAnsi="Arial" w:cs="Arial"/>
          <w:kern w:val="2"/>
          <w:sz w:val="21"/>
          <w:szCs w:val="21"/>
        </w:rPr>
        <w:t>平方米。</w:t>
      </w:r>
    </w:p>
    <w:p w14:paraId="4CB14E58">
      <w:pPr>
        <w:spacing w:line="480" w:lineRule="auto"/>
        <w:ind w:firstLine="420" w:firstLineChars="200"/>
        <w:rPr>
          <w:rFonts w:ascii="Arial" w:hAnsi="Arial" w:cs="Arial"/>
          <w:sz w:val="21"/>
          <w:szCs w:val="21"/>
        </w:rPr>
      </w:pPr>
      <w:r>
        <w:rPr>
          <w:rFonts w:hint="eastAsia" w:ascii="Arial" w:hAnsi="Arial" w:cs="Arial"/>
          <w:sz w:val="21"/>
          <w:szCs w:val="21"/>
        </w:rPr>
        <w:t>（9）朝向：</w:t>
      </w:r>
    </w:p>
    <w:p w14:paraId="49175458">
      <w:pPr>
        <w:spacing w:line="480" w:lineRule="auto"/>
        <w:ind w:firstLine="420" w:firstLineChars="200"/>
        <w:rPr>
          <w:rFonts w:ascii="Arial" w:hAnsi="Arial" w:cs="Arial"/>
          <w:kern w:val="2"/>
          <w:sz w:val="21"/>
          <w:szCs w:val="21"/>
        </w:rPr>
      </w:pPr>
      <w:r>
        <w:rPr>
          <w:rFonts w:hint="eastAsia" w:ascii="Arial" w:hAnsi="Arial" w:cs="Arial"/>
          <w:sz w:val="21"/>
          <w:szCs w:val="21"/>
        </w:rPr>
        <w:t>朝向为东、西、东北、西北、东南、西南、南、南北，其中南朝向共</w:t>
      </w:r>
      <w:r>
        <w:rPr>
          <w:rFonts w:ascii="Arial" w:hAnsi="Arial" w:cs="Arial"/>
          <w:sz w:val="21"/>
          <w:szCs w:val="21"/>
        </w:rPr>
        <w:t>435</w:t>
      </w:r>
      <w:r>
        <w:rPr>
          <w:rFonts w:hint="eastAsia" w:ascii="Arial" w:hAnsi="Arial" w:cs="Arial"/>
          <w:sz w:val="21"/>
          <w:szCs w:val="21"/>
        </w:rPr>
        <w:t>套，以朝南为主</w:t>
      </w:r>
      <w:r>
        <w:rPr>
          <w:rFonts w:hint="eastAsia" w:ascii="Arial" w:hAnsi="Arial" w:cs="Arial"/>
          <w:kern w:val="2"/>
          <w:sz w:val="21"/>
          <w:szCs w:val="21"/>
        </w:rPr>
        <w:t>。</w:t>
      </w:r>
    </w:p>
    <w:p w14:paraId="1F0B8DA9">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9465022">
      <w:pPr>
        <w:spacing w:line="480" w:lineRule="auto"/>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w:t>
      </w:r>
      <w:r>
        <w:rPr>
          <w:rFonts w:hint="eastAsia" w:ascii="Arial" w:hAnsi="Arial" w:cs="Arial"/>
          <w:sz w:val="21"/>
          <w:szCs w:val="21"/>
        </w:rPr>
        <w:t>不会</w:t>
      </w:r>
      <w:r>
        <w:rPr>
          <w:rFonts w:ascii="Arial" w:hAnsi="Arial" w:cs="Arial"/>
          <w:sz w:val="21"/>
          <w:szCs w:val="21"/>
        </w:rPr>
        <w:t>影响其租金价格水平。</w:t>
      </w:r>
    </w:p>
    <w:p w14:paraId="397CE39F">
      <w:pPr>
        <w:pStyle w:val="3"/>
        <w:tabs>
          <w:tab w:val="left" w:pos="360"/>
        </w:tabs>
        <w:spacing w:before="240" w:beforeLines="100" w:line="480" w:lineRule="auto"/>
        <w:ind w:left="360" w:hanging="361" w:hangingChars="171"/>
        <w:jc w:val="both"/>
        <w:rPr>
          <w:rFonts w:eastAsia="宋体"/>
          <w:kern w:val="2"/>
          <w:sz w:val="21"/>
          <w:szCs w:val="21"/>
        </w:rPr>
      </w:pPr>
      <w:bookmarkStart w:id="49" w:name="_Toc525655436"/>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49"/>
    </w:p>
    <w:p w14:paraId="4ED50F48">
      <w:pPr>
        <w:spacing w:line="480" w:lineRule="auto"/>
        <w:ind w:firstLine="420" w:firstLineChars="200"/>
        <w:rPr>
          <w:rFonts w:ascii="Arial" w:hAnsi="Arial" w:cs="Arial"/>
          <w:sz w:val="21"/>
          <w:szCs w:val="21"/>
        </w:rPr>
      </w:pPr>
      <w:r>
        <w:rPr>
          <w:rFonts w:hint="eastAsia" w:ascii="Arial" w:hAnsi="Arial" w:cs="Arial"/>
          <w:sz w:val="21"/>
          <w:szCs w:val="21"/>
          <w:lang w:val="en-US" w:eastAsia="zh-CN"/>
        </w:rPr>
        <w:t>1.</w:t>
      </w: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p>
    <w:p w14:paraId="72AF81DA">
      <w:pPr>
        <w:spacing w:line="480" w:lineRule="auto"/>
        <w:ind w:firstLine="420" w:firstLineChars="200"/>
        <w:rPr>
          <w:rFonts w:ascii="Arial" w:hAnsi="Arial" w:cs="Arial"/>
          <w:kern w:val="2"/>
          <w:sz w:val="21"/>
          <w:szCs w:val="21"/>
        </w:rPr>
      </w:pPr>
      <w:r>
        <w:rPr>
          <w:rFonts w:hint="eastAsia" w:ascii="Arial" w:hAnsi="Arial" w:cs="Arial"/>
          <w:sz w:val="21"/>
          <w:szCs w:val="21"/>
          <w:lang w:val="en-US" w:eastAsia="zh-CN"/>
        </w:rPr>
        <w:t>2.</w:t>
      </w:r>
      <w:r>
        <w:rPr>
          <w:rFonts w:hint="eastAsia" w:ascii="Arial" w:hAnsi="Arial" w:cs="Arial"/>
          <w:sz w:val="21"/>
          <w:szCs w:val="21"/>
        </w:rPr>
        <w:t>经建设单位介绍，估价对象于价值时点不存在抵押权、地役权、查封等他项权利，根据估价目的，本次评估设定估价对象于价值时点不存在抵押权、地役权、查封等他项权利。</w:t>
      </w:r>
    </w:p>
    <w:p w14:paraId="1AEFAEF5">
      <w:pPr>
        <w:spacing w:line="480" w:lineRule="auto"/>
        <w:ind w:firstLine="420" w:firstLineChars="200"/>
        <w:rPr>
          <w:rFonts w:ascii="Arial" w:hAnsi="Arial" w:cs="Arial"/>
          <w:sz w:val="21"/>
          <w:szCs w:val="21"/>
        </w:rPr>
      </w:pPr>
      <w:r>
        <w:rPr>
          <w:rFonts w:ascii="Arial" w:hAnsi="Arial" w:cs="Arial"/>
          <w:sz w:val="21"/>
          <w:szCs w:val="21"/>
        </w:rPr>
        <w:t>（转下页）</w:t>
      </w:r>
    </w:p>
    <w:p w14:paraId="4DDED1E3">
      <w:pPr>
        <w:pStyle w:val="3"/>
        <w:tabs>
          <w:tab w:val="left" w:pos="360"/>
        </w:tabs>
        <w:spacing w:line="480" w:lineRule="auto"/>
        <w:ind w:left="358" w:hanging="358" w:hangingChars="170"/>
        <w:jc w:val="both"/>
        <w:rPr>
          <w:rFonts w:eastAsia="宋体"/>
          <w:kern w:val="2"/>
          <w:sz w:val="21"/>
          <w:szCs w:val="21"/>
        </w:rPr>
      </w:pPr>
      <w:bookmarkStart w:id="50" w:name="_Toc525655437"/>
      <w:r>
        <w:rPr>
          <w:rFonts w:eastAsia="宋体"/>
          <w:kern w:val="2"/>
          <w:sz w:val="21"/>
          <w:szCs w:val="21"/>
        </w:rPr>
        <w:br w:type="page"/>
      </w:r>
    </w:p>
    <w:p w14:paraId="7817BBD3">
      <w:pPr>
        <w:pStyle w:val="3"/>
        <w:tabs>
          <w:tab w:val="left" w:pos="360"/>
        </w:tabs>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0"/>
    </w:p>
    <w:p w14:paraId="418D9127">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（一）类似房地产市场状况（2024年1季度）</w:t>
      </w:r>
    </w:p>
    <w:p w14:paraId="6F06569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19C31E02">
      <w:pPr>
        <w:widowControl/>
        <w:adjustRightInd/>
        <w:spacing w:line="480" w:lineRule="auto"/>
        <w:ind w:firstLine="525" w:firstLineChars="250"/>
        <w:jc w:val="both"/>
        <w:textAlignment w:val="auto"/>
        <w:rPr>
          <w:rFonts w:ascii="Arial" w:hAnsi="Arial"/>
          <w:color w:val="000000"/>
          <w:sz w:val="21"/>
          <w:szCs w:val="21"/>
        </w:rPr>
      </w:pPr>
      <w:bookmarkStart w:id="51" w:name="OLE_LINK34"/>
      <w:bookmarkStart w:id="52"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D1C7DFA">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bookmarkEnd w:id="51"/>
    <w:bookmarkEnd w:id="52"/>
    <w:p w14:paraId="5315B316">
      <w:pPr>
        <w:overflowPunct w:val="0"/>
        <w:spacing w:line="240" w:lineRule="auto"/>
        <w:jc w:val="center"/>
        <w:rPr>
          <w:rFonts w:ascii="Arial" w:hAnsi="Arial" w:eastAsia="方正黑体简体"/>
          <w:bCs/>
          <w:color w:val="000000"/>
          <w:szCs w:val="24"/>
        </w:rPr>
      </w:pPr>
      <w:bookmarkStart w:id="53" w:name="OLE_LINK39"/>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0284300F">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0" distR="0">
            <wp:extent cx="5902960" cy="2174240"/>
            <wp:effectExtent l="0" t="0" r="2540" b="1651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346A7F">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一季度，北京市实现地区生产总值12159.9亿元，按不变价格计算，同比增长5.5%。分产业看，第一产业实现增加值16.6亿元，增长1.2%；第二产业实现增加值1558.9亿元，增长6.0%；第三产业实现增加值10584.3亿元，增长5.4%。</w:t>
      </w:r>
    </w:p>
    <w:p w14:paraId="09E642B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一季度，北京市固定资产投资（不含农户）同比增长24.0%。其中，反映企业扩大生产能力的设备购置投资增长1.3倍。分领域看，基础设施投资增长22.3%，制造业投资增长28.4%，房地产开发投资下降5.0%。分产业看，第一产业投资增长1.6倍，第二产业投资增长32.5%，第三产业投资增长22.9%。高技术产业投资保持快速增长，增速为88.9%，其中，信息传输、软件和信息技术服务业，汽车制造业，计算机、通信和其他电子设备制造业投资分别增长1.8倍、84.0%和46.3%。</w:t>
      </w:r>
    </w:p>
    <w:p w14:paraId="619A0FE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一季度，北京市房屋施工面积9479.8万平方米，同比下降8.2%，其中住宅施工面积4687.7万平方米，下降7.5%。全市新建商品房销售面积247.3万平方米，由上年全年下降1.2%转为增长6.2%，其中住宅销售面积156.0万平方米，下降2.7%，降幅比上年全年收窄1.3个百分点，纯商品住宅销售增长23.7%。</w:t>
      </w:r>
    </w:p>
    <w:p w14:paraId="3DF2890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2025年一季度，北京市市房地产开发企业房屋新开工面积317.9万平方米，同比增长19.1%。其中，住宅新开工面积231.8万平方米，增长59.4%；办公楼5.8万平方米，下降49.7%；商业营业用房5.6万平方米，增长60.6%。</w:t>
      </w:r>
    </w:p>
    <w:p w14:paraId="1C7F039F">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北京市房屋竣工面积195.9万平方米，同比下降4.2%。其中，住宅竣工面积104.5万平方米，增长14.9%；办公楼3.1万平方米，下降64.7%；商业营业用房17.3万平方米，下降38.7%。</w:t>
      </w:r>
    </w:p>
    <w:p w14:paraId="2FA96F5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53"/>
    <w:p w14:paraId="7B5C7AFE">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2.住宅租赁市场</w:t>
      </w:r>
    </w:p>
    <w:p w14:paraId="3D318CD6">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2024年全年，北京市个人租赁住房平均租金为85.2元/㎡/月，同比下降5.3%，各区域租金均有不同幅度下降。</w:t>
      </w:r>
    </w:p>
    <w:p w14:paraId="1072753E">
      <w:pPr>
        <w:overflowPunct w:val="0"/>
        <w:spacing w:line="240" w:lineRule="auto"/>
        <w:ind w:left="480" w:hanging="480" w:hangingChars="200"/>
        <w:jc w:val="both"/>
        <w:textAlignment w:val="auto"/>
        <w:rPr>
          <w:rFonts w:ascii="Arial" w:hAnsi="Arial"/>
          <w:sz w:val="18"/>
          <w:szCs w:val="28"/>
          <w:highlight w:val="yellow"/>
        </w:rPr>
      </w:pPr>
      <w:r>
        <w:drawing>
          <wp:inline distT="0" distB="0" distL="0" distR="0">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904865" cy="1781175"/>
                    </a:xfrm>
                    <a:prstGeom prst="rect">
                      <a:avLst/>
                    </a:prstGeom>
                  </pic:spPr>
                </pic:pic>
              </a:graphicData>
            </a:graphic>
          </wp:inline>
        </w:drawing>
      </w:r>
      <w:r>
        <w:rPr>
          <w:rFonts w:hint="eastAsia" w:ascii="Arial" w:hAnsi="Arial"/>
          <w:sz w:val="18"/>
          <w:szCs w:val="28"/>
        </w:rPr>
        <w:t>数据来源：克而瑞北京《2024年北京住房租赁市场年报》</w:t>
      </w:r>
    </w:p>
    <w:p w14:paraId="49A1C2F5">
      <w:pPr>
        <w:overflowPunct w:val="0"/>
        <w:spacing w:line="480" w:lineRule="auto"/>
        <w:jc w:val="both"/>
        <w:textAlignment w:val="auto"/>
        <w:rPr>
          <w:rFonts w:ascii="Arial" w:hAnsi="Arial"/>
          <w:sz w:val="21"/>
          <w:szCs w:val="28"/>
        </w:rPr>
      </w:pPr>
    </w:p>
    <w:p w14:paraId="630E0B55">
      <w:pPr>
        <w:overflowPunct w:val="0"/>
        <w:spacing w:line="240" w:lineRule="auto"/>
        <w:jc w:val="both"/>
        <w:textAlignment w:val="auto"/>
        <w:rPr>
          <w:rFonts w:ascii="Arial" w:hAnsi="Arial"/>
          <w:sz w:val="21"/>
          <w:szCs w:val="28"/>
        </w:rPr>
      </w:pPr>
      <w:r>
        <w:drawing>
          <wp:inline distT="0" distB="0" distL="0" distR="0">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904865" cy="2230120"/>
                    </a:xfrm>
                    <a:prstGeom prst="rect">
                      <a:avLst/>
                    </a:prstGeom>
                  </pic:spPr>
                </pic:pic>
              </a:graphicData>
            </a:graphic>
          </wp:inline>
        </w:drawing>
      </w:r>
    </w:p>
    <w:p w14:paraId="58F7D7F0">
      <w:pPr>
        <w:overflowPunct w:val="0"/>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315D41A9">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6DD713D2">
      <w:pPr>
        <w:overflowPunct w:val="0"/>
        <w:spacing w:line="240" w:lineRule="auto"/>
        <w:ind w:left="480" w:hanging="480" w:hangingChars="200"/>
        <w:jc w:val="both"/>
        <w:textAlignment w:val="auto"/>
        <w:rPr>
          <w:rFonts w:ascii="Arial" w:hAnsi="Arial"/>
          <w:sz w:val="18"/>
          <w:szCs w:val="28"/>
          <w:highlight w:val="yellow"/>
        </w:rPr>
      </w:pPr>
      <w:r>
        <w:drawing>
          <wp:inline distT="0" distB="0" distL="0" distR="0">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833588" cy="2024703"/>
                    </a:xfrm>
                    <a:prstGeom prst="rect">
                      <a:avLst/>
                    </a:prstGeom>
                  </pic:spPr>
                </pic:pic>
              </a:graphicData>
            </a:graphic>
          </wp:inline>
        </w:drawing>
      </w:r>
      <w:r>
        <w:rPr>
          <w:rFonts w:hint="eastAsia" w:ascii="Arial" w:hAnsi="Arial"/>
          <w:sz w:val="18"/>
          <w:szCs w:val="28"/>
        </w:rPr>
        <w:t>数据来源：克而瑞北京《2024年北京住房租赁市场年报》</w:t>
      </w:r>
    </w:p>
    <w:p w14:paraId="65C5FE58">
      <w:pPr>
        <w:overflowPunct w:val="0"/>
        <w:spacing w:before="240"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5249680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w:t>
      </w:r>
    </w:p>
    <w:p w14:paraId="507A2E41">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48D0283F">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01EF994D">
      <w:pPr>
        <w:overflowPunct w:val="0"/>
        <w:spacing w:line="480" w:lineRule="auto"/>
        <w:ind w:firstLine="420" w:firstLineChars="200"/>
        <w:jc w:val="both"/>
        <w:textAlignment w:val="auto"/>
        <w:rPr>
          <w:rFonts w:ascii="Arial" w:hAnsi="Arial"/>
          <w:color w:val="000000"/>
          <w:sz w:val="21"/>
          <w:szCs w:val="28"/>
        </w:rPr>
      </w:pPr>
      <w:bookmarkStart w:id="54" w:name="OLE_LINK9"/>
      <w:bookmarkStart w:id="55" w:name="OLE_LINK8"/>
      <w:r>
        <w:rPr>
          <w:rFonts w:hint="eastAsia" w:ascii="Arial" w:hAnsi="Arial"/>
          <w:color w:val="000000"/>
          <w:sz w:val="21"/>
          <w:szCs w:val="28"/>
        </w:rPr>
        <w:t>3.产业政策</w:t>
      </w:r>
    </w:p>
    <w:p w14:paraId="5FD8D95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2023年7月24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2023年7月10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pPr>
        <w:overflowPunct w:val="0"/>
        <w:spacing w:line="480" w:lineRule="auto"/>
        <w:ind w:firstLine="420"/>
        <w:jc w:val="both"/>
        <w:textAlignment w:val="auto"/>
        <w:rPr>
          <w:rFonts w:ascii="Arial" w:hAnsi="Arial"/>
          <w:color w:val="000000"/>
          <w:sz w:val="21"/>
        </w:rPr>
      </w:pPr>
      <w:r>
        <w:rPr>
          <w:rFonts w:ascii="Arial" w:hAnsi="Arial"/>
          <w:color w:val="000000"/>
          <w:sz w:val="21"/>
        </w:rPr>
        <w:t>2024年6月20日，住房城乡建设部召开视频会议，部署收购已建成存量商品房用作保障性住房的工作。会议要求县级以上城市根据本地房地产市场情况，综合考虑保障性住房需求和商品房库存，按照“政府主导、市场化运作”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Pr>
          <w:rFonts w:hint="eastAsia" w:ascii="Arial" w:hAnsi="Arial"/>
          <w:color w:val="000000"/>
          <w:sz w:val="21"/>
        </w:rPr>
        <w:t>。</w:t>
      </w:r>
    </w:p>
    <w:bookmarkEnd w:id="54"/>
    <w:bookmarkEnd w:id="55"/>
    <w:p w14:paraId="0E8BD51D">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550033BC">
      <w:pPr>
        <w:spacing w:line="480" w:lineRule="auto"/>
        <w:ind w:firstLine="420" w:firstLineChars="200"/>
        <w:jc w:val="both"/>
        <w:rPr>
          <w:rFonts w:ascii="Arial" w:hAnsi="Arial" w:cs="Arial"/>
          <w:bCs/>
          <w:color w:val="000000"/>
          <w:sz w:val="21"/>
          <w:szCs w:val="21"/>
        </w:rPr>
      </w:pPr>
      <w:r>
        <w:rPr>
          <w:rFonts w:hint="eastAsia" w:ascii="Arial" w:hAnsi="Arial" w:cs="Arial"/>
          <w:bCs/>
          <w:color w:val="000000"/>
          <w:sz w:val="21"/>
          <w:szCs w:val="21"/>
        </w:rPr>
        <w:t>北京市大兴区位于北京市南郊，地处华北平原东北部，北与丰台区、朝阳区相连，西隔永定河与房山区相望，东与通州区毗邻，南及西南与河北省廊坊市、涿州市接壤。总面积1036.33平方千米。截至2022年，大兴区常住人口181.6万人。截至2023年6月，大兴区辖8个街道、14个镇 [3]，区政府驻林校路街道。2025年1-5月，大兴区固定资产投资(不含农户）同比下降37.5%。其中，基础设施投资同比增长10.1%；建安投资同比下降3.9%。</w:t>
      </w:r>
    </w:p>
    <w:p w14:paraId="6C168956">
      <w:pPr>
        <w:spacing w:line="480" w:lineRule="auto"/>
        <w:ind w:firstLine="420" w:firstLineChars="200"/>
        <w:jc w:val="both"/>
        <w:rPr>
          <w:rFonts w:ascii="Arial" w:hAnsi="Arial" w:cs="Arial"/>
          <w:bCs/>
          <w:color w:val="000000"/>
          <w:sz w:val="21"/>
          <w:szCs w:val="21"/>
        </w:rPr>
      </w:pPr>
      <w:r>
        <w:rPr>
          <w:rFonts w:hint="eastAsia" w:ascii="Arial" w:hAnsi="Arial" w:cs="Arial"/>
          <w:bCs/>
          <w:color w:val="000000"/>
          <w:sz w:val="21"/>
          <w:szCs w:val="21"/>
        </w:rPr>
        <w:t>2025年1-5月，大兴区固定资产投资(不含农户）同比下降37.5%。其中，基础设施投资同比增长10.1%；建安投资同比下降3.9%。从三次产业完成情况看，第一产业投资同比增长226.5%；第二产业投资同比下降12.4%；第三产业投资同比下降40.0%。全区房屋施工面积为1455.6万平方米，同比增长0.2%。其中，住宅为829.0万平方米，同比下降6.3%；写字楼为49.2万平方米，同比增长0.6%；商业营业用房46.1万平方米，同比增长13.6%；其他用房531.3万平方米，同比增长11.2%。</w:t>
      </w:r>
    </w:p>
    <w:p w14:paraId="0A11771D">
      <w:pPr>
        <w:spacing w:line="480" w:lineRule="auto"/>
        <w:ind w:firstLine="420" w:firstLineChars="200"/>
        <w:jc w:val="both"/>
        <w:rPr>
          <w:rFonts w:ascii="Arial" w:hAnsi="Arial" w:cs="Arial"/>
          <w:bCs/>
          <w:color w:val="000000"/>
          <w:sz w:val="21"/>
          <w:szCs w:val="21"/>
        </w:rPr>
      </w:pPr>
      <w:r>
        <w:rPr>
          <w:rFonts w:ascii="Arial" w:hAnsi="Arial" w:cs="Arial"/>
          <w:bCs/>
          <w:color w:val="000000"/>
          <w:sz w:val="21"/>
          <w:szCs w:val="21"/>
        </w:rPr>
        <w:t>截止价值时点，北京市大兴区人民政府发布《</w:t>
      </w:r>
      <w:r>
        <w:rPr>
          <w:rFonts w:hint="eastAsia" w:ascii="Arial" w:hAnsi="Arial" w:cs="Arial"/>
          <w:bCs/>
          <w:color w:val="000000"/>
          <w:sz w:val="21"/>
          <w:szCs w:val="21"/>
        </w:rPr>
        <w:t>关于开展2025年大兴区第一批公共租赁住房快速配租的公告》，配租的公共租赁住房项目12个，房源共计678套。其中大套型278套，中套型250套，小套型150套。项目详细情况见下表：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7"/>
        <w:gridCol w:w="1380"/>
        <w:gridCol w:w="923"/>
        <w:gridCol w:w="2221"/>
        <w:gridCol w:w="983"/>
        <w:gridCol w:w="787"/>
        <w:gridCol w:w="787"/>
        <w:gridCol w:w="787"/>
        <w:gridCol w:w="894"/>
      </w:tblGrid>
      <w:tr w14:paraId="706FB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27" w:type="dxa"/>
            <w:vMerge w:val="restart"/>
            <w:shd w:val="clear" w:color="auto" w:fill="auto"/>
            <w:vAlign w:val="center"/>
          </w:tcPr>
          <w:p w14:paraId="5B1359F7">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序号</w:t>
            </w:r>
          </w:p>
        </w:tc>
        <w:tc>
          <w:tcPr>
            <w:tcW w:w="1380" w:type="dxa"/>
            <w:vMerge w:val="restart"/>
            <w:shd w:val="clear" w:color="auto" w:fill="auto"/>
            <w:vAlign w:val="center"/>
          </w:tcPr>
          <w:p w14:paraId="106F4F0C">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项目名称</w:t>
            </w:r>
          </w:p>
        </w:tc>
        <w:tc>
          <w:tcPr>
            <w:tcW w:w="923" w:type="dxa"/>
            <w:vMerge w:val="restart"/>
            <w:shd w:val="clear" w:color="auto" w:fill="auto"/>
            <w:vAlign w:val="center"/>
          </w:tcPr>
          <w:p w14:paraId="19382B92">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产权单位</w:t>
            </w:r>
          </w:p>
        </w:tc>
        <w:tc>
          <w:tcPr>
            <w:tcW w:w="2221" w:type="dxa"/>
            <w:vMerge w:val="restart"/>
            <w:shd w:val="clear" w:color="auto" w:fill="auto"/>
            <w:vAlign w:val="center"/>
          </w:tcPr>
          <w:p w14:paraId="1AEC39F6">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项目坐落</w:t>
            </w:r>
          </w:p>
        </w:tc>
        <w:tc>
          <w:tcPr>
            <w:tcW w:w="983" w:type="dxa"/>
            <w:vMerge w:val="restart"/>
            <w:shd w:val="clear" w:color="auto" w:fill="auto"/>
            <w:vAlign w:val="center"/>
          </w:tcPr>
          <w:p w14:paraId="73785580">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租金标准（元/㎡·月）</w:t>
            </w:r>
          </w:p>
        </w:tc>
        <w:tc>
          <w:tcPr>
            <w:tcW w:w="2361" w:type="dxa"/>
            <w:gridSpan w:val="3"/>
            <w:shd w:val="clear" w:color="auto" w:fill="auto"/>
            <w:vAlign w:val="center"/>
          </w:tcPr>
          <w:p w14:paraId="6A75061C">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房源数量（套）</w:t>
            </w:r>
          </w:p>
        </w:tc>
        <w:tc>
          <w:tcPr>
            <w:tcW w:w="894" w:type="dxa"/>
            <w:vMerge w:val="restart"/>
            <w:shd w:val="clear" w:color="auto" w:fill="auto"/>
            <w:vAlign w:val="center"/>
          </w:tcPr>
          <w:p w14:paraId="26784EB1">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合计（套）</w:t>
            </w:r>
          </w:p>
        </w:tc>
      </w:tr>
      <w:tr w14:paraId="441E7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27" w:type="dxa"/>
            <w:vMerge w:val="continue"/>
            <w:shd w:val="clear" w:color="auto" w:fill="auto"/>
            <w:vAlign w:val="center"/>
          </w:tcPr>
          <w:p w14:paraId="08357A0E">
            <w:pPr>
              <w:overflowPunct w:val="0"/>
              <w:snapToGrid w:val="0"/>
              <w:spacing w:line="240" w:lineRule="atLeast"/>
              <w:jc w:val="center"/>
              <w:textAlignment w:val="auto"/>
              <w:rPr>
                <w:rFonts w:ascii="Arial" w:hAnsi="Arial" w:eastAsia="华文细黑" w:cs="Arial"/>
                <w:color w:val="000000"/>
                <w:sz w:val="18"/>
                <w:szCs w:val="18"/>
              </w:rPr>
            </w:pPr>
          </w:p>
        </w:tc>
        <w:tc>
          <w:tcPr>
            <w:tcW w:w="1380" w:type="dxa"/>
            <w:vMerge w:val="continue"/>
            <w:shd w:val="clear" w:color="auto" w:fill="auto"/>
            <w:vAlign w:val="center"/>
          </w:tcPr>
          <w:p w14:paraId="06982DB3">
            <w:pPr>
              <w:overflowPunct w:val="0"/>
              <w:snapToGrid w:val="0"/>
              <w:spacing w:line="240" w:lineRule="atLeast"/>
              <w:jc w:val="center"/>
              <w:textAlignment w:val="auto"/>
              <w:rPr>
                <w:rFonts w:ascii="Arial" w:hAnsi="Arial" w:eastAsia="华文细黑" w:cs="Arial"/>
                <w:color w:val="000000"/>
                <w:sz w:val="18"/>
                <w:szCs w:val="18"/>
              </w:rPr>
            </w:pPr>
          </w:p>
        </w:tc>
        <w:tc>
          <w:tcPr>
            <w:tcW w:w="923" w:type="dxa"/>
            <w:vMerge w:val="continue"/>
            <w:shd w:val="clear" w:color="auto" w:fill="auto"/>
            <w:vAlign w:val="center"/>
          </w:tcPr>
          <w:p w14:paraId="171DF1DD">
            <w:pPr>
              <w:overflowPunct w:val="0"/>
              <w:snapToGrid w:val="0"/>
              <w:spacing w:line="240" w:lineRule="atLeast"/>
              <w:jc w:val="center"/>
              <w:textAlignment w:val="auto"/>
              <w:rPr>
                <w:rFonts w:ascii="Arial" w:hAnsi="Arial" w:eastAsia="华文细黑" w:cs="Arial"/>
                <w:color w:val="000000"/>
                <w:sz w:val="18"/>
                <w:szCs w:val="18"/>
              </w:rPr>
            </w:pPr>
          </w:p>
        </w:tc>
        <w:tc>
          <w:tcPr>
            <w:tcW w:w="2221" w:type="dxa"/>
            <w:vMerge w:val="continue"/>
            <w:shd w:val="clear" w:color="auto" w:fill="auto"/>
            <w:vAlign w:val="center"/>
          </w:tcPr>
          <w:p w14:paraId="72D469D9">
            <w:pPr>
              <w:overflowPunct w:val="0"/>
              <w:snapToGrid w:val="0"/>
              <w:spacing w:line="240" w:lineRule="atLeast"/>
              <w:jc w:val="center"/>
              <w:textAlignment w:val="auto"/>
              <w:rPr>
                <w:rFonts w:ascii="Arial" w:hAnsi="Arial" w:eastAsia="华文细黑" w:cs="Arial"/>
                <w:color w:val="000000"/>
                <w:sz w:val="18"/>
                <w:szCs w:val="18"/>
              </w:rPr>
            </w:pPr>
          </w:p>
        </w:tc>
        <w:tc>
          <w:tcPr>
            <w:tcW w:w="983" w:type="dxa"/>
            <w:vMerge w:val="continue"/>
            <w:shd w:val="clear" w:color="auto" w:fill="auto"/>
            <w:vAlign w:val="center"/>
          </w:tcPr>
          <w:p w14:paraId="59ED9D5F">
            <w:pPr>
              <w:overflowPunct w:val="0"/>
              <w:snapToGrid w:val="0"/>
              <w:spacing w:line="240" w:lineRule="atLeast"/>
              <w:jc w:val="center"/>
              <w:textAlignment w:val="auto"/>
              <w:rPr>
                <w:rFonts w:ascii="Arial" w:hAnsi="Arial" w:eastAsia="华文细黑" w:cs="Arial"/>
                <w:color w:val="000000"/>
                <w:sz w:val="18"/>
                <w:szCs w:val="18"/>
              </w:rPr>
            </w:pPr>
          </w:p>
        </w:tc>
        <w:tc>
          <w:tcPr>
            <w:tcW w:w="787" w:type="dxa"/>
            <w:shd w:val="clear" w:color="auto" w:fill="auto"/>
            <w:vAlign w:val="center"/>
          </w:tcPr>
          <w:p w14:paraId="0BBB22F3">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小套型</w:t>
            </w:r>
          </w:p>
        </w:tc>
        <w:tc>
          <w:tcPr>
            <w:tcW w:w="787" w:type="dxa"/>
            <w:shd w:val="clear" w:color="auto" w:fill="auto"/>
            <w:vAlign w:val="center"/>
          </w:tcPr>
          <w:p w14:paraId="25388B29">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中套型</w:t>
            </w:r>
          </w:p>
        </w:tc>
        <w:tc>
          <w:tcPr>
            <w:tcW w:w="787" w:type="dxa"/>
            <w:shd w:val="clear" w:color="auto" w:fill="auto"/>
            <w:vAlign w:val="center"/>
          </w:tcPr>
          <w:p w14:paraId="053F774B">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大套型</w:t>
            </w:r>
          </w:p>
        </w:tc>
        <w:tc>
          <w:tcPr>
            <w:tcW w:w="894" w:type="dxa"/>
            <w:vMerge w:val="continue"/>
            <w:shd w:val="clear" w:color="auto" w:fill="auto"/>
            <w:vAlign w:val="center"/>
          </w:tcPr>
          <w:p w14:paraId="6ED03217">
            <w:pPr>
              <w:overflowPunct w:val="0"/>
              <w:snapToGrid w:val="0"/>
              <w:spacing w:line="240" w:lineRule="atLeast"/>
              <w:jc w:val="center"/>
              <w:textAlignment w:val="auto"/>
              <w:rPr>
                <w:rFonts w:ascii="Arial" w:hAnsi="Arial" w:eastAsia="华文细黑" w:cs="Arial"/>
                <w:sz w:val="18"/>
                <w:szCs w:val="18"/>
              </w:rPr>
            </w:pPr>
          </w:p>
        </w:tc>
      </w:tr>
      <w:tr w14:paraId="65DF0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6700BCDC">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w:t>
            </w:r>
          </w:p>
        </w:tc>
        <w:tc>
          <w:tcPr>
            <w:tcW w:w="1380" w:type="dxa"/>
            <w:shd w:val="clear" w:color="auto" w:fill="auto"/>
            <w:vAlign w:val="center"/>
          </w:tcPr>
          <w:p w14:paraId="225A276E">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隆兴园</w:t>
            </w:r>
          </w:p>
        </w:tc>
        <w:tc>
          <w:tcPr>
            <w:tcW w:w="923" w:type="dxa"/>
            <w:vMerge w:val="restart"/>
            <w:shd w:val="clear" w:color="auto" w:fill="auto"/>
            <w:vAlign w:val="center"/>
          </w:tcPr>
          <w:p w14:paraId="77A762D3">
            <w:pPr>
              <w:overflowPunct w:val="0"/>
              <w:snapToGrid w:val="0"/>
              <w:spacing w:line="240" w:lineRule="atLeas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北京市燕兴保障性住房建设投资有限公司</w:t>
            </w:r>
          </w:p>
        </w:tc>
        <w:tc>
          <w:tcPr>
            <w:tcW w:w="2221" w:type="dxa"/>
            <w:shd w:val="clear" w:color="auto" w:fill="auto"/>
            <w:vAlign w:val="center"/>
          </w:tcPr>
          <w:p w14:paraId="6B873DDF">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大兴区隆平大街2号院</w:t>
            </w:r>
          </w:p>
        </w:tc>
        <w:tc>
          <w:tcPr>
            <w:tcW w:w="983" w:type="dxa"/>
            <w:shd w:val="clear" w:color="auto" w:fill="auto"/>
            <w:vAlign w:val="center"/>
          </w:tcPr>
          <w:p w14:paraId="3E5D92B7">
            <w:pPr>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30</w:t>
            </w:r>
          </w:p>
        </w:tc>
        <w:tc>
          <w:tcPr>
            <w:tcW w:w="787" w:type="dxa"/>
            <w:shd w:val="clear" w:color="auto" w:fill="auto"/>
            <w:vAlign w:val="center"/>
          </w:tcPr>
          <w:p w14:paraId="26D25651">
            <w:pPr>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13</w:t>
            </w:r>
          </w:p>
        </w:tc>
        <w:tc>
          <w:tcPr>
            <w:tcW w:w="787" w:type="dxa"/>
            <w:shd w:val="clear" w:color="auto" w:fill="auto"/>
            <w:vAlign w:val="center"/>
          </w:tcPr>
          <w:p w14:paraId="6E46211D">
            <w:pPr>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0</w:t>
            </w:r>
          </w:p>
        </w:tc>
        <w:tc>
          <w:tcPr>
            <w:tcW w:w="787" w:type="dxa"/>
            <w:shd w:val="clear" w:color="auto" w:fill="auto"/>
            <w:vAlign w:val="center"/>
          </w:tcPr>
          <w:p w14:paraId="13713E83">
            <w:pPr>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6</w:t>
            </w:r>
          </w:p>
        </w:tc>
        <w:tc>
          <w:tcPr>
            <w:tcW w:w="894" w:type="dxa"/>
            <w:shd w:val="clear" w:color="auto" w:fill="auto"/>
            <w:vAlign w:val="center"/>
          </w:tcPr>
          <w:p w14:paraId="7A77ED7F">
            <w:pPr>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19</w:t>
            </w:r>
          </w:p>
        </w:tc>
      </w:tr>
      <w:tr w14:paraId="504B4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24E854AB">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w:t>
            </w:r>
          </w:p>
        </w:tc>
        <w:tc>
          <w:tcPr>
            <w:tcW w:w="1380" w:type="dxa"/>
            <w:shd w:val="clear" w:color="auto" w:fill="auto"/>
            <w:vAlign w:val="center"/>
          </w:tcPr>
          <w:p w14:paraId="0004E756">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格林云墅</w:t>
            </w:r>
          </w:p>
        </w:tc>
        <w:tc>
          <w:tcPr>
            <w:tcW w:w="923" w:type="dxa"/>
            <w:vMerge w:val="continue"/>
            <w:shd w:val="clear" w:color="auto" w:fill="auto"/>
            <w:vAlign w:val="center"/>
          </w:tcPr>
          <w:p w14:paraId="572B7F18">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3AB7A60B">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大兴区安顺北路1号院</w:t>
            </w:r>
          </w:p>
        </w:tc>
        <w:tc>
          <w:tcPr>
            <w:tcW w:w="983" w:type="dxa"/>
            <w:shd w:val="clear" w:color="auto" w:fill="auto"/>
            <w:vAlign w:val="center"/>
          </w:tcPr>
          <w:p w14:paraId="3269D208">
            <w:pPr>
              <w:spacing w:line="240" w:lineRule="atLeast"/>
              <w:jc w:val="center"/>
              <w:rPr>
                <w:rFonts w:ascii="Arial" w:hAnsi="Arial" w:eastAsia="华文细黑" w:cs="Arial"/>
                <w:sz w:val="18"/>
                <w:szCs w:val="18"/>
              </w:rPr>
            </w:pPr>
            <w:r>
              <w:rPr>
                <w:rFonts w:ascii="Arial" w:hAnsi="Arial" w:eastAsia="华文细黑" w:cs="Arial"/>
                <w:color w:val="000000"/>
                <w:sz w:val="18"/>
                <w:szCs w:val="18"/>
              </w:rPr>
              <w:t>25</w:t>
            </w:r>
          </w:p>
        </w:tc>
        <w:tc>
          <w:tcPr>
            <w:tcW w:w="787" w:type="dxa"/>
            <w:shd w:val="clear" w:color="auto" w:fill="auto"/>
            <w:vAlign w:val="center"/>
          </w:tcPr>
          <w:p w14:paraId="20AB552D">
            <w:pPr>
              <w:spacing w:line="240" w:lineRule="atLeast"/>
              <w:jc w:val="center"/>
              <w:rPr>
                <w:rFonts w:ascii="Arial" w:hAnsi="Arial" w:eastAsia="华文细黑" w:cs="Arial"/>
                <w:sz w:val="18"/>
                <w:szCs w:val="18"/>
              </w:rPr>
            </w:pPr>
            <w:r>
              <w:rPr>
                <w:rFonts w:ascii="Arial" w:hAnsi="Arial" w:eastAsia="华文细黑" w:cs="Arial"/>
                <w:color w:val="000000"/>
                <w:sz w:val="18"/>
                <w:szCs w:val="18"/>
              </w:rPr>
              <w:t>12</w:t>
            </w:r>
          </w:p>
        </w:tc>
        <w:tc>
          <w:tcPr>
            <w:tcW w:w="787" w:type="dxa"/>
            <w:shd w:val="clear" w:color="auto" w:fill="auto"/>
            <w:vAlign w:val="center"/>
          </w:tcPr>
          <w:p w14:paraId="67EF51C6">
            <w:pPr>
              <w:spacing w:line="240" w:lineRule="atLeast"/>
              <w:jc w:val="center"/>
              <w:rPr>
                <w:rFonts w:ascii="Arial" w:hAnsi="Arial" w:eastAsia="华文细黑" w:cs="Arial"/>
                <w:sz w:val="18"/>
                <w:szCs w:val="18"/>
              </w:rPr>
            </w:pPr>
            <w:r>
              <w:rPr>
                <w:rFonts w:ascii="Arial" w:hAnsi="Arial" w:eastAsia="华文细黑" w:cs="Arial"/>
                <w:color w:val="000000"/>
                <w:sz w:val="18"/>
                <w:szCs w:val="18"/>
              </w:rPr>
              <w:t>4</w:t>
            </w:r>
          </w:p>
        </w:tc>
        <w:tc>
          <w:tcPr>
            <w:tcW w:w="787" w:type="dxa"/>
            <w:shd w:val="clear" w:color="auto" w:fill="auto"/>
            <w:vAlign w:val="center"/>
          </w:tcPr>
          <w:p w14:paraId="6320FC22">
            <w:pPr>
              <w:spacing w:line="240" w:lineRule="atLeast"/>
              <w:jc w:val="center"/>
              <w:rPr>
                <w:rFonts w:ascii="Arial" w:hAnsi="Arial" w:eastAsia="华文细黑" w:cs="Arial"/>
                <w:sz w:val="18"/>
                <w:szCs w:val="18"/>
              </w:rPr>
            </w:pPr>
            <w:r>
              <w:rPr>
                <w:rFonts w:ascii="Arial" w:hAnsi="Arial" w:eastAsia="华文细黑" w:cs="Arial"/>
                <w:color w:val="000000"/>
                <w:sz w:val="18"/>
                <w:szCs w:val="18"/>
              </w:rPr>
              <w:t>26</w:t>
            </w:r>
          </w:p>
        </w:tc>
        <w:tc>
          <w:tcPr>
            <w:tcW w:w="894" w:type="dxa"/>
            <w:shd w:val="clear" w:color="auto" w:fill="auto"/>
            <w:vAlign w:val="center"/>
          </w:tcPr>
          <w:p w14:paraId="03759114">
            <w:pPr>
              <w:spacing w:line="240" w:lineRule="atLeast"/>
              <w:jc w:val="center"/>
              <w:rPr>
                <w:rFonts w:ascii="Arial" w:hAnsi="Arial" w:eastAsia="华文细黑" w:cs="Arial"/>
                <w:sz w:val="18"/>
                <w:szCs w:val="18"/>
              </w:rPr>
            </w:pPr>
            <w:r>
              <w:rPr>
                <w:rFonts w:ascii="Arial" w:hAnsi="Arial" w:eastAsia="华文细黑" w:cs="Arial"/>
                <w:color w:val="000000"/>
                <w:sz w:val="18"/>
                <w:szCs w:val="18"/>
              </w:rPr>
              <w:t>42</w:t>
            </w:r>
          </w:p>
        </w:tc>
      </w:tr>
      <w:tr w14:paraId="0E1DA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741E0ACA">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w:t>
            </w:r>
          </w:p>
        </w:tc>
        <w:tc>
          <w:tcPr>
            <w:tcW w:w="1380" w:type="dxa"/>
            <w:shd w:val="clear" w:color="auto" w:fill="auto"/>
            <w:vAlign w:val="center"/>
          </w:tcPr>
          <w:p w14:paraId="3F90EDA8">
            <w:pPr>
              <w:spacing w:line="240" w:lineRule="atLeast"/>
              <w:jc w:val="center"/>
              <w:rPr>
                <w:rFonts w:ascii="Arial" w:hAnsi="Arial" w:eastAsia="华文细黑" w:cs="Arial"/>
                <w:sz w:val="18"/>
                <w:szCs w:val="18"/>
              </w:rPr>
            </w:pPr>
            <w:r>
              <w:rPr>
                <w:rFonts w:hint="eastAsia" w:ascii="Arial" w:hAnsi="Arial" w:eastAsia="华文细黑" w:cs="Arial"/>
                <w:sz w:val="18"/>
                <w:szCs w:val="18"/>
              </w:rPr>
              <w:t>荣锦园</w:t>
            </w:r>
          </w:p>
        </w:tc>
        <w:tc>
          <w:tcPr>
            <w:tcW w:w="923" w:type="dxa"/>
            <w:vMerge w:val="continue"/>
            <w:shd w:val="clear" w:color="auto" w:fill="auto"/>
            <w:vAlign w:val="center"/>
          </w:tcPr>
          <w:p w14:paraId="35FA0CB1">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54C5A0CA">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大兴区新源大街53号院</w:t>
            </w:r>
          </w:p>
        </w:tc>
        <w:tc>
          <w:tcPr>
            <w:tcW w:w="983" w:type="dxa"/>
            <w:shd w:val="clear" w:color="auto" w:fill="auto"/>
            <w:vAlign w:val="center"/>
          </w:tcPr>
          <w:p w14:paraId="3CB651F4">
            <w:pPr>
              <w:spacing w:line="240" w:lineRule="atLeast"/>
              <w:jc w:val="center"/>
              <w:rPr>
                <w:rFonts w:ascii="Arial" w:hAnsi="Arial" w:eastAsia="华文细黑" w:cs="Arial"/>
                <w:sz w:val="18"/>
                <w:szCs w:val="18"/>
              </w:rPr>
            </w:pPr>
            <w:r>
              <w:rPr>
                <w:rFonts w:ascii="Arial" w:hAnsi="Arial" w:eastAsia="华文细黑" w:cs="Arial"/>
                <w:color w:val="000000"/>
                <w:sz w:val="18"/>
                <w:szCs w:val="18"/>
              </w:rPr>
              <w:t>37</w:t>
            </w:r>
          </w:p>
        </w:tc>
        <w:tc>
          <w:tcPr>
            <w:tcW w:w="787" w:type="dxa"/>
            <w:shd w:val="clear" w:color="auto" w:fill="auto"/>
            <w:vAlign w:val="center"/>
          </w:tcPr>
          <w:p w14:paraId="3972DF0C">
            <w:pPr>
              <w:spacing w:line="240" w:lineRule="atLeast"/>
              <w:jc w:val="center"/>
              <w:rPr>
                <w:rFonts w:ascii="Arial" w:hAnsi="Arial" w:eastAsia="华文细黑" w:cs="Arial"/>
                <w:sz w:val="18"/>
                <w:szCs w:val="18"/>
              </w:rPr>
            </w:pPr>
            <w:r>
              <w:rPr>
                <w:rFonts w:ascii="Arial" w:hAnsi="Arial" w:eastAsia="华文细黑" w:cs="Arial"/>
                <w:color w:val="000000"/>
                <w:sz w:val="18"/>
                <w:szCs w:val="18"/>
              </w:rPr>
              <w:t>1</w:t>
            </w:r>
          </w:p>
        </w:tc>
        <w:tc>
          <w:tcPr>
            <w:tcW w:w="787" w:type="dxa"/>
            <w:shd w:val="clear" w:color="auto" w:fill="auto"/>
            <w:vAlign w:val="center"/>
          </w:tcPr>
          <w:p w14:paraId="06E3AE4C">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67A25267">
            <w:pPr>
              <w:spacing w:line="240" w:lineRule="atLeast"/>
              <w:jc w:val="center"/>
              <w:rPr>
                <w:rFonts w:ascii="Arial" w:hAnsi="Arial" w:eastAsia="华文细黑" w:cs="Arial"/>
                <w:sz w:val="18"/>
                <w:szCs w:val="18"/>
              </w:rPr>
            </w:pPr>
            <w:r>
              <w:rPr>
                <w:rFonts w:ascii="Arial" w:hAnsi="Arial" w:eastAsia="华文细黑" w:cs="Arial"/>
                <w:color w:val="000000"/>
                <w:sz w:val="18"/>
                <w:szCs w:val="18"/>
              </w:rPr>
              <w:t>21</w:t>
            </w:r>
          </w:p>
        </w:tc>
        <w:tc>
          <w:tcPr>
            <w:tcW w:w="894" w:type="dxa"/>
            <w:shd w:val="clear" w:color="auto" w:fill="auto"/>
            <w:vAlign w:val="center"/>
          </w:tcPr>
          <w:p w14:paraId="59402D7B">
            <w:pPr>
              <w:spacing w:line="240" w:lineRule="atLeast"/>
              <w:jc w:val="center"/>
              <w:rPr>
                <w:rFonts w:ascii="Arial" w:hAnsi="Arial" w:eastAsia="华文细黑" w:cs="Arial"/>
                <w:sz w:val="18"/>
                <w:szCs w:val="18"/>
              </w:rPr>
            </w:pPr>
            <w:r>
              <w:rPr>
                <w:rFonts w:ascii="Arial" w:hAnsi="Arial" w:eastAsia="华文细黑" w:cs="Arial"/>
                <w:color w:val="000000"/>
                <w:sz w:val="18"/>
                <w:szCs w:val="18"/>
              </w:rPr>
              <w:t>22</w:t>
            </w:r>
          </w:p>
        </w:tc>
      </w:tr>
      <w:tr w14:paraId="4CC80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23DE2B6E">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4</w:t>
            </w:r>
          </w:p>
        </w:tc>
        <w:tc>
          <w:tcPr>
            <w:tcW w:w="1380" w:type="dxa"/>
            <w:shd w:val="clear" w:color="auto" w:fill="auto"/>
            <w:vAlign w:val="center"/>
          </w:tcPr>
          <w:p w14:paraId="1D34D2DC">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金科嘉苑</w:t>
            </w:r>
          </w:p>
        </w:tc>
        <w:tc>
          <w:tcPr>
            <w:tcW w:w="923" w:type="dxa"/>
            <w:vMerge w:val="continue"/>
            <w:shd w:val="clear" w:color="auto" w:fill="auto"/>
            <w:vAlign w:val="center"/>
          </w:tcPr>
          <w:p w14:paraId="0E8A08BC">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607DBA5C">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大兴区永旺路1号</w:t>
            </w:r>
          </w:p>
        </w:tc>
        <w:tc>
          <w:tcPr>
            <w:tcW w:w="983" w:type="dxa"/>
            <w:shd w:val="clear" w:color="auto" w:fill="auto"/>
            <w:vAlign w:val="center"/>
          </w:tcPr>
          <w:p w14:paraId="52633FC0">
            <w:pPr>
              <w:spacing w:line="240" w:lineRule="atLeast"/>
              <w:jc w:val="center"/>
              <w:rPr>
                <w:rFonts w:ascii="Arial" w:hAnsi="Arial" w:eastAsia="华文细黑" w:cs="Arial"/>
                <w:sz w:val="18"/>
                <w:szCs w:val="18"/>
              </w:rPr>
            </w:pPr>
            <w:r>
              <w:rPr>
                <w:rFonts w:ascii="Arial" w:hAnsi="Arial" w:eastAsia="华文细黑" w:cs="Arial"/>
                <w:color w:val="000000"/>
                <w:sz w:val="18"/>
                <w:szCs w:val="18"/>
              </w:rPr>
              <w:t>37</w:t>
            </w:r>
          </w:p>
        </w:tc>
        <w:tc>
          <w:tcPr>
            <w:tcW w:w="787" w:type="dxa"/>
            <w:shd w:val="clear" w:color="auto" w:fill="auto"/>
            <w:vAlign w:val="center"/>
          </w:tcPr>
          <w:p w14:paraId="44918AE8">
            <w:pPr>
              <w:spacing w:line="240" w:lineRule="atLeast"/>
              <w:jc w:val="center"/>
              <w:rPr>
                <w:rFonts w:ascii="Arial" w:hAnsi="Arial" w:eastAsia="华文细黑" w:cs="Arial"/>
                <w:sz w:val="18"/>
                <w:szCs w:val="18"/>
              </w:rPr>
            </w:pPr>
            <w:r>
              <w:rPr>
                <w:rFonts w:ascii="Arial" w:hAnsi="Arial" w:eastAsia="华文细黑" w:cs="Arial"/>
                <w:color w:val="000000"/>
                <w:sz w:val="18"/>
                <w:szCs w:val="18"/>
              </w:rPr>
              <w:t>34</w:t>
            </w:r>
          </w:p>
        </w:tc>
        <w:tc>
          <w:tcPr>
            <w:tcW w:w="787" w:type="dxa"/>
            <w:shd w:val="clear" w:color="auto" w:fill="auto"/>
            <w:vAlign w:val="center"/>
          </w:tcPr>
          <w:p w14:paraId="1E8ABE2D">
            <w:pPr>
              <w:spacing w:line="240" w:lineRule="atLeast"/>
              <w:jc w:val="center"/>
              <w:rPr>
                <w:rFonts w:ascii="Arial" w:hAnsi="Arial" w:eastAsia="华文细黑" w:cs="Arial"/>
                <w:sz w:val="18"/>
                <w:szCs w:val="18"/>
              </w:rPr>
            </w:pPr>
            <w:r>
              <w:rPr>
                <w:rFonts w:ascii="Arial" w:hAnsi="Arial" w:eastAsia="华文细黑" w:cs="Arial"/>
                <w:color w:val="000000"/>
                <w:sz w:val="18"/>
                <w:szCs w:val="18"/>
              </w:rPr>
              <w:t>76</w:t>
            </w:r>
          </w:p>
        </w:tc>
        <w:tc>
          <w:tcPr>
            <w:tcW w:w="787" w:type="dxa"/>
            <w:shd w:val="clear" w:color="auto" w:fill="auto"/>
            <w:vAlign w:val="center"/>
          </w:tcPr>
          <w:p w14:paraId="4BAE7A4C">
            <w:pPr>
              <w:spacing w:line="240" w:lineRule="atLeast"/>
              <w:jc w:val="center"/>
              <w:rPr>
                <w:rFonts w:ascii="Arial" w:hAnsi="Arial" w:eastAsia="华文细黑" w:cs="Arial"/>
                <w:sz w:val="18"/>
                <w:szCs w:val="18"/>
              </w:rPr>
            </w:pPr>
            <w:r>
              <w:rPr>
                <w:rFonts w:ascii="Arial" w:hAnsi="Arial" w:eastAsia="华文细黑" w:cs="Arial"/>
                <w:color w:val="000000"/>
                <w:sz w:val="18"/>
                <w:szCs w:val="18"/>
              </w:rPr>
              <w:t>7</w:t>
            </w:r>
          </w:p>
        </w:tc>
        <w:tc>
          <w:tcPr>
            <w:tcW w:w="894" w:type="dxa"/>
            <w:shd w:val="clear" w:color="auto" w:fill="auto"/>
            <w:vAlign w:val="center"/>
          </w:tcPr>
          <w:p w14:paraId="7F96870E">
            <w:pPr>
              <w:spacing w:line="240" w:lineRule="atLeast"/>
              <w:jc w:val="center"/>
              <w:rPr>
                <w:rFonts w:ascii="Arial" w:hAnsi="Arial" w:eastAsia="华文细黑" w:cs="Arial"/>
                <w:sz w:val="18"/>
                <w:szCs w:val="18"/>
              </w:rPr>
            </w:pPr>
            <w:r>
              <w:rPr>
                <w:rFonts w:ascii="Arial" w:hAnsi="Arial" w:eastAsia="华文细黑" w:cs="Arial"/>
                <w:color w:val="000000"/>
                <w:sz w:val="18"/>
                <w:szCs w:val="18"/>
              </w:rPr>
              <w:t>117</w:t>
            </w:r>
          </w:p>
        </w:tc>
      </w:tr>
      <w:tr w14:paraId="6AA9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31F1C190">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w:t>
            </w:r>
          </w:p>
        </w:tc>
        <w:tc>
          <w:tcPr>
            <w:tcW w:w="1380" w:type="dxa"/>
            <w:shd w:val="clear" w:color="auto" w:fill="auto"/>
            <w:vAlign w:val="center"/>
          </w:tcPr>
          <w:p w14:paraId="229B89E1">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金融街·融汇</w:t>
            </w:r>
          </w:p>
        </w:tc>
        <w:tc>
          <w:tcPr>
            <w:tcW w:w="923" w:type="dxa"/>
            <w:vMerge w:val="continue"/>
            <w:shd w:val="clear" w:color="auto" w:fill="auto"/>
            <w:vAlign w:val="center"/>
          </w:tcPr>
          <w:p w14:paraId="44054B0A">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1A1C915B">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大兴区华佗路1号院</w:t>
            </w:r>
          </w:p>
        </w:tc>
        <w:tc>
          <w:tcPr>
            <w:tcW w:w="983" w:type="dxa"/>
            <w:shd w:val="clear" w:color="auto" w:fill="auto"/>
            <w:vAlign w:val="center"/>
          </w:tcPr>
          <w:p w14:paraId="550117EA">
            <w:pPr>
              <w:spacing w:line="240" w:lineRule="atLeast"/>
              <w:jc w:val="center"/>
              <w:rPr>
                <w:rFonts w:ascii="Arial" w:hAnsi="Arial" w:eastAsia="华文细黑" w:cs="Arial"/>
                <w:sz w:val="18"/>
                <w:szCs w:val="18"/>
              </w:rPr>
            </w:pPr>
            <w:r>
              <w:rPr>
                <w:rFonts w:ascii="Arial" w:hAnsi="Arial" w:eastAsia="华文细黑" w:cs="Arial"/>
                <w:color w:val="000000"/>
                <w:sz w:val="18"/>
                <w:szCs w:val="18"/>
              </w:rPr>
              <w:t>32</w:t>
            </w:r>
          </w:p>
        </w:tc>
        <w:tc>
          <w:tcPr>
            <w:tcW w:w="787" w:type="dxa"/>
            <w:shd w:val="clear" w:color="auto" w:fill="auto"/>
            <w:vAlign w:val="center"/>
          </w:tcPr>
          <w:p w14:paraId="25FF4D44">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4E43FAB3">
            <w:pPr>
              <w:spacing w:line="240" w:lineRule="atLeast"/>
              <w:jc w:val="center"/>
              <w:rPr>
                <w:rFonts w:ascii="Arial" w:hAnsi="Arial" w:eastAsia="华文细黑" w:cs="Arial"/>
                <w:sz w:val="18"/>
                <w:szCs w:val="18"/>
              </w:rPr>
            </w:pPr>
            <w:r>
              <w:rPr>
                <w:rFonts w:ascii="Arial" w:hAnsi="Arial" w:eastAsia="华文细黑" w:cs="Arial"/>
                <w:color w:val="000000"/>
                <w:sz w:val="18"/>
                <w:szCs w:val="18"/>
              </w:rPr>
              <w:t>87</w:t>
            </w:r>
          </w:p>
        </w:tc>
        <w:tc>
          <w:tcPr>
            <w:tcW w:w="787" w:type="dxa"/>
            <w:shd w:val="clear" w:color="auto" w:fill="auto"/>
            <w:vAlign w:val="center"/>
          </w:tcPr>
          <w:p w14:paraId="20F58C6E">
            <w:pPr>
              <w:spacing w:line="240" w:lineRule="atLeast"/>
              <w:jc w:val="center"/>
              <w:rPr>
                <w:rFonts w:ascii="Arial" w:hAnsi="Arial" w:eastAsia="华文细黑" w:cs="Arial"/>
                <w:sz w:val="18"/>
                <w:szCs w:val="18"/>
              </w:rPr>
            </w:pPr>
            <w:r>
              <w:rPr>
                <w:rFonts w:ascii="Arial" w:hAnsi="Arial" w:eastAsia="华文细黑" w:cs="Arial"/>
                <w:color w:val="000000"/>
                <w:sz w:val="18"/>
                <w:szCs w:val="18"/>
              </w:rPr>
              <w:t>35</w:t>
            </w:r>
          </w:p>
        </w:tc>
        <w:tc>
          <w:tcPr>
            <w:tcW w:w="894" w:type="dxa"/>
            <w:shd w:val="clear" w:color="auto" w:fill="auto"/>
            <w:vAlign w:val="center"/>
          </w:tcPr>
          <w:p w14:paraId="071924EB">
            <w:pPr>
              <w:spacing w:line="240" w:lineRule="atLeast"/>
              <w:jc w:val="center"/>
              <w:rPr>
                <w:rFonts w:ascii="Arial" w:hAnsi="Arial" w:eastAsia="华文细黑" w:cs="Arial"/>
                <w:sz w:val="18"/>
                <w:szCs w:val="18"/>
              </w:rPr>
            </w:pPr>
            <w:r>
              <w:rPr>
                <w:rFonts w:ascii="Arial" w:hAnsi="Arial" w:eastAsia="华文细黑" w:cs="Arial"/>
                <w:color w:val="000000"/>
                <w:sz w:val="18"/>
                <w:szCs w:val="18"/>
              </w:rPr>
              <w:t>122</w:t>
            </w:r>
          </w:p>
        </w:tc>
      </w:tr>
      <w:tr w14:paraId="3FDC6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1404DAA4">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w:t>
            </w:r>
          </w:p>
        </w:tc>
        <w:tc>
          <w:tcPr>
            <w:tcW w:w="1380" w:type="dxa"/>
            <w:shd w:val="clear" w:color="auto" w:fill="auto"/>
            <w:vAlign w:val="center"/>
          </w:tcPr>
          <w:p w14:paraId="194479BB">
            <w:pPr>
              <w:spacing w:line="240" w:lineRule="atLeast"/>
              <w:jc w:val="center"/>
              <w:rPr>
                <w:rFonts w:ascii="Arial" w:hAnsi="Arial" w:eastAsia="华文细黑" w:cs="Arial"/>
                <w:sz w:val="18"/>
                <w:szCs w:val="18"/>
              </w:rPr>
            </w:pPr>
            <w:r>
              <w:rPr>
                <w:rFonts w:hint="eastAsia" w:ascii="Arial" w:hAnsi="Arial" w:eastAsia="华文细黑" w:cs="Arial"/>
                <w:sz w:val="18"/>
                <w:szCs w:val="18"/>
              </w:rPr>
              <w:t>兴瀛嘉苑</w:t>
            </w:r>
          </w:p>
        </w:tc>
        <w:tc>
          <w:tcPr>
            <w:tcW w:w="923" w:type="dxa"/>
            <w:vMerge w:val="continue"/>
            <w:shd w:val="clear" w:color="auto" w:fill="auto"/>
            <w:vAlign w:val="center"/>
          </w:tcPr>
          <w:p w14:paraId="72FEBE97">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5F4F5AD9">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大兴区瀛安街66号院</w:t>
            </w:r>
          </w:p>
        </w:tc>
        <w:tc>
          <w:tcPr>
            <w:tcW w:w="983" w:type="dxa"/>
            <w:shd w:val="clear" w:color="auto" w:fill="auto"/>
            <w:vAlign w:val="center"/>
          </w:tcPr>
          <w:p w14:paraId="025D1732">
            <w:pPr>
              <w:spacing w:line="240" w:lineRule="atLeast"/>
              <w:jc w:val="center"/>
              <w:rPr>
                <w:rFonts w:ascii="Arial" w:hAnsi="Arial" w:eastAsia="华文细黑" w:cs="Arial"/>
                <w:sz w:val="18"/>
                <w:szCs w:val="18"/>
              </w:rPr>
            </w:pPr>
            <w:r>
              <w:rPr>
                <w:rFonts w:ascii="Arial" w:hAnsi="Arial" w:eastAsia="华文细黑" w:cs="Arial"/>
                <w:color w:val="000000"/>
                <w:sz w:val="18"/>
                <w:szCs w:val="18"/>
              </w:rPr>
              <w:t>34</w:t>
            </w:r>
          </w:p>
        </w:tc>
        <w:tc>
          <w:tcPr>
            <w:tcW w:w="787" w:type="dxa"/>
            <w:shd w:val="clear" w:color="auto" w:fill="auto"/>
            <w:vAlign w:val="center"/>
          </w:tcPr>
          <w:p w14:paraId="484F7CE8">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2C779C6A">
            <w:pPr>
              <w:spacing w:line="240" w:lineRule="atLeast"/>
              <w:jc w:val="center"/>
              <w:rPr>
                <w:rFonts w:ascii="Arial" w:hAnsi="Arial" w:eastAsia="华文细黑" w:cs="Arial"/>
                <w:sz w:val="18"/>
                <w:szCs w:val="18"/>
              </w:rPr>
            </w:pPr>
            <w:r>
              <w:rPr>
                <w:rFonts w:ascii="Arial" w:hAnsi="Arial" w:eastAsia="华文细黑" w:cs="Arial"/>
                <w:color w:val="000000"/>
                <w:sz w:val="18"/>
                <w:szCs w:val="18"/>
              </w:rPr>
              <w:t>46</w:t>
            </w:r>
          </w:p>
        </w:tc>
        <w:tc>
          <w:tcPr>
            <w:tcW w:w="787" w:type="dxa"/>
            <w:shd w:val="clear" w:color="auto" w:fill="auto"/>
            <w:vAlign w:val="center"/>
          </w:tcPr>
          <w:p w14:paraId="03B8479B">
            <w:pPr>
              <w:spacing w:line="240" w:lineRule="atLeast"/>
              <w:jc w:val="center"/>
              <w:rPr>
                <w:rFonts w:ascii="Arial" w:hAnsi="Arial" w:eastAsia="华文细黑" w:cs="Arial"/>
                <w:sz w:val="18"/>
                <w:szCs w:val="18"/>
              </w:rPr>
            </w:pPr>
            <w:r>
              <w:rPr>
                <w:rFonts w:ascii="Arial" w:hAnsi="Arial" w:eastAsia="华文细黑" w:cs="Arial"/>
                <w:color w:val="000000"/>
                <w:sz w:val="18"/>
                <w:szCs w:val="18"/>
              </w:rPr>
              <w:t>8</w:t>
            </w:r>
          </w:p>
        </w:tc>
        <w:tc>
          <w:tcPr>
            <w:tcW w:w="894" w:type="dxa"/>
            <w:shd w:val="clear" w:color="auto" w:fill="auto"/>
            <w:vAlign w:val="center"/>
          </w:tcPr>
          <w:p w14:paraId="4F9FC885">
            <w:pPr>
              <w:spacing w:line="240" w:lineRule="atLeast"/>
              <w:jc w:val="center"/>
              <w:rPr>
                <w:rFonts w:ascii="Arial" w:hAnsi="Arial" w:eastAsia="华文细黑" w:cs="Arial"/>
                <w:sz w:val="18"/>
                <w:szCs w:val="18"/>
              </w:rPr>
            </w:pPr>
            <w:r>
              <w:rPr>
                <w:rFonts w:ascii="Arial" w:hAnsi="Arial" w:eastAsia="华文细黑" w:cs="Arial"/>
                <w:color w:val="000000"/>
                <w:sz w:val="18"/>
                <w:szCs w:val="18"/>
              </w:rPr>
              <w:t>54</w:t>
            </w:r>
          </w:p>
        </w:tc>
      </w:tr>
      <w:tr w14:paraId="203E1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0662E4BC">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7</w:t>
            </w:r>
          </w:p>
        </w:tc>
        <w:tc>
          <w:tcPr>
            <w:tcW w:w="1380" w:type="dxa"/>
            <w:shd w:val="clear" w:color="auto" w:fill="auto"/>
            <w:vAlign w:val="center"/>
          </w:tcPr>
          <w:p w14:paraId="1AEDAA1C">
            <w:pPr>
              <w:spacing w:line="240" w:lineRule="atLeast"/>
              <w:jc w:val="center"/>
              <w:rPr>
                <w:rFonts w:ascii="Arial" w:hAnsi="Arial" w:eastAsia="华文细黑" w:cs="Arial"/>
                <w:sz w:val="18"/>
                <w:szCs w:val="18"/>
              </w:rPr>
            </w:pPr>
            <w:r>
              <w:rPr>
                <w:rFonts w:hint="eastAsia" w:ascii="Arial" w:hAnsi="Arial" w:eastAsia="华文细黑" w:cs="Arial"/>
                <w:sz w:val="18"/>
                <w:szCs w:val="18"/>
              </w:rPr>
              <w:t>万科橙</w:t>
            </w:r>
          </w:p>
        </w:tc>
        <w:tc>
          <w:tcPr>
            <w:tcW w:w="923" w:type="dxa"/>
            <w:vMerge w:val="continue"/>
            <w:shd w:val="clear" w:color="auto" w:fill="auto"/>
            <w:vAlign w:val="center"/>
          </w:tcPr>
          <w:p w14:paraId="2AA3B549">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656E8570">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大兴区天和西路2号院</w:t>
            </w:r>
          </w:p>
        </w:tc>
        <w:tc>
          <w:tcPr>
            <w:tcW w:w="983" w:type="dxa"/>
            <w:shd w:val="clear" w:color="auto" w:fill="auto"/>
            <w:vAlign w:val="center"/>
          </w:tcPr>
          <w:p w14:paraId="5C02044F">
            <w:pPr>
              <w:spacing w:line="240" w:lineRule="atLeast"/>
              <w:jc w:val="center"/>
              <w:rPr>
                <w:rFonts w:ascii="Arial" w:hAnsi="Arial" w:eastAsia="华文细黑" w:cs="Arial"/>
                <w:sz w:val="18"/>
                <w:szCs w:val="18"/>
              </w:rPr>
            </w:pPr>
            <w:r>
              <w:rPr>
                <w:rFonts w:ascii="Arial" w:hAnsi="Arial" w:eastAsia="华文细黑" w:cs="Arial"/>
                <w:color w:val="000000"/>
                <w:sz w:val="18"/>
                <w:szCs w:val="18"/>
              </w:rPr>
              <w:t>32</w:t>
            </w:r>
          </w:p>
        </w:tc>
        <w:tc>
          <w:tcPr>
            <w:tcW w:w="787" w:type="dxa"/>
            <w:shd w:val="clear" w:color="auto" w:fill="auto"/>
            <w:vAlign w:val="center"/>
          </w:tcPr>
          <w:p w14:paraId="546C36BF">
            <w:pPr>
              <w:spacing w:line="240" w:lineRule="atLeast"/>
              <w:jc w:val="center"/>
              <w:rPr>
                <w:rFonts w:ascii="Arial" w:hAnsi="Arial" w:eastAsia="华文细黑" w:cs="Arial"/>
                <w:sz w:val="18"/>
                <w:szCs w:val="18"/>
              </w:rPr>
            </w:pPr>
            <w:r>
              <w:rPr>
                <w:rFonts w:ascii="Arial" w:hAnsi="Arial" w:eastAsia="华文细黑" w:cs="Arial"/>
                <w:color w:val="000000"/>
                <w:sz w:val="18"/>
                <w:szCs w:val="18"/>
              </w:rPr>
              <w:t>9</w:t>
            </w:r>
          </w:p>
        </w:tc>
        <w:tc>
          <w:tcPr>
            <w:tcW w:w="787" w:type="dxa"/>
            <w:shd w:val="clear" w:color="auto" w:fill="auto"/>
            <w:vAlign w:val="center"/>
          </w:tcPr>
          <w:p w14:paraId="567D1461">
            <w:pPr>
              <w:spacing w:line="240" w:lineRule="atLeast"/>
              <w:jc w:val="center"/>
              <w:rPr>
                <w:rFonts w:ascii="Arial" w:hAnsi="Arial" w:eastAsia="华文细黑" w:cs="Arial"/>
                <w:sz w:val="18"/>
                <w:szCs w:val="18"/>
              </w:rPr>
            </w:pPr>
            <w:r>
              <w:rPr>
                <w:rFonts w:ascii="Arial" w:hAnsi="Arial" w:eastAsia="华文细黑" w:cs="Arial"/>
                <w:color w:val="000000"/>
                <w:sz w:val="18"/>
                <w:szCs w:val="18"/>
              </w:rPr>
              <w:t>20</w:t>
            </w:r>
          </w:p>
        </w:tc>
        <w:tc>
          <w:tcPr>
            <w:tcW w:w="787" w:type="dxa"/>
            <w:shd w:val="clear" w:color="auto" w:fill="auto"/>
            <w:vAlign w:val="center"/>
          </w:tcPr>
          <w:p w14:paraId="1783A2A9">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894" w:type="dxa"/>
            <w:shd w:val="clear" w:color="auto" w:fill="auto"/>
            <w:vAlign w:val="center"/>
          </w:tcPr>
          <w:p w14:paraId="3003E392">
            <w:pPr>
              <w:spacing w:line="240" w:lineRule="atLeast"/>
              <w:jc w:val="center"/>
              <w:rPr>
                <w:rFonts w:ascii="Arial" w:hAnsi="Arial" w:eastAsia="华文细黑" w:cs="Arial"/>
                <w:sz w:val="18"/>
                <w:szCs w:val="18"/>
              </w:rPr>
            </w:pPr>
            <w:r>
              <w:rPr>
                <w:rFonts w:ascii="Arial" w:hAnsi="Arial" w:eastAsia="华文细黑" w:cs="Arial"/>
                <w:color w:val="000000"/>
                <w:sz w:val="18"/>
                <w:szCs w:val="18"/>
              </w:rPr>
              <w:t>29</w:t>
            </w:r>
          </w:p>
        </w:tc>
      </w:tr>
      <w:tr w14:paraId="3FE3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092CA308">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w:t>
            </w:r>
          </w:p>
        </w:tc>
        <w:tc>
          <w:tcPr>
            <w:tcW w:w="1380" w:type="dxa"/>
            <w:shd w:val="clear" w:color="auto" w:fill="auto"/>
            <w:vAlign w:val="center"/>
          </w:tcPr>
          <w:p w14:paraId="10771F42">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三合佳苑</w:t>
            </w:r>
          </w:p>
        </w:tc>
        <w:tc>
          <w:tcPr>
            <w:tcW w:w="923" w:type="dxa"/>
            <w:vMerge w:val="continue"/>
            <w:shd w:val="clear" w:color="auto" w:fill="auto"/>
            <w:vAlign w:val="center"/>
          </w:tcPr>
          <w:p w14:paraId="44F6E70A">
            <w:pPr>
              <w:overflowPunct w:val="0"/>
              <w:snapToGrid w:val="0"/>
              <w:spacing w:line="240" w:lineRule="atLeast"/>
              <w:jc w:val="center"/>
              <w:textAlignment w:val="auto"/>
              <w:rPr>
                <w:rFonts w:ascii="Arial" w:hAnsi="Arial" w:eastAsia="华文细黑" w:cs="Arial"/>
                <w:color w:val="000000"/>
                <w:sz w:val="18"/>
                <w:szCs w:val="18"/>
              </w:rPr>
            </w:pPr>
          </w:p>
        </w:tc>
        <w:tc>
          <w:tcPr>
            <w:tcW w:w="2221" w:type="dxa"/>
            <w:shd w:val="clear" w:color="auto" w:fill="auto"/>
            <w:vAlign w:val="center"/>
          </w:tcPr>
          <w:p w14:paraId="4F0A5016">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大兴区三合北巷2号院4号院</w:t>
            </w:r>
          </w:p>
        </w:tc>
        <w:tc>
          <w:tcPr>
            <w:tcW w:w="983" w:type="dxa"/>
            <w:shd w:val="clear" w:color="auto" w:fill="auto"/>
            <w:vAlign w:val="center"/>
          </w:tcPr>
          <w:p w14:paraId="59AF3395">
            <w:pPr>
              <w:spacing w:line="240" w:lineRule="atLeast"/>
              <w:jc w:val="center"/>
              <w:rPr>
                <w:rFonts w:ascii="Arial" w:hAnsi="Arial" w:eastAsia="华文细黑" w:cs="Arial"/>
                <w:sz w:val="18"/>
                <w:szCs w:val="18"/>
              </w:rPr>
            </w:pPr>
            <w:r>
              <w:rPr>
                <w:rFonts w:ascii="Arial" w:hAnsi="Arial" w:eastAsia="华文细黑" w:cs="Arial"/>
                <w:color w:val="000000"/>
                <w:sz w:val="18"/>
                <w:szCs w:val="18"/>
              </w:rPr>
              <w:t>41</w:t>
            </w:r>
          </w:p>
        </w:tc>
        <w:tc>
          <w:tcPr>
            <w:tcW w:w="787" w:type="dxa"/>
            <w:shd w:val="clear" w:color="auto" w:fill="auto"/>
            <w:vAlign w:val="center"/>
          </w:tcPr>
          <w:p w14:paraId="315AC1EF">
            <w:pPr>
              <w:spacing w:line="240" w:lineRule="atLeast"/>
              <w:jc w:val="center"/>
              <w:rPr>
                <w:rFonts w:ascii="Arial" w:hAnsi="Arial" w:eastAsia="华文细黑" w:cs="Arial"/>
                <w:sz w:val="18"/>
                <w:szCs w:val="18"/>
              </w:rPr>
            </w:pPr>
            <w:r>
              <w:rPr>
                <w:rFonts w:ascii="Arial" w:hAnsi="Arial" w:eastAsia="华文细黑" w:cs="Arial"/>
                <w:color w:val="000000"/>
                <w:sz w:val="18"/>
                <w:szCs w:val="18"/>
              </w:rPr>
              <w:t>3</w:t>
            </w:r>
          </w:p>
        </w:tc>
        <w:tc>
          <w:tcPr>
            <w:tcW w:w="787" w:type="dxa"/>
            <w:shd w:val="clear" w:color="auto" w:fill="auto"/>
            <w:vAlign w:val="center"/>
          </w:tcPr>
          <w:p w14:paraId="01CEA965">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70454AAD">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894" w:type="dxa"/>
            <w:shd w:val="clear" w:color="auto" w:fill="auto"/>
            <w:vAlign w:val="center"/>
          </w:tcPr>
          <w:p w14:paraId="2D4EB787">
            <w:pPr>
              <w:spacing w:line="240" w:lineRule="atLeast"/>
              <w:jc w:val="center"/>
              <w:rPr>
                <w:rFonts w:ascii="Arial" w:hAnsi="Arial" w:eastAsia="华文细黑" w:cs="Arial"/>
                <w:sz w:val="18"/>
                <w:szCs w:val="18"/>
              </w:rPr>
            </w:pPr>
            <w:r>
              <w:rPr>
                <w:rFonts w:ascii="Arial" w:hAnsi="Arial" w:eastAsia="华文细黑" w:cs="Arial"/>
                <w:color w:val="000000"/>
                <w:sz w:val="18"/>
                <w:szCs w:val="18"/>
              </w:rPr>
              <w:t>3</w:t>
            </w:r>
          </w:p>
        </w:tc>
      </w:tr>
      <w:tr w14:paraId="3825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14594DB6">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9</w:t>
            </w:r>
          </w:p>
        </w:tc>
        <w:tc>
          <w:tcPr>
            <w:tcW w:w="1380" w:type="dxa"/>
            <w:shd w:val="clear" w:color="auto" w:fill="auto"/>
            <w:vAlign w:val="center"/>
          </w:tcPr>
          <w:p w14:paraId="41070B9F">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理想家园</w:t>
            </w:r>
          </w:p>
        </w:tc>
        <w:tc>
          <w:tcPr>
            <w:tcW w:w="923" w:type="dxa"/>
            <w:vMerge w:val="continue"/>
            <w:shd w:val="clear" w:color="auto" w:fill="auto"/>
            <w:vAlign w:val="center"/>
          </w:tcPr>
          <w:p w14:paraId="465597B2">
            <w:pPr>
              <w:spacing w:line="240" w:lineRule="atLeast"/>
              <w:jc w:val="center"/>
              <w:rPr>
                <w:rFonts w:ascii="Arial" w:hAnsi="Arial" w:eastAsia="华文细黑" w:cs="Arial"/>
                <w:sz w:val="18"/>
                <w:szCs w:val="18"/>
              </w:rPr>
            </w:pPr>
          </w:p>
        </w:tc>
        <w:tc>
          <w:tcPr>
            <w:tcW w:w="2221" w:type="dxa"/>
            <w:shd w:val="clear" w:color="auto" w:fill="auto"/>
            <w:vAlign w:val="center"/>
          </w:tcPr>
          <w:p w14:paraId="5CA965B3">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大兴区宏业路</w:t>
            </w:r>
          </w:p>
        </w:tc>
        <w:tc>
          <w:tcPr>
            <w:tcW w:w="983" w:type="dxa"/>
            <w:shd w:val="clear" w:color="auto" w:fill="auto"/>
            <w:vAlign w:val="center"/>
          </w:tcPr>
          <w:p w14:paraId="69AF5C4A">
            <w:pPr>
              <w:spacing w:line="240" w:lineRule="atLeast"/>
              <w:jc w:val="center"/>
              <w:rPr>
                <w:rFonts w:ascii="Arial" w:hAnsi="Arial" w:eastAsia="华文细黑" w:cs="Arial"/>
                <w:sz w:val="18"/>
                <w:szCs w:val="18"/>
              </w:rPr>
            </w:pPr>
            <w:r>
              <w:rPr>
                <w:rFonts w:ascii="Arial" w:hAnsi="Arial" w:eastAsia="华文细黑" w:cs="Arial"/>
                <w:color w:val="000000"/>
                <w:sz w:val="18"/>
                <w:szCs w:val="18"/>
              </w:rPr>
              <w:t>29</w:t>
            </w:r>
          </w:p>
        </w:tc>
        <w:tc>
          <w:tcPr>
            <w:tcW w:w="787" w:type="dxa"/>
            <w:shd w:val="clear" w:color="auto" w:fill="auto"/>
            <w:vAlign w:val="center"/>
          </w:tcPr>
          <w:p w14:paraId="0774820A">
            <w:pPr>
              <w:spacing w:line="240" w:lineRule="atLeast"/>
              <w:jc w:val="center"/>
              <w:rPr>
                <w:rFonts w:ascii="Arial" w:hAnsi="Arial" w:eastAsia="华文细黑" w:cs="Arial"/>
                <w:sz w:val="18"/>
                <w:szCs w:val="18"/>
              </w:rPr>
            </w:pPr>
            <w:r>
              <w:rPr>
                <w:rFonts w:ascii="Arial" w:hAnsi="Arial" w:eastAsia="华文细黑" w:cs="Arial"/>
                <w:color w:val="000000"/>
                <w:sz w:val="18"/>
                <w:szCs w:val="18"/>
              </w:rPr>
              <w:t>3</w:t>
            </w:r>
          </w:p>
        </w:tc>
        <w:tc>
          <w:tcPr>
            <w:tcW w:w="787" w:type="dxa"/>
            <w:shd w:val="clear" w:color="auto" w:fill="auto"/>
            <w:vAlign w:val="center"/>
          </w:tcPr>
          <w:p w14:paraId="1BAD767A">
            <w:pPr>
              <w:spacing w:line="240" w:lineRule="atLeast"/>
              <w:jc w:val="center"/>
              <w:rPr>
                <w:rFonts w:ascii="Arial" w:hAnsi="Arial" w:eastAsia="华文细黑" w:cs="Arial"/>
                <w:sz w:val="18"/>
                <w:szCs w:val="18"/>
              </w:rPr>
            </w:pPr>
            <w:r>
              <w:rPr>
                <w:rFonts w:ascii="Arial" w:hAnsi="Arial" w:eastAsia="华文细黑" w:cs="Arial"/>
                <w:color w:val="000000"/>
                <w:sz w:val="18"/>
                <w:szCs w:val="18"/>
              </w:rPr>
              <w:t>5</w:t>
            </w:r>
          </w:p>
        </w:tc>
        <w:tc>
          <w:tcPr>
            <w:tcW w:w="787" w:type="dxa"/>
            <w:shd w:val="clear" w:color="auto" w:fill="auto"/>
            <w:vAlign w:val="center"/>
          </w:tcPr>
          <w:p w14:paraId="68A6ECAD">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894" w:type="dxa"/>
            <w:shd w:val="clear" w:color="auto" w:fill="auto"/>
            <w:vAlign w:val="center"/>
          </w:tcPr>
          <w:p w14:paraId="66D29830">
            <w:pPr>
              <w:spacing w:line="240" w:lineRule="atLeast"/>
              <w:jc w:val="center"/>
              <w:rPr>
                <w:rFonts w:ascii="Arial" w:hAnsi="Arial" w:eastAsia="华文细黑" w:cs="Arial"/>
                <w:sz w:val="18"/>
                <w:szCs w:val="18"/>
              </w:rPr>
            </w:pPr>
            <w:r>
              <w:rPr>
                <w:rFonts w:ascii="Arial" w:hAnsi="Arial" w:eastAsia="华文细黑" w:cs="Arial"/>
                <w:color w:val="000000"/>
                <w:sz w:val="18"/>
                <w:szCs w:val="18"/>
              </w:rPr>
              <w:t>8</w:t>
            </w:r>
          </w:p>
        </w:tc>
      </w:tr>
      <w:tr w14:paraId="645F3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0DD9CFAF">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10</w:t>
            </w:r>
          </w:p>
        </w:tc>
        <w:tc>
          <w:tcPr>
            <w:tcW w:w="1380" w:type="dxa"/>
            <w:shd w:val="clear" w:color="auto" w:fill="auto"/>
            <w:vAlign w:val="center"/>
          </w:tcPr>
          <w:p w14:paraId="7801333A">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燕保·高米店家园</w:t>
            </w:r>
          </w:p>
        </w:tc>
        <w:tc>
          <w:tcPr>
            <w:tcW w:w="923" w:type="dxa"/>
            <w:shd w:val="clear" w:color="auto" w:fill="auto"/>
            <w:vAlign w:val="center"/>
          </w:tcPr>
          <w:p w14:paraId="61174349">
            <w:pPr>
              <w:spacing w:line="240" w:lineRule="atLeast"/>
              <w:jc w:val="center"/>
              <w:rPr>
                <w:rFonts w:ascii="Arial" w:hAnsi="Arial" w:eastAsia="华文细黑" w:cs="Arial"/>
                <w:sz w:val="18"/>
                <w:szCs w:val="18"/>
              </w:rPr>
            </w:pPr>
            <w:r>
              <w:rPr>
                <w:rFonts w:hint="eastAsia" w:ascii="Arial" w:hAnsi="Arial" w:eastAsia="华文细黑" w:cs="Arial"/>
                <w:sz w:val="18"/>
                <w:szCs w:val="18"/>
              </w:rPr>
              <w:t>北京保障房中心有限公司</w:t>
            </w:r>
          </w:p>
        </w:tc>
        <w:tc>
          <w:tcPr>
            <w:tcW w:w="2221" w:type="dxa"/>
            <w:shd w:val="clear" w:color="auto" w:fill="auto"/>
            <w:vAlign w:val="center"/>
          </w:tcPr>
          <w:p w14:paraId="547D343D">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大兴区景明路店家园16号院</w:t>
            </w:r>
          </w:p>
        </w:tc>
        <w:tc>
          <w:tcPr>
            <w:tcW w:w="983" w:type="dxa"/>
            <w:shd w:val="clear" w:color="auto" w:fill="auto"/>
            <w:vAlign w:val="center"/>
          </w:tcPr>
          <w:p w14:paraId="6249F780">
            <w:pPr>
              <w:spacing w:line="240" w:lineRule="atLeast"/>
              <w:jc w:val="center"/>
              <w:rPr>
                <w:rFonts w:ascii="Arial" w:hAnsi="Arial" w:eastAsia="华文细黑" w:cs="Arial"/>
                <w:sz w:val="18"/>
                <w:szCs w:val="18"/>
              </w:rPr>
            </w:pPr>
            <w:r>
              <w:rPr>
                <w:rFonts w:ascii="Arial" w:hAnsi="Arial" w:eastAsia="华文细黑" w:cs="Arial"/>
                <w:color w:val="000000"/>
                <w:sz w:val="18"/>
                <w:szCs w:val="18"/>
              </w:rPr>
              <w:t>38</w:t>
            </w:r>
          </w:p>
        </w:tc>
        <w:tc>
          <w:tcPr>
            <w:tcW w:w="787" w:type="dxa"/>
            <w:shd w:val="clear" w:color="auto" w:fill="auto"/>
            <w:vAlign w:val="center"/>
          </w:tcPr>
          <w:p w14:paraId="4AA8E68E">
            <w:pPr>
              <w:spacing w:line="240" w:lineRule="atLeast"/>
              <w:jc w:val="center"/>
              <w:rPr>
                <w:rFonts w:ascii="Arial" w:hAnsi="Arial" w:eastAsia="华文细黑" w:cs="Arial"/>
                <w:sz w:val="18"/>
                <w:szCs w:val="18"/>
              </w:rPr>
            </w:pPr>
            <w:r>
              <w:rPr>
                <w:rFonts w:ascii="Arial" w:hAnsi="Arial" w:eastAsia="华文细黑" w:cs="Arial"/>
                <w:color w:val="000000"/>
                <w:sz w:val="18"/>
                <w:szCs w:val="18"/>
              </w:rPr>
              <w:t>75</w:t>
            </w:r>
          </w:p>
        </w:tc>
        <w:tc>
          <w:tcPr>
            <w:tcW w:w="787" w:type="dxa"/>
            <w:shd w:val="clear" w:color="auto" w:fill="auto"/>
            <w:vAlign w:val="center"/>
          </w:tcPr>
          <w:p w14:paraId="4CA1B57E">
            <w:pPr>
              <w:spacing w:line="240" w:lineRule="atLeast"/>
              <w:jc w:val="center"/>
              <w:rPr>
                <w:rFonts w:ascii="Arial" w:hAnsi="Arial" w:eastAsia="华文细黑" w:cs="Arial"/>
                <w:sz w:val="18"/>
                <w:szCs w:val="18"/>
              </w:rPr>
            </w:pPr>
            <w:r>
              <w:rPr>
                <w:rFonts w:ascii="Arial" w:hAnsi="Arial" w:eastAsia="华文细黑" w:cs="Arial"/>
                <w:color w:val="000000"/>
                <w:sz w:val="18"/>
                <w:szCs w:val="18"/>
              </w:rPr>
              <w:t>4</w:t>
            </w:r>
          </w:p>
        </w:tc>
        <w:tc>
          <w:tcPr>
            <w:tcW w:w="787" w:type="dxa"/>
            <w:shd w:val="clear" w:color="auto" w:fill="auto"/>
            <w:vAlign w:val="center"/>
          </w:tcPr>
          <w:p w14:paraId="72BC8FCB">
            <w:pPr>
              <w:spacing w:line="240" w:lineRule="atLeast"/>
              <w:jc w:val="center"/>
              <w:rPr>
                <w:rFonts w:ascii="Arial" w:hAnsi="Arial" w:eastAsia="华文细黑" w:cs="Arial"/>
                <w:sz w:val="18"/>
                <w:szCs w:val="18"/>
              </w:rPr>
            </w:pPr>
            <w:r>
              <w:rPr>
                <w:rFonts w:ascii="Arial" w:hAnsi="Arial" w:eastAsia="华文细黑" w:cs="Arial"/>
                <w:color w:val="000000"/>
                <w:sz w:val="18"/>
                <w:szCs w:val="18"/>
              </w:rPr>
              <w:t>152</w:t>
            </w:r>
          </w:p>
        </w:tc>
        <w:tc>
          <w:tcPr>
            <w:tcW w:w="894" w:type="dxa"/>
            <w:shd w:val="clear" w:color="auto" w:fill="auto"/>
            <w:vAlign w:val="center"/>
          </w:tcPr>
          <w:p w14:paraId="46E54399">
            <w:pPr>
              <w:spacing w:line="240" w:lineRule="atLeast"/>
              <w:jc w:val="center"/>
              <w:rPr>
                <w:rFonts w:ascii="Arial" w:hAnsi="Arial" w:eastAsia="华文细黑" w:cs="Arial"/>
                <w:sz w:val="18"/>
                <w:szCs w:val="18"/>
              </w:rPr>
            </w:pPr>
            <w:r>
              <w:rPr>
                <w:rFonts w:ascii="Arial" w:hAnsi="Arial" w:eastAsia="华文细黑" w:cs="Arial"/>
                <w:color w:val="000000"/>
                <w:sz w:val="18"/>
                <w:szCs w:val="18"/>
              </w:rPr>
              <w:t>231</w:t>
            </w:r>
          </w:p>
        </w:tc>
      </w:tr>
      <w:tr w14:paraId="278D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32F34651">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11</w:t>
            </w:r>
          </w:p>
        </w:tc>
        <w:tc>
          <w:tcPr>
            <w:tcW w:w="1380" w:type="dxa"/>
            <w:shd w:val="clear" w:color="auto" w:fill="auto"/>
            <w:vAlign w:val="center"/>
          </w:tcPr>
          <w:p w14:paraId="39DD681E">
            <w:pPr>
              <w:spacing w:line="240" w:lineRule="atLeast"/>
              <w:jc w:val="center"/>
              <w:rPr>
                <w:rFonts w:ascii="Arial" w:hAnsi="Arial" w:eastAsia="华文细黑" w:cs="Arial"/>
                <w:sz w:val="18"/>
                <w:szCs w:val="18"/>
              </w:rPr>
            </w:pPr>
            <w:r>
              <w:rPr>
                <w:rFonts w:hint="eastAsia" w:ascii="Arial" w:hAnsi="Arial" w:eastAsia="华文细黑" w:cs="Arial"/>
                <w:sz w:val="18"/>
                <w:szCs w:val="18"/>
              </w:rPr>
              <w:t>明发雅苑</w:t>
            </w:r>
          </w:p>
        </w:tc>
        <w:tc>
          <w:tcPr>
            <w:tcW w:w="923" w:type="dxa"/>
            <w:shd w:val="clear" w:color="auto" w:fill="auto"/>
            <w:vAlign w:val="center"/>
          </w:tcPr>
          <w:p w14:paraId="7DF026CE">
            <w:pPr>
              <w:spacing w:line="240" w:lineRule="atLeast"/>
              <w:jc w:val="center"/>
              <w:rPr>
                <w:rFonts w:ascii="Arial" w:hAnsi="Arial" w:eastAsia="华文细黑" w:cs="Arial"/>
                <w:sz w:val="18"/>
                <w:szCs w:val="18"/>
              </w:rPr>
            </w:pPr>
            <w:r>
              <w:rPr>
                <w:rFonts w:hint="eastAsia" w:ascii="Arial" w:hAnsi="Arial" w:eastAsia="华文细黑" w:cs="Arial"/>
                <w:sz w:val="18"/>
                <w:szCs w:val="18"/>
              </w:rPr>
              <w:t>明发集团北京房地产开发有限公司</w:t>
            </w:r>
          </w:p>
        </w:tc>
        <w:tc>
          <w:tcPr>
            <w:tcW w:w="2221" w:type="dxa"/>
            <w:shd w:val="clear" w:color="auto" w:fill="auto"/>
            <w:vAlign w:val="center"/>
          </w:tcPr>
          <w:p w14:paraId="010D99DC">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大兴区纪百户街18号院</w:t>
            </w:r>
          </w:p>
        </w:tc>
        <w:tc>
          <w:tcPr>
            <w:tcW w:w="983" w:type="dxa"/>
            <w:shd w:val="clear" w:color="auto" w:fill="auto"/>
            <w:vAlign w:val="center"/>
          </w:tcPr>
          <w:p w14:paraId="01D44B7E">
            <w:pPr>
              <w:spacing w:line="240" w:lineRule="atLeast"/>
              <w:jc w:val="center"/>
              <w:rPr>
                <w:rFonts w:ascii="Arial" w:hAnsi="Arial" w:eastAsia="华文细黑" w:cs="Arial"/>
                <w:sz w:val="18"/>
                <w:szCs w:val="18"/>
              </w:rPr>
            </w:pPr>
            <w:r>
              <w:rPr>
                <w:rFonts w:ascii="Arial" w:hAnsi="Arial" w:eastAsia="华文细黑" w:cs="Arial"/>
                <w:color w:val="000000"/>
                <w:sz w:val="18"/>
                <w:szCs w:val="18"/>
              </w:rPr>
              <w:t>25</w:t>
            </w:r>
          </w:p>
        </w:tc>
        <w:tc>
          <w:tcPr>
            <w:tcW w:w="787" w:type="dxa"/>
            <w:shd w:val="clear" w:color="auto" w:fill="auto"/>
            <w:vAlign w:val="center"/>
          </w:tcPr>
          <w:p w14:paraId="4860C796">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43D5AE47">
            <w:pPr>
              <w:spacing w:line="240" w:lineRule="atLeast"/>
              <w:jc w:val="center"/>
              <w:rPr>
                <w:rFonts w:ascii="Arial" w:hAnsi="Arial" w:eastAsia="华文细黑" w:cs="Arial"/>
                <w:sz w:val="18"/>
                <w:szCs w:val="18"/>
              </w:rPr>
            </w:pPr>
            <w:r>
              <w:rPr>
                <w:rFonts w:ascii="Arial" w:hAnsi="Arial" w:eastAsia="华文细黑" w:cs="Arial"/>
                <w:color w:val="000000"/>
                <w:sz w:val="18"/>
                <w:szCs w:val="18"/>
              </w:rPr>
              <w:t>8</w:t>
            </w:r>
          </w:p>
        </w:tc>
        <w:tc>
          <w:tcPr>
            <w:tcW w:w="787" w:type="dxa"/>
            <w:shd w:val="clear" w:color="auto" w:fill="auto"/>
            <w:vAlign w:val="center"/>
          </w:tcPr>
          <w:p w14:paraId="778BB0C8">
            <w:pPr>
              <w:spacing w:line="240" w:lineRule="atLeast"/>
              <w:jc w:val="center"/>
              <w:rPr>
                <w:rFonts w:ascii="Arial" w:hAnsi="Arial" w:eastAsia="华文细黑" w:cs="Arial"/>
                <w:sz w:val="18"/>
                <w:szCs w:val="18"/>
              </w:rPr>
            </w:pPr>
            <w:r>
              <w:rPr>
                <w:rFonts w:ascii="Arial" w:hAnsi="Arial" w:eastAsia="华文细黑" w:cs="Arial"/>
                <w:color w:val="000000"/>
                <w:sz w:val="18"/>
                <w:szCs w:val="18"/>
              </w:rPr>
              <w:t>19</w:t>
            </w:r>
          </w:p>
        </w:tc>
        <w:tc>
          <w:tcPr>
            <w:tcW w:w="894" w:type="dxa"/>
            <w:shd w:val="clear" w:color="auto" w:fill="auto"/>
            <w:vAlign w:val="center"/>
          </w:tcPr>
          <w:p w14:paraId="4509E470">
            <w:pPr>
              <w:spacing w:line="240" w:lineRule="atLeast"/>
              <w:jc w:val="center"/>
              <w:rPr>
                <w:rFonts w:ascii="Arial" w:hAnsi="Arial" w:eastAsia="华文细黑" w:cs="Arial"/>
                <w:sz w:val="18"/>
                <w:szCs w:val="18"/>
              </w:rPr>
            </w:pPr>
            <w:r>
              <w:rPr>
                <w:rFonts w:ascii="Arial" w:hAnsi="Arial" w:eastAsia="华文细黑" w:cs="Arial"/>
                <w:color w:val="000000"/>
                <w:sz w:val="18"/>
                <w:szCs w:val="18"/>
              </w:rPr>
              <w:t>27</w:t>
            </w:r>
          </w:p>
        </w:tc>
      </w:tr>
      <w:tr w14:paraId="61C40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shd w:val="clear" w:color="auto" w:fill="auto"/>
            <w:vAlign w:val="center"/>
          </w:tcPr>
          <w:p w14:paraId="7970660E">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12</w:t>
            </w:r>
          </w:p>
        </w:tc>
        <w:tc>
          <w:tcPr>
            <w:tcW w:w="1380" w:type="dxa"/>
            <w:shd w:val="clear" w:color="auto" w:fill="auto"/>
            <w:vAlign w:val="center"/>
          </w:tcPr>
          <w:p w14:paraId="68082BEF">
            <w:pPr>
              <w:spacing w:line="240" w:lineRule="atLeast"/>
              <w:jc w:val="center"/>
              <w:rPr>
                <w:rFonts w:ascii="Arial" w:hAnsi="Arial" w:eastAsia="华文细黑" w:cs="Arial"/>
                <w:sz w:val="18"/>
                <w:szCs w:val="18"/>
              </w:rPr>
            </w:pPr>
            <w:r>
              <w:rPr>
                <w:rFonts w:hint="eastAsia" w:ascii="Arial" w:hAnsi="Arial" w:eastAsia="华文细黑" w:cs="Arial"/>
                <w:color w:val="000000"/>
                <w:sz w:val="18"/>
                <w:szCs w:val="18"/>
              </w:rPr>
              <w:t>联港嘉园</w:t>
            </w:r>
          </w:p>
        </w:tc>
        <w:tc>
          <w:tcPr>
            <w:tcW w:w="923" w:type="dxa"/>
            <w:shd w:val="clear" w:color="auto" w:fill="auto"/>
            <w:vAlign w:val="center"/>
          </w:tcPr>
          <w:p w14:paraId="1C8A4B9D">
            <w:pPr>
              <w:spacing w:line="240" w:lineRule="atLeast"/>
              <w:jc w:val="center"/>
              <w:rPr>
                <w:rFonts w:ascii="Arial" w:hAnsi="Arial" w:eastAsia="华文细黑" w:cs="Arial"/>
                <w:sz w:val="18"/>
                <w:szCs w:val="18"/>
              </w:rPr>
            </w:pPr>
            <w:r>
              <w:rPr>
                <w:rFonts w:hint="eastAsia" w:ascii="Arial" w:hAnsi="Arial" w:eastAsia="华文细黑" w:cs="Arial"/>
                <w:sz w:val="18"/>
                <w:szCs w:val="18"/>
              </w:rPr>
              <w:t>北京联港置业有限公司</w:t>
            </w:r>
          </w:p>
        </w:tc>
        <w:tc>
          <w:tcPr>
            <w:tcW w:w="2221" w:type="dxa"/>
            <w:shd w:val="clear" w:color="auto" w:fill="auto"/>
            <w:vAlign w:val="center"/>
          </w:tcPr>
          <w:p w14:paraId="00838D12">
            <w:pPr>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大兴区文新南街273号院</w:t>
            </w:r>
          </w:p>
        </w:tc>
        <w:tc>
          <w:tcPr>
            <w:tcW w:w="983" w:type="dxa"/>
            <w:shd w:val="clear" w:color="auto" w:fill="auto"/>
            <w:vAlign w:val="center"/>
          </w:tcPr>
          <w:p w14:paraId="51C7A682">
            <w:pPr>
              <w:spacing w:line="240" w:lineRule="atLeast"/>
              <w:jc w:val="center"/>
              <w:rPr>
                <w:rFonts w:ascii="Arial" w:hAnsi="Arial" w:eastAsia="华文细黑" w:cs="Arial"/>
                <w:sz w:val="18"/>
                <w:szCs w:val="18"/>
              </w:rPr>
            </w:pPr>
            <w:r>
              <w:rPr>
                <w:rFonts w:ascii="Arial" w:hAnsi="Arial" w:eastAsia="华文细黑" w:cs="Arial"/>
                <w:color w:val="000000"/>
                <w:sz w:val="18"/>
                <w:szCs w:val="18"/>
              </w:rPr>
              <w:t>25</w:t>
            </w:r>
          </w:p>
        </w:tc>
        <w:tc>
          <w:tcPr>
            <w:tcW w:w="787" w:type="dxa"/>
            <w:shd w:val="clear" w:color="auto" w:fill="auto"/>
            <w:vAlign w:val="center"/>
          </w:tcPr>
          <w:p w14:paraId="734BA131">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3773C38C">
            <w:pPr>
              <w:spacing w:line="240" w:lineRule="atLeast"/>
              <w:jc w:val="center"/>
              <w:rPr>
                <w:rFonts w:ascii="Arial" w:hAnsi="Arial" w:eastAsia="华文细黑" w:cs="Arial"/>
                <w:sz w:val="18"/>
                <w:szCs w:val="18"/>
              </w:rPr>
            </w:pPr>
            <w:r>
              <w:rPr>
                <w:rFonts w:ascii="Arial" w:hAnsi="Arial" w:eastAsia="华文细黑" w:cs="Arial"/>
                <w:color w:val="000000"/>
                <w:sz w:val="18"/>
                <w:szCs w:val="18"/>
              </w:rPr>
              <w:t>0</w:t>
            </w:r>
          </w:p>
        </w:tc>
        <w:tc>
          <w:tcPr>
            <w:tcW w:w="787" w:type="dxa"/>
            <w:shd w:val="clear" w:color="auto" w:fill="auto"/>
            <w:vAlign w:val="center"/>
          </w:tcPr>
          <w:p w14:paraId="6F219751">
            <w:pPr>
              <w:spacing w:line="240" w:lineRule="atLeast"/>
              <w:jc w:val="center"/>
              <w:rPr>
                <w:rFonts w:ascii="Arial" w:hAnsi="Arial" w:eastAsia="华文细黑" w:cs="Arial"/>
                <w:sz w:val="18"/>
                <w:szCs w:val="18"/>
              </w:rPr>
            </w:pPr>
            <w:r>
              <w:rPr>
                <w:rFonts w:ascii="Arial" w:hAnsi="Arial" w:eastAsia="华文细黑" w:cs="Arial"/>
                <w:color w:val="000000"/>
                <w:sz w:val="18"/>
                <w:szCs w:val="18"/>
              </w:rPr>
              <w:t>4</w:t>
            </w:r>
          </w:p>
        </w:tc>
        <w:tc>
          <w:tcPr>
            <w:tcW w:w="894" w:type="dxa"/>
            <w:shd w:val="clear" w:color="auto" w:fill="auto"/>
            <w:vAlign w:val="center"/>
          </w:tcPr>
          <w:p w14:paraId="76B6E6DF">
            <w:pPr>
              <w:spacing w:line="240" w:lineRule="atLeast"/>
              <w:jc w:val="center"/>
              <w:rPr>
                <w:rFonts w:ascii="Arial" w:hAnsi="Arial" w:eastAsia="华文细黑" w:cs="Arial"/>
                <w:sz w:val="18"/>
                <w:szCs w:val="18"/>
              </w:rPr>
            </w:pPr>
            <w:r>
              <w:rPr>
                <w:rFonts w:ascii="Arial" w:hAnsi="Arial" w:eastAsia="华文细黑" w:cs="Arial"/>
                <w:color w:val="000000"/>
                <w:sz w:val="18"/>
                <w:szCs w:val="18"/>
              </w:rPr>
              <w:t>4</w:t>
            </w:r>
          </w:p>
        </w:tc>
      </w:tr>
      <w:tr w14:paraId="5805B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034" w:type="dxa"/>
            <w:gridSpan w:val="5"/>
            <w:shd w:val="clear" w:color="auto" w:fill="auto"/>
            <w:vAlign w:val="center"/>
          </w:tcPr>
          <w:p w14:paraId="728D7730">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787" w:type="dxa"/>
            <w:shd w:val="clear" w:color="auto" w:fill="auto"/>
            <w:vAlign w:val="center"/>
          </w:tcPr>
          <w:p w14:paraId="382257A9">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150</w:t>
            </w:r>
          </w:p>
        </w:tc>
        <w:tc>
          <w:tcPr>
            <w:tcW w:w="787" w:type="dxa"/>
            <w:shd w:val="clear" w:color="auto" w:fill="auto"/>
            <w:vAlign w:val="center"/>
          </w:tcPr>
          <w:p w14:paraId="1889C58A">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250</w:t>
            </w:r>
          </w:p>
        </w:tc>
        <w:tc>
          <w:tcPr>
            <w:tcW w:w="787" w:type="dxa"/>
            <w:shd w:val="clear" w:color="auto" w:fill="auto"/>
            <w:vAlign w:val="center"/>
          </w:tcPr>
          <w:p w14:paraId="786BFC1F">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278</w:t>
            </w:r>
          </w:p>
        </w:tc>
        <w:tc>
          <w:tcPr>
            <w:tcW w:w="894" w:type="dxa"/>
            <w:shd w:val="clear" w:color="auto" w:fill="auto"/>
            <w:vAlign w:val="center"/>
          </w:tcPr>
          <w:p w14:paraId="61B42BEB">
            <w:pPr>
              <w:overflowPunct w:val="0"/>
              <w:snapToGrid w:val="0"/>
              <w:spacing w:line="240" w:lineRule="atLeas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678</w:t>
            </w:r>
          </w:p>
        </w:tc>
      </w:tr>
    </w:tbl>
    <w:p w14:paraId="6F458244">
      <w:pPr>
        <w:overflowPunct w:val="0"/>
        <w:spacing w:line="480" w:lineRule="auto"/>
        <w:textAlignment w:val="auto"/>
        <w:rPr>
          <w:rFonts w:ascii="Arial" w:hAnsi="Arial" w:cs="Arial"/>
          <w:sz w:val="18"/>
          <w:szCs w:val="18"/>
        </w:rPr>
      </w:pPr>
      <w:r>
        <w:rPr>
          <w:rFonts w:hint="eastAsia" w:ascii="Arial" w:hAnsi="Arial" w:cs="Arial"/>
          <w:sz w:val="18"/>
          <w:szCs w:val="18"/>
        </w:rPr>
        <w:t>备注：表格中租金标准为公共租赁住房配租租金，非市场租金。</w:t>
      </w:r>
    </w:p>
    <w:p w14:paraId="6288617C">
      <w:pPr>
        <w:pStyle w:val="3"/>
        <w:tabs>
          <w:tab w:val="left" w:pos="360"/>
        </w:tabs>
        <w:spacing w:line="480" w:lineRule="auto"/>
        <w:ind w:left="358" w:hanging="358" w:hangingChars="170"/>
        <w:jc w:val="both"/>
        <w:rPr>
          <w:rFonts w:eastAsia="宋体"/>
          <w:kern w:val="2"/>
          <w:sz w:val="21"/>
          <w:szCs w:val="21"/>
        </w:rPr>
      </w:pPr>
      <w:bookmarkStart w:id="56" w:name="_Toc525655438"/>
      <w:r>
        <w:rPr>
          <w:rFonts w:eastAsia="宋体"/>
          <w:kern w:val="2"/>
          <w:sz w:val="21"/>
          <w:szCs w:val="21"/>
        </w:rPr>
        <w:br w:type="page"/>
      </w:r>
    </w:p>
    <w:p w14:paraId="58A365CF">
      <w:pPr>
        <w:pStyle w:val="3"/>
        <w:tabs>
          <w:tab w:val="left" w:pos="360"/>
        </w:tabs>
        <w:spacing w:line="480" w:lineRule="auto"/>
        <w:ind w:left="358" w:hanging="358" w:hangingChars="170"/>
        <w:jc w:val="both"/>
        <w:rPr>
          <w:rFonts w:eastAsia="宋体"/>
          <w:kern w:val="2"/>
          <w:sz w:val="21"/>
          <w:szCs w:val="21"/>
        </w:rPr>
      </w:pPr>
      <w:r>
        <w:rPr>
          <w:rFonts w:eastAsia="宋体"/>
          <w:kern w:val="2"/>
          <w:sz w:val="21"/>
          <w:szCs w:val="21"/>
        </w:rPr>
        <w:t>三、最高最佳利用分析</w:t>
      </w:r>
      <w:bookmarkEnd w:id="56"/>
    </w:p>
    <w:p w14:paraId="0F85A0D3">
      <w:pPr>
        <w:pStyle w:val="61"/>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14778457">
      <w:pPr>
        <w:pStyle w:val="6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481CAE3C">
      <w:pPr>
        <w:pStyle w:val="61"/>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F550938">
      <w:pPr>
        <w:pStyle w:val="61"/>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估价对象土地规划用途为住宅，房屋规划用途为住宅，实际用作公共租赁住房，法律上允许。</w:t>
      </w:r>
    </w:p>
    <w:p w14:paraId="4C4F5F84">
      <w:pPr>
        <w:pStyle w:val="61"/>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1C10314F">
      <w:pPr>
        <w:pStyle w:val="61"/>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4405BD2">
      <w:pPr>
        <w:pStyle w:val="61"/>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剪力墙（钢混）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240F6301">
      <w:pPr>
        <w:pStyle w:val="61"/>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7D55DD6C">
      <w:pPr>
        <w:pStyle w:val="61"/>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pPr>
        <w:pStyle w:val="6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B02BE76">
      <w:pPr>
        <w:pStyle w:val="61"/>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hint="eastAsia" w:ascii="Arial" w:hAnsi="Arial" w:cs="Arial"/>
          <w:sz w:val="21"/>
          <w:szCs w:val="21"/>
        </w:rPr>
        <w:t>土地规划用途为住宅，房屋规划用途为住宅，实际用作公共租赁住房，</w:t>
      </w:r>
      <w:r>
        <w:rPr>
          <w:rFonts w:ascii="Arial" w:hAnsi="Arial" w:cs="Arial"/>
          <w:sz w:val="21"/>
          <w:szCs w:val="21"/>
        </w:rPr>
        <w:t>其使用方式以满足法律上许可、技术上可能、经济上可行为前提条件，经过论证可使估价对象价值得到最大化。</w:t>
      </w:r>
    </w:p>
    <w:p w14:paraId="3351A99B">
      <w:pPr>
        <w:pStyle w:val="6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5EE47925">
      <w:pPr>
        <w:pStyle w:val="61"/>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2602B9B6">
      <w:pPr>
        <w:spacing w:line="480" w:lineRule="auto"/>
        <w:ind w:firstLine="420" w:firstLineChars="200"/>
        <w:jc w:val="both"/>
        <w:rPr>
          <w:rFonts w:ascii="Arial" w:hAnsi="Arial" w:cs="Arial"/>
          <w:sz w:val="21"/>
          <w:szCs w:val="21"/>
        </w:rPr>
      </w:pPr>
    </w:p>
    <w:p w14:paraId="519B496B">
      <w:pPr>
        <w:pStyle w:val="3"/>
        <w:numPr>
          <w:ilvl w:val="0"/>
          <w:numId w:val="7"/>
        </w:numPr>
        <w:tabs>
          <w:tab w:val="left" w:pos="360"/>
        </w:tabs>
        <w:spacing w:line="480" w:lineRule="auto"/>
        <w:ind w:left="450"/>
        <w:jc w:val="both"/>
        <w:rPr>
          <w:rFonts w:eastAsia="宋体"/>
          <w:kern w:val="2"/>
          <w:sz w:val="21"/>
          <w:szCs w:val="21"/>
        </w:rPr>
      </w:pPr>
      <w:bookmarkStart w:id="57" w:name="_Toc525655439"/>
      <w:r>
        <w:rPr>
          <w:rFonts w:eastAsia="宋体"/>
          <w:kern w:val="2"/>
          <w:sz w:val="21"/>
          <w:szCs w:val="21"/>
        </w:rPr>
        <w:t>估价方法适用性分析</w:t>
      </w:r>
      <w:bookmarkEnd w:id="57"/>
    </w:p>
    <w:p w14:paraId="4D5C6097">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比较法和成本法</w:t>
      </w:r>
      <w:r>
        <w:rPr>
          <w:rFonts w:ascii="Arial" w:hAnsi="Arial" w:cs="Arial"/>
          <w:sz w:val="21"/>
          <w:szCs w:val="21"/>
        </w:rPr>
        <w:t>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r>
        <w:rPr>
          <w:rFonts w:ascii="Arial" w:hAnsi="Arial" w:cs="Arial"/>
          <w:sz w:val="21"/>
          <w:szCs w:val="21"/>
        </w:rPr>
        <w:t>。</w:t>
      </w:r>
    </w:p>
    <w:p w14:paraId="6BF26F13">
      <w:pPr>
        <w:pStyle w:val="6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4E9C0D29">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本次选用比较法对估价对象的市场租金水平进行测算，具体测算思路如下：</w:t>
      </w:r>
    </w:p>
    <w:p w14:paraId="53B1AF0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首先</w:t>
      </w:r>
      <w:r>
        <w:rPr>
          <w:rFonts w:hint="eastAsia" w:ascii="Arial" w:hAnsi="Arial" w:cs="Arial"/>
          <w:sz w:val="21"/>
          <w:szCs w:val="21"/>
        </w:rPr>
        <w:t>确认</w:t>
      </w:r>
      <w:r>
        <w:rPr>
          <w:rFonts w:ascii="Arial" w:hAnsi="Arial" w:cs="Arial"/>
          <w:sz w:val="21"/>
          <w:szCs w:val="21"/>
        </w:rPr>
        <w:t>估价对象标准房</w:t>
      </w:r>
      <w:r>
        <w:rPr>
          <w:rFonts w:hint="eastAsia" w:ascii="Arial" w:hAnsi="Arial" w:cs="Arial"/>
          <w:sz w:val="21"/>
          <w:szCs w:val="21"/>
        </w:rPr>
        <w:t>。标准房设定如下：</w:t>
      </w:r>
    </w:p>
    <w:p w14:paraId="01563608">
      <w:pPr>
        <w:overflowPunct w:val="0"/>
        <w:spacing w:line="480" w:lineRule="auto"/>
        <w:ind w:firstLine="420" w:firstLineChars="200"/>
        <w:jc w:val="both"/>
        <w:textAlignment w:val="auto"/>
        <w:rPr>
          <w:rFonts w:ascii="Arial" w:hAnsi="Arial" w:cs="Arial"/>
          <w:sz w:val="21"/>
          <w:szCs w:val="21"/>
          <w:highlight w:val="yellow"/>
        </w:rPr>
      </w:pPr>
      <w:r>
        <w:rPr>
          <w:rFonts w:hint="eastAsia" w:ascii="Arial" w:hAnsi="Arial" w:cs="Arial"/>
          <w:kern w:val="2"/>
          <w:sz w:val="21"/>
          <w:szCs w:val="21"/>
        </w:rPr>
        <w:t>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《燕保·高米店家园项目房源表》，估价对象总建筑面积为9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公共租赁住房。估价对象房源具体情况如下：</w:t>
      </w:r>
    </w:p>
    <w:p w14:paraId="63637C83">
      <w:pPr>
        <w:overflowPunct w:val="0"/>
        <w:spacing w:line="360" w:lineRule="auto"/>
        <w:jc w:val="center"/>
        <w:textAlignment w:val="auto"/>
        <w:rPr>
          <w:rFonts w:ascii="Arial" w:hAnsi="Arial" w:cs="Arial"/>
          <w:b/>
          <w:sz w:val="21"/>
          <w:szCs w:val="21"/>
        </w:rPr>
      </w:pPr>
      <w:r>
        <w:rPr>
          <w:rFonts w:ascii="Arial" w:hAnsi="Arial" w:cs="Arial"/>
          <w:b/>
          <w:sz w:val="21"/>
          <w:szCs w:val="21"/>
        </w:rPr>
        <w:t>估价对象房源汇总表</w:t>
      </w:r>
    </w:p>
    <w:tbl>
      <w:tblPr>
        <w:tblStyle w:val="23"/>
        <w:tblW w:w="5000" w:type="pct"/>
        <w:tblInd w:w="0" w:type="dxa"/>
        <w:tblLayout w:type="autofit"/>
        <w:tblCellMar>
          <w:top w:w="0" w:type="dxa"/>
          <w:left w:w="108" w:type="dxa"/>
          <w:bottom w:w="0" w:type="dxa"/>
          <w:right w:w="108" w:type="dxa"/>
        </w:tblCellMar>
      </w:tblPr>
      <w:tblGrid>
        <w:gridCol w:w="2176"/>
        <w:gridCol w:w="3182"/>
        <w:gridCol w:w="1981"/>
        <w:gridCol w:w="2176"/>
      </w:tblGrid>
      <w:tr w14:paraId="07426379">
        <w:tblPrEx>
          <w:tblCellMar>
            <w:top w:w="0" w:type="dxa"/>
            <w:left w:w="108" w:type="dxa"/>
            <w:bottom w:w="0" w:type="dxa"/>
            <w:right w:w="108" w:type="dxa"/>
          </w:tblCellMar>
        </w:tblPrEx>
        <w:trPr>
          <w:trHeight w:val="252" w:hRule="atLeast"/>
          <w:tblHeader/>
        </w:trPr>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7AACA2D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户型</w:t>
            </w:r>
          </w:p>
        </w:tc>
        <w:tc>
          <w:tcPr>
            <w:tcW w:w="1672" w:type="pct"/>
            <w:tcBorders>
              <w:top w:val="single" w:color="auto" w:sz="4" w:space="0"/>
              <w:left w:val="nil"/>
              <w:bottom w:val="single" w:color="auto" w:sz="4" w:space="0"/>
              <w:right w:val="single" w:color="auto" w:sz="4" w:space="0"/>
            </w:tcBorders>
            <w:shd w:val="clear" w:color="auto" w:fill="auto"/>
            <w:vAlign w:val="center"/>
          </w:tcPr>
          <w:p w14:paraId="4BF074C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建筑面积（平方米）</w:t>
            </w:r>
          </w:p>
        </w:tc>
        <w:tc>
          <w:tcPr>
            <w:tcW w:w="1041" w:type="pct"/>
            <w:tcBorders>
              <w:top w:val="single" w:color="auto" w:sz="4" w:space="0"/>
              <w:left w:val="nil"/>
              <w:bottom w:val="single" w:color="auto" w:sz="4" w:space="0"/>
              <w:right w:val="single" w:color="auto" w:sz="4" w:space="0"/>
            </w:tcBorders>
            <w:shd w:val="clear" w:color="auto" w:fill="auto"/>
            <w:vAlign w:val="center"/>
          </w:tcPr>
          <w:p w14:paraId="62BC488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朝向</w:t>
            </w:r>
          </w:p>
        </w:tc>
        <w:tc>
          <w:tcPr>
            <w:tcW w:w="1143" w:type="pct"/>
            <w:tcBorders>
              <w:top w:val="single" w:color="auto" w:sz="4" w:space="0"/>
              <w:left w:val="nil"/>
              <w:bottom w:val="single" w:color="auto" w:sz="4" w:space="0"/>
              <w:right w:val="single" w:color="auto" w:sz="4" w:space="0"/>
            </w:tcBorders>
            <w:shd w:val="clear" w:color="auto" w:fill="auto"/>
            <w:vAlign w:val="center"/>
          </w:tcPr>
          <w:p w14:paraId="6C36A41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套数（套）</w:t>
            </w:r>
          </w:p>
        </w:tc>
      </w:tr>
      <w:tr w14:paraId="0C73F6C0">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18EECD5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零居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1C480E7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30.04-32.61</w:t>
            </w:r>
          </w:p>
        </w:tc>
        <w:tc>
          <w:tcPr>
            <w:tcW w:w="1041" w:type="pct"/>
            <w:tcBorders>
              <w:top w:val="nil"/>
              <w:left w:val="nil"/>
              <w:bottom w:val="single" w:color="auto" w:sz="4" w:space="0"/>
              <w:right w:val="single" w:color="auto" w:sz="4" w:space="0"/>
            </w:tcBorders>
            <w:shd w:val="clear" w:color="auto" w:fill="auto"/>
            <w:vAlign w:val="center"/>
          </w:tcPr>
          <w:p w14:paraId="135EF9B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3D9EB43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272</w:t>
            </w:r>
          </w:p>
        </w:tc>
      </w:tr>
      <w:tr w14:paraId="256CA495">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7CDDEA4">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FE330F1">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9D94E9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40A8C3CF">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240</w:t>
            </w:r>
          </w:p>
        </w:tc>
      </w:tr>
      <w:tr w14:paraId="3868EF1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3F2AD70">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FF47C34">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14D9A8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192EEDE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2D046B8C">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2CA816BD">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477D0B41">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2325981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7448EEF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16</w:t>
            </w:r>
          </w:p>
        </w:tc>
      </w:tr>
      <w:tr w14:paraId="1D6FE479">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1D9EB06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6BE2316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5F8D983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5615CD4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544</w:t>
            </w:r>
          </w:p>
        </w:tc>
      </w:tr>
      <w:tr w14:paraId="0A8CF651">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689CAFB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一居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5E0E4E2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41.49-50.94</w:t>
            </w:r>
          </w:p>
        </w:tc>
        <w:tc>
          <w:tcPr>
            <w:tcW w:w="1041" w:type="pct"/>
            <w:tcBorders>
              <w:top w:val="nil"/>
              <w:left w:val="nil"/>
              <w:bottom w:val="single" w:color="auto" w:sz="4" w:space="0"/>
              <w:right w:val="single" w:color="auto" w:sz="4" w:space="0"/>
            </w:tcBorders>
            <w:shd w:val="clear" w:color="auto" w:fill="auto"/>
            <w:vAlign w:val="center"/>
          </w:tcPr>
          <w:p w14:paraId="65D846D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w:t>
            </w:r>
          </w:p>
        </w:tc>
        <w:tc>
          <w:tcPr>
            <w:tcW w:w="1143" w:type="pct"/>
            <w:tcBorders>
              <w:top w:val="nil"/>
              <w:left w:val="nil"/>
              <w:bottom w:val="single" w:color="auto" w:sz="4" w:space="0"/>
              <w:right w:val="single" w:color="auto" w:sz="4" w:space="0"/>
            </w:tcBorders>
            <w:shd w:val="clear" w:color="auto" w:fill="auto"/>
            <w:vAlign w:val="center"/>
          </w:tcPr>
          <w:p w14:paraId="352293C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104</w:t>
            </w:r>
          </w:p>
        </w:tc>
      </w:tr>
      <w:tr w14:paraId="1D5B0FD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CD248E8">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A43D110">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66B8120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w:t>
            </w:r>
          </w:p>
        </w:tc>
        <w:tc>
          <w:tcPr>
            <w:tcW w:w="1143" w:type="pct"/>
            <w:tcBorders>
              <w:top w:val="nil"/>
              <w:left w:val="nil"/>
              <w:bottom w:val="single" w:color="auto" w:sz="4" w:space="0"/>
              <w:right w:val="single" w:color="auto" w:sz="4" w:space="0"/>
            </w:tcBorders>
            <w:shd w:val="clear" w:color="auto" w:fill="auto"/>
            <w:vAlign w:val="center"/>
          </w:tcPr>
          <w:p w14:paraId="3E99624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72</w:t>
            </w:r>
          </w:p>
        </w:tc>
      </w:tr>
      <w:tr w14:paraId="18997447">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497A5AE1">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5FD4C0B">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115B27D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71139DC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w:t>
            </w:r>
          </w:p>
        </w:tc>
      </w:tr>
      <w:tr w14:paraId="0723028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520E8143">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181CD65">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BB15E4E">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1E7B9C2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w:t>
            </w:r>
          </w:p>
        </w:tc>
      </w:tr>
      <w:tr w14:paraId="29C86367">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6525A86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70BA2E5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31909EE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142D52A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186</w:t>
            </w:r>
          </w:p>
        </w:tc>
      </w:tr>
      <w:tr w14:paraId="6C9F4124">
        <w:tblPrEx>
          <w:tblCellMar>
            <w:top w:w="0" w:type="dxa"/>
            <w:left w:w="108" w:type="dxa"/>
            <w:bottom w:w="0" w:type="dxa"/>
            <w:right w:w="108" w:type="dxa"/>
          </w:tblCellMar>
        </w:tblPrEx>
        <w:trPr>
          <w:trHeight w:val="252" w:hRule="atLeast"/>
        </w:trPr>
        <w:tc>
          <w:tcPr>
            <w:tcW w:w="1143" w:type="pct"/>
            <w:vMerge w:val="restart"/>
            <w:tcBorders>
              <w:top w:val="nil"/>
              <w:left w:val="single" w:color="auto" w:sz="4" w:space="0"/>
              <w:bottom w:val="single" w:color="auto" w:sz="4" w:space="0"/>
              <w:right w:val="single" w:color="auto" w:sz="4" w:space="0"/>
            </w:tcBorders>
            <w:shd w:val="clear" w:color="auto" w:fill="auto"/>
            <w:vAlign w:val="center"/>
          </w:tcPr>
          <w:p w14:paraId="079A29A2">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两居</w:t>
            </w:r>
          </w:p>
        </w:tc>
        <w:tc>
          <w:tcPr>
            <w:tcW w:w="1672" w:type="pct"/>
            <w:vMerge w:val="restart"/>
            <w:tcBorders>
              <w:top w:val="nil"/>
              <w:left w:val="single" w:color="auto" w:sz="4" w:space="0"/>
              <w:bottom w:val="single" w:color="000000" w:sz="4" w:space="0"/>
              <w:right w:val="single" w:color="auto" w:sz="4" w:space="0"/>
            </w:tcBorders>
            <w:shd w:val="clear" w:color="auto" w:fill="auto"/>
            <w:vAlign w:val="center"/>
          </w:tcPr>
          <w:p w14:paraId="403BDCB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57.9-61.95</w:t>
            </w:r>
          </w:p>
        </w:tc>
        <w:tc>
          <w:tcPr>
            <w:tcW w:w="1041" w:type="pct"/>
            <w:tcBorders>
              <w:top w:val="nil"/>
              <w:left w:val="nil"/>
              <w:bottom w:val="single" w:color="auto" w:sz="4" w:space="0"/>
              <w:right w:val="single" w:color="auto" w:sz="4" w:space="0"/>
            </w:tcBorders>
            <w:shd w:val="clear" w:color="auto" w:fill="auto"/>
            <w:vAlign w:val="center"/>
          </w:tcPr>
          <w:p w14:paraId="538ECFB7">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东北</w:t>
            </w:r>
          </w:p>
        </w:tc>
        <w:tc>
          <w:tcPr>
            <w:tcW w:w="1143" w:type="pct"/>
            <w:tcBorders>
              <w:top w:val="nil"/>
              <w:left w:val="nil"/>
              <w:bottom w:val="single" w:color="auto" w:sz="4" w:space="0"/>
              <w:right w:val="single" w:color="auto" w:sz="4" w:space="0"/>
            </w:tcBorders>
            <w:shd w:val="clear" w:color="auto" w:fill="auto"/>
            <w:vAlign w:val="center"/>
          </w:tcPr>
          <w:p w14:paraId="28C36FA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53A1AD54">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492FC5D">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05E8400C">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9EDD20B">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西北</w:t>
            </w:r>
          </w:p>
        </w:tc>
        <w:tc>
          <w:tcPr>
            <w:tcW w:w="1143" w:type="pct"/>
            <w:tcBorders>
              <w:top w:val="nil"/>
              <w:left w:val="nil"/>
              <w:bottom w:val="single" w:color="auto" w:sz="4" w:space="0"/>
              <w:right w:val="single" w:color="auto" w:sz="4" w:space="0"/>
            </w:tcBorders>
            <w:shd w:val="clear" w:color="auto" w:fill="auto"/>
            <w:vAlign w:val="center"/>
          </w:tcPr>
          <w:p w14:paraId="739FC6F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71</w:t>
            </w:r>
          </w:p>
        </w:tc>
      </w:tr>
      <w:tr w14:paraId="4611EC0E">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7C834C0C">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54097513">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9DD388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东南</w:t>
            </w:r>
          </w:p>
        </w:tc>
        <w:tc>
          <w:tcPr>
            <w:tcW w:w="1143" w:type="pct"/>
            <w:tcBorders>
              <w:top w:val="nil"/>
              <w:left w:val="nil"/>
              <w:bottom w:val="single" w:color="auto" w:sz="4" w:space="0"/>
              <w:right w:val="single" w:color="auto" w:sz="4" w:space="0"/>
            </w:tcBorders>
            <w:shd w:val="clear" w:color="auto" w:fill="auto"/>
            <w:vAlign w:val="center"/>
          </w:tcPr>
          <w:p w14:paraId="06CEC96C">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7CFE08E2">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899BB4A">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7CB2D66D">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73D91DE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西南</w:t>
            </w:r>
          </w:p>
        </w:tc>
        <w:tc>
          <w:tcPr>
            <w:tcW w:w="1143" w:type="pct"/>
            <w:tcBorders>
              <w:top w:val="nil"/>
              <w:left w:val="nil"/>
              <w:bottom w:val="single" w:color="auto" w:sz="4" w:space="0"/>
              <w:right w:val="single" w:color="auto" w:sz="4" w:space="0"/>
            </w:tcBorders>
            <w:shd w:val="clear" w:color="auto" w:fill="auto"/>
            <w:vAlign w:val="center"/>
          </w:tcPr>
          <w:p w14:paraId="6B5D7FD5">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88</w:t>
            </w:r>
          </w:p>
        </w:tc>
      </w:tr>
      <w:tr w14:paraId="711C2BA0">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38A7C5B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1758711F">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36F866D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w:t>
            </w:r>
          </w:p>
        </w:tc>
        <w:tc>
          <w:tcPr>
            <w:tcW w:w="1143" w:type="pct"/>
            <w:tcBorders>
              <w:top w:val="nil"/>
              <w:left w:val="nil"/>
              <w:bottom w:val="single" w:color="auto" w:sz="4" w:space="0"/>
              <w:right w:val="single" w:color="auto" w:sz="4" w:space="0"/>
            </w:tcBorders>
            <w:shd w:val="clear" w:color="auto" w:fill="auto"/>
            <w:vAlign w:val="center"/>
          </w:tcPr>
          <w:p w14:paraId="728EF36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432</w:t>
            </w:r>
          </w:p>
        </w:tc>
      </w:tr>
      <w:tr w14:paraId="106D4AF6">
        <w:tblPrEx>
          <w:tblCellMar>
            <w:top w:w="0" w:type="dxa"/>
            <w:left w:w="108" w:type="dxa"/>
            <w:bottom w:w="0" w:type="dxa"/>
            <w:right w:w="108" w:type="dxa"/>
          </w:tblCellMar>
        </w:tblPrEx>
        <w:trPr>
          <w:trHeight w:val="252" w:hRule="atLeast"/>
        </w:trPr>
        <w:tc>
          <w:tcPr>
            <w:tcW w:w="1143" w:type="pct"/>
            <w:vMerge w:val="continue"/>
            <w:tcBorders>
              <w:top w:val="nil"/>
              <w:left w:val="single" w:color="auto" w:sz="4" w:space="0"/>
              <w:bottom w:val="single" w:color="auto" w:sz="4" w:space="0"/>
              <w:right w:val="single" w:color="auto" w:sz="4" w:space="0"/>
            </w:tcBorders>
            <w:vAlign w:val="center"/>
          </w:tcPr>
          <w:p w14:paraId="60C29355">
            <w:pPr>
              <w:widowControl/>
              <w:adjustRightInd/>
              <w:spacing w:line="240" w:lineRule="auto"/>
              <w:textAlignment w:val="auto"/>
              <w:rPr>
                <w:rFonts w:ascii="等线" w:hAnsi="等线" w:eastAsia="等线" w:cs="宋体"/>
                <w:color w:val="000000"/>
                <w:sz w:val="20"/>
                <w:szCs w:val="21"/>
              </w:rPr>
            </w:pPr>
          </w:p>
        </w:tc>
        <w:tc>
          <w:tcPr>
            <w:tcW w:w="1672" w:type="pct"/>
            <w:vMerge w:val="continue"/>
            <w:tcBorders>
              <w:top w:val="nil"/>
              <w:left w:val="single" w:color="auto" w:sz="4" w:space="0"/>
              <w:bottom w:val="single" w:color="000000" w:sz="4" w:space="0"/>
              <w:right w:val="single" w:color="auto" w:sz="4" w:space="0"/>
            </w:tcBorders>
            <w:vAlign w:val="center"/>
          </w:tcPr>
          <w:p w14:paraId="239B079C">
            <w:pPr>
              <w:widowControl/>
              <w:adjustRightInd/>
              <w:spacing w:line="240" w:lineRule="auto"/>
              <w:textAlignment w:val="auto"/>
              <w:rPr>
                <w:rFonts w:ascii="等线" w:hAnsi="等线" w:eastAsia="等线" w:cs="宋体"/>
                <w:color w:val="000000"/>
                <w:sz w:val="20"/>
                <w:szCs w:val="21"/>
              </w:rPr>
            </w:pPr>
          </w:p>
        </w:tc>
        <w:tc>
          <w:tcPr>
            <w:tcW w:w="1041" w:type="pct"/>
            <w:tcBorders>
              <w:top w:val="nil"/>
              <w:left w:val="nil"/>
              <w:bottom w:val="single" w:color="auto" w:sz="4" w:space="0"/>
              <w:right w:val="single" w:color="auto" w:sz="4" w:space="0"/>
            </w:tcBorders>
            <w:shd w:val="clear" w:color="auto" w:fill="auto"/>
            <w:vAlign w:val="center"/>
          </w:tcPr>
          <w:p w14:paraId="0D7FBC73">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南北</w:t>
            </w:r>
          </w:p>
        </w:tc>
        <w:tc>
          <w:tcPr>
            <w:tcW w:w="1143" w:type="pct"/>
            <w:tcBorders>
              <w:top w:val="nil"/>
              <w:left w:val="nil"/>
              <w:bottom w:val="single" w:color="auto" w:sz="4" w:space="0"/>
              <w:right w:val="single" w:color="auto" w:sz="4" w:space="0"/>
            </w:tcBorders>
            <w:shd w:val="clear" w:color="auto" w:fill="auto"/>
            <w:vAlign w:val="center"/>
          </w:tcPr>
          <w:p w14:paraId="786D33E8">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350</w:t>
            </w:r>
          </w:p>
        </w:tc>
      </w:tr>
      <w:tr w14:paraId="25761275">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4BE186A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小计</w:t>
            </w:r>
          </w:p>
        </w:tc>
        <w:tc>
          <w:tcPr>
            <w:tcW w:w="1672" w:type="pct"/>
            <w:tcBorders>
              <w:top w:val="nil"/>
              <w:left w:val="nil"/>
              <w:bottom w:val="single" w:color="auto" w:sz="4" w:space="0"/>
              <w:right w:val="single" w:color="auto" w:sz="4" w:space="0"/>
            </w:tcBorders>
            <w:shd w:val="clear" w:color="auto" w:fill="auto"/>
            <w:vAlign w:val="center"/>
          </w:tcPr>
          <w:p w14:paraId="25F67800">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7B666399">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2207EF5A">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1100</w:t>
            </w:r>
          </w:p>
        </w:tc>
      </w:tr>
      <w:tr w14:paraId="3B5685A7">
        <w:tblPrEx>
          <w:tblCellMar>
            <w:top w:w="0" w:type="dxa"/>
            <w:left w:w="108" w:type="dxa"/>
            <w:bottom w:w="0" w:type="dxa"/>
            <w:right w:w="108" w:type="dxa"/>
          </w:tblCellMar>
        </w:tblPrEx>
        <w:trPr>
          <w:trHeight w:val="252" w:hRule="atLeast"/>
        </w:trPr>
        <w:tc>
          <w:tcPr>
            <w:tcW w:w="1143" w:type="pct"/>
            <w:tcBorders>
              <w:top w:val="nil"/>
              <w:left w:val="single" w:color="auto" w:sz="4" w:space="0"/>
              <w:bottom w:val="single" w:color="auto" w:sz="4" w:space="0"/>
              <w:right w:val="single" w:color="auto" w:sz="4" w:space="0"/>
            </w:tcBorders>
            <w:shd w:val="clear" w:color="auto" w:fill="auto"/>
            <w:vAlign w:val="center"/>
          </w:tcPr>
          <w:p w14:paraId="3DAEE64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总计</w:t>
            </w:r>
          </w:p>
        </w:tc>
        <w:tc>
          <w:tcPr>
            <w:tcW w:w="1672" w:type="pct"/>
            <w:tcBorders>
              <w:top w:val="nil"/>
              <w:left w:val="nil"/>
              <w:bottom w:val="single" w:color="auto" w:sz="4" w:space="0"/>
              <w:right w:val="single" w:color="auto" w:sz="4" w:space="0"/>
            </w:tcBorders>
            <w:shd w:val="clear" w:color="auto" w:fill="auto"/>
            <w:vAlign w:val="center"/>
          </w:tcPr>
          <w:p w14:paraId="79C4E81D">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041" w:type="pct"/>
            <w:tcBorders>
              <w:top w:val="nil"/>
              <w:left w:val="nil"/>
              <w:bottom w:val="single" w:color="auto" w:sz="4" w:space="0"/>
              <w:right w:val="single" w:color="auto" w:sz="4" w:space="0"/>
            </w:tcBorders>
            <w:shd w:val="clear" w:color="auto" w:fill="auto"/>
            <w:vAlign w:val="center"/>
          </w:tcPr>
          <w:p w14:paraId="120994D4">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w:t>
            </w:r>
          </w:p>
        </w:tc>
        <w:tc>
          <w:tcPr>
            <w:tcW w:w="1143" w:type="pct"/>
            <w:tcBorders>
              <w:top w:val="nil"/>
              <w:left w:val="nil"/>
              <w:bottom w:val="single" w:color="auto" w:sz="4" w:space="0"/>
              <w:right w:val="single" w:color="auto" w:sz="4" w:space="0"/>
            </w:tcBorders>
            <w:shd w:val="clear" w:color="auto" w:fill="auto"/>
            <w:vAlign w:val="center"/>
          </w:tcPr>
          <w:p w14:paraId="149F38E6">
            <w:pPr>
              <w:widowControl/>
              <w:adjustRightInd/>
              <w:spacing w:line="240" w:lineRule="auto"/>
              <w:jc w:val="center"/>
              <w:textAlignment w:val="auto"/>
              <w:rPr>
                <w:rFonts w:ascii="等线" w:hAnsi="等线" w:eastAsia="等线" w:cs="宋体"/>
                <w:color w:val="000000"/>
                <w:sz w:val="20"/>
                <w:szCs w:val="21"/>
              </w:rPr>
            </w:pPr>
            <w:r>
              <w:rPr>
                <w:rFonts w:hint="eastAsia" w:ascii="等线" w:hAnsi="等线" w:eastAsia="等线" w:cs="宋体"/>
                <w:color w:val="000000"/>
                <w:sz w:val="20"/>
                <w:szCs w:val="21"/>
              </w:rPr>
              <w:t>1830</w:t>
            </w:r>
          </w:p>
        </w:tc>
      </w:tr>
    </w:tbl>
    <w:p w14:paraId="0152370E">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4126"/>
        <w:gridCol w:w="2569"/>
      </w:tblGrid>
      <w:tr w14:paraId="53D0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4A16D05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楼层</w:t>
            </w:r>
          </w:p>
        </w:tc>
        <w:tc>
          <w:tcPr>
            <w:tcW w:w="2168" w:type="pct"/>
            <w:shd w:val="clear" w:color="auto" w:fill="auto"/>
            <w:vAlign w:val="center"/>
          </w:tcPr>
          <w:p w14:paraId="684301D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shd w:val="clear" w:color="auto" w:fill="auto"/>
            <w:vAlign w:val="center"/>
          </w:tcPr>
          <w:p w14:paraId="6DAAFD9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674A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70CFE2D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高楼层</w:t>
            </w:r>
          </w:p>
        </w:tc>
        <w:tc>
          <w:tcPr>
            <w:tcW w:w="2168" w:type="pct"/>
            <w:shd w:val="clear" w:color="auto" w:fill="auto"/>
            <w:vAlign w:val="center"/>
          </w:tcPr>
          <w:p w14:paraId="723EB82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634</w:t>
            </w:r>
          </w:p>
        </w:tc>
        <w:tc>
          <w:tcPr>
            <w:tcW w:w="1350" w:type="pct"/>
            <w:shd w:val="clear" w:color="auto" w:fill="auto"/>
            <w:vAlign w:val="center"/>
          </w:tcPr>
          <w:p w14:paraId="6B2AE2C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34.64%</w:t>
            </w:r>
          </w:p>
        </w:tc>
      </w:tr>
      <w:tr w14:paraId="2BB6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2B7D066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中楼层</w:t>
            </w:r>
          </w:p>
        </w:tc>
        <w:tc>
          <w:tcPr>
            <w:tcW w:w="2168" w:type="pct"/>
            <w:shd w:val="clear" w:color="auto" w:fill="auto"/>
            <w:vAlign w:val="center"/>
          </w:tcPr>
          <w:p w14:paraId="766C82D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636</w:t>
            </w:r>
          </w:p>
        </w:tc>
        <w:tc>
          <w:tcPr>
            <w:tcW w:w="1350" w:type="pct"/>
            <w:shd w:val="clear" w:color="auto" w:fill="auto"/>
            <w:vAlign w:val="center"/>
          </w:tcPr>
          <w:p w14:paraId="3BE3C2D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34.75%</w:t>
            </w:r>
          </w:p>
        </w:tc>
      </w:tr>
      <w:tr w14:paraId="0396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005DC3D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低楼层</w:t>
            </w:r>
          </w:p>
        </w:tc>
        <w:tc>
          <w:tcPr>
            <w:tcW w:w="2168" w:type="pct"/>
            <w:shd w:val="clear" w:color="auto" w:fill="auto"/>
            <w:vAlign w:val="center"/>
          </w:tcPr>
          <w:p w14:paraId="282EDE2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560</w:t>
            </w:r>
          </w:p>
        </w:tc>
        <w:tc>
          <w:tcPr>
            <w:tcW w:w="1350" w:type="pct"/>
            <w:shd w:val="clear" w:color="auto" w:fill="auto"/>
            <w:vAlign w:val="center"/>
          </w:tcPr>
          <w:p w14:paraId="290D703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30.60%</w:t>
            </w:r>
          </w:p>
        </w:tc>
      </w:tr>
      <w:tr w14:paraId="505B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482" w:type="pct"/>
            <w:shd w:val="clear" w:color="auto" w:fill="auto"/>
            <w:vAlign w:val="center"/>
          </w:tcPr>
          <w:p w14:paraId="43C5A24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shd w:val="clear" w:color="auto" w:fill="auto"/>
            <w:vAlign w:val="center"/>
          </w:tcPr>
          <w:p w14:paraId="0FF0202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shd w:val="clear" w:color="auto" w:fill="auto"/>
            <w:vAlign w:val="center"/>
          </w:tcPr>
          <w:p w14:paraId="0A0DD97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6E8CE05D">
      <w:pPr>
        <w:pStyle w:val="61"/>
        <w:overflowPunct w:val="0"/>
        <w:spacing w:before="240" w:beforeLines="10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615A6FB1">
        <w:tblPrEx>
          <w:tblCellMar>
            <w:top w:w="0" w:type="dxa"/>
            <w:left w:w="108" w:type="dxa"/>
            <w:bottom w:w="0" w:type="dxa"/>
            <w:right w:w="108" w:type="dxa"/>
          </w:tblCellMar>
        </w:tblPrEx>
        <w:trPr>
          <w:trHeight w:val="264"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884F6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朝向配比表</w:t>
            </w:r>
          </w:p>
        </w:tc>
      </w:tr>
      <w:tr w14:paraId="7DB08E5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657BB44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朝向</w:t>
            </w:r>
          </w:p>
        </w:tc>
        <w:tc>
          <w:tcPr>
            <w:tcW w:w="2168" w:type="pct"/>
            <w:tcBorders>
              <w:top w:val="nil"/>
              <w:left w:val="nil"/>
              <w:bottom w:val="single" w:color="auto" w:sz="4" w:space="0"/>
              <w:right w:val="single" w:color="auto" w:sz="4" w:space="0"/>
            </w:tcBorders>
            <w:shd w:val="clear" w:color="auto" w:fill="auto"/>
            <w:vAlign w:val="center"/>
          </w:tcPr>
          <w:p w14:paraId="55BF5BC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nil"/>
              <w:left w:val="nil"/>
              <w:bottom w:val="single" w:color="auto" w:sz="4" w:space="0"/>
              <w:right w:val="single" w:color="auto" w:sz="4" w:space="0"/>
            </w:tcBorders>
            <w:shd w:val="clear" w:color="auto" w:fill="auto"/>
            <w:vAlign w:val="center"/>
          </w:tcPr>
          <w:p w14:paraId="2931FC8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71D8D0D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951A99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w:t>
            </w:r>
          </w:p>
        </w:tc>
        <w:tc>
          <w:tcPr>
            <w:tcW w:w="2168" w:type="pct"/>
            <w:tcBorders>
              <w:top w:val="nil"/>
              <w:left w:val="nil"/>
              <w:bottom w:val="single" w:color="auto" w:sz="4" w:space="0"/>
              <w:right w:val="single" w:color="auto" w:sz="4" w:space="0"/>
            </w:tcBorders>
            <w:shd w:val="clear" w:color="auto" w:fill="auto"/>
            <w:vAlign w:val="center"/>
          </w:tcPr>
          <w:p w14:paraId="4CE5291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376</w:t>
            </w:r>
          </w:p>
        </w:tc>
        <w:tc>
          <w:tcPr>
            <w:tcW w:w="1350" w:type="pct"/>
            <w:tcBorders>
              <w:top w:val="nil"/>
              <w:left w:val="nil"/>
              <w:bottom w:val="single" w:color="auto" w:sz="4" w:space="0"/>
              <w:right w:val="single" w:color="auto" w:sz="4" w:space="0"/>
            </w:tcBorders>
            <w:shd w:val="clear" w:color="auto" w:fill="auto"/>
            <w:vAlign w:val="center"/>
          </w:tcPr>
          <w:p w14:paraId="0E65C8E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20.55%</w:t>
            </w:r>
          </w:p>
        </w:tc>
      </w:tr>
      <w:tr w14:paraId="224ED46C">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5D14F5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w:t>
            </w:r>
          </w:p>
        </w:tc>
        <w:tc>
          <w:tcPr>
            <w:tcW w:w="2168" w:type="pct"/>
            <w:tcBorders>
              <w:top w:val="nil"/>
              <w:left w:val="nil"/>
              <w:bottom w:val="single" w:color="auto" w:sz="4" w:space="0"/>
              <w:right w:val="single" w:color="auto" w:sz="4" w:space="0"/>
            </w:tcBorders>
            <w:shd w:val="clear" w:color="auto" w:fill="auto"/>
            <w:vAlign w:val="center"/>
          </w:tcPr>
          <w:p w14:paraId="69DD276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312</w:t>
            </w:r>
          </w:p>
        </w:tc>
        <w:tc>
          <w:tcPr>
            <w:tcW w:w="1350" w:type="pct"/>
            <w:tcBorders>
              <w:top w:val="nil"/>
              <w:left w:val="nil"/>
              <w:bottom w:val="single" w:color="auto" w:sz="4" w:space="0"/>
              <w:right w:val="single" w:color="auto" w:sz="4" w:space="0"/>
            </w:tcBorders>
            <w:shd w:val="clear" w:color="auto" w:fill="auto"/>
            <w:vAlign w:val="center"/>
          </w:tcPr>
          <w:p w14:paraId="643D64B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17.05%</w:t>
            </w:r>
          </w:p>
        </w:tc>
      </w:tr>
      <w:tr w14:paraId="07CCF47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4537EF5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东北</w:t>
            </w:r>
          </w:p>
        </w:tc>
        <w:tc>
          <w:tcPr>
            <w:tcW w:w="2168" w:type="pct"/>
            <w:tcBorders>
              <w:top w:val="nil"/>
              <w:left w:val="nil"/>
              <w:bottom w:val="single" w:color="auto" w:sz="4" w:space="0"/>
              <w:right w:val="single" w:color="auto" w:sz="4" w:space="0"/>
            </w:tcBorders>
            <w:shd w:val="clear" w:color="auto" w:fill="auto"/>
            <w:vAlign w:val="center"/>
          </w:tcPr>
          <w:p w14:paraId="0DE536E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2D78A13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00C2F27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CCBA2B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西北</w:t>
            </w:r>
          </w:p>
        </w:tc>
        <w:tc>
          <w:tcPr>
            <w:tcW w:w="2168" w:type="pct"/>
            <w:tcBorders>
              <w:top w:val="nil"/>
              <w:left w:val="nil"/>
              <w:bottom w:val="single" w:color="auto" w:sz="4" w:space="0"/>
              <w:right w:val="single" w:color="auto" w:sz="4" w:space="0"/>
            </w:tcBorders>
            <w:shd w:val="clear" w:color="auto" w:fill="auto"/>
            <w:vAlign w:val="center"/>
          </w:tcPr>
          <w:p w14:paraId="0B2E41B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87</w:t>
            </w:r>
          </w:p>
        </w:tc>
        <w:tc>
          <w:tcPr>
            <w:tcW w:w="1350" w:type="pct"/>
            <w:tcBorders>
              <w:top w:val="nil"/>
              <w:left w:val="nil"/>
              <w:bottom w:val="single" w:color="auto" w:sz="4" w:space="0"/>
              <w:right w:val="single" w:color="auto" w:sz="4" w:space="0"/>
            </w:tcBorders>
            <w:shd w:val="clear" w:color="auto" w:fill="auto"/>
            <w:vAlign w:val="center"/>
          </w:tcPr>
          <w:p w14:paraId="089CC1C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4.75%</w:t>
            </w:r>
          </w:p>
        </w:tc>
      </w:tr>
      <w:tr w14:paraId="500F615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1DDA7A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东南</w:t>
            </w:r>
          </w:p>
        </w:tc>
        <w:tc>
          <w:tcPr>
            <w:tcW w:w="2168" w:type="pct"/>
            <w:tcBorders>
              <w:top w:val="nil"/>
              <w:left w:val="nil"/>
              <w:bottom w:val="single" w:color="auto" w:sz="4" w:space="0"/>
              <w:right w:val="single" w:color="auto" w:sz="4" w:space="0"/>
            </w:tcBorders>
            <w:shd w:val="clear" w:color="auto" w:fill="auto"/>
            <w:vAlign w:val="center"/>
          </w:tcPr>
          <w:p w14:paraId="3F74E63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02B0B4A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58F34C46">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916AF1B">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西南</w:t>
            </w:r>
          </w:p>
        </w:tc>
        <w:tc>
          <w:tcPr>
            <w:tcW w:w="2168" w:type="pct"/>
            <w:tcBorders>
              <w:top w:val="nil"/>
              <w:left w:val="nil"/>
              <w:bottom w:val="single" w:color="auto" w:sz="4" w:space="0"/>
              <w:right w:val="single" w:color="auto" w:sz="4" w:space="0"/>
            </w:tcBorders>
            <w:shd w:val="clear" w:color="auto" w:fill="auto"/>
            <w:vAlign w:val="center"/>
          </w:tcPr>
          <w:p w14:paraId="7648A7D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88</w:t>
            </w:r>
          </w:p>
        </w:tc>
        <w:tc>
          <w:tcPr>
            <w:tcW w:w="1350" w:type="pct"/>
            <w:tcBorders>
              <w:top w:val="nil"/>
              <w:left w:val="nil"/>
              <w:bottom w:val="single" w:color="auto" w:sz="4" w:space="0"/>
              <w:right w:val="single" w:color="auto" w:sz="4" w:space="0"/>
            </w:tcBorders>
            <w:shd w:val="clear" w:color="auto" w:fill="auto"/>
            <w:vAlign w:val="center"/>
          </w:tcPr>
          <w:p w14:paraId="5C5C389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4.81%</w:t>
            </w:r>
          </w:p>
        </w:tc>
      </w:tr>
      <w:tr w14:paraId="4543AC0A">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8C1F05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w:t>
            </w:r>
          </w:p>
        </w:tc>
        <w:tc>
          <w:tcPr>
            <w:tcW w:w="2168" w:type="pct"/>
            <w:tcBorders>
              <w:top w:val="nil"/>
              <w:left w:val="nil"/>
              <w:bottom w:val="single" w:color="auto" w:sz="4" w:space="0"/>
              <w:right w:val="single" w:color="auto" w:sz="4" w:space="0"/>
            </w:tcBorders>
            <w:shd w:val="clear" w:color="auto" w:fill="auto"/>
            <w:vAlign w:val="center"/>
          </w:tcPr>
          <w:p w14:paraId="132E54C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435</w:t>
            </w:r>
          </w:p>
        </w:tc>
        <w:tc>
          <w:tcPr>
            <w:tcW w:w="1350" w:type="pct"/>
            <w:tcBorders>
              <w:top w:val="nil"/>
              <w:left w:val="nil"/>
              <w:bottom w:val="single" w:color="auto" w:sz="4" w:space="0"/>
              <w:right w:val="single" w:color="auto" w:sz="4" w:space="0"/>
            </w:tcBorders>
            <w:shd w:val="clear" w:color="auto" w:fill="auto"/>
            <w:vAlign w:val="center"/>
          </w:tcPr>
          <w:p w14:paraId="73775D5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23.77%</w:t>
            </w:r>
          </w:p>
        </w:tc>
      </w:tr>
      <w:tr w14:paraId="2F546545">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02BDDB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南北</w:t>
            </w:r>
          </w:p>
        </w:tc>
        <w:tc>
          <w:tcPr>
            <w:tcW w:w="2168" w:type="pct"/>
            <w:tcBorders>
              <w:top w:val="nil"/>
              <w:left w:val="nil"/>
              <w:bottom w:val="single" w:color="auto" w:sz="4" w:space="0"/>
              <w:right w:val="single" w:color="auto" w:sz="4" w:space="0"/>
            </w:tcBorders>
            <w:shd w:val="clear" w:color="auto" w:fill="auto"/>
            <w:vAlign w:val="center"/>
          </w:tcPr>
          <w:p w14:paraId="3DE5866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357</w:t>
            </w:r>
          </w:p>
        </w:tc>
        <w:tc>
          <w:tcPr>
            <w:tcW w:w="1350" w:type="pct"/>
            <w:tcBorders>
              <w:top w:val="nil"/>
              <w:left w:val="nil"/>
              <w:bottom w:val="single" w:color="auto" w:sz="4" w:space="0"/>
              <w:right w:val="single" w:color="auto" w:sz="4" w:space="0"/>
            </w:tcBorders>
            <w:shd w:val="clear" w:color="auto" w:fill="auto"/>
            <w:vAlign w:val="center"/>
          </w:tcPr>
          <w:p w14:paraId="2961FDD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19.51%</w:t>
            </w:r>
          </w:p>
        </w:tc>
      </w:tr>
      <w:tr w14:paraId="52A554D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3BDD01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33E431B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5454C20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2BB5DB49">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建筑面积</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4A5ED365">
        <w:tblPrEx>
          <w:tblCellMar>
            <w:top w:w="0" w:type="dxa"/>
            <w:left w:w="108" w:type="dxa"/>
            <w:bottom w:w="0" w:type="dxa"/>
            <w:right w:w="108" w:type="dxa"/>
          </w:tblCellMar>
        </w:tblPrEx>
        <w:trPr>
          <w:trHeight w:val="528"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7AAA450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建筑面积范围（平方米）</w:t>
            </w:r>
          </w:p>
        </w:tc>
        <w:tc>
          <w:tcPr>
            <w:tcW w:w="2168" w:type="pct"/>
            <w:tcBorders>
              <w:top w:val="single" w:color="auto" w:sz="4" w:space="0"/>
              <w:left w:val="nil"/>
              <w:bottom w:val="single" w:color="auto" w:sz="4" w:space="0"/>
              <w:right w:val="single" w:color="auto" w:sz="4" w:space="0"/>
            </w:tcBorders>
            <w:shd w:val="clear" w:color="auto" w:fill="auto"/>
            <w:vAlign w:val="center"/>
          </w:tcPr>
          <w:p w14:paraId="7127F32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24A789D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3EEBF211">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2E0939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30.04-32.61</w:t>
            </w:r>
          </w:p>
        </w:tc>
        <w:tc>
          <w:tcPr>
            <w:tcW w:w="2168" w:type="pct"/>
            <w:tcBorders>
              <w:top w:val="nil"/>
              <w:left w:val="nil"/>
              <w:bottom w:val="single" w:color="auto" w:sz="4" w:space="0"/>
              <w:right w:val="single" w:color="auto" w:sz="4" w:space="0"/>
            </w:tcBorders>
            <w:shd w:val="clear" w:color="auto" w:fill="auto"/>
            <w:vAlign w:val="center"/>
          </w:tcPr>
          <w:p w14:paraId="6C8A259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0AD23FF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70CC8ECF">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CB2572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41.49-50.94</w:t>
            </w:r>
          </w:p>
        </w:tc>
        <w:tc>
          <w:tcPr>
            <w:tcW w:w="2168" w:type="pct"/>
            <w:tcBorders>
              <w:top w:val="nil"/>
              <w:left w:val="nil"/>
              <w:bottom w:val="single" w:color="auto" w:sz="4" w:space="0"/>
              <w:right w:val="single" w:color="auto" w:sz="4" w:space="0"/>
            </w:tcBorders>
            <w:shd w:val="clear" w:color="auto" w:fill="auto"/>
            <w:vAlign w:val="center"/>
          </w:tcPr>
          <w:p w14:paraId="60C58ED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16059FB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52C2B219">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28F93E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57.9-61.95</w:t>
            </w:r>
          </w:p>
        </w:tc>
        <w:tc>
          <w:tcPr>
            <w:tcW w:w="2168" w:type="pct"/>
            <w:tcBorders>
              <w:top w:val="nil"/>
              <w:left w:val="nil"/>
              <w:bottom w:val="single" w:color="auto" w:sz="4" w:space="0"/>
              <w:right w:val="single" w:color="auto" w:sz="4" w:space="0"/>
            </w:tcBorders>
            <w:shd w:val="clear" w:color="auto" w:fill="auto"/>
            <w:vAlign w:val="center"/>
          </w:tcPr>
          <w:p w14:paraId="092A1D1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2FAB1EA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34882CAE">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23737F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6B6B7C4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158BF02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6726F15D">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户型</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3EBA2F58">
        <w:tblPrEx>
          <w:tblCellMar>
            <w:top w:w="0" w:type="dxa"/>
            <w:left w:w="108" w:type="dxa"/>
            <w:bottom w:w="0" w:type="dxa"/>
            <w:right w:w="108" w:type="dxa"/>
          </w:tblCellMar>
        </w:tblPrEx>
        <w:trPr>
          <w:trHeight w:val="264"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5C067B0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户型</w:t>
            </w:r>
          </w:p>
        </w:tc>
        <w:tc>
          <w:tcPr>
            <w:tcW w:w="2168" w:type="pct"/>
            <w:tcBorders>
              <w:top w:val="single" w:color="auto" w:sz="4" w:space="0"/>
              <w:left w:val="nil"/>
              <w:bottom w:val="single" w:color="auto" w:sz="4" w:space="0"/>
              <w:right w:val="single" w:color="auto" w:sz="4" w:space="0"/>
            </w:tcBorders>
            <w:shd w:val="clear" w:color="auto" w:fill="auto"/>
            <w:vAlign w:val="center"/>
          </w:tcPr>
          <w:p w14:paraId="7FAB0AF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5FCFB75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5193C88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07B7248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零居</w:t>
            </w:r>
          </w:p>
        </w:tc>
        <w:tc>
          <w:tcPr>
            <w:tcW w:w="2168" w:type="pct"/>
            <w:tcBorders>
              <w:top w:val="nil"/>
              <w:left w:val="nil"/>
              <w:bottom w:val="single" w:color="auto" w:sz="4" w:space="0"/>
              <w:right w:val="single" w:color="auto" w:sz="4" w:space="0"/>
            </w:tcBorders>
            <w:shd w:val="clear" w:color="auto" w:fill="auto"/>
            <w:vAlign w:val="center"/>
          </w:tcPr>
          <w:p w14:paraId="1801158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544</w:t>
            </w:r>
          </w:p>
        </w:tc>
        <w:tc>
          <w:tcPr>
            <w:tcW w:w="1350" w:type="pct"/>
            <w:tcBorders>
              <w:top w:val="nil"/>
              <w:left w:val="nil"/>
              <w:bottom w:val="single" w:color="auto" w:sz="4" w:space="0"/>
              <w:right w:val="single" w:color="auto" w:sz="4" w:space="0"/>
            </w:tcBorders>
            <w:shd w:val="clear" w:color="auto" w:fill="auto"/>
            <w:vAlign w:val="center"/>
          </w:tcPr>
          <w:p w14:paraId="7CA4992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29.73%</w:t>
            </w:r>
          </w:p>
        </w:tc>
      </w:tr>
      <w:tr w14:paraId="42F44EA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2D80C3C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一居</w:t>
            </w:r>
          </w:p>
        </w:tc>
        <w:tc>
          <w:tcPr>
            <w:tcW w:w="2168" w:type="pct"/>
            <w:tcBorders>
              <w:top w:val="nil"/>
              <w:left w:val="nil"/>
              <w:bottom w:val="single" w:color="auto" w:sz="4" w:space="0"/>
              <w:right w:val="single" w:color="auto" w:sz="4" w:space="0"/>
            </w:tcBorders>
            <w:shd w:val="clear" w:color="auto" w:fill="auto"/>
            <w:vAlign w:val="center"/>
          </w:tcPr>
          <w:p w14:paraId="3FE36FE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186</w:t>
            </w:r>
          </w:p>
        </w:tc>
        <w:tc>
          <w:tcPr>
            <w:tcW w:w="1350" w:type="pct"/>
            <w:tcBorders>
              <w:top w:val="nil"/>
              <w:left w:val="nil"/>
              <w:bottom w:val="single" w:color="auto" w:sz="4" w:space="0"/>
              <w:right w:val="single" w:color="auto" w:sz="4" w:space="0"/>
            </w:tcBorders>
            <w:shd w:val="clear" w:color="auto" w:fill="auto"/>
            <w:vAlign w:val="center"/>
          </w:tcPr>
          <w:p w14:paraId="1347C243">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10.16%</w:t>
            </w:r>
          </w:p>
        </w:tc>
      </w:tr>
      <w:tr w14:paraId="6C6B8EDE">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17AD72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两居</w:t>
            </w:r>
          </w:p>
        </w:tc>
        <w:tc>
          <w:tcPr>
            <w:tcW w:w="2168" w:type="pct"/>
            <w:tcBorders>
              <w:top w:val="nil"/>
              <w:left w:val="nil"/>
              <w:bottom w:val="single" w:color="auto" w:sz="4" w:space="0"/>
              <w:right w:val="single" w:color="auto" w:sz="4" w:space="0"/>
            </w:tcBorders>
            <w:shd w:val="clear" w:color="auto" w:fill="auto"/>
            <w:vAlign w:val="center"/>
          </w:tcPr>
          <w:p w14:paraId="509CD5A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1100</w:t>
            </w:r>
          </w:p>
        </w:tc>
        <w:tc>
          <w:tcPr>
            <w:tcW w:w="1350" w:type="pct"/>
            <w:tcBorders>
              <w:top w:val="nil"/>
              <w:left w:val="nil"/>
              <w:bottom w:val="single" w:color="auto" w:sz="4" w:space="0"/>
              <w:right w:val="single" w:color="auto" w:sz="4" w:space="0"/>
            </w:tcBorders>
            <w:shd w:val="clear" w:color="auto" w:fill="auto"/>
            <w:vAlign w:val="center"/>
          </w:tcPr>
          <w:p w14:paraId="2BBC288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60.11%</w:t>
            </w:r>
          </w:p>
        </w:tc>
      </w:tr>
      <w:tr w14:paraId="445A48F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7554D3F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52543AD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0462260C">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56AE04D2">
      <w:pPr>
        <w:pStyle w:val="61"/>
        <w:overflowPunct w:val="0"/>
        <w:spacing w:before="240" w:beforeLines="100" w:line="360" w:lineRule="auto"/>
        <w:ind w:right="142"/>
        <w:jc w:val="center"/>
        <w:textAlignment w:val="auto"/>
        <w:rPr>
          <w:rFonts w:ascii="Arial" w:hAnsi="Arial" w:cs="Arial"/>
          <w:sz w:val="21"/>
          <w:szCs w:val="21"/>
        </w:rPr>
      </w:pPr>
      <w:r>
        <w:rPr>
          <w:rFonts w:hint="eastAsia" w:ascii="Arial" w:hAnsi="Arial" w:cs="Arial"/>
          <w:b/>
          <w:sz w:val="21"/>
          <w:szCs w:val="21"/>
        </w:rPr>
        <w:t>梯户比</w:t>
      </w:r>
      <w:r>
        <w:rPr>
          <w:rFonts w:ascii="Arial" w:hAnsi="Arial" w:cs="Arial"/>
          <w:b/>
          <w:sz w:val="21"/>
          <w:szCs w:val="21"/>
        </w:rPr>
        <w:t>配比表</w:t>
      </w:r>
    </w:p>
    <w:tbl>
      <w:tblPr>
        <w:tblStyle w:val="23"/>
        <w:tblW w:w="5000" w:type="pct"/>
        <w:tblInd w:w="0" w:type="dxa"/>
        <w:tblLayout w:type="autofit"/>
        <w:tblCellMar>
          <w:top w:w="0" w:type="dxa"/>
          <w:left w:w="108" w:type="dxa"/>
          <w:bottom w:w="0" w:type="dxa"/>
          <w:right w:w="108" w:type="dxa"/>
        </w:tblCellMar>
      </w:tblPr>
      <w:tblGrid>
        <w:gridCol w:w="2820"/>
        <w:gridCol w:w="4126"/>
        <w:gridCol w:w="2569"/>
      </w:tblGrid>
      <w:tr w14:paraId="519F0F13">
        <w:tblPrEx>
          <w:tblCellMar>
            <w:top w:w="0" w:type="dxa"/>
            <w:left w:w="108" w:type="dxa"/>
            <w:bottom w:w="0" w:type="dxa"/>
            <w:right w:w="108" w:type="dxa"/>
          </w:tblCellMar>
        </w:tblPrEx>
        <w:trPr>
          <w:trHeight w:val="264" w:hRule="atLeast"/>
        </w:trPr>
        <w:tc>
          <w:tcPr>
            <w:tcW w:w="1482" w:type="pct"/>
            <w:tcBorders>
              <w:top w:val="single" w:color="auto" w:sz="4" w:space="0"/>
              <w:left w:val="single" w:color="auto" w:sz="4" w:space="0"/>
              <w:bottom w:val="single" w:color="auto" w:sz="4" w:space="0"/>
              <w:right w:val="single" w:color="auto" w:sz="4" w:space="0"/>
            </w:tcBorders>
            <w:shd w:val="clear" w:color="auto" w:fill="auto"/>
            <w:vAlign w:val="center"/>
          </w:tcPr>
          <w:p w14:paraId="6CFBC50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梯户比</w:t>
            </w:r>
          </w:p>
        </w:tc>
        <w:tc>
          <w:tcPr>
            <w:tcW w:w="2168" w:type="pct"/>
            <w:tcBorders>
              <w:top w:val="single" w:color="auto" w:sz="4" w:space="0"/>
              <w:left w:val="nil"/>
              <w:bottom w:val="single" w:color="auto" w:sz="4" w:space="0"/>
              <w:right w:val="single" w:color="auto" w:sz="4" w:space="0"/>
            </w:tcBorders>
            <w:shd w:val="clear" w:color="auto" w:fill="auto"/>
            <w:vAlign w:val="center"/>
          </w:tcPr>
          <w:p w14:paraId="11C1939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套数（套）</w:t>
            </w:r>
          </w:p>
        </w:tc>
        <w:tc>
          <w:tcPr>
            <w:tcW w:w="1350" w:type="pct"/>
            <w:tcBorders>
              <w:top w:val="single" w:color="auto" w:sz="4" w:space="0"/>
              <w:left w:val="nil"/>
              <w:bottom w:val="single" w:color="auto" w:sz="4" w:space="0"/>
              <w:right w:val="single" w:color="auto" w:sz="4" w:space="0"/>
            </w:tcBorders>
            <w:shd w:val="clear" w:color="auto" w:fill="auto"/>
            <w:vAlign w:val="center"/>
          </w:tcPr>
          <w:p w14:paraId="4A48458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配比</w:t>
            </w:r>
          </w:p>
        </w:tc>
      </w:tr>
      <w:tr w14:paraId="38B6BE40">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E1221F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两梯六户</w:t>
            </w:r>
          </w:p>
        </w:tc>
        <w:tc>
          <w:tcPr>
            <w:tcW w:w="2168" w:type="pct"/>
            <w:tcBorders>
              <w:top w:val="nil"/>
              <w:left w:val="nil"/>
              <w:bottom w:val="single" w:color="auto" w:sz="4" w:space="0"/>
              <w:right w:val="single" w:color="auto" w:sz="4" w:space="0"/>
            </w:tcBorders>
            <w:shd w:val="clear" w:color="auto" w:fill="auto"/>
            <w:vAlign w:val="center"/>
          </w:tcPr>
          <w:p w14:paraId="78AF0229">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720</w:t>
            </w:r>
          </w:p>
        </w:tc>
        <w:tc>
          <w:tcPr>
            <w:tcW w:w="1350" w:type="pct"/>
            <w:tcBorders>
              <w:top w:val="nil"/>
              <w:left w:val="nil"/>
              <w:bottom w:val="single" w:color="auto" w:sz="4" w:space="0"/>
              <w:right w:val="single" w:color="auto" w:sz="4" w:space="0"/>
            </w:tcBorders>
            <w:shd w:val="clear" w:color="auto" w:fill="auto"/>
            <w:vAlign w:val="center"/>
          </w:tcPr>
          <w:p w14:paraId="6CF2C685">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39.34%</w:t>
            </w:r>
          </w:p>
        </w:tc>
      </w:tr>
      <w:tr w14:paraId="58F0497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55AD604F">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两梯五户</w:t>
            </w:r>
          </w:p>
        </w:tc>
        <w:tc>
          <w:tcPr>
            <w:tcW w:w="2168" w:type="pct"/>
            <w:tcBorders>
              <w:top w:val="nil"/>
              <w:left w:val="nil"/>
              <w:bottom w:val="single" w:color="auto" w:sz="4" w:space="0"/>
              <w:right w:val="single" w:color="auto" w:sz="4" w:space="0"/>
            </w:tcBorders>
            <w:shd w:val="clear" w:color="auto" w:fill="auto"/>
            <w:vAlign w:val="center"/>
          </w:tcPr>
          <w:p w14:paraId="7754A657">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494</w:t>
            </w:r>
          </w:p>
        </w:tc>
        <w:tc>
          <w:tcPr>
            <w:tcW w:w="1350" w:type="pct"/>
            <w:tcBorders>
              <w:top w:val="nil"/>
              <w:left w:val="nil"/>
              <w:bottom w:val="single" w:color="auto" w:sz="4" w:space="0"/>
              <w:right w:val="single" w:color="auto" w:sz="4" w:space="0"/>
            </w:tcBorders>
            <w:shd w:val="clear" w:color="auto" w:fill="auto"/>
            <w:vAlign w:val="center"/>
          </w:tcPr>
          <w:p w14:paraId="057E4A2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26.99%</w:t>
            </w:r>
          </w:p>
        </w:tc>
      </w:tr>
      <w:tr w14:paraId="076E8A0B">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153FE92D">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两梯四户</w:t>
            </w:r>
          </w:p>
        </w:tc>
        <w:tc>
          <w:tcPr>
            <w:tcW w:w="2168" w:type="pct"/>
            <w:tcBorders>
              <w:top w:val="nil"/>
              <w:left w:val="nil"/>
              <w:bottom w:val="single" w:color="auto" w:sz="4" w:space="0"/>
              <w:right w:val="single" w:color="auto" w:sz="4" w:space="0"/>
            </w:tcBorders>
            <w:shd w:val="clear" w:color="auto" w:fill="auto"/>
            <w:vAlign w:val="center"/>
          </w:tcPr>
          <w:p w14:paraId="4FE10FA1">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8</w:t>
            </w:r>
          </w:p>
        </w:tc>
        <w:tc>
          <w:tcPr>
            <w:tcW w:w="1350" w:type="pct"/>
            <w:tcBorders>
              <w:top w:val="nil"/>
              <w:left w:val="nil"/>
              <w:bottom w:val="single" w:color="auto" w:sz="4" w:space="0"/>
              <w:right w:val="single" w:color="auto" w:sz="4" w:space="0"/>
            </w:tcBorders>
            <w:shd w:val="clear" w:color="auto" w:fill="auto"/>
            <w:vAlign w:val="center"/>
          </w:tcPr>
          <w:p w14:paraId="08217ABE">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0.44%</w:t>
            </w:r>
          </w:p>
        </w:tc>
      </w:tr>
      <w:tr w14:paraId="3330A42D">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36B27242">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六梯三十八户</w:t>
            </w:r>
          </w:p>
        </w:tc>
        <w:tc>
          <w:tcPr>
            <w:tcW w:w="2168" w:type="pct"/>
            <w:tcBorders>
              <w:top w:val="nil"/>
              <w:left w:val="nil"/>
              <w:bottom w:val="single" w:color="auto" w:sz="4" w:space="0"/>
              <w:right w:val="single" w:color="auto" w:sz="4" w:space="0"/>
            </w:tcBorders>
            <w:shd w:val="clear" w:color="auto" w:fill="auto"/>
            <w:vAlign w:val="center"/>
          </w:tcPr>
          <w:p w14:paraId="76D61288">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608</w:t>
            </w:r>
          </w:p>
        </w:tc>
        <w:tc>
          <w:tcPr>
            <w:tcW w:w="1350" w:type="pct"/>
            <w:tcBorders>
              <w:top w:val="nil"/>
              <w:left w:val="nil"/>
              <w:bottom w:val="single" w:color="auto" w:sz="4" w:space="0"/>
              <w:right w:val="single" w:color="auto" w:sz="4" w:space="0"/>
            </w:tcBorders>
            <w:shd w:val="clear" w:color="auto" w:fill="auto"/>
            <w:vAlign w:val="center"/>
          </w:tcPr>
          <w:p w14:paraId="0D91F354">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33.22%</w:t>
            </w:r>
          </w:p>
        </w:tc>
      </w:tr>
      <w:tr w14:paraId="04EB1E67">
        <w:tblPrEx>
          <w:tblCellMar>
            <w:top w:w="0" w:type="dxa"/>
            <w:left w:w="108" w:type="dxa"/>
            <w:bottom w:w="0" w:type="dxa"/>
            <w:right w:w="108" w:type="dxa"/>
          </w:tblCellMar>
        </w:tblPrEx>
        <w:trPr>
          <w:trHeight w:val="264" w:hRule="atLeast"/>
        </w:trPr>
        <w:tc>
          <w:tcPr>
            <w:tcW w:w="1482" w:type="pct"/>
            <w:tcBorders>
              <w:top w:val="nil"/>
              <w:left w:val="single" w:color="auto" w:sz="4" w:space="0"/>
              <w:bottom w:val="single" w:color="auto" w:sz="4" w:space="0"/>
              <w:right w:val="single" w:color="auto" w:sz="4" w:space="0"/>
            </w:tcBorders>
            <w:shd w:val="clear" w:color="auto" w:fill="auto"/>
            <w:vAlign w:val="center"/>
          </w:tcPr>
          <w:p w14:paraId="6C1710D6">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合计</w:t>
            </w:r>
          </w:p>
        </w:tc>
        <w:tc>
          <w:tcPr>
            <w:tcW w:w="2168" w:type="pct"/>
            <w:tcBorders>
              <w:top w:val="nil"/>
              <w:left w:val="nil"/>
              <w:bottom w:val="single" w:color="auto" w:sz="4" w:space="0"/>
              <w:right w:val="single" w:color="auto" w:sz="4" w:space="0"/>
            </w:tcBorders>
            <w:shd w:val="clear" w:color="auto" w:fill="auto"/>
            <w:vAlign w:val="center"/>
          </w:tcPr>
          <w:p w14:paraId="4BEDCE50">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1830</w:t>
            </w:r>
          </w:p>
        </w:tc>
        <w:tc>
          <w:tcPr>
            <w:tcW w:w="1350" w:type="pct"/>
            <w:tcBorders>
              <w:top w:val="nil"/>
              <w:left w:val="nil"/>
              <w:bottom w:val="single" w:color="auto" w:sz="4" w:space="0"/>
              <w:right w:val="single" w:color="auto" w:sz="4" w:space="0"/>
            </w:tcBorders>
            <w:shd w:val="clear" w:color="auto" w:fill="auto"/>
            <w:vAlign w:val="center"/>
          </w:tcPr>
          <w:p w14:paraId="7D10B48A">
            <w:pPr>
              <w:widowControl/>
              <w:adjustRightInd/>
              <w:spacing w:line="240" w:lineRule="auto"/>
              <w:jc w:val="center"/>
              <w:textAlignment w:val="auto"/>
              <w:rPr>
                <w:rFonts w:ascii="等线" w:hAnsi="等线" w:eastAsia="等线" w:cs="宋体"/>
                <w:color w:val="000000"/>
                <w:sz w:val="20"/>
              </w:rPr>
            </w:pPr>
            <w:r>
              <w:rPr>
                <w:rFonts w:hint="eastAsia" w:ascii="等线" w:hAnsi="等线" w:eastAsia="等线" w:cs="宋体"/>
                <w:color w:val="000000"/>
                <w:sz w:val="20"/>
              </w:rPr>
              <w:t>100.00%</w:t>
            </w:r>
          </w:p>
        </w:tc>
      </w:tr>
    </w:tbl>
    <w:p w14:paraId="4AFA0A18">
      <w:pPr>
        <w:pStyle w:val="61"/>
        <w:wordWrap w:val="0"/>
        <w:overflowPunct w:val="0"/>
        <w:spacing w:before="120" w:beforeLines="5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参照《关于发布&lt;北京市公共租赁住房项目市场租金评估技术指引&gt;的通知》[北估秘[2019]020号]，公共租赁住房项目市场租金采取标准房进行评估。标准房是指参照被评估公共租赁住房项目的户型、面积、朝向、楼层、装修及设备等因素按照众数原则设定的房屋状况。</w:t>
      </w:r>
    </w:p>
    <w:p w14:paraId="724A98F3">
      <w:pPr>
        <w:pStyle w:val="61"/>
        <w:wordWrap w:val="0"/>
        <w:overflowPunct w:val="0"/>
        <w:spacing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根据《燕保·高米店家园项目房源表》及上述楼层、朝向、面积、户型、梯户比等配比情况，本次估价按照众数原则设定具有代表性的标准房屋，具体标准房详见下表:</w:t>
      </w:r>
    </w:p>
    <w:p w14:paraId="32DAA1BB">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200EC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087B5BBA">
            <w:pPr>
              <w:overflowPunct w:val="0"/>
              <w:spacing w:line="240" w:lineRule="atLeast"/>
              <w:jc w:val="center"/>
              <w:rPr>
                <w:rFonts w:ascii="宋体" w:hAnsi="宋体" w:cs="Arial"/>
                <w:kern w:val="2"/>
                <w:sz w:val="21"/>
                <w:szCs w:val="21"/>
              </w:rPr>
            </w:pPr>
            <w:r>
              <w:rPr>
                <w:rFonts w:ascii="宋体" w:hAnsi="宋体" w:cs="Arial"/>
                <w:kern w:val="2"/>
                <w:sz w:val="21"/>
                <w:szCs w:val="21"/>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7F7AAB69">
            <w:pPr>
              <w:overflowPunct w:val="0"/>
              <w:spacing w:line="240" w:lineRule="atLeast"/>
              <w:jc w:val="center"/>
              <w:rPr>
                <w:rFonts w:ascii="宋体" w:hAnsi="宋体" w:cs="Arial"/>
                <w:kern w:val="2"/>
                <w:sz w:val="21"/>
                <w:szCs w:val="21"/>
              </w:rPr>
            </w:pPr>
            <w:r>
              <w:rPr>
                <w:rFonts w:ascii="宋体" w:hAnsi="宋体" w:cs="Arial"/>
                <w:kern w:val="2"/>
                <w:sz w:val="21"/>
                <w:szCs w:val="21"/>
              </w:rPr>
              <w:t>设定标准</w:t>
            </w:r>
          </w:p>
        </w:tc>
      </w:tr>
      <w:tr w14:paraId="1CF50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21658B3">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hint="eastAsia" w:ascii="宋体" w:hAnsi="宋体" w:cs="Arial"/>
                <w:kern w:val="2"/>
                <w:sz w:val="21"/>
                <w:szCs w:val="21"/>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5E55CF0D">
            <w:pPr>
              <w:overflowPunct w:val="0"/>
              <w:spacing w:line="240" w:lineRule="atLeast"/>
              <w:jc w:val="center"/>
              <w:rPr>
                <w:rFonts w:ascii="宋体" w:hAnsi="宋体" w:cs="Arial"/>
                <w:kern w:val="2"/>
                <w:sz w:val="21"/>
                <w:szCs w:val="21"/>
              </w:rPr>
            </w:pPr>
            <w:r>
              <w:rPr>
                <w:rFonts w:ascii="宋体" w:hAnsi="宋体" w:cs="Arial"/>
                <w:kern w:val="2"/>
                <w:sz w:val="21"/>
                <w:szCs w:val="21"/>
              </w:rPr>
              <w:t>中楼层</w:t>
            </w:r>
            <w:r>
              <w:rPr>
                <w:rFonts w:hint="eastAsia" w:ascii="宋体" w:hAnsi="宋体" w:cs="Arial"/>
                <w:kern w:val="2"/>
                <w:sz w:val="21"/>
                <w:szCs w:val="21"/>
              </w:rPr>
              <w:t>/1</w:t>
            </w:r>
            <w:r>
              <w:rPr>
                <w:rFonts w:ascii="宋体" w:hAnsi="宋体" w:cs="Arial"/>
                <w:kern w:val="2"/>
                <w:sz w:val="21"/>
                <w:szCs w:val="21"/>
              </w:rPr>
              <w:t>8</w:t>
            </w:r>
            <w:r>
              <w:rPr>
                <w:rFonts w:hint="eastAsia" w:ascii="宋体" w:hAnsi="宋体" w:cs="Arial"/>
                <w:kern w:val="2"/>
                <w:sz w:val="21"/>
                <w:szCs w:val="21"/>
              </w:rPr>
              <w:t>层</w:t>
            </w:r>
          </w:p>
        </w:tc>
      </w:tr>
      <w:tr w14:paraId="0EA77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7E4D855C">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7F0219DF">
            <w:pPr>
              <w:overflowPunct w:val="0"/>
              <w:spacing w:line="240" w:lineRule="atLeast"/>
              <w:jc w:val="center"/>
              <w:rPr>
                <w:rFonts w:ascii="宋体" w:hAnsi="宋体" w:cs="Arial"/>
                <w:kern w:val="2"/>
                <w:sz w:val="21"/>
                <w:szCs w:val="21"/>
              </w:rPr>
            </w:pPr>
            <w:r>
              <w:rPr>
                <w:rFonts w:hint="eastAsia" w:ascii="宋体" w:hAnsi="宋体" w:cs="Arial"/>
                <w:kern w:val="2"/>
                <w:sz w:val="21"/>
                <w:szCs w:val="21"/>
              </w:rPr>
              <w:t>南</w:t>
            </w:r>
          </w:p>
        </w:tc>
      </w:tr>
      <w:tr w14:paraId="7D0CB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4AC6518A">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3532E876">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hint="eastAsia" w:ascii="宋体" w:hAnsi="宋体" w:cs="Arial"/>
                <w:kern w:val="2"/>
                <w:sz w:val="21"/>
                <w:szCs w:val="21"/>
              </w:rPr>
              <w:t>-</w:t>
            </w:r>
            <w:r>
              <w:rPr>
                <w:rFonts w:ascii="宋体" w:hAnsi="宋体" w:cs="Arial"/>
                <w:kern w:val="2"/>
                <w:sz w:val="21"/>
                <w:szCs w:val="21"/>
              </w:rPr>
              <w:t>61.95</w:t>
            </w:r>
          </w:p>
        </w:tc>
      </w:tr>
      <w:tr w14:paraId="3037B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C8AA5A2">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1E013AC1">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14:paraId="678B4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587A9CC">
            <w:pPr>
              <w:overflowPunct w:val="0"/>
              <w:spacing w:line="240" w:lineRule="atLeast"/>
              <w:jc w:val="center"/>
              <w:rPr>
                <w:rFonts w:ascii="宋体" w:hAnsi="宋体" w:cs="Arial"/>
                <w:kern w:val="2"/>
                <w:sz w:val="21"/>
                <w:szCs w:val="21"/>
              </w:rPr>
            </w:pPr>
            <w:r>
              <w:rPr>
                <w:rFonts w:hint="eastAsia" w:ascii="宋体" w:hAnsi="宋体" w:cs="Arial"/>
                <w:kern w:val="2"/>
                <w:sz w:val="21"/>
                <w:szCs w:val="21"/>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2089F511">
            <w:pPr>
              <w:overflowPunct w:val="0"/>
              <w:spacing w:line="240" w:lineRule="atLeast"/>
              <w:jc w:val="center"/>
              <w:rPr>
                <w:rFonts w:ascii="宋体" w:hAnsi="宋体" w:cs="Arial"/>
                <w:kern w:val="2"/>
                <w:sz w:val="21"/>
                <w:szCs w:val="21"/>
              </w:rPr>
            </w:pPr>
            <w:r>
              <w:rPr>
                <w:rFonts w:hint="eastAsia" w:ascii="宋体" w:hAnsi="宋体" w:cs="Arial"/>
                <w:kern w:val="2"/>
                <w:sz w:val="21"/>
                <w:szCs w:val="21"/>
              </w:rPr>
              <w:t>两居室</w:t>
            </w:r>
          </w:p>
        </w:tc>
      </w:tr>
      <w:tr w14:paraId="7E9F2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62D61F7">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76142A14">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4E7CD670">
      <w:pPr>
        <w:pStyle w:val="61"/>
        <w:wordWrap w:val="0"/>
        <w:overflowPunct w:val="0"/>
        <w:autoSpaceDE w:val="0"/>
        <w:autoSpaceDN w:val="0"/>
        <w:spacing w:before="120" w:beforeLines="5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将所选可比小区与</w:t>
      </w:r>
      <w:r>
        <w:rPr>
          <w:rFonts w:hint="eastAsia" w:ascii="Arial" w:hAnsi="Arial" w:cs="Arial"/>
          <w:sz w:val="21"/>
          <w:szCs w:val="21"/>
        </w:rPr>
        <w:t>估价</w:t>
      </w:r>
      <w:r>
        <w:rPr>
          <w:rFonts w:ascii="Arial" w:hAnsi="Arial" w:cs="Arial"/>
          <w:sz w:val="21"/>
          <w:szCs w:val="21"/>
        </w:rPr>
        <w:t>对象公共租赁住房标准房进行比较，进行区位状况调整和实物状况调整，</w:t>
      </w:r>
      <w:r>
        <w:rPr>
          <w:rFonts w:hint="eastAsia" w:ascii="Arial" w:hAnsi="Arial" w:cs="Arial"/>
          <w:sz w:val="21"/>
          <w:szCs w:val="21"/>
        </w:rPr>
        <w:t>计算各可比实例比准租金，得到估价对象标准房租金水平。</w:t>
      </w:r>
    </w:p>
    <w:p w14:paraId="50EFB5D3">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本次选用</w:t>
      </w:r>
      <w:r>
        <w:rPr>
          <w:rFonts w:hint="eastAsia" w:ascii="Arial" w:hAnsi="Arial" w:cs="Arial"/>
          <w:sz w:val="21"/>
          <w:szCs w:val="21"/>
        </w:rPr>
        <w:t>成本法评估结果对公共租赁住房项目的成本收益进行分析。</w:t>
      </w:r>
    </w:p>
    <w:p w14:paraId="171F3885">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Arial"/>
          <w:sz w:val="21"/>
          <w:szCs w:val="21"/>
        </w:rPr>
        <w:t>（1）</w:t>
      </w:r>
      <w:r>
        <w:rPr>
          <w:rFonts w:hint="eastAsia" w:ascii="Arial" w:hAnsi="Arial" w:cs="Arial"/>
          <w:sz w:val="21"/>
          <w:szCs w:val="21"/>
        </w:rPr>
        <w:t>公共租赁住房项目由建设、运营和管理费用构成。</w:t>
      </w:r>
    </w:p>
    <w:p w14:paraId="23C80A21">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（2）</w:t>
      </w:r>
      <w:r>
        <w:rPr>
          <w:rFonts w:hint="eastAsia" w:ascii="Arial" w:hAnsi="Arial" w:cs="Arial"/>
          <w:sz w:val="21"/>
          <w:szCs w:val="21"/>
        </w:rPr>
        <w:t>估价对象建设费用为开发建设成本，运营费用由维修费、保险费、物业费构成，管理成本由管理费、利息和利润构成。</w:t>
      </w:r>
    </w:p>
    <w:p w14:paraId="4C395639">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（3）本次采用成本静态分析，测算估价对象公共租赁住房项目每月发生的实际成本。即：</w:t>
      </w:r>
    </w:p>
    <w:p w14:paraId="4EADB86D">
      <w:pPr>
        <w:pStyle w:val="61"/>
        <w:wordWrap w:val="0"/>
        <w:overflowPunct w:val="0"/>
        <w:autoSpaceDE w:val="0"/>
        <w:autoSpaceDN w:val="0"/>
        <w:spacing w:line="480" w:lineRule="auto"/>
        <w:ind w:right="140" w:firstLine="420" w:firstLineChars="200"/>
        <w:jc w:val="both"/>
        <w:textAlignment w:val="auto"/>
        <w:rPr>
          <w:rFonts w:hAnsi="宋体" w:cs="Arial"/>
          <w:sz w:val="21"/>
          <w:szCs w:val="21"/>
        </w:rPr>
      </w:pPr>
      <w:r>
        <w:rPr>
          <w:rFonts w:hint="eastAsia" w:hAnsi="宋体" w:cs="Arial"/>
          <w:sz w:val="21"/>
          <w:szCs w:val="21"/>
        </w:rPr>
        <w:t>月成本收益=（年折旧及摊销成本+年运营成本+年管理成本）÷（公租房项目建筑面积×12 个月）</w:t>
      </w:r>
    </w:p>
    <w:p w14:paraId="798900C4">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Arial"/>
          <w:sz w:val="21"/>
          <w:szCs w:val="21"/>
        </w:rPr>
        <w:t>其中年折旧及摊销成本=收购费用÷非生产用房经济耐用年限</w:t>
      </w:r>
    </w:p>
    <w:p w14:paraId="17EF50DF">
      <w:pPr>
        <w:pStyle w:val="61"/>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52FE439E">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588D254C">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p>
    <w:p w14:paraId="39DCABAD">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2.采用成本法的理由：</w:t>
      </w:r>
    </w:p>
    <w:p w14:paraId="61B2E83C">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估价对象成本具有可获得性，且有一定的参考价值。通过测算项目各种成本，并进行成本静态分析，测算公共租赁住房项目每月发生的实际成本。</w:t>
      </w:r>
    </w:p>
    <w:p w14:paraId="27841E37">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3.不采用假设开发法、收益法的理由：</w:t>
      </w:r>
    </w:p>
    <w:p w14:paraId="1287E459">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（1）假设开发法可评估房地产市场价值，但不适于租赁价格的评估。</w:t>
      </w:r>
    </w:p>
    <w:p w14:paraId="024FDEF0">
      <w:pPr>
        <w:pStyle w:val="61"/>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2）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 采用房屋交易价格测算出的房屋租金不能反映正常的市场租金水平，故未采用收益法。</w:t>
      </w:r>
    </w:p>
    <w:p w14:paraId="4D283DEE">
      <w:pPr>
        <w:pStyle w:val="61"/>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1BDCBBC4">
      <w:pPr>
        <w:pStyle w:val="61"/>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1.比较法计算公式为：</w:t>
      </w:r>
    </w:p>
    <w:p w14:paraId="7E1C12AF">
      <w:pPr>
        <w:pStyle w:val="61"/>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1605C487">
      <w:pPr>
        <w:pStyle w:val="61"/>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765139BE">
      <w:pPr>
        <w:pStyle w:val="61"/>
        <w:wordWrap w:val="0"/>
        <w:overflowPunct w:val="0"/>
        <w:autoSpaceDE w:val="0"/>
        <w:autoSpaceDN w:val="0"/>
        <w:spacing w:line="480" w:lineRule="auto"/>
        <w:ind w:right="140" w:firstLine="315" w:firstLineChars="150"/>
        <w:jc w:val="both"/>
        <w:textAlignment w:val="auto"/>
        <w:rPr>
          <w:rFonts w:ascii="Arial" w:hAnsi="Arial" w:cs="Arial"/>
          <w:sz w:val="21"/>
          <w:szCs w:val="21"/>
        </w:rPr>
      </w:pPr>
      <w:r>
        <w:rPr>
          <w:rFonts w:hint="eastAsia" w:ascii="Arial" w:hAnsi="Arial" w:cs="Arial"/>
          <w:sz w:val="21"/>
          <w:szCs w:val="21"/>
        </w:rPr>
        <w:t>（1）选择可比案例</w:t>
      </w:r>
    </w:p>
    <w:p w14:paraId="252131E6">
      <w:pPr>
        <w:wordWrap w:val="0"/>
        <w:overflowPunct w:val="0"/>
        <w:spacing w:line="480" w:lineRule="auto"/>
        <w:ind w:left="780"/>
        <w:rPr>
          <w:rFonts w:ascii="Arial" w:hAnsi="Arial"/>
          <w:sz w:val="21"/>
          <w:szCs w:val="21"/>
        </w:rPr>
      </w:pPr>
      <w:r>
        <w:rPr>
          <w:rFonts w:hint="eastAsia" w:ascii="Arial" w:hAnsi="Arial"/>
          <w:sz w:val="21"/>
          <w:szCs w:val="21"/>
        </w:rPr>
        <w:t>1）选择可比案例</w:t>
      </w:r>
    </w:p>
    <w:p w14:paraId="05841269">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36C2EF0E">
      <w:pPr>
        <w:wordWrap w:val="0"/>
        <w:overflowPunct w:val="0"/>
        <w:spacing w:line="480" w:lineRule="auto"/>
        <w:ind w:left="780"/>
        <w:rPr>
          <w:rFonts w:ascii="Arial" w:hAnsi="Arial"/>
          <w:sz w:val="21"/>
          <w:szCs w:val="21"/>
        </w:rPr>
      </w:pPr>
      <w:r>
        <w:rPr>
          <w:rFonts w:hint="eastAsia" w:ascii="Arial" w:hAnsi="Arial"/>
          <w:sz w:val="21"/>
          <w:szCs w:val="21"/>
        </w:rPr>
        <w:t>A.用途相同</w:t>
      </w:r>
    </w:p>
    <w:p w14:paraId="6F59CCAA">
      <w:pPr>
        <w:wordWrap w:val="0"/>
        <w:overflowPunct w:val="0"/>
        <w:spacing w:line="480" w:lineRule="auto"/>
        <w:ind w:left="780"/>
        <w:rPr>
          <w:rFonts w:ascii="Arial" w:hAnsi="Arial"/>
          <w:sz w:val="21"/>
          <w:szCs w:val="21"/>
        </w:rPr>
      </w:pPr>
      <w:r>
        <w:rPr>
          <w:rFonts w:hint="eastAsia" w:ascii="Arial" w:hAnsi="Arial"/>
          <w:sz w:val="21"/>
          <w:szCs w:val="21"/>
        </w:rPr>
        <w:t>B.属于正常交易</w:t>
      </w:r>
    </w:p>
    <w:p w14:paraId="630D9B21">
      <w:pPr>
        <w:wordWrap w:val="0"/>
        <w:overflowPunct w:val="0"/>
        <w:spacing w:line="480" w:lineRule="auto"/>
        <w:ind w:left="780"/>
        <w:rPr>
          <w:rFonts w:ascii="Arial" w:hAnsi="Arial"/>
          <w:sz w:val="21"/>
          <w:szCs w:val="21"/>
        </w:rPr>
      </w:pPr>
      <w:r>
        <w:rPr>
          <w:rFonts w:hint="eastAsia" w:ascii="Arial" w:hAnsi="Arial"/>
          <w:sz w:val="21"/>
          <w:szCs w:val="21"/>
        </w:rPr>
        <w:t>C.房地产状况各因素相近</w:t>
      </w:r>
    </w:p>
    <w:p w14:paraId="1C05271E">
      <w:pPr>
        <w:wordWrap w:val="0"/>
        <w:overflowPunct w:val="0"/>
        <w:spacing w:line="480" w:lineRule="auto"/>
        <w:ind w:left="780"/>
        <w:rPr>
          <w:rFonts w:ascii="Arial" w:hAnsi="Arial"/>
          <w:sz w:val="21"/>
          <w:szCs w:val="21"/>
        </w:rPr>
      </w:pPr>
      <w:r>
        <w:rPr>
          <w:rFonts w:hint="eastAsia" w:ascii="Arial" w:hAnsi="Arial"/>
          <w:sz w:val="21"/>
          <w:szCs w:val="21"/>
        </w:rPr>
        <w:t>D.价值时点接近</w:t>
      </w:r>
    </w:p>
    <w:p w14:paraId="0CBA737B">
      <w:pPr>
        <w:wordWrap w:val="0"/>
        <w:overflowPunct w:val="0"/>
        <w:spacing w:line="480" w:lineRule="auto"/>
        <w:ind w:left="780"/>
        <w:rPr>
          <w:rFonts w:ascii="Arial" w:hAnsi="Arial"/>
          <w:sz w:val="21"/>
          <w:szCs w:val="21"/>
        </w:rPr>
      </w:pPr>
      <w:r>
        <w:rPr>
          <w:rFonts w:hint="eastAsia" w:ascii="Arial" w:hAnsi="Arial"/>
          <w:sz w:val="21"/>
          <w:szCs w:val="21"/>
        </w:rPr>
        <w:t>E.统一价格基础</w:t>
      </w:r>
    </w:p>
    <w:p w14:paraId="67ECF765">
      <w:pPr>
        <w:wordWrap w:val="0"/>
        <w:overflowPunct w:val="0"/>
        <w:spacing w:line="480" w:lineRule="auto"/>
        <w:ind w:left="780"/>
        <w:rPr>
          <w:rFonts w:ascii="Arial" w:hAnsi="Arial"/>
          <w:sz w:val="21"/>
          <w:szCs w:val="21"/>
        </w:rPr>
      </w:pPr>
      <w:r>
        <w:rPr>
          <w:rFonts w:hint="eastAsia" w:ascii="Arial" w:hAnsi="Arial"/>
          <w:sz w:val="21"/>
          <w:szCs w:val="21"/>
        </w:rPr>
        <w:t>2）进行交易情况、市场状况、房地产状况（区位、实物）等因素修正和调整</w:t>
      </w:r>
    </w:p>
    <w:p w14:paraId="08DBC300">
      <w:pPr>
        <w:wordWrap w:val="0"/>
        <w:overflowPunct w:val="0"/>
        <w:spacing w:line="480" w:lineRule="auto"/>
        <w:ind w:left="780"/>
        <w:rPr>
          <w:rFonts w:ascii="Arial" w:hAnsi="Arial"/>
          <w:sz w:val="21"/>
          <w:szCs w:val="21"/>
        </w:rPr>
      </w:pPr>
      <w:r>
        <w:rPr>
          <w:rFonts w:hint="eastAsia" w:ascii="Arial" w:hAnsi="Arial"/>
          <w:sz w:val="21"/>
          <w:szCs w:val="21"/>
        </w:rPr>
        <w:t>3）求取估价对象比较价值</w:t>
      </w:r>
    </w:p>
    <w:p w14:paraId="71D47A4A">
      <w:pPr>
        <w:pStyle w:val="61"/>
        <w:wordWrap w:val="0"/>
        <w:overflowPunct w:val="0"/>
        <w:autoSpaceDE w:val="0"/>
        <w:autoSpaceDN w:val="0"/>
        <w:spacing w:line="480" w:lineRule="auto"/>
        <w:ind w:right="140" w:firstLine="315" w:firstLineChars="150"/>
        <w:jc w:val="both"/>
        <w:textAlignment w:val="auto"/>
        <w:rPr>
          <w:rFonts w:ascii="Arial" w:hAnsi="Arial" w:cs="Arial"/>
          <w:sz w:val="21"/>
          <w:szCs w:val="21"/>
        </w:rPr>
      </w:pPr>
      <w:r>
        <w:rPr>
          <w:rFonts w:hint="eastAsia" w:ascii="Arial" w:hAnsi="Arial" w:cs="Arial"/>
          <w:sz w:val="21"/>
          <w:szCs w:val="21"/>
        </w:rPr>
        <w:t>（2）进行交易情况、交易日期、房地产状况等因素修正</w:t>
      </w:r>
    </w:p>
    <w:p w14:paraId="7F6457EC">
      <w:pPr>
        <w:pStyle w:val="61"/>
        <w:wordWrap w:val="0"/>
        <w:overflowPunct w:val="0"/>
        <w:autoSpaceDE w:val="0"/>
        <w:autoSpaceDN w:val="0"/>
        <w:spacing w:line="480" w:lineRule="auto"/>
        <w:ind w:right="140" w:firstLine="315" w:firstLineChars="150"/>
        <w:jc w:val="both"/>
        <w:textAlignment w:val="auto"/>
        <w:rPr>
          <w:rFonts w:ascii="Arial" w:hAnsi="Arial" w:cs="Arial"/>
          <w:sz w:val="21"/>
          <w:szCs w:val="21"/>
        </w:rPr>
      </w:pPr>
      <w:r>
        <w:rPr>
          <w:rFonts w:hint="eastAsia" w:ascii="Arial" w:hAnsi="Arial" w:cs="Arial"/>
          <w:sz w:val="21"/>
          <w:szCs w:val="21"/>
        </w:rPr>
        <w:t>（3）求取估价对象比准价格</w:t>
      </w:r>
    </w:p>
    <w:p w14:paraId="478E006E">
      <w:pPr>
        <w:spacing w:line="480" w:lineRule="auto"/>
        <w:ind w:firstLine="420" w:firstLineChars="200"/>
        <w:jc w:val="both"/>
        <w:rPr>
          <w:rFonts w:ascii="Arial" w:hAnsi="Arial" w:cs="Arial"/>
          <w:b/>
          <w:kern w:val="2"/>
          <w:sz w:val="21"/>
          <w:szCs w:val="21"/>
        </w:rPr>
      </w:pPr>
      <w:r>
        <w:rPr>
          <w:rFonts w:hint="eastAsia" w:ascii="Arial" w:hAnsi="Arial" w:cs="Arial"/>
          <w:sz w:val="21"/>
          <w:szCs w:val="21"/>
        </w:rPr>
        <w:t>2、成本法计算公式为</w:t>
      </w:r>
    </w:p>
    <w:p w14:paraId="2DB35401">
      <w:pPr>
        <w:pStyle w:val="61"/>
        <w:wordWrap w:val="0"/>
        <w:overflowPunct w:val="0"/>
        <w:autoSpaceDE w:val="0"/>
        <w:autoSpaceDN w:val="0"/>
        <w:spacing w:line="480" w:lineRule="auto"/>
        <w:ind w:right="140" w:firstLine="315" w:firstLineChars="150"/>
        <w:jc w:val="both"/>
        <w:textAlignment w:val="auto"/>
        <w:rPr>
          <w:rFonts w:ascii="Arial" w:hAnsi="Arial" w:cs="Arial"/>
          <w:sz w:val="21"/>
          <w:szCs w:val="21"/>
        </w:rPr>
      </w:pPr>
      <w:r>
        <w:rPr>
          <w:rFonts w:hint="eastAsia" w:ascii="Arial" w:hAnsi="Arial" w:cs="Arial"/>
          <w:sz w:val="21"/>
          <w:szCs w:val="21"/>
        </w:rPr>
        <w:t>月成本租金＝（年折旧及摊销成本＋年营业成本＋年管理成本）÷（公租房项目建筑面积</w:t>
      </w:r>
      <w:r>
        <w:rPr>
          <w:rFonts w:ascii="Arial" w:hAnsi="Arial" w:cs="Arial"/>
          <w:sz w:val="21"/>
          <w:szCs w:val="21"/>
        </w:rPr>
        <w:t>×</w:t>
      </w:r>
      <w:r>
        <w:rPr>
          <w:rFonts w:hint="eastAsia" w:ascii="Arial" w:hAnsi="Arial" w:cs="Arial"/>
          <w:sz w:val="21"/>
          <w:szCs w:val="21"/>
        </w:rPr>
        <w:t>12）</w:t>
      </w:r>
    </w:p>
    <w:p w14:paraId="3F1F5F42">
      <w:pPr>
        <w:spacing w:line="480" w:lineRule="auto"/>
        <w:ind w:firstLine="420" w:firstLineChars="200"/>
        <w:rPr>
          <w:rFonts w:ascii="Arial" w:hAnsi="Arial" w:cs="Arial"/>
          <w:sz w:val="21"/>
          <w:szCs w:val="21"/>
        </w:rPr>
      </w:pPr>
      <w:r>
        <w:rPr>
          <w:rFonts w:ascii="Arial" w:hAnsi="Arial" w:cs="Arial"/>
          <w:sz w:val="21"/>
          <w:szCs w:val="21"/>
        </w:rPr>
        <w:t>（转下页）</w:t>
      </w:r>
    </w:p>
    <w:p w14:paraId="53AA6E3F">
      <w:pPr>
        <w:spacing w:line="480" w:lineRule="auto"/>
        <w:ind w:firstLine="422" w:firstLineChars="200"/>
        <w:jc w:val="both"/>
        <w:rPr>
          <w:rFonts w:ascii="Arial" w:hAnsi="Arial" w:cs="Arial"/>
          <w:b/>
          <w:kern w:val="2"/>
          <w:sz w:val="21"/>
          <w:szCs w:val="21"/>
        </w:rPr>
      </w:pPr>
    </w:p>
    <w:p w14:paraId="3FF32F3A">
      <w:pPr>
        <w:pStyle w:val="3"/>
        <w:tabs>
          <w:tab w:val="left" w:pos="360"/>
        </w:tabs>
        <w:spacing w:line="480" w:lineRule="auto"/>
        <w:ind w:left="358" w:hanging="358" w:hangingChars="170"/>
        <w:jc w:val="both"/>
        <w:rPr>
          <w:rFonts w:eastAsia="宋体"/>
          <w:kern w:val="2"/>
          <w:sz w:val="21"/>
          <w:szCs w:val="21"/>
        </w:rPr>
      </w:pPr>
      <w:bookmarkStart w:id="58" w:name="_Toc525655440"/>
      <w:r>
        <w:rPr>
          <w:rFonts w:eastAsia="宋体"/>
          <w:kern w:val="2"/>
          <w:sz w:val="21"/>
          <w:szCs w:val="21"/>
        </w:rPr>
        <w:br w:type="page"/>
      </w:r>
    </w:p>
    <w:p w14:paraId="4C545674">
      <w:pPr>
        <w:pStyle w:val="3"/>
        <w:tabs>
          <w:tab w:val="left" w:pos="360"/>
        </w:tabs>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58"/>
      <w:r>
        <w:rPr>
          <w:rFonts w:hint="eastAsia" w:eastAsia="宋体"/>
          <w:kern w:val="2"/>
          <w:sz w:val="21"/>
          <w:szCs w:val="21"/>
        </w:rPr>
        <w:t xml:space="preserve">  </w:t>
      </w:r>
    </w:p>
    <w:p w14:paraId="5A858BBD">
      <w:pPr>
        <w:pStyle w:val="61"/>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（一）比较法测算估价对象的市场租金水平</w:t>
      </w:r>
    </w:p>
    <w:p w14:paraId="504EA534">
      <w:pPr>
        <w:pStyle w:val="61"/>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1.标准小区及标准房选取</w:t>
      </w:r>
    </w:p>
    <w:p w14:paraId="7424AA08">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根据</w:t>
      </w:r>
      <w:r>
        <w:rPr>
          <w:rFonts w:ascii="Arial" w:hAnsi="Arial" w:cs="Arial"/>
          <w:kern w:val="2"/>
          <w:sz w:val="21"/>
          <w:szCs w:val="21"/>
        </w:rPr>
        <w:t>《房屋面积测算</w:t>
      </w:r>
      <w:r>
        <w:rPr>
          <w:rFonts w:hint="eastAsia" w:ascii="Arial" w:hAnsi="Arial" w:cs="Arial"/>
          <w:kern w:val="2"/>
          <w:sz w:val="21"/>
          <w:szCs w:val="21"/>
        </w:rPr>
        <w:t>技术报告书（商品房类使用》、</w:t>
      </w:r>
      <w:r>
        <w:rPr>
          <w:rFonts w:hint="eastAsia" w:ascii="Arial" w:hAnsi="Arial" w:cs="Arial"/>
          <w:sz w:val="21"/>
          <w:szCs w:val="21"/>
        </w:rPr>
        <w:t>《燕保·高米店家园项目房源表》，</w:t>
      </w:r>
      <w:r>
        <w:rPr>
          <w:rFonts w:ascii="Arial" w:hAnsi="Arial" w:cs="Arial"/>
          <w:bCs/>
          <w:sz w:val="21"/>
          <w:szCs w:val="21"/>
        </w:rPr>
        <w:t>估价对象</w:t>
      </w:r>
      <w:r>
        <w:rPr>
          <w:rFonts w:hint="eastAsia" w:ascii="Arial" w:hAnsi="Arial" w:cs="Arial"/>
          <w:bCs/>
          <w:sz w:val="21"/>
          <w:szCs w:val="21"/>
        </w:rPr>
        <w:t>为</w:t>
      </w:r>
      <w:r>
        <w:rPr>
          <w:rFonts w:hint="eastAsia" w:ascii="Arial" w:hAnsi="Arial" w:cs="Arial"/>
          <w:kern w:val="2"/>
          <w:sz w:val="21"/>
          <w:szCs w:val="21"/>
        </w:rPr>
        <w:t>北京市大兴区景明路16号院3、4、5、7、8号楼（燕保·高米店家园）公共租赁住房</w:t>
      </w:r>
      <w:r>
        <w:rPr>
          <w:rFonts w:hint="eastAsia" w:ascii="Arial" w:hAnsi="Arial" w:cs="Arial"/>
          <w:sz w:val="21"/>
          <w:szCs w:val="21"/>
        </w:rPr>
        <w:t>总建筑面积为9</w:t>
      </w:r>
      <w:r>
        <w:rPr>
          <w:rFonts w:ascii="Arial" w:hAnsi="Arial" w:cs="Arial"/>
          <w:sz w:val="21"/>
          <w:szCs w:val="21"/>
        </w:rPr>
        <w:t>1711.82平方米</w:t>
      </w:r>
      <w:r>
        <w:rPr>
          <w:rFonts w:hint="eastAsia" w:ascii="Arial" w:hAnsi="Arial" w:cs="Arial"/>
          <w:sz w:val="21"/>
          <w:szCs w:val="21"/>
        </w:rPr>
        <w:t>，共计</w:t>
      </w:r>
      <w:r>
        <w:rPr>
          <w:rFonts w:ascii="Arial" w:hAnsi="Arial" w:cs="Arial"/>
          <w:sz w:val="21"/>
          <w:szCs w:val="21"/>
        </w:rPr>
        <w:t>1830套</w:t>
      </w:r>
      <w:r>
        <w:rPr>
          <w:rFonts w:hint="eastAsia" w:ascii="Arial" w:hAnsi="Arial" w:cs="Arial"/>
          <w:sz w:val="21"/>
          <w:szCs w:val="21"/>
        </w:rPr>
        <w:t>，</w:t>
      </w:r>
      <w:r>
        <w:rPr>
          <w:rFonts w:hint="eastAsia" w:ascii="Arial" w:hAnsi="Arial" w:cs="Arial"/>
          <w:kern w:val="2"/>
          <w:sz w:val="21"/>
          <w:szCs w:val="21"/>
        </w:rPr>
        <w:t>有</w:t>
      </w:r>
      <w:r>
        <w:rPr>
          <w:rFonts w:ascii="Arial" w:hAnsi="Arial" w:cs="Arial"/>
          <w:kern w:val="2"/>
          <w:sz w:val="21"/>
          <w:szCs w:val="21"/>
        </w:rPr>
        <w:t>38</w:t>
      </w:r>
      <w:r>
        <w:rPr>
          <w:rFonts w:hint="eastAsia" w:ascii="Arial" w:hAnsi="Arial" w:cs="Arial"/>
          <w:kern w:val="2"/>
          <w:sz w:val="21"/>
          <w:szCs w:val="21"/>
        </w:rPr>
        <w:t>种户型，分别为</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5-1‘、5-1‘反、5-2</w:t>
      </w:r>
      <w:r>
        <w:rPr>
          <w:rFonts w:hint="eastAsia" w:ascii="Arial" w:hAnsi="Arial" w:cs="Arial"/>
          <w:kern w:val="2"/>
          <w:sz w:val="21"/>
          <w:szCs w:val="21"/>
        </w:rPr>
        <w:t>、5</w:t>
      </w:r>
      <w:r>
        <w:rPr>
          <w:rFonts w:ascii="Arial" w:hAnsi="Arial" w:cs="Arial"/>
          <w:kern w:val="2"/>
          <w:sz w:val="21"/>
          <w:szCs w:val="21"/>
        </w:rPr>
        <w:t>-2反、A2、A2反、B1、B1反、C2、C2反、C6、C6反、5-4、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。其中，</w:t>
      </w:r>
      <w:r>
        <w:rPr>
          <w:rFonts w:ascii="Arial" w:hAnsi="Arial" w:cs="Arial"/>
          <w:kern w:val="2"/>
          <w:sz w:val="21"/>
          <w:szCs w:val="21"/>
        </w:rPr>
        <w:t>5-1</w:t>
      </w:r>
      <w:r>
        <w:rPr>
          <w:rFonts w:hint="eastAsia" w:ascii="Arial" w:hAnsi="Arial" w:cs="Arial"/>
          <w:kern w:val="2"/>
          <w:sz w:val="21"/>
          <w:szCs w:val="21"/>
        </w:rPr>
        <w:t>、</w:t>
      </w:r>
      <w:r>
        <w:rPr>
          <w:rFonts w:ascii="Arial" w:hAnsi="Arial" w:cs="Arial"/>
          <w:kern w:val="2"/>
          <w:sz w:val="21"/>
          <w:szCs w:val="21"/>
        </w:rPr>
        <w:t>5-1反</w:t>
      </w:r>
      <w:r>
        <w:rPr>
          <w:rFonts w:hint="eastAsia" w:ascii="Arial" w:hAnsi="Arial" w:cs="Arial"/>
          <w:kern w:val="2"/>
          <w:sz w:val="21"/>
          <w:szCs w:val="21"/>
        </w:rPr>
        <w:t>、</w:t>
      </w:r>
      <w:r>
        <w:rPr>
          <w:rFonts w:ascii="Arial" w:hAnsi="Arial" w:cs="Arial"/>
          <w:kern w:val="2"/>
          <w:sz w:val="21"/>
          <w:szCs w:val="21"/>
        </w:rPr>
        <w:t>5-3、</w:t>
      </w:r>
      <w:r>
        <w:rPr>
          <w:rFonts w:hint="eastAsia" w:ascii="Arial" w:hAnsi="Arial" w:cs="Arial"/>
          <w:kern w:val="2"/>
          <w:sz w:val="21"/>
          <w:szCs w:val="21"/>
        </w:rPr>
        <w:t>5</w:t>
      </w:r>
      <w:r>
        <w:rPr>
          <w:rFonts w:ascii="Arial" w:hAnsi="Arial" w:cs="Arial"/>
          <w:kern w:val="2"/>
          <w:sz w:val="21"/>
          <w:szCs w:val="21"/>
        </w:rPr>
        <w:t>-3</w:t>
      </w:r>
      <w:r>
        <w:rPr>
          <w:rFonts w:hint="eastAsia" w:ascii="Arial" w:hAnsi="Arial" w:cs="Arial"/>
          <w:kern w:val="2"/>
          <w:sz w:val="21"/>
          <w:szCs w:val="21"/>
        </w:rPr>
        <w:t>反、</w:t>
      </w:r>
      <w:r>
        <w:rPr>
          <w:rFonts w:ascii="Arial" w:hAnsi="Arial" w:cs="Arial"/>
          <w:kern w:val="2"/>
          <w:sz w:val="21"/>
          <w:szCs w:val="21"/>
        </w:rPr>
        <w:t>5-1‘、5-1‘反</w:t>
      </w:r>
      <w:r>
        <w:rPr>
          <w:rFonts w:hint="eastAsia" w:ascii="Arial" w:hAnsi="Arial" w:cs="Arial"/>
          <w:kern w:val="2"/>
          <w:sz w:val="21"/>
          <w:szCs w:val="21"/>
        </w:rPr>
        <w:t>为零居室，共计</w:t>
      </w:r>
      <w:r>
        <w:rPr>
          <w:rFonts w:ascii="Arial" w:hAnsi="Arial" w:cs="Arial"/>
          <w:kern w:val="2"/>
          <w:sz w:val="21"/>
          <w:szCs w:val="21"/>
        </w:rPr>
        <w:t>544</w:t>
      </w:r>
      <w:r>
        <w:rPr>
          <w:rFonts w:hint="eastAsia" w:ascii="Arial" w:hAnsi="Arial" w:cs="Arial"/>
          <w:kern w:val="2"/>
          <w:sz w:val="21"/>
          <w:szCs w:val="21"/>
        </w:rPr>
        <w:t>套，面积区间为</w:t>
      </w:r>
      <w:r>
        <w:rPr>
          <w:rFonts w:ascii="Arial" w:hAnsi="Arial" w:cs="Arial"/>
          <w:kern w:val="2"/>
          <w:sz w:val="21"/>
          <w:szCs w:val="21"/>
        </w:rPr>
        <w:t>30.04-32.61</w:t>
      </w:r>
      <w:r>
        <w:rPr>
          <w:rFonts w:hint="eastAsia" w:ascii="Arial" w:hAnsi="Arial" w:cs="Arial"/>
          <w:kern w:val="2"/>
          <w:sz w:val="21"/>
          <w:szCs w:val="21"/>
        </w:rPr>
        <w:t>平方米，</w:t>
      </w:r>
      <w:r>
        <w:rPr>
          <w:rFonts w:ascii="Arial" w:hAnsi="Arial" w:cs="Arial"/>
          <w:kern w:val="2"/>
          <w:sz w:val="21"/>
          <w:szCs w:val="21"/>
        </w:rPr>
        <w:t>5-2</w:t>
      </w:r>
      <w:r>
        <w:rPr>
          <w:rFonts w:hint="eastAsia" w:ascii="Arial" w:hAnsi="Arial" w:cs="Arial"/>
          <w:kern w:val="2"/>
          <w:sz w:val="21"/>
          <w:szCs w:val="21"/>
        </w:rPr>
        <w:t>、5</w:t>
      </w:r>
      <w:r>
        <w:rPr>
          <w:rFonts w:ascii="Arial" w:hAnsi="Arial" w:cs="Arial"/>
          <w:kern w:val="2"/>
          <w:sz w:val="21"/>
          <w:szCs w:val="21"/>
        </w:rPr>
        <w:t>-2反、A2、A2反、B1、B1反、C2、C2反、C6、C6反</w:t>
      </w:r>
      <w:r>
        <w:rPr>
          <w:rFonts w:hint="eastAsia" w:ascii="Arial" w:hAnsi="Arial" w:cs="Arial"/>
          <w:kern w:val="2"/>
          <w:sz w:val="21"/>
          <w:szCs w:val="21"/>
        </w:rPr>
        <w:t>为一居室，共计</w:t>
      </w:r>
      <w:r>
        <w:rPr>
          <w:rFonts w:ascii="Arial" w:hAnsi="Arial" w:cs="Arial"/>
          <w:kern w:val="2"/>
          <w:sz w:val="21"/>
          <w:szCs w:val="21"/>
        </w:rPr>
        <w:t>186</w:t>
      </w:r>
      <w:r>
        <w:rPr>
          <w:rFonts w:hint="eastAsia" w:ascii="Arial" w:hAnsi="Arial" w:cs="Arial"/>
          <w:kern w:val="2"/>
          <w:sz w:val="21"/>
          <w:szCs w:val="21"/>
        </w:rPr>
        <w:t>套，面积区间为</w:t>
      </w:r>
      <w:r>
        <w:rPr>
          <w:rFonts w:ascii="Arial" w:hAnsi="Arial" w:cs="Arial"/>
          <w:kern w:val="2"/>
          <w:sz w:val="21"/>
          <w:szCs w:val="21"/>
        </w:rPr>
        <w:t>41.49</w:t>
      </w:r>
      <w:r>
        <w:rPr>
          <w:rFonts w:hint="eastAsia" w:ascii="Arial" w:hAnsi="Arial" w:cs="Arial"/>
          <w:kern w:val="2"/>
          <w:sz w:val="21"/>
          <w:szCs w:val="21"/>
        </w:rPr>
        <w:t>-</w:t>
      </w:r>
      <w:r>
        <w:rPr>
          <w:rFonts w:ascii="Arial" w:hAnsi="Arial" w:cs="Arial"/>
          <w:kern w:val="2"/>
          <w:sz w:val="21"/>
          <w:szCs w:val="21"/>
        </w:rPr>
        <w:t>50.94</w:t>
      </w:r>
      <w:r>
        <w:rPr>
          <w:rFonts w:hint="eastAsia" w:ascii="Arial" w:hAnsi="Arial" w:cs="Arial"/>
          <w:kern w:val="2"/>
          <w:sz w:val="21"/>
          <w:szCs w:val="21"/>
        </w:rPr>
        <w:t>平方米。</w:t>
      </w:r>
      <w:r>
        <w:rPr>
          <w:rFonts w:ascii="Arial" w:hAnsi="Arial" w:cs="Arial"/>
          <w:kern w:val="2"/>
          <w:sz w:val="21"/>
          <w:szCs w:val="21"/>
        </w:rPr>
        <w:t>5-4、</w:t>
      </w:r>
      <w:r>
        <w:rPr>
          <w:rFonts w:hint="eastAsia" w:ascii="Arial" w:hAnsi="Arial" w:cs="Arial"/>
          <w:kern w:val="2"/>
          <w:sz w:val="21"/>
          <w:szCs w:val="21"/>
        </w:rPr>
        <w:t>5</w:t>
      </w:r>
      <w:r>
        <w:rPr>
          <w:rFonts w:ascii="Arial" w:hAnsi="Arial" w:cs="Arial"/>
          <w:kern w:val="2"/>
          <w:sz w:val="21"/>
          <w:szCs w:val="21"/>
        </w:rPr>
        <w:t>-5、A1、A1反、A3、A3反、A4、A4反、A5、A5反、B1、B1反、B2、B2反、C1、C1反、C3、C3反、C4、C4反、C5、C5反</w:t>
      </w:r>
      <w:r>
        <w:rPr>
          <w:rFonts w:hint="eastAsia" w:ascii="Arial" w:hAnsi="Arial" w:cs="Arial"/>
          <w:kern w:val="2"/>
          <w:sz w:val="21"/>
          <w:szCs w:val="21"/>
        </w:rPr>
        <w:t>户型为两居室，共计</w:t>
      </w:r>
      <w:r>
        <w:rPr>
          <w:rFonts w:ascii="Arial" w:hAnsi="Arial" w:cs="Arial"/>
          <w:kern w:val="2"/>
          <w:sz w:val="21"/>
          <w:szCs w:val="21"/>
        </w:rPr>
        <w:t>1100</w:t>
      </w:r>
      <w:r>
        <w:rPr>
          <w:rFonts w:hint="eastAsia" w:ascii="Arial" w:hAnsi="Arial" w:cs="Arial"/>
          <w:kern w:val="2"/>
          <w:sz w:val="21"/>
          <w:szCs w:val="21"/>
        </w:rPr>
        <w:t>套，面积区间为</w:t>
      </w:r>
      <w:r>
        <w:rPr>
          <w:rFonts w:ascii="Arial" w:hAnsi="Arial" w:cs="Arial"/>
          <w:kern w:val="2"/>
          <w:sz w:val="21"/>
          <w:szCs w:val="21"/>
        </w:rPr>
        <w:t>57.9</w:t>
      </w:r>
      <w:r>
        <w:rPr>
          <w:rFonts w:hint="eastAsia" w:ascii="Arial" w:hAnsi="Arial" w:cs="Arial"/>
          <w:kern w:val="2"/>
          <w:sz w:val="21"/>
          <w:szCs w:val="21"/>
        </w:rPr>
        <w:t>-</w:t>
      </w:r>
      <w:r>
        <w:rPr>
          <w:rFonts w:ascii="Arial" w:hAnsi="Arial" w:cs="Arial"/>
          <w:kern w:val="2"/>
          <w:sz w:val="21"/>
          <w:szCs w:val="21"/>
        </w:rPr>
        <w:t>61.95</w:t>
      </w:r>
      <w:r>
        <w:rPr>
          <w:rFonts w:hint="eastAsia" w:ascii="Arial" w:hAnsi="Arial" w:cs="Arial"/>
          <w:kern w:val="2"/>
          <w:sz w:val="21"/>
          <w:szCs w:val="21"/>
        </w:rPr>
        <w:t>平方米。</w:t>
      </w:r>
      <w:r>
        <w:rPr>
          <w:rFonts w:ascii="Arial" w:hAnsi="Arial" w:cs="Arial"/>
          <w:sz w:val="21"/>
          <w:szCs w:val="21"/>
        </w:rPr>
        <w:t xml:space="preserve"> </w:t>
      </w:r>
    </w:p>
    <w:p w14:paraId="4C21D875">
      <w:pPr>
        <w:pStyle w:val="61"/>
        <w:wordWrap w:val="0"/>
        <w:overflowPunct w:val="0"/>
        <w:spacing w:before="120" w:beforeLines="5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参照《关于发布&lt;北京市公共租赁住房项目市场租金评估技术指引&gt;的通知》[北估秘[2019]020号]，公共租赁住房项目市场租金采取标准房进行评估。标准房是指参照被评估公共租赁住房项目的户型、面积、朝向、楼层、装修及设备等因素按照众数原则设定的房屋状况。</w:t>
      </w:r>
    </w:p>
    <w:p w14:paraId="7055C99B">
      <w:pPr>
        <w:pStyle w:val="61"/>
        <w:wordWrap w:val="0"/>
        <w:overflowPunct w:val="0"/>
        <w:spacing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根据《燕保·高米店家园项目房源表》及上述楼层、朝向、面积、户型、梯户比等配比情况，本次估价按照众数原则设定具有代表性的标准房屋，具体标准房详见下表:</w:t>
      </w:r>
    </w:p>
    <w:p w14:paraId="3890CE5F">
      <w:pPr>
        <w:pStyle w:val="61"/>
        <w:overflowPunct w:val="0"/>
        <w:spacing w:line="360" w:lineRule="auto"/>
        <w:ind w:right="142" w:firstLine="422" w:firstLineChars="200"/>
        <w:jc w:val="center"/>
        <w:textAlignment w:val="auto"/>
        <w:rPr>
          <w:rFonts w:ascii="Arial" w:hAnsi="Arial" w:cs="Arial"/>
          <w:b/>
          <w:sz w:val="21"/>
          <w:szCs w:val="21"/>
        </w:rPr>
      </w:pPr>
      <w:r>
        <w:rPr>
          <w:rFonts w:hint="eastAsia" w:ascii="Arial" w:hAnsi="Arial" w:cs="Arial"/>
          <w:b/>
          <w:sz w:val="21"/>
          <w:szCs w:val="21"/>
        </w:rPr>
        <w:t>估价对象标准房设定标准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5"/>
        <w:gridCol w:w="4900"/>
      </w:tblGrid>
      <w:tr w14:paraId="66F86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2649F532">
            <w:pPr>
              <w:overflowPunct w:val="0"/>
              <w:spacing w:line="240" w:lineRule="atLeast"/>
              <w:jc w:val="center"/>
              <w:rPr>
                <w:rFonts w:ascii="宋体" w:hAnsi="宋体" w:cs="Arial"/>
                <w:kern w:val="2"/>
                <w:sz w:val="20"/>
              </w:rPr>
            </w:pPr>
            <w:r>
              <w:rPr>
                <w:rFonts w:ascii="宋体" w:hAnsi="宋体" w:cs="Arial"/>
                <w:kern w:val="2"/>
                <w:sz w:val="20"/>
              </w:rPr>
              <w:t>项目</w:t>
            </w:r>
          </w:p>
        </w:tc>
        <w:tc>
          <w:tcPr>
            <w:tcW w:w="2575" w:type="pct"/>
            <w:tcBorders>
              <w:top w:val="single" w:color="000000" w:sz="4" w:space="0"/>
              <w:left w:val="single" w:color="000000" w:sz="4" w:space="0"/>
              <w:bottom w:val="single" w:color="000000" w:sz="4" w:space="0"/>
              <w:right w:val="single" w:color="000000" w:sz="4" w:space="0"/>
            </w:tcBorders>
            <w:vAlign w:val="center"/>
          </w:tcPr>
          <w:p w14:paraId="7E503B1A">
            <w:pPr>
              <w:overflowPunct w:val="0"/>
              <w:spacing w:line="240" w:lineRule="atLeast"/>
              <w:jc w:val="center"/>
              <w:rPr>
                <w:rFonts w:ascii="宋体" w:hAnsi="宋体" w:cs="Arial"/>
                <w:kern w:val="2"/>
                <w:sz w:val="20"/>
              </w:rPr>
            </w:pPr>
            <w:r>
              <w:rPr>
                <w:rFonts w:ascii="宋体" w:hAnsi="宋体" w:cs="Arial"/>
                <w:kern w:val="2"/>
                <w:sz w:val="20"/>
              </w:rPr>
              <w:t>设定标准</w:t>
            </w:r>
          </w:p>
        </w:tc>
      </w:tr>
      <w:tr w14:paraId="65F31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1A0215C">
            <w:pPr>
              <w:overflowPunct w:val="0"/>
              <w:spacing w:line="240" w:lineRule="atLeast"/>
              <w:jc w:val="center"/>
              <w:rPr>
                <w:rFonts w:ascii="宋体" w:hAnsi="宋体" w:cs="Arial"/>
                <w:kern w:val="2"/>
                <w:sz w:val="20"/>
              </w:rPr>
            </w:pPr>
            <w:r>
              <w:rPr>
                <w:rFonts w:ascii="宋体" w:hAnsi="宋体" w:cs="Arial"/>
                <w:kern w:val="2"/>
                <w:sz w:val="20"/>
              </w:rPr>
              <w:t>所在楼层</w:t>
            </w:r>
            <w:r>
              <w:rPr>
                <w:rFonts w:hint="eastAsia" w:ascii="宋体" w:hAnsi="宋体" w:cs="Arial"/>
                <w:kern w:val="2"/>
                <w:sz w:val="20"/>
              </w:rPr>
              <w:t>/总楼层</w:t>
            </w:r>
          </w:p>
        </w:tc>
        <w:tc>
          <w:tcPr>
            <w:tcW w:w="2575" w:type="pct"/>
            <w:tcBorders>
              <w:top w:val="single" w:color="000000" w:sz="4" w:space="0"/>
              <w:left w:val="single" w:color="000000" w:sz="4" w:space="0"/>
              <w:bottom w:val="single" w:color="000000" w:sz="4" w:space="0"/>
              <w:right w:val="single" w:color="000000" w:sz="4" w:space="0"/>
            </w:tcBorders>
            <w:vAlign w:val="center"/>
          </w:tcPr>
          <w:p w14:paraId="572C9F96">
            <w:pPr>
              <w:overflowPunct w:val="0"/>
              <w:spacing w:line="240" w:lineRule="atLeast"/>
              <w:jc w:val="center"/>
              <w:rPr>
                <w:rFonts w:ascii="宋体" w:hAnsi="宋体" w:cs="Arial"/>
                <w:kern w:val="2"/>
                <w:sz w:val="20"/>
              </w:rPr>
            </w:pPr>
            <w:r>
              <w:rPr>
                <w:rFonts w:ascii="宋体" w:hAnsi="宋体" w:cs="Arial"/>
                <w:kern w:val="2"/>
                <w:sz w:val="20"/>
              </w:rPr>
              <w:t>中楼层</w:t>
            </w:r>
            <w:r>
              <w:rPr>
                <w:rFonts w:hint="eastAsia" w:ascii="宋体" w:hAnsi="宋体" w:cs="Arial"/>
                <w:kern w:val="2"/>
                <w:sz w:val="20"/>
              </w:rPr>
              <w:t>/1</w:t>
            </w:r>
            <w:r>
              <w:rPr>
                <w:rFonts w:ascii="宋体" w:hAnsi="宋体" w:cs="Arial"/>
                <w:kern w:val="2"/>
                <w:sz w:val="20"/>
              </w:rPr>
              <w:t>8</w:t>
            </w:r>
            <w:r>
              <w:rPr>
                <w:rFonts w:hint="eastAsia" w:ascii="宋体" w:hAnsi="宋体" w:cs="Arial"/>
                <w:kern w:val="2"/>
                <w:sz w:val="20"/>
              </w:rPr>
              <w:t>层</w:t>
            </w:r>
          </w:p>
        </w:tc>
      </w:tr>
      <w:tr w14:paraId="76768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3AB31F77">
            <w:pPr>
              <w:overflowPunct w:val="0"/>
              <w:spacing w:line="240" w:lineRule="atLeast"/>
              <w:jc w:val="center"/>
              <w:rPr>
                <w:rFonts w:ascii="宋体" w:hAnsi="宋体" w:cs="Arial"/>
                <w:kern w:val="2"/>
                <w:sz w:val="20"/>
              </w:rPr>
            </w:pPr>
            <w:r>
              <w:rPr>
                <w:rFonts w:ascii="宋体" w:hAnsi="宋体" w:cs="Arial"/>
                <w:kern w:val="2"/>
                <w:sz w:val="20"/>
              </w:rPr>
              <w:t>朝向</w:t>
            </w:r>
          </w:p>
        </w:tc>
        <w:tc>
          <w:tcPr>
            <w:tcW w:w="2575" w:type="pct"/>
            <w:tcBorders>
              <w:top w:val="single" w:color="000000" w:sz="4" w:space="0"/>
              <w:left w:val="single" w:color="000000" w:sz="4" w:space="0"/>
              <w:bottom w:val="single" w:color="000000" w:sz="4" w:space="0"/>
              <w:right w:val="single" w:color="000000" w:sz="4" w:space="0"/>
            </w:tcBorders>
            <w:vAlign w:val="center"/>
          </w:tcPr>
          <w:p w14:paraId="04CAE316">
            <w:pPr>
              <w:overflowPunct w:val="0"/>
              <w:spacing w:line="240" w:lineRule="atLeast"/>
              <w:jc w:val="center"/>
              <w:rPr>
                <w:rFonts w:ascii="宋体" w:hAnsi="宋体" w:cs="Arial"/>
                <w:kern w:val="2"/>
                <w:sz w:val="20"/>
              </w:rPr>
            </w:pPr>
            <w:r>
              <w:rPr>
                <w:rFonts w:hint="eastAsia" w:ascii="宋体" w:hAnsi="宋体" w:cs="Arial"/>
                <w:kern w:val="2"/>
                <w:sz w:val="20"/>
              </w:rPr>
              <w:t>南</w:t>
            </w:r>
          </w:p>
        </w:tc>
      </w:tr>
      <w:tr w14:paraId="7F03C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3C4F2CE0">
            <w:pPr>
              <w:overflowPunct w:val="0"/>
              <w:spacing w:line="240" w:lineRule="atLeast"/>
              <w:jc w:val="center"/>
              <w:rPr>
                <w:rFonts w:ascii="宋体" w:hAnsi="宋体" w:cs="Arial"/>
                <w:kern w:val="2"/>
                <w:sz w:val="20"/>
              </w:rPr>
            </w:pPr>
            <w:r>
              <w:rPr>
                <w:rFonts w:ascii="宋体" w:hAnsi="宋体" w:cs="Arial"/>
                <w:kern w:val="2"/>
                <w:sz w:val="20"/>
              </w:rPr>
              <w:t>建筑面积（平方米）</w:t>
            </w:r>
          </w:p>
        </w:tc>
        <w:tc>
          <w:tcPr>
            <w:tcW w:w="2575" w:type="pct"/>
            <w:tcBorders>
              <w:top w:val="single" w:color="000000" w:sz="4" w:space="0"/>
              <w:left w:val="single" w:color="000000" w:sz="4" w:space="0"/>
              <w:bottom w:val="single" w:color="000000" w:sz="4" w:space="0"/>
              <w:right w:val="single" w:color="000000" w:sz="4" w:space="0"/>
            </w:tcBorders>
            <w:vAlign w:val="center"/>
          </w:tcPr>
          <w:p w14:paraId="44795D79">
            <w:pPr>
              <w:overflowPunct w:val="0"/>
              <w:spacing w:line="240" w:lineRule="atLeast"/>
              <w:jc w:val="center"/>
              <w:rPr>
                <w:rFonts w:ascii="宋体" w:hAnsi="宋体" w:cs="Arial"/>
                <w:kern w:val="2"/>
                <w:sz w:val="20"/>
              </w:rPr>
            </w:pPr>
            <w:r>
              <w:rPr>
                <w:rFonts w:ascii="宋体" w:hAnsi="宋体" w:cs="Arial"/>
                <w:kern w:val="2"/>
                <w:sz w:val="20"/>
              </w:rPr>
              <w:t>57.9</w:t>
            </w:r>
            <w:r>
              <w:rPr>
                <w:rFonts w:hint="eastAsia" w:ascii="宋体" w:hAnsi="宋体" w:cs="Arial"/>
                <w:kern w:val="2"/>
                <w:sz w:val="20"/>
              </w:rPr>
              <w:t>-</w:t>
            </w:r>
            <w:r>
              <w:rPr>
                <w:rFonts w:ascii="宋体" w:hAnsi="宋体" w:cs="Arial"/>
                <w:kern w:val="2"/>
                <w:sz w:val="20"/>
              </w:rPr>
              <w:t>61.95</w:t>
            </w:r>
          </w:p>
        </w:tc>
      </w:tr>
      <w:tr w14:paraId="2CAE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4FA16C45">
            <w:pPr>
              <w:overflowPunct w:val="0"/>
              <w:spacing w:line="240" w:lineRule="atLeast"/>
              <w:jc w:val="center"/>
              <w:rPr>
                <w:rFonts w:ascii="宋体" w:hAnsi="宋体" w:cs="Arial"/>
                <w:kern w:val="2"/>
                <w:sz w:val="20"/>
              </w:rPr>
            </w:pPr>
            <w:r>
              <w:rPr>
                <w:rFonts w:ascii="宋体" w:hAnsi="宋体" w:cs="Arial"/>
                <w:kern w:val="2"/>
                <w:sz w:val="20"/>
              </w:rPr>
              <w:t>室内装修</w:t>
            </w:r>
          </w:p>
        </w:tc>
        <w:tc>
          <w:tcPr>
            <w:tcW w:w="2575" w:type="pct"/>
            <w:tcBorders>
              <w:top w:val="single" w:color="000000" w:sz="4" w:space="0"/>
              <w:left w:val="single" w:color="000000" w:sz="4" w:space="0"/>
              <w:bottom w:val="single" w:color="000000" w:sz="4" w:space="0"/>
              <w:right w:val="single" w:color="000000" w:sz="4" w:space="0"/>
            </w:tcBorders>
            <w:vAlign w:val="center"/>
          </w:tcPr>
          <w:p w14:paraId="7EC37D63">
            <w:pPr>
              <w:overflowPunct w:val="0"/>
              <w:spacing w:line="240" w:lineRule="atLeast"/>
              <w:jc w:val="center"/>
              <w:rPr>
                <w:rFonts w:ascii="宋体" w:hAnsi="宋体" w:cs="Arial"/>
                <w:kern w:val="2"/>
                <w:sz w:val="20"/>
              </w:rPr>
            </w:pPr>
            <w:r>
              <w:rPr>
                <w:rFonts w:ascii="宋体" w:hAnsi="宋体" w:cs="Arial"/>
                <w:kern w:val="2"/>
                <w:sz w:val="20"/>
              </w:rPr>
              <w:t>精装修</w:t>
            </w:r>
          </w:p>
        </w:tc>
      </w:tr>
      <w:tr w14:paraId="1E777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32475721">
            <w:pPr>
              <w:overflowPunct w:val="0"/>
              <w:spacing w:line="240" w:lineRule="atLeast"/>
              <w:jc w:val="center"/>
              <w:rPr>
                <w:rFonts w:ascii="宋体" w:hAnsi="宋体" w:cs="Arial"/>
                <w:kern w:val="2"/>
                <w:sz w:val="20"/>
              </w:rPr>
            </w:pPr>
            <w:r>
              <w:rPr>
                <w:rFonts w:hint="eastAsia" w:ascii="宋体" w:hAnsi="宋体" w:cs="Arial"/>
                <w:kern w:val="2"/>
                <w:sz w:val="20"/>
              </w:rPr>
              <w:t>户型</w:t>
            </w:r>
          </w:p>
        </w:tc>
        <w:tc>
          <w:tcPr>
            <w:tcW w:w="2575" w:type="pct"/>
            <w:tcBorders>
              <w:top w:val="single" w:color="000000" w:sz="4" w:space="0"/>
              <w:left w:val="single" w:color="000000" w:sz="4" w:space="0"/>
              <w:bottom w:val="single" w:color="000000" w:sz="4" w:space="0"/>
              <w:right w:val="single" w:color="000000" w:sz="4" w:space="0"/>
            </w:tcBorders>
            <w:vAlign w:val="center"/>
          </w:tcPr>
          <w:p w14:paraId="75E6487A">
            <w:pPr>
              <w:overflowPunct w:val="0"/>
              <w:spacing w:line="240" w:lineRule="atLeast"/>
              <w:jc w:val="center"/>
              <w:rPr>
                <w:rFonts w:ascii="宋体" w:hAnsi="宋体" w:cs="Arial"/>
                <w:kern w:val="2"/>
                <w:sz w:val="20"/>
              </w:rPr>
            </w:pPr>
            <w:r>
              <w:rPr>
                <w:rFonts w:hint="eastAsia" w:ascii="宋体" w:hAnsi="宋体" w:cs="Arial"/>
                <w:kern w:val="2"/>
                <w:sz w:val="20"/>
              </w:rPr>
              <w:t>两居室</w:t>
            </w:r>
          </w:p>
        </w:tc>
      </w:tr>
      <w:tr w14:paraId="2B1F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5" w:type="pct"/>
            <w:tcBorders>
              <w:top w:val="single" w:color="000000" w:sz="4" w:space="0"/>
              <w:left w:val="single" w:color="000000" w:sz="4" w:space="0"/>
              <w:bottom w:val="single" w:color="000000" w:sz="4" w:space="0"/>
              <w:right w:val="single" w:color="000000" w:sz="4" w:space="0"/>
            </w:tcBorders>
            <w:vAlign w:val="center"/>
          </w:tcPr>
          <w:p w14:paraId="686C47AE">
            <w:pPr>
              <w:overflowPunct w:val="0"/>
              <w:spacing w:line="240" w:lineRule="atLeast"/>
              <w:jc w:val="center"/>
              <w:rPr>
                <w:rFonts w:ascii="宋体" w:hAnsi="宋体" w:cs="Arial"/>
                <w:kern w:val="2"/>
                <w:sz w:val="20"/>
              </w:rPr>
            </w:pPr>
            <w:r>
              <w:rPr>
                <w:rFonts w:ascii="宋体" w:hAnsi="宋体" w:cs="Arial"/>
                <w:kern w:val="2"/>
                <w:sz w:val="20"/>
              </w:rPr>
              <w:t>梯户比</w:t>
            </w:r>
          </w:p>
        </w:tc>
        <w:tc>
          <w:tcPr>
            <w:tcW w:w="2575" w:type="pct"/>
            <w:tcBorders>
              <w:top w:val="single" w:color="000000" w:sz="4" w:space="0"/>
              <w:left w:val="single" w:color="000000" w:sz="4" w:space="0"/>
              <w:bottom w:val="single" w:color="000000" w:sz="4" w:space="0"/>
              <w:right w:val="single" w:color="000000" w:sz="4" w:space="0"/>
            </w:tcBorders>
            <w:vAlign w:val="center"/>
          </w:tcPr>
          <w:p w14:paraId="1D06DB7E">
            <w:pPr>
              <w:overflowPunct w:val="0"/>
              <w:spacing w:line="240" w:lineRule="atLeast"/>
              <w:jc w:val="center"/>
              <w:rPr>
                <w:rFonts w:ascii="宋体" w:hAnsi="宋体" w:cs="Arial"/>
                <w:kern w:val="2"/>
                <w:sz w:val="20"/>
              </w:rPr>
            </w:pPr>
            <w:r>
              <w:rPr>
                <w:rFonts w:ascii="宋体" w:hAnsi="宋体" w:cs="Arial"/>
                <w:kern w:val="2"/>
                <w:sz w:val="20"/>
              </w:rPr>
              <w:t>两梯六户</w:t>
            </w:r>
          </w:p>
        </w:tc>
      </w:tr>
    </w:tbl>
    <w:p w14:paraId="1C885338">
      <w:pPr>
        <w:overflowPunct w:val="0"/>
        <w:spacing w:line="240" w:lineRule="atLeast"/>
        <w:jc w:val="center"/>
        <w:rPr>
          <w:rFonts w:ascii="宋体" w:hAnsi="宋体" w:cs="Arial"/>
          <w:kern w:val="2"/>
          <w:sz w:val="20"/>
        </w:rPr>
      </w:pPr>
    </w:p>
    <w:p w14:paraId="34ED432B">
      <w:pPr>
        <w:pStyle w:val="61"/>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2.</w:t>
      </w:r>
      <w:r>
        <w:rPr>
          <w:rFonts w:hint="eastAsia" w:ascii="Arial" w:hAnsi="Arial" w:cs="Arial"/>
          <w:b/>
          <w:kern w:val="2"/>
          <w:sz w:val="21"/>
          <w:szCs w:val="21"/>
        </w:rPr>
        <w:t>可比案例选取</w:t>
      </w:r>
    </w:p>
    <w:p w14:paraId="0D368877">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（1）估价机构样本小区数据选取</w:t>
      </w:r>
    </w:p>
    <w:p w14:paraId="001DE76B">
      <w:pPr>
        <w:pStyle w:val="61"/>
        <w:autoSpaceDE w:val="0"/>
        <w:autoSpaceDN w:val="0"/>
        <w:spacing w:line="480" w:lineRule="auto"/>
        <w:ind w:firstLine="420" w:firstLineChars="200"/>
        <w:jc w:val="both"/>
        <w:textAlignment w:val="bottom"/>
        <w:rPr>
          <w:rFonts w:ascii="Arial" w:hAnsi="Arial" w:cs="Arial"/>
          <w:sz w:val="21"/>
          <w:szCs w:val="21"/>
        </w:rPr>
      </w:pPr>
      <w:r>
        <w:rPr>
          <w:rFonts w:hint="eastAsia" w:hAnsi="宋体" w:cs="Arial"/>
          <w:sz w:val="21"/>
          <w:szCs w:val="21"/>
        </w:rPr>
        <w:t>1）</w:t>
      </w:r>
      <w:r>
        <w:rPr>
          <w:rFonts w:hint="eastAsia" w:ascii="Arial" w:hAnsi="Arial" w:cs="Arial"/>
          <w:sz w:val="21"/>
          <w:szCs w:val="21"/>
        </w:rPr>
        <w:t>样本小区选取</w:t>
      </w:r>
    </w:p>
    <w:p w14:paraId="1643B177">
      <w:pPr>
        <w:pStyle w:val="61"/>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根据评估专业人员对大兴区高米店区域市场调查，估价对象周边3公里内住宅小区有</w:t>
      </w:r>
      <w:r>
        <w:rPr>
          <w:rFonts w:hint="eastAsia" w:ascii="Arial" w:hAnsi="Arial" w:cs="Arial"/>
          <w:sz w:val="21"/>
          <w:szCs w:val="21"/>
        </w:rPr>
        <w:t>保利茉莉公馆、枣园小区、郁花园二里、滨河西里南区、华润公元九里、金地仰山西区</w:t>
      </w:r>
      <w:r>
        <w:rPr>
          <w:rFonts w:ascii="Arial" w:hAnsi="Arial" w:cs="Arial"/>
          <w:sz w:val="21"/>
          <w:szCs w:val="21"/>
        </w:rPr>
        <w:t>等多个商品房住宅项目。各小区具体情况如下表所示</w:t>
      </w:r>
      <w:r>
        <w:rPr>
          <w:rFonts w:hint="eastAsia" w:ascii="Arial" w:hAnsi="Arial" w:cs="Arial"/>
          <w:sz w:val="21"/>
          <w:szCs w:val="21"/>
        </w:rPr>
        <w:t>：</w:t>
      </w:r>
    </w:p>
    <w:tbl>
      <w:tblPr>
        <w:tblStyle w:val="23"/>
        <w:tblW w:w="8340" w:type="dxa"/>
        <w:jc w:val="center"/>
        <w:tblLayout w:type="autofit"/>
        <w:tblCellMar>
          <w:top w:w="0" w:type="dxa"/>
          <w:left w:w="108" w:type="dxa"/>
          <w:bottom w:w="0" w:type="dxa"/>
          <w:right w:w="108" w:type="dxa"/>
        </w:tblCellMar>
      </w:tblPr>
      <w:tblGrid>
        <w:gridCol w:w="726"/>
        <w:gridCol w:w="1843"/>
        <w:gridCol w:w="1134"/>
        <w:gridCol w:w="1134"/>
        <w:gridCol w:w="1843"/>
        <w:gridCol w:w="1660"/>
      </w:tblGrid>
      <w:tr w14:paraId="03088C5D">
        <w:tblPrEx>
          <w:tblCellMar>
            <w:top w:w="0" w:type="dxa"/>
            <w:left w:w="108" w:type="dxa"/>
            <w:bottom w:w="0" w:type="dxa"/>
            <w:right w:w="108" w:type="dxa"/>
          </w:tblCellMar>
        </w:tblPrEx>
        <w:trPr>
          <w:trHeight w:val="270" w:hRule="atLeast"/>
          <w:jc w:val="center"/>
        </w:trPr>
        <w:tc>
          <w:tcPr>
            <w:tcW w:w="8340" w:type="dxa"/>
            <w:gridSpan w:val="6"/>
            <w:tcBorders>
              <w:top w:val="single" w:color="auto" w:sz="4" w:space="0"/>
              <w:left w:val="single" w:color="auto" w:sz="4" w:space="0"/>
              <w:bottom w:val="single" w:color="auto" w:sz="4" w:space="0"/>
              <w:right w:val="single" w:color="auto" w:sz="4" w:space="0"/>
            </w:tcBorders>
            <w:vAlign w:val="center"/>
          </w:tcPr>
          <w:p w14:paraId="3DFBE18C">
            <w:pPr>
              <w:pStyle w:val="58"/>
              <w:jc w:val="center"/>
              <w:rPr>
                <w:rFonts w:ascii="Arial" w:hAnsi="Arial" w:eastAsia="华文细黑" w:cs="Arial"/>
                <w:sz w:val="18"/>
                <w:szCs w:val="18"/>
              </w:rPr>
            </w:pPr>
            <w:r>
              <w:rPr>
                <w:rFonts w:ascii="Arial" w:hAnsi="Arial" w:eastAsia="华文细黑" w:cs="Arial"/>
                <w:sz w:val="18"/>
                <w:szCs w:val="18"/>
              </w:rPr>
              <w:t>周边市场调查情况表</w:t>
            </w:r>
          </w:p>
        </w:tc>
      </w:tr>
      <w:tr w14:paraId="7F159A72">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79FD82EE">
            <w:pPr>
              <w:pStyle w:val="58"/>
              <w:jc w:val="center"/>
              <w:rPr>
                <w:rFonts w:ascii="Arial" w:hAnsi="Arial" w:eastAsia="华文细黑" w:cs="Arial"/>
                <w:sz w:val="18"/>
                <w:szCs w:val="18"/>
              </w:rPr>
            </w:pPr>
            <w:r>
              <w:rPr>
                <w:rFonts w:ascii="Arial" w:hAnsi="Arial" w:eastAsia="华文细黑" w:cs="Arial"/>
                <w:sz w:val="18"/>
                <w:szCs w:val="18"/>
              </w:rPr>
              <w:t>序号</w:t>
            </w:r>
          </w:p>
        </w:tc>
        <w:tc>
          <w:tcPr>
            <w:tcW w:w="1843" w:type="dxa"/>
            <w:tcBorders>
              <w:top w:val="nil"/>
              <w:left w:val="nil"/>
              <w:bottom w:val="single" w:color="auto" w:sz="4" w:space="0"/>
              <w:right w:val="single" w:color="auto" w:sz="4" w:space="0"/>
            </w:tcBorders>
            <w:vAlign w:val="center"/>
          </w:tcPr>
          <w:p w14:paraId="0D94D8AE">
            <w:pPr>
              <w:widowControl/>
              <w:adjustRightInd/>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项目名称</w:t>
            </w:r>
          </w:p>
        </w:tc>
        <w:tc>
          <w:tcPr>
            <w:tcW w:w="1134" w:type="dxa"/>
            <w:tcBorders>
              <w:top w:val="nil"/>
              <w:left w:val="nil"/>
              <w:bottom w:val="single" w:color="auto" w:sz="4" w:space="0"/>
              <w:right w:val="single" w:color="auto" w:sz="4" w:space="0"/>
            </w:tcBorders>
            <w:vAlign w:val="center"/>
          </w:tcPr>
          <w:p w14:paraId="22494B20">
            <w:pPr>
              <w:pStyle w:val="58"/>
              <w:jc w:val="center"/>
              <w:rPr>
                <w:rFonts w:ascii="Arial" w:hAnsi="Arial" w:eastAsia="华文细黑" w:cs="Arial"/>
                <w:sz w:val="18"/>
                <w:szCs w:val="18"/>
              </w:rPr>
            </w:pPr>
            <w:r>
              <w:rPr>
                <w:rFonts w:ascii="Arial" w:hAnsi="Arial" w:eastAsia="华文细黑" w:cs="Arial"/>
                <w:sz w:val="18"/>
                <w:szCs w:val="18"/>
              </w:rPr>
              <w:t>主力户型</w:t>
            </w:r>
          </w:p>
        </w:tc>
        <w:tc>
          <w:tcPr>
            <w:tcW w:w="1134" w:type="dxa"/>
            <w:tcBorders>
              <w:top w:val="nil"/>
              <w:left w:val="nil"/>
              <w:bottom w:val="single" w:color="auto" w:sz="4" w:space="0"/>
              <w:right w:val="single" w:color="auto" w:sz="4" w:space="0"/>
            </w:tcBorders>
            <w:vAlign w:val="center"/>
          </w:tcPr>
          <w:p w14:paraId="70D3E223">
            <w:pPr>
              <w:pStyle w:val="58"/>
              <w:jc w:val="center"/>
              <w:rPr>
                <w:rFonts w:ascii="Arial" w:hAnsi="Arial" w:eastAsia="华文细黑" w:cs="Arial"/>
                <w:sz w:val="18"/>
                <w:szCs w:val="18"/>
              </w:rPr>
            </w:pPr>
            <w:r>
              <w:rPr>
                <w:rFonts w:ascii="Arial" w:hAnsi="Arial" w:eastAsia="华文细黑" w:cs="Arial"/>
                <w:sz w:val="18"/>
                <w:szCs w:val="18"/>
              </w:rPr>
              <w:t>主力户型建筑面积</w:t>
            </w:r>
          </w:p>
          <w:p w14:paraId="0B975EEA">
            <w:pPr>
              <w:pStyle w:val="58"/>
              <w:jc w:val="center"/>
              <w:rPr>
                <w:rFonts w:ascii="Arial" w:hAnsi="Arial" w:eastAsia="华文细黑" w:cs="Arial"/>
                <w:sz w:val="18"/>
                <w:szCs w:val="18"/>
              </w:rPr>
            </w:pPr>
            <w:r>
              <w:rPr>
                <w:rFonts w:ascii="Arial" w:hAnsi="Arial" w:eastAsia="华文细黑" w:cs="Arial"/>
                <w:sz w:val="18"/>
                <w:szCs w:val="18"/>
              </w:rPr>
              <w:t>（平方米）</w:t>
            </w:r>
          </w:p>
        </w:tc>
        <w:tc>
          <w:tcPr>
            <w:tcW w:w="1843" w:type="dxa"/>
            <w:tcBorders>
              <w:top w:val="nil"/>
              <w:left w:val="nil"/>
              <w:bottom w:val="single" w:color="auto" w:sz="4" w:space="0"/>
              <w:right w:val="single" w:color="auto" w:sz="4" w:space="0"/>
            </w:tcBorders>
            <w:vAlign w:val="center"/>
          </w:tcPr>
          <w:p w14:paraId="4920F6C6">
            <w:pPr>
              <w:pStyle w:val="58"/>
              <w:jc w:val="center"/>
              <w:rPr>
                <w:rFonts w:ascii="Arial" w:hAnsi="Arial" w:eastAsia="华文细黑" w:cs="Arial"/>
                <w:sz w:val="18"/>
                <w:szCs w:val="18"/>
              </w:rPr>
            </w:pPr>
            <w:r>
              <w:rPr>
                <w:rFonts w:ascii="Arial" w:hAnsi="Arial" w:eastAsia="华文细黑" w:cs="Arial"/>
                <w:sz w:val="18"/>
                <w:szCs w:val="18"/>
              </w:rPr>
              <w:t>年均</w:t>
            </w:r>
            <w:r>
              <w:rPr>
                <w:rFonts w:hint="eastAsia" w:ascii="Arial" w:hAnsi="Arial" w:eastAsia="华文细黑" w:cs="Arial"/>
                <w:sz w:val="18"/>
                <w:szCs w:val="18"/>
              </w:rPr>
              <w:t>月</w:t>
            </w:r>
            <w:r>
              <w:rPr>
                <w:rFonts w:ascii="Arial" w:hAnsi="Arial" w:eastAsia="华文细黑" w:cs="Arial"/>
                <w:sz w:val="18"/>
                <w:szCs w:val="18"/>
              </w:rPr>
              <w:t>租金</w:t>
            </w:r>
          </w:p>
          <w:p w14:paraId="10A7D383">
            <w:pPr>
              <w:pStyle w:val="58"/>
              <w:jc w:val="center"/>
              <w:rPr>
                <w:rFonts w:ascii="Arial" w:hAnsi="Arial" w:eastAsia="华文细黑" w:cs="Arial"/>
                <w:sz w:val="18"/>
                <w:szCs w:val="18"/>
              </w:rPr>
            </w:pPr>
            <w:r>
              <w:rPr>
                <w:rFonts w:ascii="Arial" w:hAnsi="Arial" w:eastAsia="华文细黑" w:cs="Arial"/>
                <w:sz w:val="18"/>
                <w:szCs w:val="18"/>
              </w:rPr>
              <w:t>（元/月•平方米）</w:t>
            </w:r>
          </w:p>
        </w:tc>
        <w:tc>
          <w:tcPr>
            <w:tcW w:w="1660" w:type="dxa"/>
            <w:tcBorders>
              <w:top w:val="nil"/>
              <w:left w:val="nil"/>
              <w:bottom w:val="single" w:color="auto" w:sz="4" w:space="0"/>
              <w:right w:val="single" w:color="auto" w:sz="4" w:space="0"/>
            </w:tcBorders>
            <w:vAlign w:val="center"/>
          </w:tcPr>
          <w:p w14:paraId="116A0A4E">
            <w:pPr>
              <w:pStyle w:val="58"/>
              <w:jc w:val="center"/>
              <w:rPr>
                <w:rFonts w:ascii="Arial" w:hAnsi="Arial" w:eastAsia="华文细黑" w:cs="Arial"/>
                <w:sz w:val="18"/>
                <w:szCs w:val="18"/>
              </w:rPr>
            </w:pPr>
            <w:r>
              <w:rPr>
                <w:rFonts w:ascii="Arial" w:hAnsi="Arial" w:eastAsia="华文细黑" w:cs="Arial"/>
                <w:sz w:val="18"/>
                <w:szCs w:val="18"/>
              </w:rPr>
              <w:t>物业费</w:t>
            </w:r>
          </w:p>
          <w:p w14:paraId="2C1A1147">
            <w:pPr>
              <w:pStyle w:val="58"/>
              <w:jc w:val="center"/>
              <w:rPr>
                <w:rFonts w:ascii="Arial" w:hAnsi="Arial" w:eastAsia="华文细黑" w:cs="Arial"/>
                <w:sz w:val="18"/>
                <w:szCs w:val="18"/>
              </w:rPr>
            </w:pPr>
            <w:r>
              <w:rPr>
                <w:rFonts w:ascii="Arial" w:hAnsi="Arial" w:eastAsia="华文细黑" w:cs="Arial"/>
                <w:sz w:val="18"/>
                <w:szCs w:val="18"/>
              </w:rPr>
              <w:t>（元/月•平方米）</w:t>
            </w:r>
          </w:p>
        </w:tc>
      </w:tr>
      <w:tr w14:paraId="7B92A07C">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7AD2F674">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1</w:t>
            </w:r>
          </w:p>
        </w:tc>
        <w:tc>
          <w:tcPr>
            <w:tcW w:w="1843" w:type="dxa"/>
            <w:tcBorders>
              <w:top w:val="nil"/>
              <w:left w:val="nil"/>
              <w:bottom w:val="single" w:color="auto" w:sz="4" w:space="0"/>
              <w:right w:val="single" w:color="auto" w:sz="4" w:space="0"/>
            </w:tcBorders>
            <w:vAlign w:val="center"/>
          </w:tcPr>
          <w:p w14:paraId="0A45C7D7">
            <w:pPr>
              <w:pStyle w:val="58"/>
              <w:ind w:firstLine="180" w:firstLineChars="100"/>
              <w:rPr>
                <w:rFonts w:ascii="Arial" w:hAnsi="Arial" w:eastAsia="华文细黑" w:cs="Arial"/>
                <w:color w:val="auto"/>
                <w:sz w:val="18"/>
                <w:szCs w:val="18"/>
              </w:rPr>
            </w:pPr>
            <w:r>
              <w:rPr>
                <w:rFonts w:hint="eastAsia" w:ascii="Arial" w:hAnsi="Arial" w:eastAsia="华文细黑" w:cs="Arial"/>
                <w:color w:val="auto"/>
                <w:sz w:val="18"/>
                <w:szCs w:val="18"/>
              </w:rPr>
              <w:t>保利茉莉公馆</w:t>
            </w:r>
          </w:p>
        </w:tc>
        <w:tc>
          <w:tcPr>
            <w:tcW w:w="1134" w:type="dxa"/>
            <w:tcBorders>
              <w:top w:val="nil"/>
              <w:left w:val="nil"/>
              <w:bottom w:val="single" w:color="auto" w:sz="4" w:space="0"/>
              <w:right w:val="single" w:color="auto" w:sz="4" w:space="0"/>
            </w:tcBorders>
            <w:vAlign w:val="center"/>
          </w:tcPr>
          <w:p w14:paraId="321034C9">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二</w:t>
            </w:r>
            <w:r>
              <w:rPr>
                <w:rFonts w:ascii="Arial" w:hAnsi="Arial" w:eastAsia="华文细黑" w:cs="Arial"/>
                <w:color w:val="auto"/>
                <w:sz w:val="18"/>
                <w:szCs w:val="18"/>
              </w:rPr>
              <w:t>居</w:t>
            </w:r>
          </w:p>
        </w:tc>
        <w:tc>
          <w:tcPr>
            <w:tcW w:w="1134" w:type="dxa"/>
            <w:tcBorders>
              <w:top w:val="nil"/>
              <w:left w:val="nil"/>
              <w:bottom w:val="single" w:color="auto" w:sz="4" w:space="0"/>
              <w:right w:val="single" w:color="auto" w:sz="4" w:space="0"/>
            </w:tcBorders>
            <w:vAlign w:val="center"/>
          </w:tcPr>
          <w:p w14:paraId="32C5C6E8">
            <w:pPr>
              <w:pStyle w:val="58"/>
              <w:jc w:val="center"/>
              <w:rPr>
                <w:rFonts w:ascii="Arial" w:hAnsi="Arial" w:eastAsia="华文细黑" w:cs="Arial"/>
                <w:color w:val="auto"/>
                <w:sz w:val="18"/>
                <w:szCs w:val="18"/>
              </w:rPr>
            </w:pPr>
            <w:r>
              <w:rPr>
                <w:rFonts w:ascii="Arial" w:hAnsi="Arial" w:eastAsia="华文细黑" w:cs="Arial"/>
                <w:color w:val="auto"/>
                <w:sz w:val="18"/>
                <w:szCs w:val="18"/>
              </w:rPr>
              <w:t>8</w:t>
            </w:r>
            <w:r>
              <w:rPr>
                <w:rFonts w:hint="eastAsia" w:ascii="Arial" w:hAnsi="Arial" w:eastAsia="华文细黑" w:cs="Arial"/>
                <w:color w:val="auto"/>
                <w:sz w:val="18"/>
                <w:szCs w:val="18"/>
              </w:rPr>
              <w:t>0</w:t>
            </w:r>
            <w:r>
              <w:rPr>
                <w:rFonts w:ascii="Arial" w:hAnsi="Arial" w:eastAsia="华文细黑" w:cs="Arial"/>
                <w:color w:val="auto"/>
                <w:sz w:val="18"/>
                <w:szCs w:val="18"/>
              </w:rPr>
              <w:t>-90</w:t>
            </w:r>
          </w:p>
        </w:tc>
        <w:tc>
          <w:tcPr>
            <w:tcW w:w="1843" w:type="dxa"/>
            <w:tcBorders>
              <w:top w:val="nil"/>
              <w:left w:val="nil"/>
              <w:bottom w:val="single" w:color="auto" w:sz="4" w:space="0"/>
              <w:right w:val="single" w:color="auto" w:sz="4" w:space="0"/>
            </w:tcBorders>
            <w:vAlign w:val="center"/>
          </w:tcPr>
          <w:p w14:paraId="686C7B7C">
            <w:pPr>
              <w:pStyle w:val="58"/>
              <w:jc w:val="center"/>
              <w:rPr>
                <w:rFonts w:ascii="Arial" w:hAnsi="Arial" w:eastAsia="华文细黑" w:cs="Arial"/>
                <w:color w:val="auto"/>
                <w:sz w:val="18"/>
                <w:szCs w:val="18"/>
              </w:rPr>
            </w:pPr>
            <w:r>
              <w:rPr>
                <w:rFonts w:ascii="Arial" w:hAnsi="Arial" w:eastAsia="华文细黑" w:cs="Arial"/>
                <w:color w:val="auto"/>
                <w:sz w:val="18"/>
                <w:szCs w:val="18"/>
              </w:rPr>
              <w:t>74</w:t>
            </w:r>
          </w:p>
        </w:tc>
        <w:tc>
          <w:tcPr>
            <w:tcW w:w="1660" w:type="dxa"/>
            <w:tcBorders>
              <w:top w:val="nil"/>
              <w:left w:val="nil"/>
              <w:bottom w:val="single" w:color="auto" w:sz="4" w:space="0"/>
              <w:right w:val="single" w:color="auto" w:sz="4" w:space="0"/>
            </w:tcBorders>
            <w:vAlign w:val="center"/>
          </w:tcPr>
          <w:p w14:paraId="24CA2FA5">
            <w:pPr>
              <w:pStyle w:val="58"/>
              <w:jc w:val="center"/>
              <w:rPr>
                <w:rFonts w:ascii="Arial" w:hAnsi="Arial" w:eastAsia="华文细黑" w:cs="Arial"/>
                <w:color w:val="auto"/>
                <w:sz w:val="18"/>
                <w:szCs w:val="18"/>
              </w:rPr>
            </w:pPr>
            <w:r>
              <w:rPr>
                <w:rFonts w:ascii="Arial" w:hAnsi="Arial" w:eastAsia="华文细黑" w:cs="Arial"/>
                <w:color w:val="auto"/>
                <w:sz w:val="18"/>
                <w:szCs w:val="18"/>
              </w:rPr>
              <w:t>2.68</w:t>
            </w:r>
          </w:p>
        </w:tc>
      </w:tr>
      <w:tr w14:paraId="0F9635FE">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155F40FE">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2</w:t>
            </w:r>
          </w:p>
        </w:tc>
        <w:tc>
          <w:tcPr>
            <w:tcW w:w="1843" w:type="dxa"/>
            <w:tcBorders>
              <w:top w:val="nil"/>
              <w:left w:val="nil"/>
              <w:bottom w:val="single" w:color="auto" w:sz="4" w:space="0"/>
              <w:right w:val="single" w:color="auto" w:sz="4" w:space="0"/>
            </w:tcBorders>
            <w:vAlign w:val="center"/>
          </w:tcPr>
          <w:p w14:paraId="024CFF1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青岛嘉园</w:t>
            </w:r>
          </w:p>
        </w:tc>
        <w:tc>
          <w:tcPr>
            <w:tcW w:w="1134" w:type="dxa"/>
            <w:tcBorders>
              <w:top w:val="nil"/>
              <w:left w:val="nil"/>
              <w:bottom w:val="single" w:color="auto" w:sz="4" w:space="0"/>
              <w:right w:val="single" w:color="auto" w:sz="4" w:space="0"/>
            </w:tcBorders>
            <w:vAlign w:val="center"/>
          </w:tcPr>
          <w:p w14:paraId="5EE37670">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错层三居室及复式</w:t>
            </w:r>
          </w:p>
        </w:tc>
        <w:tc>
          <w:tcPr>
            <w:tcW w:w="1134" w:type="dxa"/>
            <w:tcBorders>
              <w:top w:val="nil"/>
              <w:left w:val="nil"/>
              <w:bottom w:val="single" w:color="auto" w:sz="4" w:space="0"/>
              <w:right w:val="single" w:color="auto" w:sz="4" w:space="0"/>
            </w:tcBorders>
            <w:vAlign w:val="center"/>
          </w:tcPr>
          <w:p w14:paraId="57439967">
            <w:pPr>
              <w:pStyle w:val="58"/>
              <w:jc w:val="center"/>
              <w:rPr>
                <w:rFonts w:ascii="Arial" w:hAnsi="Arial" w:eastAsia="华文细黑" w:cs="Arial"/>
                <w:color w:val="auto"/>
                <w:sz w:val="18"/>
                <w:szCs w:val="18"/>
              </w:rPr>
            </w:pPr>
            <w:r>
              <w:rPr>
                <w:rFonts w:ascii="Arial" w:hAnsi="Arial" w:eastAsia="华文细黑" w:cs="Arial"/>
                <w:color w:val="auto"/>
                <w:sz w:val="18"/>
                <w:szCs w:val="18"/>
              </w:rPr>
              <w:t>130-245</w:t>
            </w:r>
          </w:p>
        </w:tc>
        <w:tc>
          <w:tcPr>
            <w:tcW w:w="1843" w:type="dxa"/>
            <w:tcBorders>
              <w:top w:val="nil"/>
              <w:left w:val="nil"/>
              <w:bottom w:val="single" w:color="auto" w:sz="4" w:space="0"/>
              <w:right w:val="single" w:color="auto" w:sz="4" w:space="0"/>
            </w:tcBorders>
            <w:vAlign w:val="center"/>
          </w:tcPr>
          <w:p w14:paraId="5760F8C8">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5</w:t>
            </w:r>
            <w:r>
              <w:rPr>
                <w:rFonts w:ascii="Arial" w:hAnsi="Arial" w:eastAsia="华文细黑" w:cs="Arial"/>
                <w:color w:val="auto"/>
                <w:sz w:val="18"/>
                <w:szCs w:val="18"/>
              </w:rPr>
              <w:t>7</w:t>
            </w:r>
          </w:p>
        </w:tc>
        <w:tc>
          <w:tcPr>
            <w:tcW w:w="1660" w:type="dxa"/>
            <w:tcBorders>
              <w:top w:val="nil"/>
              <w:left w:val="nil"/>
              <w:bottom w:val="single" w:color="auto" w:sz="4" w:space="0"/>
              <w:right w:val="single" w:color="auto" w:sz="4" w:space="0"/>
            </w:tcBorders>
            <w:vAlign w:val="center"/>
          </w:tcPr>
          <w:p w14:paraId="3E34EDDE">
            <w:pPr>
              <w:pStyle w:val="58"/>
              <w:jc w:val="center"/>
              <w:rPr>
                <w:rFonts w:ascii="Arial" w:hAnsi="Arial" w:eastAsia="华文细黑" w:cs="Arial"/>
                <w:color w:val="auto"/>
                <w:sz w:val="18"/>
                <w:szCs w:val="18"/>
              </w:rPr>
            </w:pPr>
            <w:r>
              <w:rPr>
                <w:rFonts w:ascii="Arial" w:hAnsi="Arial" w:eastAsia="华文细黑" w:cs="Arial"/>
                <w:color w:val="auto"/>
                <w:sz w:val="18"/>
                <w:szCs w:val="18"/>
              </w:rPr>
              <w:t>1.3-2</w:t>
            </w:r>
          </w:p>
        </w:tc>
      </w:tr>
      <w:tr w14:paraId="793CB79C">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00882E16">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3</w:t>
            </w:r>
          </w:p>
        </w:tc>
        <w:tc>
          <w:tcPr>
            <w:tcW w:w="1843" w:type="dxa"/>
            <w:tcBorders>
              <w:top w:val="nil"/>
              <w:left w:val="nil"/>
              <w:bottom w:val="single" w:color="auto" w:sz="4" w:space="0"/>
              <w:right w:val="single" w:color="auto" w:sz="4" w:space="0"/>
            </w:tcBorders>
            <w:vAlign w:val="center"/>
          </w:tcPr>
          <w:p w14:paraId="035CAB35">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郁花园二里</w:t>
            </w:r>
          </w:p>
        </w:tc>
        <w:tc>
          <w:tcPr>
            <w:tcW w:w="1134" w:type="dxa"/>
            <w:tcBorders>
              <w:top w:val="nil"/>
              <w:left w:val="nil"/>
              <w:bottom w:val="single" w:color="auto" w:sz="4" w:space="0"/>
              <w:right w:val="single" w:color="auto" w:sz="4" w:space="0"/>
            </w:tcBorders>
            <w:vAlign w:val="center"/>
          </w:tcPr>
          <w:p w14:paraId="1520BFFD">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二</w:t>
            </w:r>
            <w:r>
              <w:rPr>
                <w:rFonts w:ascii="Arial" w:hAnsi="Arial" w:eastAsia="华文细黑" w:cs="Arial"/>
                <w:color w:val="auto"/>
                <w:sz w:val="18"/>
                <w:szCs w:val="18"/>
              </w:rPr>
              <w:t>居</w:t>
            </w:r>
          </w:p>
        </w:tc>
        <w:tc>
          <w:tcPr>
            <w:tcW w:w="1134" w:type="dxa"/>
            <w:tcBorders>
              <w:top w:val="nil"/>
              <w:left w:val="nil"/>
              <w:bottom w:val="single" w:color="auto" w:sz="4" w:space="0"/>
              <w:right w:val="single" w:color="auto" w:sz="4" w:space="0"/>
            </w:tcBorders>
            <w:vAlign w:val="center"/>
          </w:tcPr>
          <w:p w14:paraId="24720092">
            <w:pPr>
              <w:pStyle w:val="58"/>
              <w:jc w:val="center"/>
              <w:rPr>
                <w:rFonts w:ascii="Arial" w:hAnsi="Arial" w:eastAsia="华文细黑" w:cs="Arial"/>
                <w:color w:val="auto"/>
                <w:sz w:val="18"/>
                <w:szCs w:val="18"/>
              </w:rPr>
            </w:pPr>
            <w:r>
              <w:rPr>
                <w:rFonts w:ascii="Arial" w:hAnsi="Arial" w:eastAsia="华文细黑" w:cs="Arial"/>
                <w:color w:val="auto"/>
                <w:sz w:val="18"/>
                <w:szCs w:val="18"/>
              </w:rPr>
              <w:t>60-70</w:t>
            </w:r>
          </w:p>
        </w:tc>
        <w:tc>
          <w:tcPr>
            <w:tcW w:w="1843" w:type="dxa"/>
            <w:tcBorders>
              <w:top w:val="nil"/>
              <w:left w:val="nil"/>
              <w:bottom w:val="single" w:color="auto" w:sz="4" w:space="0"/>
              <w:right w:val="single" w:color="auto" w:sz="4" w:space="0"/>
            </w:tcBorders>
            <w:vAlign w:val="center"/>
          </w:tcPr>
          <w:p w14:paraId="448CA954">
            <w:pPr>
              <w:pStyle w:val="58"/>
              <w:jc w:val="center"/>
              <w:rPr>
                <w:rFonts w:ascii="Arial" w:hAnsi="Arial" w:eastAsia="华文细黑" w:cs="Arial"/>
                <w:color w:val="auto"/>
                <w:sz w:val="18"/>
                <w:szCs w:val="18"/>
              </w:rPr>
            </w:pPr>
            <w:r>
              <w:rPr>
                <w:rFonts w:ascii="Arial" w:hAnsi="Arial" w:eastAsia="华文细黑" w:cs="Arial"/>
                <w:color w:val="auto"/>
                <w:sz w:val="18"/>
                <w:szCs w:val="18"/>
              </w:rPr>
              <w:t>68</w:t>
            </w:r>
          </w:p>
        </w:tc>
        <w:tc>
          <w:tcPr>
            <w:tcW w:w="1660" w:type="dxa"/>
            <w:tcBorders>
              <w:top w:val="nil"/>
              <w:left w:val="nil"/>
              <w:bottom w:val="single" w:color="auto" w:sz="4" w:space="0"/>
              <w:right w:val="single" w:color="auto" w:sz="4" w:space="0"/>
            </w:tcBorders>
            <w:vAlign w:val="center"/>
          </w:tcPr>
          <w:p w14:paraId="6348C1B9">
            <w:pPr>
              <w:pStyle w:val="58"/>
              <w:jc w:val="center"/>
              <w:rPr>
                <w:rFonts w:ascii="Arial" w:hAnsi="Arial" w:eastAsia="华文细黑" w:cs="Arial"/>
                <w:color w:val="auto"/>
                <w:sz w:val="18"/>
                <w:szCs w:val="18"/>
              </w:rPr>
            </w:pPr>
            <w:r>
              <w:rPr>
                <w:rFonts w:ascii="Arial" w:hAnsi="Arial" w:eastAsia="华文细黑" w:cs="Arial"/>
                <w:color w:val="auto"/>
                <w:sz w:val="18"/>
                <w:szCs w:val="18"/>
              </w:rPr>
              <w:t>0.8</w:t>
            </w:r>
          </w:p>
        </w:tc>
      </w:tr>
      <w:tr w14:paraId="1A175C16">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4323A331">
            <w:pPr>
              <w:pStyle w:val="58"/>
              <w:jc w:val="center"/>
              <w:rPr>
                <w:rFonts w:ascii="Arial" w:hAnsi="Arial" w:eastAsia="华文细黑" w:cs="Arial"/>
                <w:color w:val="auto"/>
                <w:sz w:val="18"/>
                <w:szCs w:val="18"/>
              </w:rPr>
            </w:pPr>
            <w:r>
              <w:rPr>
                <w:rFonts w:ascii="Arial" w:hAnsi="Arial" w:eastAsia="华文细黑" w:cs="Arial"/>
                <w:color w:val="auto"/>
                <w:sz w:val="18"/>
                <w:szCs w:val="18"/>
              </w:rPr>
              <w:t>4</w:t>
            </w:r>
          </w:p>
        </w:tc>
        <w:tc>
          <w:tcPr>
            <w:tcW w:w="1843" w:type="dxa"/>
            <w:tcBorders>
              <w:top w:val="nil"/>
              <w:left w:val="nil"/>
              <w:bottom w:val="single" w:color="auto" w:sz="4" w:space="0"/>
              <w:right w:val="single" w:color="auto" w:sz="4" w:space="0"/>
            </w:tcBorders>
            <w:vAlign w:val="center"/>
          </w:tcPr>
          <w:p w14:paraId="4938693D">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滨河西里南区</w:t>
            </w:r>
          </w:p>
        </w:tc>
        <w:tc>
          <w:tcPr>
            <w:tcW w:w="1134" w:type="dxa"/>
            <w:tcBorders>
              <w:top w:val="nil"/>
              <w:left w:val="nil"/>
              <w:bottom w:val="single" w:color="auto" w:sz="4" w:space="0"/>
              <w:right w:val="single" w:color="auto" w:sz="4" w:space="0"/>
            </w:tcBorders>
            <w:vAlign w:val="center"/>
          </w:tcPr>
          <w:p w14:paraId="142A2C38">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二</w:t>
            </w:r>
            <w:r>
              <w:rPr>
                <w:rFonts w:ascii="Arial" w:hAnsi="Arial" w:eastAsia="华文细黑" w:cs="Arial"/>
                <w:color w:val="auto"/>
                <w:sz w:val="18"/>
                <w:szCs w:val="18"/>
              </w:rPr>
              <w:t>居</w:t>
            </w:r>
          </w:p>
        </w:tc>
        <w:tc>
          <w:tcPr>
            <w:tcW w:w="1134" w:type="dxa"/>
            <w:tcBorders>
              <w:top w:val="nil"/>
              <w:left w:val="nil"/>
              <w:bottom w:val="single" w:color="auto" w:sz="4" w:space="0"/>
              <w:right w:val="single" w:color="auto" w:sz="4" w:space="0"/>
            </w:tcBorders>
            <w:vAlign w:val="center"/>
          </w:tcPr>
          <w:p w14:paraId="30EF18C4">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5</w:t>
            </w:r>
            <w:r>
              <w:rPr>
                <w:rFonts w:ascii="Arial" w:hAnsi="Arial" w:eastAsia="华文细黑" w:cs="Arial"/>
                <w:color w:val="auto"/>
                <w:sz w:val="18"/>
                <w:szCs w:val="18"/>
              </w:rPr>
              <w:t>0-60</w:t>
            </w:r>
          </w:p>
        </w:tc>
        <w:tc>
          <w:tcPr>
            <w:tcW w:w="1843" w:type="dxa"/>
            <w:tcBorders>
              <w:top w:val="nil"/>
              <w:left w:val="nil"/>
              <w:bottom w:val="single" w:color="auto" w:sz="4" w:space="0"/>
              <w:right w:val="single" w:color="auto" w:sz="4" w:space="0"/>
            </w:tcBorders>
            <w:vAlign w:val="center"/>
          </w:tcPr>
          <w:p w14:paraId="5F95E86C">
            <w:pPr>
              <w:pStyle w:val="58"/>
              <w:jc w:val="center"/>
              <w:rPr>
                <w:rFonts w:ascii="Arial" w:hAnsi="Arial" w:eastAsia="华文细黑" w:cs="Arial"/>
                <w:color w:val="auto"/>
                <w:sz w:val="18"/>
                <w:szCs w:val="18"/>
              </w:rPr>
            </w:pPr>
            <w:r>
              <w:rPr>
                <w:rFonts w:ascii="Arial" w:hAnsi="Arial" w:eastAsia="华文细黑" w:cs="Arial"/>
                <w:color w:val="auto"/>
                <w:sz w:val="18"/>
                <w:szCs w:val="18"/>
              </w:rPr>
              <w:t>60</w:t>
            </w:r>
          </w:p>
        </w:tc>
        <w:tc>
          <w:tcPr>
            <w:tcW w:w="1660" w:type="dxa"/>
            <w:tcBorders>
              <w:top w:val="nil"/>
              <w:left w:val="nil"/>
              <w:bottom w:val="single" w:color="auto" w:sz="4" w:space="0"/>
              <w:right w:val="single" w:color="auto" w:sz="4" w:space="0"/>
            </w:tcBorders>
            <w:vAlign w:val="center"/>
          </w:tcPr>
          <w:p w14:paraId="1502738B">
            <w:pPr>
              <w:pStyle w:val="58"/>
              <w:jc w:val="center"/>
              <w:rPr>
                <w:rFonts w:ascii="Arial" w:hAnsi="Arial" w:eastAsia="华文细黑" w:cs="Arial"/>
                <w:color w:val="auto"/>
                <w:sz w:val="18"/>
                <w:szCs w:val="18"/>
              </w:rPr>
            </w:pPr>
            <w:r>
              <w:rPr>
                <w:rFonts w:ascii="Arial" w:hAnsi="Arial" w:eastAsia="华文细黑" w:cs="Arial"/>
                <w:color w:val="auto"/>
                <w:sz w:val="18"/>
                <w:szCs w:val="18"/>
              </w:rPr>
              <w:t>1.5</w:t>
            </w:r>
          </w:p>
        </w:tc>
      </w:tr>
      <w:tr w14:paraId="2946A3C9">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44679DA4">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5</w:t>
            </w:r>
          </w:p>
        </w:tc>
        <w:tc>
          <w:tcPr>
            <w:tcW w:w="1843" w:type="dxa"/>
            <w:tcBorders>
              <w:top w:val="nil"/>
              <w:left w:val="nil"/>
              <w:bottom w:val="single" w:color="auto" w:sz="4" w:space="0"/>
              <w:right w:val="single" w:color="auto" w:sz="4" w:space="0"/>
            </w:tcBorders>
            <w:vAlign w:val="center"/>
          </w:tcPr>
          <w:p w14:paraId="56178374">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华润公元九里</w:t>
            </w:r>
          </w:p>
        </w:tc>
        <w:tc>
          <w:tcPr>
            <w:tcW w:w="1134" w:type="dxa"/>
            <w:tcBorders>
              <w:top w:val="nil"/>
              <w:left w:val="nil"/>
              <w:bottom w:val="single" w:color="auto" w:sz="4" w:space="0"/>
              <w:right w:val="single" w:color="auto" w:sz="4" w:space="0"/>
            </w:tcBorders>
            <w:vAlign w:val="center"/>
          </w:tcPr>
          <w:p w14:paraId="5F1AE20A">
            <w:pPr>
              <w:pStyle w:val="58"/>
              <w:jc w:val="center"/>
              <w:rPr>
                <w:rFonts w:ascii="Arial" w:hAnsi="Arial" w:eastAsia="华文细黑" w:cs="Arial"/>
                <w:color w:val="auto"/>
                <w:sz w:val="18"/>
                <w:szCs w:val="18"/>
              </w:rPr>
            </w:pPr>
            <w:r>
              <w:rPr>
                <w:rFonts w:ascii="Arial" w:hAnsi="Arial" w:eastAsia="华文细黑" w:cs="Arial"/>
                <w:color w:val="auto"/>
                <w:sz w:val="18"/>
                <w:szCs w:val="18"/>
              </w:rPr>
              <w:t>二居、四居</w:t>
            </w:r>
          </w:p>
        </w:tc>
        <w:tc>
          <w:tcPr>
            <w:tcW w:w="1134" w:type="dxa"/>
            <w:tcBorders>
              <w:top w:val="nil"/>
              <w:left w:val="nil"/>
              <w:bottom w:val="single" w:color="auto" w:sz="4" w:space="0"/>
              <w:right w:val="single" w:color="auto" w:sz="4" w:space="0"/>
            </w:tcBorders>
            <w:vAlign w:val="center"/>
          </w:tcPr>
          <w:p w14:paraId="255E7EDD">
            <w:pPr>
              <w:pStyle w:val="58"/>
              <w:jc w:val="center"/>
              <w:rPr>
                <w:rFonts w:ascii="Arial" w:hAnsi="Arial" w:eastAsia="华文细黑" w:cs="Arial"/>
                <w:color w:val="auto"/>
                <w:sz w:val="18"/>
                <w:szCs w:val="18"/>
              </w:rPr>
            </w:pPr>
            <w:r>
              <w:rPr>
                <w:rFonts w:ascii="Arial" w:hAnsi="Arial" w:eastAsia="华文细黑" w:cs="Arial"/>
                <w:color w:val="auto"/>
                <w:sz w:val="18"/>
                <w:szCs w:val="18"/>
              </w:rPr>
              <w:t>99-288</w:t>
            </w:r>
          </w:p>
        </w:tc>
        <w:tc>
          <w:tcPr>
            <w:tcW w:w="1843" w:type="dxa"/>
            <w:tcBorders>
              <w:top w:val="nil"/>
              <w:left w:val="nil"/>
              <w:bottom w:val="single" w:color="auto" w:sz="4" w:space="0"/>
              <w:right w:val="single" w:color="auto" w:sz="4" w:space="0"/>
            </w:tcBorders>
            <w:vAlign w:val="center"/>
          </w:tcPr>
          <w:p w14:paraId="3535A6F9">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8</w:t>
            </w:r>
            <w:r>
              <w:rPr>
                <w:rFonts w:ascii="Arial" w:hAnsi="Arial" w:eastAsia="华文细黑" w:cs="Arial"/>
                <w:color w:val="auto"/>
                <w:sz w:val="18"/>
                <w:szCs w:val="18"/>
              </w:rPr>
              <w:t>6</w:t>
            </w:r>
          </w:p>
        </w:tc>
        <w:tc>
          <w:tcPr>
            <w:tcW w:w="1660" w:type="dxa"/>
            <w:tcBorders>
              <w:top w:val="nil"/>
              <w:left w:val="nil"/>
              <w:bottom w:val="single" w:color="auto" w:sz="4" w:space="0"/>
              <w:right w:val="single" w:color="auto" w:sz="4" w:space="0"/>
            </w:tcBorders>
            <w:vAlign w:val="center"/>
          </w:tcPr>
          <w:p w14:paraId="66536B42">
            <w:pPr>
              <w:pStyle w:val="58"/>
              <w:jc w:val="center"/>
              <w:rPr>
                <w:rFonts w:ascii="Arial" w:hAnsi="Arial" w:eastAsia="华文细黑" w:cs="Arial"/>
                <w:color w:val="auto"/>
                <w:sz w:val="18"/>
                <w:szCs w:val="18"/>
              </w:rPr>
            </w:pPr>
            <w:r>
              <w:rPr>
                <w:rFonts w:ascii="Arial" w:hAnsi="Arial" w:eastAsia="华文细黑" w:cs="Arial"/>
                <w:color w:val="auto"/>
                <w:sz w:val="18"/>
                <w:szCs w:val="18"/>
              </w:rPr>
              <w:t>4.95</w:t>
            </w:r>
          </w:p>
        </w:tc>
      </w:tr>
      <w:tr w14:paraId="2D515B67">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vAlign w:val="center"/>
          </w:tcPr>
          <w:p w14:paraId="16062393">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6</w:t>
            </w:r>
          </w:p>
        </w:tc>
        <w:tc>
          <w:tcPr>
            <w:tcW w:w="1843" w:type="dxa"/>
            <w:tcBorders>
              <w:top w:val="nil"/>
              <w:left w:val="nil"/>
              <w:bottom w:val="single" w:color="auto" w:sz="4" w:space="0"/>
              <w:right w:val="single" w:color="auto" w:sz="4" w:space="0"/>
            </w:tcBorders>
            <w:vAlign w:val="center"/>
          </w:tcPr>
          <w:p w14:paraId="048F71CF">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金地仰山西区</w:t>
            </w:r>
          </w:p>
        </w:tc>
        <w:tc>
          <w:tcPr>
            <w:tcW w:w="1134" w:type="dxa"/>
            <w:tcBorders>
              <w:top w:val="nil"/>
              <w:left w:val="nil"/>
              <w:bottom w:val="single" w:color="auto" w:sz="4" w:space="0"/>
              <w:right w:val="single" w:color="auto" w:sz="4" w:space="0"/>
            </w:tcBorders>
            <w:vAlign w:val="center"/>
          </w:tcPr>
          <w:p w14:paraId="0E0DB68B">
            <w:pPr>
              <w:pStyle w:val="58"/>
              <w:jc w:val="center"/>
              <w:rPr>
                <w:rFonts w:ascii="Arial" w:hAnsi="Arial" w:eastAsia="华文细黑" w:cs="Arial"/>
                <w:color w:val="auto"/>
                <w:sz w:val="18"/>
                <w:szCs w:val="18"/>
              </w:rPr>
            </w:pPr>
            <w:r>
              <w:rPr>
                <w:rFonts w:ascii="Arial" w:hAnsi="Arial" w:eastAsia="华文细黑" w:cs="Arial"/>
                <w:color w:val="auto"/>
                <w:sz w:val="18"/>
                <w:szCs w:val="18"/>
              </w:rPr>
              <w:t>四居、两居</w:t>
            </w:r>
          </w:p>
        </w:tc>
        <w:tc>
          <w:tcPr>
            <w:tcW w:w="1134" w:type="dxa"/>
            <w:tcBorders>
              <w:top w:val="nil"/>
              <w:left w:val="nil"/>
              <w:bottom w:val="single" w:color="auto" w:sz="4" w:space="0"/>
              <w:right w:val="single" w:color="auto" w:sz="4" w:space="0"/>
            </w:tcBorders>
            <w:vAlign w:val="center"/>
          </w:tcPr>
          <w:p w14:paraId="3F20A9A5">
            <w:pPr>
              <w:pStyle w:val="58"/>
              <w:jc w:val="center"/>
              <w:rPr>
                <w:rFonts w:ascii="Arial" w:hAnsi="Arial" w:eastAsia="华文细黑" w:cs="Arial"/>
                <w:color w:val="auto"/>
                <w:sz w:val="18"/>
                <w:szCs w:val="18"/>
              </w:rPr>
            </w:pPr>
            <w:r>
              <w:rPr>
                <w:rFonts w:ascii="Arial" w:hAnsi="Arial" w:eastAsia="华文细黑" w:cs="Arial"/>
                <w:color w:val="auto"/>
                <w:sz w:val="18"/>
                <w:szCs w:val="18"/>
              </w:rPr>
              <w:t>66-160</w:t>
            </w:r>
          </w:p>
        </w:tc>
        <w:tc>
          <w:tcPr>
            <w:tcW w:w="1843" w:type="dxa"/>
            <w:tcBorders>
              <w:top w:val="nil"/>
              <w:left w:val="nil"/>
              <w:bottom w:val="single" w:color="auto" w:sz="4" w:space="0"/>
              <w:right w:val="single" w:color="auto" w:sz="4" w:space="0"/>
            </w:tcBorders>
            <w:vAlign w:val="center"/>
          </w:tcPr>
          <w:p w14:paraId="6318ECCA">
            <w:pPr>
              <w:pStyle w:val="58"/>
              <w:jc w:val="center"/>
              <w:rPr>
                <w:rFonts w:ascii="Arial" w:hAnsi="Arial" w:eastAsia="华文细黑" w:cs="Arial"/>
                <w:color w:val="auto"/>
                <w:sz w:val="18"/>
                <w:szCs w:val="18"/>
              </w:rPr>
            </w:pPr>
            <w:r>
              <w:rPr>
                <w:rFonts w:hint="eastAsia" w:ascii="Arial" w:hAnsi="Arial" w:eastAsia="华文细黑" w:cs="Arial"/>
                <w:color w:val="auto"/>
                <w:sz w:val="18"/>
                <w:szCs w:val="18"/>
              </w:rPr>
              <w:t>6</w:t>
            </w:r>
            <w:r>
              <w:rPr>
                <w:rFonts w:ascii="Arial" w:hAnsi="Arial" w:eastAsia="华文细黑" w:cs="Arial"/>
                <w:color w:val="auto"/>
                <w:sz w:val="18"/>
                <w:szCs w:val="18"/>
              </w:rPr>
              <w:t>8</w:t>
            </w:r>
          </w:p>
        </w:tc>
        <w:tc>
          <w:tcPr>
            <w:tcW w:w="1660" w:type="dxa"/>
            <w:tcBorders>
              <w:top w:val="nil"/>
              <w:left w:val="nil"/>
              <w:bottom w:val="single" w:color="auto" w:sz="4" w:space="0"/>
              <w:right w:val="single" w:color="auto" w:sz="4" w:space="0"/>
            </w:tcBorders>
            <w:vAlign w:val="center"/>
          </w:tcPr>
          <w:p w14:paraId="4E40F705">
            <w:pPr>
              <w:pStyle w:val="58"/>
              <w:jc w:val="center"/>
              <w:rPr>
                <w:rFonts w:ascii="Arial" w:hAnsi="Arial" w:eastAsia="华文细黑" w:cs="Arial"/>
                <w:color w:val="auto"/>
                <w:sz w:val="18"/>
                <w:szCs w:val="18"/>
              </w:rPr>
            </w:pPr>
            <w:r>
              <w:rPr>
                <w:rFonts w:ascii="Arial" w:hAnsi="Arial" w:eastAsia="华文细黑" w:cs="Arial"/>
                <w:color w:val="auto"/>
                <w:sz w:val="18"/>
                <w:szCs w:val="18"/>
              </w:rPr>
              <w:t>3.2</w:t>
            </w:r>
          </w:p>
        </w:tc>
      </w:tr>
    </w:tbl>
    <w:p w14:paraId="252C3711">
      <w:pPr>
        <w:pStyle w:val="61"/>
        <w:autoSpaceDE w:val="0"/>
        <w:autoSpaceDN w:val="0"/>
        <w:spacing w:before="240" w:beforeLines="100" w:line="480" w:lineRule="auto"/>
        <w:ind w:firstLine="420" w:firstLineChars="200"/>
        <w:jc w:val="both"/>
        <w:textAlignment w:val="bottom"/>
        <w:rPr>
          <w:rFonts w:hAnsi="宋体" w:cs="Arial"/>
          <w:sz w:val="21"/>
          <w:szCs w:val="21"/>
        </w:rPr>
      </w:pPr>
      <w:r>
        <w:rPr>
          <w:rFonts w:hint="eastAsia" w:hAnsi="宋体" w:cs="Arial"/>
          <w:sz w:val="21"/>
          <w:szCs w:val="21"/>
        </w:rPr>
        <w:t>估价对象周边小区较多，青岛嘉园于</w:t>
      </w:r>
      <w:r>
        <w:rPr>
          <w:rFonts w:ascii="Helvetica" w:hAnsi="Helvetica" w:cs="Helvetica"/>
          <w:color w:val="333333"/>
          <w:sz w:val="21"/>
          <w:szCs w:val="21"/>
          <w:shd w:val="clear" w:color="auto" w:fill="FFFFFF"/>
        </w:rPr>
        <w:t>2002-2004年间陆续竣工交付，</w:t>
      </w:r>
      <w:r>
        <w:rPr>
          <w:rFonts w:hint="eastAsia" w:ascii="Helvetica" w:hAnsi="Helvetica" w:cs="Helvetica"/>
          <w:color w:val="333333"/>
          <w:sz w:val="21"/>
          <w:szCs w:val="21"/>
          <w:shd w:val="clear" w:color="auto" w:fill="FFFFFF"/>
        </w:rPr>
        <w:t>主力户型为130-245平方米的错层三居室及复式住宅</w:t>
      </w:r>
      <w:r>
        <w:rPr>
          <w:rFonts w:hint="eastAsia" w:hAnsi="宋体" w:cs="Arial"/>
          <w:sz w:val="21"/>
          <w:szCs w:val="21"/>
        </w:rPr>
        <w:t>小区，华润公元九里小区于</w:t>
      </w:r>
      <w:r>
        <w:rPr>
          <w:rFonts w:ascii="Helvetica" w:hAnsi="Helvetica" w:cs="Helvetica"/>
          <w:color w:val="333333"/>
          <w:sz w:val="21"/>
          <w:szCs w:val="21"/>
          <w:shd w:val="clear" w:color="auto" w:fill="FFFFFF"/>
        </w:rPr>
        <w:t>2016年竣工交付，</w:t>
      </w:r>
      <w:r>
        <w:rPr>
          <w:rFonts w:hint="eastAsia" w:ascii="Helvetica" w:hAnsi="Helvetica" w:cs="Helvetica"/>
          <w:color w:val="333333"/>
          <w:sz w:val="21"/>
          <w:szCs w:val="21"/>
          <w:shd w:val="clear" w:color="auto" w:fill="FFFFFF"/>
        </w:rPr>
        <w:t>主力户型为</w:t>
      </w:r>
      <w:r>
        <w:rPr>
          <w:rFonts w:ascii="Helvetica" w:hAnsi="Helvetica" w:cs="Helvetica"/>
          <w:color w:val="333333"/>
          <w:sz w:val="21"/>
          <w:szCs w:val="21"/>
          <w:shd w:val="clear" w:color="auto" w:fill="FFFFFF"/>
        </w:rPr>
        <w:t>99-288</w:t>
      </w:r>
      <w:r>
        <w:rPr>
          <w:rFonts w:hint="eastAsia" w:ascii="Helvetica" w:hAnsi="Helvetica" w:cs="Helvetica"/>
          <w:color w:val="333333"/>
          <w:sz w:val="21"/>
          <w:szCs w:val="21"/>
          <w:shd w:val="clear" w:color="auto" w:fill="FFFFFF"/>
        </w:rPr>
        <w:t>平方米的二居室及四居</w:t>
      </w:r>
      <w:r>
        <w:rPr>
          <w:rFonts w:hint="eastAsia" w:hAnsi="宋体" w:cs="Arial"/>
          <w:sz w:val="21"/>
          <w:szCs w:val="21"/>
        </w:rPr>
        <w:t>，金地仰山西区于</w:t>
      </w:r>
      <w:r>
        <w:rPr>
          <w:rFonts w:hint="eastAsia" w:ascii="Helvetica" w:hAnsi="Helvetica" w:cs="Helvetica"/>
          <w:color w:val="333333"/>
          <w:sz w:val="21"/>
          <w:szCs w:val="21"/>
          <w:shd w:val="clear" w:color="auto" w:fill="FFFFFF"/>
        </w:rPr>
        <w:t>2</w:t>
      </w:r>
      <w:r>
        <w:rPr>
          <w:rFonts w:ascii="Helvetica" w:hAnsi="Helvetica" w:cs="Helvetica"/>
          <w:color w:val="333333"/>
          <w:sz w:val="21"/>
          <w:szCs w:val="21"/>
          <w:shd w:val="clear" w:color="auto" w:fill="FFFFFF"/>
        </w:rPr>
        <w:t>009-2013年间陆续竣工交付，</w:t>
      </w:r>
      <w:r>
        <w:rPr>
          <w:rFonts w:hint="eastAsia" w:ascii="Helvetica" w:hAnsi="Helvetica" w:cs="Helvetica"/>
          <w:color w:val="333333"/>
          <w:sz w:val="21"/>
          <w:szCs w:val="21"/>
          <w:shd w:val="clear" w:color="auto" w:fill="FFFFFF"/>
        </w:rPr>
        <w:t>主力户型为</w:t>
      </w:r>
      <w:r>
        <w:rPr>
          <w:rFonts w:ascii="Helvetica" w:hAnsi="Helvetica" w:cs="Helvetica"/>
          <w:color w:val="333333"/>
          <w:sz w:val="21"/>
          <w:szCs w:val="21"/>
          <w:shd w:val="clear" w:color="auto" w:fill="FFFFFF"/>
        </w:rPr>
        <w:t>66-160</w:t>
      </w:r>
      <w:r>
        <w:rPr>
          <w:rFonts w:hint="eastAsia" w:ascii="Helvetica" w:hAnsi="Helvetica" w:cs="Helvetica"/>
          <w:color w:val="333333"/>
          <w:sz w:val="21"/>
          <w:szCs w:val="21"/>
          <w:shd w:val="clear" w:color="auto" w:fill="FFFFFF"/>
        </w:rPr>
        <w:t>平方米的二居室及四居，青岛嘉园、华润公元九里、金地仰山西区住宅</w:t>
      </w:r>
      <w:r>
        <w:rPr>
          <w:rFonts w:hint="eastAsia" w:hAnsi="宋体" w:cs="Arial"/>
          <w:sz w:val="21"/>
          <w:szCs w:val="21"/>
        </w:rPr>
        <w:t>小区档次和品质及主力户型面积等优于估价对象，不宜作为可比案例，本次综合区位、小区规模、档次等因素筛选住房小区作为本次估价对象租金的可比实例，最终</w:t>
      </w:r>
      <w:r>
        <w:rPr>
          <w:rFonts w:hAnsi="宋体" w:cs="Arial"/>
          <w:sz w:val="21"/>
          <w:szCs w:val="21"/>
        </w:rPr>
        <w:t>选取了</w:t>
      </w:r>
      <w:r>
        <w:rPr>
          <w:rFonts w:hint="eastAsia" w:hAnsi="宋体" w:cs="Arial"/>
          <w:sz w:val="21"/>
          <w:szCs w:val="21"/>
        </w:rPr>
        <w:t>保利茉莉公馆、郁花园二里、滨河西里南区3</w:t>
      </w:r>
      <w:r>
        <w:rPr>
          <w:rFonts w:hAnsi="宋体" w:cs="Arial"/>
          <w:sz w:val="21"/>
          <w:szCs w:val="21"/>
        </w:rPr>
        <w:t>个普通商品房住宅小区为样本小区，</w:t>
      </w:r>
      <w:r>
        <w:rPr>
          <w:rFonts w:ascii="Arial" w:hAnsi="Arial" w:cs="Arial"/>
          <w:sz w:val="21"/>
          <w:szCs w:val="21"/>
        </w:rPr>
        <w:t>具体如下</w:t>
      </w:r>
      <w:r>
        <w:rPr>
          <w:rFonts w:hint="eastAsia" w:ascii="Arial" w:hAnsi="Arial" w:cs="Arial"/>
          <w:sz w:val="21"/>
          <w:szCs w:val="21"/>
        </w:rPr>
        <w:t>：</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693"/>
        <w:gridCol w:w="2268"/>
      </w:tblGrid>
      <w:tr w14:paraId="31F63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01" w:type="dxa"/>
          </w:tcPr>
          <w:p w14:paraId="2C4946F1">
            <w:pPr>
              <w:pStyle w:val="58"/>
              <w:jc w:val="center"/>
              <w:rPr>
                <w:rFonts w:ascii="华文细黑" w:hAnsi="华文细黑" w:eastAsia="华文细黑"/>
                <w:b/>
                <w:color w:val="auto"/>
                <w:sz w:val="18"/>
                <w:szCs w:val="18"/>
              </w:rPr>
            </w:pPr>
            <w:r>
              <w:rPr>
                <w:rFonts w:hint="eastAsia" w:ascii="华文细黑" w:hAnsi="华文细黑" w:eastAsia="华文细黑"/>
                <w:b/>
                <w:color w:val="auto"/>
                <w:sz w:val="18"/>
                <w:szCs w:val="18"/>
              </w:rPr>
              <w:t>序号</w:t>
            </w:r>
          </w:p>
        </w:tc>
        <w:tc>
          <w:tcPr>
            <w:tcW w:w="2693" w:type="dxa"/>
          </w:tcPr>
          <w:p w14:paraId="12335522">
            <w:pPr>
              <w:pStyle w:val="58"/>
              <w:jc w:val="center"/>
              <w:rPr>
                <w:rFonts w:ascii="华文细黑" w:hAnsi="华文细黑" w:eastAsia="华文细黑"/>
                <w:b/>
                <w:color w:val="auto"/>
                <w:sz w:val="18"/>
                <w:szCs w:val="18"/>
              </w:rPr>
            </w:pPr>
            <w:r>
              <w:rPr>
                <w:rFonts w:hint="eastAsia" w:ascii="华文细黑" w:hAnsi="华文细黑" w:eastAsia="华文细黑"/>
                <w:b/>
                <w:color w:val="auto"/>
                <w:sz w:val="18"/>
                <w:szCs w:val="18"/>
              </w:rPr>
              <w:t>小区名称</w:t>
            </w:r>
          </w:p>
        </w:tc>
        <w:tc>
          <w:tcPr>
            <w:tcW w:w="2268" w:type="dxa"/>
          </w:tcPr>
          <w:p w14:paraId="5655BB10">
            <w:pPr>
              <w:pStyle w:val="58"/>
              <w:jc w:val="center"/>
              <w:rPr>
                <w:rFonts w:ascii="华文细黑" w:hAnsi="华文细黑" w:eastAsia="华文细黑"/>
                <w:b/>
                <w:color w:val="auto"/>
                <w:sz w:val="18"/>
                <w:szCs w:val="18"/>
              </w:rPr>
            </w:pPr>
            <w:r>
              <w:rPr>
                <w:rFonts w:hint="eastAsia" w:ascii="华文细黑" w:hAnsi="华文细黑" w:eastAsia="华文细黑"/>
                <w:b/>
                <w:color w:val="auto"/>
                <w:sz w:val="18"/>
                <w:szCs w:val="18"/>
              </w:rPr>
              <w:t>建成年代（年）</w:t>
            </w:r>
          </w:p>
        </w:tc>
      </w:tr>
      <w:tr w14:paraId="3D964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01" w:type="dxa"/>
          </w:tcPr>
          <w:p w14:paraId="4E205A8D">
            <w:pPr>
              <w:pStyle w:val="58"/>
              <w:jc w:val="center"/>
              <w:rPr>
                <w:rFonts w:ascii="华文细黑" w:hAnsi="华文细黑" w:eastAsia="华文细黑"/>
                <w:color w:val="auto"/>
                <w:sz w:val="18"/>
                <w:szCs w:val="18"/>
              </w:rPr>
            </w:pPr>
            <w:r>
              <w:rPr>
                <w:rFonts w:hint="eastAsia" w:ascii="华文细黑" w:hAnsi="华文细黑" w:eastAsia="华文细黑"/>
                <w:color w:val="auto"/>
                <w:sz w:val="18"/>
                <w:szCs w:val="18"/>
              </w:rPr>
              <w:t>1</w:t>
            </w:r>
          </w:p>
        </w:tc>
        <w:tc>
          <w:tcPr>
            <w:tcW w:w="2693" w:type="dxa"/>
            <w:vAlign w:val="center"/>
          </w:tcPr>
          <w:p w14:paraId="4A3EC244">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保利茉莉公馆</w:t>
            </w:r>
          </w:p>
        </w:tc>
        <w:tc>
          <w:tcPr>
            <w:tcW w:w="2268" w:type="dxa"/>
          </w:tcPr>
          <w:p w14:paraId="64AF8BE2">
            <w:pPr>
              <w:pStyle w:val="58"/>
              <w:jc w:val="center"/>
              <w:rPr>
                <w:rFonts w:ascii="华文细黑" w:hAnsi="华文细黑" w:eastAsia="华文细黑"/>
                <w:color w:val="auto"/>
                <w:sz w:val="18"/>
                <w:szCs w:val="18"/>
              </w:rPr>
            </w:pPr>
            <w:r>
              <w:rPr>
                <w:rFonts w:ascii="华文细黑" w:hAnsi="华文细黑" w:eastAsia="华文细黑"/>
                <w:color w:val="auto"/>
                <w:sz w:val="18"/>
                <w:szCs w:val="18"/>
              </w:rPr>
              <w:t>2013</w:t>
            </w:r>
          </w:p>
        </w:tc>
      </w:tr>
      <w:tr w14:paraId="11CF5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01" w:type="dxa"/>
          </w:tcPr>
          <w:p w14:paraId="4A27C64C">
            <w:pPr>
              <w:pStyle w:val="58"/>
              <w:jc w:val="center"/>
              <w:rPr>
                <w:rFonts w:ascii="华文细黑" w:hAnsi="华文细黑" w:eastAsia="华文细黑"/>
                <w:color w:val="auto"/>
                <w:sz w:val="18"/>
                <w:szCs w:val="18"/>
              </w:rPr>
            </w:pPr>
            <w:r>
              <w:rPr>
                <w:rFonts w:hint="eastAsia" w:ascii="华文细黑" w:hAnsi="华文细黑" w:eastAsia="华文细黑"/>
                <w:color w:val="auto"/>
                <w:sz w:val="18"/>
                <w:szCs w:val="18"/>
              </w:rPr>
              <w:t>2</w:t>
            </w:r>
          </w:p>
        </w:tc>
        <w:tc>
          <w:tcPr>
            <w:tcW w:w="2693" w:type="dxa"/>
            <w:vAlign w:val="center"/>
          </w:tcPr>
          <w:p w14:paraId="72EF1E2F">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郁花园二里</w:t>
            </w:r>
          </w:p>
        </w:tc>
        <w:tc>
          <w:tcPr>
            <w:tcW w:w="2268" w:type="dxa"/>
          </w:tcPr>
          <w:p w14:paraId="5A65E357">
            <w:pPr>
              <w:pStyle w:val="58"/>
              <w:jc w:val="center"/>
              <w:rPr>
                <w:rFonts w:ascii="华文细黑" w:hAnsi="华文细黑" w:eastAsia="华文细黑"/>
                <w:color w:val="auto"/>
                <w:sz w:val="18"/>
                <w:szCs w:val="18"/>
              </w:rPr>
            </w:pPr>
            <w:r>
              <w:rPr>
                <w:rFonts w:ascii="华文细黑" w:hAnsi="华文细黑" w:eastAsia="华文细黑"/>
                <w:color w:val="auto"/>
                <w:sz w:val="18"/>
                <w:szCs w:val="18"/>
              </w:rPr>
              <w:t>2002</w:t>
            </w:r>
          </w:p>
        </w:tc>
      </w:tr>
      <w:tr w14:paraId="5C82B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01" w:type="dxa"/>
          </w:tcPr>
          <w:p w14:paraId="5AD358D3">
            <w:pPr>
              <w:pStyle w:val="58"/>
              <w:jc w:val="center"/>
              <w:rPr>
                <w:rFonts w:ascii="华文细黑" w:hAnsi="华文细黑" w:eastAsia="华文细黑"/>
                <w:color w:val="auto"/>
                <w:sz w:val="18"/>
                <w:szCs w:val="18"/>
              </w:rPr>
            </w:pPr>
            <w:r>
              <w:rPr>
                <w:rFonts w:hint="eastAsia" w:ascii="华文细黑" w:hAnsi="华文细黑" w:eastAsia="华文细黑"/>
                <w:color w:val="auto"/>
                <w:sz w:val="18"/>
                <w:szCs w:val="18"/>
              </w:rPr>
              <w:t>3</w:t>
            </w:r>
          </w:p>
        </w:tc>
        <w:tc>
          <w:tcPr>
            <w:tcW w:w="2693" w:type="dxa"/>
            <w:vAlign w:val="center"/>
          </w:tcPr>
          <w:p w14:paraId="79038E29">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滨河西里南区</w:t>
            </w:r>
          </w:p>
        </w:tc>
        <w:tc>
          <w:tcPr>
            <w:tcW w:w="2268" w:type="dxa"/>
          </w:tcPr>
          <w:p w14:paraId="1871B03C">
            <w:pPr>
              <w:pStyle w:val="58"/>
              <w:jc w:val="center"/>
              <w:rPr>
                <w:rFonts w:ascii="华文细黑" w:hAnsi="华文细黑" w:eastAsia="华文细黑"/>
                <w:color w:val="auto"/>
                <w:sz w:val="18"/>
                <w:szCs w:val="18"/>
              </w:rPr>
            </w:pPr>
            <w:r>
              <w:rPr>
                <w:rFonts w:ascii="华文细黑" w:hAnsi="华文细黑" w:eastAsia="华文细黑"/>
                <w:color w:val="auto"/>
                <w:sz w:val="18"/>
                <w:szCs w:val="18"/>
              </w:rPr>
              <w:t>1991</w:t>
            </w:r>
          </w:p>
        </w:tc>
      </w:tr>
    </w:tbl>
    <w:p w14:paraId="1D0CAE1A">
      <w:pPr>
        <w:pStyle w:val="61"/>
        <w:wordWrap w:val="0"/>
        <w:overflowPunct w:val="0"/>
        <w:autoSpaceDE w:val="0"/>
        <w:autoSpaceDN w:val="0"/>
        <w:spacing w:before="240" w:beforeLines="100" w:line="480" w:lineRule="auto"/>
        <w:ind w:right="142" w:firstLine="420" w:firstLineChars="200"/>
        <w:jc w:val="both"/>
        <w:textAlignment w:val="auto"/>
        <w:rPr>
          <w:rFonts w:ascii="Arial" w:hAnsi="Arial" w:cs="Arial"/>
          <w:sz w:val="21"/>
          <w:szCs w:val="21"/>
        </w:rPr>
      </w:pPr>
      <w:r>
        <w:rPr>
          <w:rFonts w:hint="eastAsia" w:ascii="Arial" w:hAnsi="Arial" w:cs="Arial"/>
          <w:sz w:val="21"/>
          <w:szCs w:val="21"/>
        </w:rPr>
        <w:t>样本小区一：保利茉莉公馆</w:t>
      </w:r>
    </w:p>
    <w:p w14:paraId="0A7FD179">
      <w:pPr>
        <w:pStyle w:val="61"/>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保利茉莉公馆位于大兴区兴华大街二段19号院，建成于</w:t>
      </w:r>
      <w:r>
        <w:rPr>
          <w:rFonts w:ascii="Arial" w:hAnsi="Arial" w:cs="Arial"/>
          <w:sz w:val="21"/>
          <w:szCs w:val="21"/>
        </w:rPr>
        <w:t>2013</w:t>
      </w:r>
      <w:r>
        <w:rPr>
          <w:rFonts w:hint="eastAsia" w:ascii="Arial" w:hAnsi="Arial" w:cs="Arial"/>
          <w:sz w:val="21"/>
          <w:szCs w:val="21"/>
        </w:rPr>
        <w:t>年，楼栋总数为16栋，建筑结构为钢混，共</w:t>
      </w:r>
      <w:r>
        <w:rPr>
          <w:rFonts w:ascii="Arial" w:hAnsi="Arial" w:cs="Arial"/>
          <w:sz w:val="21"/>
          <w:szCs w:val="21"/>
        </w:rPr>
        <w:t>2801</w:t>
      </w:r>
      <w:r>
        <w:rPr>
          <w:rFonts w:hint="eastAsia" w:ascii="Arial" w:hAnsi="Arial" w:cs="Arial"/>
          <w:sz w:val="21"/>
          <w:szCs w:val="21"/>
        </w:rPr>
        <w:t>户，建筑密度适中，环境状况较好，物业管理费为</w:t>
      </w:r>
      <w:r>
        <w:rPr>
          <w:rFonts w:ascii="Arial" w:hAnsi="Arial" w:cs="Arial"/>
          <w:sz w:val="21"/>
          <w:szCs w:val="21"/>
        </w:rPr>
        <w:t>2.68</w:t>
      </w:r>
      <w:r>
        <w:rPr>
          <w:rFonts w:hint="eastAsia" w:ascii="Arial" w:hAnsi="Arial" w:cs="Arial"/>
          <w:sz w:val="21"/>
          <w:szCs w:val="21"/>
        </w:rPr>
        <w:t>元/平方米·月，主力户型为二居室，朝向为南北向，建筑面积为</w:t>
      </w:r>
      <w:r>
        <w:rPr>
          <w:rFonts w:ascii="Arial" w:hAnsi="Arial" w:cs="Arial"/>
          <w:sz w:val="21"/>
          <w:szCs w:val="21"/>
        </w:rPr>
        <w:t>8</w:t>
      </w:r>
      <w:r>
        <w:rPr>
          <w:rFonts w:hint="eastAsia" w:ascii="Arial" w:hAnsi="Arial" w:cs="Arial"/>
          <w:sz w:val="21"/>
          <w:szCs w:val="21"/>
        </w:rPr>
        <w:t>0-</w:t>
      </w:r>
      <w:r>
        <w:rPr>
          <w:rFonts w:ascii="Arial" w:hAnsi="Arial" w:cs="Arial"/>
          <w:sz w:val="21"/>
          <w:szCs w:val="21"/>
        </w:rPr>
        <w:t>9</w:t>
      </w:r>
      <w:r>
        <w:rPr>
          <w:rFonts w:hint="eastAsia" w:ascii="Arial" w:hAnsi="Arial" w:cs="Arial"/>
          <w:sz w:val="21"/>
          <w:szCs w:val="21"/>
        </w:rPr>
        <w:t>0平方米，位于估价对象西北侧。与估价对象位于同一供需圈，建筑结构、物业档次与估价对象类似。</w:t>
      </w:r>
    </w:p>
    <w:p w14:paraId="6F679990">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p>
    <w:p w14:paraId="6493C102">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样本小区二：郁花园二里</w:t>
      </w:r>
    </w:p>
    <w:p w14:paraId="13605075">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郁花园二里位于大兴区黄村镇北兴路，建成于</w:t>
      </w:r>
      <w:r>
        <w:rPr>
          <w:rFonts w:ascii="Arial" w:hAnsi="Arial" w:cs="Arial"/>
          <w:sz w:val="21"/>
          <w:szCs w:val="21"/>
        </w:rPr>
        <w:t>2002</w:t>
      </w:r>
      <w:r>
        <w:rPr>
          <w:rFonts w:hint="eastAsia" w:ascii="Arial" w:hAnsi="Arial" w:cs="Arial"/>
          <w:sz w:val="21"/>
          <w:szCs w:val="21"/>
        </w:rPr>
        <w:t>年，楼栋总数为</w:t>
      </w:r>
      <w:r>
        <w:rPr>
          <w:rFonts w:ascii="Arial" w:hAnsi="Arial" w:cs="Arial"/>
          <w:sz w:val="21"/>
          <w:szCs w:val="21"/>
        </w:rPr>
        <w:t>35</w:t>
      </w:r>
      <w:r>
        <w:rPr>
          <w:rFonts w:hint="eastAsia" w:ascii="Arial" w:hAnsi="Arial" w:cs="Arial"/>
          <w:sz w:val="21"/>
          <w:szCs w:val="21"/>
        </w:rPr>
        <w:t>栋，建筑结构为混合，共</w:t>
      </w:r>
      <w:r>
        <w:rPr>
          <w:rFonts w:ascii="Arial" w:hAnsi="Arial" w:cs="Arial"/>
          <w:sz w:val="21"/>
          <w:szCs w:val="21"/>
        </w:rPr>
        <w:t>1693</w:t>
      </w:r>
      <w:r>
        <w:rPr>
          <w:rFonts w:hint="eastAsia" w:ascii="Arial" w:hAnsi="Arial" w:cs="Arial"/>
          <w:sz w:val="21"/>
          <w:szCs w:val="21"/>
        </w:rPr>
        <w:t>户，建筑密度适中，环境状况较好，物业管理费为</w:t>
      </w:r>
      <w:r>
        <w:rPr>
          <w:rFonts w:ascii="Arial" w:hAnsi="Arial" w:cs="Arial"/>
          <w:sz w:val="21"/>
          <w:szCs w:val="21"/>
        </w:rPr>
        <w:t>0.8</w:t>
      </w:r>
      <w:r>
        <w:rPr>
          <w:rFonts w:hint="eastAsia" w:ascii="Arial" w:hAnsi="Arial" w:cs="Arial"/>
          <w:sz w:val="21"/>
          <w:szCs w:val="21"/>
        </w:rPr>
        <w:t>元/平方米·月，主力户型为二居室，朝向为南北向，建筑面积为</w:t>
      </w:r>
      <w:r>
        <w:rPr>
          <w:rFonts w:ascii="Arial" w:hAnsi="Arial" w:cs="Arial"/>
          <w:sz w:val="21"/>
          <w:szCs w:val="21"/>
        </w:rPr>
        <w:t>60-70</w:t>
      </w:r>
      <w:r>
        <w:rPr>
          <w:rFonts w:hint="eastAsia" w:ascii="Arial" w:hAnsi="Arial" w:cs="Arial"/>
          <w:sz w:val="21"/>
          <w:szCs w:val="21"/>
        </w:rPr>
        <w:t>平方米。与估价对象位于同一供需圈，物业档次与估价对象类似。</w:t>
      </w:r>
    </w:p>
    <w:p w14:paraId="70FB4D1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样本小区三：滨河西里南区</w:t>
      </w:r>
    </w:p>
    <w:p w14:paraId="73C9CBEA">
      <w:pPr>
        <w:pStyle w:val="61"/>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滨河西里南区位于大兴区兴丰大街，建成于</w:t>
      </w:r>
      <w:r>
        <w:rPr>
          <w:rFonts w:ascii="Arial" w:hAnsi="Arial" w:cs="Arial"/>
          <w:sz w:val="21"/>
          <w:szCs w:val="21"/>
        </w:rPr>
        <w:t>1991</w:t>
      </w:r>
      <w:r>
        <w:rPr>
          <w:rFonts w:hint="eastAsia" w:ascii="Arial" w:hAnsi="Arial" w:cs="Arial"/>
          <w:sz w:val="21"/>
          <w:szCs w:val="21"/>
        </w:rPr>
        <w:t>年，楼栋总数为</w:t>
      </w:r>
      <w:r>
        <w:rPr>
          <w:rFonts w:ascii="Arial" w:hAnsi="Arial" w:cs="Arial"/>
          <w:sz w:val="21"/>
          <w:szCs w:val="21"/>
        </w:rPr>
        <w:t>29</w:t>
      </w:r>
      <w:r>
        <w:rPr>
          <w:rFonts w:hint="eastAsia" w:ascii="Arial" w:hAnsi="Arial" w:cs="Arial"/>
          <w:sz w:val="21"/>
          <w:szCs w:val="21"/>
        </w:rPr>
        <w:t>栋，建筑结构为混合，共</w:t>
      </w:r>
      <w:r>
        <w:rPr>
          <w:rFonts w:ascii="Arial" w:hAnsi="Arial" w:cs="Arial"/>
          <w:sz w:val="21"/>
          <w:szCs w:val="21"/>
        </w:rPr>
        <w:t>2006</w:t>
      </w:r>
      <w:r>
        <w:rPr>
          <w:rFonts w:hint="eastAsia" w:ascii="Arial" w:hAnsi="Arial" w:cs="Arial"/>
          <w:sz w:val="21"/>
          <w:szCs w:val="21"/>
        </w:rPr>
        <w:t>户，建筑密度适中，环境状况较好，物业管理费为</w:t>
      </w:r>
      <w:r>
        <w:rPr>
          <w:rFonts w:ascii="Arial" w:hAnsi="Arial" w:cs="Arial"/>
          <w:sz w:val="21"/>
          <w:szCs w:val="21"/>
        </w:rPr>
        <w:t>1.5</w:t>
      </w:r>
      <w:r>
        <w:rPr>
          <w:rFonts w:hint="eastAsia" w:ascii="Arial" w:hAnsi="Arial" w:cs="Arial"/>
          <w:sz w:val="21"/>
          <w:szCs w:val="21"/>
        </w:rPr>
        <w:t>元/平方米·月，主力户型为二居室，朝向为南北向，建筑面积为</w:t>
      </w:r>
      <w:r>
        <w:rPr>
          <w:rFonts w:ascii="Arial" w:hAnsi="Arial" w:cs="Arial"/>
          <w:sz w:val="21"/>
          <w:szCs w:val="21"/>
        </w:rPr>
        <w:t>50-60</w:t>
      </w:r>
      <w:r>
        <w:rPr>
          <w:rFonts w:hint="eastAsia" w:ascii="Arial" w:hAnsi="Arial" w:cs="Arial"/>
          <w:sz w:val="21"/>
          <w:szCs w:val="21"/>
        </w:rPr>
        <w:t>平方米。与估价对象位于同一供需圈，物业档次与估价对象类似。</w:t>
      </w:r>
    </w:p>
    <w:p w14:paraId="1FA0B863">
      <w:pPr>
        <w:pStyle w:val="61"/>
        <w:overflowPunct w:val="0"/>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23"/>
        <w:tblW w:w="9299" w:type="dxa"/>
        <w:jc w:val="center"/>
        <w:tblLayout w:type="autofit"/>
        <w:tblCellMar>
          <w:top w:w="0" w:type="dxa"/>
          <w:left w:w="108" w:type="dxa"/>
          <w:bottom w:w="0" w:type="dxa"/>
          <w:right w:w="108" w:type="dxa"/>
        </w:tblCellMar>
      </w:tblPr>
      <w:tblGrid>
        <w:gridCol w:w="851"/>
        <w:gridCol w:w="2410"/>
        <w:gridCol w:w="2863"/>
        <w:gridCol w:w="3175"/>
      </w:tblGrid>
      <w:tr w14:paraId="10721A1F">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3CE627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410" w:type="dxa"/>
            <w:tcBorders>
              <w:top w:val="single" w:color="auto" w:sz="4" w:space="0"/>
              <w:left w:val="nil"/>
              <w:bottom w:val="single" w:color="auto" w:sz="4" w:space="0"/>
              <w:right w:val="single" w:color="auto" w:sz="4" w:space="0"/>
            </w:tcBorders>
            <w:shd w:val="clear" w:color="auto" w:fill="auto"/>
            <w:noWrap/>
            <w:vAlign w:val="center"/>
          </w:tcPr>
          <w:p w14:paraId="4FA53BE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保利茉莉公馆</w:t>
            </w:r>
          </w:p>
        </w:tc>
        <w:tc>
          <w:tcPr>
            <w:tcW w:w="2863" w:type="dxa"/>
            <w:tcBorders>
              <w:top w:val="single" w:color="auto" w:sz="4" w:space="0"/>
              <w:left w:val="nil"/>
              <w:bottom w:val="single" w:color="auto" w:sz="4" w:space="0"/>
              <w:right w:val="single" w:color="auto" w:sz="4" w:space="0"/>
            </w:tcBorders>
            <w:shd w:val="clear" w:color="auto" w:fill="auto"/>
            <w:noWrap/>
            <w:vAlign w:val="center"/>
          </w:tcPr>
          <w:p w14:paraId="10F84612">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郁花园二里</w:t>
            </w:r>
          </w:p>
        </w:tc>
        <w:tc>
          <w:tcPr>
            <w:tcW w:w="3175" w:type="dxa"/>
            <w:tcBorders>
              <w:top w:val="single" w:color="auto" w:sz="4" w:space="0"/>
              <w:left w:val="nil"/>
              <w:bottom w:val="single" w:color="auto" w:sz="4" w:space="0"/>
              <w:right w:val="single" w:color="auto" w:sz="4" w:space="0"/>
            </w:tcBorders>
            <w:shd w:val="clear" w:color="auto" w:fill="auto"/>
            <w:noWrap/>
            <w:vAlign w:val="center"/>
          </w:tcPr>
          <w:p w14:paraId="1FA4CDA6">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滨河西里南区</w:t>
            </w:r>
          </w:p>
        </w:tc>
      </w:tr>
      <w:tr w14:paraId="275F2F96">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0460CF5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410" w:type="dxa"/>
            <w:tcBorders>
              <w:top w:val="nil"/>
              <w:left w:val="nil"/>
              <w:bottom w:val="single" w:color="auto" w:sz="4" w:space="0"/>
              <w:right w:val="single" w:color="auto" w:sz="4" w:space="0"/>
            </w:tcBorders>
            <w:shd w:val="clear" w:color="auto" w:fill="auto"/>
            <w:noWrap/>
            <w:vAlign w:val="center"/>
          </w:tcPr>
          <w:p w14:paraId="10FDDE72">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63" w:type="dxa"/>
            <w:tcBorders>
              <w:top w:val="nil"/>
              <w:left w:val="nil"/>
              <w:bottom w:val="single" w:color="auto" w:sz="4" w:space="0"/>
              <w:right w:val="single" w:color="auto" w:sz="4" w:space="0"/>
            </w:tcBorders>
            <w:shd w:val="clear" w:color="auto" w:fill="auto"/>
            <w:noWrap/>
            <w:vAlign w:val="center"/>
          </w:tcPr>
          <w:p w14:paraId="764B7F99">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3175" w:type="dxa"/>
            <w:tcBorders>
              <w:top w:val="nil"/>
              <w:left w:val="nil"/>
              <w:bottom w:val="single" w:color="auto" w:sz="4" w:space="0"/>
              <w:right w:val="single" w:color="auto" w:sz="4" w:space="0"/>
            </w:tcBorders>
            <w:shd w:val="clear" w:color="auto" w:fill="auto"/>
            <w:noWrap/>
            <w:vAlign w:val="center"/>
          </w:tcPr>
          <w:p w14:paraId="496AF5A9">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766C469B">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09B14325">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410" w:type="dxa"/>
            <w:tcBorders>
              <w:top w:val="nil"/>
              <w:left w:val="nil"/>
              <w:bottom w:val="single" w:color="auto" w:sz="4" w:space="0"/>
              <w:right w:val="single" w:color="auto" w:sz="4" w:space="0"/>
            </w:tcBorders>
            <w:shd w:val="clear" w:color="auto" w:fill="auto"/>
            <w:noWrap/>
            <w:vAlign w:val="center"/>
          </w:tcPr>
          <w:p w14:paraId="7069980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w:t>
            </w:r>
            <w:r>
              <w:rPr>
                <w:rFonts w:ascii="Arial" w:hAnsi="Arial" w:eastAsia="华文细黑" w:cs="Arial"/>
                <w:sz w:val="18"/>
                <w:szCs w:val="18"/>
              </w:rPr>
              <w:t>居室</w:t>
            </w:r>
          </w:p>
        </w:tc>
        <w:tc>
          <w:tcPr>
            <w:tcW w:w="2863" w:type="dxa"/>
            <w:tcBorders>
              <w:top w:val="nil"/>
              <w:left w:val="nil"/>
              <w:bottom w:val="single" w:color="auto" w:sz="4" w:space="0"/>
              <w:right w:val="single" w:color="auto" w:sz="4" w:space="0"/>
            </w:tcBorders>
            <w:shd w:val="clear" w:color="auto" w:fill="auto"/>
            <w:noWrap/>
            <w:vAlign w:val="center"/>
          </w:tcPr>
          <w:p w14:paraId="1DF9A66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二居室</w:t>
            </w:r>
          </w:p>
        </w:tc>
        <w:tc>
          <w:tcPr>
            <w:tcW w:w="3175" w:type="dxa"/>
            <w:tcBorders>
              <w:top w:val="nil"/>
              <w:left w:val="nil"/>
              <w:bottom w:val="single" w:color="auto" w:sz="4" w:space="0"/>
              <w:right w:val="single" w:color="auto" w:sz="4" w:space="0"/>
            </w:tcBorders>
            <w:shd w:val="clear" w:color="auto" w:fill="auto"/>
            <w:noWrap/>
            <w:vAlign w:val="center"/>
          </w:tcPr>
          <w:p w14:paraId="0D72567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二居室</w:t>
            </w:r>
          </w:p>
        </w:tc>
      </w:tr>
      <w:tr w14:paraId="6E424811">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32DDA2AB">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面积</w:t>
            </w:r>
          </w:p>
        </w:tc>
        <w:tc>
          <w:tcPr>
            <w:tcW w:w="2410" w:type="dxa"/>
            <w:tcBorders>
              <w:top w:val="nil"/>
              <w:left w:val="nil"/>
              <w:bottom w:val="single" w:color="auto" w:sz="4" w:space="0"/>
              <w:right w:val="single" w:color="auto" w:sz="4" w:space="0"/>
            </w:tcBorders>
            <w:shd w:val="clear" w:color="auto" w:fill="auto"/>
            <w:noWrap/>
            <w:vAlign w:val="center"/>
          </w:tcPr>
          <w:p w14:paraId="7BB6456C">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8</w:t>
            </w:r>
            <w:r>
              <w:rPr>
                <w:rFonts w:hint="eastAsia" w:ascii="Arial" w:hAnsi="Arial" w:eastAsia="华文细黑" w:cs="Arial"/>
                <w:sz w:val="18"/>
                <w:szCs w:val="18"/>
              </w:rPr>
              <w:t>0-</w:t>
            </w:r>
            <w:r>
              <w:rPr>
                <w:rFonts w:ascii="Arial" w:hAnsi="Arial" w:eastAsia="华文细黑" w:cs="Arial"/>
                <w:sz w:val="18"/>
                <w:szCs w:val="18"/>
              </w:rPr>
              <w:t>9</w:t>
            </w:r>
            <w:r>
              <w:rPr>
                <w:rFonts w:hint="eastAsia" w:ascii="Arial" w:hAnsi="Arial" w:eastAsia="华文细黑" w:cs="Arial"/>
                <w:sz w:val="18"/>
                <w:szCs w:val="18"/>
              </w:rPr>
              <w:t>0</w:t>
            </w:r>
            <w:r>
              <w:rPr>
                <w:rFonts w:ascii="Arial" w:hAnsi="Arial" w:eastAsia="华文细黑" w:cs="Arial"/>
                <w:sz w:val="18"/>
                <w:szCs w:val="18"/>
              </w:rPr>
              <w:t>㎡</w:t>
            </w:r>
          </w:p>
        </w:tc>
        <w:tc>
          <w:tcPr>
            <w:tcW w:w="2863" w:type="dxa"/>
            <w:tcBorders>
              <w:top w:val="nil"/>
              <w:left w:val="nil"/>
              <w:bottom w:val="single" w:color="auto" w:sz="4" w:space="0"/>
              <w:right w:val="single" w:color="auto" w:sz="4" w:space="0"/>
            </w:tcBorders>
            <w:shd w:val="clear" w:color="auto" w:fill="auto"/>
            <w:noWrap/>
            <w:vAlign w:val="center"/>
          </w:tcPr>
          <w:p w14:paraId="1A922F21">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60-70㎡</w:t>
            </w:r>
          </w:p>
        </w:tc>
        <w:tc>
          <w:tcPr>
            <w:tcW w:w="3175" w:type="dxa"/>
            <w:tcBorders>
              <w:top w:val="nil"/>
              <w:left w:val="nil"/>
              <w:bottom w:val="single" w:color="auto" w:sz="4" w:space="0"/>
              <w:right w:val="single" w:color="auto" w:sz="4" w:space="0"/>
            </w:tcBorders>
            <w:shd w:val="clear" w:color="auto" w:fill="auto"/>
            <w:noWrap/>
            <w:vAlign w:val="center"/>
          </w:tcPr>
          <w:p w14:paraId="7526D83B">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50-60㎡</w:t>
            </w:r>
          </w:p>
        </w:tc>
      </w:tr>
      <w:tr w14:paraId="15844610">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7FD39F18">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410" w:type="dxa"/>
            <w:tcBorders>
              <w:top w:val="nil"/>
              <w:left w:val="nil"/>
              <w:bottom w:val="single" w:color="auto" w:sz="4" w:space="0"/>
              <w:right w:val="single" w:color="auto" w:sz="4" w:space="0"/>
            </w:tcBorders>
            <w:shd w:val="clear" w:color="auto" w:fill="auto"/>
            <w:noWrap/>
            <w:vAlign w:val="center"/>
          </w:tcPr>
          <w:p w14:paraId="748B63B6">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南</w:t>
            </w:r>
          </w:p>
        </w:tc>
        <w:tc>
          <w:tcPr>
            <w:tcW w:w="2863" w:type="dxa"/>
            <w:tcBorders>
              <w:top w:val="nil"/>
              <w:left w:val="nil"/>
              <w:bottom w:val="single" w:color="auto" w:sz="4" w:space="0"/>
              <w:right w:val="single" w:color="auto" w:sz="4" w:space="0"/>
            </w:tcBorders>
            <w:shd w:val="clear" w:color="auto" w:fill="auto"/>
            <w:noWrap/>
            <w:vAlign w:val="center"/>
          </w:tcPr>
          <w:p w14:paraId="227D3109">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南</w:t>
            </w:r>
          </w:p>
        </w:tc>
        <w:tc>
          <w:tcPr>
            <w:tcW w:w="3175" w:type="dxa"/>
            <w:tcBorders>
              <w:top w:val="nil"/>
              <w:left w:val="nil"/>
              <w:bottom w:val="single" w:color="auto" w:sz="4" w:space="0"/>
              <w:right w:val="single" w:color="auto" w:sz="4" w:space="0"/>
            </w:tcBorders>
            <w:shd w:val="clear" w:color="auto" w:fill="auto"/>
            <w:noWrap/>
            <w:vAlign w:val="center"/>
          </w:tcPr>
          <w:p w14:paraId="37CED9BF">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616DE30D">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21C1FFD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梯户比</w:t>
            </w:r>
          </w:p>
        </w:tc>
        <w:tc>
          <w:tcPr>
            <w:tcW w:w="2410" w:type="dxa"/>
            <w:tcBorders>
              <w:top w:val="nil"/>
              <w:left w:val="nil"/>
              <w:bottom w:val="single" w:color="auto" w:sz="4" w:space="0"/>
              <w:right w:val="single" w:color="auto" w:sz="4" w:space="0"/>
            </w:tcBorders>
            <w:shd w:val="clear" w:color="auto" w:fill="auto"/>
            <w:noWrap/>
            <w:vAlign w:val="center"/>
          </w:tcPr>
          <w:p w14:paraId="2A7FB04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两梯四户</w:t>
            </w:r>
          </w:p>
        </w:tc>
        <w:tc>
          <w:tcPr>
            <w:tcW w:w="2863" w:type="dxa"/>
            <w:tcBorders>
              <w:top w:val="nil"/>
              <w:left w:val="nil"/>
              <w:bottom w:val="single" w:color="auto" w:sz="4" w:space="0"/>
              <w:right w:val="single" w:color="auto" w:sz="4" w:space="0"/>
            </w:tcBorders>
            <w:shd w:val="clear" w:color="auto" w:fill="auto"/>
            <w:noWrap/>
            <w:vAlign w:val="center"/>
          </w:tcPr>
          <w:p w14:paraId="7F9A1B82">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一梯两户</w:t>
            </w:r>
          </w:p>
        </w:tc>
        <w:tc>
          <w:tcPr>
            <w:tcW w:w="3175" w:type="dxa"/>
            <w:tcBorders>
              <w:top w:val="nil"/>
              <w:left w:val="nil"/>
              <w:bottom w:val="single" w:color="auto" w:sz="4" w:space="0"/>
              <w:right w:val="single" w:color="auto" w:sz="4" w:space="0"/>
            </w:tcBorders>
            <w:shd w:val="clear" w:color="auto" w:fill="auto"/>
            <w:noWrap/>
            <w:vAlign w:val="center"/>
          </w:tcPr>
          <w:p w14:paraId="561E3F4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一梯两户</w:t>
            </w:r>
          </w:p>
        </w:tc>
      </w:tr>
      <w:tr w14:paraId="042F5BC6">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0E8086D8">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410" w:type="dxa"/>
            <w:tcBorders>
              <w:top w:val="nil"/>
              <w:left w:val="nil"/>
              <w:bottom w:val="single" w:color="auto" w:sz="4" w:space="0"/>
              <w:right w:val="single" w:color="auto" w:sz="4" w:space="0"/>
            </w:tcBorders>
            <w:shd w:val="clear" w:color="auto" w:fill="auto"/>
            <w:noWrap/>
            <w:vAlign w:val="center"/>
          </w:tcPr>
          <w:p w14:paraId="73C1B45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2863" w:type="dxa"/>
            <w:tcBorders>
              <w:top w:val="nil"/>
              <w:left w:val="nil"/>
              <w:bottom w:val="single" w:color="auto" w:sz="4" w:space="0"/>
              <w:right w:val="single" w:color="auto" w:sz="4" w:space="0"/>
            </w:tcBorders>
            <w:shd w:val="clear" w:color="auto" w:fill="auto"/>
            <w:noWrap/>
            <w:vAlign w:val="center"/>
          </w:tcPr>
          <w:p w14:paraId="692FECA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3175" w:type="dxa"/>
            <w:tcBorders>
              <w:top w:val="nil"/>
              <w:left w:val="nil"/>
              <w:bottom w:val="single" w:color="auto" w:sz="4" w:space="0"/>
              <w:right w:val="single" w:color="auto" w:sz="4" w:space="0"/>
            </w:tcBorders>
            <w:shd w:val="clear" w:color="auto" w:fill="auto"/>
            <w:noWrap/>
            <w:vAlign w:val="center"/>
          </w:tcPr>
          <w:p w14:paraId="6E95CEE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精装修</w:t>
            </w:r>
          </w:p>
        </w:tc>
      </w:tr>
      <w:tr w14:paraId="0611F7D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27E0651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410" w:type="dxa"/>
            <w:tcBorders>
              <w:top w:val="nil"/>
              <w:left w:val="nil"/>
              <w:bottom w:val="single" w:color="auto" w:sz="4" w:space="0"/>
              <w:right w:val="single" w:color="auto" w:sz="4" w:space="0"/>
            </w:tcBorders>
            <w:shd w:val="clear" w:color="auto" w:fill="auto"/>
            <w:noWrap/>
          </w:tcPr>
          <w:p w14:paraId="6693ED7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c>
          <w:tcPr>
            <w:tcW w:w="2863" w:type="dxa"/>
            <w:tcBorders>
              <w:top w:val="nil"/>
              <w:left w:val="nil"/>
              <w:bottom w:val="single" w:color="auto" w:sz="4" w:space="0"/>
              <w:right w:val="single" w:color="auto" w:sz="4" w:space="0"/>
            </w:tcBorders>
            <w:shd w:val="clear" w:color="auto" w:fill="auto"/>
            <w:noWrap/>
          </w:tcPr>
          <w:p w14:paraId="540ABA16">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c>
          <w:tcPr>
            <w:tcW w:w="3175" w:type="dxa"/>
            <w:tcBorders>
              <w:top w:val="nil"/>
              <w:left w:val="nil"/>
              <w:bottom w:val="single" w:color="auto" w:sz="4" w:space="0"/>
              <w:right w:val="single" w:color="auto" w:sz="4" w:space="0"/>
            </w:tcBorders>
            <w:shd w:val="clear" w:color="auto" w:fill="auto"/>
            <w:noWrap/>
          </w:tcPr>
          <w:p w14:paraId="3A91CA7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r>
    </w:tbl>
    <w:p w14:paraId="61D3918C">
      <w:pPr>
        <w:pStyle w:val="61"/>
        <w:autoSpaceDE w:val="0"/>
        <w:autoSpaceDN w:val="0"/>
        <w:spacing w:before="240" w:beforeLines="100" w:line="480" w:lineRule="auto"/>
        <w:jc w:val="center"/>
        <w:textAlignment w:val="bottom"/>
        <w:rPr>
          <w:rFonts w:ascii="Arial" w:hAnsi="Arial" w:cs="Arial"/>
          <w:sz w:val="21"/>
          <w:szCs w:val="21"/>
        </w:rPr>
      </w:pPr>
      <w:r>
        <w:rPr>
          <w:rFonts w:hint="eastAsia" w:ascii="Arial" w:hAnsi="Arial" w:cs="Arial"/>
          <w:sz w:val="21"/>
          <w:szCs w:val="21"/>
        </w:rPr>
        <w:t>估价对象及样本小区位置示意图</w:t>
      </w:r>
    </w:p>
    <w:p w14:paraId="0C8384C6">
      <w:pPr>
        <w:pStyle w:val="61"/>
        <w:autoSpaceDE w:val="0"/>
        <w:autoSpaceDN w:val="0"/>
        <w:spacing w:line="480" w:lineRule="auto"/>
        <w:jc w:val="center"/>
        <w:textAlignment w:val="bottom"/>
      </w:pPr>
      <w:r>
        <w:drawing>
          <wp:inline distT="0" distB="0" distL="0" distR="0">
            <wp:extent cx="4414520" cy="3268345"/>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422329" cy="3274303"/>
                    </a:xfrm>
                    <a:prstGeom prst="rect">
                      <a:avLst/>
                    </a:prstGeom>
                  </pic:spPr>
                </pic:pic>
              </a:graphicData>
            </a:graphic>
          </wp:inline>
        </w:drawing>
      </w:r>
    </w:p>
    <w:p w14:paraId="2C895C66">
      <w:pPr>
        <w:pStyle w:val="61"/>
        <w:autoSpaceDE w:val="0"/>
        <w:autoSpaceDN w:val="0"/>
        <w:spacing w:line="480" w:lineRule="auto"/>
        <w:ind w:firstLine="420" w:firstLineChars="200"/>
        <w:jc w:val="both"/>
        <w:textAlignment w:val="bottom"/>
        <w:rPr>
          <w:rFonts w:ascii="Arial" w:hAnsi="Arial" w:cs="Arial"/>
          <w:sz w:val="21"/>
          <w:szCs w:val="21"/>
        </w:rPr>
      </w:pPr>
      <w:r>
        <w:rPr>
          <w:rFonts w:hint="eastAsia" w:hAnsi="宋体" w:cs="Arial"/>
          <w:sz w:val="21"/>
          <w:szCs w:val="21"/>
        </w:rPr>
        <w:t>2）</w:t>
      </w:r>
      <w:r>
        <w:rPr>
          <w:rFonts w:hint="eastAsia" w:ascii="Arial" w:hAnsi="Arial" w:cs="Arial"/>
          <w:sz w:val="21"/>
          <w:szCs w:val="21"/>
        </w:rPr>
        <w:t>样本数据统计分析</w:t>
      </w:r>
    </w:p>
    <w:p w14:paraId="2CAA7EEF">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A.估价机构监测数据</w:t>
      </w:r>
    </w:p>
    <w:p w14:paraId="2882B4F7">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样本小区一：保利茉莉公馆</w:t>
      </w:r>
    </w:p>
    <w:tbl>
      <w:tblPr>
        <w:tblStyle w:val="23"/>
        <w:tblW w:w="5000" w:type="pct"/>
        <w:tblInd w:w="0" w:type="dxa"/>
        <w:tblLayout w:type="autofit"/>
        <w:tblCellMar>
          <w:top w:w="0" w:type="dxa"/>
          <w:left w:w="108" w:type="dxa"/>
          <w:bottom w:w="0" w:type="dxa"/>
          <w:right w:w="108" w:type="dxa"/>
        </w:tblCellMar>
      </w:tblPr>
      <w:tblGrid>
        <w:gridCol w:w="3444"/>
        <w:gridCol w:w="1785"/>
        <w:gridCol w:w="4286"/>
      </w:tblGrid>
      <w:tr w14:paraId="6D4A2BC8">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96532E2">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A5DE90E">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FC2BFEF">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9ADC8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7E908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38" w:type="pct"/>
            <w:tcBorders>
              <w:top w:val="nil"/>
              <w:left w:val="nil"/>
              <w:bottom w:val="single" w:color="auto" w:sz="4" w:space="0"/>
              <w:right w:val="single" w:color="auto" w:sz="4" w:space="0"/>
            </w:tcBorders>
            <w:vAlign w:val="center"/>
          </w:tcPr>
          <w:p w14:paraId="7F7AF15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2A898B3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81.06</w:t>
            </w:r>
          </w:p>
        </w:tc>
      </w:tr>
      <w:tr w14:paraId="5FD0E7E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01AB5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2A17565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5</w:t>
            </w:r>
          </w:p>
        </w:tc>
        <w:tc>
          <w:tcPr>
            <w:tcW w:w="2252" w:type="pct"/>
            <w:tcBorders>
              <w:top w:val="nil"/>
              <w:left w:val="nil"/>
              <w:bottom w:val="single" w:color="auto" w:sz="4" w:space="0"/>
              <w:right w:val="single" w:color="auto" w:sz="4" w:space="0"/>
            </w:tcBorders>
            <w:vAlign w:val="center"/>
          </w:tcPr>
          <w:p w14:paraId="5C5910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76.62</w:t>
            </w:r>
          </w:p>
        </w:tc>
      </w:tr>
      <w:tr w14:paraId="1214725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tcPr>
          <w:p w14:paraId="6C5E3AE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7607690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1555A7D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74.94</w:t>
            </w:r>
          </w:p>
        </w:tc>
      </w:tr>
      <w:tr w14:paraId="38C202C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tcPr>
          <w:p w14:paraId="3572626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003595C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w:t>
            </w:r>
          </w:p>
        </w:tc>
        <w:tc>
          <w:tcPr>
            <w:tcW w:w="2252" w:type="pct"/>
            <w:tcBorders>
              <w:top w:val="nil"/>
              <w:left w:val="nil"/>
              <w:bottom w:val="single" w:color="auto" w:sz="4" w:space="0"/>
              <w:right w:val="single" w:color="auto" w:sz="4" w:space="0"/>
            </w:tcBorders>
            <w:vAlign w:val="center"/>
          </w:tcPr>
          <w:p w14:paraId="22BFF26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77.71</w:t>
            </w:r>
          </w:p>
        </w:tc>
      </w:tr>
      <w:tr w14:paraId="7A71E0E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5F0589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38" w:type="pct"/>
            <w:tcBorders>
              <w:top w:val="nil"/>
              <w:left w:val="nil"/>
              <w:bottom w:val="single" w:color="auto" w:sz="4" w:space="0"/>
              <w:right w:val="single" w:color="auto" w:sz="4" w:space="0"/>
            </w:tcBorders>
            <w:vAlign w:val="center"/>
          </w:tcPr>
          <w:p w14:paraId="7084693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22C4FED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79.05</w:t>
            </w:r>
          </w:p>
        </w:tc>
      </w:tr>
      <w:tr w14:paraId="288175C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DCE442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6D1A642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77.42</w:t>
            </w:r>
          </w:p>
        </w:tc>
      </w:tr>
    </w:tbl>
    <w:p w14:paraId="09910B86">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样本小区二：郁花园二里</w:t>
      </w:r>
    </w:p>
    <w:tbl>
      <w:tblPr>
        <w:tblStyle w:val="23"/>
        <w:tblW w:w="5000" w:type="pct"/>
        <w:tblInd w:w="0" w:type="dxa"/>
        <w:tblLayout w:type="autofit"/>
        <w:tblCellMar>
          <w:top w:w="0" w:type="dxa"/>
          <w:left w:w="108" w:type="dxa"/>
          <w:bottom w:w="0" w:type="dxa"/>
          <w:right w:w="108" w:type="dxa"/>
        </w:tblCellMar>
      </w:tblPr>
      <w:tblGrid>
        <w:gridCol w:w="3475"/>
        <w:gridCol w:w="1766"/>
        <w:gridCol w:w="4274"/>
      </w:tblGrid>
      <w:tr w14:paraId="2F32C4A3">
        <w:tblPrEx>
          <w:tblCellMar>
            <w:top w:w="0" w:type="dxa"/>
            <w:left w:w="108" w:type="dxa"/>
            <w:bottom w:w="0" w:type="dxa"/>
            <w:right w:w="108" w:type="dxa"/>
          </w:tblCellMar>
        </w:tblPrEx>
        <w:trPr>
          <w:trHeight w:val="283" w:hRule="atLeast"/>
          <w:tblHeader/>
        </w:trPr>
        <w:tc>
          <w:tcPr>
            <w:tcW w:w="1826" w:type="pct"/>
            <w:tcBorders>
              <w:top w:val="single" w:color="auto" w:sz="4" w:space="0"/>
              <w:left w:val="single" w:color="auto" w:sz="4" w:space="0"/>
              <w:bottom w:val="single" w:color="auto" w:sz="4" w:space="0"/>
              <w:right w:val="single" w:color="auto" w:sz="4" w:space="0"/>
            </w:tcBorders>
            <w:vAlign w:val="center"/>
          </w:tcPr>
          <w:p w14:paraId="1C73C330">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8" w:type="pct"/>
            <w:tcBorders>
              <w:top w:val="single" w:color="auto" w:sz="4" w:space="0"/>
              <w:left w:val="nil"/>
              <w:bottom w:val="single" w:color="auto" w:sz="4" w:space="0"/>
              <w:right w:val="single" w:color="auto" w:sz="4" w:space="0"/>
            </w:tcBorders>
            <w:vAlign w:val="center"/>
          </w:tcPr>
          <w:p w14:paraId="2013C20F">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46" w:type="pct"/>
            <w:tcBorders>
              <w:top w:val="single" w:color="auto" w:sz="4" w:space="0"/>
              <w:left w:val="nil"/>
              <w:bottom w:val="single" w:color="auto" w:sz="4" w:space="0"/>
              <w:right w:val="single" w:color="auto" w:sz="4" w:space="0"/>
            </w:tcBorders>
            <w:vAlign w:val="center"/>
          </w:tcPr>
          <w:p w14:paraId="31088713">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BA60EC3">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49AE67C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8" w:type="pct"/>
            <w:tcBorders>
              <w:top w:val="nil"/>
              <w:left w:val="nil"/>
              <w:bottom w:val="single" w:color="auto" w:sz="4" w:space="0"/>
              <w:right w:val="single" w:color="auto" w:sz="4" w:space="0"/>
            </w:tcBorders>
            <w:vAlign w:val="center"/>
          </w:tcPr>
          <w:p w14:paraId="42D0DA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46" w:type="pct"/>
            <w:tcBorders>
              <w:top w:val="nil"/>
              <w:left w:val="nil"/>
              <w:bottom w:val="single" w:color="auto" w:sz="4" w:space="0"/>
              <w:right w:val="single" w:color="auto" w:sz="4" w:space="0"/>
            </w:tcBorders>
            <w:vAlign w:val="center"/>
          </w:tcPr>
          <w:p w14:paraId="616E32F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82.00</w:t>
            </w:r>
          </w:p>
        </w:tc>
      </w:tr>
      <w:tr w14:paraId="277CFE52">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0C91314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391CFE0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4</w:t>
            </w:r>
          </w:p>
        </w:tc>
        <w:tc>
          <w:tcPr>
            <w:tcW w:w="2246" w:type="pct"/>
            <w:tcBorders>
              <w:top w:val="nil"/>
              <w:left w:val="nil"/>
              <w:bottom w:val="single" w:color="auto" w:sz="4" w:space="0"/>
              <w:right w:val="single" w:color="auto" w:sz="4" w:space="0"/>
            </w:tcBorders>
            <w:vAlign w:val="center"/>
          </w:tcPr>
          <w:p w14:paraId="284984E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75.09</w:t>
            </w:r>
          </w:p>
        </w:tc>
      </w:tr>
      <w:tr w14:paraId="1A70EF61">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0135463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73D274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46" w:type="pct"/>
            <w:tcBorders>
              <w:top w:val="nil"/>
              <w:left w:val="nil"/>
              <w:bottom w:val="single" w:color="auto" w:sz="4" w:space="0"/>
              <w:right w:val="single" w:color="auto" w:sz="4" w:space="0"/>
            </w:tcBorders>
            <w:vAlign w:val="center"/>
          </w:tcPr>
          <w:p w14:paraId="6BC5B30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76.99</w:t>
            </w:r>
          </w:p>
        </w:tc>
      </w:tr>
      <w:tr w14:paraId="5881E516">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799C10C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733BEF5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46" w:type="pct"/>
            <w:tcBorders>
              <w:top w:val="nil"/>
              <w:left w:val="nil"/>
              <w:bottom w:val="single" w:color="auto" w:sz="4" w:space="0"/>
              <w:right w:val="single" w:color="auto" w:sz="4" w:space="0"/>
            </w:tcBorders>
            <w:vAlign w:val="center"/>
          </w:tcPr>
          <w:p w14:paraId="5D59C90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80.67</w:t>
            </w:r>
          </w:p>
        </w:tc>
      </w:tr>
      <w:tr w14:paraId="48933CB6">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0A3E6B2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8" w:type="pct"/>
            <w:tcBorders>
              <w:top w:val="nil"/>
              <w:left w:val="nil"/>
              <w:bottom w:val="single" w:color="auto" w:sz="4" w:space="0"/>
              <w:right w:val="single" w:color="auto" w:sz="4" w:space="0"/>
            </w:tcBorders>
            <w:vAlign w:val="center"/>
          </w:tcPr>
          <w:p w14:paraId="17A0F8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46" w:type="pct"/>
            <w:tcBorders>
              <w:top w:val="nil"/>
              <w:left w:val="nil"/>
              <w:bottom w:val="single" w:color="auto" w:sz="4" w:space="0"/>
              <w:right w:val="single" w:color="auto" w:sz="4" w:space="0"/>
            </w:tcBorders>
            <w:vAlign w:val="center"/>
          </w:tcPr>
          <w:p w14:paraId="1557137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80.05</w:t>
            </w:r>
          </w:p>
        </w:tc>
      </w:tr>
      <w:tr w14:paraId="7616FCE7">
        <w:tblPrEx>
          <w:tblCellMar>
            <w:top w:w="0" w:type="dxa"/>
            <w:left w:w="108" w:type="dxa"/>
            <w:bottom w:w="0" w:type="dxa"/>
            <w:right w:w="108" w:type="dxa"/>
          </w:tblCellMar>
        </w:tblPrEx>
        <w:trPr>
          <w:trHeight w:val="285" w:hRule="atLeast"/>
        </w:trPr>
        <w:tc>
          <w:tcPr>
            <w:tcW w:w="2754" w:type="pct"/>
            <w:gridSpan w:val="2"/>
            <w:tcBorders>
              <w:top w:val="single" w:color="auto" w:sz="4" w:space="0"/>
              <w:left w:val="single" w:color="auto" w:sz="4" w:space="0"/>
              <w:bottom w:val="single" w:color="auto" w:sz="4" w:space="0"/>
              <w:right w:val="single" w:color="auto" w:sz="4" w:space="0"/>
            </w:tcBorders>
            <w:vAlign w:val="center"/>
          </w:tcPr>
          <w:p w14:paraId="538CE29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46" w:type="pct"/>
            <w:tcBorders>
              <w:top w:val="nil"/>
              <w:left w:val="nil"/>
              <w:bottom w:val="single" w:color="auto" w:sz="4" w:space="0"/>
              <w:right w:val="single" w:color="auto" w:sz="4" w:space="0"/>
            </w:tcBorders>
            <w:vAlign w:val="center"/>
          </w:tcPr>
          <w:p w14:paraId="5EDD97D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78.53</w:t>
            </w:r>
          </w:p>
        </w:tc>
      </w:tr>
    </w:tbl>
    <w:p w14:paraId="6AF1160A">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滨河西里南区</w:t>
      </w:r>
    </w:p>
    <w:tbl>
      <w:tblPr>
        <w:tblStyle w:val="23"/>
        <w:tblW w:w="5000" w:type="pct"/>
        <w:tblInd w:w="0" w:type="dxa"/>
        <w:tblLayout w:type="autofit"/>
        <w:tblCellMar>
          <w:top w:w="0" w:type="dxa"/>
          <w:left w:w="108" w:type="dxa"/>
          <w:bottom w:w="0" w:type="dxa"/>
          <w:right w:w="108" w:type="dxa"/>
        </w:tblCellMar>
      </w:tblPr>
      <w:tblGrid>
        <w:gridCol w:w="3474"/>
        <w:gridCol w:w="1755"/>
        <w:gridCol w:w="4286"/>
      </w:tblGrid>
      <w:tr w14:paraId="33BB6E5C">
        <w:tblPrEx>
          <w:tblCellMar>
            <w:top w:w="0" w:type="dxa"/>
            <w:left w:w="108" w:type="dxa"/>
            <w:bottom w:w="0" w:type="dxa"/>
            <w:right w:w="108" w:type="dxa"/>
          </w:tblCellMar>
        </w:tblPrEx>
        <w:trPr>
          <w:trHeight w:val="285" w:hRule="atLeast"/>
        </w:trPr>
        <w:tc>
          <w:tcPr>
            <w:tcW w:w="1826" w:type="pct"/>
            <w:tcBorders>
              <w:top w:val="single" w:color="auto" w:sz="4" w:space="0"/>
              <w:left w:val="single" w:color="auto" w:sz="4" w:space="0"/>
              <w:bottom w:val="single" w:color="auto" w:sz="4" w:space="0"/>
              <w:right w:val="single" w:color="auto" w:sz="4" w:space="0"/>
            </w:tcBorders>
            <w:vAlign w:val="center"/>
          </w:tcPr>
          <w:p w14:paraId="3DE75BAB">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2" w:type="pct"/>
            <w:tcBorders>
              <w:top w:val="single" w:color="auto" w:sz="4" w:space="0"/>
              <w:left w:val="nil"/>
              <w:bottom w:val="single" w:color="auto" w:sz="4" w:space="0"/>
              <w:right w:val="single" w:color="auto" w:sz="4" w:space="0"/>
            </w:tcBorders>
            <w:vAlign w:val="center"/>
          </w:tcPr>
          <w:p w14:paraId="6FB48775">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BBD999F">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6794432">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3885942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2" w:type="pct"/>
            <w:tcBorders>
              <w:top w:val="nil"/>
              <w:left w:val="nil"/>
              <w:bottom w:val="single" w:color="auto" w:sz="4" w:space="0"/>
              <w:right w:val="single" w:color="auto" w:sz="4" w:space="0"/>
            </w:tcBorders>
            <w:vAlign w:val="center"/>
          </w:tcPr>
          <w:p w14:paraId="7791F9C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362938E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67.09</w:t>
            </w:r>
          </w:p>
        </w:tc>
      </w:tr>
      <w:tr w14:paraId="2A285580">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553A0E2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2F3EB04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w:t>
            </w:r>
          </w:p>
        </w:tc>
        <w:tc>
          <w:tcPr>
            <w:tcW w:w="2252" w:type="pct"/>
            <w:tcBorders>
              <w:top w:val="nil"/>
              <w:left w:val="nil"/>
              <w:bottom w:val="single" w:color="auto" w:sz="4" w:space="0"/>
              <w:right w:val="single" w:color="auto" w:sz="4" w:space="0"/>
            </w:tcBorders>
            <w:vAlign w:val="center"/>
          </w:tcPr>
          <w:p w14:paraId="12FDB57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67.91</w:t>
            </w:r>
          </w:p>
        </w:tc>
      </w:tr>
      <w:tr w14:paraId="6BAE0F42">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6864E83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022D623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221DC8D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62.06</w:t>
            </w:r>
          </w:p>
        </w:tc>
      </w:tr>
      <w:tr w14:paraId="2598A0D7">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0F8C483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13BA6B5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w:t>
            </w:r>
          </w:p>
        </w:tc>
        <w:tc>
          <w:tcPr>
            <w:tcW w:w="2252" w:type="pct"/>
            <w:tcBorders>
              <w:top w:val="nil"/>
              <w:left w:val="nil"/>
              <w:bottom w:val="single" w:color="auto" w:sz="4" w:space="0"/>
              <w:right w:val="single" w:color="auto" w:sz="4" w:space="0"/>
            </w:tcBorders>
            <w:vAlign w:val="center"/>
          </w:tcPr>
          <w:p w14:paraId="71B41BB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64.75</w:t>
            </w:r>
          </w:p>
        </w:tc>
      </w:tr>
      <w:tr w14:paraId="3E7C7DEB">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6B5F0B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2" w:type="pct"/>
            <w:tcBorders>
              <w:top w:val="nil"/>
              <w:left w:val="nil"/>
              <w:bottom w:val="single" w:color="auto" w:sz="4" w:space="0"/>
              <w:right w:val="single" w:color="auto" w:sz="4" w:space="0"/>
            </w:tcBorders>
            <w:vAlign w:val="center"/>
          </w:tcPr>
          <w:p w14:paraId="3851E48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38B979A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66.67</w:t>
            </w:r>
          </w:p>
        </w:tc>
      </w:tr>
      <w:tr w14:paraId="1816BA1C">
        <w:tblPrEx>
          <w:tblCellMar>
            <w:top w:w="0" w:type="dxa"/>
            <w:left w:w="108" w:type="dxa"/>
            <w:bottom w:w="0" w:type="dxa"/>
            <w:right w:w="108" w:type="dxa"/>
          </w:tblCellMar>
        </w:tblPrEx>
        <w:trPr>
          <w:trHeight w:val="285"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8F7651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5ED9FC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65.42</w:t>
            </w:r>
          </w:p>
        </w:tc>
      </w:tr>
    </w:tbl>
    <w:p w14:paraId="07F3A51F">
      <w:pPr>
        <w:pStyle w:val="61"/>
        <w:autoSpaceDE w:val="0"/>
        <w:autoSpaceDN w:val="0"/>
        <w:spacing w:line="360" w:lineRule="auto"/>
        <w:ind w:firstLine="360" w:firstLineChars="200"/>
        <w:jc w:val="both"/>
        <w:textAlignment w:val="bottom"/>
        <w:rPr>
          <w:rFonts w:ascii="Arial" w:hAnsi="Arial" w:cs="Arial"/>
          <w:sz w:val="18"/>
          <w:szCs w:val="18"/>
        </w:rPr>
      </w:pPr>
      <w:r>
        <w:rPr>
          <w:rFonts w:hint="eastAsia" w:ascii="Arial" w:hAnsi="Arial" w:cs="Arial"/>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31963115">
      <w:pPr>
        <w:spacing w:line="480" w:lineRule="auto"/>
        <w:ind w:firstLine="420" w:firstLineChars="200"/>
        <w:rPr>
          <w:rFonts w:ascii="Arial" w:hAnsi="Arial" w:cs="Arial"/>
          <w:sz w:val="21"/>
          <w:szCs w:val="21"/>
        </w:rPr>
      </w:pPr>
      <w:r>
        <w:rPr>
          <w:rFonts w:ascii="Arial" w:hAnsi="Arial" w:cs="Arial"/>
          <w:sz w:val="21"/>
          <w:szCs w:val="21"/>
        </w:rPr>
        <w:t>（转下页）</w:t>
      </w:r>
    </w:p>
    <w:p w14:paraId="456F3B34">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ascii="Arial" w:hAnsi="Arial" w:cs="Arial"/>
          <w:sz w:val="21"/>
          <w:szCs w:val="21"/>
        </w:rPr>
        <w:br w:type="page"/>
      </w:r>
    </w:p>
    <w:p w14:paraId="691D90BA">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B.估价机构市场调查</w:t>
      </w:r>
    </w:p>
    <w:p w14:paraId="2E460D62">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样本小区一：保利茉莉公馆</w:t>
      </w:r>
    </w:p>
    <w:tbl>
      <w:tblPr>
        <w:tblStyle w:val="23"/>
        <w:tblW w:w="5000" w:type="pct"/>
        <w:tblInd w:w="0" w:type="dxa"/>
        <w:tblLayout w:type="autofit"/>
        <w:tblCellMar>
          <w:top w:w="0" w:type="dxa"/>
          <w:left w:w="108" w:type="dxa"/>
          <w:bottom w:w="0" w:type="dxa"/>
          <w:right w:w="108" w:type="dxa"/>
        </w:tblCellMar>
      </w:tblPr>
      <w:tblGrid>
        <w:gridCol w:w="3444"/>
        <w:gridCol w:w="1785"/>
        <w:gridCol w:w="4286"/>
      </w:tblGrid>
      <w:tr w14:paraId="2E37D2FB">
        <w:tblPrEx>
          <w:tblCellMar>
            <w:top w:w="0" w:type="dxa"/>
            <w:left w:w="108" w:type="dxa"/>
            <w:bottom w:w="0" w:type="dxa"/>
            <w:right w:w="108" w:type="dxa"/>
          </w:tblCellMar>
        </w:tblPrEx>
        <w:trPr>
          <w:trHeight w:val="285" w:hRule="atLeast"/>
        </w:trPr>
        <w:tc>
          <w:tcPr>
            <w:tcW w:w="1810" w:type="pct"/>
            <w:tcBorders>
              <w:top w:val="single" w:color="auto" w:sz="4" w:space="0"/>
              <w:left w:val="single" w:color="auto" w:sz="4" w:space="0"/>
              <w:bottom w:val="single" w:color="auto" w:sz="4" w:space="0"/>
              <w:right w:val="single" w:color="auto" w:sz="4" w:space="0"/>
            </w:tcBorders>
            <w:vAlign w:val="center"/>
          </w:tcPr>
          <w:p w14:paraId="507C2BF6">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6AF6185">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13D0D66">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7C3DABF">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2EA5A14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38" w:type="pct"/>
            <w:tcBorders>
              <w:top w:val="nil"/>
              <w:left w:val="nil"/>
              <w:bottom w:val="single" w:color="auto" w:sz="4" w:space="0"/>
              <w:right w:val="single" w:color="auto" w:sz="4" w:space="0"/>
            </w:tcBorders>
            <w:vAlign w:val="center"/>
          </w:tcPr>
          <w:p w14:paraId="23280BB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525526F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69.91</w:t>
            </w:r>
          </w:p>
        </w:tc>
      </w:tr>
      <w:tr w14:paraId="7B237580">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1FAB9A25">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15453F3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w:t>
            </w:r>
          </w:p>
        </w:tc>
        <w:tc>
          <w:tcPr>
            <w:tcW w:w="2252" w:type="pct"/>
            <w:tcBorders>
              <w:top w:val="nil"/>
              <w:left w:val="nil"/>
              <w:bottom w:val="single" w:color="auto" w:sz="4" w:space="0"/>
              <w:right w:val="single" w:color="auto" w:sz="4" w:space="0"/>
            </w:tcBorders>
            <w:vAlign w:val="center"/>
          </w:tcPr>
          <w:p w14:paraId="1C978058">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80.61</w:t>
            </w:r>
          </w:p>
        </w:tc>
      </w:tr>
      <w:tr w14:paraId="682C8696">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tcPr>
          <w:p w14:paraId="1A5F9EEC">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61607B1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5F9D9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70.59</w:t>
            </w:r>
          </w:p>
        </w:tc>
      </w:tr>
      <w:tr w14:paraId="065F948E">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tcPr>
          <w:p w14:paraId="0F340A3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vAlign w:val="center"/>
          </w:tcPr>
          <w:p w14:paraId="5A781AF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4CAF9122">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69.48</w:t>
            </w:r>
          </w:p>
        </w:tc>
      </w:tr>
      <w:tr w14:paraId="36DA8675">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1BD2BED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38" w:type="pct"/>
            <w:tcBorders>
              <w:top w:val="nil"/>
              <w:left w:val="nil"/>
              <w:bottom w:val="single" w:color="auto" w:sz="4" w:space="0"/>
              <w:right w:val="single" w:color="auto" w:sz="4" w:space="0"/>
            </w:tcBorders>
            <w:vAlign w:val="center"/>
          </w:tcPr>
          <w:p w14:paraId="7EEFFAD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577822C3">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86.26</w:t>
            </w:r>
          </w:p>
        </w:tc>
      </w:tr>
      <w:tr w14:paraId="374F10D3">
        <w:tblPrEx>
          <w:tblCellMar>
            <w:top w:w="0" w:type="dxa"/>
            <w:left w:w="108" w:type="dxa"/>
            <w:bottom w:w="0" w:type="dxa"/>
            <w:right w:w="108" w:type="dxa"/>
          </w:tblCellMar>
        </w:tblPrEx>
        <w:trPr>
          <w:trHeight w:val="285"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864F46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400A1E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73.69</w:t>
            </w:r>
          </w:p>
        </w:tc>
      </w:tr>
    </w:tbl>
    <w:p w14:paraId="6F45518E">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样本小区二：郁花园二里</w:t>
      </w:r>
    </w:p>
    <w:tbl>
      <w:tblPr>
        <w:tblStyle w:val="23"/>
        <w:tblW w:w="5000" w:type="pct"/>
        <w:tblInd w:w="0" w:type="dxa"/>
        <w:tblLayout w:type="autofit"/>
        <w:tblCellMar>
          <w:top w:w="0" w:type="dxa"/>
          <w:left w:w="108" w:type="dxa"/>
          <w:bottom w:w="0" w:type="dxa"/>
          <w:right w:w="108" w:type="dxa"/>
        </w:tblCellMar>
      </w:tblPr>
      <w:tblGrid>
        <w:gridCol w:w="3475"/>
        <w:gridCol w:w="1766"/>
        <w:gridCol w:w="4274"/>
      </w:tblGrid>
      <w:tr w14:paraId="071B651C">
        <w:tblPrEx>
          <w:tblCellMar>
            <w:top w:w="0" w:type="dxa"/>
            <w:left w:w="108" w:type="dxa"/>
            <w:bottom w:w="0" w:type="dxa"/>
            <w:right w:w="108" w:type="dxa"/>
          </w:tblCellMar>
        </w:tblPrEx>
        <w:trPr>
          <w:trHeight w:val="285" w:hRule="atLeast"/>
        </w:trPr>
        <w:tc>
          <w:tcPr>
            <w:tcW w:w="1826" w:type="pct"/>
            <w:tcBorders>
              <w:top w:val="single" w:color="auto" w:sz="4" w:space="0"/>
              <w:left w:val="single" w:color="auto" w:sz="4" w:space="0"/>
              <w:bottom w:val="single" w:color="auto" w:sz="4" w:space="0"/>
              <w:right w:val="single" w:color="auto" w:sz="4" w:space="0"/>
            </w:tcBorders>
            <w:vAlign w:val="center"/>
          </w:tcPr>
          <w:p w14:paraId="5156ABCC">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8" w:type="pct"/>
            <w:tcBorders>
              <w:top w:val="single" w:color="auto" w:sz="4" w:space="0"/>
              <w:left w:val="nil"/>
              <w:bottom w:val="single" w:color="auto" w:sz="4" w:space="0"/>
              <w:right w:val="single" w:color="auto" w:sz="4" w:space="0"/>
            </w:tcBorders>
            <w:vAlign w:val="center"/>
          </w:tcPr>
          <w:p w14:paraId="05098AA7">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46" w:type="pct"/>
            <w:tcBorders>
              <w:top w:val="single" w:color="auto" w:sz="4" w:space="0"/>
              <w:left w:val="nil"/>
              <w:bottom w:val="single" w:color="auto" w:sz="4" w:space="0"/>
              <w:right w:val="single" w:color="auto" w:sz="4" w:space="0"/>
            </w:tcBorders>
            <w:vAlign w:val="center"/>
          </w:tcPr>
          <w:p w14:paraId="5A18DE77">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293095B">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4102898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8" w:type="pct"/>
            <w:tcBorders>
              <w:top w:val="nil"/>
              <w:left w:val="nil"/>
              <w:bottom w:val="single" w:color="auto" w:sz="4" w:space="0"/>
              <w:right w:val="single" w:color="auto" w:sz="4" w:space="0"/>
            </w:tcBorders>
            <w:vAlign w:val="center"/>
          </w:tcPr>
          <w:p w14:paraId="1963269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46" w:type="pct"/>
            <w:tcBorders>
              <w:top w:val="nil"/>
              <w:left w:val="nil"/>
              <w:bottom w:val="single" w:color="auto" w:sz="4" w:space="0"/>
              <w:right w:val="single" w:color="auto" w:sz="4" w:space="0"/>
            </w:tcBorders>
            <w:vAlign w:val="center"/>
          </w:tcPr>
          <w:p w14:paraId="0BCD0059">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67.28</w:t>
            </w:r>
          </w:p>
        </w:tc>
      </w:tr>
      <w:tr w14:paraId="14EF6D5B">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6DDADCA5">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004F981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19</w:t>
            </w:r>
          </w:p>
        </w:tc>
        <w:tc>
          <w:tcPr>
            <w:tcW w:w="2246" w:type="pct"/>
            <w:tcBorders>
              <w:top w:val="nil"/>
              <w:left w:val="nil"/>
              <w:bottom w:val="single" w:color="auto" w:sz="4" w:space="0"/>
              <w:right w:val="single" w:color="auto" w:sz="4" w:space="0"/>
            </w:tcBorders>
            <w:vAlign w:val="center"/>
          </w:tcPr>
          <w:p w14:paraId="08894381">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65.52</w:t>
            </w:r>
          </w:p>
        </w:tc>
      </w:tr>
      <w:tr w14:paraId="539751CE">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4042F478">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63A987E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w:t>
            </w:r>
          </w:p>
        </w:tc>
        <w:tc>
          <w:tcPr>
            <w:tcW w:w="2246" w:type="pct"/>
            <w:tcBorders>
              <w:top w:val="nil"/>
              <w:left w:val="nil"/>
              <w:bottom w:val="single" w:color="auto" w:sz="4" w:space="0"/>
              <w:right w:val="single" w:color="auto" w:sz="4" w:space="0"/>
            </w:tcBorders>
            <w:vAlign w:val="center"/>
          </w:tcPr>
          <w:p w14:paraId="79D0A001">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64.29</w:t>
            </w:r>
          </w:p>
        </w:tc>
      </w:tr>
      <w:tr w14:paraId="5463C3A1">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6F2A2705">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vAlign w:val="center"/>
          </w:tcPr>
          <w:p w14:paraId="3F27ED3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46" w:type="pct"/>
            <w:tcBorders>
              <w:top w:val="nil"/>
              <w:left w:val="nil"/>
              <w:bottom w:val="single" w:color="auto" w:sz="4" w:space="0"/>
              <w:right w:val="single" w:color="auto" w:sz="4" w:space="0"/>
            </w:tcBorders>
            <w:vAlign w:val="center"/>
          </w:tcPr>
          <w:p w14:paraId="79C34CBC">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64.87</w:t>
            </w:r>
          </w:p>
        </w:tc>
      </w:tr>
      <w:tr w14:paraId="5338709E">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1254D0B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8" w:type="pct"/>
            <w:tcBorders>
              <w:top w:val="nil"/>
              <w:left w:val="nil"/>
              <w:bottom w:val="single" w:color="auto" w:sz="4" w:space="0"/>
              <w:right w:val="single" w:color="auto" w:sz="4" w:space="0"/>
            </w:tcBorders>
            <w:vAlign w:val="center"/>
          </w:tcPr>
          <w:p w14:paraId="5AD8563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46" w:type="pct"/>
            <w:tcBorders>
              <w:top w:val="nil"/>
              <w:left w:val="nil"/>
              <w:bottom w:val="single" w:color="auto" w:sz="4" w:space="0"/>
              <w:right w:val="single" w:color="auto" w:sz="4" w:space="0"/>
            </w:tcBorders>
            <w:vAlign w:val="center"/>
          </w:tcPr>
          <w:p w14:paraId="38709CB4">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64.86</w:t>
            </w:r>
          </w:p>
        </w:tc>
      </w:tr>
      <w:tr w14:paraId="382DB837">
        <w:tblPrEx>
          <w:tblCellMar>
            <w:top w:w="0" w:type="dxa"/>
            <w:left w:w="108" w:type="dxa"/>
            <w:bottom w:w="0" w:type="dxa"/>
            <w:right w:w="108" w:type="dxa"/>
          </w:tblCellMar>
        </w:tblPrEx>
        <w:trPr>
          <w:trHeight w:val="285" w:hRule="atLeast"/>
        </w:trPr>
        <w:tc>
          <w:tcPr>
            <w:tcW w:w="2754" w:type="pct"/>
            <w:gridSpan w:val="2"/>
            <w:tcBorders>
              <w:top w:val="single" w:color="auto" w:sz="4" w:space="0"/>
              <w:left w:val="single" w:color="auto" w:sz="4" w:space="0"/>
              <w:bottom w:val="single" w:color="auto" w:sz="4" w:space="0"/>
              <w:right w:val="single" w:color="auto" w:sz="4" w:space="0"/>
            </w:tcBorders>
            <w:vAlign w:val="center"/>
          </w:tcPr>
          <w:p w14:paraId="37454553">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46" w:type="pct"/>
            <w:tcBorders>
              <w:top w:val="nil"/>
              <w:left w:val="nil"/>
              <w:bottom w:val="single" w:color="auto" w:sz="4" w:space="0"/>
              <w:right w:val="single" w:color="auto" w:sz="4" w:space="0"/>
            </w:tcBorders>
            <w:vAlign w:val="center"/>
          </w:tcPr>
          <w:p w14:paraId="7781588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65.29</w:t>
            </w:r>
          </w:p>
        </w:tc>
      </w:tr>
    </w:tbl>
    <w:p w14:paraId="3550FBBE">
      <w:pPr>
        <w:pStyle w:val="61"/>
        <w:autoSpaceDE w:val="0"/>
        <w:autoSpaceDN w:val="0"/>
        <w:spacing w:before="240" w:beforeLines="100" w:line="48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滨河西里南区</w:t>
      </w:r>
    </w:p>
    <w:tbl>
      <w:tblPr>
        <w:tblStyle w:val="23"/>
        <w:tblW w:w="5000" w:type="pct"/>
        <w:tblInd w:w="0" w:type="dxa"/>
        <w:tblLayout w:type="autofit"/>
        <w:tblCellMar>
          <w:top w:w="0" w:type="dxa"/>
          <w:left w:w="108" w:type="dxa"/>
          <w:bottom w:w="0" w:type="dxa"/>
          <w:right w:w="108" w:type="dxa"/>
        </w:tblCellMar>
      </w:tblPr>
      <w:tblGrid>
        <w:gridCol w:w="3474"/>
        <w:gridCol w:w="1755"/>
        <w:gridCol w:w="4286"/>
      </w:tblGrid>
      <w:tr w14:paraId="5B07BE6D">
        <w:tblPrEx>
          <w:tblCellMar>
            <w:top w:w="0" w:type="dxa"/>
            <w:left w:w="108" w:type="dxa"/>
            <w:bottom w:w="0" w:type="dxa"/>
            <w:right w:w="108" w:type="dxa"/>
          </w:tblCellMar>
        </w:tblPrEx>
        <w:trPr>
          <w:trHeight w:val="285" w:hRule="atLeast"/>
        </w:trPr>
        <w:tc>
          <w:tcPr>
            <w:tcW w:w="1826" w:type="pct"/>
            <w:tcBorders>
              <w:top w:val="single" w:color="auto" w:sz="4" w:space="0"/>
              <w:left w:val="single" w:color="auto" w:sz="4" w:space="0"/>
              <w:bottom w:val="single" w:color="auto" w:sz="4" w:space="0"/>
              <w:right w:val="single" w:color="auto" w:sz="4" w:space="0"/>
            </w:tcBorders>
            <w:vAlign w:val="center"/>
          </w:tcPr>
          <w:p w14:paraId="7ED670C6">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2" w:type="pct"/>
            <w:tcBorders>
              <w:top w:val="single" w:color="auto" w:sz="4" w:space="0"/>
              <w:left w:val="nil"/>
              <w:bottom w:val="single" w:color="auto" w:sz="4" w:space="0"/>
              <w:right w:val="single" w:color="auto" w:sz="4" w:space="0"/>
            </w:tcBorders>
            <w:vAlign w:val="center"/>
          </w:tcPr>
          <w:p w14:paraId="03B16A73">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84D5D79">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DF28AE0">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532142C6">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2" w:type="pct"/>
            <w:tcBorders>
              <w:top w:val="nil"/>
              <w:left w:val="nil"/>
              <w:bottom w:val="single" w:color="auto" w:sz="4" w:space="0"/>
              <w:right w:val="single" w:color="auto" w:sz="4" w:space="0"/>
            </w:tcBorders>
            <w:vAlign w:val="center"/>
          </w:tcPr>
          <w:p w14:paraId="3E0B845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5AE0D25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60.00</w:t>
            </w:r>
          </w:p>
        </w:tc>
      </w:tr>
      <w:tr w14:paraId="3253C5CC">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5CC6BED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4F93331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w:t>
            </w:r>
          </w:p>
        </w:tc>
        <w:tc>
          <w:tcPr>
            <w:tcW w:w="2252" w:type="pct"/>
            <w:tcBorders>
              <w:top w:val="nil"/>
              <w:left w:val="nil"/>
              <w:bottom w:val="single" w:color="auto" w:sz="4" w:space="0"/>
              <w:right w:val="single" w:color="auto" w:sz="4" w:space="0"/>
            </w:tcBorders>
            <w:vAlign w:val="center"/>
          </w:tcPr>
          <w:p w14:paraId="5D1CBB8C">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54.80</w:t>
            </w:r>
          </w:p>
        </w:tc>
      </w:tr>
      <w:tr w14:paraId="3BEBA72B">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52D7F81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4254F05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w:t>
            </w:r>
          </w:p>
        </w:tc>
        <w:tc>
          <w:tcPr>
            <w:tcW w:w="2252" w:type="pct"/>
            <w:tcBorders>
              <w:top w:val="nil"/>
              <w:left w:val="nil"/>
              <w:bottom w:val="single" w:color="auto" w:sz="4" w:space="0"/>
              <w:right w:val="single" w:color="auto" w:sz="4" w:space="0"/>
            </w:tcBorders>
            <w:vAlign w:val="center"/>
          </w:tcPr>
          <w:p w14:paraId="4F95ABC6">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60.66</w:t>
            </w:r>
          </w:p>
        </w:tc>
      </w:tr>
      <w:tr w14:paraId="223C0257">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5A78E71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vAlign w:val="center"/>
          </w:tcPr>
          <w:p w14:paraId="6B46990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w:t>
            </w:r>
          </w:p>
        </w:tc>
        <w:tc>
          <w:tcPr>
            <w:tcW w:w="2252" w:type="pct"/>
            <w:tcBorders>
              <w:top w:val="nil"/>
              <w:left w:val="nil"/>
              <w:bottom w:val="single" w:color="auto" w:sz="4" w:space="0"/>
              <w:right w:val="single" w:color="auto" w:sz="4" w:space="0"/>
            </w:tcBorders>
            <w:vAlign w:val="center"/>
          </w:tcPr>
          <w:p w14:paraId="0E6A61F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57.28</w:t>
            </w:r>
          </w:p>
        </w:tc>
      </w:tr>
      <w:tr w14:paraId="1F6035CC">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7332886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2" w:type="pct"/>
            <w:tcBorders>
              <w:top w:val="nil"/>
              <w:left w:val="nil"/>
              <w:bottom w:val="single" w:color="auto" w:sz="4" w:space="0"/>
              <w:right w:val="single" w:color="auto" w:sz="4" w:space="0"/>
            </w:tcBorders>
            <w:vAlign w:val="center"/>
          </w:tcPr>
          <w:p w14:paraId="74A7346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w:t>
            </w:r>
          </w:p>
        </w:tc>
        <w:tc>
          <w:tcPr>
            <w:tcW w:w="2252" w:type="pct"/>
            <w:tcBorders>
              <w:top w:val="nil"/>
              <w:left w:val="nil"/>
              <w:bottom w:val="single" w:color="auto" w:sz="4" w:space="0"/>
              <w:right w:val="single" w:color="auto" w:sz="4" w:space="0"/>
            </w:tcBorders>
            <w:vAlign w:val="center"/>
          </w:tcPr>
          <w:p w14:paraId="4D931A2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56.00</w:t>
            </w:r>
          </w:p>
        </w:tc>
      </w:tr>
      <w:tr w14:paraId="2011448D">
        <w:tblPrEx>
          <w:tblCellMar>
            <w:top w:w="0" w:type="dxa"/>
            <w:left w:w="108" w:type="dxa"/>
            <w:bottom w:w="0" w:type="dxa"/>
            <w:right w:w="108" w:type="dxa"/>
          </w:tblCellMar>
        </w:tblPrEx>
        <w:trPr>
          <w:trHeight w:val="285"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8FC99D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1DA6B8E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57.68</w:t>
            </w:r>
          </w:p>
        </w:tc>
      </w:tr>
    </w:tbl>
    <w:p w14:paraId="008210B9">
      <w:pPr>
        <w:pStyle w:val="61"/>
        <w:autoSpaceDE w:val="0"/>
        <w:autoSpaceDN w:val="0"/>
        <w:spacing w:line="360" w:lineRule="auto"/>
        <w:ind w:firstLine="360" w:firstLineChars="200"/>
        <w:jc w:val="both"/>
        <w:textAlignment w:val="bottom"/>
        <w:rPr>
          <w:rFonts w:ascii="Arial" w:hAnsi="Arial" w:cs="Arial"/>
          <w:sz w:val="18"/>
          <w:szCs w:val="18"/>
        </w:rPr>
      </w:pPr>
      <w:r>
        <w:rPr>
          <w:rFonts w:hint="eastAsia" w:ascii="Arial" w:hAnsi="Arial" w:cs="Arial"/>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69E5BEC1">
      <w:pPr>
        <w:spacing w:line="480" w:lineRule="auto"/>
        <w:ind w:firstLine="420" w:firstLineChars="200"/>
        <w:rPr>
          <w:rFonts w:ascii="Arial" w:hAnsi="Arial" w:cs="Arial"/>
          <w:sz w:val="21"/>
          <w:szCs w:val="21"/>
        </w:rPr>
      </w:pPr>
      <w:r>
        <w:rPr>
          <w:rFonts w:ascii="Arial" w:hAnsi="Arial" w:cs="Arial"/>
          <w:sz w:val="21"/>
          <w:szCs w:val="21"/>
        </w:rPr>
        <w:t>（转下页）</w:t>
      </w:r>
    </w:p>
    <w:p w14:paraId="2A2F0E1A">
      <w:pPr>
        <w:pStyle w:val="61"/>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br w:type="page"/>
      </w:r>
    </w:p>
    <w:p w14:paraId="25DCBEFE">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C.行业主管部门（北京市房地产市场管理事务中心）监测数据</w:t>
      </w:r>
    </w:p>
    <w:p w14:paraId="2097E0D4">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样本小区一：保利茉莉公馆</w:t>
      </w:r>
    </w:p>
    <w:tbl>
      <w:tblPr>
        <w:tblStyle w:val="23"/>
        <w:tblW w:w="5000" w:type="pct"/>
        <w:tblInd w:w="0" w:type="dxa"/>
        <w:tblLayout w:type="autofit"/>
        <w:tblCellMar>
          <w:top w:w="0" w:type="dxa"/>
          <w:left w:w="108" w:type="dxa"/>
          <w:bottom w:w="0" w:type="dxa"/>
          <w:right w:w="108" w:type="dxa"/>
        </w:tblCellMar>
      </w:tblPr>
      <w:tblGrid>
        <w:gridCol w:w="3444"/>
        <w:gridCol w:w="1785"/>
        <w:gridCol w:w="4286"/>
      </w:tblGrid>
      <w:tr w14:paraId="5FF2420B">
        <w:tblPrEx>
          <w:tblCellMar>
            <w:top w:w="0" w:type="dxa"/>
            <w:left w:w="108" w:type="dxa"/>
            <w:bottom w:w="0" w:type="dxa"/>
            <w:right w:w="108" w:type="dxa"/>
          </w:tblCellMar>
        </w:tblPrEx>
        <w:trPr>
          <w:trHeight w:val="285" w:hRule="atLeast"/>
        </w:trPr>
        <w:tc>
          <w:tcPr>
            <w:tcW w:w="1810" w:type="pct"/>
            <w:tcBorders>
              <w:top w:val="single" w:color="auto" w:sz="4" w:space="0"/>
              <w:left w:val="single" w:color="auto" w:sz="4" w:space="0"/>
              <w:bottom w:val="single" w:color="auto" w:sz="4" w:space="0"/>
              <w:right w:val="single" w:color="auto" w:sz="4" w:space="0"/>
            </w:tcBorders>
            <w:vAlign w:val="center"/>
          </w:tcPr>
          <w:p w14:paraId="7D98F496">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FEC1AF2">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FD2AAE0">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2491A0E">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6BDC84B3">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38" w:type="pct"/>
            <w:tcBorders>
              <w:top w:val="nil"/>
              <w:left w:val="nil"/>
              <w:bottom w:val="single" w:color="auto" w:sz="4" w:space="0"/>
              <w:right w:val="single" w:color="auto" w:sz="4" w:space="0"/>
            </w:tcBorders>
          </w:tcPr>
          <w:p w14:paraId="05DBA5A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66F2E1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71.93</w:t>
            </w:r>
          </w:p>
        </w:tc>
      </w:tr>
      <w:tr w14:paraId="3D58E304">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497946C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tcPr>
          <w:p w14:paraId="4C9E1DC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8E892E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71.80</w:t>
            </w:r>
          </w:p>
        </w:tc>
      </w:tr>
      <w:tr w14:paraId="368F490A">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tcPr>
          <w:p w14:paraId="1609D94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tcPr>
          <w:p w14:paraId="12E18E4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21BFB9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70.86</w:t>
            </w:r>
          </w:p>
        </w:tc>
      </w:tr>
      <w:tr w14:paraId="54F38537">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tcPr>
          <w:p w14:paraId="31F1CA3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38" w:type="pct"/>
            <w:tcBorders>
              <w:top w:val="nil"/>
              <w:left w:val="nil"/>
              <w:bottom w:val="single" w:color="auto" w:sz="4" w:space="0"/>
              <w:right w:val="single" w:color="auto" w:sz="4" w:space="0"/>
            </w:tcBorders>
          </w:tcPr>
          <w:p w14:paraId="23E87C8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8FEE06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68.46</w:t>
            </w:r>
          </w:p>
        </w:tc>
      </w:tr>
      <w:tr w14:paraId="09666319">
        <w:tblPrEx>
          <w:tblCellMar>
            <w:top w:w="0" w:type="dxa"/>
            <w:left w:w="108" w:type="dxa"/>
            <w:bottom w:w="0" w:type="dxa"/>
            <w:right w:w="108" w:type="dxa"/>
          </w:tblCellMar>
        </w:tblPrEx>
        <w:trPr>
          <w:trHeight w:val="285" w:hRule="atLeast"/>
        </w:trPr>
        <w:tc>
          <w:tcPr>
            <w:tcW w:w="1810" w:type="pct"/>
            <w:tcBorders>
              <w:top w:val="nil"/>
              <w:left w:val="single" w:color="auto" w:sz="4" w:space="0"/>
              <w:bottom w:val="single" w:color="auto" w:sz="4" w:space="0"/>
              <w:right w:val="single" w:color="auto" w:sz="4" w:space="0"/>
            </w:tcBorders>
            <w:vAlign w:val="center"/>
          </w:tcPr>
          <w:p w14:paraId="1D4A78D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38" w:type="pct"/>
            <w:tcBorders>
              <w:top w:val="nil"/>
              <w:left w:val="nil"/>
              <w:bottom w:val="single" w:color="auto" w:sz="4" w:space="0"/>
              <w:right w:val="single" w:color="auto" w:sz="4" w:space="0"/>
            </w:tcBorders>
          </w:tcPr>
          <w:p w14:paraId="4D0B364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422E685C">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68.85</w:t>
            </w:r>
          </w:p>
        </w:tc>
      </w:tr>
      <w:tr w14:paraId="2DB485CF">
        <w:tblPrEx>
          <w:tblCellMar>
            <w:top w:w="0" w:type="dxa"/>
            <w:left w:w="108" w:type="dxa"/>
            <w:bottom w:w="0" w:type="dxa"/>
            <w:right w:w="108" w:type="dxa"/>
          </w:tblCellMar>
        </w:tblPrEx>
        <w:trPr>
          <w:trHeight w:val="285"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7F4691C">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6712566">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70.51</w:t>
            </w:r>
          </w:p>
        </w:tc>
      </w:tr>
    </w:tbl>
    <w:p w14:paraId="017E222E">
      <w:pPr>
        <w:pStyle w:val="61"/>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样本小区二：郁花园二里</w:t>
      </w:r>
    </w:p>
    <w:tbl>
      <w:tblPr>
        <w:tblStyle w:val="23"/>
        <w:tblW w:w="5000" w:type="pct"/>
        <w:tblInd w:w="0" w:type="dxa"/>
        <w:tblLayout w:type="autofit"/>
        <w:tblCellMar>
          <w:top w:w="0" w:type="dxa"/>
          <w:left w:w="108" w:type="dxa"/>
          <w:bottom w:w="0" w:type="dxa"/>
          <w:right w:w="108" w:type="dxa"/>
        </w:tblCellMar>
      </w:tblPr>
      <w:tblGrid>
        <w:gridCol w:w="3475"/>
        <w:gridCol w:w="1766"/>
        <w:gridCol w:w="4274"/>
      </w:tblGrid>
      <w:tr w14:paraId="4B69B5CF">
        <w:tblPrEx>
          <w:tblCellMar>
            <w:top w:w="0" w:type="dxa"/>
            <w:left w:w="108" w:type="dxa"/>
            <w:bottom w:w="0" w:type="dxa"/>
            <w:right w:w="108" w:type="dxa"/>
          </w:tblCellMar>
        </w:tblPrEx>
        <w:trPr>
          <w:trHeight w:val="285" w:hRule="atLeast"/>
        </w:trPr>
        <w:tc>
          <w:tcPr>
            <w:tcW w:w="1826" w:type="pct"/>
            <w:tcBorders>
              <w:top w:val="single" w:color="auto" w:sz="4" w:space="0"/>
              <w:left w:val="single" w:color="auto" w:sz="4" w:space="0"/>
              <w:bottom w:val="single" w:color="auto" w:sz="4" w:space="0"/>
              <w:right w:val="single" w:color="auto" w:sz="4" w:space="0"/>
            </w:tcBorders>
            <w:vAlign w:val="center"/>
          </w:tcPr>
          <w:p w14:paraId="5EF1F93A">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8" w:type="pct"/>
            <w:tcBorders>
              <w:top w:val="single" w:color="auto" w:sz="4" w:space="0"/>
              <w:left w:val="nil"/>
              <w:bottom w:val="single" w:color="auto" w:sz="4" w:space="0"/>
              <w:right w:val="single" w:color="auto" w:sz="4" w:space="0"/>
            </w:tcBorders>
            <w:vAlign w:val="center"/>
          </w:tcPr>
          <w:p w14:paraId="03F320F5">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46" w:type="pct"/>
            <w:tcBorders>
              <w:top w:val="single" w:color="auto" w:sz="4" w:space="0"/>
              <w:left w:val="nil"/>
              <w:bottom w:val="single" w:color="auto" w:sz="4" w:space="0"/>
              <w:right w:val="single" w:color="auto" w:sz="4" w:space="0"/>
            </w:tcBorders>
            <w:vAlign w:val="center"/>
          </w:tcPr>
          <w:p w14:paraId="214411C0">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A6556CC">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3170B5D8">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8" w:type="pct"/>
            <w:tcBorders>
              <w:top w:val="nil"/>
              <w:left w:val="nil"/>
              <w:bottom w:val="single" w:color="auto" w:sz="4" w:space="0"/>
              <w:right w:val="single" w:color="auto" w:sz="4" w:space="0"/>
            </w:tcBorders>
          </w:tcPr>
          <w:p w14:paraId="4BFCEBA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46" w:type="pct"/>
            <w:tcBorders>
              <w:top w:val="nil"/>
              <w:left w:val="nil"/>
              <w:bottom w:val="single" w:color="auto" w:sz="4" w:space="0"/>
              <w:right w:val="single" w:color="auto" w:sz="4" w:space="0"/>
            </w:tcBorders>
            <w:vAlign w:val="center"/>
          </w:tcPr>
          <w:p w14:paraId="40E9F4E9">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56.93</w:t>
            </w:r>
          </w:p>
        </w:tc>
      </w:tr>
      <w:tr w14:paraId="1B61F4DA">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4CBFCD3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tcPr>
          <w:p w14:paraId="753184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46" w:type="pct"/>
            <w:tcBorders>
              <w:top w:val="nil"/>
              <w:left w:val="nil"/>
              <w:bottom w:val="single" w:color="auto" w:sz="4" w:space="0"/>
              <w:right w:val="single" w:color="auto" w:sz="4" w:space="0"/>
            </w:tcBorders>
            <w:vAlign w:val="center"/>
          </w:tcPr>
          <w:p w14:paraId="07A3362C">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65.28</w:t>
            </w:r>
          </w:p>
        </w:tc>
      </w:tr>
      <w:tr w14:paraId="4972421F">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17FB11E2">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tcPr>
          <w:p w14:paraId="15E9D7E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46" w:type="pct"/>
            <w:tcBorders>
              <w:top w:val="nil"/>
              <w:left w:val="nil"/>
              <w:bottom w:val="single" w:color="auto" w:sz="4" w:space="0"/>
              <w:right w:val="single" w:color="auto" w:sz="4" w:space="0"/>
            </w:tcBorders>
            <w:vAlign w:val="center"/>
          </w:tcPr>
          <w:p w14:paraId="470C99BA">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58.07</w:t>
            </w:r>
          </w:p>
        </w:tc>
      </w:tr>
      <w:tr w14:paraId="2EC898E8">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3F5F790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8" w:type="pct"/>
            <w:tcBorders>
              <w:top w:val="nil"/>
              <w:left w:val="nil"/>
              <w:bottom w:val="single" w:color="auto" w:sz="4" w:space="0"/>
              <w:right w:val="single" w:color="auto" w:sz="4" w:space="0"/>
            </w:tcBorders>
          </w:tcPr>
          <w:p w14:paraId="4CB2CC3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46" w:type="pct"/>
            <w:tcBorders>
              <w:top w:val="nil"/>
              <w:left w:val="nil"/>
              <w:bottom w:val="single" w:color="auto" w:sz="4" w:space="0"/>
              <w:right w:val="single" w:color="auto" w:sz="4" w:space="0"/>
            </w:tcBorders>
            <w:vAlign w:val="center"/>
          </w:tcPr>
          <w:p w14:paraId="02526A67">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58.10</w:t>
            </w:r>
          </w:p>
        </w:tc>
      </w:tr>
      <w:tr w14:paraId="2D85720D">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609ECB8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8" w:type="pct"/>
            <w:tcBorders>
              <w:top w:val="nil"/>
              <w:left w:val="nil"/>
              <w:bottom w:val="single" w:color="auto" w:sz="4" w:space="0"/>
              <w:right w:val="single" w:color="auto" w:sz="4" w:space="0"/>
            </w:tcBorders>
          </w:tcPr>
          <w:p w14:paraId="46F3FE2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46" w:type="pct"/>
            <w:tcBorders>
              <w:top w:val="nil"/>
              <w:left w:val="nil"/>
              <w:bottom w:val="single" w:color="auto" w:sz="4" w:space="0"/>
              <w:right w:val="single" w:color="auto" w:sz="4" w:space="0"/>
            </w:tcBorders>
            <w:vAlign w:val="center"/>
          </w:tcPr>
          <w:p w14:paraId="196AB3EE">
            <w:pPr>
              <w:widowControl/>
              <w:adjustRightInd/>
              <w:spacing w:line="240" w:lineRule="auto"/>
              <w:jc w:val="center"/>
              <w:textAlignment w:val="auto"/>
              <w:rPr>
                <w:rFonts w:ascii="Arial" w:hAnsi="Arial" w:eastAsia="华文细黑" w:cs="Arial"/>
                <w:sz w:val="18"/>
                <w:szCs w:val="18"/>
              </w:rPr>
            </w:pPr>
            <w:r>
              <w:rPr>
                <w:rFonts w:ascii="Arial" w:hAnsi="Arial" w:eastAsia="等线" w:cs="Arial"/>
                <w:color w:val="000000"/>
                <w:sz w:val="18"/>
                <w:szCs w:val="18"/>
              </w:rPr>
              <w:t>51.26</w:t>
            </w:r>
          </w:p>
        </w:tc>
      </w:tr>
      <w:tr w14:paraId="239E87C6">
        <w:tblPrEx>
          <w:tblCellMar>
            <w:top w:w="0" w:type="dxa"/>
            <w:left w:w="108" w:type="dxa"/>
            <w:bottom w:w="0" w:type="dxa"/>
            <w:right w:w="108" w:type="dxa"/>
          </w:tblCellMar>
        </w:tblPrEx>
        <w:trPr>
          <w:trHeight w:val="285" w:hRule="atLeast"/>
        </w:trPr>
        <w:tc>
          <w:tcPr>
            <w:tcW w:w="2754" w:type="pct"/>
            <w:gridSpan w:val="2"/>
            <w:tcBorders>
              <w:top w:val="single" w:color="auto" w:sz="4" w:space="0"/>
              <w:left w:val="single" w:color="auto" w:sz="4" w:space="0"/>
              <w:bottom w:val="single" w:color="auto" w:sz="4" w:space="0"/>
              <w:right w:val="single" w:color="auto" w:sz="4" w:space="0"/>
            </w:tcBorders>
            <w:vAlign w:val="center"/>
          </w:tcPr>
          <w:p w14:paraId="7375263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46" w:type="pct"/>
            <w:tcBorders>
              <w:top w:val="nil"/>
              <w:left w:val="nil"/>
              <w:bottom w:val="single" w:color="auto" w:sz="4" w:space="0"/>
              <w:right w:val="single" w:color="auto" w:sz="4" w:space="0"/>
            </w:tcBorders>
            <w:vAlign w:val="center"/>
          </w:tcPr>
          <w:p w14:paraId="7048602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59.12</w:t>
            </w:r>
          </w:p>
        </w:tc>
      </w:tr>
    </w:tbl>
    <w:p w14:paraId="13CB804A">
      <w:pPr>
        <w:pStyle w:val="61"/>
        <w:autoSpaceDE w:val="0"/>
        <w:autoSpaceDN w:val="0"/>
        <w:spacing w:before="240" w:beforeLines="100" w:line="48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滨河西里南区</w:t>
      </w:r>
    </w:p>
    <w:tbl>
      <w:tblPr>
        <w:tblStyle w:val="23"/>
        <w:tblW w:w="5000" w:type="pct"/>
        <w:tblInd w:w="0" w:type="dxa"/>
        <w:tblLayout w:type="autofit"/>
        <w:tblCellMar>
          <w:top w:w="0" w:type="dxa"/>
          <w:left w:w="108" w:type="dxa"/>
          <w:bottom w:w="0" w:type="dxa"/>
          <w:right w:w="108" w:type="dxa"/>
        </w:tblCellMar>
      </w:tblPr>
      <w:tblGrid>
        <w:gridCol w:w="3474"/>
        <w:gridCol w:w="1755"/>
        <w:gridCol w:w="4286"/>
      </w:tblGrid>
      <w:tr w14:paraId="71ABB8D0">
        <w:tblPrEx>
          <w:tblCellMar>
            <w:top w:w="0" w:type="dxa"/>
            <w:left w:w="108" w:type="dxa"/>
            <w:bottom w:w="0" w:type="dxa"/>
            <w:right w:w="108" w:type="dxa"/>
          </w:tblCellMar>
        </w:tblPrEx>
        <w:trPr>
          <w:trHeight w:val="285" w:hRule="atLeast"/>
        </w:trPr>
        <w:tc>
          <w:tcPr>
            <w:tcW w:w="1826" w:type="pct"/>
            <w:tcBorders>
              <w:top w:val="single" w:color="auto" w:sz="4" w:space="0"/>
              <w:left w:val="single" w:color="auto" w:sz="4" w:space="0"/>
              <w:bottom w:val="single" w:color="auto" w:sz="4" w:space="0"/>
              <w:right w:val="single" w:color="auto" w:sz="4" w:space="0"/>
            </w:tcBorders>
            <w:vAlign w:val="center"/>
          </w:tcPr>
          <w:p w14:paraId="010543B2">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22" w:type="pct"/>
            <w:tcBorders>
              <w:top w:val="single" w:color="auto" w:sz="4" w:space="0"/>
              <w:left w:val="nil"/>
              <w:bottom w:val="single" w:color="auto" w:sz="4" w:space="0"/>
              <w:right w:val="single" w:color="auto" w:sz="4" w:space="0"/>
            </w:tcBorders>
            <w:vAlign w:val="center"/>
          </w:tcPr>
          <w:p w14:paraId="4202A89B">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B0B0AD6">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745AE25">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63DDF42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2024年2</w:t>
            </w:r>
            <w:r>
              <w:rPr>
                <w:rFonts w:hint="eastAsia" w:ascii="Arial" w:hAnsi="Arial" w:eastAsia="华文细黑" w:cs="Arial"/>
                <w:sz w:val="18"/>
                <w:szCs w:val="18"/>
              </w:rPr>
              <w:t>季度（2</w:t>
            </w:r>
            <w:r>
              <w:rPr>
                <w:rFonts w:ascii="Arial" w:hAnsi="Arial" w:eastAsia="华文细黑" w:cs="Arial"/>
                <w:sz w:val="18"/>
                <w:szCs w:val="18"/>
              </w:rPr>
              <w:t>024</w:t>
            </w:r>
            <w:r>
              <w:rPr>
                <w:rFonts w:hint="eastAsia" w:ascii="Arial" w:hAnsi="Arial" w:eastAsia="华文细黑" w:cs="Arial"/>
                <w:sz w:val="18"/>
                <w:szCs w:val="18"/>
              </w:rPr>
              <w:t>年5-6月）</w:t>
            </w:r>
          </w:p>
        </w:tc>
        <w:tc>
          <w:tcPr>
            <w:tcW w:w="922" w:type="pct"/>
            <w:tcBorders>
              <w:top w:val="nil"/>
              <w:left w:val="nil"/>
              <w:bottom w:val="single" w:color="auto" w:sz="4" w:space="0"/>
              <w:right w:val="single" w:color="auto" w:sz="4" w:space="0"/>
            </w:tcBorders>
          </w:tcPr>
          <w:p w14:paraId="54ED62D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1F60C6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56.65</w:t>
            </w:r>
          </w:p>
        </w:tc>
      </w:tr>
      <w:tr w14:paraId="52A838A2">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5736912A">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3</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tcPr>
          <w:p w14:paraId="636BDC4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BEEC92B">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53.97</w:t>
            </w:r>
          </w:p>
        </w:tc>
      </w:tr>
      <w:tr w14:paraId="7211F1B1">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tcPr>
          <w:p w14:paraId="1A9179AB">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2024年</w:t>
            </w:r>
            <w:r>
              <w:rPr>
                <w:rFonts w:hint="eastAsia" w:ascii="Arial" w:hAnsi="Arial" w:eastAsia="华文细黑" w:cs="Arial"/>
                <w:sz w:val="18"/>
                <w:szCs w:val="18"/>
              </w:rPr>
              <w:t>4</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tcPr>
          <w:p w14:paraId="59F54E4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2C95D6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53.02</w:t>
            </w:r>
          </w:p>
        </w:tc>
      </w:tr>
      <w:tr w14:paraId="6D697B13">
        <w:trPr>
          <w:trHeight w:val="285" w:hRule="atLeast"/>
        </w:trPr>
        <w:tc>
          <w:tcPr>
            <w:tcW w:w="1826" w:type="pct"/>
            <w:tcBorders>
              <w:top w:val="nil"/>
              <w:left w:val="single" w:color="auto" w:sz="4" w:space="0"/>
              <w:bottom w:val="single" w:color="auto" w:sz="4" w:space="0"/>
              <w:right w:val="single" w:color="auto" w:sz="4" w:space="0"/>
            </w:tcBorders>
          </w:tcPr>
          <w:p w14:paraId="3571FE0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2025年</w:t>
            </w:r>
            <w:r>
              <w:rPr>
                <w:rFonts w:hint="eastAsia" w:ascii="Arial" w:hAnsi="Arial" w:eastAsia="华文细黑" w:cs="Arial"/>
                <w:sz w:val="18"/>
                <w:szCs w:val="18"/>
              </w:rPr>
              <w:t>1</w:t>
            </w:r>
            <w:r>
              <w:rPr>
                <w:rFonts w:ascii="Arial" w:hAnsi="Arial" w:eastAsia="华文细黑" w:cs="Arial"/>
                <w:sz w:val="18"/>
                <w:szCs w:val="18"/>
              </w:rPr>
              <w:t>季度</w:t>
            </w:r>
          </w:p>
        </w:tc>
        <w:tc>
          <w:tcPr>
            <w:tcW w:w="922" w:type="pct"/>
            <w:tcBorders>
              <w:top w:val="nil"/>
              <w:left w:val="nil"/>
              <w:bottom w:val="single" w:color="auto" w:sz="4" w:space="0"/>
              <w:right w:val="single" w:color="auto" w:sz="4" w:space="0"/>
            </w:tcBorders>
          </w:tcPr>
          <w:p w14:paraId="712A12A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61A638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53.18</w:t>
            </w:r>
          </w:p>
        </w:tc>
      </w:tr>
      <w:tr w14:paraId="321238E5">
        <w:tblPrEx>
          <w:tblCellMar>
            <w:top w:w="0" w:type="dxa"/>
            <w:left w:w="108" w:type="dxa"/>
            <w:bottom w:w="0" w:type="dxa"/>
            <w:right w:w="108" w:type="dxa"/>
          </w:tblCellMar>
        </w:tblPrEx>
        <w:trPr>
          <w:trHeight w:val="285" w:hRule="atLeast"/>
        </w:trPr>
        <w:tc>
          <w:tcPr>
            <w:tcW w:w="1826" w:type="pct"/>
            <w:tcBorders>
              <w:top w:val="nil"/>
              <w:left w:val="single" w:color="auto" w:sz="4" w:space="0"/>
              <w:bottom w:val="single" w:color="auto" w:sz="4" w:space="0"/>
              <w:right w:val="single" w:color="auto" w:sz="4" w:space="0"/>
            </w:tcBorders>
            <w:vAlign w:val="center"/>
          </w:tcPr>
          <w:p w14:paraId="02A36EE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202</w:t>
            </w:r>
            <w:r>
              <w:rPr>
                <w:rFonts w:ascii="Arial" w:hAnsi="Arial" w:eastAsia="华文细黑" w:cs="Arial"/>
                <w:sz w:val="18"/>
                <w:szCs w:val="18"/>
              </w:rPr>
              <w:t>5年</w:t>
            </w:r>
            <w:r>
              <w:rPr>
                <w:rFonts w:hint="eastAsia" w:ascii="Arial" w:hAnsi="Arial" w:eastAsia="华文细黑" w:cs="Arial"/>
                <w:sz w:val="18"/>
                <w:szCs w:val="18"/>
              </w:rPr>
              <w:t>2</w:t>
            </w:r>
            <w:r>
              <w:rPr>
                <w:rFonts w:ascii="Arial" w:hAnsi="Arial" w:eastAsia="华文细黑" w:cs="Arial"/>
                <w:sz w:val="18"/>
                <w:szCs w:val="18"/>
              </w:rPr>
              <w:t>季度（2025年</w:t>
            </w:r>
            <w:r>
              <w:rPr>
                <w:rFonts w:hint="eastAsia" w:ascii="Arial" w:hAnsi="Arial" w:eastAsia="华文细黑" w:cs="Arial"/>
                <w:sz w:val="18"/>
                <w:szCs w:val="18"/>
              </w:rPr>
              <w:t>4</w:t>
            </w:r>
            <w:r>
              <w:rPr>
                <w:rFonts w:ascii="Arial" w:hAnsi="Arial" w:eastAsia="华文细黑" w:cs="Arial"/>
                <w:sz w:val="18"/>
                <w:szCs w:val="18"/>
              </w:rPr>
              <w:t>月）</w:t>
            </w:r>
          </w:p>
        </w:tc>
        <w:tc>
          <w:tcPr>
            <w:tcW w:w="922" w:type="pct"/>
            <w:tcBorders>
              <w:top w:val="nil"/>
              <w:left w:val="nil"/>
              <w:bottom w:val="single" w:color="auto" w:sz="4" w:space="0"/>
              <w:right w:val="single" w:color="auto" w:sz="4" w:space="0"/>
            </w:tcBorders>
          </w:tcPr>
          <w:p w14:paraId="52E3710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A733DA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56.28</w:t>
            </w:r>
          </w:p>
        </w:tc>
      </w:tr>
      <w:tr w14:paraId="38168025">
        <w:tblPrEx>
          <w:tblCellMar>
            <w:top w:w="0" w:type="dxa"/>
            <w:left w:w="108" w:type="dxa"/>
            <w:bottom w:w="0" w:type="dxa"/>
            <w:right w:w="108" w:type="dxa"/>
          </w:tblCellMar>
        </w:tblPrEx>
        <w:trPr>
          <w:trHeight w:val="285"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01D6643">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02E8CD3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54.1</w:t>
            </w:r>
          </w:p>
        </w:tc>
      </w:tr>
    </w:tbl>
    <w:p w14:paraId="523ECB45">
      <w:pPr>
        <w:pStyle w:val="61"/>
        <w:autoSpaceDE w:val="0"/>
        <w:autoSpaceDN w:val="0"/>
        <w:spacing w:line="360" w:lineRule="auto"/>
        <w:ind w:firstLine="360" w:firstLineChars="200"/>
        <w:jc w:val="both"/>
        <w:textAlignment w:val="bottom"/>
        <w:rPr>
          <w:rFonts w:ascii="Arial" w:hAnsi="Arial" w:cs="Arial"/>
          <w:sz w:val="18"/>
          <w:szCs w:val="18"/>
        </w:rPr>
      </w:pPr>
      <w:r>
        <w:rPr>
          <w:rFonts w:hint="eastAsia" w:ascii="Arial" w:hAnsi="Arial" w:cs="Arial"/>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2DD3E0EF">
      <w:pPr>
        <w:pStyle w:val="68"/>
        <w:spacing w:line="480" w:lineRule="auto"/>
        <w:ind w:left="420" w:firstLine="0" w:firstLineChars="0"/>
        <w:rPr>
          <w:rFonts w:ascii="Arial" w:hAnsi="Arial" w:cs="Arial"/>
          <w:sz w:val="21"/>
          <w:szCs w:val="21"/>
        </w:rPr>
      </w:pPr>
      <w:r>
        <w:rPr>
          <w:rFonts w:ascii="Arial" w:hAnsi="Arial" w:cs="Arial"/>
          <w:sz w:val="21"/>
          <w:szCs w:val="21"/>
        </w:rPr>
        <w:t>（转下页）</w:t>
      </w:r>
    </w:p>
    <w:p w14:paraId="6D6D5928">
      <w:pPr>
        <w:pStyle w:val="61"/>
        <w:numPr>
          <w:ilvl w:val="0"/>
          <w:numId w:val="8"/>
        </w:numPr>
        <w:autoSpaceDE w:val="0"/>
        <w:autoSpaceDN w:val="0"/>
        <w:spacing w:line="480" w:lineRule="auto"/>
        <w:ind w:firstLine="420" w:firstLineChars="200"/>
        <w:jc w:val="both"/>
        <w:textAlignment w:val="bottom"/>
        <w:rPr>
          <w:rFonts w:hAnsi="宋体" w:cs="Arial"/>
          <w:sz w:val="21"/>
          <w:szCs w:val="21"/>
        </w:rPr>
      </w:pPr>
      <w:r>
        <w:rPr>
          <w:rFonts w:hAnsi="宋体" w:cs="Arial"/>
          <w:sz w:val="21"/>
          <w:szCs w:val="21"/>
        </w:rPr>
        <w:br w:type="page"/>
      </w:r>
    </w:p>
    <w:p w14:paraId="4E08E6B0">
      <w:pPr>
        <w:pStyle w:val="61"/>
        <w:numPr>
          <w:ilvl w:val="0"/>
          <w:numId w:val="8"/>
        </w:numPr>
        <w:autoSpaceDE w:val="0"/>
        <w:autoSpaceDN w:val="0"/>
        <w:spacing w:line="480" w:lineRule="auto"/>
        <w:ind w:firstLine="420" w:firstLineChars="200"/>
        <w:jc w:val="both"/>
        <w:textAlignment w:val="bottom"/>
        <w:rPr>
          <w:rFonts w:hAnsi="宋体" w:cs="Arial"/>
          <w:sz w:val="21"/>
          <w:szCs w:val="21"/>
        </w:rPr>
      </w:pPr>
      <w:r>
        <w:rPr>
          <w:rFonts w:hint="eastAsia" w:hAnsi="宋体" w:cs="Arial"/>
          <w:sz w:val="21"/>
          <w:szCs w:val="21"/>
        </w:rPr>
        <w:t>可比案例租金变化趋势图</w:t>
      </w:r>
    </w:p>
    <w:p w14:paraId="4686D8DC">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pPr>
        <w:pStyle w:val="61"/>
        <w:autoSpaceDE w:val="0"/>
        <w:autoSpaceDN w:val="0"/>
        <w:spacing w:line="480" w:lineRule="auto"/>
        <w:jc w:val="center"/>
        <w:textAlignment w:val="bottom"/>
        <w:rPr>
          <w:highlight w:val="yellow"/>
        </w:rPr>
      </w:pPr>
      <w:r>
        <w:drawing>
          <wp:inline distT="0" distB="0" distL="0" distR="0">
            <wp:extent cx="3909060" cy="2369820"/>
            <wp:effectExtent l="0" t="0" r="1524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54A231">
      <w:pPr>
        <w:pStyle w:val="61"/>
        <w:autoSpaceDE w:val="0"/>
        <w:autoSpaceDN w:val="0"/>
        <w:spacing w:line="480" w:lineRule="auto"/>
        <w:jc w:val="center"/>
        <w:textAlignment w:val="bottom"/>
      </w:pPr>
      <w:r>
        <w:drawing>
          <wp:inline distT="0" distB="0" distL="0" distR="0">
            <wp:extent cx="3947160" cy="2263140"/>
            <wp:effectExtent l="0" t="0" r="15240" b="38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DF08B7">
      <w:pPr>
        <w:pStyle w:val="61"/>
        <w:autoSpaceDE w:val="0"/>
        <w:autoSpaceDN w:val="0"/>
        <w:spacing w:line="480" w:lineRule="auto"/>
        <w:jc w:val="center"/>
        <w:textAlignment w:val="bottom"/>
      </w:pPr>
      <w:r>
        <w:drawing>
          <wp:inline distT="0" distB="0" distL="0" distR="0">
            <wp:extent cx="3947160" cy="2316480"/>
            <wp:effectExtent l="0" t="0" r="15240" b="76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5E494B">
      <w:pPr>
        <w:pStyle w:val="61"/>
        <w:autoSpaceDE w:val="0"/>
        <w:autoSpaceDN w:val="0"/>
        <w:spacing w:line="480" w:lineRule="auto"/>
        <w:ind w:firstLine="420" w:firstLineChars="200"/>
        <w:jc w:val="both"/>
        <w:textAlignment w:val="bottom"/>
        <w:rPr>
          <w:rFonts w:ascii="Arial" w:hAnsi="Arial" w:cs="Arial"/>
          <w:sz w:val="21"/>
          <w:szCs w:val="21"/>
        </w:rPr>
      </w:pPr>
      <w:r>
        <w:rPr>
          <w:rFonts w:hint="eastAsia" w:hAnsi="宋体" w:cs="Arial"/>
          <w:sz w:val="21"/>
          <w:szCs w:val="21"/>
        </w:rPr>
        <w:t>4)确定可比实例年平均租金水平</w:t>
      </w:r>
    </w:p>
    <w:p w14:paraId="6E2EA2FA">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结合三方面数据,本次估价从注册房地产估价师掌握的交易实例中选取保利茉莉公馆、郁花园二里、滨河西里南区3个普通住宅小区作为可比实例。</w:t>
      </w:r>
    </w:p>
    <w:p w14:paraId="0E2F3DC5">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经过统计分析及测算，各小区的数据来源及近一年平均租金水平分别如下：</w:t>
      </w:r>
    </w:p>
    <w:tbl>
      <w:tblPr>
        <w:tblStyle w:val="23"/>
        <w:tblW w:w="5000" w:type="pct"/>
        <w:jc w:val="center"/>
        <w:tblLayout w:type="autofit"/>
        <w:tblCellMar>
          <w:top w:w="0" w:type="dxa"/>
          <w:left w:w="108" w:type="dxa"/>
          <w:bottom w:w="0" w:type="dxa"/>
          <w:right w:w="108" w:type="dxa"/>
        </w:tblCellMar>
      </w:tblPr>
      <w:tblGrid>
        <w:gridCol w:w="4076"/>
        <w:gridCol w:w="1907"/>
        <w:gridCol w:w="1766"/>
        <w:gridCol w:w="1766"/>
      </w:tblGrid>
      <w:tr w14:paraId="3556E358">
        <w:tblPrEx>
          <w:tblCellMar>
            <w:top w:w="0" w:type="dxa"/>
            <w:left w:w="108" w:type="dxa"/>
            <w:bottom w:w="0" w:type="dxa"/>
            <w:right w:w="108" w:type="dxa"/>
          </w:tblCellMar>
        </w:tblPrEx>
        <w:trPr>
          <w:trHeight w:val="20" w:hRule="atLeast"/>
          <w:jc w:val="center"/>
        </w:trPr>
        <w:tc>
          <w:tcPr>
            <w:tcW w:w="2142" w:type="pct"/>
            <w:tcBorders>
              <w:top w:val="single" w:color="auto" w:sz="4" w:space="0"/>
              <w:left w:val="single" w:color="auto" w:sz="4" w:space="0"/>
              <w:bottom w:val="single" w:color="auto" w:sz="4" w:space="0"/>
              <w:right w:val="single" w:color="auto" w:sz="4" w:space="0"/>
            </w:tcBorders>
            <w:vAlign w:val="center"/>
          </w:tcPr>
          <w:p w14:paraId="4561663D">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数据来源</w:t>
            </w:r>
          </w:p>
        </w:tc>
        <w:tc>
          <w:tcPr>
            <w:tcW w:w="1002" w:type="pct"/>
            <w:tcBorders>
              <w:top w:val="single" w:color="auto" w:sz="4" w:space="0"/>
              <w:left w:val="nil"/>
              <w:bottom w:val="single" w:color="auto" w:sz="4" w:space="0"/>
              <w:right w:val="single" w:color="auto" w:sz="4" w:space="0"/>
            </w:tcBorders>
            <w:vAlign w:val="center"/>
          </w:tcPr>
          <w:p w14:paraId="449C0A6D">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保利茉莉公馆</w:t>
            </w:r>
          </w:p>
        </w:tc>
        <w:tc>
          <w:tcPr>
            <w:tcW w:w="928" w:type="pct"/>
            <w:tcBorders>
              <w:top w:val="single" w:color="auto" w:sz="4" w:space="0"/>
              <w:left w:val="nil"/>
              <w:bottom w:val="single" w:color="auto" w:sz="4" w:space="0"/>
              <w:right w:val="single" w:color="auto" w:sz="4" w:space="0"/>
            </w:tcBorders>
            <w:vAlign w:val="center"/>
          </w:tcPr>
          <w:p w14:paraId="3148D064">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郁花园二里</w:t>
            </w:r>
          </w:p>
        </w:tc>
        <w:tc>
          <w:tcPr>
            <w:tcW w:w="928" w:type="pct"/>
            <w:tcBorders>
              <w:top w:val="single" w:color="auto" w:sz="4" w:space="0"/>
              <w:left w:val="nil"/>
              <w:bottom w:val="single" w:color="auto" w:sz="4" w:space="0"/>
              <w:right w:val="single" w:color="auto" w:sz="4" w:space="0"/>
            </w:tcBorders>
            <w:vAlign w:val="center"/>
          </w:tcPr>
          <w:p w14:paraId="516F492B">
            <w:pPr>
              <w:widowControl/>
              <w:adjustRightInd/>
              <w:spacing w:line="240" w:lineRule="auto"/>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滨河西里南区</w:t>
            </w:r>
          </w:p>
        </w:tc>
      </w:tr>
      <w:tr w14:paraId="6AAF76AB">
        <w:tblPrEx>
          <w:tblCellMar>
            <w:top w:w="0" w:type="dxa"/>
            <w:left w:w="108" w:type="dxa"/>
            <w:bottom w:w="0" w:type="dxa"/>
            <w:right w:w="108" w:type="dxa"/>
          </w:tblCellMar>
        </w:tblPrEx>
        <w:trPr>
          <w:trHeight w:val="20" w:hRule="atLeast"/>
          <w:jc w:val="center"/>
        </w:trPr>
        <w:tc>
          <w:tcPr>
            <w:tcW w:w="2142" w:type="pct"/>
            <w:tcBorders>
              <w:top w:val="nil"/>
              <w:left w:val="single" w:color="auto" w:sz="4" w:space="0"/>
              <w:bottom w:val="single" w:color="auto" w:sz="4" w:space="0"/>
              <w:right w:val="single" w:color="auto" w:sz="4" w:space="0"/>
            </w:tcBorders>
            <w:vAlign w:val="center"/>
          </w:tcPr>
          <w:p w14:paraId="615C6FF2">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估价机构</w:t>
            </w:r>
            <w:r>
              <w:rPr>
                <w:rFonts w:hint="eastAsia" w:ascii="华文细黑" w:hAnsi="华文细黑" w:eastAsia="华文细黑" w:cs="宋体"/>
                <w:sz w:val="18"/>
                <w:szCs w:val="18"/>
              </w:rPr>
              <w:t>监测</w:t>
            </w:r>
            <w:r>
              <w:rPr>
                <w:rFonts w:ascii="华文细黑" w:hAnsi="华文细黑" w:eastAsia="华文细黑" w:cs="宋体"/>
                <w:sz w:val="18"/>
                <w:szCs w:val="18"/>
              </w:rPr>
              <w:t>数据</w:t>
            </w:r>
          </w:p>
        </w:tc>
        <w:tc>
          <w:tcPr>
            <w:tcW w:w="1002" w:type="pct"/>
            <w:tcBorders>
              <w:top w:val="nil"/>
              <w:left w:val="nil"/>
              <w:bottom w:val="single" w:color="auto" w:sz="4" w:space="0"/>
              <w:right w:val="single" w:color="auto" w:sz="4" w:space="0"/>
            </w:tcBorders>
            <w:vAlign w:val="center"/>
          </w:tcPr>
          <w:p w14:paraId="323F93F8">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77.42</w:t>
            </w:r>
          </w:p>
        </w:tc>
        <w:tc>
          <w:tcPr>
            <w:tcW w:w="928" w:type="pct"/>
            <w:tcBorders>
              <w:top w:val="nil"/>
              <w:left w:val="nil"/>
              <w:bottom w:val="single" w:color="auto" w:sz="4" w:space="0"/>
              <w:right w:val="single" w:color="auto" w:sz="4" w:space="0"/>
            </w:tcBorders>
            <w:vAlign w:val="center"/>
          </w:tcPr>
          <w:p w14:paraId="4C1C7100">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78.53</w:t>
            </w:r>
          </w:p>
        </w:tc>
        <w:tc>
          <w:tcPr>
            <w:tcW w:w="928" w:type="pct"/>
            <w:tcBorders>
              <w:top w:val="nil"/>
              <w:left w:val="nil"/>
              <w:bottom w:val="single" w:color="auto" w:sz="4" w:space="0"/>
              <w:right w:val="single" w:color="auto" w:sz="4" w:space="0"/>
            </w:tcBorders>
            <w:vAlign w:val="center"/>
          </w:tcPr>
          <w:p w14:paraId="7A27FA04">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65.42</w:t>
            </w:r>
          </w:p>
        </w:tc>
      </w:tr>
      <w:tr w14:paraId="68FC1985">
        <w:tblPrEx>
          <w:tblCellMar>
            <w:top w:w="0" w:type="dxa"/>
            <w:left w:w="108" w:type="dxa"/>
            <w:bottom w:w="0" w:type="dxa"/>
            <w:right w:w="108" w:type="dxa"/>
          </w:tblCellMar>
        </w:tblPrEx>
        <w:trPr>
          <w:trHeight w:val="20" w:hRule="atLeast"/>
          <w:jc w:val="center"/>
        </w:trPr>
        <w:tc>
          <w:tcPr>
            <w:tcW w:w="2142" w:type="pct"/>
            <w:tcBorders>
              <w:top w:val="nil"/>
              <w:left w:val="single" w:color="auto" w:sz="4" w:space="0"/>
              <w:bottom w:val="single" w:color="auto" w:sz="4" w:space="0"/>
              <w:right w:val="single" w:color="auto" w:sz="4" w:space="0"/>
            </w:tcBorders>
            <w:vAlign w:val="center"/>
          </w:tcPr>
          <w:p w14:paraId="68686AD7">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市场调查数据</w:t>
            </w:r>
          </w:p>
        </w:tc>
        <w:tc>
          <w:tcPr>
            <w:tcW w:w="1002" w:type="pct"/>
            <w:tcBorders>
              <w:top w:val="nil"/>
              <w:left w:val="nil"/>
              <w:bottom w:val="single" w:color="auto" w:sz="4" w:space="0"/>
              <w:right w:val="single" w:color="auto" w:sz="4" w:space="0"/>
            </w:tcBorders>
            <w:vAlign w:val="center"/>
          </w:tcPr>
          <w:p w14:paraId="08D7A974">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73.69</w:t>
            </w:r>
          </w:p>
        </w:tc>
        <w:tc>
          <w:tcPr>
            <w:tcW w:w="928" w:type="pct"/>
            <w:tcBorders>
              <w:top w:val="nil"/>
              <w:left w:val="nil"/>
              <w:bottom w:val="single" w:color="auto" w:sz="4" w:space="0"/>
              <w:right w:val="single" w:color="auto" w:sz="4" w:space="0"/>
            </w:tcBorders>
            <w:vAlign w:val="center"/>
          </w:tcPr>
          <w:p w14:paraId="548C7778">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65.29</w:t>
            </w:r>
          </w:p>
        </w:tc>
        <w:tc>
          <w:tcPr>
            <w:tcW w:w="928" w:type="pct"/>
            <w:tcBorders>
              <w:top w:val="nil"/>
              <w:left w:val="nil"/>
              <w:bottom w:val="single" w:color="auto" w:sz="4" w:space="0"/>
              <w:right w:val="single" w:color="auto" w:sz="4" w:space="0"/>
            </w:tcBorders>
            <w:vAlign w:val="center"/>
          </w:tcPr>
          <w:p w14:paraId="2BD01681">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57.68</w:t>
            </w:r>
          </w:p>
        </w:tc>
      </w:tr>
      <w:tr w14:paraId="6FBA9F98">
        <w:tblPrEx>
          <w:tblCellMar>
            <w:top w:w="0" w:type="dxa"/>
            <w:left w:w="108" w:type="dxa"/>
            <w:bottom w:w="0" w:type="dxa"/>
            <w:right w:w="108" w:type="dxa"/>
          </w:tblCellMar>
        </w:tblPrEx>
        <w:trPr>
          <w:trHeight w:val="20" w:hRule="atLeast"/>
          <w:jc w:val="center"/>
        </w:trPr>
        <w:tc>
          <w:tcPr>
            <w:tcW w:w="2142" w:type="pct"/>
            <w:tcBorders>
              <w:top w:val="nil"/>
              <w:left w:val="single" w:color="auto" w:sz="4" w:space="0"/>
              <w:bottom w:val="single" w:color="auto" w:sz="4" w:space="0"/>
              <w:right w:val="single" w:color="auto" w:sz="4" w:space="0"/>
            </w:tcBorders>
            <w:vAlign w:val="center"/>
          </w:tcPr>
          <w:p w14:paraId="2A6BE82C">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北京市房地产市场管理事务中心样本数据</w:t>
            </w:r>
          </w:p>
        </w:tc>
        <w:tc>
          <w:tcPr>
            <w:tcW w:w="1002" w:type="pct"/>
            <w:tcBorders>
              <w:top w:val="nil"/>
              <w:left w:val="nil"/>
              <w:bottom w:val="single" w:color="auto" w:sz="4" w:space="0"/>
              <w:right w:val="single" w:color="auto" w:sz="4" w:space="0"/>
            </w:tcBorders>
            <w:vAlign w:val="center"/>
          </w:tcPr>
          <w:p w14:paraId="08B6A632">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70.51</w:t>
            </w:r>
          </w:p>
        </w:tc>
        <w:tc>
          <w:tcPr>
            <w:tcW w:w="928" w:type="pct"/>
            <w:tcBorders>
              <w:top w:val="nil"/>
              <w:left w:val="nil"/>
              <w:bottom w:val="single" w:color="auto" w:sz="4" w:space="0"/>
              <w:right w:val="single" w:color="auto" w:sz="4" w:space="0"/>
            </w:tcBorders>
            <w:vAlign w:val="center"/>
          </w:tcPr>
          <w:p w14:paraId="62128735">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59.12</w:t>
            </w:r>
          </w:p>
        </w:tc>
        <w:tc>
          <w:tcPr>
            <w:tcW w:w="928" w:type="pct"/>
            <w:tcBorders>
              <w:top w:val="nil"/>
              <w:left w:val="nil"/>
              <w:bottom w:val="single" w:color="auto" w:sz="4" w:space="0"/>
              <w:right w:val="single" w:color="auto" w:sz="4" w:space="0"/>
            </w:tcBorders>
            <w:vAlign w:val="center"/>
          </w:tcPr>
          <w:p w14:paraId="7BD9DB2F">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54.17</w:t>
            </w:r>
          </w:p>
        </w:tc>
      </w:tr>
      <w:tr w14:paraId="5E957A08">
        <w:tblPrEx>
          <w:tblCellMar>
            <w:top w:w="0" w:type="dxa"/>
            <w:left w:w="108" w:type="dxa"/>
            <w:bottom w:w="0" w:type="dxa"/>
            <w:right w:w="108" w:type="dxa"/>
          </w:tblCellMar>
        </w:tblPrEx>
        <w:trPr>
          <w:trHeight w:val="20" w:hRule="atLeast"/>
          <w:jc w:val="center"/>
        </w:trPr>
        <w:tc>
          <w:tcPr>
            <w:tcW w:w="2142" w:type="pct"/>
            <w:tcBorders>
              <w:top w:val="nil"/>
              <w:left w:val="single" w:color="auto" w:sz="4" w:space="0"/>
              <w:bottom w:val="single" w:color="auto" w:sz="4" w:space="0"/>
              <w:right w:val="single" w:color="auto" w:sz="4" w:space="0"/>
            </w:tcBorders>
            <w:vAlign w:val="center"/>
          </w:tcPr>
          <w:p w14:paraId="65897E6E">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平均价</w:t>
            </w:r>
          </w:p>
        </w:tc>
        <w:tc>
          <w:tcPr>
            <w:tcW w:w="1002" w:type="pct"/>
            <w:tcBorders>
              <w:top w:val="nil"/>
              <w:left w:val="nil"/>
              <w:bottom w:val="single" w:color="auto" w:sz="4" w:space="0"/>
              <w:right w:val="single" w:color="auto" w:sz="4" w:space="0"/>
            </w:tcBorders>
            <w:vAlign w:val="center"/>
          </w:tcPr>
          <w:p w14:paraId="66C437AC">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73.87</w:t>
            </w:r>
          </w:p>
        </w:tc>
        <w:tc>
          <w:tcPr>
            <w:tcW w:w="928" w:type="pct"/>
            <w:tcBorders>
              <w:top w:val="nil"/>
              <w:left w:val="nil"/>
              <w:bottom w:val="single" w:color="auto" w:sz="4" w:space="0"/>
              <w:right w:val="single" w:color="auto" w:sz="4" w:space="0"/>
            </w:tcBorders>
            <w:vAlign w:val="center"/>
          </w:tcPr>
          <w:p w14:paraId="1098A90A">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67.65</w:t>
            </w:r>
          </w:p>
        </w:tc>
        <w:tc>
          <w:tcPr>
            <w:tcW w:w="928" w:type="pct"/>
            <w:tcBorders>
              <w:top w:val="nil"/>
              <w:left w:val="nil"/>
              <w:bottom w:val="single" w:color="auto" w:sz="4" w:space="0"/>
              <w:right w:val="single" w:color="auto" w:sz="4" w:space="0"/>
            </w:tcBorders>
            <w:vAlign w:val="center"/>
          </w:tcPr>
          <w:p w14:paraId="4B999928">
            <w:pPr>
              <w:widowControl/>
              <w:adjustRightInd/>
              <w:spacing w:line="240" w:lineRule="auto"/>
              <w:jc w:val="center"/>
              <w:textAlignment w:val="auto"/>
              <w:rPr>
                <w:rFonts w:ascii="华文细黑" w:hAnsi="华文细黑" w:eastAsia="华文细黑" w:cs="宋体"/>
                <w:sz w:val="18"/>
                <w:szCs w:val="18"/>
              </w:rPr>
            </w:pPr>
            <w:r>
              <w:rPr>
                <w:rFonts w:ascii="华文细黑" w:hAnsi="华文细黑" w:eastAsia="华文细黑" w:cs="宋体"/>
                <w:sz w:val="18"/>
                <w:szCs w:val="18"/>
              </w:rPr>
              <w:t>59.09</w:t>
            </w:r>
          </w:p>
        </w:tc>
      </w:tr>
    </w:tbl>
    <w:p w14:paraId="27777154">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2C4376FD">
      <w:pPr>
        <w:spacing w:before="22"/>
        <w:ind w:right="370"/>
        <w:rPr>
          <w:sz w:val="18"/>
        </w:rPr>
      </w:pPr>
    </w:p>
    <w:p w14:paraId="333888B9">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保利茉莉公馆小区租金平均价＝（</w:t>
      </w:r>
      <w:r>
        <w:rPr>
          <w:rFonts w:ascii="Arial" w:hAnsi="Arial" w:cs="Arial"/>
          <w:sz w:val="21"/>
          <w:szCs w:val="21"/>
        </w:rPr>
        <w:t>77.42</w:t>
      </w:r>
      <w:r>
        <w:rPr>
          <w:rFonts w:hint="eastAsia" w:ascii="Arial" w:hAnsi="Arial" w:cs="Arial"/>
          <w:sz w:val="21"/>
          <w:szCs w:val="21"/>
        </w:rPr>
        <w:t>+</w:t>
      </w:r>
      <w:r>
        <w:rPr>
          <w:rFonts w:ascii="Arial" w:hAnsi="Arial" w:cs="Arial"/>
          <w:sz w:val="21"/>
          <w:szCs w:val="21"/>
        </w:rPr>
        <w:t>73.69</w:t>
      </w:r>
      <w:r>
        <w:rPr>
          <w:rFonts w:hint="eastAsia" w:ascii="Arial" w:hAnsi="Arial" w:cs="Arial"/>
          <w:sz w:val="21"/>
          <w:szCs w:val="21"/>
        </w:rPr>
        <w:t>+</w:t>
      </w:r>
      <w:r>
        <w:rPr>
          <w:rFonts w:ascii="Arial" w:hAnsi="Arial" w:cs="Arial"/>
          <w:sz w:val="21"/>
          <w:szCs w:val="21"/>
        </w:rPr>
        <w:t>70.51</w:t>
      </w:r>
      <w:r>
        <w:rPr>
          <w:rFonts w:hint="eastAsia" w:ascii="Arial" w:hAnsi="Arial" w:cs="Arial"/>
          <w:sz w:val="21"/>
          <w:szCs w:val="21"/>
        </w:rPr>
        <w:t>）÷3＝</w:t>
      </w:r>
      <w:r>
        <w:rPr>
          <w:rFonts w:ascii="Arial" w:hAnsi="Arial" w:cs="Arial"/>
          <w:sz w:val="21"/>
          <w:szCs w:val="21"/>
        </w:rPr>
        <w:t>73.87</w:t>
      </w:r>
      <w:r>
        <w:rPr>
          <w:rFonts w:hint="eastAsia" w:ascii="Arial" w:hAnsi="Arial" w:cs="Arial"/>
          <w:sz w:val="21"/>
          <w:szCs w:val="21"/>
        </w:rPr>
        <w:t>（元/月·㎡）</w:t>
      </w:r>
    </w:p>
    <w:p w14:paraId="1AE1FF9F">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郁花园二里小区租金平均价＝（</w:t>
      </w:r>
      <w:r>
        <w:rPr>
          <w:rFonts w:ascii="Arial" w:hAnsi="Arial" w:cs="Arial"/>
          <w:sz w:val="21"/>
          <w:szCs w:val="21"/>
        </w:rPr>
        <w:t>78.53</w:t>
      </w:r>
      <w:r>
        <w:rPr>
          <w:rFonts w:hint="eastAsia" w:ascii="Arial" w:hAnsi="Arial" w:cs="Arial"/>
          <w:sz w:val="21"/>
          <w:szCs w:val="21"/>
        </w:rPr>
        <w:t>+</w:t>
      </w:r>
      <w:r>
        <w:rPr>
          <w:rFonts w:ascii="Arial" w:hAnsi="Arial" w:cs="Arial"/>
          <w:sz w:val="21"/>
          <w:szCs w:val="21"/>
        </w:rPr>
        <w:t>65.29</w:t>
      </w:r>
      <w:r>
        <w:rPr>
          <w:rFonts w:hint="eastAsia" w:ascii="Arial" w:hAnsi="Arial" w:cs="Arial"/>
          <w:sz w:val="21"/>
          <w:szCs w:val="21"/>
        </w:rPr>
        <w:t>+</w:t>
      </w:r>
      <w:r>
        <w:rPr>
          <w:rFonts w:ascii="Arial" w:hAnsi="Arial" w:cs="Arial"/>
          <w:sz w:val="21"/>
          <w:szCs w:val="21"/>
        </w:rPr>
        <w:t>59.12</w:t>
      </w:r>
      <w:r>
        <w:rPr>
          <w:rFonts w:hint="eastAsia" w:ascii="Arial" w:hAnsi="Arial" w:cs="Arial"/>
          <w:sz w:val="21"/>
          <w:szCs w:val="21"/>
        </w:rPr>
        <w:t>）÷3＝</w:t>
      </w:r>
      <w:r>
        <w:rPr>
          <w:rFonts w:ascii="Arial" w:hAnsi="Arial" w:cs="Arial"/>
          <w:sz w:val="21"/>
          <w:szCs w:val="21"/>
        </w:rPr>
        <w:t>67.65</w:t>
      </w:r>
      <w:r>
        <w:rPr>
          <w:rFonts w:hint="eastAsia" w:ascii="Arial" w:hAnsi="Arial" w:cs="Arial"/>
          <w:sz w:val="21"/>
          <w:szCs w:val="21"/>
        </w:rPr>
        <w:t>（元/月·㎡）</w:t>
      </w:r>
    </w:p>
    <w:p w14:paraId="6B182524">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滨河西里南区小区租金平均价＝（</w:t>
      </w:r>
      <w:r>
        <w:rPr>
          <w:rFonts w:ascii="Arial" w:hAnsi="Arial" w:cs="Arial"/>
          <w:sz w:val="21"/>
          <w:szCs w:val="21"/>
        </w:rPr>
        <w:t>65.42</w:t>
      </w:r>
      <w:r>
        <w:rPr>
          <w:rFonts w:hint="eastAsia" w:ascii="Arial" w:hAnsi="Arial" w:cs="Arial"/>
          <w:sz w:val="21"/>
          <w:szCs w:val="21"/>
        </w:rPr>
        <w:t>+</w:t>
      </w:r>
      <w:r>
        <w:rPr>
          <w:rFonts w:ascii="Arial" w:hAnsi="Arial" w:cs="Arial"/>
          <w:sz w:val="21"/>
          <w:szCs w:val="21"/>
        </w:rPr>
        <w:t>57.68</w:t>
      </w:r>
      <w:r>
        <w:rPr>
          <w:rFonts w:hint="eastAsia" w:ascii="Arial" w:hAnsi="Arial" w:cs="Arial"/>
          <w:sz w:val="21"/>
          <w:szCs w:val="21"/>
        </w:rPr>
        <w:t>+</w:t>
      </w:r>
      <w:r>
        <w:rPr>
          <w:rFonts w:ascii="Arial" w:hAnsi="Arial" w:cs="Arial"/>
          <w:sz w:val="21"/>
          <w:szCs w:val="21"/>
        </w:rPr>
        <w:t>54.17</w:t>
      </w:r>
      <w:r>
        <w:rPr>
          <w:rFonts w:hint="eastAsia" w:ascii="Arial" w:hAnsi="Arial" w:cs="Arial"/>
          <w:sz w:val="21"/>
          <w:szCs w:val="21"/>
        </w:rPr>
        <w:t>）÷3＝</w:t>
      </w:r>
      <w:r>
        <w:rPr>
          <w:rFonts w:ascii="Arial" w:hAnsi="Arial" w:cs="Arial"/>
          <w:sz w:val="21"/>
          <w:szCs w:val="21"/>
        </w:rPr>
        <w:t>59.09</w:t>
      </w:r>
      <w:r>
        <w:rPr>
          <w:rFonts w:hint="eastAsia" w:ascii="Arial" w:hAnsi="Arial" w:cs="Arial"/>
          <w:sz w:val="21"/>
          <w:szCs w:val="21"/>
        </w:rPr>
        <w:t>（元/月·㎡）</w:t>
      </w:r>
    </w:p>
    <w:p w14:paraId="3FA4B63F">
      <w:pPr>
        <w:spacing w:before="22"/>
        <w:ind w:right="370"/>
        <w:jc w:val="center"/>
        <w:rPr>
          <w:rFonts w:ascii="Arial" w:hAnsi="Arial" w:cs="Arial"/>
          <w:sz w:val="21"/>
          <w:szCs w:val="21"/>
        </w:rPr>
      </w:pPr>
      <w:r>
        <w:rPr>
          <w:rFonts w:hint="eastAsia" w:ascii="Arial" w:hAnsi="Arial" w:cs="Arial"/>
          <w:sz w:val="21"/>
          <w:szCs w:val="21"/>
        </w:rPr>
        <w:t>可比实例外观照片</w:t>
      </w:r>
    </w:p>
    <w:p w14:paraId="2CF05C71">
      <w:pPr>
        <w:pStyle w:val="11"/>
        <w:spacing w:before="4"/>
        <w:ind w:firstLine="1050" w:firstLineChars="500"/>
        <w:rPr>
          <w:rFonts w:ascii="Arial" w:hAnsi="Arial" w:eastAsia="宋体" w:cs="Arial"/>
          <w:sz w:val="21"/>
          <w:szCs w:val="21"/>
        </w:rPr>
      </w:pPr>
      <w:r>
        <w:rPr>
          <w:rFonts w:hint="eastAsia" w:ascii="Arial" w:hAnsi="Arial" w:eastAsia="宋体" w:cs="Arial"/>
          <w:sz w:val="21"/>
          <w:szCs w:val="21"/>
        </w:rPr>
        <w:t xml:space="preserve">保利茉莉公馆             </w:t>
      </w:r>
      <w:r>
        <w:rPr>
          <w:rFonts w:ascii="Arial" w:hAnsi="Arial" w:eastAsia="宋体" w:cs="Arial"/>
          <w:sz w:val="21"/>
          <w:szCs w:val="21"/>
        </w:rPr>
        <w:t xml:space="preserve">   </w:t>
      </w:r>
      <w:r>
        <w:rPr>
          <w:rFonts w:hint="eastAsia" w:ascii="Arial" w:hAnsi="Arial" w:eastAsia="宋体" w:cs="Arial"/>
          <w:sz w:val="21"/>
          <w:szCs w:val="21"/>
        </w:rPr>
        <w:t xml:space="preserve">郁花园二里                  </w:t>
      </w:r>
      <w:r>
        <w:rPr>
          <w:rFonts w:ascii="Arial" w:hAnsi="Arial" w:eastAsia="宋体" w:cs="Arial"/>
          <w:sz w:val="21"/>
          <w:szCs w:val="21"/>
        </w:rPr>
        <w:t xml:space="preserve">  </w:t>
      </w:r>
      <w:r>
        <w:rPr>
          <w:rFonts w:hint="eastAsia" w:ascii="Arial" w:hAnsi="Arial" w:eastAsia="宋体" w:cs="Arial"/>
          <w:sz w:val="21"/>
          <w:szCs w:val="21"/>
        </w:rPr>
        <w:t>滨河西里南区</w:t>
      </w:r>
    </w:p>
    <w:p w14:paraId="1C171C3E">
      <w:pPr>
        <w:pStyle w:val="11"/>
        <w:spacing w:before="4"/>
        <w:ind w:left="240" w:leftChars="100"/>
        <w:rPr>
          <w:rFonts w:ascii="Arial" w:hAnsi="Arial" w:eastAsia="宋体" w:cs="Arial"/>
          <w:sz w:val="21"/>
          <w:szCs w:val="21"/>
        </w:rPr>
      </w:pPr>
      <w:r>
        <w:drawing>
          <wp:inline distT="0" distB="0" distL="0" distR="0">
            <wp:extent cx="1678305"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1683410" cy="2330597"/>
                    </a:xfrm>
                    <a:prstGeom prst="rect">
                      <a:avLst/>
                    </a:prstGeom>
                  </pic:spPr>
                </pic:pic>
              </a:graphicData>
            </a:graphic>
          </wp:inline>
        </w:drawing>
      </w:r>
      <w:r>
        <w:rPr>
          <w:rFonts w:hint="eastAsia"/>
        </w:rPr>
        <w:t xml:space="preserve">  </w:t>
      </w:r>
      <w:r>
        <w:drawing>
          <wp:inline distT="0" distB="0" distL="0" distR="0">
            <wp:extent cx="1607820" cy="2307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1618340" cy="2323326"/>
                    </a:xfrm>
                    <a:prstGeom prst="rect">
                      <a:avLst/>
                    </a:prstGeom>
                  </pic:spPr>
                </pic:pic>
              </a:graphicData>
            </a:graphic>
          </wp:inline>
        </w:drawing>
      </w:r>
      <w:r>
        <w:t xml:space="preserve"> </w:t>
      </w:r>
      <w:r>
        <w:rPr>
          <w:rFonts w:hint="eastAsia"/>
        </w:rPr>
        <w:t xml:space="preserve"> </w:t>
      </w:r>
      <w:r>
        <w:drawing>
          <wp:inline distT="0" distB="0" distL="0" distR="0">
            <wp:extent cx="1710055" cy="23241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1714521" cy="2329917"/>
                    </a:xfrm>
                    <a:prstGeom prst="rect">
                      <a:avLst/>
                    </a:prstGeom>
                  </pic:spPr>
                </pic:pic>
              </a:graphicData>
            </a:graphic>
          </wp:inline>
        </w:drawing>
      </w:r>
    </w:p>
    <w:p w14:paraId="3DA32B0C">
      <w:pPr>
        <w:pStyle w:val="11"/>
        <w:spacing w:before="4"/>
        <w:rPr>
          <w:rFonts w:ascii="Arial" w:hAnsi="Arial" w:eastAsia="宋体" w:cs="Arial"/>
          <w:sz w:val="21"/>
          <w:szCs w:val="21"/>
        </w:rPr>
      </w:pPr>
    </w:p>
    <w:p w14:paraId="37B751DD">
      <w:pPr>
        <w:pStyle w:val="67"/>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0ECC5159">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保利茉莉公馆物业费</w:t>
      </w:r>
      <w:r>
        <w:rPr>
          <w:rFonts w:ascii="Arial" w:hAnsi="Arial" w:cs="Arial"/>
          <w:sz w:val="21"/>
          <w:szCs w:val="21"/>
        </w:rPr>
        <w:t>2.68</w:t>
      </w:r>
      <w:r>
        <w:rPr>
          <w:rFonts w:hint="eastAsia" w:ascii="Arial" w:hAnsi="Arial" w:cs="Arial"/>
          <w:sz w:val="21"/>
          <w:szCs w:val="21"/>
        </w:rPr>
        <w:t>元/平方米•月，小区市政供暖，供暖费为</w:t>
      </w:r>
      <w:r>
        <w:rPr>
          <w:rFonts w:ascii="Arial" w:hAnsi="Arial" w:cs="Arial"/>
          <w:sz w:val="21"/>
          <w:szCs w:val="21"/>
        </w:rPr>
        <w:t>2.5</w:t>
      </w:r>
      <w:r>
        <w:rPr>
          <w:rFonts w:hint="eastAsia" w:ascii="Arial" w:hAnsi="Arial" w:cs="Arial"/>
          <w:sz w:val="21"/>
          <w:szCs w:val="21"/>
        </w:rPr>
        <w:t>元/平方米•月；</w:t>
      </w:r>
    </w:p>
    <w:p w14:paraId="4F597070">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郁花园二里物业费</w:t>
      </w:r>
      <w:r>
        <w:rPr>
          <w:rFonts w:ascii="Arial" w:hAnsi="Arial" w:cs="Arial"/>
          <w:sz w:val="21"/>
          <w:szCs w:val="21"/>
        </w:rPr>
        <w:t>0.8</w:t>
      </w:r>
      <w:r>
        <w:rPr>
          <w:rFonts w:hint="eastAsia" w:ascii="Arial" w:hAnsi="Arial" w:cs="Arial"/>
          <w:sz w:val="21"/>
          <w:szCs w:val="21"/>
        </w:rPr>
        <w:t>元/平方米•月，小区市政供暖，供暖费为</w:t>
      </w:r>
      <w:r>
        <w:rPr>
          <w:rFonts w:ascii="Arial" w:hAnsi="Arial" w:cs="Arial"/>
          <w:sz w:val="21"/>
          <w:szCs w:val="21"/>
        </w:rPr>
        <w:t>2.5</w:t>
      </w:r>
      <w:r>
        <w:rPr>
          <w:rFonts w:hint="eastAsia" w:ascii="Arial" w:hAnsi="Arial" w:cs="Arial"/>
          <w:sz w:val="21"/>
          <w:szCs w:val="21"/>
        </w:rPr>
        <w:t>元/平方米•月；</w:t>
      </w:r>
    </w:p>
    <w:p w14:paraId="01818F6A">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滨河西里南区物业费</w:t>
      </w:r>
      <w:r>
        <w:rPr>
          <w:rFonts w:ascii="Arial" w:hAnsi="Arial" w:cs="Arial"/>
          <w:sz w:val="21"/>
          <w:szCs w:val="21"/>
        </w:rPr>
        <w:t>1.5</w:t>
      </w:r>
      <w:r>
        <w:rPr>
          <w:rFonts w:hint="eastAsia" w:ascii="Arial" w:hAnsi="Arial" w:cs="Arial"/>
          <w:sz w:val="21"/>
          <w:szCs w:val="21"/>
        </w:rPr>
        <w:t>元/平方米•月，小区市政供暖，供暖费为</w:t>
      </w:r>
      <w:r>
        <w:rPr>
          <w:rFonts w:ascii="Arial" w:hAnsi="Arial" w:cs="Arial"/>
          <w:sz w:val="21"/>
          <w:szCs w:val="21"/>
        </w:rPr>
        <w:t>2.5</w:t>
      </w:r>
      <w:r>
        <w:rPr>
          <w:rFonts w:hint="eastAsia" w:ascii="Arial" w:hAnsi="Arial" w:cs="Arial"/>
          <w:sz w:val="21"/>
          <w:szCs w:val="21"/>
        </w:rPr>
        <w:t>元/平方米•月；</w:t>
      </w:r>
    </w:p>
    <w:p w14:paraId="44B6ADF7">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扣除各小区物业费、供暖费，即：</w:t>
      </w:r>
    </w:p>
    <w:p w14:paraId="2F3CB260">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保利茉莉公馆平均租金：</w:t>
      </w:r>
      <w:r>
        <w:rPr>
          <w:rFonts w:ascii="Arial" w:hAnsi="Arial" w:cs="Arial"/>
          <w:sz w:val="21"/>
          <w:szCs w:val="21"/>
        </w:rPr>
        <w:t>73.87</w:t>
      </w:r>
      <w:r>
        <w:rPr>
          <w:rFonts w:hint="eastAsia" w:ascii="Arial" w:hAnsi="Arial" w:cs="Arial"/>
          <w:sz w:val="21"/>
          <w:szCs w:val="21"/>
        </w:rPr>
        <w:t>-</w:t>
      </w:r>
      <w:r>
        <w:rPr>
          <w:rFonts w:ascii="Arial" w:hAnsi="Arial" w:cs="Arial"/>
          <w:sz w:val="21"/>
          <w:szCs w:val="21"/>
        </w:rPr>
        <w:t>2.68</w:t>
      </w:r>
      <w:r>
        <w:rPr>
          <w:rFonts w:hint="eastAsia" w:ascii="Arial" w:hAnsi="Arial" w:cs="Arial"/>
          <w:sz w:val="21"/>
          <w:szCs w:val="21"/>
        </w:rPr>
        <w:t>-</w:t>
      </w:r>
      <w:r>
        <w:rPr>
          <w:rFonts w:ascii="Arial" w:hAnsi="Arial" w:cs="Arial"/>
          <w:sz w:val="21"/>
          <w:szCs w:val="21"/>
        </w:rPr>
        <w:t>2.5</w:t>
      </w:r>
      <w:r>
        <w:rPr>
          <w:rFonts w:hint="eastAsia" w:ascii="Arial" w:hAnsi="Arial" w:cs="Arial"/>
          <w:sz w:val="21"/>
          <w:szCs w:val="21"/>
        </w:rPr>
        <w:t>=</w:t>
      </w:r>
      <w:r>
        <w:rPr>
          <w:rFonts w:ascii="Arial" w:hAnsi="Arial" w:cs="Arial"/>
          <w:sz w:val="21"/>
          <w:szCs w:val="21"/>
        </w:rPr>
        <w:t>68.69</w:t>
      </w:r>
      <w:r>
        <w:rPr>
          <w:rFonts w:hint="eastAsia" w:ascii="Arial" w:hAnsi="Arial" w:cs="Arial"/>
          <w:sz w:val="21"/>
          <w:szCs w:val="21"/>
        </w:rPr>
        <w:t>元/平方米·月</w:t>
      </w:r>
    </w:p>
    <w:p w14:paraId="4693D7F4">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郁花园二里平均租金：</w:t>
      </w:r>
      <w:r>
        <w:rPr>
          <w:rFonts w:ascii="Arial" w:hAnsi="Arial" w:cs="Arial"/>
          <w:sz w:val="21"/>
          <w:szCs w:val="21"/>
        </w:rPr>
        <w:t>67.65</w:t>
      </w:r>
      <w:r>
        <w:rPr>
          <w:rFonts w:hint="eastAsia" w:ascii="Arial" w:hAnsi="Arial" w:cs="Arial"/>
          <w:sz w:val="21"/>
          <w:szCs w:val="21"/>
        </w:rPr>
        <w:t>-</w:t>
      </w:r>
      <w:r>
        <w:rPr>
          <w:rFonts w:ascii="Arial" w:hAnsi="Arial" w:cs="Arial"/>
          <w:sz w:val="21"/>
          <w:szCs w:val="21"/>
        </w:rPr>
        <w:t>0.8</w:t>
      </w:r>
      <w:r>
        <w:rPr>
          <w:rFonts w:hint="eastAsia" w:ascii="Arial" w:hAnsi="Arial" w:cs="Arial"/>
          <w:sz w:val="21"/>
          <w:szCs w:val="21"/>
        </w:rPr>
        <w:t>-</w:t>
      </w:r>
      <w:r>
        <w:rPr>
          <w:rFonts w:ascii="Arial" w:hAnsi="Arial" w:cs="Arial"/>
          <w:sz w:val="21"/>
          <w:szCs w:val="21"/>
        </w:rPr>
        <w:t>2.5</w:t>
      </w:r>
      <w:r>
        <w:rPr>
          <w:rFonts w:hint="eastAsia" w:ascii="Arial" w:hAnsi="Arial" w:cs="Arial"/>
          <w:sz w:val="21"/>
          <w:szCs w:val="21"/>
        </w:rPr>
        <w:t>=</w:t>
      </w:r>
      <w:r>
        <w:rPr>
          <w:rFonts w:ascii="Arial" w:hAnsi="Arial" w:cs="Arial"/>
          <w:sz w:val="21"/>
          <w:szCs w:val="21"/>
        </w:rPr>
        <w:t>64.35</w:t>
      </w:r>
      <w:r>
        <w:rPr>
          <w:rFonts w:hint="eastAsia" w:ascii="Arial" w:hAnsi="Arial" w:cs="Arial"/>
          <w:sz w:val="21"/>
          <w:szCs w:val="21"/>
        </w:rPr>
        <w:t>元/平方米·月</w:t>
      </w:r>
    </w:p>
    <w:p w14:paraId="30D085A1">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滨河西里南区平均租金：</w:t>
      </w:r>
      <w:r>
        <w:rPr>
          <w:rFonts w:ascii="Arial" w:hAnsi="Arial" w:cs="Arial"/>
          <w:sz w:val="21"/>
          <w:szCs w:val="21"/>
        </w:rPr>
        <w:t>59.09</w:t>
      </w:r>
      <w:r>
        <w:rPr>
          <w:rFonts w:hint="eastAsia" w:ascii="Arial" w:hAnsi="Arial" w:cs="Arial"/>
          <w:sz w:val="21"/>
          <w:szCs w:val="21"/>
        </w:rPr>
        <w:t>-</w:t>
      </w:r>
      <w:r>
        <w:rPr>
          <w:rFonts w:ascii="Arial" w:hAnsi="Arial" w:cs="Arial"/>
          <w:sz w:val="21"/>
          <w:szCs w:val="21"/>
        </w:rPr>
        <w:t>1.5</w:t>
      </w:r>
      <w:r>
        <w:rPr>
          <w:rFonts w:hint="eastAsia" w:ascii="Arial" w:hAnsi="Arial" w:cs="Arial"/>
          <w:sz w:val="21"/>
          <w:szCs w:val="21"/>
        </w:rPr>
        <w:t>-</w:t>
      </w:r>
      <w:r>
        <w:rPr>
          <w:rFonts w:ascii="Arial" w:hAnsi="Arial" w:cs="Arial"/>
          <w:sz w:val="21"/>
          <w:szCs w:val="21"/>
        </w:rPr>
        <w:t>2.5</w:t>
      </w:r>
      <w:r>
        <w:rPr>
          <w:rFonts w:hint="eastAsia" w:ascii="Arial" w:hAnsi="Arial" w:cs="Arial"/>
          <w:sz w:val="21"/>
          <w:szCs w:val="21"/>
        </w:rPr>
        <w:t>=</w:t>
      </w:r>
      <w:r>
        <w:rPr>
          <w:rFonts w:ascii="Arial" w:hAnsi="Arial" w:cs="Arial"/>
          <w:sz w:val="21"/>
          <w:szCs w:val="21"/>
        </w:rPr>
        <w:t>55.09</w:t>
      </w:r>
      <w:r>
        <w:rPr>
          <w:rFonts w:hint="eastAsia" w:ascii="Arial" w:hAnsi="Arial" w:cs="Arial"/>
          <w:sz w:val="21"/>
          <w:szCs w:val="21"/>
        </w:rPr>
        <w:t>元/平方米·月</w:t>
      </w:r>
    </w:p>
    <w:p w14:paraId="03D12A68">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0A548E42">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39059450">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26179C54">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保利茉莉公馆平均租金：</w:t>
      </w:r>
      <w:r>
        <w:rPr>
          <w:rFonts w:ascii="Arial" w:hAnsi="Arial" w:cs="Arial"/>
          <w:sz w:val="21"/>
          <w:szCs w:val="21"/>
        </w:rPr>
        <w:t>68.69</w:t>
      </w:r>
      <w:r>
        <w:rPr>
          <w:rFonts w:hint="eastAsia" w:ascii="Arial" w:hAnsi="Arial" w:cs="Arial"/>
          <w:sz w:val="21"/>
          <w:szCs w:val="21"/>
        </w:rPr>
        <w:t>-</w:t>
      </w:r>
      <w:r>
        <w:rPr>
          <w:rFonts w:ascii="Arial" w:hAnsi="Arial" w:cs="Arial"/>
          <w:sz w:val="21"/>
          <w:szCs w:val="21"/>
        </w:rPr>
        <w:t>68.69÷（1+5%）×2.5%</w:t>
      </w:r>
      <w:r>
        <w:rPr>
          <w:rFonts w:hint="eastAsia" w:ascii="Arial" w:hAnsi="Arial" w:cs="Arial"/>
          <w:sz w:val="21"/>
          <w:szCs w:val="21"/>
        </w:rPr>
        <w:t>=67.</w:t>
      </w:r>
      <w:r>
        <w:rPr>
          <w:rFonts w:ascii="Arial" w:hAnsi="Arial" w:cs="Arial"/>
          <w:sz w:val="21"/>
          <w:szCs w:val="21"/>
        </w:rPr>
        <w:t>05</w:t>
      </w:r>
      <w:r>
        <w:rPr>
          <w:rFonts w:hint="eastAsia" w:ascii="Arial" w:hAnsi="Arial" w:cs="Arial"/>
          <w:sz w:val="21"/>
          <w:szCs w:val="21"/>
        </w:rPr>
        <w:t>元/平方米·月</w:t>
      </w:r>
    </w:p>
    <w:p w14:paraId="72D4FF21">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郁花园二里平均租金：</w:t>
      </w:r>
      <w:r>
        <w:rPr>
          <w:rFonts w:ascii="Arial" w:hAnsi="Arial" w:cs="Arial"/>
          <w:sz w:val="21"/>
          <w:szCs w:val="21"/>
        </w:rPr>
        <w:t>64.35</w:t>
      </w:r>
      <w:r>
        <w:rPr>
          <w:rFonts w:hint="eastAsia" w:ascii="Arial" w:hAnsi="Arial" w:cs="Arial"/>
          <w:sz w:val="21"/>
          <w:szCs w:val="21"/>
        </w:rPr>
        <w:t>-</w:t>
      </w:r>
      <w:r>
        <w:rPr>
          <w:rFonts w:ascii="Arial" w:hAnsi="Arial" w:cs="Arial"/>
          <w:sz w:val="21"/>
          <w:szCs w:val="21"/>
        </w:rPr>
        <w:t>64.35÷（1+5%）×2.5%</w:t>
      </w:r>
      <w:r>
        <w:rPr>
          <w:rFonts w:hint="eastAsia" w:ascii="Arial" w:hAnsi="Arial" w:cs="Arial"/>
          <w:sz w:val="21"/>
          <w:szCs w:val="21"/>
        </w:rPr>
        <w:t>=</w:t>
      </w:r>
      <w:r>
        <w:rPr>
          <w:rFonts w:ascii="Arial" w:hAnsi="Arial" w:cs="Arial"/>
          <w:sz w:val="21"/>
          <w:szCs w:val="21"/>
        </w:rPr>
        <w:t>62.82</w:t>
      </w:r>
      <w:r>
        <w:rPr>
          <w:rFonts w:hint="eastAsia" w:ascii="Arial" w:hAnsi="Arial" w:cs="Arial"/>
          <w:sz w:val="21"/>
          <w:szCs w:val="21"/>
        </w:rPr>
        <w:t>元/平方米·月</w:t>
      </w:r>
      <w:bookmarkStart w:id="61" w:name="_GoBack"/>
      <w:bookmarkEnd w:id="61"/>
    </w:p>
    <w:p w14:paraId="704C932A">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滨河西里南区平均租金：</w:t>
      </w:r>
      <w:r>
        <w:rPr>
          <w:rFonts w:ascii="Arial" w:hAnsi="Arial" w:cs="Arial"/>
          <w:sz w:val="21"/>
          <w:szCs w:val="21"/>
        </w:rPr>
        <w:t>55.09</w:t>
      </w:r>
      <w:r>
        <w:rPr>
          <w:rFonts w:hint="eastAsia" w:ascii="Arial" w:hAnsi="Arial" w:cs="Arial"/>
          <w:sz w:val="21"/>
          <w:szCs w:val="21"/>
        </w:rPr>
        <w:t>-</w:t>
      </w:r>
      <w:r>
        <w:rPr>
          <w:rFonts w:ascii="Arial" w:hAnsi="Arial" w:cs="Arial"/>
          <w:sz w:val="21"/>
          <w:szCs w:val="21"/>
        </w:rPr>
        <w:t>55.09÷（1+5%）×2.5%</w:t>
      </w:r>
      <w:r>
        <w:rPr>
          <w:rFonts w:hint="eastAsia" w:ascii="Arial" w:hAnsi="Arial" w:cs="Arial"/>
          <w:sz w:val="21"/>
          <w:szCs w:val="21"/>
        </w:rPr>
        <w:t>=</w:t>
      </w:r>
      <w:r>
        <w:rPr>
          <w:rFonts w:ascii="Arial" w:hAnsi="Arial" w:cs="Arial"/>
          <w:sz w:val="21"/>
          <w:szCs w:val="21"/>
        </w:rPr>
        <w:t>53.78</w:t>
      </w:r>
      <w:r>
        <w:rPr>
          <w:rFonts w:hint="eastAsia" w:ascii="Arial" w:hAnsi="Arial" w:cs="Arial"/>
          <w:sz w:val="21"/>
          <w:szCs w:val="21"/>
        </w:rPr>
        <w:t>元/平方米·月</w:t>
      </w:r>
    </w:p>
    <w:p w14:paraId="6BBF0554">
      <w:pPr>
        <w:pStyle w:val="61"/>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即三个可比实例的不含物业费、供暖费、租赁税费的月平均租金水平分别为67.</w:t>
      </w:r>
      <w:r>
        <w:rPr>
          <w:rFonts w:ascii="Arial" w:hAnsi="Arial" w:cs="Arial"/>
          <w:sz w:val="21"/>
          <w:szCs w:val="21"/>
        </w:rPr>
        <w:t>05</w:t>
      </w:r>
      <w:r>
        <w:rPr>
          <w:rFonts w:hint="eastAsia" w:ascii="Arial" w:hAnsi="Arial" w:cs="Arial"/>
          <w:sz w:val="21"/>
          <w:szCs w:val="21"/>
        </w:rPr>
        <w:t>元/平方米•月、</w:t>
      </w:r>
      <w:r>
        <w:rPr>
          <w:rFonts w:ascii="Arial" w:hAnsi="Arial" w:cs="Arial"/>
          <w:sz w:val="21"/>
          <w:szCs w:val="21"/>
        </w:rPr>
        <w:t>62.82</w:t>
      </w:r>
      <w:r>
        <w:rPr>
          <w:rFonts w:hint="eastAsia" w:ascii="Arial" w:hAnsi="Arial" w:cs="Arial"/>
          <w:sz w:val="21"/>
          <w:szCs w:val="21"/>
        </w:rPr>
        <w:t>元/平方米•月、</w:t>
      </w:r>
      <w:r>
        <w:rPr>
          <w:rFonts w:ascii="Arial" w:hAnsi="Arial" w:cs="Arial"/>
          <w:sz w:val="21"/>
          <w:szCs w:val="21"/>
        </w:rPr>
        <w:t>53.78</w:t>
      </w:r>
      <w:r>
        <w:rPr>
          <w:rFonts w:hint="eastAsia" w:ascii="Arial" w:hAnsi="Arial" w:cs="Arial"/>
          <w:sz w:val="21"/>
          <w:szCs w:val="21"/>
        </w:rPr>
        <w:t>元/平方米•月。</w:t>
      </w:r>
    </w:p>
    <w:p w14:paraId="1F2A2712">
      <w:pPr>
        <w:pStyle w:val="61"/>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（转下页）</w:t>
      </w:r>
    </w:p>
    <w:p w14:paraId="705F9D80">
      <w:pPr>
        <w:pStyle w:val="14"/>
        <w:spacing w:line="480" w:lineRule="auto"/>
        <w:rPr>
          <w:rFonts w:ascii="Arial" w:hAnsi="Arial" w:eastAsia="宋体" w:cs="Arial"/>
          <w:sz w:val="21"/>
          <w:szCs w:val="21"/>
        </w:rPr>
      </w:pPr>
      <w:r>
        <w:rPr>
          <w:rFonts w:ascii="Arial" w:hAnsi="Arial" w:eastAsia="宋体" w:cs="Arial"/>
          <w:sz w:val="21"/>
          <w:szCs w:val="21"/>
        </w:rPr>
        <w:br w:type="page"/>
      </w:r>
    </w:p>
    <w:p w14:paraId="1A3C62ED">
      <w:pPr>
        <w:pStyle w:val="14"/>
        <w:spacing w:line="480" w:lineRule="auto"/>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6CC98A82">
      <w:pPr>
        <w:tabs>
          <w:tab w:val="center" w:pos="4860"/>
        </w:tabs>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r>
        <w:rPr>
          <w:rFonts w:ascii="Arial" w:hAnsi="Arial"/>
          <w:sz w:val="21"/>
          <w:szCs w:val="21"/>
        </w:rPr>
        <w:tab/>
      </w:r>
    </w:p>
    <w:p w14:paraId="70853B35">
      <w:pPr>
        <w:tabs>
          <w:tab w:val="center" w:pos="4860"/>
        </w:tabs>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Pr>
          <w:rFonts w:hint="eastAsia" w:ascii="Arial" w:hAnsi="Arial"/>
          <w:sz w:val="21"/>
          <w:szCs w:val="21"/>
        </w:rPr>
        <w:t>：</w:t>
      </w:r>
    </w:p>
    <w:p w14:paraId="423D5F1C">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23"/>
        <w:tblW w:w="5000" w:type="pct"/>
        <w:jc w:val="center"/>
        <w:tblLayout w:type="autofit"/>
        <w:tblCellMar>
          <w:top w:w="0" w:type="dxa"/>
          <w:left w:w="108" w:type="dxa"/>
          <w:bottom w:w="0" w:type="dxa"/>
          <w:right w:w="108" w:type="dxa"/>
        </w:tblCellMar>
      </w:tblPr>
      <w:tblGrid>
        <w:gridCol w:w="698"/>
        <w:gridCol w:w="1041"/>
        <w:gridCol w:w="1945"/>
        <w:gridCol w:w="1945"/>
        <w:gridCol w:w="1945"/>
        <w:gridCol w:w="1941"/>
      </w:tblGrid>
      <w:tr w14:paraId="7BEA43CB">
        <w:tblPrEx>
          <w:tblCellMar>
            <w:top w:w="0" w:type="dxa"/>
            <w:left w:w="108" w:type="dxa"/>
            <w:bottom w:w="0" w:type="dxa"/>
            <w:right w:w="108" w:type="dxa"/>
          </w:tblCellMar>
        </w:tblPrEx>
        <w:trPr>
          <w:trHeight w:val="270" w:hRule="atLeast"/>
          <w:tblHeader/>
          <w:jc w:val="center"/>
        </w:trPr>
        <w:tc>
          <w:tcPr>
            <w:tcW w:w="913" w:type="pct"/>
            <w:gridSpan w:val="2"/>
            <w:tcBorders>
              <w:top w:val="single" w:color="auto" w:sz="4" w:space="0"/>
              <w:left w:val="single" w:color="auto" w:sz="4" w:space="0"/>
              <w:bottom w:val="single" w:color="auto" w:sz="4" w:space="0"/>
              <w:right w:val="single" w:color="000000" w:sz="4" w:space="0"/>
            </w:tcBorders>
            <w:vAlign w:val="center"/>
          </w:tcPr>
          <w:p w14:paraId="47767C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1022" w:type="pct"/>
            <w:tcBorders>
              <w:top w:val="single" w:color="auto" w:sz="4" w:space="0"/>
              <w:left w:val="nil"/>
              <w:bottom w:val="single" w:color="auto" w:sz="4" w:space="0"/>
              <w:right w:val="single" w:color="auto" w:sz="4" w:space="0"/>
            </w:tcBorders>
            <w:vAlign w:val="center"/>
          </w:tcPr>
          <w:p w14:paraId="279617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估价对象</w:t>
            </w:r>
          </w:p>
        </w:tc>
        <w:tc>
          <w:tcPr>
            <w:tcW w:w="1022" w:type="pct"/>
            <w:tcBorders>
              <w:top w:val="single" w:color="auto" w:sz="4" w:space="0"/>
              <w:left w:val="nil"/>
              <w:bottom w:val="single" w:color="auto" w:sz="4" w:space="0"/>
              <w:right w:val="single" w:color="auto" w:sz="4" w:space="0"/>
            </w:tcBorders>
            <w:vAlign w:val="center"/>
          </w:tcPr>
          <w:p w14:paraId="44134C2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可比实例1</w:t>
            </w:r>
          </w:p>
        </w:tc>
        <w:tc>
          <w:tcPr>
            <w:tcW w:w="1022" w:type="pct"/>
            <w:tcBorders>
              <w:top w:val="single" w:color="auto" w:sz="4" w:space="0"/>
              <w:left w:val="nil"/>
              <w:bottom w:val="single" w:color="auto" w:sz="4" w:space="0"/>
              <w:right w:val="single" w:color="auto" w:sz="4" w:space="0"/>
            </w:tcBorders>
            <w:vAlign w:val="center"/>
          </w:tcPr>
          <w:p w14:paraId="335C4CC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可比实例2</w:t>
            </w:r>
          </w:p>
        </w:tc>
        <w:tc>
          <w:tcPr>
            <w:tcW w:w="1022" w:type="pct"/>
            <w:tcBorders>
              <w:top w:val="single" w:color="auto" w:sz="4" w:space="0"/>
              <w:left w:val="nil"/>
              <w:bottom w:val="single" w:color="auto" w:sz="4" w:space="0"/>
              <w:right w:val="single" w:color="auto" w:sz="4" w:space="0"/>
            </w:tcBorders>
            <w:vAlign w:val="center"/>
          </w:tcPr>
          <w:p w14:paraId="76FA505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可比案例3</w:t>
            </w:r>
          </w:p>
        </w:tc>
      </w:tr>
      <w:tr w14:paraId="2317BB1B">
        <w:tblPrEx>
          <w:tblCellMar>
            <w:top w:w="0" w:type="dxa"/>
            <w:left w:w="108" w:type="dxa"/>
            <w:bottom w:w="0" w:type="dxa"/>
            <w:right w:w="108" w:type="dxa"/>
          </w:tblCellMar>
        </w:tblPrEx>
        <w:trPr>
          <w:trHeight w:val="270" w:hRule="atLeast"/>
          <w:tblHeader/>
          <w:jc w:val="center"/>
        </w:trPr>
        <w:tc>
          <w:tcPr>
            <w:tcW w:w="913" w:type="pct"/>
            <w:gridSpan w:val="2"/>
            <w:tcBorders>
              <w:top w:val="single" w:color="auto" w:sz="4" w:space="0"/>
              <w:left w:val="single" w:color="auto" w:sz="4" w:space="0"/>
              <w:bottom w:val="single" w:color="auto" w:sz="4" w:space="0"/>
              <w:right w:val="single" w:color="auto" w:sz="4" w:space="0"/>
            </w:tcBorders>
            <w:vAlign w:val="center"/>
          </w:tcPr>
          <w:p w14:paraId="6537C98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小区名称</w:t>
            </w:r>
          </w:p>
        </w:tc>
        <w:tc>
          <w:tcPr>
            <w:tcW w:w="1022" w:type="pct"/>
            <w:tcBorders>
              <w:top w:val="nil"/>
              <w:left w:val="nil"/>
              <w:bottom w:val="single" w:color="auto" w:sz="4" w:space="0"/>
              <w:right w:val="single" w:color="auto" w:sz="4" w:space="0"/>
            </w:tcBorders>
            <w:vAlign w:val="center"/>
          </w:tcPr>
          <w:p w14:paraId="283BAAA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燕保·高米店家园公租房项目</w:t>
            </w:r>
          </w:p>
        </w:tc>
        <w:tc>
          <w:tcPr>
            <w:tcW w:w="1022" w:type="pct"/>
            <w:tcBorders>
              <w:top w:val="nil"/>
              <w:left w:val="nil"/>
              <w:bottom w:val="single" w:color="auto" w:sz="4" w:space="0"/>
              <w:right w:val="single" w:color="auto" w:sz="4" w:space="0"/>
            </w:tcBorders>
            <w:vAlign w:val="center"/>
          </w:tcPr>
          <w:p w14:paraId="140E4AE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保利茉莉公馆</w:t>
            </w:r>
          </w:p>
        </w:tc>
        <w:tc>
          <w:tcPr>
            <w:tcW w:w="1022" w:type="pct"/>
            <w:tcBorders>
              <w:top w:val="nil"/>
              <w:left w:val="nil"/>
              <w:bottom w:val="single" w:color="auto" w:sz="4" w:space="0"/>
              <w:right w:val="single" w:color="auto" w:sz="4" w:space="0"/>
            </w:tcBorders>
            <w:vAlign w:val="center"/>
          </w:tcPr>
          <w:p w14:paraId="035CDE1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郁花园二里</w:t>
            </w:r>
          </w:p>
        </w:tc>
        <w:tc>
          <w:tcPr>
            <w:tcW w:w="1022" w:type="pct"/>
            <w:tcBorders>
              <w:top w:val="nil"/>
              <w:left w:val="nil"/>
              <w:bottom w:val="single" w:color="auto" w:sz="4" w:space="0"/>
              <w:right w:val="single" w:color="auto" w:sz="4" w:space="0"/>
            </w:tcBorders>
            <w:vAlign w:val="center"/>
          </w:tcPr>
          <w:p w14:paraId="1CC094C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滨河西里南区</w:t>
            </w:r>
          </w:p>
        </w:tc>
      </w:tr>
      <w:tr w14:paraId="3A2631DD">
        <w:tblPrEx>
          <w:tblCellMar>
            <w:top w:w="0" w:type="dxa"/>
            <w:left w:w="108" w:type="dxa"/>
            <w:bottom w:w="0" w:type="dxa"/>
            <w:right w:w="108" w:type="dxa"/>
          </w:tblCellMar>
        </w:tblPrEx>
        <w:trPr>
          <w:trHeight w:val="270" w:hRule="atLeast"/>
          <w:jc w:val="center"/>
        </w:trPr>
        <w:tc>
          <w:tcPr>
            <w:tcW w:w="913" w:type="pct"/>
            <w:gridSpan w:val="2"/>
            <w:tcBorders>
              <w:top w:val="single" w:color="auto" w:sz="4" w:space="0"/>
              <w:left w:val="single" w:color="auto" w:sz="4" w:space="0"/>
              <w:bottom w:val="single" w:color="auto" w:sz="4" w:space="0"/>
              <w:right w:val="single" w:color="auto" w:sz="4" w:space="0"/>
            </w:tcBorders>
            <w:vAlign w:val="center"/>
          </w:tcPr>
          <w:p w14:paraId="6071D27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平均租金（元/平方米·月）</w:t>
            </w:r>
          </w:p>
        </w:tc>
        <w:tc>
          <w:tcPr>
            <w:tcW w:w="1022" w:type="pct"/>
            <w:tcBorders>
              <w:top w:val="nil"/>
              <w:left w:val="nil"/>
              <w:bottom w:val="single" w:color="auto" w:sz="4" w:space="0"/>
              <w:right w:val="single" w:color="auto" w:sz="4" w:space="0"/>
            </w:tcBorders>
            <w:vAlign w:val="center"/>
          </w:tcPr>
          <w:p w14:paraId="09A459B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待估</w:t>
            </w:r>
          </w:p>
        </w:tc>
        <w:tc>
          <w:tcPr>
            <w:tcW w:w="1022" w:type="pct"/>
            <w:tcBorders>
              <w:top w:val="nil"/>
              <w:left w:val="nil"/>
              <w:bottom w:val="single" w:color="auto" w:sz="4" w:space="0"/>
              <w:right w:val="single" w:color="auto" w:sz="4" w:space="0"/>
            </w:tcBorders>
            <w:vAlign w:val="center"/>
          </w:tcPr>
          <w:p w14:paraId="0113126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67.05</w:t>
            </w:r>
          </w:p>
        </w:tc>
        <w:tc>
          <w:tcPr>
            <w:tcW w:w="1022" w:type="pct"/>
            <w:tcBorders>
              <w:top w:val="nil"/>
              <w:left w:val="nil"/>
              <w:bottom w:val="single" w:color="auto" w:sz="4" w:space="0"/>
              <w:right w:val="single" w:color="auto" w:sz="4" w:space="0"/>
            </w:tcBorders>
            <w:vAlign w:val="center"/>
          </w:tcPr>
          <w:p w14:paraId="53B4FCF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62.82</w:t>
            </w:r>
          </w:p>
        </w:tc>
        <w:tc>
          <w:tcPr>
            <w:tcW w:w="1022" w:type="pct"/>
            <w:tcBorders>
              <w:top w:val="nil"/>
              <w:left w:val="nil"/>
              <w:bottom w:val="single" w:color="auto" w:sz="4" w:space="0"/>
              <w:right w:val="single" w:color="auto" w:sz="4" w:space="0"/>
            </w:tcBorders>
            <w:vAlign w:val="center"/>
          </w:tcPr>
          <w:p w14:paraId="61594E8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53.78</w:t>
            </w:r>
          </w:p>
        </w:tc>
      </w:tr>
      <w:tr w14:paraId="4F25E2C6">
        <w:tblPrEx>
          <w:tblCellMar>
            <w:top w:w="0" w:type="dxa"/>
            <w:left w:w="108" w:type="dxa"/>
            <w:bottom w:w="0" w:type="dxa"/>
            <w:right w:w="108" w:type="dxa"/>
          </w:tblCellMar>
        </w:tblPrEx>
        <w:trPr>
          <w:trHeight w:val="495" w:hRule="atLeast"/>
          <w:jc w:val="center"/>
        </w:trPr>
        <w:tc>
          <w:tcPr>
            <w:tcW w:w="913" w:type="pct"/>
            <w:gridSpan w:val="2"/>
            <w:tcBorders>
              <w:top w:val="single" w:color="auto" w:sz="4" w:space="0"/>
              <w:left w:val="single" w:color="auto" w:sz="4" w:space="0"/>
              <w:bottom w:val="single" w:color="auto" w:sz="4" w:space="0"/>
              <w:right w:val="single" w:color="auto" w:sz="4" w:space="0"/>
            </w:tcBorders>
            <w:vAlign w:val="center"/>
          </w:tcPr>
          <w:p w14:paraId="6653B43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交易时间</w:t>
            </w:r>
          </w:p>
        </w:tc>
        <w:tc>
          <w:tcPr>
            <w:tcW w:w="1022" w:type="pct"/>
            <w:tcBorders>
              <w:top w:val="nil"/>
              <w:left w:val="nil"/>
              <w:bottom w:val="single" w:color="auto" w:sz="4" w:space="0"/>
              <w:right w:val="single" w:color="auto" w:sz="4" w:space="0"/>
            </w:tcBorders>
            <w:vAlign w:val="center"/>
          </w:tcPr>
          <w:p w14:paraId="34348B8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于价值时点过去12个月</w:t>
            </w:r>
          </w:p>
        </w:tc>
        <w:tc>
          <w:tcPr>
            <w:tcW w:w="1022" w:type="pct"/>
            <w:tcBorders>
              <w:top w:val="nil"/>
              <w:left w:val="nil"/>
              <w:bottom w:val="single" w:color="auto" w:sz="4" w:space="0"/>
              <w:right w:val="single" w:color="auto" w:sz="4" w:space="0"/>
            </w:tcBorders>
            <w:vAlign w:val="center"/>
          </w:tcPr>
          <w:p w14:paraId="5ED977B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于价值时点过去12个月</w:t>
            </w:r>
          </w:p>
        </w:tc>
        <w:tc>
          <w:tcPr>
            <w:tcW w:w="1022" w:type="pct"/>
            <w:tcBorders>
              <w:top w:val="nil"/>
              <w:left w:val="nil"/>
              <w:bottom w:val="single" w:color="auto" w:sz="4" w:space="0"/>
              <w:right w:val="single" w:color="auto" w:sz="4" w:space="0"/>
            </w:tcBorders>
            <w:vAlign w:val="center"/>
          </w:tcPr>
          <w:p w14:paraId="57D2476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于价值时点过去12个月</w:t>
            </w:r>
          </w:p>
        </w:tc>
        <w:tc>
          <w:tcPr>
            <w:tcW w:w="1022" w:type="pct"/>
            <w:tcBorders>
              <w:top w:val="nil"/>
              <w:left w:val="nil"/>
              <w:bottom w:val="single" w:color="auto" w:sz="4" w:space="0"/>
              <w:right w:val="single" w:color="auto" w:sz="4" w:space="0"/>
            </w:tcBorders>
            <w:vAlign w:val="center"/>
          </w:tcPr>
          <w:p w14:paraId="3909FC6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于价值时点过去12个月</w:t>
            </w:r>
          </w:p>
        </w:tc>
      </w:tr>
      <w:tr w14:paraId="202407AE">
        <w:tblPrEx>
          <w:tblCellMar>
            <w:top w:w="0" w:type="dxa"/>
            <w:left w:w="108" w:type="dxa"/>
            <w:bottom w:w="0" w:type="dxa"/>
            <w:right w:w="108" w:type="dxa"/>
          </w:tblCellMar>
        </w:tblPrEx>
        <w:trPr>
          <w:trHeight w:val="270" w:hRule="atLeast"/>
          <w:jc w:val="center"/>
        </w:trPr>
        <w:tc>
          <w:tcPr>
            <w:tcW w:w="913" w:type="pct"/>
            <w:gridSpan w:val="2"/>
            <w:tcBorders>
              <w:top w:val="single" w:color="auto" w:sz="4" w:space="0"/>
              <w:left w:val="single" w:color="auto" w:sz="4" w:space="0"/>
              <w:bottom w:val="single" w:color="auto" w:sz="4" w:space="0"/>
              <w:right w:val="single" w:color="auto" w:sz="4" w:space="0"/>
            </w:tcBorders>
            <w:vAlign w:val="center"/>
          </w:tcPr>
          <w:p w14:paraId="7B79A57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交易情况</w:t>
            </w:r>
          </w:p>
        </w:tc>
        <w:tc>
          <w:tcPr>
            <w:tcW w:w="1022" w:type="pct"/>
            <w:tcBorders>
              <w:top w:val="nil"/>
              <w:left w:val="nil"/>
              <w:bottom w:val="single" w:color="auto" w:sz="4" w:space="0"/>
              <w:right w:val="single" w:color="auto" w:sz="4" w:space="0"/>
            </w:tcBorders>
            <w:vAlign w:val="center"/>
          </w:tcPr>
          <w:p w14:paraId="04CD906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1022" w:type="pct"/>
            <w:tcBorders>
              <w:top w:val="nil"/>
              <w:left w:val="nil"/>
              <w:bottom w:val="single" w:color="auto" w:sz="4" w:space="0"/>
              <w:right w:val="single" w:color="auto" w:sz="4" w:space="0"/>
            </w:tcBorders>
            <w:vAlign w:val="center"/>
          </w:tcPr>
          <w:p w14:paraId="5D29DF6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1022" w:type="pct"/>
            <w:tcBorders>
              <w:top w:val="nil"/>
              <w:left w:val="nil"/>
              <w:bottom w:val="single" w:color="auto" w:sz="4" w:space="0"/>
              <w:right w:val="single" w:color="auto" w:sz="4" w:space="0"/>
            </w:tcBorders>
            <w:vAlign w:val="center"/>
          </w:tcPr>
          <w:p w14:paraId="2A6BD19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1022" w:type="pct"/>
            <w:tcBorders>
              <w:top w:val="nil"/>
              <w:left w:val="nil"/>
              <w:bottom w:val="single" w:color="auto" w:sz="4" w:space="0"/>
              <w:right w:val="single" w:color="auto" w:sz="4" w:space="0"/>
            </w:tcBorders>
            <w:vAlign w:val="center"/>
          </w:tcPr>
          <w:p w14:paraId="0554C55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正常</w:t>
            </w:r>
          </w:p>
        </w:tc>
      </w:tr>
      <w:tr w14:paraId="101D1A9B">
        <w:tblPrEx>
          <w:tblCellMar>
            <w:top w:w="0" w:type="dxa"/>
            <w:left w:w="108" w:type="dxa"/>
            <w:bottom w:w="0" w:type="dxa"/>
            <w:right w:w="108" w:type="dxa"/>
          </w:tblCellMar>
        </w:tblPrEx>
        <w:trPr>
          <w:trHeight w:val="241" w:hRule="atLeast"/>
          <w:jc w:val="center"/>
        </w:trPr>
        <w:tc>
          <w:tcPr>
            <w:tcW w:w="367" w:type="pct"/>
            <w:vMerge w:val="restart"/>
            <w:tcBorders>
              <w:top w:val="nil"/>
              <w:left w:val="single" w:color="auto" w:sz="4" w:space="0"/>
              <w:bottom w:val="single" w:color="000000" w:sz="4" w:space="0"/>
              <w:right w:val="single" w:color="auto" w:sz="4" w:space="0"/>
            </w:tcBorders>
            <w:vAlign w:val="center"/>
          </w:tcPr>
          <w:p w14:paraId="21476CF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区域状况</w:t>
            </w:r>
          </w:p>
        </w:tc>
        <w:tc>
          <w:tcPr>
            <w:tcW w:w="547" w:type="pct"/>
            <w:tcBorders>
              <w:top w:val="nil"/>
              <w:left w:val="nil"/>
              <w:bottom w:val="single" w:color="auto" w:sz="4" w:space="0"/>
              <w:right w:val="single" w:color="auto" w:sz="4" w:space="0"/>
            </w:tcBorders>
            <w:vAlign w:val="center"/>
          </w:tcPr>
          <w:p w14:paraId="4C2BEF8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居住区成熟度</w:t>
            </w:r>
          </w:p>
        </w:tc>
        <w:tc>
          <w:tcPr>
            <w:tcW w:w="1022" w:type="pct"/>
            <w:tcBorders>
              <w:top w:val="nil"/>
              <w:left w:val="nil"/>
              <w:bottom w:val="single" w:color="auto" w:sz="4" w:space="0"/>
              <w:right w:val="single" w:color="auto" w:sz="4" w:space="0"/>
            </w:tcBorders>
            <w:vAlign w:val="center"/>
          </w:tcPr>
          <w:p w14:paraId="4C91304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周边有福苑小区、双高花园小区、郁花园小区、青岛嘉园、保利茉莉公馆、兴涛社区等居住小区，小区聚集度较好，综合评价居住社区成熟度较好。</w:t>
            </w:r>
          </w:p>
        </w:tc>
        <w:tc>
          <w:tcPr>
            <w:tcW w:w="1022" w:type="pct"/>
            <w:tcBorders>
              <w:top w:val="nil"/>
              <w:left w:val="nil"/>
              <w:bottom w:val="single" w:color="auto" w:sz="4" w:space="0"/>
              <w:right w:val="single" w:color="auto" w:sz="4" w:space="0"/>
            </w:tcBorders>
            <w:vAlign w:val="center"/>
          </w:tcPr>
          <w:p w14:paraId="78F55DD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color="auto" w:sz="4" w:space="0"/>
              <w:right w:val="single" w:color="auto" w:sz="4" w:space="0"/>
            </w:tcBorders>
            <w:vAlign w:val="center"/>
          </w:tcPr>
          <w:p w14:paraId="781E09B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color="auto" w:sz="4" w:space="0"/>
              <w:right w:val="single" w:color="auto" w:sz="4" w:space="0"/>
            </w:tcBorders>
            <w:vAlign w:val="center"/>
          </w:tcPr>
          <w:p w14:paraId="3366F6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周边有枣园小区、清源西里小区、兴华园、福苑小区等居住小区，小区聚集度较好，综合评价居住社区成熟度较好。</w:t>
            </w:r>
          </w:p>
        </w:tc>
      </w:tr>
      <w:tr w14:paraId="59C6E837">
        <w:tblPrEx>
          <w:tblCellMar>
            <w:top w:w="0" w:type="dxa"/>
            <w:left w:w="108" w:type="dxa"/>
            <w:bottom w:w="0" w:type="dxa"/>
            <w:right w:w="108" w:type="dxa"/>
          </w:tblCellMar>
        </w:tblPrEx>
        <w:trPr>
          <w:trHeight w:val="270" w:hRule="atLeast"/>
          <w:jc w:val="center"/>
        </w:trPr>
        <w:tc>
          <w:tcPr>
            <w:tcW w:w="367" w:type="pct"/>
            <w:vMerge w:val="continue"/>
            <w:tcBorders>
              <w:top w:val="nil"/>
              <w:left w:val="single" w:color="auto" w:sz="4" w:space="0"/>
              <w:bottom w:val="single" w:color="000000" w:sz="4" w:space="0"/>
              <w:right w:val="single" w:color="auto" w:sz="4" w:space="0"/>
            </w:tcBorders>
            <w:vAlign w:val="center"/>
          </w:tcPr>
          <w:p w14:paraId="47925A9D">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54AB1C9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交通便捷度</w:t>
            </w:r>
          </w:p>
        </w:tc>
        <w:tc>
          <w:tcPr>
            <w:tcW w:w="1022" w:type="pct"/>
            <w:tcBorders>
              <w:top w:val="nil"/>
              <w:left w:val="nil"/>
              <w:bottom w:val="single" w:color="auto" w:sz="4" w:space="0"/>
              <w:right w:val="single" w:color="auto" w:sz="4" w:space="0"/>
            </w:tcBorders>
            <w:vAlign w:val="center"/>
          </w:tcPr>
          <w:p w14:paraId="43759C3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紧邻城市次干道——景明路，周边路网密集，道路通达度较好；距离轨道交通地铁4号线（高米店南站）约1.3公里，周边有兴41路、434路、913路、954路等多条线路在附近设站，综合评价交通便捷度较好。</w:t>
            </w:r>
          </w:p>
        </w:tc>
        <w:tc>
          <w:tcPr>
            <w:tcW w:w="1022" w:type="pct"/>
            <w:tcBorders>
              <w:top w:val="nil"/>
              <w:left w:val="nil"/>
              <w:bottom w:val="single" w:color="auto" w:sz="4" w:space="0"/>
              <w:right w:val="single" w:color="auto" w:sz="4" w:space="0"/>
            </w:tcBorders>
            <w:vAlign w:val="center"/>
          </w:tcPr>
          <w:p w14:paraId="11F7848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紧邻城市主干道——兴华大街，周边路网密集，道路通达度较好；距离轨道交通地铁4号线（高米店北站）约300米，周边有兴12路、631路、937路、377路等多条线路在附近设站，综合评价交通便捷度好。</w:t>
            </w:r>
          </w:p>
        </w:tc>
        <w:tc>
          <w:tcPr>
            <w:tcW w:w="1022" w:type="pct"/>
            <w:tcBorders>
              <w:top w:val="nil"/>
              <w:left w:val="nil"/>
              <w:bottom w:val="single" w:color="auto" w:sz="4" w:space="0"/>
              <w:right w:val="single" w:color="auto" w:sz="4" w:space="0"/>
            </w:tcBorders>
            <w:vAlign w:val="center"/>
          </w:tcPr>
          <w:p w14:paraId="5FA4545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紧邻城市主干道——兴华大街，周边路网密集，道路通达度较好；距离轨道交通地铁4号线（高米店北站）约300米，周边有兴12路、631路、937路、377路等多条线路在附近设站，综合评价交通便捷度好。</w:t>
            </w:r>
          </w:p>
        </w:tc>
        <w:tc>
          <w:tcPr>
            <w:tcW w:w="1022" w:type="pct"/>
            <w:tcBorders>
              <w:top w:val="nil"/>
              <w:left w:val="nil"/>
              <w:bottom w:val="single" w:color="auto" w:sz="4" w:space="0"/>
              <w:right w:val="single" w:color="auto" w:sz="4" w:space="0"/>
            </w:tcBorders>
            <w:vAlign w:val="center"/>
          </w:tcPr>
          <w:p w14:paraId="3E44358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紧邻城市次干道——兴丰大街，周边路网密集，道路通达度较好；距离轨道交通地铁4号线（枣园站）约800米，周边有兴14路、848路、937路、366路等多条线路在附近设站，综合评价交通便捷度较好。</w:t>
            </w:r>
          </w:p>
        </w:tc>
      </w:tr>
      <w:tr w14:paraId="314C2DC4">
        <w:tblPrEx>
          <w:tblCellMar>
            <w:top w:w="0" w:type="dxa"/>
            <w:left w:w="108" w:type="dxa"/>
            <w:bottom w:w="0" w:type="dxa"/>
            <w:right w:w="108" w:type="dxa"/>
          </w:tblCellMar>
        </w:tblPrEx>
        <w:trPr>
          <w:trHeight w:val="270" w:hRule="atLeast"/>
          <w:jc w:val="center"/>
        </w:trPr>
        <w:tc>
          <w:tcPr>
            <w:tcW w:w="367" w:type="pct"/>
            <w:vMerge w:val="continue"/>
            <w:tcBorders>
              <w:top w:val="nil"/>
              <w:left w:val="single" w:color="auto" w:sz="4" w:space="0"/>
              <w:bottom w:val="single" w:color="000000" w:sz="4" w:space="0"/>
              <w:right w:val="single" w:color="auto" w:sz="4" w:space="0"/>
            </w:tcBorders>
            <w:vAlign w:val="center"/>
          </w:tcPr>
          <w:p w14:paraId="3EC77433">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04C1A9C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商业设施</w:t>
            </w:r>
          </w:p>
        </w:tc>
        <w:tc>
          <w:tcPr>
            <w:tcW w:w="1022" w:type="pct"/>
            <w:tcBorders>
              <w:top w:val="nil"/>
              <w:left w:val="nil"/>
              <w:bottom w:val="single" w:color="auto" w:sz="4" w:space="0"/>
              <w:right w:val="single" w:color="auto" w:sz="4" w:space="0"/>
            </w:tcBorders>
            <w:vAlign w:val="center"/>
          </w:tcPr>
          <w:p w14:paraId="149B550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位于东坝地区，周边有万达广场商业设施及社区配套商业，评价商业设施较好。</w:t>
            </w:r>
          </w:p>
        </w:tc>
        <w:tc>
          <w:tcPr>
            <w:tcW w:w="1022" w:type="pct"/>
            <w:tcBorders>
              <w:top w:val="nil"/>
              <w:left w:val="nil"/>
              <w:bottom w:val="single" w:color="auto" w:sz="4" w:space="0"/>
              <w:right w:val="single" w:color="auto" w:sz="4" w:space="0"/>
            </w:tcBorders>
            <w:vAlign w:val="center"/>
          </w:tcPr>
          <w:p w14:paraId="261961D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位于东坝地区，周边有大型商业设施及社区配套商业，评价商业设施较好。</w:t>
            </w:r>
          </w:p>
        </w:tc>
        <w:tc>
          <w:tcPr>
            <w:tcW w:w="1022" w:type="pct"/>
            <w:tcBorders>
              <w:top w:val="nil"/>
              <w:left w:val="nil"/>
              <w:bottom w:val="single" w:color="auto" w:sz="4" w:space="0"/>
              <w:right w:val="single" w:color="auto" w:sz="4" w:space="0"/>
            </w:tcBorders>
            <w:vAlign w:val="center"/>
          </w:tcPr>
          <w:p w14:paraId="36CBDB8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位于东坝地区，周边有万达广场商业设施及社区配套商业，评价商业设施较好。</w:t>
            </w:r>
          </w:p>
        </w:tc>
        <w:tc>
          <w:tcPr>
            <w:tcW w:w="1022" w:type="pct"/>
            <w:tcBorders>
              <w:top w:val="nil"/>
              <w:left w:val="nil"/>
              <w:bottom w:val="single" w:color="auto" w:sz="4" w:space="0"/>
              <w:right w:val="single" w:color="auto" w:sz="4" w:space="0"/>
            </w:tcBorders>
            <w:vAlign w:val="center"/>
          </w:tcPr>
          <w:p w14:paraId="45B0F8F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位于东坝地区，周边有大型商业设施及社区配套商业，评价商业设施较好。</w:t>
            </w:r>
          </w:p>
        </w:tc>
      </w:tr>
      <w:tr w14:paraId="68DFFCB5">
        <w:tblPrEx>
          <w:tblCellMar>
            <w:top w:w="0" w:type="dxa"/>
            <w:left w:w="108" w:type="dxa"/>
            <w:bottom w:w="0" w:type="dxa"/>
            <w:right w:w="108" w:type="dxa"/>
          </w:tblCellMar>
        </w:tblPrEx>
        <w:trPr>
          <w:trHeight w:val="282" w:hRule="atLeast"/>
          <w:jc w:val="center"/>
        </w:trPr>
        <w:tc>
          <w:tcPr>
            <w:tcW w:w="367" w:type="pct"/>
            <w:vMerge w:val="continue"/>
            <w:tcBorders>
              <w:top w:val="nil"/>
              <w:left w:val="single" w:color="auto" w:sz="4" w:space="0"/>
              <w:bottom w:val="single" w:color="000000" w:sz="4" w:space="0"/>
              <w:right w:val="single" w:color="auto" w:sz="4" w:space="0"/>
            </w:tcBorders>
            <w:vAlign w:val="center"/>
          </w:tcPr>
          <w:p w14:paraId="528492B7">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42FD608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环境状况</w:t>
            </w:r>
          </w:p>
        </w:tc>
        <w:tc>
          <w:tcPr>
            <w:tcW w:w="1022" w:type="pct"/>
            <w:tcBorders>
              <w:top w:val="nil"/>
              <w:left w:val="nil"/>
              <w:bottom w:val="single" w:color="auto" w:sz="4" w:space="0"/>
              <w:right w:val="single" w:color="auto" w:sz="4" w:space="0"/>
            </w:tcBorders>
            <w:vAlign w:val="center"/>
          </w:tcPr>
          <w:p w14:paraId="0D6C0F8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周边有大兴生态文明教育公园、滨河公园、中国人民公安大学、北京政法职业学院等自然人文景观，自然环境较好。</w:t>
            </w:r>
          </w:p>
        </w:tc>
        <w:tc>
          <w:tcPr>
            <w:tcW w:w="1022" w:type="pct"/>
            <w:tcBorders>
              <w:top w:val="nil"/>
              <w:left w:val="nil"/>
              <w:bottom w:val="single" w:color="auto" w:sz="4" w:space="0"/>
              <w:right w:val="single" w:color="auto" w:sz="4" w:space="0"/>
            </w:tcBorders>
            <w:vAlign w:val="center"/>
          </w:tcPr>
          <w:p w14:paraId="059C7FA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周边有大兴生态文明教育公园、滨河公园、中国人民公安大学、北京政法职业学院等自然人文景观，自然环境较好。</w:t>
            </w:r>
          </w:p>
        </w:tc>
        <w:tc>
          <w:tcPr>
            <w:tcW w:w="1022" w:type="pct"/>
            <w:tcBorders>
              <w:top w:val="nil"/>
              <w:left w:val="nil"/>
              <w:bottom w:val="single" w:color="auto" w:sz="4" w:space="0"/>
              <w:right w:val="single" w:color="auto" w:sz="4" w:space="0"/>
            </w:tcBorders>
            <w:vAlign w:val="center"/>
          </w:tcPr>
          <w:p w14:paraId="5FD988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周边有大兴生态文明教育公园、滨河公园、中国人民公安大学、北京政法职业学院等自然人文景观，自然环境较好</w:t>
            </w:r>
            <w:r>
              <w:rPr>
                <w:rFonts w:ascii="Arial" w:hAnsi="Arial" w:eastAsia="华文细黑" w:cs="Arial"/>
                <w:sz w:val="18"/>
                <w:szCs w:val="18"/>
              </w:rPr>
              <w:t>。</w:t>
            </w:r>
          </w:p>
        </w:tc>
        <w:tc>
          <w:tcPr>
            <w:tcW w:w="1022" w:type="pct"/>
            <w:tcBorders>
              <w:top w:val="nil"/>
              <w:left w:val="nil"/>
              <w:bottom w:val="single" w:color="auto" w:sz="4" w:space="0"/>
              <w:right w:val="single" w:color="auto" w:sz="4" w:space="0"/>
            </w:tcBorders>
            <w:vAlign w:val="center"/>
          </w:tcPr>
          <w:p w14:paraId="376997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周边有康庄公园、北京石油化工学院、北京印刷学院等自然人文景观，自然环境较好。</w:t>
            </w:r>
          </w:p>
        </w:tc>
      </w:tr>
      <w:tr w14:paraId="22F52DBB">
        <w:tblPrEx>
          <w:tblCellMar>
            <w:top w:w="0" w:type="dxa"/>
            <w:left w:w="108" w:type="dxa"/>
            <w:bottom w:w="0" w:type="dxa"/>
            <w:right w:w="108" w:type="dxa"/>
          </w:tblCellMar>
        </w:tblPrEx>
        <w:trPr>
          <w:trHeight w:val="1200" w:hRule="atLeast"/>
          <w:jc w:val="center"/>
        </w:trPr>
        <w:tc>
          <w:tcPr>
            <w:tcW w:w="367" w:type="pct"/>
            <w:vMerge w:val="continue"/>
            <w:tcBorders>
              <w:top w:val="nil"/>
              <w:left w:val="single" w:color="auto" w:sz="4" w:space="0"/>
              <w:bottom w:val="single" w:color="000000" w:sz="4" w:space="0"/>
              <w:right w:val="single" w:color="auto" w:sz="4" w:space="0"/>
            </w:tcBorders>
            <w:vAlign w:val="center"/>
          </w:tcPr>
          <w:p w14:paraId="73EEA19D">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24BAF98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公共配套</w:t>
            </w:r>
          </w:p>
        </w:tc>
        <w:tc>
          <w:tcPr>
            <w:tcW w:w="1022" w:type="pct"/>
            <w:tcBorders>
              <w:top w:val="nil"/>
              <w:left w:val="nil"/>
              <w:bottom w:val="single" w:color="auto" w:sz="4" w:space="0"/>
              <w:right w:val="single" w:color="auto" w:sz="4" w:space="0"/>
            </w:tcBorders>
            <w:vAlign w:val="center"/>
          </w:tcPr>
          <w:p w14:paraId="34035C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color="auto" w:sz="4" w:space="0"/>
              <w:right w:val="single" w:color="auto" w:sz="4" w:space="0"/>
            </w:tcBorders>
          </w:tcPr>
          <w:p w14:paraId="7FF9C36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color="auto" w:sz="4" w:space="0"/>
              <w:right w:val="single" w:color="auto" w:sz="4" w:space="0"/>
            </w:tcBorders>
            <w:vAlign w:val="center"/>
          </w:tcPr>
          <w:p w14:paraId="2BCA2BC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color="auto" w:sz="4" w:space="0"/>
              <w:right w:val="single" w:color="auto" w:sz="4" w:space="0"/>
            </w:tcBorders>
          </w:tcPr>
          <w:p w14:paraId="05FF01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r>
      <w:tr w14:paraId="03E32BEB">
        <w:tblPrEx>
          <w:tblCellMar>
            <w:top w:w="0" w:type="dxa"/>
            <w:left w:w="108" w:type="dxa"/>
            <w:bottom w:w="0" w:type="dxa"/>
            <w:right w:w="108" w:type="dxa"/>
          </w:tblCellMar>
        </w:tblPrEx>
        <w:trPr>
          <w:trHeight w:val="20" w:hRule="atLeast"/>
          <w:jc w:val="center"/>
        </w:trPr>
        <w:tc>
          <w:tcPr>
            <w:tcW w:w="367" w:type="pct"/>
            <w:vMerge w:val="restart"/>
            <w:tcBorders>
              <w:top w:val="nil"/>
              <w:left w:val="single" w:color="auto" w:sz="4" w:space="0"/>
              <w:bottom w:val="single" w:color="auto" w:sz="4" w:space="0"/>
              <w:right w:val="single" w:color="auto" w:sz="4" w:space="0"/>
            </w:tcBorders>
            <w:vAlign w:val="center"/>
          </w:tcPr>
          <w:p w14:paraId="32E8160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实物状况</w:t>
            </w:r>
          </w:p>
        </w:tc>
        <w:tc>
          <w:tcPr>
            <w:tcW w:w="547" w:type="pct"/>
            <w:tcBorders>
              <w:top w:val="nil"/>
              <w:left w:val="nil"/>
              <w:bottom w:val="single" w:color="auto" w:sz="4" w:space="0"/>
              <w:right w:val="single" w:color="auto" w:sz="4" w:space="0"/>
            </w:tcBorders>
            <w:vAlign w:val="center"/>
          </w:tcPr>
          <w:p w14:paraId="0CA1119D">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物业服务</w:t>
            </w:r>
          </w:p>
        </w:tc>
        <w:tc>
          <w:tcPr>
            <w:tcW w:w="1022" w:type="pct"/>
            <w:tcBorders>
              <w:top w:val="nil"/>
              <w:left w:val="nil"/>
              <w:bottom w:val="single" w:color="auto" w:sz="4" w:space="0"/>
              <w:right w:val="single" w:color="auto" w:sz="4" w:space="0"/>
            </w:tcBorders>
            <w:vAlign w:val="center"/>
          </w:tcPr>
          <w:p w14:paraId="1A2D611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022" w:type="pct"/>
            <w:tcBorders>
              <w:top w:val="nil"/>
              <w:left w:val="nil"/>
              <w:bottom w:val="single" w:color="auto" w:sz="4" w:space="0"/>
              <w:right w:val="single" w:color="auto" w:sz="4" w:space="0"/>
            </w:tcBorders>
            <w:vAlign w:val="center"/>
          </w:tcPr>
          <w:p w14:paraId="59F1A9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022" w:type="pct"/>
            <w:tcBorders>
              <w:top w:val="nil"/>
              <w:left w:val="nil"/>
              <w:bottom w:val="single" w:color="auto" w:sz="4" w:space="0"/>
              <w:right w:val="single" w:color="auto" w:sz="4" w:space="0"/>
            </w:tcBorders>
            <w:vAlign w:val="center"/>
          </w:tcPr>
          <w:p w14:paraId="26FBF7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022" w:type="pct"/>
            <w:tcBorders>
              <w:top w:val="nil"/>
              <w:left w:val="nil"/>
              <w:bottom w:val="single" w:color="auto" w:sz="4" w:space="0"/>
              <w:right w:val="single" w:color="auto" w:sz="4" w:space="0"/>
            </w:tcBorders>
            <w:vAlign w:val="center"/>
          </w:tcPr>
          <w:p w14:paraId="2B44A7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r>
      <w:tr w14:paraId="4F812167">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3D188354">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707306C1">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小区环境</w:t>
            </w:r>
          </w:p>
        </w:tc>
        <w:tc>
          <w:tcPr>
            <w:tcW w:w="1022" w:type="pct"/>
            <w:tcBorders>
              <w:top w:val="nil"/>
              <w:left w:val="nil"/>
              <w:bottom w:val="single" w:color="auto" w:sz="4" w:space="0"/>
              <w:right w:val="single" w:color="auto" w:sz="4" w:space="0"/>
            </w:tcBorders>
            <w:vAlign w:val="center"/>
          </w:tcPr>
          <w:p w14:paraId="07D700C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绿化率约为</w:t>
            </w:r>
            <w:r>
              <w:rPr>
                <w:rFonts w:ascii="Arial" w:hAnsi="Arial" w:eastAsia="华文细黑" w:cs="Arial"/>
                <w:sz w:val="18"/>
                <w:szCs w:val="18"/>
              </w:rPr>
              <w:t>30%</w:t>
            </w:r>
            <w:r>
              <w:rPr>
                <w:rFonts w:hint="eastAsia" w:ascii="Arial" w:hAnsi="Arial" w:eastAsia="华文细黑" w:cs="Arial"/>
                <w:sz w:val="18"/>
                <w:szCs w:val="18"/>
              </w:rPr>
              <w:t>，较好</w:t>
            </w:r>
          </w:p>
        </w:tc>
        <w:tc>
          <w:tcPr>
            <w:tcW w:w="1022" w:type="pct"/>
            <w:tcBorders>
              <w:top w:val="nil"/>
              <w:left w:val="nil"/>
              <w:bottom w:val="single" w:color="auto" w:sz="4" w:space="0"/>
              <w:right w:val="single" w:color="auto" w:sz="4" w:space="0"/>
            </w:tcBorders>
            <w:vAlign w:val="center"/>
          </w:tcPr>
          <w:p w14:paraId="5E4533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绿化率约为3</w:t>
            </w:r>
            <w:r>
              <w:rPr>
                <w:rFonts w:ascii="Arial" w:hAnsi="Arial" w:eastAsia="华文细黑" w:cs="Arial"/>
                <w:sz w:val="18"/>
                <w:szCs w:val="18"/>
              </w:rPr>
              <w:t>0%</w:t>
            </w:r>
            <w:r>
              <w:rPr>
                <w:rFonts w:hint="eastAsia" w:ascii="Arial" w:hAnsi="Arial" w:eastAsia="华文细黑" w:cs="Arial"/>
                <w:sz w:val="18"/>
                <w:szCs w:val="18"/>
              </w:rPr>
              <w:t>，较好</w:t>
            </w:r>
          </w:p>
        </w:tc>
        <w:tc>
          <w:tcPr>
            <w:tcW w:w="1022" w:type="pct"/>
            <w:tcBorders>
              <w:top w:val="nil"/>
              <w:left w:val="nil"/>
              <w:bottom w:val="single" w:color="auto" w:sz="4" w:space="0"/>
              <w:right w:val="single" w:color="auto" w:sz="4" w:space="0"/>
            </w:tcBorders>
            <w:vAlign w:val="center"/>
          </w:tcPr>
          <w:p w14:paraId="1FCFB68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绿化率约为</w:t>
            </w:r>
            <w:r>
              <w:rPr>
                <w:rFonts w:ascii="Arial" w:hAnsi="Arial" w:eastAsia="华文细黑" w:cs="Arial"/>
                <w:sz w:val="18"/>
                <w:szCs w:val="18"/>
              </w:rPr>
              <w:t>30%</w:t>
            </w:r>
            <w:r>
              <w:rPr>
                <w:rFonts w:hint="eastAsia" w:ascii="Arial" w:hAnsi="Arial" w:eastAsia="华文细黑" w:cs="Arial"/>
                <w:sz w:val="18"/>
                <w:szCs w:val="18"/>
              </w:rPr>
              <w:t>，较好</w:t>
            </w:r>
          </w:p>
        </w:tc>
        <w:tc>
          <w:tcPr>
            <w:tcW w:w="1022" w:type="pct"/>
            <w:tcBorders>
              <w:top w:val="nil"/>
              <w:left w:val="nil"/>
              <w:bottom w:val="single" w:color="auto" w:sz="4" w:space="0"/>
              <w:right w:val="single" w:color="auto" w:sz="4" w:space="0"/>
            </w:tcBorders>
            <w:vAlign w:val="center"/>
          </w:tcPr>
          <w:p w14:paraId="7E9905D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绿化率约为30</w:t>
            </w:r>
            <w:r>
              <w:rPr>
                <w:rFonts w:ascii="Arial" w:hAnsi="Arial" w:eastAsia="华文细黑" w:cs="Arial"/>
                <w:sz w:val="18"/>
                <w:szCs w:val="18"/>
              </w:rPr>
              <w:t>%</w:t>
            </w:r>
            <w:r>
              <w:rPr>
                <w:rFonts w:hint="eastAsia" w:ascii="Arial" w:hAnsi="Arial" w:eastAsia="华文细黑" w:cs="Arial"/>
                <w:sz w:val="18"/>
                <w:szCs w:val="18"/>
              </w:rPr>
              <w:t>，较好</w:t>
            </w:r>
          </w:p>
        </w:tc>
      </w:tr>
      <w:tr w14:paraId="547994C0">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27EB5DA3">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0B73FB4D">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配套设施</w:t>
            </w:r>
          </w:p>
        </w:tc>
        <w:tc>
          <w:tcPr>
            <w:tcW w:w="1022" w:type="pct"/>
            <w:tcBorders>
              <w:top w:val="nil"/>
              <w:left w:val="nil"/>
              <w:bottom w:val="single" w:color="auto" w:sz="4" w:space="0"/>
              <w:right w:val="single" w:color="auto" w:sz="4" w:space="0"/>
            </w:tcBorders>
            <w:vAlign w:val="center"/>
          </w:tcPr>
          <w:p w14:paraId="7B7C7E9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022" w:type="pct"/>
            <w:tcBorders>
              <w:top w:val="nil"/>
              <w:left w:val="nil"/>
              <w:bottom w:val="single" w:color="auto" w:sz="4" w:space="0"/>
              <w:right w:val="single" w:color="auto" w:sz="4" w:space="0"/>
            </w:tcBorders>
            <w:vAlign w:val="center"/>
          </w:tcPr>
          <w:p w14:paraId="7210EA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022" w:type="pct"/>
            <w:tcBorders>
              <w:top w:val="nil"/>
              <w:left w:val="nil"/>
              <w:bottom w:val="single" w:color="auto" w:sz="4" w:space="0"/>
              <w:right w:val="single" w:color="auto" w:sz="4" w:space="0"/>
            </w:tcBorders>
            <w:vAlign w:val="center"/>
          </w:tcPr>
          <w:p w14:paraId="0DF3B3B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022" w:type="pct"/>
            <w:tcBorders>
              <w:top w:val="nil"/>
              <w:left w:val="nil"/>
              <w:bottom w:val="single" w:color="auto" w:sz="4" w:space="0"/>
              <w:right w:val="single" w:color="auto" w:sz="4" w:space="0"/>
            </w:tcBorders>
            <w:vAlign w:val="center"/>
          </w:tcPr>
          <w:p w14:paraId="594202F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6B3B2BBA">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574C78B8">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2BC0050F">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居住管理</w:t>
            </w:r>
          </w:p>
        </w:tc>
        <w:tc>
          <w:tcPr>
            <w:tcW w:w="1022" w:type="pct"/>
            <w:tcBorders>
              <w:top w:val="nil"/>
              <w:left w:val="nil"/>
              <w:bottom w:val="single" w:color="auto" w:sz="4" w:space="0"/>
              <w:right w:val="single" w:color="auto" w:sz="4" w:space="0"/>
            </w:tcBorders>
            <w:vAlign w:val="center"/>
          </w:tcPr>
          <w:p w14:paraId="008EDE9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配备管理人员，出租房屋住户均有备案，居住安全性好</w:t>
            </w:r>
          </w:p>
        </w:tc>
        <w:tc>
          <w:tcPr>
            <w:tcW w:w="1022" w:type="pct"/>
            <w:tcBorders>
              <w:top w:val="nil"/>
              <w:left w:val="nil"/>
              <w:bottom w:val="single" w:color="auto" w:sz="4" w:space="0"/>
              <w:right w:val="single" w:color="auto" w:sz="4" w:space="0"/>
            </w:tcBorders>
            <w:vAlign w:val="center"/>
          </w:tcPr>
          <w:p w14:paraId="03FE7E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配备管理人员，出租房屋住户备案较少，居住安全性一般</w:t>
            </w:r>
          </w:p>
        </w:tc>
        <w:tc>
          <w:tcPr>
            <w:tcW w:w="1022" w:type="pct"/>
            <w:tcBorders>
              <w:top w:val="nil"/>
              <w:left w:val="nil"/>
              <w:bottom w:val="single" w:color="auto" w:sz="4" w:space="0"/>
              <w:right w:val="single" w:color="auto" w:sz="4" w:space="0"/>
            </w:tcBorders>
            <w:vAlign w:val="center"/>
          </w:tcPr>
          <w:p w14:paraId="55509C0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配备管理人员，出租房屋住户备案较少，居住安全性一般</w:t>
            </w:r>
          </w:p>
        </w:tc>
        <w:tc>
          <w:tcPr>
            <w:tcW w:w="1022" w:type="pct"/>
            <w:tcBorders>
              <w:top w:val="nil"/>
              <w:left w:val="nil"/>
              <w:bottom w:val="single" w:color="auto" w:sz="4" w:space="0"/>
              <w:right w:val="single" w:color="auto" w:sz="4" w:space="0"/>
            </w:tcBorders>
            <w:vAlign w:val="center"/>
          </w:tcPr>
          <w:p w14:paraId="107ECAE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配备管理人员，出租房屋住户备案较少，居住安全性一般</w:t>
            </w:r>
          </w:p>
        </w:tc>
      </w:tr>
      <w:tr w14:paraId="0D924258">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58096BAA">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7C744494">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朝向</w:t>
            </w:r>
          </w:p>
        </w:tc>
        <w:tc>
          <w:tcPr>
            <w:tcW w:w="1022" w:type="pct"/>
            <w:tcBorders>
              <w:top w:val="nil"/>
              <w:left w:val="nil"/>
              <w:bottom w:val="single" w:color="auto" w:sz="4" w:space="0"/>
              <w:right w:val="single" w:color="auto" w:sz="4" w:space="0"/>
            </w:tcBorders>
          </w:tcPr>
          <w:p w14:paraId="1377CA3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朝向较好（南北），能保证较长时间的采光，通风较好，较好</w:t>
            </w:r>
          </w:p>
        </w:tc>
        <w:tc>
          <w:tcPr>
            <w:tcW w:w="1022" w:type="pct"/>
            <w:tcBorders>
              <w:top w:val="nil"/>
              <w:left w:val="nil"/>
              <w:bottom w:val="single" w:color="auto" w:sz="4" w:space="0"/>
              <w:right w:val="single" w:color="auto" w:sz="4" w:space="0"/>
            </w:tcBorders>
          </w:tcPr>
          <w:p w14:paraId="759581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朝向较好（南北），能保证较长时间的采光，通风较好，较好</w:t>
            </w:r>
          </w:p>
        </w:tc>
        <w:tc>
          <w:tcPr>
            <w:tcW w:w="1022" w:type="pct"/>
            <w:tcBorders>
              <w:top w:val="nil"/>
              <w:left w:val="nil"/>
              <w:bottom w:val="single" w:color="auto" w:sz="4" w:space="0"/>
              <w:right w:val="single" w:color="auto" w:sz="4" w:space="0"/>
            </w:tcBorders>
          </w:tcPr>
          <w:p w14:paraId="03A5B0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朝向较好（南北），能保证较长时间的采光，通风较好，较好</w:t>
            </w:r>
          </w:p>
        </w:tc>
        <w:tc>
          <w:tcPr>
            <w:tcW w:w="1022" w:type="pct"/>
            <w:tcBorders>
              <w:top w:val="nil"/>
              <w:left w:val="nil"/>
              <w:bottom w:val="single" w:color="auto" w:sz="4" w:space="0"/>
              <w:right w:val="single" w:color="auto" w:sz="4" w:space="0"/>
            </w:tcBorders>
            <w:vAlign w:val="center"/>
          </w:tcPr>
          <w:p w14:paraId="0683E91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朝向较好（南北），能保证较长时间的采光，通风较好，较好</w:t>
            </w:r>
          </w:p>
        </w:tc>
      </w:tr>
      <w:tr w14:paraId="26A7F03B">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3F07F0C7">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2EACCEB9">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建筑类型</w:t>
            </w:r>
          </w:p>
        </w:tc>
        <w:tc>
          <w:tcPr>
            <w:tcW w:w="1022" w:type="pct"/>
            <w:tcBorders>
              <w:top w:val="nil"/>
              <w:left w:val="nil"/>
              <w:bottom w:val="single" w:color="auto" w:sz="4" w:space="0"/>
              <w:right w:val="single" w:color="auto" w:sz="4" w:space="0"/>
            </w:tcBorders>
            <w:vAlign w:val="center"/>
          </w:tcPr>
          <w:p w14:paraId="36834D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高层板楼</w:t>
            </w:r>
          </w:p>
        </w:tc>
        <w:tc>
          <w:tcPr>
            <w:tcW w:w="1022" w:type="pct"/>
            <w:tcBorders>
              <w:top w:val="nil"/>
              <w:left w:val="nil"/>
              <w:bottom w:val="single" w:color="auto" w:sz="4" w:space="0"/>
              <w:right w:val="single" w:color="auto" w:sz="4" w:space="0"/>
            </w:tcBorders>
            <w:vAlign w:val="center"/>
          </w:tcPr>
          <w:p w14:paraId="663473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高层板楼</w:t>
            </w:r>
          </w:p>
        </w:tc>
        <w:tc>
          <w:tcPr>
            <w:tcW w:w="1022" w:type="pct"/>
            <w:tcBorders>
              <w:top w:val="nil"/>
              <w:left w:val="nil"/>
              <w:bottom w:val="single" w:color="auto" w:sz="4" w:space="0"/>
              <w:right w:val="single" w:color="auto" w:sz="4" w:space="0"/>
            </w:tcBorders>
            <w:vAlign w:val="center"/>
          </w:tcPr>
          <w:p w14:paraId="053203F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1022" w:type="pct"/>
            <w:tcBorders>
              <w:top w:val="nil"/>
              <w:left w:val="nil"/>
              <w:bottom w:val="single" w:color="auto" w:sz="4" w:space="0"/>
              <w:right w:val="single" w:color="auto" w:sz="4" w:space="0"/>
            </w:tcBorders>
            <w:vAlign w:val="center"/>
          </w:tcPr>
          <w:p w14:paraId="6ACF1D6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r>
      <w:tr w14:paraId="7B5421A4">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63623FE2">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4B39B624">
            <w:pPr>
              <w:widowControl/>
              <w:adjustRightInd/>
              <w:spacing w:line="240" w:lineRule="atLeast"/>
              <w:jc w:val="center"/>
              <w:textAlignment w:val="auto"/>
              <w:rPr>
                <w:rFonts w:ascii="Arial" w:hAnsi="Arial" w:cs="Arial"/>
                <w:sz w:val="18"/>
              </w:rPr>
            </w:pPr>
            <w:r>
              <w:rPr>
                <w:rFonts w:hint="eastAsia" w:ascii="Arial" w:hAnsi="Arial" w:cs="Arial"/>
                <w:sz w:val="18"/>
              </w:rPr>
              <w:t>是否有电梯</w:t>
            </w:r>
          </w:p>
        </w:tc>
        <w:tc>
          <w:tcPr>
            <w:tcW w:w="1022" w:type="pct"/>
            <w:tcBorders>
              <w:top w:val="nil"/>
              <w:left w:val="nil"/>
              <w:bottom w:val="single" w:color="auto" w:sz="4" w:space="0"/>
              <w:right w:val="single" w:color="auto" w:sz="4" w:space="0"/>
            </w:tcBorders>
            <w:vAlign w:val="center"/>
          </w:tcPr>
          <w:p w14:paraId="000D524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有电梯</w:t>
            </w:r>
          </w:p>
        </w:tc>
        <w:tc>
          <w:tcPr>
            <w:tcW w:w="1022" w:type="pct"/>
            <w:tcBorders>
              <w:top w:val="nil"/>
              <w:left w:val="nil"/>
              <w:bottom w:val="single" w:color="auto" w:sz="4" w:space="0"/>
              <w:right w:val="single" w:color="auto" w:sz="4" w:space="0"/>
            </w:tcBorders>
            <w:vAlign w:val="center"/>
          </w:tcPr>
          <w:p w14:paraId="1A1A476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有电梯</w:t>
            </w:r>
          </w:p>
        </w:tc>
        <w:tc>
          <w:tcPr>
            <w:tcW w:w="1022" w:type="pct"/>
            <w:tcBorders>
              <w:top w:val="nil"/>
              <w:left w:val="nil"/>
              <w:bottom w:val="single" w:color="auto" w:sz="4" w:space="0"/>
              <w:right w:val="single" w:color="auto" w:sz="4" w:space="0"/>
            </w:tcBorders>
            <w:vAlign w:val="center"/>
          </w:tcPr>
          <w:p w14:paraId="7D3243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无电梯</w:t>
            </w:r>
          </w:p>
        </w:tc>
        <w:tc>
          <w:tcPr>
            <w:tcW w:w="1022" w:type="pct"/>
            <w:tcBorders>
              <w:top w:val="nil"/>
              <w:left w:val="nil"/>
              <w:bottom w:val="single" w:color="auto" w:sz="4" w:space="0"/>
              <w:right w:val="single" w:color="auto" w:sz="4" w:space="0"/>
            </w:tcBorders>
            <w:vAlign w:val="center"/>
          </w:tcPr>
          <w:p w14:paraId="0C64350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无电梯</w:t>
            </w:r>
          </w:p>
        </w:tc>
      </w:tr>
      <w:tr w14:paraId="4629BC37">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13B7CBFF">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0D19B0D5">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电梯数量</w:t>
            </w:r>
          </w:p>
        </w:tc>
        <w:tc>
          <w:tcPr>
            <w:tcW w:w="1022" w:type="pct"/>
            <w:tcBorders>
              <w:top w:val="nil"/>
              <w:left w:val="nil"/>
              <w:bottom w:val="single" w:color="auto" w:sz="4" w:space="0"/>
              <w:right w:val="single" w:color="auto" w:sz="4" w:space="0"/>
            </w:tcBorders>
            <w:vAlign w:val="center"/>
          </w:tcPr>
          <w:p w14:paraId="2DA1A1E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两梯六户</w:t>
            </w:r>
          </w:p>
        </w:tc>
        <w:tc>
          <w:tcPr>
            <w:tcW w:w="1022" w:type="pct"/>
            <w:tcBorders>
              <w:top w:val="nil"/>
              <w:left w:val="nil"/>
              <w:bottom w:val="single" w:color="auto" w:sz="4" w:space="0"/>
              <w:right w:val="single" w:color="auto" w:sz="4" w:space="0"/>
            </w:tcBorders>
            <w:vAlign w:val="center"/>
          </w:tcPr>
          <w:p w14:paraId="2CCC58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两梯四户</w:t>
            </w:r>
          </w:p>
        </w:tc>
        <w:tc>
          <w:tcPr>
            <w:tcW w:w="1022" w:type="pct"/>
            <w:tcBorders>
              <w:top w:val="nil"/>
              <w:left w:val="nil"/>
              <w:bottom w:val="single" w:color="auto" w:sz="4" w:space="0"/>
              <w:right w:val="single" w:color="auto" w:sz="4" w:space="0"/>
            </w:tcBorders>
            <w:vAlign w:val="center"/>
          </w:tcPr>
          <w:p w14:paraId="366776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一梯两户</w:t>
            </w:r>
          </w:p>
        </w:tc>
        <w:tc>
          <w:tcPr>
            <w:tcW w:w="1022" w:type="pct"/>
            <w:tcBorders>
              <w:top w:val="nil"/>
              <w:left w:val="nil"/>
              <w:bottom w:val="single" w:color="auto" w:sz="4" w:space="0"/>
              <w:right w:val="single" w:color="auto" w:sz="4" w:space="0"/>
            </w:tcBorders>
            <w:vAlign w:val="center"/>
          </w:tcPr>
          <w:p w14:paraId="3A28B16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一梯两户</w:t>
            </w:r>
          </w:p>
        </w:tc>
      </w:tr>
      <w:tr w14:paraId="24E3A27C">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4A266BFD">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3F0992DD">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户型</w:t>
            </w:r>
          </w:p>
        </w:tc>
        <w:tc>
          <w:tcPr>
            <w:tcW w:w="1022" w:type="pct"/>
            <w:tcBorders>
              <w:top w:val="nil"/>
              <w:left w:val="nil"/>
              <w:bottom w:val="single" w:color="auto" w:sz="4" w:space="0"/>
              <w:right w:val="single" w:color="auto" w:sz="4" w:space="0"/>
            </w:tcBorders>
            <w:vAlign w:val="center"/>
          </w:tcPr>
          <w:p w14:paraId="6D540CD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二居室</w:t>
            </w:r>
          </w:p>
        </w:tc>
        <w:tc>
          <w:tcPr>
            <w:tcW w:w="1022" w:type="pct"/>
            <w:tcBorders>
              <w:top w:val="nil"/>
              <w:left w:val="nil"/>
              <w:bottom w:val="single" w:color="auto" w:sz="4" w:space="0"/>
              <w:right w:val="single" w:color="auto" w:sz="4" w:space="0"/>
            </w:tcBorders>
            <w:vAlign w:val="center"/>
          </w:tcPr>
          <w:p w14:paraId="4C7D64C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二居室</w:t>
            </w:r>
          </w:p>
        </w:tc>
        <w:tc>
          <w:tcPr>
            <w:tcW w:w="1022" w:type="pct"/>
            <w:tcBorders>
              <w:top w:val="nil"/>
              <w:left w:val="nil"/>
              <w:bottom w:val="single" w:color="auto" w:sz="4" w:space="0"/>
              <w:right w:val="single" w:color="auto" w:sz="4" w:space="0"/>
            </w:tcBorders>
            <w:vAlign w:val="center"/>
          </w:tcPr>
          <w:p w14:paraId="0190FE7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二居室</w:t>
            </w:r>
          </w:p>
        </w:tc>
        <w:tc>
          <w:tcPr>
            <w:tcW w:w="1022" w:type="pct"/>
            <w:tcBorders>
              <w:top w:val="nil"/>
              <w:left w:val="nil"/>
              <w:bottom w:val="single" w:color="auto" w:sz="4" w:space="0"/>
              <w:right w:val="single" w:color="auto" w:sz="4" w:space="0"/>
            </w:tcBorders>
            <w:vAlign w:val="center"/>
          </w:tcPr>
          <w:p w14:paraId="327DF3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二居室</w:t>
            </w:r>
          </w:p>
        </w:tc>
      </w:tr>
      <w:tr w14:paraId="5D5FCC41">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4BDD27F4">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7E52A6F9">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建筑面积</w:t>
            </w:r>
          </w:p>
        </w:tc>
        <w:tc>
          <w:tcPr>
            <w:tcW w:w="1022" w:type="pct"/>
            <w:tcBorders>
              <w:top w:val="nil"/>
              <w:left w:val="nil"/>
              <w:bottom w:val="single" w:color="auto" w:sz="4" w:space="0"/>
              <w:right w:val="single" w:color="auto" w:sz="4" w:space="0"/>
            </w:tcBorders>
            <w:vAlign w:val="center"/>
          </w:tcPr>
          <w:p w14:paraId="43DC933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57.9-61.95</w:t>
            </w:r>
          </w:p>
        </w:tc>
        <w:tc>
          <w:tcPr>
            <w:tcW w:w="1022" w:type="pct"/>
            <w:tcBorders>
              <w:top w:val="nil"/>
              <w:left w:val="nil"/>
              <w:bottom w:val="single" w:color="auto" w:sz="4" w:space="0"/>
              <w:right w:val="single" w:color="auto" w:sz="4" w:space="0"/>
            </w:tcBorders>
            <w:vAlign w:val="center"/>
          </w:tcPr>
          <w:p w14:paraId="0007BF0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89-90</w:t>
            </w:r>
          </w:p>
        </w:tc>
        <w:tc>
          <w:tcPr>
            <w:tcW w:w="1022" w:type="pct"/>
            <w:tcBorders>
              <w:top w:val="nil"/>
              <w:left w:val="nil"/>
              <w:bottom w:val="single" w:color="auto" w:sz="4" w:space="0"/>
              <w:right w:val="single" w:color="auto" w:sz="4" w:space="0"/>
            </w:tcBorders>
            <w:vAlign w:val="center"/>
          </w:tcPr>
          <w:p w14:paraId="44375B0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60-70</w:t>
            </w:r>
          </w:p>
        </w:tc>
        <w:tc>
          <w:tcPr>
            <w:tcW w:w="1022" w:type="pct"/>
            <w:tcBorders>
              <w:top w:val="nil"/>
              <w:left w:val="nil"/>
              <w:bottom w:val="single" w:color="auto" w:sz="4" w:space="0"/>
              <w:right w:val="single" w:color="auto" w:sz="4" w:space="0"/>
            </w:tcBorders>
            <w:vAlign w:val="center"/>
          </w:tcPr>
          <w:p w14:paraId="1AAC41A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50-60</w:t>
            </w:r>
          </w:p>
        </w:tc>
      </w:tr>
      <w:tr w14:paraId="17C41A8D">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4C121048">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6C077D95">
            <w:pPr>
              <w:widowControl/>
              <w:adjustRightInd/>
              <w:spacing w:line="240" w:lineRule="atLeast"/>
              <w:jc w:val="center"/>
              <w:textAlignment w:val="auto"/>
              <w:rPr>
                <w:rFonts w:ascii="Arial" w:hAnsi="Arial" w:cs="Arial"/>
                <w:sz w:val="18"/>
              </w:rPr>
            </w:pPr>
            <w:r>
              <w:rPr>
                <w:rFonts w:hint="eastAsia" w:ascii="Arial" w:hAnsi="Arial" w:cs="Arial"/>
                <w:sz w:val="18"/>
              </w:rPr>
              <w:t>成新度</w:t>
            </w:r>
          </w:p>
        </w:tc>
        <w:tc>
          <w:tcPr>
            <w:tcW w:w="1022" w:type="pct"/>
            <w:tcBorders>
              <w:top w:val="nil"/>
              <w:left w:val="nil"/>
              <w:bottom w:val="single" w:color="auto" w:sz="4" w:space="0"/>
              <w:right w:val="single" w:color="auto" w:sz="4" w:space="0"/>
            </w:tcBorders>
            <w:vAlign w:val="center"/>
          </w:tcPr>
          <w:p w14:paraId="7669BEC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w:t>
            </w:r>
            <w:r>
              <w:rPr>
                <w:rFonts w:ascii="Arial" w:hAnsi="Arial" w:eastAsia="华文细黑" w:cs="Arial"/>
                <w:sz w:val="18"/>
                <w:szCs w:val="18"/>
              </w:rPr>
              <w:t>8%</w:t>
            </w:r>
          </w:p>
        </w:tc>
        <w:tc>
          <w:tcPr>
            <w:tcW w:w="1022" w:type="pct"/>
            <w:tcBorders>
              <w:top w:val="nil"/>
              <w:left w:val="nil"/>
              <w:bottom w:val="single" w:color="auto" w:sz="4" w:space="0"/>
              <w:right w:val="single" w:color="auto" w:sz="4" w:space="0"/>
            </w:tcBorders>
            <w:vAlign w:val="center"/>
          </w:tcPr>
          <w:p w14:paraId="51C7D53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w:t>
            </w:r>
            <w:r>
              <w:rPr>
                <w:rFonts w:ascii="Arial" w:hAnsi="Arial" w:eastAsia="华文细黑" w:cs="Arial"/>
                <w:sz w:val="18"/>
                <w:szCs w:val="18"/>
              </w:rPr>
              <w:t>7%</w:t>
            </w:r>
          </w:p>
        </w:tc>
        <w:tc>
          <w:tcPr>
            <w:tcW w:w="1022" w:type="pct"/>
            <w:tcBorders>
              <w:top w:val="nil"/>
              <w:left w:val="nil"/>
              <w:bottom w:val="single" w:color="auto" w:sz="4" w:space="0"/>
              <w:right w:val="single" w:color="auto" w:sz="4" w:space="0"/>
            </w:tcBorders>
            <w:vAlign w:val="center"/>
          </w:tcPr>
          <w:p w14:paraId="7A4C91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w:t>
            </w:r>
            <w:r>
              <w:rPr>
                <w:rFonts w:ascii="Arial" w:hAnsi="Arial" w:eastAsia="华文细黑" w:cs="Arial"/>
                <w:sz w:val="18"/>
                <w:szCs w:val="18"/>
              </w:rPr>
              <w:t>6%</w:t>
            </w:r>
          </w:p>
        </w:tc>
        <w:tc>
          <w:tcPr>
            <w:tcW w:w="1022" w:type="pct"/>
            <w:tcBorders>
              <w:top w:val="nil"/>
              <w:left w:val="nil"/>
              <w:bottom w:val="single" w:color="auto" w:sz="4" w:space="0"/>
              <w:right w:val="single" w:color="auto" w:sz="4" w:space="0"/>
            </w:tcBorders>
            <w:vAlign w:val="center"/>
          </w:tcPr>
          <w:p w14:paraId="6670FDC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w:t>
            </w:r>
            <w:r>
              <w:rPr>
                <w:rFonts w:ascii="Arial" w:hAnsi="Arial" w:eastAsia="华文细黑" w:cs="Arial"/>
                <w:sz w:val="18"/>
                <w:szCs w:val="18"/>
              </w:rPr>
              <w:t>9%</w:t>
            </w:r>
          </w:p>
        </w:tc>
      </w:tr>
      <w:tr w14:paraId="36DB8541">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3F2BCDFA">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0E89CD09">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装修</w:t>
            </w:r>
          </w:p>
        </w:tc>
        <w:tc>
          <w:tcPr>
            <w:tcW w:w="1022" w:type="pct"/>
            <w:tcBorders>
              <w:top w:val="nil"/>
              <w:left w:val="nil"/>
              <w:bottom w:val="single" w:color="auto" w:sz="4" w:space="0"/>
              <w:right w:val="single" w:color="auto" w:sz="4" w:space="0"/>
            </w:tcBorders>
            <w:vAlign w:val="center"/>
          </w:tcPr>
          <w:p w14:paraId="578B843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装修为精装修，与居住功能相适应，好</w:t>
            </w:r>
          </w:p>
        </w:tc>
        <w:tc>
          <w:tcPr>
            <w:tcW w:w="1022" w:type="pct"/>
            <w:tcBorders>
              <w:top w:val="nil"/>
              <w:left w:val="nil"/>
              <w:bottom w:val="single" w:color="auto" w:sz="4" w:space="0"/>
              <w:right w:val="single" w:color="auto" w:sz="4" w:space="0"/>
            </w:tcBorders>
            <w:vAlign w:val="center"/>
          </w:tcPr>
          <w:p w14:paraId="1E5D44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装修为精装修，与居住功能相适应，好</w:t>
            </w:r>
          </w:p>
        </w:tc>
        <w:tc>
          <w:tcPr>
            <w:tcW w:w="1022" w:type="pct"/>
            <w:tcBorders>
              <w:top w:val="nil"/>
              <w:left w:val="nil"/>
              <w:bottom w:val="single" w:color="auto" w:sz="4" w:space="0"/>
              <w:right w:val="single" w:color="auto" w:sz="4" w:space="0"/>
            </w:tcBorders>
            <w:vAlign w:val="center"/>
          </w:tcPr>
          <w:p w14:paraId="7B1F4D0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装修为精装修，与居住功能相适应，好</w:t>
            </w:r>
          </w:p>
        </w:tc>
        <w:tc>
          <w:tcPr>
            <w:tcW w:w="1022" w:type="pct"/>
            <w:tcBorders>
              <w:top w:val="nil"/>
              <w:left w:val="nil"/>
              <w:bottom w:val="single" w:color="auto" w:sz="4" w:space="0"/>
              <w:right w:val="single" w:color="auto" w:sz="4" w:space="0"/>
            </w:tcBorders>
            <w:vAlign w:val="center"/>
          </w:tcPr>
          <w:p w14:paraId="7ADACC4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装修为精装修，与居住功能相适应，好</w:t>
            </w:r>
          </w:p>
        </w:tc>
      </w:tr>
      <w:tr w14:paraId="1BCCAAA3">
        <w:tblPrEx>
          <w:tblCellMar>
            <w:top w:w="0" w:type="dxa"/>
            <w:left w:w="108" w:type="dxa"/>
            <w:bottom w:w="0" w:type="dxa"/>
            <w:right w:w="108" w:type="dxa"/>
          </w:tblCellMar>
        </w:tblPrEx>
        <w:trPr>
          <w:trHeight w:val="20" w:hRule="atLeast"/>
          <w:jc w:val="center"/>
        </w:trPr>
        <w:tc>
          <w:tcPr>
            <w:tcW w:w="367" w:type="pct"/>
            <w:vMerge w:val="continue"/>
            <w:tcBorders>
              <w:top w:val="nil"/>
              <w:left w:val="single" w:color="auto" w:sz="4" w:space="0"/>
              <w:bottom w:val="single" w:color="auto" w:sz="4" w:space="0"/>
              <w:right w:val="single" w:color="auto" w:sz="4" w:space="0"/>
            </w:tcBorders>
            <w:vAlign w:val="center"/>
          </w:tcPr>
          <w:p w14:paraId="1E93D0C7">
            <w:pPr>
              <w:widowControl/>
              <w:adjustRightInd/>
              <w:spacing w:line="240" w:lineRule="atLeast"/>
              <w:jc w:val="center"/>
              <w:textAlignment w:val="auto"/>
              <w:rPr>
                <w:rFonts w:ascii="Arial" w:hAnsi="Arial" w:eastAsia="华文细黑" w:cs="Arial"/>
                <w:sz w:val="18"/>
                <w:szCs w:val="18"/>
              </w:rPr>
            </w:pPr>
          </w:p>
        </w:tc>
        <w:tc>
          <w:tcPr>
            <w:tcW w:w="547" w:type="pct"/>
            <w:tcBorders>
              <w:top w:val="nil"/>
              <w:left w:val="nil"/>
              <w:bottom w:val="single" w:color="auto" w:sz="4" w:space="0"/>
              <w:right w:val="single" w:color="auto" w:sz="4" w:space="0"/>
            </w:tcBorders>
            <w:vAlign w:val="center"/>
          </w:tcPr>
          <w:p w14:paraId="27BD24AE">
            <w:pPr>
              <w:widowControl/>
              <w:adjustRightInd/>
              <w:spacing w:line="240" w:lineRule="atLeast"/>
              <w:jc w:val="center"/>
              <w:textAlignment w:val="auto"/>
              <w:rPr>
                <w:rFonts w:ascii="Arial" w:hAnsi="Arial" w:eastAsia="华文细黑" w:cs="Arial"/>
                <w:sz w:val="18"/>
                <w:szCs w:val="18"/>
              </w:rPr>
            </w:pPr>
            <w:r>
              <w:rPr>
                <w:rFonts w:hint="eastAsia" w:ascii="Arial" w:hAnsi="Arial" w:cs="Arial"/>
                <w:sz w:val="18"/>
              </w:rPr>
              <w:t>设备</w:t>
            </w:r>
          </w:p>
        </w:tc>
        <w:tc>
          <w:tcPr>
            <w:tcW w:w="1022" w:type="pct"/>
            <w:tcBorders>
              <w:top w:val="nil"/>
              <w:left w:val="nil"/>
              <w:bottom w:val="single" w:color="auto" w:sz="4" w:space="0"/>
              <w:right w:val="single" w:color="auto" w:sz="4" w:space="0"/>
            </w:tcBorders>
            <w:vAlign w:val="center"/>
          </w:tcPr>
          <w:p w14:paraId="1E34FE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不含家具家电租赁费，不配备配备家具、家电，差</w:t>
            </w:r>
          </w:p>
        </w:tc>
        <w:tc>
          <w:tcPr>
            <w:tcW w:w="1022" w:type="pct"/>
            <w:tcBorders>
              <w:top w:val="nil"/>
              <w:left w:val="nil"/>
              <w:bottom w:val="single" w:color="auto" w:sz="4" w:space="0"/>
              <w:right w:val="single" w:color="auto" w:sz="4" w:space="0"/>
            </w:tcBorders>
            <w:vAlign w:val="center"/>
          </w:tcPr>
          <w:p w14:paraId="721465C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c>
          <w:tcPr>
            <w:tcW w:w="1022" w:type="pct"/>
            <w:tcBorders>
              <w:top w:val="nil"/>
              <w:left w:val="nil"/>
              <w:bottom w:val="single" w:color="auto" w:sz="4" w:space="0"/>
              <w:right w:val="single" w:color="auto" w:sz="4" w:space="0"/>
            </w:tcBorders>
            <w:vAlign w:val="center"/>
          </w:tcPr>
          <w:p w14:paraId="1391E8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c>
          <w:tcPr>
            <w:tcW w:w="1022" w:type="pct"/>
            <w:tcBorders>
              <w:top w:val="nil"/>
              <w:left w:val="nil"/>
              <w:bottom w:val="single" w:color="auto" w:sz="4" w:space="0"/>
              <w:right w:val="single" w:color="auto" w:sz="4" w:space="0"/>
            </w:tcBorders>
            <w:vAlign w:val="center"/>
          </w:tcPr>
          <w:p w14:paraId="5F9CC2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使用品牌家具、家电；虽然使用较长时间，但功能正常，一般</w:t>
            </w:r>
          </w:p>
        </w:tc>
      </w:tr>
    </w:tbl>
    <w:p w14:paraId="497DE9F5">
      <w:pPr>
        <w:widowControl/>
        <w:adjustRightInd/>
        <w:spacing w:line="240" w:lineRule="atLeast"/>
        <w:jc w:val="center"/>
        <w:textAlignment w:val="auto"/>
        <w:rPr>
          <w:rFonts w:ascii="Arial" w:hAnsi="Arial" w:eastAsia="华文细黑" w:cs="Arial"/>
          <w:sz w:val="18"/>
          <w:szCs w:val="18"/>
        </w:rPr>
      </w:pPr>
    </w:p>
    <w:p w14:paraId="678D8A82">
      <w:pPr>
        <w:spacing w:line="480" w:lineRule="auto"/>
        <w:ind w:firstLine="420" w:firstLineChars="200"/>
        <w:rPr>
          <w:rFonts w:ascii="Arial" w:hAnsi="Arial" w:eastAsia="华文细黑" w:cs="Arial"/>
          <w:sz w:val="18"/>
          <w:szCs w:val="18"/>
        </w:rPr>
      </w:pPr>
      <w:r>
        <w:rPr>
          <w:rFonts w:ascii="Arial" w:hAnsi="Arial" w:cs="Arial"/>
          <w:sz w:val="21"/>
          <w:szCs w:val="21"/>
        </w:rPr>
        <w:t>（转下页）</w:t>
      </w:r>
    </w:p>
    <w:p w14:paraId="15BB011D">
      <w:pPr>
        <w:wordWrap w:val="0"/>
        <w:overflowPunct w:val="0"/>
        <w:spacing w:line="480" w:lineRule="auto"/>
        <w:rPr>
          <w:rFonts w:ascii="Arial" w:hAnsi="Arial"/>
          <w:sz w:val="21"/>
          <w:szCs w:val="21"/>
        </w:rPr>
      </w:pPr>
      <w:r>
        <w:rPr>
          <w:rFonts w:hint="eastAsia" w:ascii="Arial" w:hAnsi="Arial"/>
          <w:sz w:val="21"/>
          <w:szCs w:val="21"/>
        </w:rPr>
        <w:t>（2）建立比较因素条件指数表和因素比较修正系数表</w:t>
      </w:r>
      <w:r>
        <w:rPr>
          <w:rFonts w:ascii="Arial" w:hAnsi="Arial"/>
          <w:sz w:val="21"/>
          <w:szCs w:val="21"/>
        </w:rPr>
        <w:t xml:space="preserve"> </w:t>
      </w:r>
    </w:p>
    <w:p w14:paraId="42267D77">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59A82674">
      <w:pPr>
        <w:overflowPunct w:val="0"/>
        <w:spacing w:line="480" w:lineRule="auto"/>
        <w:ind w:firstLine="420" w:firstLineChars="200"/>
        <w:jc w:val="center"/>
        <w:rPr>
          <w:rFonts w:ascii="Arial" w:hAnsi="Arial"/>
          <w:sz w:val="21"/>
          <w:szCs w:val="21"/>
        </w:rPr>
      </w:pPr>
      <w:r>
        <w:rPr>
          <w:rFonts w:ascii="Arial" w:hAnsi="Arial"/>
          <w:sz w:val="21"/>
          <w:szCs w:val="21"/>
        </w:rPr>
        <w:t>比较因素条件指数表</w:t>
      </w:r>
    </w:p>
    <w:tbl>
      <w:tblPr>
        <w:tblStyle w:val="23"/>
        <w:tblW w:w="5000" w:type="pct"/>
        <w:tblInd w:w="0" w:type="dxa"/>
        <w:tblLayout w:type="autofit"/>
        <w:tblCellMar>
          <w:top w:w="0" w:type="dxa"/>
          <w:left w:w="108" w:type="dxa"/>
          <w:bottom w:w="0" w:type="dxa"/>
          <w:right w:w="108" w:type="dxa"/>
        </w:tblCellMar>
      </w:tblPr>
      <w:tblGrid>
        <w:gridCol w:w="598"/>
        <w:gridCol w:w="714"/>
        <w:gridCol w:w="1052"/>
        <w:gridCol w:w="1052"/>
        <w:gridCol w:w="1052"/>
        <w:gridCol w:w="1052"/>
        <w:gridCol w:w="3995"/>
      </w:tblGrid>
      <w:tr w14:paraId="7BC5409B">
        <w:tblPrEx>
          <w:tblCellMar>
            <w:top w:w="0" w:type="dxa"/>
            <w:left w:w="108" w:type="dxa"/>
            <w:bottom w:w="0" w:type="dxa"/>
            <w:right w:w="108" w:type="dxa"/>
          </w:tblCellMar>
        </w:tblPrEx>
        <w:trPr>
          <w:trHeight w:val="20" w:hRule="atLeast"/>
          <w:tblHeader/>
        </w:trPr>
        <w:tc>
          <w:tcPr>
            <w:tcW w:w="689"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tcPr>
          <w:p w14:paraId="22D82362">
            <w:pPr>
              <w:widowControl/>
              <w:adjustRightInd/>
              <w:spacing w:line="240" w:lineRule="auto"/>
              <w:jc w:val="right"/>
              <w:textAlignment w:val="auto"/>
              <w:rPr>
                <w:rFonts w:ascii="Arial" w:hAnsi="Arial" w:cs="Arial"/>
                <w:sz w:val="18"/>
                <w:szCs w:val="18"/>
              </w:rPr>
            </w:pPr>
            <w:r>
              <w:rPr>
                <w:rFonts w:ascii="Arial" w:hAnsi="Arial" w:cs="Arial"/>
                <w:sz w:val="18"/>
                <w:szCs w:val="18"/>
              </w:rPr>
              <w:t>估价对象及</w:t>
            </w:r>
          </w:p>
          <w:p w14:paraId="58D22803">
            <w:pPr>
              <w:widowControl/>
              <w:adjustRightInd/>
              <w:spacing w:line="240" w:lineRule="auto"/>
              <w:jc w:val="right"/>
              <w:textAlignment w:val="auto"/>
              <w:rPr>
                <w:rFonts w:ascii="Arial" w:hAnsi="Arial" w:cs="Arial"/>
                <w:sz w:val="18"/>
                <w:szCs w:val="18"/>
              </w:rPr>
            </w:pPr>
            <w:r>
              <w:rPr>
                <w:rFonts w:ascii="Arial" w:hAnsi="Arial" w:cs="Arial"/>
                <w:sz w:val="18"/>
                <w:szCs w:val="18"/>
              </w:rPr>
              <w:t>可比</w:t>
            </w:r>
            <w:r>
              <w:rPr>
                <w:rFonts w:hint="eastAsia" w:ascii="Arial" w:hAnsi="Arial" w:cs="Arial"/>
                <w:sz w:val="18"/>
                <w:szCs w:val="18"/>
              </w:rPr>
              <w:t>实例</w:t>
            </w:r>
          </w:p>
          <w:p w14:paraId="1155EAE3">
            <w:pPr>
              <w:widowControl/>
              <w:adjustRightInd/>
              <w:spacing w:line="240" w:lineRule="auto"/>
              <w:jc w:val="right"/>
              <w:textAlignment w:val="auto"/>
              <w:rPr>
                <w:rFonts w:ascii="Arial" w:hAnsi="Arial" w:cs="Arial"/>
                <w:sz w:val="18"/>
                <w:szCs w:val="18"/>
              </w:rPr>
            </w:pPr>
          </w:p>
          <w:p w14:paraId="2820BA3E">
            <w:pPr>
              <w:widowControl/>
              <w:adjustRightInd/>
              <w:spacing w:line="240" w:lineRule="auto"/>
              <w:jc w:val="right"/>
              <w:textAlignment w:val="auto"/>
              <w:rPr>
                <w:rFonts w:ascii="Arial" w:hAnsi="Arial" w:cs="Arial"/>
                <w:sz w:val="18"/>
                <w:szCs w:val="18"/>
              </w:rPr>
            </w:pPr>
          </w:p>
          <w:p w14:paraId="0A95A3B5">
            <w:pPr>
              <w:widowControl/>
              <w:adjustRightInd/>
              <w:spacing w:line="240" w:lineRule="auto"/>
              <w:textAlignment w:val="auto"/>
              <w:rPr>
                <w:rFonts w:ascii="Arial" w:hAnsi="Arial" w:cs="Arial"/>
                <w:sz w:val="18"/>
                <w:szCs w:val="18"/>
              </w:rPr>
            </w:pPr>
            <w:r>
              <w:rPr>
                <w:rFonts w:ascii="Arial" w:hAnsi="Arial" w:cs="Arial"/>
                <w:sz w:val="18"/>
                <w:szCs w:val="18"/>
              </w:rPr>
              <w:t>比较因素</w:t>
            </w:r>
          </w:p>
        </w:tc>
        <w:tc>
          <w:tcPr>
            <w:tcW w:w="553" w:type="pct"/>
            <w:tcBorders>
              <w:top w:val="single" w:color="auto" w:sz="4" w:space="0"/>
              <w:left w:val="nil"/>
              <w:bottom w:val="single" w:color="auto" w:sz="4" w:space="0"/>
              <w:right w:val="single" w:color="auto" w:sz="4" w:space="0"/>
            </w:tcBorders>
            <w:vAlign w:val="center"/>
          </w:tcPr>
          <w:p w14:paraId="29B61FA9">
            <w:pPr>
              <w:widowControl/>
              <w:adjustRightInd/>
              <w:spacing w:line="240" w:lineRule="auto"/>
              <w:jc w:val="center"/>
              <w:textAlignment w:val="auto"/>
              <w:rPr>
                <w:rFonts w:ascii="Arial" w:hAnsi="Arial" w:cs="Arial"/>
                <w:sz w:val="18"/>
                <w:szCs w:val="18"/>
              </w:rPr>
            </w:pPr>
            <w:r>
              <w:rPr>
                <w:rFonts w:ascii="Arial" w:hAnsi="Arial" w:cs="Arial"/>
                <w:sz w:val="18"/>
                <w:szCs w:val="18"/>
              </w:rPr>
              <w:t>估价对象</w:t>
            </w:r>
          </w:p>
        </w:tc>
        <w:tc>
          <w:tcPr>
            <w:tcW w:w="553" w:type="pct"/>
            <w:tcBorders>
              <w:top w:val="single" w:color="auto" w:sz="4" w:space="0"/>
              <w:left w:val="nil"/>
              <w:bottom w:val="single" w:color="auto" w:sz="4" w:space="0"/>
              <w:right w:val="single" w:color="auto" w:sz="4" w:space="0"/>
            </w:tcBorders>
            <w:vAlign w:val="center"/>
          </w:tcPr>
          <w:p w14:paraId="4AE9661E">
            <w:pPr>
              <w:widowControl/>
              <w:adjustRightInd/>
              <w:spacing w:line="240" w:lineRule="auto"/>
              <w:jc w:val="center"/>
              <w:textAlignment w:val="auto"/>
              <w:rPr>
                <w:rFonts w:ascii="Arial" w:hAnsi="Arial" w:cs="Arial"/>
                <w:sz w:val="18"/>
                <w:szCs w:val="18"/>
              </w:rPr>
            </w:pPr>
            <w:r>
              <w:rPr>
                <w:rFonts w:ascii="Arial" w:hAnsi="Arial" w:cs="Arial"/>
                <w:sz w:val="18"/>
                <w:szCs w:val="18"/>
              </w:rPr>
              <w:t>可比实例1</w:t>
            </w:r>
          </w:p>
        </w:tc>
        <w:tc>
          <w:tcPr>
            <w:tcW w:w="553" w:type="pct"/>
            <w:tcBorders>
              <w:top w:val="single" w:color="auto" w:sz="4" w:space="0"/>
              <w:left w:val="nil"/>
              <w:bottom w:val="single" w:color="auto" w:sz="4" w:space="0"/>
              <w:right w:val="single" w:color="auto" w:sz="4" w:space="0"/>
            </w:tcBorders>
            <w:vAlign w:val="center"/>
          </w:tcPr>
          <w:p w14:paraId="76FF70ED">
            <w:pPr>
              <w:widowControl/>
              <w:adjustRightInd/>
              <w:spacing w:line="240" w:lineRule="auto"/>
              <w:jc w:val="center"/>
              <w:textAlignment w:val="auto"/>
              <w:rPr>
                <w:rFonts w:ascii="Arial" w:hAnsi="Arial" w:cs="Arial"/>
                <w:sz w:val="18"/>
                <w:szCs w:val="18"/>
              </w:rPr>
            </w:pPr>
            <w:r>
              <w:rPr>
                <w:rFonts w:ascii="Arial" w:hAnsi="Arial" w:cs="Arial"/>
                <w:sz w:val="18"/>
                <w:szCs w:val="18"/>
              </w:rPr>
              <w:t>可比实例2</w:t>
            </w:r>
          </w:p>
        </w:tc>
        <w:tc>
          <w:tcPr>
            <w:tcW w:w="553" w:type="pct"/>
            <w:tcBorders>
              <w:top w:val="single" w:color="auto" w:sz="4" w:space="0"/>
              <w:left w:val="nil"/>
              <w:bottom w:val="single" w:color="auto" w:sz="4" w:space="0"/>
              <w:right w:val="single" w:color="auto" w:sz="4" w:space="0"/>
            </w:tcBorders>
            <w:vAlign w:val="center"/>
          </w:tcPr>
          <w:p w14:paraId="409C20BE">
            <w:pPr>
              <w:widowControl/>
              <w:adjustRightInd/>
              <w:spacing w:line="240" w:lineRule="auto"/>
              <w:jc w:val="center"/>
              <w:textAlignment w:val="auto"/>
              <w:rPr>
                <w:rFonts w:ascii="Arial" w:hAnsi="Arial" w:cs="Arial"/>
                <w:sz w:val="18"/>
                <w:szCs w:val="18"/>
              </w:rPr>
            </w:pPr>
            <w:r>
              <w:rPr>
                <w:rFonts w:ascii="Arial" w:hAnsi="Arial" w:cs="Arial"/>
                <w:sz w:val="18"/>
                <w:szCs w:val="18"/>
              </w:rPr>
              <w:t>可比实例3</w:t>
            </w:r>
          </w:p>
        </w:tc>
        <w:tc>
          <w:tcPr>
            <w:tcW w:w="2100" w:type="pct"/>
            <w:tcBorders>
              <w:top w:val="single" w:color="auto" w:sz="4" w:space="0"/>
              <w:left w:val="nil"/>
              <w:bottom w:val="single" w:color="auto" w:sz="4" w:space="0"/>
              <w:right w:val="single" w:color="auto" w:sz="4" w:space="0"/>
            </w:tcBorders>
            <w:vAlign w:val="center"/>
          </w:tcPr>
          <w:p w14:paraId="40A1018C">
            <w:pPr>
              <w:widowControl/>
              <w:adjustRightInd/>
              <w:spacing w:line="240" w:lineRule="auto"/>
              <w:jc w:val="center"/>
              <w:textAlignment w:val="auto"/>
              <w:rPr>
                <w:rFonts w:ascii="Arial" w:hAnsi="Arial" w:cs="Arial"/>
                <w:sz w:val="18"/>
                <w:szCs w:val="18"/>
              </w:rPr>
            </w:pPr>
            <w:r>
              <w:rPr>
                <w:rFonts w:ascii="Arial" w:hAnsi="Arial" w:cs="Arial"/>
                <w:sz w:val="18"/>
                <w:szCs w:val="18"/>
              </w:rPr>
              <w:t>比较因素调整说明</w:t>
            </w:r>
          </w:p>
        </w:tc>
      </w:tr>
      <w:tr w14:paraId="018EEC70">
        <w:tblPrEx>
          <w:tblCellMar>
            <w:top w:w="0" w:type="dxa"/>
            <w:left w:w="108" w:type="dxa"/>
            <w:bottom w:w="0" w:type="dxa"/>
            <w:right w:w="108" w:type="dxa"/>
          </w:tblCellMar>
        </w:tblPrEx>
        <w:trPr>
          <w:trHeight w:val="20" w:hRule="atLeast"/>
          <w:tblHeader/>
        </w:trPr>
        <w:tc>
          <w:tcPr>
            <w:tcW w:w="689" w:type="pct"/>
            <w:gridSpan w:val="2"/>
            <w:vMerge w:val="continue"/>
            <w:tcBorders>
              <w:top w:val="single" w:color="auto" w:sz="4" w:space="0"/>
              <w:left w:val="single" w:color="auto" w:sz="4" w:space="0"/>
              <w:bottom w:val="single" w:color="000000" w:sz="4" w:space="0"/>
              <w:right w:val="single" w:color="000000" w:sz="4" w:space="0"/>
            </w:tcBorders>
            <w:vAlign w:val="center"/>
          </w:tcPr>
          <w:p w14:paraId="594C77F6">
            <w:pPr>
              <w:widowControl/>
              <w:adjustRightInd/>
              <w:spacing w:line="240" w:lineRule="auto"/>
              <w:textAlignment w:val="auto"/>
              <w:rPr>
                <w:rFonts w:ascii="Arial" w:hAnsi="Arial" w:cs="Arial"/>
                <w:sz w:val="18"/>
                <w:szCs w:val="18"/>
              </w:rPr>
            </w:pPr>
          </w:p>
        </w:tc>
        <w:tc>
          <w:tcPr>
            <w:tcW w:w="553" w:type="pct"/>
            <w:tcBorders>
              <w:top w:val="nil"/>
              <w:left w:val="nil"/>
              <w:bottom w:val="single" w:color="auto" w:sz="4" w:space="0"/>
              <w:right w:val="single" w:color="auto" w:sz="4" w:space="0"/>
            </w:tcBorders>
            <w:vAlign w:val="center"/>
          </w:tcPr>
          <w:p w14:paraId="65A309BB">
            <w:pPr>
              <w:widowControl/>
              <w:adjustRightInd/>
              <w:spacing w:line="240" w:lineRule="auto"/>
              <w:jc w:val="center"/>
              <w:textAlignment w:val="auto"/>
              <w:rPr>
                <w:rFonts w:ascii="Arial" w:hAnsi="Arial" w:cs="Arial"/>
                <w:sz w:val="18"/>
              </w:rPr>
            </w:pPr>
            <w:r>
              <w:rPr>
                <w:rFonts w:hint="eastAsia" w:ascii="宋体" w:hAnsi="宋体" w:cs="Arial"/>
                <w:sz w:val="18"/>
              </w:rPr>
              <w:t>燕保·高米店家园公租房项目</w:t>
            </w:r>
          </w:p>
        </w:tc>
        <w:tc>
          <w:tcPr>
            <w:tcW w:w="553" w:type="pct"/>
            <w:tcBorders>
              <w:top w:val="nil"/>
              <w:left w:val="nil"/>
              <w:bottom w:val="single" w:color="auto" w:sz="4" w:space="0"/>
              <w:right w:val="single" w:color="auto" w:sz="4" w:space="0"/>
            </w:tcBorders>
            <w:vAlign w:val="center"/>
          </w:tcPr>
          <w:p w14:paraId="3AB94451">
            <w:pPr>
              <w:widowControl/>
              <w:adjustRightInd/>
              <w:spacing w:line="240" w:lineRule="auto"/>
              <w:jc w:val="center"/>
              <w:textAlignment w:val="auto"/>
              <w:rPr>
                <w:rFonts w:ascii="Arial" w:hAnsi="Arial" w:cs="Arial"/>
                <w:sz w:val="18"/>
              </w:rPr>
            </w:pPr>
            <w:r>
              <w:rPr>
                <w:rFonts w:hint="eastAsia" w:ascii="Arial" w:hAnsi="Arial" w:cs="Arial"/>
                <w:sz w:val="18"/>
              </w:rPr>
              <w:t>保利茉莉公馆</w:t>
            </w:r>
          </w:p>
        </w:tc>
        <w:tc>
          <w:tcPr>
            <w:tcW w:w="553" w:type="pct"/>
            <w:tcBorders>
              <w:top w:val="nil"/>
              <w:left w:val="nil"/>
              <w:bottom w:val="single" w:color="auto" w:sz="4" w:space="0"/>
              <w:right w:val="single" w:color="auto" w:sz="4" w:space="0"/>
            </w:tcBorders>
            <w:vAlign w:val="center"/>
          </w:tcPr>
          <w:p w14:paraId="707EBB27">
            <w:pPr>
              <w:widowControl/>
              <w:adjustRightInd/>
              <w:spacing w:line="240" w:lineRule="auto"/>
              <w:jc w:val="center"/>
              <w:textAlignment w:val="auto"/>
              <w:rPr>
                <w:rFonts w:ascii="Arial" w:hAnsi="Arial" w:cs="Arial"/>
                <w:sz w:val="18"/>
              </w:rPr>
            </w:pPr>
            <w:r>
              <w:rPr>
                <w:rFonts w:hint="eastAsia" w:ascii="Arial" w:hAnsi="Arial" w:cs="Arial"/>
                <w:sz w:val="18"/>
              </w:rPr>
              <w:t>郁花园二里</w:t>
            </w:r>
          </w:p>
        </w:tc>
        <w:tc>
          <w:tcPr>
            <w:tcW w:w="553" w:type="pct"/>
            <w:tcBorders>
              <w:top w:val="nil"/>
              <w:left w:val="nil"/>
              <w:bottom w:val="single" w:color="auto" w:sz="4" w:space="0"/>
              <w:right w:val="single" w:color="auto" w:sz="4" w:space="0"/>
            </w:tcBorders>
            <w:vAlign w:val="center"/>
          </w:tcPr>
          <w:p w14:paraId="48DEBE4E">
            <w:pPr>
              <w:widowControl/>
              <w:adjustRightInd/>
              <w:spacing w:line="240" w:lineRule="auto"/>
              <w:jc w:val="center"/>
              <w:textAlignment w:val="auto"/>
              <w:rPr>
                <w:rFonts w:ascii="Arial" w:hAnsi="Arial" w:cs="Arial"/>
                <w:sz w:val="18"/>
              </w:rPr>
            </w:pPr>
            <w:r>
              <w:rPr>
                <w:rFonts w:hint="eastAsia" w:ascii="Arial" w:hAnsi="Arial" w:cs="Arial"/>
                <w:sz w:val="18"/>
              </w:rPr>
              <w:t>滨河西里南区</w:t>
            </w:r>
          </w:p>
        </w:tc>
        <w:tc>
          <w:tcPr>
            <w:tcW w:w="2100" w:type="pct"/>
            <w:tcBorders>
              <w:top w:val="nil"/>
              <w:left w:val="nil"/>
              <w:bottom w:val="single" w:color="auto" w:sz="4" w:space="0"/>
              <w:right w:val="single" w:color="auto" w:sz="4" w:space="0"/>
            </w:tcBorders>
            <w:vAlign w:val="center"/>
          </w:tcPr>
          <w:p w14:paraId="243788FC">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14:paraId="7C97B354">
        <w:tblPrEx>
          <w:tblCellMar>
            <w:top w:w="0" w:type="dxa"/>
            <w:left w:w="108" w:type="dxa"/>
            <w:bottom w:w="0" w:type="dxa"/>
            <w:right w:w="108" w:type="dxa"/>
          </w:tblCellMar>
        </w:tblPrEx>
        <w:trPr>
          <w:trHeight w:val="20" w:hRule="atLeast"/>
        </w:trPr>
        <w:tc>
          <w:tcPr>
            <w:tcW w:w="689" w:type="pct"/>
            <w:gridSpan w:val="2"/>
            <w:tcBorders>
              <w:top w:val="single" w:color="auto" w:sz="4" w:space="0"/>
              <w:left w:val="single" w:color="auto" w:sz="4" w:space="0"/>
              <w:bottom w:val="single" w:color="auto" w:sz="4" w:space="0"/>
              <w:right w:val="single" w:color="000000" w:sz="4" w:space="0"/>
            </w:tcBorders>
            <w:vAlign w:val="bottom"/>
          </w:tcPr>
          <w:p w14:paraId="631143B3">
            <w:pPr>
              <w:widowControl/>
              <w:adjustRightInd/>
              <w:spacing w:line="240" w:lineRule="auto"/>
              <w:textAlignment w:val="auto"/>
              <w:rPr>
                <w:rFonts w:ascii="Arial" w:hAnsi="Arial" w:cs="Arial"/>
                <w:sz w:val="18"/>
                <w:szCs w:val="18"/>
              </w:rPr>
            </w:pPr>
            <w:r>
              <w:rPr>
                <w:rFonts w:ascii="Arial" w:hAnsi="Arial" w:cs="Arial"/>
                <w:sz w:val="18"/>
                <w:szCs w:val="18"/>
              </w:rPr>
              <w:t>确定的交易价格</w:t>
            </w:r>
            <w:r>
              <w:rPr>
                <w:rFonts w:ascii="Arial" w:hAnsi="Arial" w:cs="Arial"/>
                <w:sz w:val="18"/>
                <w:szCs w:val="18"/>
              </w:rPr>
              <w:br w:type="textWrapping"/>
            </w:r>
            <w:r>
              <w:rPr>
                <w:rFonts w:ascii="Arial" w:hAnsi="Arial" w:cs="Arial"/>
                <w:sz w:val="18"/>
                <w:szCs w:val="18"/>
              </w:rPr>
              <w:t>（元/平方米</w:t>
            </w:r>
            <w:r>
              <w:rPr>
                <w:rFonts w:ascii="Arial" w:hAnsi="Arial" w:cs="Arial"/>
                <w:sz w:val="18"/>
              </w:rPr>
              <w:t>·</w:t>
            </w:r>
            <w:r>
              <w:rPr>
                <w:rFonts w:hint="eastAsia" w:ascii="宋体" w:hAnsi="宋体" w:cs="Arial"/>
                <w:sz w:val="18"/>
              </w:rPr>
              <w:t>月</w:t>
            </w:r>
            <w:r>
              <w:rPr>
                <w:rFonts w:ascii="Arial" w:hAnsi="Arial" w:cs="Arial"/>
                <w:sz w:val="18"/>
                <w:szCs w:val="18"/>
              </w:rPr>
              <w:t>）</w:t>
            </w:r>
          </w:p>
        </w:tc>
        <w:tc>
          <w:tcPr>
            <w:tcW w:w="553" w:type="pct"/>
            <w:tcBorders>
              <w:top w:val="nil"/>
              <w:left w:val="nil"/>
              <w:bottom w:val="single" w:color="auto" w:sz="4" w:space="0"/>
              <w:right w:val="single" w:color="auto" w:sz="4" w:space="0"/>
            </w:tcBorders>
            <w:vAlign w:val="center"/>
          </w:tcPr>
          <w:p w14:paraId="285F2104">
            <w:pPr>
              <w:widowControl/>
              <w:adjustRightInd/>
              <w:spacing w:line="240" w:lineRule="auto"/>
              <w:jc w:val="center"/>
              <w:textAlignment w:val="auto"/>
              <w:rPr>
                <w:rFonts w:ascii="Arial" w:hAnsi="Arial" w:cs="Arial"/>
                <w:sz w:val="18"/>
              </w:rPr>
            </w:pPr>
            <w:r>
              <w:rPr>
                <w:rFonts w:hint="eastAsia" w:ascii="宋体" w:hAnsi="宋体" w:cs="Arial"/>
                <w:sz w:val="18"/>
              </w:rPr>
              <w:t>待估</w:t>
            </w:r>
          </w:p>
        </w:tc>
        <w:tc>
          <w:tcPr>
            <w:tcW w:w="553" w:type="pct"/>
            <w:tcBorders>
              <w:top w:val="nil"/>
              <w:left w:val="nil"/>
              <w:bottom w:val="single" w:color="auto" w:sz="4" w:space="0"/>
              <w:right w:val="single" w:color="auto" w:sz="4" w:space="0"/>
            </w:tcBorders>
            <w:vAlign w:val="center"/>
          </w:tcPr>
          <w:p w14:paraId="6482667A">
            <w:pPr>
              <w:widowControl/>
              <w:adjustRightInd/>
              <w:spacing w:line="240" w:lineRule="auto"/>
              <w:jc w:val="center"/>
              <w:textAlignment w:val="auto"/>
              <w:rPr>
                <w:rFonts w:ascii="Arial" w:hAnsi="Arial" w:cs="Arial"/>
                <w:sz w:val="18"/>
              </w:rPr>
            </w:pPr>
            <w:r>
              <w:rPr>
                <w:rFonts w:ascii="Arial" w:hAnsi="Arial" w:cs="Arial"/>
                <w:sz w:val="18"/>
              </w:rPr>
              <w:t>67.05</w:t>
            </w:r>
          </w:p>
        </w:tc>
        <w:tc>
          <w:tcPr>
            <w:tcW w:w="553" w:type="pct"/>
            <w:tcBorders>
              <w:top w:val="nil"/>
              <w:left w:val="nil"/>
              <w:bottom w:val="single" w:color="auto" w:sz="4" w:space="0"/>
              <w:right w:val="single" w:color="auto" w:sz="4" w:space="0"/>
            </w:tcBorders>
            <w:vAlign w:val="center"/>
          </w:tcPr>
          <w:p w14:paraId="79A22FDB">
            <w:pPr>
              <w:widowControl/>
              <w:adjustRightInd/>
              <w:spacing w:line="240" w:lineRule="auto"/>
              <w:jc w:val="center"/>
              <w:textAlignment w:val="auto"/>
              <w:rPr>
                <w:rFonts w:ascii="Arial" w:hAnsi="Arial" w:cs="Arial"/>
                <w:sz w:val="18"/>
              </w:rPr>
            </w:pPr>
            <w:r>
              <w:rPr>
                <w:rFonts w:ascii="Arial" w:hAnsi="Arial" w:cs="Arial"/>
                <w:sz w:val="18"/>
              </w:rPr>
              <w:t>62.82</w:t>
            </w:r>
          </w:p>
        </w:tc>
        <w:tc>
          <w:tcPr>
            <w:tcW w:w="553" w:type="pct"/>
            <w:tcBorders>
              <w:top w:val="nil"/>
              <w:left w:val="nil"/>
              <w:bottom w:val="single" w:color="auto" w:sz="4" w:space="0"/>
              <w:right w:val="single" w:color="auto" w:sz="4" w:space="0"/>
            </w:tcBorders>
            <w:vAlign w:val="center"/>
          </w:tcPr>
          <w:p w14:paraId="5E12E715">
            <w:pPr>
              <w:widowControl/>
              <w:adjustRightInd/>
              <w:spacing w:line="240" w:lineRule="auto"/>
              <w:jc w:val="center"/>
              <w:textAlignment w:val="auto"/>
              <w:rPr>
                <w:rFonts w:ascii="Arial" w:hAnsi="Arial" w:cs="Arial"/>
                <w:sz w:val="18"/>
              </w:rPr>
            </w:pPr>
            <w:r>
              <w:rPr>
                <w:rFonts w:ascii="Arial" w:hAnsi="Arial" w:cs="Arial"/>
                <w:sz w:val="18"/>
              </w:rPr>
              <w:t>53.78</w:t>
            </w:r>
          </w:p>
        </w:tc>
        <w:tc>
          <w:tcPr>
            <w:tcW w:w="2100" w:type="pct"/>
            <w:tcBorders>
              <w:top w:val="nil"/>
              <w:left w:val="nil"/>
              <w:bottom w:val="single" w:color="auto" w:sz="4" w:space="0"/>
              <w:right w:val="single" w:color="auto" w:sz="4" w:space="0"/>
            </w:tcBorders>
            <w:vAlign w:val="center"/>
          </w:tcPr>
          <w:p w14:paraId="1637FAA8">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14:paraId="778AA121">
        <w:tblPrEx>
          <w:tblCellMar>
            <w:top w:w="0" w:type="dxa"/>
            <w:left w:w="108" w:type="dxa"/>
            <w:bottom w:w="0" w:type="dxa"/>
            <w:right w:w="108" w:type="dxa"/>
          </w:tblCellMar>
        </w:tblPrEx>
        <w:trPr>
          <w:trHeight w:val="20" w:hRule="atLeast"/>
        </w:trPr>
        <w:tc>
          <w:tcPr>
            <w:tcW w:w="689" w:type="pct"/>
            <w:gridSpan w:val="2"/>
            <w:tcBorders>
              <w:top w:val="single" w:color="auto" w:sz="4" w:space="0"/>
              <w:left w:val="single" w:color="auto" w:sz="4" w:space="0"/>
              <w:bottom w:val="single" w:color="auto" w:sz="4" w:space="0"/>
              <w:right w:val="single" w:color="auto" w:sz="4" w:space="0"/>
            </w:tcBorders>
            <w:vAlign w:val="center"/>
          </w:tcPr>
          <w:p w14:paraId="62C79579">
            <w:pPr>
              <w:widowControl/>
              <w:adjustRightInd/>
              <w:spacing w:line="240" w:lineRule="auto"/>
              <w:textAlignment w:val="auto"/>
              <w:rPr>
                <w:rFonts w:ascii="Arial" w:hAnsi="Arial" w:cs="Arial"/>
                <w:sz w:val="18"/>
                <w:szCs w:val="18"/>
              </w:rPr>
            </w:pPr>
            <w:r>
              <w:rPr>
                <w:rFonts w:ascii="Arial" w:hAnsi="Arial" w:cs="Arial"/>
                <w:sz w:val="18"/>
                <w:szCs w:val="18"/>
              </w:rPr>
              <w:t>交易时间</w:t>
            </w:r>
          </w:p>
        </w:tc>
        <w:tc>
          <w:tcPr>
            <w:tcW w:w="553" w:type="pct"/>
            <w:tcBorders>
              <w:top w:val="nil"/>
              <w:left w:val="nil"/>
              <w:bottom w:val="single" w:color="auto" w:sz="4" w:space="0"/>
              <w:right w:val="single" w:color="auto" w:sz="4" w:space="0"/>
            </w:tcBorders>
            <w:vAlign w:val="center"/>
          </w:tcPr>
          <w:p w14:paraId="1DBE3BD2">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6099A3E">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596F03C7">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12F0DF8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3DBC3002">
            <w:pPr>
              <w:widowControl/>
              <w:adjustRightInd/>
              <w:spacing w:line="240" w:lineRule="auto"/>
              <w:textAlignment w:val="auto"/>
              <w:rPr>
                <w:rFonts w:ascii="Arial" w:hAnsi="Arial" w:cs="Arial"/>
                <w:sz w:val="18"/>
                <w:szCs w:val="18"/>
              </w:rPr>
            </w:pPr>
            <w:r>
              <w:rPr>
                <w:rFonts w:ascii="Arial" w:hAnsi="Arial" w:cs="Arial"/>
                <w:sz w:val="18"/>
                <w:szCs w:val="18"/>
              </w:rPr>
              <w:t>估价对象与可比</w:t>
            </w:r>
            <w:r>
              <w:rPr>
                <w:rFonts w:hint="eastAsia" w:ascii="Arial" w:hAnsi="Arial" w:cs="Arial"/>
                <w:sz w:val="18"/>
                <w:szCs w:val="18"/>
              </w:rPr>
              <w:t>实例</w:t>
            </w:r>
            <w:r>
              <w:rPr>
                <w:rFonts w:ascii="Arial" w:hAnsi="Arial" w:cs="Arial"/>
                <w:sz w:val="18"/>
                <w:szCs w:val="18"/>
              </w:rPr>
              <w:t>的交易时间</w:t>
            </w:r>
            <w:r>
              <w:rPr>
                <w:rFonts w:hint="eastAsia" w:ascii="Arial" w:hAnsi="Arial" w:cs="Arial"/>
                <w:sz w:val="18"/>
                <w:szCs w:val="18"/>
              </w:rPr>
              <w:t>一致</w:t>
            </w:r>
            <w:r>
              <w:rPr>
                <w:rFonts w:ascii="Arial" w:hAnsi="Arial" w:cs="Arial"/>
                <w:sz w:val="18"/>
                <w:szCs w:val="18"/>
              </w:rPr>
              <w:t>，因此确定估价对象与可比实例该因素指数均为100；</w:t>
            </w:r>
          </w:p>
        </w:tc>
      </w:tr>
      <w:tr w14:paraId="14E667C6">
        <w:tblPrEx>
          <w:tblCellMar>
            <w:top w:w="0" w:type="dxa"/>
            <w:left w:w="108" w:type="dxa"/>
            <w:bottom w:w="0" w:type="dxa"/>
            <w:right w:w="108" w:type="dxa"/>
          </w:tblCellMar>
        </w:tblPrEx>
        <w:trPr>
          <w:trHeight w:val="20" w:hRule="atLeast"/>
        </w:trPr>
        <w:tc>
          <w:tcPr>
            <w:tcW w:w="689" w:type="pct"/>
            <w:gridSpan w:val="2"/>
            <w:tcBorders>
              <w:top w:val="single" w:color="auto" w:sz="4" w:space="0"/>
              <w:left w:val="single" w:color="auto" w:sz="4" w:space="0"/>
              <w:bottom w:val="single" w:color="auto" w:sz="4" w:space="0"/>
              <w:right w:val="single" w:color="auto" w:sz="4" w:space="0"/>
            </w:tcBorders>
            <w:vAlign w:val="center"/>
          </w:tcPr>
          <w:p w14:paraId="1C54581D">
            <w:pPr>
              <w:widowControl/>
              <w:adjustRightInd/>
              <w:spacing w:line="240" w:lineRule="auto"/>
              <w:textAlignment w:val="auto"/>
              <w:rPr>
                <w:rFonts w:ascii="Arial" w:hAnsi="Arial" w:cs="Arial"/>
                <w:sz w:val="18"/>
                <w:szCs w:val="18"/>
              </w:rPr>
            </w:pPr>
            <w:r>
              <w:rPr>
                <w:rFonts w:ascii="Arial" w:hAnsi="Arial" w:cs="Arial"/>
                <w:sz w:val="18"/>
                <w:szCs w:val="18"/>
              </w:rPr>
              <w:t>交易情况</w:t>
            </w:r>
          </w:p>
        </w:tc>
        <w:tc>
          <w:tcPr>
            <w:tcW w:w="553" w:type="pct"/>
            <w:tcBorders>
              <w:top w:val="nil"/>
              <w:left w:val="nil"/>
              <w:bottom w:val="single" w:color="auto" w:sz="4" w:space="0"/>
              <w:right w:val="single" w:color="auto" w:sz="4" w:space="0"/>
            </w:tcBorders>
            <w:vAlign w:val="center"/>
          </w:tcPr>
          <w:p w14:paraId="6AC524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81180E5">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28A9B25">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5A6EBEFE">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65A20D55">
            <w:pPr>
              <w:widowControl/>
              <w:adjustRightInd/>
              <w:spacing w:line="240" w:lineRule="auto"/>
              <w:textAlignment w:val="auto"/>
              <w:rPr>
                <w:rFonts w:ascii="Arial" w:hAnsi="Arial" w:cs="Arial"/>
                <w:sz w:val="18"/>
                <w:szCs w:val="18"/>
              </w:rPr>
            </w:pPr>
            <w:r>
              <w:rPr>
                <w:rFonts w:ascii="Arial" w:hAnsi="Arial" w:cs="Arial"/>
                <w:sz w:val="18"/>
                <w:szCs w:val="18"/>
              </w:rPr>
              <w:t>可比</w:t>
            </w:r>
            <w:r>
              <w:rPr>
                <w:rFonts w:hint="eastAsia" w:ascii="Arial" w:hAnsi="Arial" w:cs="Arial"/>
                <w:sz w:val="18"/>
                <w:szCs w:val="18"/>
              </w:rPr>
              <w:t>实例</w:t>
            </w:r>
            <w:r>
              <w:rPr>
                <w:rFonts w:ascii="Arial" w:hAnsi="Arial" w:cs="Arial"/>
                <w:sz w:val="18"/>
                <w:szCs w:val="18"/>
              </w:rPr>
              <w:t>均为正常交易或已修正为正常交易，故不予修正，交易情况指数均100；</w:t>
            </w:r>
          </w:p>
        </w:tc>
      </w:tr>
      <w:tr w14:paraId="476BE620">
        <w:tblPrEx>
          <w:tblCellMar>
            <w:top w:w="0" w:type="dxa"/>
            <w:left w:w="108" w:type="dxa"/>
            <w:bottom w:w="0" w:type="dxa"/>
            <w:right w:w="108" w:type="dxa"/>
          </w:tblCellMar>
        </w:tblPrEx>
        <w:trPr>
          <w:trHeight w:val="20" w:hRule="atLeast"/>
        </w:trPr>
        <w:tc>
          <w:tcPr>
            <w:tcW w:w="314" w:type="pct"/>
            <w:vMerge w:val="restart"/>
            <w:tcBorders>
              <w:top w:val="single" w:color="auto" w:sz="4" w:space="0"/>
              <w:left w:val="single" w:color="auto" w:sz="4" w:space="0"/>
              <w:bottom w:val="single" w:color="auto" w:sz="4" w:space="0"/>
              <w:right w:val="single" w:color="auto" w:sz="4" w:space="0"/>
            </w:tcBorders>
            <w:vAlign w:val="center"/>
          </w:tcPr>
          <w:p w14:paraId="6627CE00">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区域</w:t>
            </w:r>
          </w:p>
          <w:p w14:paraId="2016C33F">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375" w:type="pct"/>
            <w:tcBorders>
              <w:top w:val="nil"/>
              <w:left w:val="nil"/>
              <w:bottom w:val="single" w:color="auto" w:sz="4" w:space="0"/>
              <w:right w:val="single" w:color="auto" w:sz="4" w:space="0"/>
            </w:tcBorders>
            <w:vAlign w:val="center"/>
          </w:tcPr>
          <w:p w14:paraId="244D1B49">
            <w:pPr>
              <w:widowControl/>
              <w:adjustRightInd/>
              <w:spacing w:line="240" w:lineRule="auto"/>
              <w:jc w:val="center"/>
              <w:textAlignment w:val="auto"/>
              <w:rPr>
                <w:rFonts w:ascii="Arial" w:hAnsi="Arial" w:cs="Arial"/>
                <w:sz w:val="18"/>
              </w:rPr>
            </w:pPr>
            <w:r>
              <w:rPr>
                <w:rFonts w:hint="eastAsia" w:ascii="宋体" w:hAnsi="宋体" w:cs="Arial"/>
                <w:sz w:val="18"/>
              </w:rPr>
              <w:t>居住区成熟度</w:t>
            </w:r>
          </w:p>
        </w:tc>
        <w:tc>
          <w:tcPr>
            <w:tcW w:w="553" w:type="pct"/>
            <w:tcBorders>
              <w:top w:val="nil"/>
              <w:left w:val="nil"/>
              <w:bottom w:val="single" w:color="auto" w:sz="4" w:space="0"/>
              <w:right w:val="single" w:color="auto" w:sz="4" w:space="0"/>
            </w:tcBorders>
            <w:vAlign w:val="center"/>
          </w:tcPr>
          <w:p w14:paraId="3D1C795D">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0868C752">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36B342CC">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161653D2">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719A4C3E">
            <w:pPr>
              <w:widowControl/>
              <w:adjustRightInd/>
              <w:spacing w:line="240" w:lineRule="auto"/>
              <w:textAlignment w:val="auto"/>
              <w:rPr>
                <w:rFonts w:ascii="Arial" w:hAnsi="Arial" w:cs="Arial"/>
                <w:sz w:val="18"/>
                <w:szCs w:val="18"/>
              </w:rPr>
            </w:pPr>
            <w:r>
              <w:rPr>
                <w:rFonts w:hint="eastAsia" w:ascii="Arial" w:hAnsi="Arial" w:cs="Arial"/>
                <w:sz w:val="18"/>
                <w:szCs w:val="18"/>
              </w:rPr>
              <w:t>从好到差划分为好、较好、一般、较差、差五个等级</w:t>
            </w:r>
            <w:r>
              <w:rPr>
                <w:rFonts w:ascii="Arial" w:hAnsi="Arial" w:cs="Arial"/>
                <w:sz w:val="18"/>
                <w:szCs w:val="18"/>
              </w:rPr>
              <w:t>，</w:t>
            </w:r>
            <w:r>
              <w:rPr>
                <w:rFonts w:hint="eastAsia" w:ascii="Arial" w:hAnsi="Arial" w:cs="Arial"/>
                <w:sz w:val="18"/>
                <w:szCs w:val="18"/>
              </w:rPr>
              <w:t>每个等级相差</w:t>
            </w:r>
            <w:r>
              <w:rPr>
                <w:rFonts w:ascii="Arial" w:hAnsi="Arial" w:cs="Arial"/>
                <w:sz w:val="18"/>
                <w:szCs w:val="18"/>
              </w:rPr>
              <w:t>3</w:t>
            </w:r>
            <w:r>
              <w:rPr>
                <w:rFonts w:hint="eastAsia" w:ascii="Arial" w:hAnsi="Arial" w:cs="Arial"/>
                <w:sz w:val="18"/>
                <w:szCs w:val="18"/>
              </w:rPr>
              <w:t>分，</w:t>
            </w:r>
            <w:r>
              <w:rPr>
                <w:rFonts w:ascii="Arial" w:hAnsi="Arial" w:cs="Arial"/>
                <w:sz w:val="18"/>
                <w:szCs w:val="18"/>
              </w:rPr>
              <w:t>确定可比实例1、2、3该因素指数分别为100、100、100；</w:t>
            </w:r>
          </w:p>
        </w:tc>
      </w:tr>
      <w:tr w14:paraId="28664DF1">
        <w:tblPrEx>
          <w:tblCellMar>
            <w:top w:w="0" w:type="dxa"/>
            <w:left w:w="108" w:type="dxa"/>
            <w:bottom w:w="0" w:type="dxa"/>
            <w:right w:w="108" w:type="dxa"/>
          </w:tblCellMar>
        </w:tblPrEx>
        <w:trPr>
          <w:trHeight w:val="20" w:hRule="atLeast"/>
        </w:trPr>
        <w:tc>
          <w:tcPr>
            <w:tcW w:w="314" w:type="pct"/>
            <w:vMerge w:val="continue"/>
            <w:tcBorders>
              <w:top w:val="single" w:color="auto" w:sz="4" w:space="0"/>
              <w:left w:val="single" w:color="auto" w:sz="4" w:space="0"/>
              <w:bottom w:val="single" w:color="auto" w:sz="4" w:space="0"/>
              <w:right w:val="single" w:color="auto" w:sz="4" w:space="0"/>
            </w:tcBorders>
            <w:vAlign w:val="center"/>
          </w:tcPr>
          <w:p w14:paraId="1168405B">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677997A8">
            <w:pPr>
              <w:widowControl/>
              <w:adjustRightInd/>
              <w:spacing w:line="240" w:lineRule="auto"/>
              <w:jc w:val="center"/>
              <w:textAlignment w:val="auto"/>
              <w:rPr>
                <w:rFonts w:ascii="Arial" w:hAnsi="Arial" w:cs="Arial"/>
                <w:sz w:val="18"/>
              </w:rPr>
            </w:pPr>
            <w:r>
              <w:rPr>
                <w:rFonts w:hint="eastAsia" w:ascii="宋体" w:hAnsi="宋体" w:cs="Arial"/>
                <w:sz w:val="18"/>
              </w:rPr>
              <w:t>交通条件</w:t>
            </w:r>
          </w:p>
        </w:tc>
        <w:tc>
          <w:tcPr>
            <w:tcW w:w="553" w:type="pct"/>
            <w:tcBorders>
              <w:top w:val="nil"/>
              <w:left w:val="nil"/>
              <w:bottom w:val="single" w:color="auto" w:sz="4" w:space="0"/>
              <w:right w:val="single" w:color="auto" w:sz="4" w:space="0"/>
            </w:tcBorders>
            <w:vAlign w:val="center"/>
          </w:tcPr>
          <w:p w14:paraId="3EBBF58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BC617CD">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098BE752">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5735F214">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w:t>
            </w:r>
            <w:r>
              <w:rPr>
                <w:rFonts w:ascii="Arial" w:hAnsi="Arial" w:cs="Arial"/>
                <w:sz w:val="18"/>
                <w:szCs w:val="18"/>
              </w:rPr>
              <w:t>3</w:t>
            </w:r>
          </w:p>
        </w:tc>
        <w:tc>
          <w:tcPr>
            <w:tcW w:w="2100" w:type="pct"/>
            <w:tcBorders>
              <w:top w:val="nil"/>
              <w:left w:val="nil"/>
              <w:bottom w:val="single" w:color="auto" w:sz="4" w:space="0"/>
              <w:right w:val="single" w:color="auto" w:sz="4" w:space="0"/>
            </w:tcBorders>
            <w:vAlign w:val="center"/>
          </w:tcPr>
          <w:p w14:paraId="4B94D96F">
            <w:pPr>
              <w:widowControl/>
              <w:adjustRightInd/>
              <w:spacing w:line="240" w:lineRule="auto"/>
              <w:textAlignment w:val="auto"/>
              <w:rPr>
                <w:rFonts w:ascii="Arial" w:hAnsi="Arial" w:cs="Arial"/>
                <w:sz w:val="18"/>
                <w:szCs w:val="18"/>
              </w:rPr>
            </w:pPr>
            <w:r>
              <w:rPr>
                <w:rFonts w:hint="eastAsia" w:ascii="Arial" w:hAnsi="Arial" w:cs="Arial"/>
                <w:sz w:val="18"/>
                <w:szCs w:val="18"/>
              </w:rPr>
              <w:t>从好到差划分为好、较好、一般、较差、差五个等级</w:t>
            </w:r>
            <w:r>
              <w:rPr>
                <w:rFonts w:ascii="Arial" w:hAnsi="Arial" w:cs="Arial"/>
                <w:sz w:val="18"/>
                <w:szCs w:val="18"/>
              </w:rPr>
              <w:t>，</w:t>
            </w:r>
            <w:r>
              <w:rPr>
                <w:rFonts w:hint="eastAsia" w:ascii="Arial" w:hAnsi="Arial" w:cs="Arial"/>
                <w:sz w:val="18"/>
                <w:szCs w:val="18"/>
              </w:rPr>
              <w:t>每个等级相差</w:t>
            </w:r>
            <w:r>
              <w:rPr>
                <w:rFonts w:ascii="Arial" w:hAnsi="Arial" w:cs="Arial"/>
                <w:sz w:val="18"/>
                <w:szCs w:val="18"/>
              </w:rPr>
              <w:t>3</w:t>
            </w:r>
            <w:r>
              <w:rPr>
                <w:rFonts w:hint="eastAsia" w:ascii="Arial" w:hAnsi="Arial" w:cs="Arial"/>
                <w:sz w:val="18"/>
                <w:szCs w:val="18"/>
              </w:rPr>
              <w:t>分，</w:t>
            </w:r>
            <w:r>
              <w:rPr>
                <w:rFonts w:ascii="Arial" w:hAnsi="Arial" w:cs="Arial"/>
                <w:sz w:val="18"/>
                <w:szCs w:val="18"/>
              </w:rPr>
              <w:t>确定可比实例1、2、3该因素指数分别为103、103、</w:t>
            </w:r>
            <w:r>
              <w:rPr>
                <w:rFonts w:hint="eastAsia" w:ascii="Arial" w:hAnsi="Arial" w:cs="Arial"/>
                <w:sz w:val="18"/>
                <w:szCs w:val="18"/>
              </w:rPr>
              <w:t>10</w:t>
            </w:r>
            <w:r>
              <w:rPr>
                <w:rFonts w:ascii="Arial" w:hAnsi="Arial" w:cs="Arial"/>
                <w:sz w:val="18"/>
                <w:szCs w:val="18"/>
              </w:rPr>
              <w:t>3；</w:t>
            </w:r>
          </w:p>
        </w:tc>
      </w:tr>
      <w:tr w14:paraId="784EE395">
        <w:tblPrEx>
          <w:tblCellMar>
            <w:top w:w="0" w:type="dxa"/>
            <w:left w:w="108" w:type="dxa"/>
            <w:bottom w:w="0" w:type="dxa"/>
            <w:right w:w="108" w:type="dxa"/>
          </w:tblCellMar>
        </w:tblPrEx>
        <w:trPr>
          <w:trHeight w:val="20" w:hRule="atLeast"/>
        </w:trPr>
        <w:tc>
          <w:tcPr>
            <w:tcW w:w="314" w:type="pct"/>
            <w:vMerge w:val="continue"/>
            <w:tcBorders>
              <w:top w:val="single" w:color="auto" w:sz="4" w:space="0"/>
              <w:left w:val="single" w:color="auto" w:sz="4" w:space="0"/>
              <w:bottom w:val="single" w:color="auto" w:sz="4" w:space="0"/>
              <w:right w:val="single" w:color="auto" w:sz="4" w:space="0"/>
            </w:tcBorders>
            <w:vAlign w:val="center"/>
          </w:tcPr>
          <w:p w14:paraId="77C8EF7D">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72987F8D">
            <w:pPr>
              <w:widowControl/>
              <w:adjustRightInd/>
              <w:spacing w:line="240" w:lineRule="auto"/>
              <w:jc w:val="center"/>
              <w:textAlignment w:val="auto"/>
              <w:rPr>
                <w:rFonts w:ascii="Arial" w:hAnsi="Arial" w:cs="Arial"/>
                <w:sz w:val="18"/>
              </w:rPr>
            </w:pPr>
            <w:r>
              <w:rPr>
                <w:rFonts w:hint="eastAsia" w:ascii="宋体" w:hAnsi="宋体" w:cs="Arial"/>
                <w:sz w:val="18"/>
              </w:rPr>
              <w:t>商业设施</w:t>
            </w:r>
          </w:p>
        </w:tc>
        <w:tc>
          <w:tcPr>
            <w:tcW w:w="553" w:type="pct"/>
            <w:tcBorders>
              <w:top w:val="nil"/>
              <w:left w:val="nil"/>
              <w:bottom w:val="single" w:color="auto" w:sz="4" w:space="0"/>
              <w:right w:val="single" w:color="auto" w:sz="4" w:space="0"/>
            </w:tcBorders>
            <w:vAlign w:val="center"/>
          </w:tcPr>
          <w:p w14:paraId="5F6228DA">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53C60AEF">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6F9E678F">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AF7D901">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014CBF2D">
            <w:pPr>
              <w:widowControl/>
              <w:adjustRightInd/>
              <w:spacing w:line="240" w:lineRule="auto"/>
              <w:textAlignment w:val="auto"/>
              <w:rPr>
                <w:rFonts w:ascii="Arial" w:hAnsi="Arial" w:cs="Arial"/>
                <w:sz w:val="18"/>
                <w:szCs w:val="18"/>
              </w:rPr>
            </w:pPr>
            <w:r>
              <w:rPr>
                <w:rFonts w:hint="eastAsia" w:ascii="Arial" w:hAnsi="Arial" w:cs="Arial"/>
                <w:sz w:val="18"/>
                <w:szCs w:val="18"/>
              </w:rPr>
              <w:t>从好到差划分为好、较好、一般、较差、差五个等级</w:t>
            </w:r>
            <w:r>
              <w:rPr>
                <w:rFonts w:ascii="Arial" w:hAnsi="Arial" w:cs="Arial"/>
                <w:sz w:val="18"/>
                <w:szCs w:val="18"/>
              </w:rPr>
              <w:t>，</w:t>
            </w:r>
            <w:r>
              <w:rPr>
                <w:rFonts w:hint="eastAsia" w:ascii="Arial" w:hAnsi="Arial" w:cs="Arial"/>
                <w:sz w:val="18"/>
                <w:szCs w:val="18"/>
              </w:rPr>
              <w:t>每个等级相差</w:t>
            </w:r>
            <w:r>
              <w:rPr>
                <w:rFonts w:ascii="Arial" w:hAnsi="Arial" w:cs="Arial"/>
                <w:sz w:val="18"/>
                <w:szCs w:val="18"/>
              </w:rPr>
              <w:t>3</w:t>
            </w:r>
            <w:r>
              <w:rPr>
                <w:rFonts w:hint="eastAsia" w:ascii="Arial" w:hAnsi="Arial" w:cs="Arial"/>
                <w:sz w:val="18"/>
                <w:szCs w:val="18"/>
              </w:rPr>
              <w:t>分，</w:t>
            </w:r>
            <w:r>
              <w:rPr>
                <w:rFonts w:ascii="Arial" w:hAnsi="Arial" w:cs="Arial"/>
                <w:sz w:val="18"/>
                <w:szCs w:val="18"/>
              </w:rPr>
              <w:t>确定可比实例1、2、3该因素指数分别为100</w:t>
            </w:r>
            <w:r>
              <w:rPr>
                <w:rFonts w:hint="eastAsia" w:ascii="Arial" w:hAnsi="Arial" w:cs="Arial"/>
                <w:sz w:val="18"/>
                <w:szCs w:val="18"/>
              </w:rPr>
              <w:t>、1</w:t>
            </w:r>
            <w:r>
              <w:rPr>
                <w:rFonts w:ascii="Arial" w:hAnsi="Arial" w:cs="Arial"/>
                <w:sz w:val="18"/>
                <w:szCs w:val="18"/>
              </w:rPr>
              <w:t>00</w:t>
            </w:r>
            <w:r>
              <w:rPr>
                <w:rFonts w:hint="eastAsia" w:ascii="Arial" w:hAnsi="Arial" w:cs="Arial"/>
                <w:sz w:val="18"/>
                <w:szCs w:val="18"/>
              </w:rPr>
              <w:t>、1</w:t>
            </w:r>
            <w:r>
              <w:rPr>
                <w:rFonts w:ascii="Arial" w:hAnsi="Arial" w:cs="Arial"/>
                <w:sz w:val="18"/>
                <w:szCs w:val="18"/>
              </w:rPr>
              <w:t>00；</w:t>
            </w:r>
          </w:p>
        </w:tc>
      </w:tr>
      <w:tr w14:paraId="6A98D33C">
        <w:tblPrEx>
          <w:tblCellMar>
            <w:top w:w="0" w:type="dxa"/>
            <w:left w:w="108" w:type="dxa"/>
            <w:bottom w:w="0" w:type="dxa"/>
            <w:right w:w="108" w:type="dxa"/>
          </w:tblCellMar>
        </w:tblPrEx>
        <w:trPr>
          <w:trHeight w:val="20" w:hRule="atLeast"/>
        </w:trPr>
        <w:tc>
          <w:tcPr>
            <w:tcW w:w="314" w:type="pct"/>
            <w:vMerge w:val="continue"/>
            <w:tcBorders>
              <w:top w:val="single" w:color="auto" w:sz="4" w:space="0"/>
              <w:left w:val="single" w:color="auto" w:sz="4" w:space="0"/>
              <w:bottom w:val="single" w:color="auto" w:sz="4" w:space="0"/>
              <w:right w:val="single" w:color="auto" w:sz="4" w:space="0"/>
            </w:tcBorders>
            <w:vAlign w:val="center"/>
          </w:tcPr>
          <w:p w14:paraId="057DBADA">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4375F59E">
            <w:pPr>
              <w:widowControl/>
              <w:adjustRightInd/>
              <w:spacing w:line="240" w:lineRule="auto"/>
              <w:jc w:val="center"/>
              <w:textAlignment w:val="auto"/>
              <w:rPr>
                <w:rFonts w:ascii="Arial" w:hAnsi="Arial" w:cs="Arial"/>
                <w:sz w:val="18"/>
              </w:rPr>
            </w:pPr>
            <w:r>
              <w:rPr>
                <w:rFonts w:hint="eastAsia" w:ascii="宋体" w:hAnsi="宋体" w:cs="Arial"/>
                <w:sz w:val="18"/>
              </w:rPr>
              <w:t>自然环境</w:t>
            </w:r>
          </w:p>
        </w:tc>
        <w:tc>
          <w:tcPr>
            <w:tcW w:w="553" w:type="pct"/>
            <w:tcBorders>
              <w:top w:val="nil"/>
              <w:left w:val="nil"/>
              <w:bottom w:val="single" w:color="auto" w:sz="4" w:space="0"/>
              <w:right w:val="single" w:color="auto" w:sz="4" w:space="0"/>
            </w:tcBorders>
            <w:vAlign w:val="center"/>
          </w:tcPr>
          <w:p w14:paraId="1F5C7F9F">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3A98CCB5">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12F1FC5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686A8579">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598F5410">
            <w:pPr>
              <w:widowControl/>
              <w:adjustRightInd/>
              <w:spacing w:line="240" w:lineRule="auto"/>
              <w:textAlignment w:val="auto"/>
              <w:rPr>
                <w:rFonts w:ascii="Arial" w:hAnsi="Arial" w:cs="Arial"/>
                <w:sz w:val="18"/>
                <w:szCs w:val="18"/>
              </w:rPr>
            </w:pPr>
            <w:r>
              <w:rPr>
                <w:rFonts w:hint="eastAsia" w:ascii="Arial" w:hAnsi="Arial" w:cs="Arial"/>
                <w:sz w:val="18"/>
                <w:szCs w:val="18"/>
              </w:rPr>
              <w:t>从好到差划分为好、较好、一般、较差、差五个等级</w:t>
            </w:r>
            <w:r>
              <w:rPr>
                <w:rFonts w:ascii="Arial" w:hAnsi="Arial" w:cs="Arial"/>
                <w:sz w:val="18"/>
                <w:szCs w:val="18"/>
              </w:rPr>
              <w:t>，</w:t>
            </w:r>
            <w:r>
              <w:rPr>
                <w:rFonts w:hint="eastAsia" w:ascii="Arial" w:hAnsi="Arial" w:cs="Arial"/>
                <w:sz w:val="18"/>
                <w:szCs w:val="18"/>
              </w:rPr>
              <w:t>每个等级相差</w:t>
            </w:r>
            <w:r>
              <w:rPr>
                <w:rFonts w:ascii="Arial" w:hAnsi="Arial" w:cs="Arial"/>
                <w:sz w:val="18"/>
                <w:szCs w:val="18"/>
              </w:rPr>
              <w:t>3</w:t>
            </w:r>
            <w:r>
              <w:rPr>
                <w:rFonts w:hint="eastAsia" w:ascii="Arial" w:hAnsi="Arial" w:cs="Arial"/>
                <w:sz w:val="18"/>
                <w:szCs w:val="18"/>
              </w:rPr>
              <w:t>分，</w:t>
            </w:r>
            <w:r>
              <w:rPr>
                <w:rFonts w:ascii="Arial" w:hAnsi="Arial" w:cs="Arial"/>
                <w:sz w:val="18"/>
                <w:szCs w:val="18"/>
              </w:rPr>
              <w:t>确定可比实例1、2、3该因素指数分别为100、100、100；</w:t>
            </w:r>
          </w:p>
        </w:tc>
      </w:tr>
      <w:tr w14:paraId="434C2221">
        <w:tblPrEx>
          <w:tblCellMar>
            <w:top w:w="0" w:type="dxa"/>
            <w:left w:w="108" w:type="dxa"/>
            <w:bottom w:w="0" w:type="dxa"/>
            <w:right w:w="108" w:type="dxa"/>
          </w:tblCellMar>
        </w:tblPrEx>
        <w:trPr>
          <w:trHeight w:val="20" w:hRule="atLeast"/>
        </w:trPr>
        <w:tc>
          <w:tcPr>
            <w:tcW w:w="314" w:type="pct"/>
            <w:vMerge w:val="continue"/>
            <w:tcBorders>
              <w:top w:val="single" w:color="auto" w:sz="4" w:space="0"/>
              <w:left w:val="single" w:color="auto" w:sz="4" w:space="0"/>
              <w:bottom w:val="single" w:color="auto" w:sz="4" w:space="0"/>
              <w:right w:val="single" w:color="auto" w:sz="4" w:space="0"/>
            </w:tcBorders>
            <w:vAlign w:val="center"/>
          </w:tcPr>
          <w:p w14:paraId="03EC9472">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26077F41">
            <w:pPr>
              <w:widowControl/>
              <w:adjustRightInd/>
              <w:spacing w:line="240" w:lineRule="auto"/>
              <w:jc w:val="center"/>
              <w:textAlignment w:val="auto"/>
              <w:rPr>
                <w:rFonts w:ascii="Arial" w:hAnsi="Arial" w:cs="Arial"/>
                <w:b/>
                <w:sz w:val="18"/>
                <w:szCs w:val="18"/>
              </w:rPr>
            </w:pPr>
            <w:r>
              <w:rPr>
                <w:rFonts w:hint="eastAsia" w:ascii="宋体" w:hAnsi="宋体" w:cs="Arial"/>
                <w:sz w:val="18"/>
              </w:rPr>
              <w:t>公共配套</w:t>
            </w:r>
          </w:p>
        </w:tc>
        <w:tc>
          <w:tcPr>
            <w:tcW w:w="553" w:type="pct"/>
            <w:tcBorders>
              <w:top w:val="nil"/>
              <w:left w:val="nil"/>
              <w:bottom w:val="single" w:color="auto" w:sz="4" w:space="0"/>
              <w:right w:val="single" w:color="auto" w:sz="4" w:space="0"/>
            </w:tcBorders>
            <w:vAlign w:val="center"/>
          </w:tcPr>
          <w:p w14:paraId="08A9B00A">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70D337C9">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72101726">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6E54F3D4">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2100" w:type="pct"/>
            <w:tcBorders>
              <w:top w:val="nil"/>
              <w:left w:val="nil"/>
              <w:bottom w:val="single" w:color="auto" w:sz="4" w:space="0"/>
              <w:right w:val="single" w:color="auto" w:sz="4" w:space="0"/>
            </w:tcBorders>
            <w:vAlign w:val="center"/>
          </w:tcPr>
          <w:p w14:paraId="4C1B02ED">
            <w:pPr>
              <w:widowControl/>
              <w:adjustRightInd/>
              <w:spacing w:line="240" w:lineRule="auto"/>
              <w:textAlignment w:val="auto"/>
              <w:rPr>
                <w:rFonts w:ascii="Arial" w:hAnsi="Arial" w:cs="Arial"/>
                <w:sz w:val="18"/>
                <w:szCs w:val="18"/>
              </w:rPr>
            </w:pPr>
            <w:r>
              <w:rPr>
                <w:rFonts w:hint="eastAsia" w:ascii="Arial" w:hAnsi="Arial" w:cs="Arial"/>
                <w:sz w:val="18"/>
                <w:szCs w:val="18"/>
              </w:rPr>
              <w:t>从好到差划分为齐全、较齐全、一般、较不齐全、不齐全五个等级</w:t>
            </w:r>
            <w:r>
              <w:rPr>
                <w:rFonts w:ascii="Arial" w:hAnsi="Arial" w:cs="Arial"/>
                <w:sz w:val="18"/>
                <w:szCs w:val="18"/>
              </w:rPr>
              <w:t>，</w:t>
            </w:r>
            <w:r>
              <w:rPr>
                <w:rFonts w:hint="eastAsia" w:ascii="Arial" w:hAnsi="Arial" w:cs="Arial"/>
                <w:sz w:val="18"/>
                <w:szCs w:val="18"/>
              </w:rPr>
              <w:t>每个等级相差</w:t>
            </w:r>
            <w:r>
              <w:rPr>
                <w:rFonts w:ascii="Arial" w:hAnsi="Arial" w:cs="Arial"/>
                <w:sz w:val="18"/>
                <w:szCs w:val="18"/>
              </w:rPr>
              <w:t>3</w:t>
            </w:r>
            <w:r>
              <w:rPr>
                <w:rFonts w:hint="eastAsia" w:ascii="Arial" w:hAnsi="Arial" w:cs="Arial"/>
                <w:sz w:val="18"/>
                <w:szCs w:val="18"/>
              </w:rPr>
              <w:t>分，</w:t>
            </w:r>
            <w:r>
              <w:rPr>
                <w:rFonts w:ascii="Arial" w:hAnsi="Arial" w:cs="Arial"/>
                <w:sz w:val="18"/>
                <w:szCs w:val="18"/>
              </w:rPr>
              <w:t>确定可比实例1、2、3该因素指数分别为103、103、103；</w:t>
            </w:r>
          </w:p>
        </w:tc>
      </w:tr>
      <w:tr w14:paraId="30912585">
        <w:tblPrEx>
          <w:tblCellMar>
            <w:top w:w="0" w:type="dxa"/>
            <w:left w:w="108" w:type="dxa"/>
            <w:bottom w:w="0" w:type="dxa"/>
            <w:right w:w="108" w:type="dxa"/>
          </w:tblCellMar>
        </w:tblPrEx>
        <w:trPr>
          <w:trHeight w:val="20" w:hRule="atLeast"/>
        </w:trPr>
        <w:tc>
          <w:tcPr>
            <w:tcW w:w="314" w:type="pct"/>
            <w:vMerge w:val="restart"/>
            <w:tcBorders>
              <w:top w:val="single" w:color="auto" w:sz="4" w:space="0"/>
              <w:left w:val="single" w:color="auto" w:sz="4" w:space="0"/>
              <w:bottom w:val="single" w:color="auto" w:sz="4" w:space="0"/>
              <w:right w:val="single" w:color="auto" w:sz="4" w:space="0"/>
            </w:tcBorders>
            <w:vAlign w:val="center"/>
          </w:tcPr>
          <w:p w14:paraId="5AC61245">
            <w:pPr>
              <w:widowControl/>
              <w:adjustRightInd/>
              <w:spacing w:line="240" w:lineRule="auto"/>
              <w:jc w:val="center"/>
              <w:textAlignment w:val="auto"/>
              <w:rPr>
                <w:rFonts w:ascii="Arial" w:hAnsi="Arial" w:cs="Arial"/>
                <w:sz w:val="18"/>
                <w:szCs w:val="18"/>
              </w:rPr>
            </w:pPr>
            <w:r>
              <w:rPr>
                <w:rFonts w:ascii="Arial" w:hAnsi="Arial" w:cs="Arial"/>
                <w:sz w:val="18"/>
                <w:szCs w:val="18"/>
              </w:rPr>
              <w:t>实物</w:t>
            </w:r>
          </w:p>
          <w:p w14:paraId="7BB7C970">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375" w:type="pct"/>
            <w:tcBorders>
              <w:top w:val="nil"/>
              <w:left w:val="nil"/>
              <w:bottom w:val="single" w:color="auto" w:sz="4" w:space="0"/>
              <w:right w:val="single" w:color="auto" w:sz="4" w:space="0"/>
            </w:tcBorders>
            <w:vAlign w:val="center"/>
          </w:tcPr>
          <w:p w14:paraId="54B7CEDD">
            <w:pPr>
              <w:widowControl/>
              <w:adjustRightInd/>
              <w:spacing w:line="240" w:lineRule="auto"/>
              <w:jc w:val="center"/>
              <w:textAlignment w:val="auto"/>
              <w:rPr>
                <w:rFonts w:ascii="Arial" w:hAnsi="Arial" w:cs="Arial"/>
                <w:sz w:val="18"/>
              </w:rPr>
            </w:pPr>
            <w:r>
              <w:rPr>
                <w:rFonts w:hint="eastAsia" w:ascii="Arial" w:hAnsi="Arial" w:cs="Arial"/>
                <w:sz w:val="18"/>
              </w:rPr>
              <w:t>物业服务</w:t>
            </w:r>
          </w:p>
        </w:tc>
        <w:tc>
          <w:tcPr>
            <w:tcW w:w="553" w:type="pct"/>
            <w:tcBorders>
              <w:top w:val="nil"/>
              <w:left w:val="nil"/>
              <w:bottom w:val="single" w:color="auto" w:sz="4" w:space="0"/>
              <w:right w:val="single" w:color="auto" w:sz="4" w:space="0"/>
            </w:tcBorders>
            <w:vAlign w:val="center"/>
          </w:tcPr>
          <w:p w14:paraId="2A87D3D2">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37D5E97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46A73B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2E511A3">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48E266DE">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物业服务</w:t>
            </w:r>
            <w:r>
              <w:rPr>
                <w:rFonts w:ascii="Arial" w:hAnsi="Arial" w:cs="Arial"/>
                <w:sz w:val="18"/>
                <w:szCs w:val="18"/>
              </w:rPr>
              <w:t>对其价值的影响，</w:t>
            </w:r>
            <w:r>
              <w:rPr>
                <w:rFonts w:hint="eastAsia" w:ascii="Arial" w:hAnsi="Arial" w:cs="Arial"/>
                <w:sz w:val="18"/>
                <w:szCs w:val="18"/>
              </w:rPr>
              <w:t>从好到差划分为有专业物业公司、有物业公司、无物业公司三个等级。</w:t>
            </w:r>
            <w:r>
              <w:rPr>
                <w:rFonts w:ascii="Arial" w:hAnsi="Arial" w:cs="Arial"/>
                <w:sz w:val="18"/>
                <w:szCs w:val="18"/>
              </w:rPr>
              <w:t>以估价对象该因素指数为100，各可比实例与之相比，确定可比实例1、2、3该因素指数分别为100、100</w:t>
            </w:r>
            <w:r>
              <w:rPr>
                <w:rFonts w:hint="eastAsia" w:ascii="Arial" w:hAnsi="Arial" w:cs="Arial"/>
                <w:sz w:val="18"/>
                <w:szCs w:val="18"/>
              </w:rPr>
              <w:t>、1</w:t>
            </w:r>
            <w:r>
              <w:rPr>
                <w:rFonts w:ascii="Arial" w:hAnsi="Arial" w:cs="Arial"/>
                <w:sz w:val="18"/>
                <w:szCs w:val="18"/>
              </w:rPr>
              <w:t>00；</w:t>
            </w:r>
          </w:p>
        </w:tc>
      </w:tr>
      <w:tr w14:paraId="3796BBD7">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4B59351C">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38574C30">
            <w:pPr>
              <w:widowControl/>
              <w:adjustRightInd/>
              <w:spacing w:line="240" w:lineRule="auto"/>
              <w:jc w:val="center"/>
              <w:textAlignment w:val="auto"/>
              <w:rPr>
                <w:rFonts w:ascii="Arial" w:hAnsi="Arial" w:cs="Arial"/>
                <w:sz w:val="18"/>
              </w:rPr>
            </w:pPr>
            <w:r>
              <w:rPr>
                <w:rFonts w:hint="eastAsia" w:ascii="Arial" w:hAnsi="Arial" w:cs="Arial"/>
                <w:sz w:val="18"/>
              </w:rPr>
              <w:t>小区环境</w:t>
            </w:r>
          </w:p>
        </w:tc>
        <w:tc>
          <w:tcPr>
            <w:tcW w:w="553" w:type="pct"/>
            <w:tcBorders>
              <w:top w:val="nil"/>
              <w:left w:val="nil"/>
              <w:bottom w:val="single" w:color="auto" w:sz="4" w:space="0"/>
              <w:right w:val="single" w:color="auto" w:sz="4" w:space="0"/>
            </w:tcBorders>
            <w:vAlign w:val="center"/>
          </w:tcPr>
          <w:p w14:paraId="08129F3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D71AE6E">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553" w:type="pct"/>
            <w:tcBorders>
              <w:top w:val="nil"/>
              <w:left w:val="nil"/>
              <w:bottom w:val="single" w:color="auto" w:sz="4" w:space="0"/>
              <w:right w:val="single" w:color="auto" w:sz="4" w:space="0"/>
            </w:tcBorders>
            <w:vAlign w:val="center"/>
          </w:tcPr>
          <w:p w14:paraId="1D3DA26E">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608D2216">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216194D0">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小区环境</w:t>
            </w:r>
            <w:r>
              <w:rPr>
                <w:rFonts w:ascii="Arial" w:hAnsi="Arial" w:cs="Arial"/>
                <w:sz w:val="18"/>
                <w:szCs w:val="18"/>
              </w:rPr>
              <w:t>对其价值的影响，</w:t>
            </w:r>
            <w:r>
              <w:rPr>
                <w:rFonts w:hint="eastAsia" w:ascii="Arial" w:hAnsi="Arial" w:cs="Arial"/>
                <w:sz w:val="18"/>
                <w:szCs w:val="18"/>
              </w:rPr>
              <w:t>从好到差划分为绿化率≥35%为好，35％&gt;绿化率≥30%为较好，30%&gt;绿化率≥25%&gt;为一般，25%&gt;绿化率≥20%为较差，绿化率&lt;20%为差五个等级。</w:t>
            </w:r>
            <w:r>
              <w:rPr>
                <w:rFonts w:ascii="Arial" w:hAnsi="Arial" w:cs="Arial"/>
                <w:sz w:val="18"/>
                <w:szCs w:val="18"/>
              </w:rPr>
              <w:t>以估价对象该因素指数为100，各可比实例与之相比，确定可比实例1、2、3该因素指数分别为</w:t>
            </w:r>
            <w:r>
              <w:rPr>
                <w:rFonts w:hint="eastAsia" w:ascii="Arial" w:hAnsi="Arial" w:cs="Arial"/>
                <w:sz w:val="18"/>
                <w:szCs w:val="18"/>
              </w:rPr>
              <w:t>10</w:t>
            </w:r>
            <w:r>
              <w:rPr>
                <w:rFonts w:ascii="Arial" w:hAnsi="Arial" w:cs="Arial"/>
                <w:sz w:val="18"/>
                <w:szCs w:val="18"/>
              </w:rPr>
              <w:t>0</w:t>
            </w:r>
            <w:r>
              <w:rPr>
                <w:rFonts w:hint="eastAsia" w:ascii="Arial" w:hAnsi="Arial" w:cs="Arial"/>
                <w:sz w:val="18"/>
                <w:szCs w:val="18"/>
              </w:rPr>
              <w:t>、100、100</w:t>
            </w:r>
            <w:r>
              <w:rPr>
                <w:rFonts w:ascii="Arial" w:hAnsi="Arial" w:cs="Arial"/>
                <w:sz w:val="18"/>
                <w:szCs w:val="18"/>
              </w:rPr>
              <w:t>；</w:t>
            </w:r>
          </w:p>
        </w:tc>
      </w:tr>
      <w:tr w14:paraId="61EEDCCB">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2CB0FD80">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1CF9DB8A">
            <w:pPr>
              <w:widowControl/>
              <w:adjustRightInd/>
              <w:spacing w:line="240" w:lineRule="auto"/>
              <w:jc w:val="center"/>
              <w:textAlignment w:val="auto"/>
              <w:rPr>
                <w:rFonts w:ascii="Arial" w:hAnsi="Arial" w:cs="Arial"/>
                <w:sz w:val="18"/>
              </w:rPr>
            </w:pPr>
            <w:r>
              <w:rPr>
                <w:rFonts w:hint="eastAsia" w:ascii="Arial" w:hAnsi="Arial" w:cs="Arial"/>
                <w:sz w:val="18"/>
              </w:rPr>
              <w:t>配套设施</w:t>
            </w:r>
          </w:p>
        </w:tc>
        <w:tc>
          <w:tcPr>
            <w:tcW w:w="553" w:type="pct"/>
            <w:tcBorders>
              <w:top w:val="nil"/>
              <w:left w:val="nil"/>
              <w:bottom w:val="single" w:color="auto" w:sz="4" w:space="0"/>
              <w:right w:val="single" w:color="auto" w:sz="4" w:space="0"/>
            </w:tcBorders>
            <w:vAlign w:val="center"/>
          </w:tcPr>
          <w:p w14:paraId="3867EDE9">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061EE70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6A90BF4B">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E078759">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11E038C7">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配套设施</w:t>
            </w:r>
            <w:r>
              <w:rPr>
                <w:rFonts w:ascii="Arial" w:hAnsi="Arial" w:cs="Arial"/>
                <w:sz w:val="18"/>
                <w:szCs w:val="18"/>
              </w:rPr>
              <w:t>对其价值的影响，</w:t>
            </w:r>
            <w:r>
              <w:rPr>
                <w:rFonts w:hint="eastAsia" w:ascii="Arial" w:hAnsi="Arial" w:cs="Arial"/>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以估价对象该因素指数为100，各可比实例与之相比，确定可比实例1、2、3该因素指数分别为100、100、100；</w:t>
            </w:r>
          </w:p>
        </w:tc>
      </w:tr>
      <w:tr w14:paraId="366E33D7">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239941EC">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4982BCF9">
            <w:pPr>
              <w:widowControl/>
              <w:adjustRightInd/>
              <w:spacing w:line="240" w:lineRule="auto"/>
              <w:jc w:val="center"/>
              <w:textAlignment w:val="auto"/>
              <w:rPr>
                <w:rFonts w:ascii="Arial" w:hAnsi="Arial" w:cs="Arial"/>
                <w:sz w:val="18"/>
              </w:rPr>
            </w:pPr>
            <w:r>
              <w:rPr>
                <w:rFonts w:hint="eastAsia" w:ascii="Arial" w:hAnsi="Arial" w:cs="Arial"/>
                <w:sz w:val="18"/>
              </w:rPr>
              <w:t>居住管理</w:t>
            </w:r>
          </w:p>
        </w:tc>
        <w:tc>
          <w:tcPr>
            <w:tcW w:w="553" w:type="pct"/>
            <w:tcBorders>
              <w:top w:val="nil"/>
              <w:left w:val="nil"/>
              <w:bottom w:val="single" w:color="auto" w:sz="4" w:space="0"/>
              <w:right w:val="single" w:color="auto" w:sz="4" w:space="0"/>
            </w:tcBorders>
            <w:vAlign w:val="center"/>
          </w:tcPr>
          <w:p w14:paraId="379865D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6C86AFBB">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06108A9B">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3A1FE8D">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38AF4170">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居住</w:t>
            </w:r>
            <w:r>
              <w:rPr>
                <w:rFonts w:hint="eastAsia" w:hAnsi="仿宋"/>
                <w:spacing w:val="-5"/>
                <w:sz w:val="18"/>
              </w:rPr>
              <w:t>管理</w:t>
            </w:r>
            <w:r>
              <w:rPr>
                <w:rFonts w:hAnsi="仿宋"/>
                <w:spacing w:val="-5"/>
                <w:sz w:val="18"/>
              </w:rPr>
              <w:t>对其价值的影响，</w:t>
            </w:r>
            <w:r>
              <w:rPr>
                <w:rFonts w:hint="eastAsia" w:hAnsi="仿宋"/>
                <w:spacing w:val="-5"/>
                <w:sz w:val="18"/>
              </w:rPr>
              <w:t>从好到差划分为配备管理人员，数量充足，居住安全性好。</w:t>
            </w:r>
            <w:r>
              <w:rPr>
                <w:rFonts w:hAnsi="仿宋"/>
                <w:spacing w:val="-5"/>
                <w:sz w:val="18"/>
              </w:rPr>
              <w:t>有管理人员配置</w:t>
            </w:r>
            <w:r>
              <w:rPr>
                <w:rFonts w:hint="eastAsia" w:hAnsi="仿宋"/>
                <w:spacing w:val="-5"/>
                <w:sz w:val="18"/>
              </w:rPr>
              <w:t>，</w:t>
            </w:r>
            <w:r>
              <w:rPr>
                <w:rFonts w:hAnsi="仿宋"/>
                <w:spacing w:val="-5"/>
                <w:sz w:val="18"/>
              </w:rPr>
              <w:t>房屋住户均有备案、有管理人员配置</w:t>
            </w:r>
            <w:r>
              <w:rPr>
                <w:rFonts w:hint="eastAsia" w:hAnsi="仿宋"/>
                <w:spacing w:val="-5"/>
                <w:sz w:val="18"/>
              </w:rPr>
              <w:t>，</w:t>
            </w:r>
            <w:r>
              <w:rPr>
                <w:rFonts w:hAnsi="仿宋"/>
                <w:spacing w:val="-5"/>
                <w:sz w:val="18"/>
              </w:rPr>
              <w:t>房屋住户备案较少</w:t>
            </w:r>
            <w:r>
              <w:rPr>
                <w:rFonts w:hint="eastAsia" w:hAnsi="仿宋"/>
                <w:spacing w:val="-5"/>
                <w:sz w:val="18"/>
              </w:rPr>
              <w:t>、无</w:t>
            </w:r>
            <w:r>
              <w:rPr>
                <w:rFonts w:hAnsi="仿宋"/>
                <w:spacing w:val="-5"/>
                <w:sz w:val="18"/>
              </w:rPr>
              <w:t>管理人员配置</w:t>
            </w:r>
            <w:r>
              <w:rPr>
                <w:rFonts w:hint="eastAsia" w:hAnsi="仿宋"/>
                <w:spacing w:val="-5"/>
                <w:sz w:val="18"/>
              </w:rPr>
              <w:t>三个等级。</w:t>
            </w:r>
            <w:r>
              <w:rPr>
                <w:rFonts w:hAnsi="仿宋"/>
                <w:spacing w:val="-5"/>
                <w:sz w:val="18"/>
              </w:rPr>
              <w:t>以估价对象该因</w:t>
            </w:r>
            <w:r>
              <w:rPr>
                <w:rFonts w:ascii="Arial" w:hAnsi="Arial" w:cs="Arial"/>
                <w:sz w:val="18"/>
                <w:szCs w:val="18"/>
              </w:rPr>
              <w:t>素指数为100，各可比实例与之相比，确定可比实例1、2、3该因素指数分别为100</w:t>
            </w:r>
            <w:r>
              <w:rPr>
                <w:rFonts w:hint="eastAsia" w:ascii="Arial" w:hAnsi="Arial" w:cs="Arial"/>
                <w:sz w:val="18"/>
                <w:szCs w:val="18"/>
              </w:rPr>
              <w:t>、</w:t>
            </w:r>
            <w:r>
              <w:rPr>
                <w:rFonts w:ascii="Arial" w:hAnsi="Arial" w:cs="Arial"/>
                <w:sz w:val="18"/>
                <w:szCs w:val="18"/>
              </w:rPr>
              <w:t>100</w:t>
            </w:r>
            <w:r>
              <w:rPr>
                <w:rFonts w:hint="eastAsia" w:ascii="Arial" w:hAnsi="Arial" w:cs="Arial"/>
                <w:sz w:val="18"/>
                <w:szCs w:val="18"/>
              </w:rPr>
              <w:t>、</w:t>
            </w:r>
            <w:r>
              <w:rPr>
                <w:rFonts w:ascii="Arial" w:hAnsi="Arial" w:cs="Arial"/>
                <w:sz w:val="18"/>
                <w:szCs w:val="18"/>
              </w:rPr>
              <w:t>100；</w:t>
            </w:r>
          </w:p>
        </w:tc>
      </w:tr>
      <w:tr w14:paraId="454D97DE">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3CC783E4">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4D1B91ED">
            <w:pPr>
              <w:widowControl/>
              <w:adjustRightInd/>
              <w:spacing w:line="240" w:lineRule="auto"/>
              <w:jc w:val="center"/>
              <w:textAlignment w:val="auto"/>
              <w:rPr>
                <w:rFonts w:ascii="宋体" w:hAnsi="宋体" w:cs="Arial"/>
                <w:sz w:val="18"/>
              </w:rPr>
            </w:pPr>
            <w:r>
              <w:rPr>
                <w:rFonts w:hint="eastAsia" w:ascii="Arial" w:hAnsi="Arial" w:cs="Arial"/>
                <w:sz w:val="18"/>
              </w:rPr>
              <w:t>朝向</w:t>
            </w:r>
          </w:p>
        </w:tc>
        <w:tc>
          <w:tcPr>
            <w:tcW w:w="553" w:type="pct"/>
            <w:tcBorders>
              <w:top w:val="nil"/>
              <w:left w:val="nil"/>
              <w:bottom w:val="single" w:color="auto" w:sz="4" w:space="0"/>
              <w:right w:val="single" w:color="auto" w:sz="4" w:space="0"/>
            </w:tcBorders>
            <w:vAlign w:val="center"/>
          </w:tcPr>
          <w:p w14:paraId="35BA119B">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3E423F5A">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0E852395">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4B2D456">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7B88AC79">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朝向</w:t>
            </w:r>
            <w:r>
              <w:rPr>
                <w:rFonts w:ascii="Arial" w:hAnsi="Arial" w:cs="Arial"/>
                <w:sz w:val="18"/>
                <w:szCs w:val="18"/>
              </w:rPr>
              <w:t>对其价值的影响，</w:t>
            </w:r>
            <w:r>
              <w:rPr>
                <w:rFonts w:hint="eastAsia" w:ascii="Arial" w:hAnsi="Arial" w:cs="Arial"/>
                <w:sz w:val="18"/>
                <w:szCs w:val="18"/>
              </w:rPr>
              <w:t>从好到差划分为好、较好、一般、较差、差五个等级。南北通透，多数房间、通风、采光好，好；朝向较好，能保证较长时间的采光，通风较好，较好；</w:t>
            </w:r>
            <w:r>
              <w:rPr>
                <w:rFonts w:hint="eastAsia" w:ascii="宋体" w:hAnsi="宋体" w:cs="Arial"/>
                <w:sz w:val="18"/>
              </w:rPr>
              <w:t>朝向一般，能保证一定时间的采光，通风一般，一般</w:t>
            </w:r>
            <w:r>
              <w:rPr>
                <w:rFonts w:hint="eastAsia" w:ascii="Arial" w:hAnsi="Arial" w:cs="Arial"/>
                <w:sz w:val="18"/>
                <w:szCs w:val="18"/>
              </w:rPr>
              <w:t>；采光时间较短、通风不良，较差；没有采光、不通风，差。</w:t>
            </w:r>
            <w:r>
              <w:rPr>
                <w:rFonts w:ascii="Arial" w:hAnsi="Arial" w:cs="Arial"/>
                <w:sz w:val="18"/>
                <w:szCs w:val="18"/>
              </w:rPr>
              <w:t>以估价对象该因素指数为100，各可比实例与之相比，确定可比实例1、2、3该因素指数分别为100</w:t>
            </w:r>
            <w:r>
              <w:rPr>
                <w:rFonts w:hint="eastAsia" w:ascii="Arial" w:hAnsi="Arial" w:cs="Arial"/>
                <w:sz w:val="18"/>
                <w:szCs w:val="18"/>
              </w:rPr>
              <w:t>、1</w:t>
            </w:r>
            <w:r>
              <w:rPr>
                <w:rFonts w:ascii="Arial" w:hAnsi="Arial" w:cs="Arial"/>
                <w:sz w:val="18"/>
                <w:szCs w:val="18"/>
              </w:rPr>
              <w:t>00</w:t>
            </w:r>
            <w:r>
              <w:rPr>
                <w:rFonts w:hint="eastAsia" w:ascii="Arial" w:hAnsi="Arial" w:cs="Arial"/>
                <w:sz w:val="18"/>
                <w:szCs w:val="18"/>
              </w:rPr>
              <w:t>、10</w:t>
            </w:r>
            <w:r>
              <w:rPr>
                <w:rFonts w:ascii="Arial" w:hAnsi="Arial" w:cs="Arial"/>
                <w:sz w:val="18"/>
                <w:szCs w:val="18"/>
              </w:rPr>
              <w:t>0；</w:t>
            </w:r>
          </w:p>
        </w:tc>
      </w:tr>
      <w:tr w14:paraId="2F698402">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4CC7E781">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2C09211F">
            <w:pPr>
              <w:widowControl/>
              <w:adjustRightInd/>
              <w:spacing w:line="240" w:lineRule="auto"/>
              <w:jc w:val="center"/>
              <w:textAlignment w:val="auto"/>
              <w:rPr>
                <w:rFonts w:ascii="Arial" w:hAnsi="Arial" w:cs="Arial"/>
                <w:sz w:val="18"/>
              </w:rPr>
            </w:pPr>
            <w:r>
              <w:rPr>
                <w:rFonts w:hint="eastAsia" w:ascii="Arial" w:hAnsi="Arial" w:cs="Arial"/>
                <w:sz w:val="18"/>
              </w:rPr>
              <w:t>建筑类型</w:t>
            </w:r>
          </w:p>
        </w:tc>
        <w:tc>
          <w:tcPr>
            <w:tcW w:w="553" w:type="pct"/>
            <w:tcBorders>
              <w:top w:val="nil"/>
              <w:left w:val="nil"/>
              <w:bottom w:val="single" w:color="auto" w:sz="4" w:space="0"/>
              <w:right w:val="single" w:color="auto" w:sz="4" w:space="0"/>
            </w:tcBorders>
            <w:vAlign w:val="center"/>
          </w:tcPr>
          <w:p w14:paraId="75487342">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777A926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344E6031">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3DCD0042">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2100" w:type="pct"/>
            <w:tcBorders>
              <w:top w:val="nil"/>
              <w:left w:val="nil"/>
              <w:bottom w:val="single" w:color="auto" w:sz="4" w:space="0"/>
              <w:right w:val="single" w:color="auto" w:sz="4" w:space="0"/>
            </w:tcBorders>
            <w:vAlign w:val="center"/>
          </w:tcPr>
          <w:p w14:paraId="7C8FB040">
            <w:pPr>
              <w:widowControl/>
              <w:adjustRightInd/>
              <w:spacing w:line="240" w:lineRule="auto"/>
              <w:textAlignment w:val="auto"/>
              <w:rPr>
                <w:rFonts w:ascii="Arial" w:hAnsi="Arial" w:cs="Arial"/>
                <w:sz w:val="18"/>
                <w:szCs w:val="18"/>
              </w:rPr>
            </w:pPr>
            <w:r>
              <w:rPr>
                <w:rFonts w:ascii="Arial" w:hAnsi="Arial" w:cs="Arial"/>
                <w:sz w:val="18"/>
                <w:szCs w:val="18"/>
              </w:rPr>
              <w:t>根据建筑类型对其价值的影响，分多层板楼、高层板楼、</w:t>
            </w:r>
            <w:r>
              <w:rPr>
                <w:rFonts w:hint="eastAsia" w:ascii="Arial" w:hAnsi="Arial" w:cs="Arial"/>
                <w:sz w:val="18"/>
                <w:szCs w:val="18"/>
              </w:rPr>
              <w:t>板塔结合</w:t>
            </w:r>
            <w:r>
              <w:rPr>
                <w:rFonts w:ascii="Arial" w:hAnsi="Arial" w:cs="Arial"/>
                <w:sz w:val="18"/>
                <w:szCs w:val="18"/>
              </w:rPr>
              <w:t>、高层塔楼</w:t>
            </w:r>
            <w:r>
              <w:rPr>
                <w:rFonts w:hint="eastAsia" w:ascii="Arial" w:hAnsi="Arial" w:cs="Arial"/>
                <w:sz w:val="18"/>
                <w:szCs w:val="18"/>
              </w:rPr>
              <w:t>四</w:t>
            </w:r>
            <w:r>
              <w:rPr>
                <w:rFonts w:ascii="Arial" w:hAnsi="Arial" w:cs="Arial"/>
                <w:sz w:val="18"/>
                <w:szCs w:val="18"/>
              </w:rPr>
              <w:t>个等级。以估价对象该因素指数为100，各可比实例与之相比，确定可比实例1、2、3该因素指数分别为</w:t>
            </w:r>
            <w:r>
              <w:rPr>
                <w:rFonts w:hint="eastAsia" w:ascii="Arial" w:hAnsi="Arial" w:cs="Arial"/>
                <w:sz w:val="18"/>
                <w:szCs w:val="18"/>
              </w:rPr>
              <w:t>10</w:t>
            </w:r>
            <w:r>
              <w:rPr>
                <w:rFonts w:ascii="Arial" w:hAnsi="Arial" w:cs="Arial"/>
                <w:sz w:val="18"/>
                <w:szCs w:val="18"/>
              </w:rPr>
              <w:t>0</w:t>
            </w:r>
            <w:r>
              <w:rPr>
                <w:rFonts w:hint="eastAsia" w:ascii="Arial" w:hAnsi="Arial" w:cs="Arial"/>
                <w:sz w:val="18"/>
                <w:szCs w:val="18"/>
              </w:rPr>
              <w:t>、103、10</w:t>
            </w:r>
            <w:r>
              <w:rPr>
                <w:rFonts w:ascii="Arial" w:hAnsi="Arial" w:cs="Arial"/>
                <w:sz w:val="18"/>
                <w:szCs w:val="18"/>
              </w:rPr>
              <w:t>3；</w:t>
            </w:r>
          </w:p>
        </w:tc>
      </w:tr>
      <w:tr w14:paraId="39E7E18E">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0C263AA6">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31A4B990">
            <w:pPr>
              <w:widowControl/>
              <w:adjustRightInd/>
              <w:spacing w:line="240" w:lineRule="auto"/>
              <w:jc w:val="center"/>
              <w:textAlignment w:val="auto"/>
              <w:rPr>
                <w:rFonts w:ascii="Arial" w:hAnsi="Arial" w:cs="Arial"/>
                <w:sz w:val="18"/>
              </w:rPr>
            </w:pPr>
            <w:r>
              <w:rPr>
                <w:rFonts w:hint="eastAsia" w:ascii="Arial" w:hAnsi="Arial" w:cs="Arial"/>
                <w:sz w:val="18"/>
              </w:rPr>
              <w:t>是否有电梯</w:t>
            </w:r>
          </w:p>
        </w:tc>
        <w:tc>
          <w:tcPr>
            <w:tcW w:w="553" w:type="pct"/>
            <w:tcBorders>
              <w:top w:val="nil"/>
              <w:left w:val="nil"/>
              <w:bottom w:val="single" w:color="auto" w:sz="4" w:space="0"/>
              <w:right w:val="single" w:color="auto" w:sz="4" w:space="0"/>
            </w:tcBorders>
            <w:vAlign w:val="center"/>
          </w:tcPr>
          <w:p w14:paraId="176F9930">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w:t>
            </w:r>
            <w:r>
              <w:rPr>
                <w:rFonts w:ascii="Arial" w:hAnsi="Arial" w:cs="Arial"/>
                <w:sz w:val="18"/>
                <w:szCs w:val="18"/>
              </w:rPr>
              <w:t>00</w:t>
            </w:r>
          </w:p>
        </w:tc>
        <w:tc>
          <w:tcPr>
            <w:tcW w:w="553" w:type="pct"/>
            <w:tcBorders>
              <w:top w:val="nil"/>
              <w:left w:val="nil"/>
              <w:bottom w:val="single" w:color="auto" w:sz="4" w:space="0"/>
              <w:right w:val="single" w:color="auto" w:sz="4" w:space="0"/>
            </w:tcBorders>
            <w:vAlign w:val="center"/>
          </w:tcPr>
          <w:p w14:paraId="2F54920B">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w:t>
            </w:r>
            <w:r>
              <w:rPr>
                <w:rFonts w:ascii="Arial" w:hAnsi="Arial" w:cs="Arial"/>
                <w:sz w:val="18"/>
                <w:szCs w:val="18"/>
              </w:rPr>
              <w:t>00</w:t>
            </w:r>
          </w:p>
        </w:tc>
        <w:tc>
          <w:tcPr>
            <w:tcW w:w="553" w:type="pct"/>
            <w:tcBorders>
              <w:top w:val="nil"/>
              <w:left w:val="nil"/>
              <w:bottom w:val="single" w:color="auto" w:sz="4" w:space="0"/>
              <w:right w:val="single" w:color="auto" w:sz="4" w:space="0"/>
            </w:tcBorders>
            <w:vAlign w:val="center"/>
          </w:tcPr>
          <w:p w14:paraId="5A736E09">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9</w:t>
            </w:r>
            <w:r>
              <w:rPr>
                <w:rFonts w:ascii="Arial" w:hAnsi="Arial" w:cs="Arial"/>
                <w:sz w:val="18"/>
                <w:szCs w:val="18"/>
              </w:rPr>
              <w:t>8</w:t>
            </w:r>
          </w:p>
        </w:tc>
        <w:tc>
          <w:tcPr>
            <w:tcW w:w="553" w:type="pct"/>
            <w:tcBorders>
              <w:top w:val="nil"/>
              <w:left w:val="nil"/>
              <w:bottom w:val="single" w:color="auto" w:sz="4" w:space="0"/>
              <w:right w:val="single" w:color="auto" w:sz="4" w:space="0"/>
            </w:tcBorders>
            <w:vAlign w:val="center"/>
          </w:tcPr>
          <w:p w14:paraId="19513866">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9</w:t>
            </w:r>
            <w:r>
              <w:rPr>
                <w:rFonts w:ascii="Arial" w:hAnsi="Arial" w:cs="Arial"/>
                <w:sz w:val="18"/>
                <w:szCs w:val="18"/>
              </w:rPr>
              <w:t>8</w:t>
            </w:r>
          </w:p>
        </w:tc>
        <w:tc>
          <w:tcPr>
            <w:tcW w:w="2100" w:type="pct"/>
            <w:tcBorders>
              <w:top w:val="nil"/>
              <w:left w:val="nil"/>
              <w:bottom w:val="single" w:color="auto" w:sz="4" w:space="0"/>
              <w:right w:val="single" w:color="auto" w:sz="4" w:space="0"/>
            </w:tcBorders>
            <w:vAlign w:val="center"/>
          </w:tcPr>
          <w:p w14:paraId="5BED4E76">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rPr>
              <w:t>是否有电梯</w:t>
            </w:r>
            <w:r>
              <w:rPr>
                <w:rFonts w:ascii="Arial" w:hAnsi="Arial" w:cs="Arial"/>
                <w:sz w:val="18"/>
                <w:szCs w:val="18"/>
              </w:rPr>
              <w:t>对其价值的影响。以估价对象该因素指数为100，各可比实例与之相比，确定可比实例1、2、3该因素指数分别为</w:t>
            </w:r>
            <w:r>
              <w:rPr>
                <w:rFonts w:hint="eastAsia" w:ascii="Arial" w:hAnsi="Arial" w:cs="Arial"/>
                <w:sz w:val="18"/>
                <w:szCs w:val="18"/>
              </w:rPr>
              <w:t>10</w:t>
            </w:r>
            <w:r>
              <w:rPr>
                <w:rFonts w:ascii="Arial" w:hAnsi="Arial" w:cs="Arial"/>
                <w:sz w:val="18"/>
                <w:szCs w:val="18"/>
              </w:rPr>
              <w:t>0</w:t>
            </w:r>
            <w:r>
              <w:rPr>
                <w:rFonts w:hint="eastAsia" w:ascii="Arial" w:hAnsi="Arial" w:cs="Arial"/>
                <w:sz w:val="18"/>
                <w:szCs w:val="18"/>
              </w:rPr>
              <w:t>、</w:t>
            </w:r>
            <w:r>
              <w:rPr>
                <w:rFonts w:ascii="Arial" w:hAnsi="Arial" w:cs="Arial"/>
                <w:sz w:val="18"/>
                <w:szCs w:val="18"/>
              </w:rPr>
              <w:t>98、</w:t>
            </w:r>
            <w:r>
              <w:rPr>
                <w:rFonts w:hint="eastAsia" w:ascii="Arial" w:hAnsi="Arial" w:cs="Arial"/>
                <w:sz w:val="18"/>
                <w:szCs w:val="18"/>
              </w:rPr>
              <w:t>9</w:t>
            </w:r>
            <w:r>
              <w:rPr>
                <w:rFonts w:ascii="Arial" w:hAnsi="Arial" w:cs="Arial"/>
                <w:sz w:val="18"/>
                <w:szCs w:val="18"/>
              </w:rPr>
              <w:t>8；</w:t>
            </w:r>
          </w:p>
        </w:tc>
      </w:tr>
      <w:tr w14:paraId="5E060DF8">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7DFA04D5">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7B9863D9">
            <w:pPr>
              <w:widowControl/>
              <w:adjustRightInd/>
              <w:spacing w:line="240" w:lineRule="auto"/>
              <w:jc w:val="center"/>
              <w:textAlignment w:val="auto"/>
              <w:rPr>
                <w:rFonts w:ascii="宋体" w:hAnsi="宋体" w:cs="Arial"/>
                <w:sz w:val="18"/>
              </w:rPr>
            </w:pPr>
            <w:r>
              <w:rPr>
                <w:rFonts w:hint="eastAsia" w:ascii="Arial" w:hAnsi="Arial" w:cs="Arial"/>
                <w:sz w:val="18"/>
              </w:rPr>
              <w:t>电梯数量</w:t>
            </w:r>
          </w:p>
        </w:tc>
        <w:tc>
          <w:tcPr>
            <w:tcW w:w="553" w:type="pct"/>
            <w:tcBorders>
              <w:top w:val="nil"/>
              <w:left w:val="nil"/>
              <w:bottom w:val="single" w:color="auto" w:sz="4" w:space="0"/>
              <w:right w:val="single" w:color="auto" w:sz="4" w:space="0"/>
            </w:tcBorders>
            <w:vAlign w:val="center"/>
          </w:tcPr>
          <w:p w14:paraId="203B816E">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5E12DB5">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4AA33CF0">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color="auto" w:sz="4" w:space="0"/>
              <w:right w:val="single" w:color="auto" w:sz="4" w:space="0"/>
            </w:tcBorders>
            <w:vAlign w:val="center"/>
          </w:tcPr>
          <w:p w14:paraId="7365A843">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2100" w:type="pct"/>
            <w:tcBorders>
              <w:top w:val="nil"/>
              <w:left w:val="nil"/>
              <w:bottom w:val="single" w:color="auto" w:sz="4" w:space="0"/>
              <w:right w:val="single" w:color="auto" w:sz="4" w:space="0"/>
            </w:tcBorders>
            <w:vAlign w:val="center"/>
          </w:tcPr>
          <w:p w14:paraId="1DF513D1">
            <w:pPr>
              <w:widowControl/>
              <w:adjustRightInd/>
              <w:spacing w:line="240" w:lineRule="auto"/>
              <w:textAlignment w:val="auto"/>
              <w:rPr>
                <w:rFonts w:ascii="Arial" w:hAnsi="Arial" w:cs="Arial"/>
                <w:sz w:val="18"/>
                <w:szCs w:val="18"/>
              </w:rPr>
            </w:pPr>
            <w:r>
              <w:rPr>
                <w:rFonts w:ascii="Arial" w:hAnsi="Arial" w:cs="Arial"/>
                <w:sz w:val="18"/>
                <w:szCs w:val="18"/>
              </w:rPr>
              <w:t>根据电梯数量对其价值影响，以一部电梯服务住户数量进行划分，0-2户、3-4户、5-6户、7-8户、9-10户、10户以上六个等级。以估价对象该因素指数为100，各可比实例与之相比，确定可比实例1、2、3该因素指数分别为</w:t>
            </w:r>
            <w:r>
              <w:rPr>
                <w:rFonts w:hint="eastAsia" w:ascii="Arial" w:hAnsi="Arial" w:cs="Arial"/>
                <w:sz w:val="18"/>
                <w:szCs w:val="18"/>
              </w:rPr>
              <w:t>102、102、100</w:t>
            </w:r>
            <w:r>
              <w:rPr>
                <w:rFonts w:ascii="Arial" w:hAnsi="Arial" w:cs="Arial"/>
                <w:sz w:val="18"/>
                <w:szCs w:val="18"/>
              </w:rPr>
              <w:t>；</w:t>
            </w:r>
          </w:p>
        </w:tc>
      </w:tr>
      <w:tr w14:paraId="5A9C7EA1">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2952C327">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671583C3">
            <w:pPr>
              <w:widowControl/>
              <w:adjustRightInd/>
              <w:spacing w:line="240" w:lineRule="auto"/>
              <w:jc w:val="center"/>
              <w:textAlignment w:val="auto"/>
              <w:rPr>
                <w:rFonts w:ascii="宋体" w:hAnsi="宋体" w:cs="Arial"/>
                <w:sz w:val="18"/>
              </w:rPr>
            </w:pPr>
            <w:r>
              <w:rPr>
                <w:rFonts w:hint="eastAsia" w:ascii="Arial" w:hAnsi="Arial" w:cs="Arial"/>
                <w:sz w:val="18"/>
              </w:rPr>
              <w:t>户型</w:t>
            </w:r>
          </w:p>
        </w:tc>
        <w:tc>
          <w:tcPr>
            <w:tcW w:w="553" w:type="pct"/>
            <w:tcBorders>
              <w:top w:val="nil"/>
              <w:left w:val="nil"/>
              <w:bottom w:val="single" w:color="auto" w:sz="4" w:space="0"/>
              <w:right w:val="single" w:color="auto" w:sz="4" w:space="0"/>
            </w:tcBorders>
            <w:vAlign w:val="center"/>
          </w:tcPr>
          <w:p w14:paraId="3F6CAC74">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720A519">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4A6A8A72">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744E1380">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724EF867">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户型</w:t>
            </w:r>
            <w:r>
              <w:rPr>
                <w:rFonts w:ascii="Arial" w:hAnsi="Arial" w:cs="Arial"/>
                <w:sz w:val="18"/>
                <w:szCs w:val="18"/>
              </w:rPr>
              <w:t>对其价值的影响，</w:t>
            </w:r>
            <w:r>
              <w:rPr>
                <w:rFonts w:hint="eastAsia" w:ascii="Arial" w:hAnsi="Arial" w:cs="Arial"/>
                <w:sz w:val="18"/>
                <w:szCs w:val="18"/>
              </w:rPr>
              <w:t>居室越多，功能分区更合理。</w:t>
            </w:r>
            <w:r>
              <w:rPr>
                <w:rFonts w:ascii="Arial" w:hAnsi="Arial" w:cs="Arial"/>
                <w:sz w:val="18"/>
                <w:szCs w:val="18"/>
              </w:rPr>
              <w:t>以估价对象该因素指数为100，各可比实例与之相比，确定可比实例1、2、3该因素指数分别为</w:t>
            </w:r>
            <w:r>
              <w:rPr>
                <w:rFonts w:hint="eastAsia" w:ascii="Arial" w:hAnsi="Arial" w:cs="Arial"/>
                <w:sz w:val="18"/>
                <w:szCs w:val="18"/>
              </w:rPr>
              <w:t>100、100、100</w:t>
            </w:r>
            <w:r>
              <w:rPr>
                <w:rFonts w:ascii="Arial" w:hAnsi="Arial" w:cs="Arial"/>
                <w:sz w:val="18"/>
                <w:szCs w:val="18"/>
              </w:rPr>
              <w:t>；</w:t>
            </w:r>
          </w:p>
        </w:tc>
      </w:tr>
      <w:tr w14:paraId="43B52CAE">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40B2C007">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247DA8B5">
            <w:pPr>
              <w:widowControl/>
              <w:adjustRightInd/>
              <w:spacing w:line="240" w:lineRule="auto"/>
              <w:jc w:val="center"/>
              <w:textAlignment w:val="auto"/>
              <w:rPr>
                <w:rFonts w:ascii="宋体" w:hAnsi="宋体" w:cs="Arial"/>
                <w:sz w:val="18"/>
              </w:rPr>
            </w:pPr>
            <w:r>
              <w:rPr>
                <w:rFonts w:hint="eastAsia" w:ascii="Arial" w:hAnsi="Arial" w:cs="Arial"/>
                <w:sz w:val="18"/>
              </w:rPr>
              <w:t>建筑面积</w:t>
            </w:r>
          </w:p>
        </w:tc>
        <w:tc>
          <w:tcPr>
            <w:tcW w:w="553" w:type="pct"/>
            <w:tcBorders>
              <w:top w:val="nil"/>
              <w:left w:val="nil"/>
              <w:bottom w:val="single" w:color="auto" w:sz="4" w:space="0"/>
              <w:right w:val="single" w:color="auto" w:sz="4" w:space="0"/>
            </w:tcBorders>
            <w:vAlign w:val="center"/>
          </w:tcPr>
          <w:p w14:paraId="03BDEB45">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27F75C6E">
            <w:pPr>
              <w:widowControl/>
              <w:adjustRightInd/>
              <w:spacing w:line="240" w:lineRule="auto"/>
              <w:jc w:val="center"/>
              <w:textAlignment w:val="auto"/>
              <w:rPr>
                <w:rFonts w:ascii="Arial" w:hAnsi="Arial" w:cs="Arial"/>
                <w:sz w:val="18"/>
                <w:szCs w:val="18"/>
              </w:rPr>
            </w:pPr>
            <w:r>
              <w:rPr>
                <w:rFonts w:ascii="Arial" w:hAnsi="Arial" w:cs="Arial"/>
                <w:sz w:val="18"/>
                <w:szCs w:val="18"/>
              </w:rPr>
              <w:t>94</w:t>
            </w:r>
          </w:p>
        </w:tc>
        <w:tc>
          <w:tcPr>
            <w:tcW w:w="553" w:type="pct"/>
            <w:tcBorders>
              <w:top w:val="nil"/>
              <w:left w:val="nil"/>
              <w:bottom w:val="single" w:color="auto" w:sz="4" w:space="0"/>
              <w:right w:val="single" w:color="auto" w:sz="4" w:space="0"/>
            </w:tcBorders>
            <w:vAlign w:val="center"/>
          </w:tcPr>
          <w:p w14:paraId="57A1C1CD">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color="auto" w:sz="4" w:space="0"/>
              <w:right w:val="single" w:color="auto" w:sz="4" w:space="0"/>
            </w:tcBorders>
            <w:vAlign w:val="center"/>
          </w:tcPr>
          <w:p w14:paraId="7394A72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color="auto" w:sz="4" w:space="0"/>
              <w:right w:val="single" w:color="auto" w:sz="4" w:space="0"/>
            </w:tcBorders>
            <w:vAlign w:val="center"/>
          </w:tcPr>
          <w:p w14:paraId="28DD0FD5">
            <w:pPr>
              <w:widowControl/>
              <w:adjustRightInd/>
              <w:spacing w:line="240" w:lineRule="auto"/>
              <w:textAlignment w:val="auto"/>
              <w:rPr>
                <w:rFonts w:ascii="Arial" w:hAnsi="Arial" w:cs="Arial"/>
                <w:sz w:val="18"/>
                <w:szCs w:val="18"/>
              </w:rPr>
            </w:pPr>
            <w:r>
              <w:rPr>
                <w:rFonts w:ascii="Arial" w:hAnsi="Arial" w:cs="Arial"/>
                <w:sz w:val="18"/>
                <w:szCs w:val="18"/>
              </w:rPr>
              <w:t>根据建筑面积对其价值的影响，从好到差划分为6</w:t>
            </w:r>
            <w:r>
              <w:rPr>
                <w:rFonts w:hint="eastAsia" w:ascii="Arial" w:hAnsi="Arial" w:cs="Arial"/>
                <w:sz w:val="18"/>
                <w:szCs w:val="18"/>
              </w:rPr>
              <w:t>0</w:t>
            </w:r>
            <w:r>
              <w:rPr>
                <w:rFonts w:ascii="Arial" w:hAnsi="Arial" w:cs="Arial"/>
                <w:sz w:val="18"/>
                <w:szCs w:val="18"/>
              </w:rPr>
              <w:t>（含）平方米及以下、6</w:t>
            </w:r>
            <w:r>
              <w:rPr>
                <w:rFonts w:hint="eastAsia" w:ascii="Arial" w:hAnsi="Arial" w:cs="Arial"/>
                <w:sz w:val="18"/>
                <w:szCs w:val="18"/>
              </w:rPr>
              <w:t>0-70</w:t>
            </w:r>
            <w:r>
              <w:rPr>
                <w:rFonts w:ascii="Arial" w:hAnsi="Arial" w:cs="Arial"/>
                <w:sz w:val="18"/>
                <w:szCs w:val="18"/>
              </w:rPr>
              <w:t>（含）平方米、</w:t>
            </w:r>
            <w:r>
              <w:rPr>
                <w:rFonts w:hint="eastAsia" w:ascii="Arial" w:hAnsi="Arial" w:cs="Arial"/>
                <w:sz w:val="18"/>
                <w:szCs w:val="18"/>
              </w:rPr>
              <w:t>70-</w:t>
            </w:r>
            <w:r>
              <w:rPr>
                <w:rFonts w:ascii="Arial" w:hAnsi="Arial" w:cs="Arial"/>
                <w:sz w:val="18"/>
                <w:szCs w:val="18"/>
              </w:rPr>
              <w:t>8</w:t>
            </w:r>
            <w:r>
              <w:rPr>
                <w:rFonts w:hint="eastAsia" w:ascii="Arial" w:hAnsi="Arial" w:cs="Arial"/>
                <w:sz w:val="18"/>
                <w:szCs w:val="18"/>
              </w:rPr>
              <w:t>0</w:t>
            </w:r>
            <w:r>
              <w:rPr>
                <w:rFonts w:ascii="Arial" w:hAnsi="Arial" w:cs="Arial"/>
                <w:sz w:val="18"/>
                <w:szCs w:val="18"/>
              </w:rPr>
              <w:t>（含）平方米</w:t>
            </w:r>
            <w:r>
              <w:rPr>
                <w:rFonts w:hint="eastAsia" w:ascii="Arial" w:hAnsi="Arial" w:cs="Arial"/>
                <w:sz w:val="18"/>
                <w:szCs w:val="18"/>
              </w:rPr>
              <w:t>、</w:t>
            </w:r>
            <w:r>
              <w:rPr>
                <w:rFonts w:ascii="Arial" w:hAnsi="Arial" w:cs="Arial"/>
                <w:sz w:val="18"/>
                <w:szCs w:val="18"/>
              </w:rPr>
              <w:t>8</w:t>
            </w:r>
            <w:r>
              <w:rPr>
                <w:rFonts w:hint="eastAsia" w:ascii="Arial" w:hAnsi="Arial" w:cs="Arial"/>
                <w:sz w:val="18"/>
                <w:szCs w:val="18"/>
              </w:rPr>
              <w:t>0平方米</w:t>
            </w:r>
            <w:r>
              <w:rPr>
                <w:rFonts w:ascii="Arial" w:hAnsi="Arial" w:cs="Arial"/>
                <w:sz w:val="18"/>
                <w:szCs w:val="18"/>
              </w:rPr>
              <w:t>及以上。以估价对象该因素指数为100，各可比实例与之相比，确定可比实例1、2、3该因素指数分别为94</w:t>
            </w:r>
            <w:r>
              <w:rPr>
                <w:rFonts w:hint="eastAsia" w:ascii="Arial" w:hAnsi="Arial" w:cs="Arial"/>
                <w:sz w:val="18"/>
                <w:szCs w:val="18"/>
              </w:rPr>
              <w:t>、</w:t>
            </w:r>
            <w:r>
              <w:rPr>
                <w:rFonts w:ascii="Arial" w:hAnsi="Arial" w:cs="Arial"/>
                <w:sz w:val="18"/>
                <w:szCs w:val="18"/>
              </w:rPr>
              <w:t>98</w:t>
            </w:r>
            <w:r>
              <w:rPr>
                <w:rFonts w:hint="eastAsia" w:ascii="Arial" w:hAnsi="Arial" w:cs="Arial"/>
                <w:sz w:val="18"/>
                <w:szCs w:val="18"/>
              </w:rPr>
              <w:t>、100</w:t>
            </w:r>
            <w:r>
              <w:rPr>
                <w:rFonts w:ascii="Arial" w:hAnsi="Arial" w:cs="Arial"/>
                <w:sz w:val="18"/>
                <w:szCs w:val="18"/>
              </w:rPr>
              <w:t>；</w:t>
            </w:r>
          </w:p>
        </w:tc>
      </w:tr>
      <w:tr w14:paraId="06FAE566">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51117154">
            <w:pPr>
              <w:widowControl/>
              <w:adjustRightInd/>
              <w:spacing w:line="240" w:lineRule="auto"/>
              <w:textAlignment w:val="auto"/>
              <w:rPr>
                <w:rFonts w:ascii="Arial" w:hAnsi="Arial" w:cs="Arial"/>
                <w:sz w:val="18"/>
                <w:szCs w:val="18"/>
              </w:rPr>
            </w:pPr>
          </w:p>
        </w:tc>
        <w:tc>
          <w:tcPr>
            <w:tcW w:w="375" w:type="pct"/>
            <w:tcBorders>
              <w:top w:val="single" w:color="auto" w:sz="4" w:space="0"/>
              <w:left w:val="single" w:color="auto" w:sz="4" w:space="0"/>
              <w:bottom w:val="single" w:color="auto" w:sz="4" w:space="0"/>
              <w:right w:val="single" w:color="auto" w:sz="4" w:space="0"/>
            </w:tcBorders>
            <w:vAlign w:val="center"/>
          </w:tcPr>
          <w:p w14:paraId="25359449">
            <w:pPr>
              <w:widowControl/>
              <w:adjustRightInd/>
              <w:spacing w:line="240" w:lineRule="auto"/>
              <w:jc w:val="center"/>
              <w:textAlignment w:val="auto"/>
              <w:rPr>
                <w:rFonts w:ascii="Arial" w:hAnsi="Arial" w:cs="Arial"/>
                <w:sz w:val="18"/>
              </w:rPr>
            </w:pPr>
            <w:r>
              <w:rPr>
                <w:rFonts w:hint="eastAsia" w:ascii="Arial" w:hAnsi="Arial" w:cs="Arial"/>
                <w:sz w:val="18"/>
              </w:rPr>
              <w:t>成新度</w:t>
            </w:r>
          </w:p>
        </w:tc>
        <w:tc>
          <w:tcPr>
            <w:tcW w:w="553" w:type="pct"/>
            <w:tcBorders>
              <w:top w:val="single" w:color="auto" w:sz="4" w:space="0"/>
              <w:left w:val="single" w:color="auto" w:sz="4" w:space="0"/>
              <w:bottom w:val="single" w:color="auto" w:sz="4" w:space="0"/>
              <w:right w:val="single" w:color="auto" w:sz="4" w:space="0"/>
            </w:tcBorders>
            <w:vAlign w:val="center"/>
          </w:tcPr>
          <w:p w14:paraId="13867629">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w:t>
            </w:r>
            <w:r>
              <w:rPr>
                <w:rFonts w:ascii="Arial" w:hAnsi="Arial" w:cs="Arial"/>
                <w:sz w:val="18"/>
                <w:szCs w:val="18"/>
              </w:rPr>
              <w:t>00</w:t>
            </w:r>
          </w:p>
        </w:tc>
        <w:tc>
          <w:tcPr>
            <w:tcW w:w="553" w:type="pct"/>
            <w:tcBorders>
              <w:top w:val="single" w:color="auto" w:sz="4" w:space="0"/>
              <w:left w:val="single" w:color="auto" w:sz="4" w:space="0"/>
              <w:bottom w:val="single" w:color="auto" w:sz="4" w:space="0"/>
              <w:right w:val="single" w:color="auto" w:sz="4" w:space="0"/>
            </w:tcBorders>
            <w:vAlign w:val="center"/>
          </w:tcPr>
          <w:p w14:paraId="286FBADE">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w:t>
            </w:r>
            <w:r>
              <w:rPr>
                <w:rFonts w:ascii="Arial" w:hAnsi="Arial" w:cs="Arial"/>
                <w:sz w:val="18"/>
                <w:szCs w:val="18"/>
              </w:rPr>
              <w:t>00</w:t>
            </w:r>
          </w:p>
        </w:tc>
        <w:tc>
          <w:tcPr>
            <w:tcW w:w="553" w:type="pct"/>
            <w:tcBorders>
              <w:top w:val="single" w:color="auto" w:sz="4" w:space="0"/>
              <w:left w:val="single" w:color="auto" w:sz="4" w:space="0"/>
              <w:bottom w:val="single" w:color="auto" w:sz="4" w:space="0"/>
              <w:right w:val="single" w:color="auto" w:sz="4" w:space="0"/>
            </w:tcBorders>
            <w:vAlign w:val="center"/>
          </w:tcPr>
          <w:p w14:paraId="6160A46C">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9</w:t>
            </w:r>
            <w:r>
              <w:rPr>
                <w:rFonts w:ascii="Arial" w:hAnsi="Arial" w:cs="Arial"/>
                <w:sz w:val="18"/>
                <w:szCs w:val="18"/>
              </w:rPr>
              <w:t>8</w:t>
            </w:r>
          </w:p>
        </w:tc>
        <w:tc>
          <w:tcPr>
            <w:tcW w:w="553" w:type="pct"/>
            <w:tcBorders>
              <w:top w:val="single" w:color="auto" w:sz="4" w:space="0"/>
              <w:left w:val="single" w:color="auto" w:sz="4" w:space="0"/>
              <w:bottom w:val="single" w:color="auto" w:sz="4" w:space="0"/>
              <w:right w:val="single" w:color="auto" w:sz="4" w:space="0"/>
            </w:tcBorders>
            <w:vAlign w:val="center"/>
          </w:tcPr>
          <w:p w14:paraId="5390B1E7">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9</w:t>
            </w:r>
            <w:r>
              <w:rPr>
                <w:rFonts w:ascii="Arial" w:hAnsi="Arial" w:cs="Arial"/>
                <w:sz w:val="18"/>
                <w:szCs w:val="18"/>
              </w:rPr>
              <w:t>6</w:t>
            </w:r>
          </w:p>
        </w:tc>
        <w:tc>
          <w:tcPr>
            <w:tcW w:w="2100" w:type="pct"/>
            <w:tcBorders>
              <w:top w:val="single" w:color="auto" w:sz="4" w:space="0"/>
              <w:left w:val="single" w:color="auto" w:sz="4" w:space="0"/>
              <w:bottom w:val="single" w:color="auto" w:sz="4" w:space="0"/>
              <w:right w:val="single" w:color="auto" w:sz="4" w:space="0"/>
            </w:tcBorders>
            <w:vAlign w:val="center"/>
          </w:tcPr>
          <w:p w14:paraId="7105CF9E">
            <w:pPr>
              <w:widowControl/>
              <w:adjustRightInd/>
              <w:spacing w:line="240" w:lineRule="auto"/>
              <w:textAlignment w:val="auto"/>
              <w:rPr>
                <w:rFonts w:ascii="Arial" w:hAnsi="Arial" w:cs="Arial"/>
                <w:sz w:val="18"/>
                <w:szCs w:val="18"/>
              </w:rPr>
            </w:pPr>
            <w:r>
              <w:rPr>
                <w:rFonts w:ascii="Arial" w:hAnsi="Arial" w:cs="Arial"/>
                <w:sz w:val="18"/>
                <w:szCs w:val="18"/>
              </w:rPr>
              <w:t>根据成新度对其价值的影响，从好到差划分为90%-100%（含）、80%-90%（含）、70%-80%（含）、60%-70%（含）、60%及以下。以估价对象该因素指数为100，各可比实例与之相比，确定可比实例1、2、3该因素指数分别为100</w:t>
            </w:r>
            <w:r>
              <w:rPr>
                <w:rFonts w:hint="eastAsia" w:ascii="Arial" w:hAnsi="Arial" w:cs="Arial"/>
                <w:sz w:val="18"/>
                <w:szCs w:val="18"/>
              </w:rPr>
              <w:t>、</w:t>
            </w:r>
            <w:r>
              <w:rPr>
                <w:rFonts w:ascii="Arial" w:hAnsi="Arial" w:cs="Arial"/>
                <w:sz w:val="18"/>
                <w:szCs w:val="18"/>
              </w:rPr>
              <w:t>98</w:t>
            </w:r>
            <w:r>
              <w:rPr>
                <w:rFonts w:hint="eastAsia" w:ascii="Arial" w:hAnsi="Arial" w:cs="Arial"/>
                <w:sz w:val="18"/>
                <w:szCs w:val="18"/>
              </w:rPr>
              <w:t>、</w:t>
            </w:r>
            <w:r>
              <w:rPr>
                <w:rFonts w:ascii="Arial" w:hAnsi="Arial" w:cs="Arial"/>
                <w:sz w:val="18"/>
                <w:szCs w:val="18"/>
              </w:rPr>
              <w:t>96；</w:t>
            </w:r>
          </w:p>
        </w:tc>
      </w:tr>
      <w:tr w14:paraId="2349E885">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187FE1EF">
            <w:pPr>
              <w:widowControl/>
              <w:adjustRightInd/>
              <w:spacing w:line="240" w:lineRule="auto"/>
              <w:textAlignment w:val="auto"/>
              <w:rPr>
                <w:rFonts w:ascii="Arial" w:hAnsi="Arial" w:cs="Arial"/>
                <w:sz w:val="18"/>
                <w:szCs w:val="18"/>
              </w:rPr>
            </w:pPr>
          </w:p>
        </w:tc>
        <w:tc>
          <w:tcPr>
            <w:tcW w:w="375" w:type="pct"/>
            <w:tcBorders>
              <w:top w:val="single" w:color="auto" w:sz="4" w:space="0"/>
              <w:left w:val="single" w:color="auto" w:sz="4" w:space="0"/>
              <w:bottom w:val="single" w:color="auto" w:sz="4" w:space="0"/>
              <w:right w:val="single" w:color="auto" w:sz="4" w:space="0"/>
            </w:tcBorders>
            <w:vAlign w:val="center"/>
          </w:tcPr>
          <w:p w14:paraId="7D0B55AD">
            <w:pPr>
              <w:widowControl/>
              <w:adjustRightInd/>
              <w:spacing w:line="240" w:lineRule="auto"/>
              <w:jc w:val="center"/>
              <w:textAlignment w:val="auto"/>
              <w:rPr>
                <w:rFonts w:ascii="Arial" w:hAnsi="Arial" w:cs="Arial"/>
                <w:sz w:val="18"/>
              </w:rPr>
            </w:pPr>
            <w:r>
              <w:rPr>
                <w:rFonts w:hint="eastAsia" w:ascii="Arial" w:hAnsi="Arial" w:cs="Arial"/>
                <w:sz w:val="18"/>
              </w:rPr>
              <w:t>装修</w:t>
            </w:r>
          </w:p>
        </w:tc>
        <w:tc>
          <w:tcPr>
            <w:tcW w:w="553" w:type="pct"/>
            <w:tcBorders>
              <w:top w:val="single" w:color="auto" w:sz="4" w:space="0"/>
              <w:left w:val="single" w:color="auto" w:sz="4" w:space="0"/>
              <w:bottom w:val="single" w:color="auto" w:sz="4" w:space="0"/>
              <w:right w:val="single" w:color="auto" w:sz="4" w:space="0"/>
            </w:tcBorders>
            <w:vAlign w:val="center"/>
          </w:tcPr>
          <w:p w14:paraId="36E2D57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single" w:color="auto" w:sz="4" w:space="0"/>
              <w:left w:val="single" w:color="auto" w:sz="4" w:space="0"/>
              <w:bottom w:val="single" w:color="auto" w:sz="4" w:space="0"/>
              <w:right w:val="single" w:color="auto" w:sz="4" w:space="0"/>
            </w:tcBorders>
            <w:vAlign w:val="center"/>
          </w:tcPr>
          <w:p w14:paraId="37242DBE">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553" w:type="pct"/>
            <w:tcBorders>
              <w:top w:val="single" w:color="auto" w:sz="4" w:space="0"/>
              <w:left w:val="single" w:color="auto" w:sz="4" w:space="0"/>
              <w:bottom w:val="single" w:color="auto" w:sz="4" w:space="0"/>
              <w:right w:val="single" w:color="auto" w:sz="4" w:space="0"/>
            </w:tcBorders>
            <w:vAlign w:val="center"/>
          </w:tcPr>
          <w:p w14:paraId="01FBA101">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553" w:type="pct"/>
            <w:tcBorders>
              <w:top w:val="single" w:color="auto" w:sz="4" w:space="0"/>
              <w:left w:val="single" w:color="auto" w:sz="4" w:space="0"/>
              <w:bottom w:val="single" w:color="auto" w:sz="4" w:space="0"/>
              <w:right w:val="single" w:color="auto" w:sz="4" w:space="0"/>
            </w:tcBorders>
            <w:vAlign w:val="center"/>
          </w:tcPr>
          <w:p w14:paraId="2D5C41B6">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100" w:type="pct"/>
            <w:tcBorders>
              <w:top w:val="single" w:color="auto" w:sz="4" w:space="0"/>
              <w:left w:val="single" w:color="auto" w:sz="4" w:space="0"/>
              <w:bottom w:val="single" w:color="auto" w:sz="4" w:space="0"/>
              <w:right w:val="single" w:color="auto" w:sz="4" w:space="0"/>
            </w:tcBorders>
            <w:vAlign w:val="center"/>
          </w:tcPr>
          <w:p w14:paraId="4751AC40">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装修</w:t>
            </w:r>
            <w:r>
              <w:rPr>
                <w:rFonts w:ascii="Arial" w:hAnsi="Arial" w:cs="Arial"/>
                <w:sz w:val="18"/>
                <w:szCs w:val="18"/>
              </w:rPr>
              <w:t>对其价值的影响，</w:t>
            </w:r>
            <w:r>
              <w:rPr>
                <w:rFonts w:hint="eastAsia" w:ascii="Arial" w:hAnsi="Arial" w:cs="Arial"/>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估价对象与各可比实例该因素一致，确定可比实例1、2、3该因素指数分别为</w:t>
            </w:r>
            <w:r>
              <w:rPr>
                <w:rFonts w:hint="eastAsia" w:ascii="Arial" w:hAnsi="Arial" w:cs="Arial"/>
                <w:sz w:val="18"/>
                <w:szCs w:val="18"/>
              </w:rPr>
              <w:t>10</w:t>
            </w:r>
            <w:r>
              <w:rPr>
                <w:rFonts w:ascii="Arial" w:hAnsi="Arial" w:cs="Arial"/>
                <w:sz w:val="18"/>
                <w:szCs w:val="18"/>
              </w:rPr>
              <w:t>0</w:t>
            </w:r>
            <w:r>
              <w:rPr>
                <w:rFonts w:hint="eastAsia" w:ascii="Arial" w:hAnsi="Arial" w:cs="Arial"/>
                <w:sz w:val="18"/>
                <w:szCs w:val="18"/>
              </w:rPr>
              <w:t>、10</w:t>
            </w:r>
            <w:r>
              <w:rPr>
                <w:rFonts w:ascii="Arial" w:hAnsi="Arial" w:cs="Arial"/>
                <w:sz w:val="18"/>
                <w:szCs w:val="18"/>
              </w:rPr>
              <w:t>0</w:t>
            </w:r>
            <w:r>
              <w:rPr>
                <w:rFonts w:hint="eastAsia" w:ascii="Arial" w:hAnsi="Arial" w:cs="Arial"/>
                <w:sz w:val="18"/>
                <w:szCs w:val="18"/>
              </w:rPr>
              <w:t>、10</w:t>
            </w:r>
            <w:r>
              <w:rPr>
                <w:rFonts w:ascii="Arial" w:hAnsi="Arial" w:cs="Arial"/>
                <w:sz w:val="18"/>
                <w:szCs w:val="18"/>
              </w:rPr>
              <w:t>0；</w:t>
            </w:r>
          </w:p>
        </w:tc>
      </w:tr>
      <w:tr w14:paraId="736806D8">
        <w:tblPrEx>
          <w:tblCellMar>
            <w:top w:w="0" w:type="dxa"/>
            <w:left w:w="108" w:type="dxa"/>
            <w:bottom w:w="0" w:type="dxa"/>
            <w:right w:w="108" w:type="dxa"/>
          </w:tblCellMar>
        </w:tblPrEx>
        <w:trPr>
          <w:trHeight w:val="20" w:hRule="atLeast"/>
        </w:trPr>
        <w:tc>
          <w:tcPr>
            <w:tcW w:w="314" w:type="pct"/>
            <w:vMerge w:val="continue"/>
            <w:tcBorders>
              <w:top w:val="nil"/>
              <w:left w:val="single" w:color="auto" w:sz="4" w:space="0"/>
              <w:bottom w:val="single" w:color="auto" w:sz="4" w:space="0"/>
              <w:right w:val="single" w:color="auto" w:sz="4" w:space="0"/>
            </w:tcBorders>
            <w:vAlign w:val="center"/>
          </w:tcPr>
          <w:p w14:paraId="656A04EA">
            <w:pPr>
              <w:widowControl/>
              <w:adjustRightInd/>
              <w:spacing w:line="240" w:lineRule="auto"/>
              <w:textAlignment w:val="auto"/>
              <w:rPr>
                <w:rFonts w:ascii="Arial" w:hAnsi="Arial" w:cs="Arial"/>
                <w:sz w:val="18"/>
                <w:szCs w:val="18"/>
              </w:rPr>
            </w:pPr>
          </w:p>
        </w:tc>
        <w:tc>
          <w:tcPr>
            <w:tcW w:w="375" w:type="pct"/>
            <w:tcBorders>
              <w:top w:val="nil"/>
              <w:left w:val="nil"/>
              <w:bottom w:val="single" w:color="auto" w:sz="4" w:space="0"/>
              <w:right w:val="single" w:color="auto" w:sz="4" w:space="0"/>
            </w:tcBorders>
            <w:vAlign w:val="center"/>
          </w:tcPr>
          <w:p w14:paraId="2F4B739A">
            <w:pPr>
              <w:widowControl/>
              <w:adjustRightInd/>
              <w:spacing w:line="240" w:lineRule="auto"/>
              <w:jc w:val="center"/>
              <w:textAlignment w:val="auto"/>
              <w:rPr>
                <w:rFonts w:ascii="Arial" w:hAnsi="Arial" w:cs="Arial"/>
                <w:sz w:val="18"/>
              </w:rPr>
            </w:pPr>
            <w:r>
              <w:rPr>
                <w:rFonts w:hint="eastAsia" w:ascii="Arial" w:hAnsi="Arial" w:cs="Arial"/>
                <w:sz w:val="18"/>
              </w:rPr>
              <w:t>设备</w:t>
            </w:r>
          </w:p>
        </w:tc>
        <w:tc>
          <w:tcPr>
            <w:tcW w:w="553" w:type="pct"/>
            <w:tcBorders>
              <w:top w:val="nil"/>
              <w:left w:val="nil"/>
              <w:bottom w:val="single" w:color="auto" w:sz="4" w:space="0"/>
              <w:right w:val="single" w:color="auto" w:sz="4" w:space="0"/>
            </w:tcBorders>
            <w:vAlign w:val="center"/>
          </w:tcPr>
          <w:p w14:paraId="7C9EB8AD">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color="auto" w:sz="4" w:space="0"/>
              <w:right w:val="single" w:color="auto" w:sz="4" w:space="0"/>
            </w:tcBorders>
            <w:vAlign w:val="center"/>
          </w:tcPr>
          <w:p w14:paraId="701FCDF7">
            <w:pPr>
              <w:widowControl/>
              <w:adjustRightInd/>
              <w:spacing w:line="240" w:lineRule="auto"/>
              <w:jc w:val="center"/>
              <w:textAlignment w:val="auto"/>
              <w:rPr>
                <w:rFonts w:ascii="Arial" w:hAnsi="Arial" w:cs="Arial"/>
                <w:sz w:val="18"/>
                <w:szCs w:val="18"/>
              </w:rPr>
            </w:pPr>
            <w:r>
              <w:rPr>
                <w:rFonts w:ascii="Arial" w:hAnsi="Arial" w:cs="Arial"/>
                <w:sz w:val="18"/>
                <w:szCs w:val="18"/>
              </w:rPr>
              <w:t>105</w:t>
            </w:r>
          </w:p>
        </w:tc>
        <w:tc>
          <w:tcPr>
            <w:tcW w:w="553" w:type="pct"/>
            <w:tcBorders>
              <w:top w:val="nil"/>
              <w:left w:val="nil"/>
              <w:bottom w:val="single" w:color="auto" w:sz="4" w:space="0"/>
              <w:right w:val="single" w:color="auto" w:sz="4" w:space="0"/>
            </w:tcBorders>
            <w:vAlign w:val="center"/>
          </w:tcPr>
          <w:p w14:paraId="0F2D6628">
            <w:pPr>
              <w:widowControl/>
              <w:adjustRightInd/>
              <w:spacing w:line="240" w:lineRule="auto"/>
              <w:jc w:val="center"/>
              <w:textAlignment w:val="auto"/>
              <w:rPr>
                <w:rFonts w:ascii="Arial" w:hAnsi="Arial" w:cs="Arial"/>
                <w:sz w:val="18"/>
                <w:szCs w:val="18"/>
              </w:rPr>
            </w:pPr>
            <w:r>
              <w:rPr>
                <w:rFonts w:ascii="Arial" w:hAnsi="Arial" w:cs="Arial"/>
                <w:sz w:val="18"/>
                <w:szCs w:val="18"/>
              </w:rPr>
              <w:t>105</w:t>
            </w:r>
          </w:p>
        </w:tc>
        <w:tc>
          <w:tcPr>
            <w:tcW w:w="553" w:type="pct"/>
            <w:tcBorders>
              <w:top w:val="nil"/>
              <w:left w:val="nil"/>
              <w:bottom w:val="single" w:color="auto" w:sz="4" w:space="0"/>
              <w:right w:val="single" w:color="auto" w:sz="4" w:space="0"/>
            </w:tcBorders>
            <w:vAlign w:val="center"/>
          </w:tcPr>
          <w:p w14:paraId="5BB4D5E2">
            <w:pPr>
              <w:widowControl/>
              <w:adjustRightInd/>
              <w:spacing w:line="240" w:lineRule="auto"/>
              <w:jc w:val="center"/>
              <w:textAlignment w:val="auto"/>
              <w:rPr>
                <w:rFonts w:ascii="Arial" w:hAnsi="Arial" w:cs="Arial"/>
                <w:sz w:val="18"/>
                <w:szCs w:val="18"/>
              </w:rPr>
            </w:pPr>
            <w:r>
              <w:rPr>
                <w:rFonts w:ascii="Arial" w:hAnsi="Arial" w:cs="Arial"/>
                <w:sz w:val="18"/>
                <w:szCs w:val="18"/>
              </w:rPr>
              <w:t>105</w:t>
            </w:r>
          </w:p>
        </w:tc>
        <w:tc>
          <w:tcPr>
            <w:tcW w:w="2100" w:type="pct"/>
            <w:tcBorders>
              <w:top w:val="nil"/>
              <w:left w:val="nil"/>
              <w:bottom w:val="single" w:color="auto" w:sz="4" w:space="0"/>
              <w:right w:val="single" w:color="auto" w:sz="4" w:space="0"/>
            </w:tcBorders>
            <w:vAlign w:val="center"/>
          </w:tcPr>
          <w:p w14:paraId="437E38A3">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hint="eastAsia" w:ascii="Arial" w:hAnsi="Arial" w:cs="Arial"/>
                <w:sz w:val="18"/>
                <w:szCs w:val="18"/>
              </w:rPr>
              <w:t>设备</w:t>
            </w:r>
            <w:r>
              <w:rPr>
                <w:rFonts w:ascii="Arial" w:hAnsi="Arial" w:cs="Arial"/>
                <w:sz w:val="18"/>
                <w:szCs w:val="18"/>
              </w:rPr>
              <w:t>对其价值的影响，</w:t>
            </w:r>
            <w:r>
              <w:rPr>
                <w:rFonts w:hint="eastAsia" w:ascii="Arial" w:hAnsi="Arial" w:cs="Arial"/>
                <w:sz w:val="18"/>
                <w:szCs w:val="18"/>
              </w:rPr>
              <w:t>从好到差划分为好、较好、一般、较差、差五个等级。</w:t>
            </w:r>
          </w:p>
          <w:p w14:paraId="5C4F9084">
            <w:pPr>
              <w:widowControl/>
              <w:adjustRightInd/>
              <w:spacing w:line="240" w:lineRule="auto"/>
              <w:textAlignment w:val="auto"/>
              <w:rPr>
                <w:rFonts w:ascii="Arial" w:hAnsi="Arial" w:cs="Arial"/>
                <w:sz w:val="18"/>
                <w:szCs w:val="18"/>
              </w:rPr>
            </w:pPr>
            <w:r>
              <w:rPr>
                <w:rFonts w:hint="eastAsia" w:ascii="Arial" w:hAnsi="Arial" w:cs="Arial"/>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Pr>
                <w:rFonts w:ascii="Arial" w:hAnsi="Arial" w:cs="Arial"/>
                <w:sz w:val="18"/>
                <w:szCs w:val="18"/>
              </w:rPr>
              <w:t>以估价对象该因素指数为100，各可比实例与之相比，确定可比实例1、2、3该因素指数分别为</w:t>
            </w:r>
            <w:r>
              <w:rPr>
                <w:rFonts w:hint="eastAsia" w:ascii="Arial" w:hAnsi="Arial" w:cs="Arial"/>
                <w:sz w:val="18"/>
                <w:szCs w:val="18"/>
              </w:rPr>
              <w:t>105、105、105。</w:t>
            </w:r>
          </w:p>
        </w:tc>
      </w:tr>
    </w:tbl>
    <w:p w14:paraId="78DB8613">
      <w:pPr>
        <w:wordWrap w:val="0"/>
        <w:overflowPunct w:val="0"/>
        <w:spacing w:line="240" w:lineRule="atLeast"/>
        <w:ind w:firstLine="420" w:firstLineChars="200"/>
        <w:rPr>
          <w:rFonts w:ascii="Arial" w:hAnsi="Arial"/>
          <w:sz w:val="21"/>
          <w:szCs w:val="21"/>
        </w:rPr>
      </w:pPr>
    </w:p>
    <w:p w14:paraId="18B37F9D">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3933757D">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062F12E2">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23"/>
        <w:tblW w:w="5000" w:type="pct"/>
        <w:tblInd w:w="0" w:type="dxa"/>
        <w:tblLayout w:type="autofit"/>
        <w:tblCellMar>
          <w:top w:w="0" w:type="dxa"/>
          <w:left w:w="108" w:type="dxa"/>
          <w:bottom w:w="0" w:type="dxa"/>
          <w:right w:w="108" w:type="dxa"/>
        </w:tblCellMar>
      </w:tblPr>
      <w:tblGrid>
        <w:gridCol w:w="1509"/>
        <w:gridCol w:w="2887"/>
        <w:gridCol w:w="1707"/>
        <w:gridCol w:w="1707"/>
        <w:gridCol w:w="1705"/>
      </w:tblGrid>
      <w:tr w14:paraId="50D3AB56">
        <w:tblPrEx>
          <w:tblCellMar>
            <w:top w:w="0" w:type="dxa"/>
            <w:left w:w="108" w:type="dxa"/>
            <w:bottom w:w="0" w:type="dxa"/>
            <w:right w:w="108" w:type="dxa"/>
          </w:tblCellMar>
        </w:tblPrEx>
        <w:trPr>
          <w:trHeight w:val="342"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56F40CBE">
            <w:pPr>
              <w:widowControl/>
              <w:adjustRightInd/>
              <w:spacing w:line="240" w:lineRule="atLeast"/>
              <w:jc w:val="center"/>
              <w:textAlignment w:val="auto"/>
              <w:rPr>
                <w:rFonts w:ascii="Arial" w:hAnsi="Arial" w:cs="Arial"/>
                <w:sz w:val="18"/>
              </w:rPr>
            </w:pPr>
            <w:r>
              <w:rPr>
                <w:rFonts w:hint="eastAsia" w:ascii="宋体" w:hAnsi="宋体" w:cs="Arial"/>
                <w:sz w:val="18"/>
              </w:rPr>
              <w:t>项目</w:t>
            </w:r>
          </w:p>
        </w:tc>
        <w:tc>
          <w:tcPr>
            <w:tcW w:w="897" w:type="pct"/>
            <w:tcBorders>
              <w:top w:val="single" w:color="auto" w:sz="4" w:space="0"/>
              <w:left w:val="nil"/>
              <w:bottom w:val="single" w:color="auto" w:sz="4" w:space="0"/>
              <w:right w:val="single" w:color="auto" w:sz="4" w:space="0"/>
            </w:tcBorders>
            <w:vAlign w:val="center"/>
          </w:tcPr>
          <w:p w14:paraId="6B99A80B">
            <w:pPr>
              <w:widowControl/>
              <w:adjustRightInd/>
              <w:spacing w:line="240" w:lineRule="atLeast"/>
              <w:jc w:val="center"/>
              <w:textAlignment w:val="auto"/>
              <w:rPr>
                <w:rFonts w:ascii="Arial" w:hAnsi="Arial" w:cs="Arial"/>
                <w:sz w:val="18"/>
              </w:rPr>
            </w:pPr>
            <w:r>
              <w:rPr>
                <w:rFonts w:hint="eastAsia" w:ascii="宋体" w:hAnsi="宋体" w:cs="Arial"/>
                <w:sz w:val="18"/>
              </w:rPr>
              <w:t>可比实例</w:t>
            </w:r>
            <w:r>
              <w:rPr>
                <w:rFonts w:ascii="Arial" w:hAnsi="Arial" w:cs="Arial"/>
                <w:sz w:val="18"/>
              </w:rPr>
              <w:t>1</w:t>
            </w:r>
          </w:p>
        </w:tc>
        <w:tc>
          <w:tcPr>
            <w:tcW w:w="897" w:type="pct"/>
            <w:tcBorders>
              <w:top w:val="single" w:color="auto" w:sz="4" w:space="0"/>
              <w:left w:val="nil"/>
              <w:bottom w:val="single" w:color="auto" w:sz="4" w:space="0"/>
              <w:right w:val="single" w:color="auto" w:sz="4" w:space="0"/>
            </w:tcBorders>
            <w:vAlign w:val="center"/>
          </w:tcPr>
          <w:p w14:paraId="00D091BB">
            <w:pPr>
              <w:widowControl/>
              <w:adjustRightInd/>
              <w:spacing w:line="240" w:lineRule="atLeast"/>
              <w:jc w:val="center"/>
              <w:textAlignment w:val="auto"/>
              <w:rPr>
                <w:rFonts w:ascii="Arial" w:hAnsi="Arial" w:cs="Arial"/>
                <w:sz w:val="18"/>
              </w:rPr>
            </w:pPr>
            <w:r>
              <w:rPr>
                <w:rFonts w:hint="eastAsia" w:ascii="宋体" w:hAnsi="宋体" w:cs="Arial"/>
                <w:sz w:val="18"/>
              </w:rPr>
              <w:t>可比实例</w:t>
            </w:r>
            <w:r>
              <w:rPr>
                <w:rFonts w:ascii="Arial" w:hAnsi="Arial" w:cs="Arial"/>
                <w:sz w:val="18"/>
              </w:rPr>
              <w:t>2</w:t>
            </w:r>
          </w:p>
        </w:tc>
        <w:tc>
          <w:tcPr>
            <w:tcW w:w="896" w:type="pct"/>
            <w:tcBorders>
              <w:top w:val="single" w:color="auto" w:sz="4" w:space="0"/>
              <w:left w:val="nil"/>
              <w:bottom w:val="single" w:color="auto" w:sz="4" w:space="0"/>
              <w:right w:val="single" w:color="auto" w:sz="4" w:space="0"/>
            </w:tcBorders>
            <w:vAlign w:val="center"/>
          </w:tcPr>
          <w:p w14:paraId="5C735D6B">
            <w:pPr>
              <w:widowControl/>
              <w:adjustRightInd/>
              <w:spacing w:line="240" w:lineRule="atLeast"/>
              <w:jc w:val="center"/>
              <w:textAlignment w:val="auto"/>
              <w:rPr>
                <w:rFonts w:ascii="Arial" w:hAnsi="Arial" w:cs="Arial"/>
                <w:sz w:val="18"/>
              </w:rPr>
            </w:pPr>
            <w:r>
              <w:rPr>
                <w:rFonts w:hint="eastAsia" w:ascii="宋体" w:hAnsi="宋体" w:cs="Arial"/>
                <w:sz w:val="18"/>
              </w:rPr>
              <w:t>可比实例</w:t>
            </w:r>
            <w:r>
              <w:rPr>
                <w:rFonts w:ascii="Arial" w:hAnsi="Arial" w:cs="Arial"/>
                <w:sz w:val="18"/>
              </w:rPr>
              <w:t>3</w:t>
            </w:r>
          </w:p>
        </w:tc>
      </w:tr>
      <w:tr w14:paraId="1B40FD6C">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6360E2E6">
            <w:pPr>
              <w:widowControl/>
              <w:adjustRightInd/>
              <w:spacing w:line="240" w:lineRule="atLeast"/>
              <w:jc w:val="center"/>
              <w:textAlignment w:val="auto"/>
              <w:rPr>
                <w:rFonts w:ascii="Arial" w:hAnsi="Arial" w:cs="Arial"/>
                <w:sz w:val="18"/>
              </w:rPr>
            </w:pPr>
            <w:r>
              <w:rPr>
                <w:rFonts w:hint="eastAsia" w:ascii="宋体" w:hAnsi="宋体" w:cs="Arial"/>
                <w:sz w:val="18"/>
              </w:rPr>
              <w:t>小区名称</w:t>
            </w:r>
          </w:p>
        </w:tc>
        <w:tc>
          <w:tcPr>
            <w:tcW w:w="897" w:type="pct"/>
            <w:tcBorders>
              <w:top w:val="nil"/>
              <w:left w:val="nil"/>
              <w:bottom w:val="single" w:color="auto" w:sz="4" w:space="0"/>
              <w:right w:val="single" w:color="auto" w:sz="4" w:space="0"/>
            </w:tcBorders>
            <w:vAlign w:val="center"/>
          </w:tcPr>
          <w:p w14:paraId="16ED7789">
            <w:pPr>
              <w:widowControl/>
              <w:adjustRightInd/>
              <w:spacing w:line="240" w:lineRule="auto"/>
              <w:jc w:val="center"/>
              <w:textAlignment w:val="auto"/>
              <w:rPr>
                <w:rFonts w:ascii="Arial" w:hAnsi="Arial" w:cs="Arial"/>
                <w:sz w:val="18"/>
              </w:rPr>
            </w:pPr>
            <w:r>
              <w:rPr>
                <w:rFonts w:hint="eastAsia" w:ascii="Arial" w:hAnsi="Arial" w:cs="Arial"/>
                <w:sz w:val="18"/>
              </w:rPr>
              <w:t>保利茉莉公馆</w:t>
            </w:r>
          </w:p>
        </w:tc>
        <w:tc>
          <w:tcPr>
            <w:tcW w:w="897" w:type="pct"/>
            <w:tcBorders>
              <w:top w:val="nil"/>
              <w:left w:val="nil"/>
              <w:bottom w:val="single" w:color="auto" w:sz="4" w:space="0"/>
              <w:right w:val="single" w:color="auto" w:sz="4" w:space="0"/>
            </w:tcBorders>
            <w:vAlign w:val="center"/>
          </w:tcPr>
          <w:p w14:paraId="2F0F7E6A">
            <w:pPr>
              <w:widowControl/>
              <w:adjustRightInd/>
              <w:spacing w:line="240" w:lineRule="auto"/>
              <w:jc w:val="center"/>
              <w:textAlignment w:val="auto"/>
              <w:rPr>
                <w:rFonts w:ascii="Arial" w:hAnsi="Arial" w:cs="Arial"/>
                <w:sz w:val="18"/>
              </w:rPr>
            </w:pPr>
            <w:r>
              <w:rPr>
                <w:rFonts w:hint="eastAsia" w:ascii="Arial" w:hAnsi="Arial" w:cs="Arial"/>
                <w:sz w:val="18"/>
              </w:rPr>
              <w:t>郁花园二里</w:t>
            </w:r>
          </w:p>
        </w:tc>
        <w:tc>
          <w:tcPr>
            <w:tcW w:w="896" w:type="pct"/>
            <w:tcBorders>
              <w:top w:val="nil"/>
              <w:left w:val="nil"/>
              <w:bottom w:val="single" w:color="auto" w:sz="4" w:space="0"/>
              <w:right w:val="single" w:color="auto" w:sz="4" w:space="0"/>
            </w:tcBorders>
            <w:vAlign w:val="center"/>
          </w:tcPr>
          <w:p w14:paraId="00717277">
            <w:pPr>
              <w:widowControl/>
              <w:adjustRightInd/>
              <w:spacing w:line="240" w:lineRule="auto"/>
              <w:jc w:val="center"/>
              <w:textAlignment w:val="auto"/>
              <w:rPr>
                <w:rFonts w:ascii="Arial" w:hAnsi="Arial" w:cs="Arial"/>
                <w:sz w:val="18"/>
              </w:rPr>
            </w:pPr>
            <w:r>
              <w:rPr>
                <w:rFonts w:hint="eastAsia" w:ascii="Arial" w:hAnsi="Arial" w:cs="Arial"/>
                <w:sz w:val="18"/>
              </w:rPr>
              <w:t>滨河西里南区</w:t>
            </w:r>
          </w:p>
        </w:tc>
      </w:tr>
      <w:tr w14:paraId="62227940">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2746E8EF">
            <w:pPr>
              <w:widowControl/>
              <w:adjustRightInd/>
              <w:spacing w:line="240" w:lineRule="atLeast"/>
              <w:textAlignment w:val="auto"/>
              <w:rPr>
                <w:rFonts w:ascii="Arial" w:hAnsi="Arial" w:cs="Arial"/>
                <w:sz w:val="18"/>
              </w:rPr>
            </w:pPr>
            <w:r>
              <w:rPr>
                <w:rFonts w:hint="eastAsia" w:ascii="宋体" w:hAnsi="宋体" w:cs="Arial"/>
                <w:sz w:val="18"/>
              </w:rPr>
              <w:t>平均租金（元</w:t>
            </w:r>
            <w:r>
              <w:rPr>
                <w:rFonts w:ascii="Arial" w:hAnsi="Arial" w:cs="Arial"/>
                <w:sz w:val="18"/>
              </w:rPr>
              <w:t>/</w:t>
            </w:r>
            <w:r>
              <w:rPr>
                <w:rFonts w:hint="eastAsia" w:ascii="宋体" w:hAnsi="宋体" w:cs="Arial"/>
                <w:sz w:val="18"/>
              </w:rPr>
              <w:t>平方米</w:t>
            </w:r>
            <w:r>
              <w:rPr>
                <w:rFonts w:ascii="Arial" w:hAnsi="Arial" w:cs="Arial"/>
                <w:sz w:val="18"/>
              </w:rPr>
              <w:t>·</w:t>
            </w:r>
            <w:r>
              <w:rPr>
                <w:rFonts w:hint="eastAsia" w:ascii="宋体" w:hAnsi="宋体" w:cs="Arial"/>
                <w:sz w:val="18"/>
              </w:rPr>
              <w:t>月）</w:t>
            </w:r>
          </w:p>
        </w:tc>
        <w:tc>
          <w:tcPr>
            <w:tcW w:w="897" w:type="pct"/>
            <w:tcBorders>
              <w:top w:val="nil"/>
              <w:left w:val="nil"/>
              <w:bottom w:val="single" w:color="auto" w:sz="4" w:space="0"/>
              <w:right w:val="single" w:color="auto" w:sz="4" w:space="0"/>
            </w:tcBorders>
            <w:vAlign w:val="center"/>
          </w:tcPr>
          <w:p w14:paraId="6662EFDA">
            <w:pPr>
              <w:widowControl/>
              <w:adjustRightInd/>
              <w:spacing w:line="240" w:lineRule="auto"/>
              <w:jc w:val="center"/>
              <w:textAlignment w:val="auto"/>
              <w:rPr>
                <w:rFonts w:ascii="Arial" w:hAnsi="Arial" w:cs="Arial"/>
                <w:sz w:val="18"/>
              </w:rPr>
            </w:pPr>
            <w:r>
              <w:rPr>
                <w:rFonts w:hint="eastAsia" w:ascii="Arial" w:hAnsi="Arial" w:cs="Arial"/>
                <w:sz w:val="18"/>
              </w:rPr>
              <w:t>67.</w:t>
            </w:r>
            <w:r>
              <w:rPr>
                <w:rFonts w:ascii="Arial" w:hAnsi="Arial" w:cs="Arial"/>
                <w:sz w:val="18"/>
              </w:rPr>
              <w:t>0</w:t>
            </w:r>
            <w:r>
              <w:rPr>
                <w:rFonts w:hint="eastAsia" w:ascii="Arial" w:hAnsi="Arial" w:cs="Arial"/>
                <w:sz w:val="18"/>
              </w:rPr>
              <w:t>5</w:t>
            </w:r>
          </w:p>
        </w:tc>
        <w:tc>
          <w:tcPr>
            <w:tcW w:w="897" w:type="pct"/>
            <w:tcBorders>
              <w:top w:val="nil"/>
              <w:left w:val="nil"/>
              <w:bottom w:val="single" w:color="auto" w:sz="4" w:space="0"/>
              <w:right w:val="single" w:color="auto" w:sz="4" w:space="0"/>
            </w:tcBorders>
            <w:vAlign w:val="center"/>
          </w:tcPr>
          <w:p w14:paraId="7C986A47">
            <w:pPr>
              <w:widowControl/>
              <w:adjustRightInd/>
              <w:spacing w:line="240" w:lineRule="auto"/>
              <w:jc w:val="center"/>
              <w:textAlignment w:val="auto"/>
              <w:rPr>
                <w:rFonts w:ascii="Arial" w:hAnsi="Arial" w:cs="Arial"/>
                <w:sz w:val="18"/>
              </w:rPr>
            </w:pPr>
            <w:r>
              <w:rPr>
                <w:rFonts w:ascii="Arial" w:hAnsi="Arial" w:cs="Arial"/>
                <w:sz w:val="18"/>
              </w:rPr>
              <w:t>62.82</w:t>
            </w:r>
          </w:p>
        </w:tc>
        <w:tc>
          <w:tcPr>
            <w:tcW w:w="896" w:type="pct"/>
            <w:tcBorders>
              <w:top w:val="nil"/>
              <w:left w:val="nil"/>
              <w:bottom w:val="single" w:color="auto" w:sz="4" w:space="0"/>
              <w:right w:val="single" w:color="auto" w:sz="4" w:space="0"/>
            </w:tcBorders>
            <w:vAlign w:val="center"/>
          </w:tcPr>
          <w:p w14:paraId="7E32137C">
            <w:pPr>
              <w:widowControl/>
              <w:adjustRightInd/>
              <w:spacing w:line="240" w:lineRule="auto"/>
              <w:jc w:val="center"/>
              <w:textAlignment w:val="auto"/>
              <w:rPr>
                <w:rFonts w:ascii="Arial" w:hAnsi="Arial" w:cs="Arial"/>
                <w:sz w:val="18"/>
              </w:rPr>
            </w:pPr>
            <w:r>
              <w:rPr>
                <w:rFonts w:ascii="Arial" w:hAnsi="Arial" w:cs="Arial"/>
                <w:sz w:val="18"/>
              </w:rPr>
              <w:t>53.78</w:t>
            </w:r>
          </w:p>
        </w:tc>
      </w:tr>
      <w:tr w14:paraId="74AE5F5D">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5F927A2B">
            <w:pPr>
              <w:widowControl/>
              <w:adjustRightInd/>
              <w:spacing w:line="240" w:lineRule="atLeast"/>
              <w:textAlignment w:val="auto"/>
              <w:rPr>
                <w:rFonts w:ascii="Arial" w:hAnsi="Arial" w:cs="Arial"/>
                <w:sz w:val="18"/>
              </w:rPr>
            </w:pPr>
            <w:r>
              <w:rPr>
                <w:rFonts w:hint="eastAsia" w:ascii="宋体" w:hAnsi="宋体" w:cs="Arial"/>
                <w:sz w:val="18"/>
              </w:rPr>
              <w:t>交易时间</w:t>
            </w:r>
          </w:p>
        </w:tc>
        <w:tc>
          <w:tcPr>
            <w:tcW w:w="897" w:type="pct"/>
            <w:tcBorders>
              <w:top w:val="nil"/>
              <w:left w:val="nil"/>
              <w:bottom w:val="single" w:color="auto" w:sz="4" w:space="0"/>
              <w:right w:val="single" w:color="auto" w:sz="4" w:space="0"/>
            </w:tcBorders>
            <w:vAlign w:val="center"/>
          </w:tcPr>
          <w:p w14:paraId="1165AF5F">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05058AA2">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40A42864">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692785B8">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608D6739">
            <w:pPr>
              <w:widowControl/>
              <w:adjustRightInd/>
              <w:spacing w:line="240" w:lineRule="atLeast"/>
              <w:textAlignment w:val="auto"/>
              <w:rPr>
                <w:rFonts w:ascii="Arial" w:hAnsi="Arial" w:cs="Arial"/>
                <w:sz w:val="18"/>
              </w:rPr>
            </w:pPr>
            <w:r>
              <w:rPr>
                <w:rFonts w:hint="eastAsia" w:ascii="宋体" w:hAnsi="宋体" w:cs="Arial"/>
                <w:sz w:val="18"/>
              </w:rPr>
              <w:t>交易情况</w:t>
            </w:r>
          </w:p>
        </w:tc>
        <w:tc>
          <w:tcPr>
            <w:tcW w:w="897" w:type="pct"/>
            <w:tcBorders>
              <w:top w:val="nil"/>
              <w:left w:val="nil"/>
              <w:bottom w:val="single" w:color="auto" w:sz="4" w:space="0"/>
              <w:right w:val="single" w:color="auto" w:sz="4" w:space="0"/>
            </w:tcBorders>
            <w:vAlign w:val="center"/>
          </w:tcPr>
          <w:p w14:paraId="2BBDDA0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2D626D6D">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340CC67D">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0786087D">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2C41DBA8">
            <w:pPr>
              <w:widowControl/>
              <w:adjustRightInd/>
              <w:spacing w:line="240" w:lineRule="atLeast"/>
              <w:jc w:val="center"/>
              <w:textAlignment w:val="auto"/>
              <w:rPr>
                <w:rFonts w:ascii="Arial" w:hAnsi="Arial" w:cs="Arial"/>
                <w:sz w:val="18"/>
                <w:szCs w:val="22"/>
              </w:rPr>
            </w:pPr>
            <w:r>
              <w:rPr>
                <w:rFonts w:hint="eastAsia" w:ascii="宋体" w:hAnsi="宋体" w:cs="Arial"/>
                <w:sz w:val="18"/>
                <w:szCs w:val="22"/>
              </w:rPr>
              <w:t>区域状况</w:t>
            </w:r>
          </w:p>
        </w:tc>
        <w:tc>
          <w:tcPr>
            <w:tcW w:w="1517" w:type="pct"/>
            <w:tcBorders>
              <w:top w:val="nil"/>
              <w:left w:val="nil"/>
              <w:bottom w:val="single" w:color="auto" w:sz="4" w:space="0"/>
              <w:right w:val="single" w:color="auto" w:sz="4" w:space="0"/>
            </w:tcBorders>
            <w:vAlign w:val="center"/>
          </w:tcPr>
          <w:p w14:paraId="75948083">
            <w:pPr>
              <w:widowControl/>
              <w:adjustRightInd/>
              <w:spacing w:line="240" w:lineRule="auto"/>
              <w:textAlignment w:val="auto"/>
              <w:rPr>
                <w:rFonts w:ascii="Arial" w:hAnsi="Arial" w:cs="Arial"/>
                <w:sz w:val="18"/>
              </w:rPr>
            </w:pPr>
            <w:r>
              <w:rPr>
                <w:rFonts w:hint="eastAsia" w:ascii="宋体" w:hAnsi="宋体" w:cs="Arial"/>
                <w:sz w:val="18"/>
              </w:rPr>
              <w:t>居住区成熟度</w:t>
            </w:r>
          </w:p>
        </w:tc>
        <w:tc>
          <w:tcPr>
            <w:tcW w:w="897" w:type="pct"/>
            <w:tcBorders>
              <w:top w:val="nil"/>
              <w:left w:val="nil"/>
              <w:bottom w:val="single" w:color="auto" w:sz="4" w:space="0"/>
              <w:right w:val="single" w:color="auto" w:sz="4" w:space="0"/>
            </w:tcBorders>
            <w:vAlign w:val="center"/>
          </w:tcPr>
          <w:p w14:paraId="5D13228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4220F933">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0604F70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7A723F58">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C004C52">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727CC65E">
            <w:pPr>
              <w:widowControl/>
              <w:adjustRightInd/>
              <w:spacing w:line="240" w:lineRule="auto"/>
              <w:textAlignment w:val="auto"/>
              <w:rPr>
                <w:rFonts w:ascii="Arial" w:hAnsi="Arial" w:cs="Arial"/>
                <w:sz w:val="18"/>
              </w:rPr>
            </w:pPr>
            <w:r>
              <w:rPr>
                <w:rFonts w:hint="eastAsia" w:ascii="宋体" w:hAnsi="宋体" w:cs="Arial"/>
                <w:sz w:val="18"/>
              </w:rPr>
              <w:t>交通条件</w:t>
            </w:r>
          </w:p>
        </w:tc>
        <w:tc>
          <w:tcPr>
            <w:tcW w:w="897" w:type="pct"/>
            <w:tcBorders>
              <w:top w:val="nil"/>
              <w:left w:val="nil"/>
              <w:bottom w:val="single" w:color="auto" w:sz="4" w:space="0"/>
              <w:right w:val="single" w:color="auto" w:sz="4" w:space="0"/>
            </w:tcBorders>
            <w:vAlign w:val="center"/>
          </w:tcPr>
          <w:p w14:paraId="37D3098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7" w:type="pct"/>
            <w:tcBorders>
              <w:top w:val="nil"/>
              <w:left w:val="nil"/>
              <w:bottom w:val="single" w:color="auto" w:sz="4" w:space="0"/>
              <w:right w:val="single" w:color="auto" w:sz="4" w:space="0"/>
            </w:tcBorders>
            <w:vAlign w:val="center"/>
          </w:tcPr>
          <w:p w14:paraId="36211972">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6" w:type="pct"/>
            <w:tcBorders>
              <w:top w:val="nil"/>
              <w:left w:val="nil"/>
              <w:bottom w:val="single" w:color="auto" w:sz="4" w:space="0"/>
              <w:right w:val="single" w:color="auto" w:sz="4" w:space="0"/>
            </w:tcBorders>
            <w:vAlign w:val="center"/>
          </w:tcPr>
          <w:p w14:paraId="2ED9F3FF">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r>
      <w:tr w14:paraId="6259016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BF51EA3">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55A51CDE">
            <w:pPr>
              <w:widowControl/>
              <w:adjustRightInd/>
              <w:spacing w:line="240" w:lineRule="auto"/>
              <w:textAlignment w:val="auto"/>
              <w:rPr>
                <w:rFonts w:ascii="Arial" w:hAnsi="Arial" w:cs="Arial"/>
                <w:sz w:val="18"/>
              </w:rPr>
            </w:pPr>
            <w:r>
              <w:rPr>
                <w:rFonts w:hint="eastAsia" w:ascii="宋体" w:hAnsi="宋体" w:cs="Arial"/>
                <w:sz w:val="18"/>
              </w:rPr>
              <w:t>商业设施</w:t>
            </w:r>
          </w:p>
        </w:tc>
        <w:tc>
          <w:tcPr>
            <w:tcW w:w="897" w:type="pct"/>
            <w:tcBorders>
              <w:top w:val="nil"/>
              <w:left w:val="nil"/>
              <w:bottom w:val="single" w:color="auto" w:sz="4" w:space="0"/>
              <w:right w:val="single" w:color="auto" w:sz="4" w:space="0"/>
            </w:tcBorders>
            <w:vAlign w:val="center"/>
          </w:tcPr>
          <w:p w14:paraId="3A515FB1">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5ED0EA7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0FC06114">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7623F666">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B987F2E">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7453AD3F">
            <w:pPr>
              <w:widowControl/>
              <w:adjustRightInd/>
              <w:spacing w:line="240" w:lineRule="auto"/>
              <w:textAlignment w:val="auto"/>
              <w:rPr>
                <w:rFonts w:ascii="Arial" w:hAnsi="Arial" w:cs="Arial"/>
                <w:sz w:val="18"/>
              </w:rPr>
            </w:pPr>
            <w:r>
              <w:rPr>
                <w:rFonts w:hint="eastAsia" w:ascii="宋体" w:hAnsi="宋体" w:cs="Arial"/>
                <w:sz w:val="18"/>
              </w:rPr>
              <w:t>自然环境</w:t>
            </w:r>
          </w:p>
        </w:tc>
        <w:tc>
          <w:tcPr>
            <w:tcW w:w="897" w:type="pct"/>
            <w:tcBorders>
              <w:top w:val="nil"/>
              <w:left w:val="nil"/>
              <w:bottom w:val="single" w:color="auto" w:sz="4" w:space="0"/>
              <w:right w:val="single" w:color="auto" w:sz="4" w:space="0"/>
            </w:tcBorders>
            <w:vAlign w:val="center"/>
          </w:tcPr>
          <w:p w14:paraId="492A4A2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766C05E5">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292B1DD3">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66D304A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5CB0A396">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7F808722">
            <w:pPr>
              <w:widowControl/>
              <w:adjustRightInd/>
              <w:spacing w:line="240" w:lineRule="auto"/>
              <w:textAlignment w:val="auto"/>
              <w:rPr>
                <w:rFonts w:ascii="Arial" w:hAnsi="Arial" w:cs="Arial"/>
                <w:sz w:val="18"/>
              </w:rPr>
            </w:pPr>
            <w:r>
              <w:rPr>
                <w:rFonts w:hint="eastAsia" w:ascii="宋体" w:hAnsi="宋体" w:cs="Arial"/>
                <w:sz w:val="18"/>
              </w:rPr>
              <w:t>公共配套</w:t>
            </w:r>
          </w:p>
        </w:tc>
        <w:tc>
          <w:tcPr>
            <w:tcW w:w="897" w:type="pct"/>
            <w:tcBorders>
              <w:top w:val="nil"/>
              <w:left w:val="nil"/>
              <w:bottom w:val="single" w:color="auto" w:sz="4" w:space="0"/>
              <w:right w:val="single" w:color="auto" w:sz="4" w:space="0"/>
            </w:tcBorders>
            <w:vAlign w:val="center"/>
          </w:tcPr>
          <w:p w14:paraId="00CD14CC">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7" w:type="pct"/>
            <w:tcBorders>
              <w:top w:val="nil"/>
              <w:left w:val="nil"/>
              <w:bottom w:val="single" w:color="auto" w:sz="4" w:space="0"/>
              <w:right w:val="single" w:color="auto" w:sz="4" w:space="0"/>
            </w:tcBorders>
            <w:vAlign w:val="center"/>
          </w:tcPr>
          <w:p w14:paraId="56A389E2">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6" w:type="pct"/>
            <w:tcBorders>
              <w:top w:val="nil"/>
              <w:left w:val="nil"/>
              <w:bottom w:val="single" w:color="auto" w:sz="4" w:space="0"/>
              <w:right w:val="single" w:color="auto" w:sz="4" w:space="0"/>
            </w:tcBorders>
            <w:vAlign w:val="center"/>
          </w:tcPr>
          <w:p w14:paraId="5AED90A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r>
      <w:tr w14:paraId="56FB4A95">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4867288E">
            <w:pPr>
              <w:widowControl/>
              <w:adjustRightInd/>
              <w:spacing w:line="240" w:lineRule="atLeast"/>
              <w:jc w:val="center"/>
              <w:textAlignment w:val="auto"/>
              <w:rPr>
                <w:rFonts w:ascii="Arial" w:hAnsi="Arial" w:cs="Arial"/>
                <w:sz w:val="18"/>
                <w:szCs w:val="22"/>
              </w:rPr>
            </w:pPr>
            <w:r>
              <w:rPr>
                <w:rFonts w:hint="eastAsia" w:ascii="宋体" w:hAnsi="宋体" w:cs="Arial"/>
                <w:sz w:val="18"/>
                <w:szCs w:val="22"/>
              </w:rPr>
              <w:t>实物状况</w:t>
            </w:r>
          </w:p>
        </w:tc>
        <w:tc>
          <w:tcPr>
            <w:tcW w:w="1517" w:type="pct"/>
            <w:tcBorders>
              <w:top w:val="nil"/>
              <w:left w:val="nil"/>
              <w:bottom w:val="single" w:color="auto" w:sz="4" w:space="0"/>
              <w:right w:val="single" w:color="auto" w:sz="4" w:space="0"/>
            </w:tcBorders>
            <w:vAlign w:val="center"/>
          </w:tcPr>
          <w:p w14:paraId="388BA2E8">
            <w:pPr>
              <w:widowControl/>
              <w:adjustRightInd/>
              <w:spacing w:line="240" w:lineRule="auto"/>
              <w:textAlignment w:val="auto"/>
              <w:rPr>
                <w:rFonts w:ascii="Arial" w:hAnsi="Arial" w:cs="Arial"/>
                <w:sz w:val="18"/>
              </w:rPr>
            </w:pPr>
            <w:r>
              <w:rPr>
                <w:rFonts w:hint="eastAsia" w:ascii="Arial" w:hAnsi="Arial" w:cs="Arial"/>
                <w:sz w:val="18"/>
              </w:rPr>
              <w:t>物业服务</w:t>
            </w:r>
          </w:p>
        </w:tc>
        <w:tc>
          <w:tcPr>
            <w:tcW w:w="897" w:type="pct"/>
            <w:tcBorders>
              <w:top w:val="nil"/>
              <w:left w:val="nil"/>
              <w:bottom w:val="single" w:color="auto" w:sz="4" w:space="0"/>
              <w:right w:val="single" w:color="auto" w:sz="4" w:space="0"/>
            </w:tcBorders>
            <w:vAlign w:val="center"/>
          </w:tcPr>
          <w:p w14:paraId="5FF57785">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66F70FF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2F2C711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39184948">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1691E0F">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38B2D674">
            <w:pPr>
              <w:widowControl/>
              <w:adjustRightInd/>
              <w:spacing w:line="240" w:lineRule="auto"/>
              <w:textAlignment w:val="auto"/>
              <w:rPr>
                <w:rFonts w:ascii="Arial" w:hAnsi="Arial" w:cs="Arial"/>
                <w:sz w:val="18"/>
              </w:rPr>
            </w:pPr>
            <w:r>
              <w:rPr>
                <w:rFonts w:hint="eastAsia" w:ascii="Arial" w:hAnsi="Arial" w:cs="Arial"/>
                <w:sz w:val="18"/>
              </w:rPr>
              <w:t>小区环境</w:t>
            </w:r>
          </w:p>
        </w:tc>
        <w:tc>
          <w:tcPr>
            <w:tcW w:w="897" w:type="pct"/>
            <w:tcBorders>
              <w:top w:val="nil"/>
              <w:left w:val="nil"/>
              <w:bottom w:val="single" w:color="auto" w:sz="4" w:space="0"/>
              <w:right w:val="single" w:color="auto" w:sz="4" w:space="0"/>
            </w:tcBorders>
            <w:vAlign w:val="center"/>
          </w:tcPr>
          <w:p w14:paraId="3FD9F20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27273D08">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275D15C1">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1ED2691D">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73C02386">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2D1FB9C0">
            <w:pPr>
              <w:widowControl/>
              <w:adjustRightInd/>
              <w:spacing w:line="240" w:lineRule="auto"/>
              <w:textAlignment w:val="auto"/>
              <w:rPr>
                <w:rFonts w:ascii="Arial" w:hAnsi="Arial" w:cs="Arial"/>
                <w:sz w:val="18"/>
              </w:rPr>
            </w:pPr>
            <w:r>
              <w:rPr>
                <w:rFonts w:hint="eastAsia" w:ascii="Arial" w:hAnsi="Arial" w:cs="Arial"/>
                <w:sz w:val="18"/>
              </w:rPr>
              <w:t>配套设施</w:t>
            </w:r>
          </w:p>
        </w:tc>
        <w:tc>
          <w:tcPr>
            <w:tcW w:w="897" w:type="pct"/>
            <w:tcBorders>
              <w:top w:val="nil"/>
              <w:left w:val="nil"/>
              <w:bottom w:val="single" w:color="auto" w:sz="4" w:space="0"/>
              <w:right w:val="single" w:color="auto" w:sz="4" w:space="0"/>
            </w:tcBorders>
            <w:vAlign w:val="center"/>
          </w:tcPr>
          <w:p w14:paraId="3525CE25">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066241A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027D5FD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31995FCE">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917453F">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5CC845D8">
            <w:pPr>
              <w:widowControl/>
              <w:adjustRightInd/>
              <w:spacing w:line="240" w:lineRule="auto"/>
              <w:textAlignment w:val="auto"/>
              <w:rPr>
                <w:rFonts w:ascii="Arial" w:hAnsi="Arial" w:cs="Arial"/>
                <w:sz w:val="18"/>
              </w:rPr>
            </w:pPr>
            <w:r>
              <w:rPr>
                <w:rFonts w:hint="eastAsia" w:ascii="Arial" w:hAnsi="Arial" w:cs="Arial"/>
                <w:sz w:val="18"/>
              </w:rPr>
              <w:t>居住管理</w:t>
            </w:r>
          </w:p>
        </w:tc>
        <w:tc>
          <w:tcPr>
            <w:tcW w:w="897" w:type="pct"/>
            <w:tcBorders>
              <w:top w:val="nil"/>
              <w:left w:val="nil"/>
              <w:bottom w:val="single" w:color="auto" w:sz="4" w:space="0"/>
              <w:right w:val="single" w:color="auto" w:sz="4" w:space="0"/>
            </w:tcBorders>
            <w:vAlign w:val="center"/>
          </w:tcPr>
          <w:p w14:paraId="0A2C6602">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64521BD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3D02DB0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53336AB4">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63FD2784">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01E1F050">
            <w:pPr>
              <w:widowControl/>
              <w:adjustRightInd/>
              <w:spacing w:line="240" w:lineRule="auto"/>
              <w:textAlignment w:val="auto"/>
              <w:rPr>
                <w:rFonts w:ascii="Arial" w:hAnsi="Arial" w:cs="Arial"/>
                <w:sz w:val="18"/>
              </w:rPr>
            </w:pPr>
            <w:r>
              <w:rPr>
                <w:rFonts w:hint="eastAsia" w:ascii="Arial" w:hAnsi="Arial" w:cs="Arial"/>
                <w:sz w:val="18"/>
              </w:rPr>
              <w:t>朝向</w:t>
            </w:r>
          </w:p>
        </w:tc>
        <w:tc>
          <w:tcPr>
            <w:tcW w:w="897" w:type="pct"/>
            <w:tcBorders>
              <w:top w:val="nil"/>
              <w:left w:val="nil"/>
              <w:bottom w:val="single" w:color="auto" w:sz="4" w:space="0"/>
              <w:right w:val="single" w:color="auto" w:sz="4" w:space="0"/>
            </w:tcBorders>
            <w:vAlign w:val="center"/>
          </w:tcPr>
          <w:p w14:paraId="53CCDC1E">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7525476F">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32326AAE">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446D37C2">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76915EE4">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41F2596C">
            <w:pPr>
              <w:widowControl/>
              <w:adjustRightInd/>
              <w:spacing w:line="240" w:lineRule="auto"/>
              <w:textAlignment w:val="auto"/>
              <w:rPr>
                <w:rFonts w:ascii="Arial" w:hAnsi="Arial" w:cs="Arial"/>
                <w:sz w:val="18"/>
              </w:rPr>
            </w:pPr>
            <w:r>
              <w:rPr>
                <w:rFonts w:hint="eastAsia" w:ascii="Arial" w:hAnsi="Arial" w:cs="Arial"/>
                <w:sz w:val="18"/>
              </w:rPr>
              <w:t>建筑类型</w:t>
            </w:r>
          </w:p>
        </w:tc>
        <w:tc>
          <w:tcPr>
            <w:tcW w:w="897" w:type="pct"/>
            <w:tcBorders>
              <w:top w:val="nil"/>
              <w:left w:val="nil"/>
              <w:bottom w:val="single" w:color="auto" w:sz="4" w:space="0"/>
              <w:right w:val="single" w:color="auto" w:sz="4" w:space="0"/>
            </w:tcBorders>
            <w:vAlign w:val="center"/>
          </w:tcPr>
          <w:p w14:paraId="095D632C">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5EB247C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6" w:type="pct"/>
            <w:tcBorders>
              <w:top w:val="nil"/>
              <w:left w:val="nil"/>
              <w:bottom w:val="single" w:color="auto" w:sz="4" w:space="0"/>
              <w:right w:val="single" w:color="auto" w:sz="4" w:space="0"/>
            </w:tcBorders>
            <w:vAlign w:val="center"/>
          </w:tcPr>
          <w:p w14:paraId="7878915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r>
      <w:tr w14:paraId="48648512">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159694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color="auto" w:sz="4" w:space="0"/>
              <w:right w:val="single" w:color="auto" w:sz="4" w:space="0"/>
            </w:tcBorders>
            <w:vAlign w:val="center"/>
          </w:tcPr>
          <w:p w14:paraId="5E2819BD">
            <w:pPr>
              <w:widowControl/>
              <w:adjustRightInd/>
              <w:spacing w:line="240" w:lineRule="auto"/>
              <w:textAlignment w:val="auto"/>
              <w:rPr>
                <w:rFonts w:ascii="Arial" w:hAnsi="Arial" w:cs="Arial"/>
                <w:sz w:val="18"/>
              </w:rPr>
            </w:pPr>
            <w:r>
              <w:rPr>
                <w:rFonts w:hint="eastAsia" w:ascii="Arial" w:hAnsi="Arial" w:cs="Arial"/>
                <w:sz w:val="18"/>
              </w:rPr>
              <w:t>是否有电梯</w:t>
            </w:r>
          </w:p>
        </w:tc>
        <w:tc>
          <w:tcPr>
            <w:tcW w:w="897" w:type="pct"/>
            <w:tcBorders>
              <w:top w:val="nil"/>
              <w:left w:val="nil"/>
              <w:bottom w:val="single" w:color="auto" w:sz="4" w:space="0"/>
              <w:right w:val="single" w:color="auto" w:sz="4" w:space="0"/>
            </w:tcBorders>
            <w:vAlign w:val="center"/>
          </w:tcPr>
          <w:p w14:paraId="43703ECE">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44262D4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98</w:t>
            </w:r>
          </w:p>
        </w:tc>
        <w:tc>
          <w:tcPr>
            <w:tcW w:w="896" w:type="pct"/>
            <w:tcBorders>
              <w:top w:val="nil"/>
              <w:left w:val="nil"/>
              <w:bottom w:val="single" w:color="auto" w:sz="4" w:space="0"/>
              <w:right w:val="single" w:color="auto" w:sz="4" w:space="0"/>
            </w:tcBorders>
            <w:vAlign w:val="center"/>
          </w:tcPr>
          <w:p w14:paraId="07A4628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98</w:t>
            </w:r>
          </w:p>
        </w:tc>
      </w:tr>
      <w:tr w14:paraId="0B03DC5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D00F64D">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18F5C63C">
            <w:pPr>
              <w:widowControl/>
              <w:adjustRightInd/>
              <w:spacing w:line="240" w:lineRule="auto"/>
              <w:textAlignment w:val="auto"/>
              <w:rPr>
                <w:rFonts w:ascii="Arial" w:hAnsi="Arial" w:cs="Arial"/>
                <w:sz w:val="18"/>
              </w:rPr>
            </w:pPr>
            <w:r>
              <w:rPr>
                <w:rFonts w:hint="eastAsia" w:ascii="Arial" w:hAnsi="Arial" w:cs="Arial"/>
                <w:sz w:val="18"/>
              </w:rPr>
              <w:t>电梯数量</w:t>
            </w:r>
          </w:p>
        </w:tc>
        <w:tc>
          <w:tcPr>
            <w:tcW w:w="897" w:type="pct"/>
            <w:tcBorders>
              <w:top w:val="nil"/>
              <w:left w:val="nil"/>
              <w:bottom w:val="single" w:color="auto" w:sz="4" w:space="0"/>
              <w:right w:val="single" w:color="auto" w:sz="4" w:space="0"/>
            </w:tcBorders>
            <w:vAlign w:val="center"/>
          </w:tcPr>
          <w:p w14:paraId="27C2B29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7" w:type="pct"/>
            <w:tcBorders>
              <w:top w:val="nil"/>
              <w:left w:val="nil"/>
              <w:bottom w:val="single" w:color="auto" w:sz="4" w:space="0"/>
              <w:right w:val="single" w:color="auto" w:sz="4" w:space="0"/>
            </w:tcBorders>
            <w:vAlign w:val="center"/>
          </w:tcPr>
          <w:p w14:paraId="734AB0BC">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c>
          <w:tcPr>
            <w:tcW w:w="896" w:type="pct"/>
            <w:tcBorders>
              <w:top w:val="nil"/>
              <w:left w:val="nil"/>
              <w:bottom w:val="single" w:color="auto" w:sz="4" w:space="0"/>
              <w:right w:val="single" w:color="auto" w:sz="4" w:space="0"/>
            </w:tcBorders>
            <w:vAlign w:val="center"/>
          </w:tcPr>
          <w:p w14:paraId="136B00A1">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103</w:t>
            </w:r>
          </w:p>
        </w:tc>
      </w:tr>
      <w:tr w14:paraId="27D27CAB">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E296DEB">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066AA891">
            <w:pPr>
              <w:widowControl/>
              <w:adjustRightInd/>
              <w:spacing w:line="240" w:lineRule="auto"/>
              <w:textAlignment w:val="auto"/>
              <w:rPr>
                <w:rFonts w:ascii="Arial" w:hAnsi="Arial" w:cs="Arial"/>
                <w:sz w:val="18"/>
              </w:rPr>
            </w:pPr>
            <w:r>
              <w:rPr>
                <w:rFonts w:hint="eastAsia" w:ascii="Arial" w:hAnsi="Arial" w:cs="Arial"/>
                <w:sz w:val="18"/>
              </w:rPr>
              <w:t>户型</w:t>
            </w:r>
          </w:p>
        </w:tc>
        <w:tc>
          <w:tcPr>
            <w:tcW w:w="897" w:type="pct"/>
            <w:tcBorders>
              <w:top w:val="nil"/>
              <w:left w:val="nil"/>
              <w:bottom w:val="single" w:color="auto" w:sz="4" w:space="0"/>
              <w:right w:val="single" w:color="auto" w:sz="4" w:space="0"/>
            </w:tcBorders>
            <w:vAlign w:val="center"/>
          </w:tcPr>
          <w:p w14:paraId="44D16E22">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317AF5AE">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552FDA31">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099AB6DA">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5105710E">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58CF041F">
            <w:pPr>
              <w:widowControl/>
              <w:adjustRightInd/>
              <w:spacing w:line="240" w:lineRule="auto"/>
              <w:textAlignment w:val="auto"/>
              <w:rPr>
                <w:rFonts w:ascii="Arial" w:hAnsi="Arial" w:cs="Arial"/>
                <w:sz w:val="18"/>
              </w:rPr>
            </w:pPr>
            <w:r>
              <w:rPr>
                <w:rFonts w:hint="eastAsia" w:ascii="Arial" w:hAnsi="Arial" w:cs="Arial"/>
                <w:sz w:val="18"/>
              </w:rPr>
              <w:t>建筑面积</w:t>
            </w:r>
          </w:p>
        </w:tc>
        <w:tc>
          <w:tcPr>
            <w:tcW w:w="897" w:type="pct"/>
            <w:tcBorders>
              <w:top w:val="nil"/>
              <w:left w:val="nil"/>
              <w:bottom w:val="single" w:color="auto" w:sz="4" w:space="0"/>
              <w:right w:val="single" w:color="auto" w:sz="4" w:space="0"/>
            </w:tcBorders>
            <w:vAlign w:val="center"/>
          </w:tcPr>
          <w:p w14:paraId="18DDF188">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94</w:t>
            </w:r>
          </w:p>
        </w:tc>
        <w:tc>
          <w:tcPr>
            <w:tcW w:w="897" w:type="pct"/>
            <w:tcBorders>
              <w:top w:val="nil"/>
              <w:left w:val="nil"/>
              <w:bottom w:val="single" w:color="auto" w:sz="4" w:space="0"/>
              <w:right w:val="single" w:color="auto" w:sz="4" w:space="0"/>
            </w:tcBorders>
            <w:vAlign w:val="center"/>
          </w:tcPr>
          <w:p w14:paraId="1587A0D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98</w:t>
            </w:r>
          </w:p>
        </w:tc>
        <w:tc>
          <w:tcPr>
            <w:tcW w:w="896" w:type="pct"/>
            <w:tcBorders>
              <w:top w:val="nil"/>
              <w:left w:val="nil"/>
              <w:bottom w:val="single" w:color="auto" w:sz="4" w:space="0"/>
              <w:right w:val="single" w:color="auto" w:sz="4" w:space="0"/>
            </w:tcBorders>
            <w:vAlign w:val="center"/>
          </w:tcPr>
          <w:p w14:paraId="0F31EE9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98</w:t>
            </w:r>
          </w:p>
        </w:tc>
      </w:tr>
      <w:tr w14:paraId="7BE8C33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FBFAD1A">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47608328">
            <w:pPr>
              <w:widowControl/>
              <w:adjustRightInd/>
              <w:spacing w:line="240" w:lineRule="auto"/>
              <w:textAlignment w:val="auto"/>
              <w:rPr>
                <w:rFonts w:ascii="Arial" w:hAnsi="Arial" w:cs="Arial"/>
                <w:sz w:val="18"/>
              </w:rPr>
            </w:pPr>
            <w:r>
              <w:rPr>
                <w:rFonts w:hint="eastAsia" w:ascii="Arial" w:hAnsi="Arial" w:cs="Arial"/>
                <w:sz w:val="18"/>
              </w:rPr>
              <w:t>成新度</w:t>
            </w:r>
          </w:p>
        </w:tc>
        <w:tc>
          <w:tcPr>
            <w:tcW w:w="897" w:type="pct"/>
            <w:tcBorders>
              <w:top w:val="nil"/>
              <w:left w:val="nil"/>
              <w:bottom w:val="single" w:color="auto" w:sz="4" w:space="0"/>
              <w:right w:val="single" w:color="auto" w:sz="4" w:space="0"/>
            </w:tcBorders>
            <w:vAlign w:val="center"/>
          </w:tcPr>
          <w:p w14:paraId="5C945EA9">
            <w:pPr>
              <w:widowControl/>
              <w:adjustRightInd/>
              <w:spacing w:line="240" w:lineRule="atLeast"/>
              <w:jc w:val="center"/>
              <w:textAlignment w:val="auto"/>
              <w:rPr>
                <w:rFonts w:ascii="Arial" w:hAnsi="Arial" w:cs="Arial"/>
                <w:sz w:val="18"/>
              </w:rPr>
            </w:pPr>
            <w:r>
              <w:rPr>
                <w:rFonts w:hint="eastAsia" w:ascii="Arial" w:hAnsi="Arial" w:cs="Arial"/>
                <w:sz w:val="18"/>
              </w:rPr>
              <w:t>100/100</w:t>
            </w:r>
          </w:p>
        </w:tc>
        <w:tc>
          <w:tcPr>
            <w:tcW w:w="897" w:type="pct"/>
            <w:tcBorders>
              <w:top w:val="nil"/>
              <w:left w:val="nil"/>
              <w:bottom w:val="single" w:color="auto" w:sz="4" w:space="0"/>
              <w:right w:val="single" w:color="auto" w:sz="4" w:space="0"/>
            </w:tcBorders>
            <w:vAlign w:val="center"/>
          </w:tcPr>
          <w:p w14:paraId="43005E06">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98</w:t>
            </w:r>
          </w:p>
        </w:tc>
        <w:tc>
          <w:tcPr>
            <w:tcW w:w="896" w:type="pct"/>
            <w:tcBorders>
              <w:top w:val="nil"/>
              <w:left w:val="nil"/>
              <w:bottom w:val="single" w:color="auto" w:sz="4" w:space="0"/>
              <w:right w:val="single" w:color="auto" w:sz="4" w:space="0"/>
            </w:tcBorders>
            <w:vAlign w:val="center"/>
          </w:tcPr>
          <w:p w14:paraId="0023E3D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96</w:t>
            </w:r>
          </w:p>
        </w:tc>
      </w:tr>
      <w:tr w14:paraId="396BB28A">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F65922E">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46A59F0A">
            <w:pPr>
              <w:widowControl/>
              <w:adjustRightInd/>
              <w:spacing w:line="240" w:lineRule="auto"/>
              <w:textAlignment w:val="auto"/>
              <w:rPr>
                <w:rFonts w:ascii="Arial" w:hAnsi="Arial" w:cs="Arial"/>
                <w:sz w:val="18"/>
              </w:rPr>
            </w:pPr>
            <w:r>
              <w:rPr>
                <w:rFonts w:hint="eastAsia" w:ascii="Arial" w:hAnsi="Arial" w:cs="Arial"/>
                <w:sz w:val="18"/>
              </w:rPr>
              <w:t>装修</w:t>
            </w:r>
          </w:p>
        </w:tc>
        <w:tc>
          <w:tcPr>
            <w:tcW w:w="897" w:type="pct"/>
            <w:tcBorders>
              <w:top w:val="nil"/>
              <w:left w:val="nil"/>
              <w:bottom w:val="single" w:color="auto" w:sz="4" w:space="0"/>
              <w:right w:val="single" w:color="auto" w:sz="4" w:space="0"/>
            </w:tcBorders>
            <w:vAlign w:val="center"/>
          </w:tcPr>
          <w:p w14:paraId="5AD3228A">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7" w:type="pct"/>
            <w:tcBorders>
              <w:top w:val="nil"/>
              <w:left w:val="nil"/>
              <w:bottom w:val="single" w:color="auto" w:sz="4" w:space="0"/>
              <w:right w:val="single" w:color="auto" w:sz="4" w:space="0"/>
            </w:tcBorders>
            <w:vAlign w:val="center"/>
          </w:tcPr>
          <w:p w14:paraId="70E0F52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c>
          <w:tcPr>
            <w:tcW w:w="896" w:type="pct"/>
            <w:tcBorders>
              <w:top w:val="nil"/>
              <w:left w:val="nil"/>
              <w:bottom w:val="single" w:color="auto" w:sz="4" w:space="0"/>
              <w:right w:val="single" w:color="auto" w:sz="4" w:space="0"/>
            </w:tcBorders>
            <w:vAlign w:val="center"/>
          </w:tcPr>
          <w:p w14:paraId="0129BE0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100</w:t>
            </w:r>
          </w:p>
        </w:tc>
      </w:tr>
      <w:tr w14:paraId="307C9E70">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73AD211C">
            <w:pPr>
              <w:widowControl/>
              <w:adjustRightInd/>
              <w:spacing w:line="240" w:lineRule="atLeast"/>
              <w:textAlignment w:val="auto"/>
              <w:rPr>
                <w:rFonts w:ascii="Arial" w:hAnsi="Arial" w:cs="Arial"/>
                <w:sz w:val="18"/>
                <w:szCs w:val="22"/>
              </w:rPr>
            </w:pPr>
          </w:p>
        </w:tc>
        <w:tc>
          <w:tcPr>
            <w:tcW w:w="1517" w:type="pct"/>
            <w:tcBorders>
              <w:top w:val="nil"/>
              <w:left w:val="nil"/>
              <w:bottom w:val="single" w:color="auto" w:sz="4" w:space="0"/>
              <w:right w:val="single" w:color="auto" w:sz="4" w:space="0"/>
            </w:tcBorders>
            <w:vAlign w:val="center"/>
          </w:tcPr>
          <w:p w14:paraId="53DC37B1">
            <w:pPr>
              <w:widowControl/>
              <w:adjustRightInd/>
              <w:spacing w:line="240" w:lineRule="auto"/>
              <w:textAlignment w:val="auto"/>
              <w:rPr>
                <w:rFonts w:ascii="Arial" w:hAnsi="Arial" w:cs="Arial"/>
                <w:sz w:val="18"/>
              </w:rPr>
            </w:pPr>
            <w:r>
              <w:rPr>
                <w:rFonts w:hint="eastAsia" w:ascii="Arial" w:hAnsi="Arial" w:cs="Arial"/>
                <w:sz w:val="18"/>
              </w:rPr>
              <w:t>设备</w:t>
            </w:r>
          </w:p>
        </w:tc>
        <w:tc>
          <w:tcPr>
            <w:tcW w:w="897" w:type="pct"/>
            <w:tcBorders>
              <w:top w:val="nil"/>
              <w:left w:val="nil"/>
              <w:bottom w:val="single" w:color="auto" w:sz="4" w:space="0"/>
              <w:right w:val="single" w:color="auto" w:sz="4" w:space="0"/>
            </w:tcBorders>
            <w:vAlign w:val="center"/>
          </w:tcPr>
          <w:p w14:paraId="42515957">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105</w:t>
            </w:r>
          </w:p>
        </w:tc>
        <w:tc>
          <w:tcPr>
            <w:tcW w:w="897" w:type="pct"/>
            <w:tcBorders>
              <w:top w:val="nil"/>
              <w:left w:val="nil"/>
              <w:bottom w:val="single" w:color="auto" w:sz="4" w:space="0"/>
              <w:right w:val="single" w:color="auto" w:sz="4" w:space="0"/>
            </w:tcBorders>
            <w:vAlign w:val="center"/>
          </w:tcPr>
          <w:p w14:paraId="45DD48DB">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105</w:t>
            </w:r>
          </w:p>
        </w:tc>
        <w:tc>
          <w:tcPr>
            <w:tcW w:w="896" w:type="pct"/>
            <w:tcBorders>
              <w:top w:val="nil"/>
              <w:left w:val="nil"/>
              <w:bottom w:val="single" w:color="auto" w:sz="4" w:space="0"/>
              <w:right w:val="single" w:color="auto" w:sz="4" w:space="0"/>
            </w:tcBorders>
            <w:vAlign w:val="center"/>
          </w:tcPr>
          <w:p w14:paraId="5540C2C3">
            <w:pPr>
              <w:widowControl/>
              <w:adjustRightInd/>
              <w:spacing w:line="240" w:lineRule="atLeast"/>
              <w:jc w:val="center"/>
              <w:textAlignment w:val="auto"/>
              <w:rPr>
                <w:rFonts w:ascii="Arial" w:hAnsi="Arial" w:cs="Arial"/>
                <w:sz w:val="18"/>
              </w:rPr>
            </w:pPr>
            <w:r>
              <w:rPr>
                <w:rFonts w:hint="eastAsia" w:ascii="Arial" w:hAnsi="Arial" w:cs="Arial"/>
                <w:sz w:val="18"/>
              </w:rPr>
              <w:t>100/</w:t>
            </w:r>
            <w:r>
              <w:rPr>
                <w:rFonts w:ascii="Arial" w:hAnsi="Arial" w:cs="Arial"/>
                <w:sz w:val="18"/>
              </w:rPr>
              <w:t>105</w:t>
            </w:r>
          </w:p>
        </w:tc>
      </w:tr>
      <w:tr w14:paraId="0AE9EAEC">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37D7023C">
            <w:pPr>
              <w:widowControl/>
              <w:adjustRightInd/>
              <w:spacing w:line="240" w:lineRule="atLeast"/>
              <w:textAlignment w:val="auto"/>
              <w:rPr>
                <w:rFonts w:ascii="宋体" w:hAnsi="宋体" w:cs="Arial"/>
                <w:sz w:val="18"/>
              </w:rPr>
            </w:pPr>
            <w:r>
              <w:rPr>
                <w:rFonts w:hint="eastAsia" w:ascii="宋体" w:hAnsi="宋体" w:cs="Arial"/>
                <w:sz w:val="18"/>
              </w:rPr>
              <w:t>修正系数</w:t>
            </w:r>
          </w:p>
        </w:tc>
        <w:tc>
          <w:tcPr>
            <w:tcW w:w="897" w:type="pct"/>
            <w:tcBorders>
              <w:top w:val="single" w:color="auto" w:sz="4" w:space="0"/>
              <w:left w:val="nil"/>
              <w:bottom w:val="single" w:color="auto" w:sz="4" w:space="0"/>
              <w:right w:val="single" w:color="auto" w:sz="4" w:space="0"/>
            </w:tcBorders>
            <w:vAlign w:val="center"/>
          </w:tcPr>
          <w:p w14:paraId="4E7D7F94">
            <w:pPr>
              <w:spacing w:line="240" w:lineRule="auto"/>
              <w:jc w:val="center"/>
              <w:rPr>
                <w:rFonts w:ascii="Arial" w:hAnsi="Arial" w:cs="Arial"/>
                <w:sz w:val="18"/>
                <w:szCs w:val="18"/>
              </w:rPr>
            </w:pPr>
            <w:r>
              <w:rPr>
                <w:rFonts w:ascii="Arial" w:hAnsi="Arial" w:cs="Arial"/>
                <w:sz w:val="18"/>
                <w:szCs w:val="18"/>
              </w:rPr>
              <w:t>0.9272</w:t>
            </w:r>
          </w:p>
        </w:tc>
        <w:tc>
          <w:tcPr>
            <w:tcW w:w="897" w:type="pct"/>
            <w:tcBorders>
              <w:top w:val="single" w:color="auto" w:sz="4" w:space="0"/>
              <w:left w:val="nil"/>
              <w:bottom w:val="single" w:color="auto" w:sz="4" w:space="0"/>
              <w:right w:val="single" w:color="auto" w:sz="4" w:space="0"/>
            </w:tcBorders>
            <w:vAlign w:val="center"/>
          </w:tcPr>
          <w:p w14:paraId="3F942B0E">
            <w:pPr>
              <w:spacing w:line="240" w:lineRule="auto"/>
              <w:jc w:val="center"/>
              <w:rPr>
                <w:rFonts w:ascii="Arial" w:hAnsi="Arial" w:cs="Arial"/>
                <w:sz w:val="18"/>
                <w:szCs w:val="18"/>
              </w:rPr>
            </w:pPr>
            <w:r>
              <w:rPr>
                <w:rFonts w:ascii="Arial" w:hAnsi="Arial" w:cs="Arial"/>
                <w:sz w:val="18"/>
                <w:szCs w:val="18"/>
              </w:rPr>
              <w:t>0.8990</w:t>
            </w:r>
          </w:p>
        </w:tc>
        <w:tc>
          <w:tcPr>
            <w:tcW w:w="896" w:type="pct"/>
            <w:tcBorders>
              <w:top w:val="single" w:color="auto" w:sz="4" w:space="0"/>
              <w:left w:val="nil"/>
              <w:bottom w:val="single" w:color="auto" w:sz="4" w:space="0"/>
              <w:right w:val="single" w:color="auto" w:sz="4" w:space="0"/>
            </w:tcBorders>
            <w:vAlign w:val="center"/>
          </w:tcPr>
          <w:p w14:paraId="32448D35">
            <w:pPr>
              <w:spacing w:line="240" w:lineRule="auto"/>
              <w:jc w:val="center"/>
              <w:rPr>
                <w:rFonts w:ascii="Arial" w:hAnsi="Arial" w:cs="Arial"/>
                <w:sz w:val="18"/>
                <w:szCs w:val="18"/>
              </w:rPr>
            </w:pPr>
            <w:r>
              <w:rPr>
                <w:rFonts w:ascii="Arial" w:hAnsi="Arial" w:cs="Arial"/>
                <w:sz w:val="18"/>
                <w:szCs w:val="18"/>
              </w:rPr>
              <w:t>0.8994</w:t>
            </w:r>
          </w:p>
        </w:tc>
      </w:tr>
      <w:tr w14:paraId="2D1B8EA9">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4AE609D8">
            <w:pPr>
              <w:widowControl/>
              <w:adjustRightInd/>
              <w:spacing w:line="240" w:lineRule="atLeast"/>
              <w:textAlignment w:val="auto"/>
              <w:rPr>
                <w:rFonts w:ascii="宋体" w:hAnsi="宋体" w:cs="Arial"/>
                <w:sz w:val="18"/>
              </w:rPr>
            </w:pPr>
            <w:r>
              <w:rPr>
                <w:rFonts w:hint="eastAsia" w:ascii="宋体" w:hAnsi="宋体" w:cs="Arial"/>
                <w:sz w:val="18"/>
              </w:rPr>
              <w:t>比准价格</w:t>
            </w:r>
            <w:r>
              <w:rPr>
                <w:rFonts w:hint="eastAsia" w:ascii="华文细黑" w:hAnsi="华文细黑" w:eastAsia="华文细黑"/>
                <w:sz w:val="18"/>
                <w:szCs w:val="18"/>
              </w:rPr>
              <w:t>（元</w:t>
            </w:r>
            <w:r>
              <w:rPr>
                <w:rFonts w:ascii="华文细黑" w:hAnsi="华文细黑" w:eastAsia="华文细黑"/>
                <w:sz w:val="18"/>
                <w:szCs w:val="18"/>
              </w:rPr>
              <w:t>/</w:t>
            </w:r>
            <w:r>
              <w:rPr>
                <w:rFonts w:hint="eastAsia" w:ascii="华文细黑" w:hAnsi="华文细黑" w:eastAsia="华文细黑"/>
                <w:sz w:val="18"/>
                <w:szCs w:val="18"/>
              </w:rPr>
              <w:t>平方米</w:t>
            </w:r>
            <w:r>
              <w:rPr>
                <w:rFonts w:ascii="华文细黑" w:hAnsi="华文细黑" w:eastAsia="华文细黑"/>
                <w:sz w:val="18"/>
                <w:szCs w:val="18"/>
              </w:rPr>
              <w:t>·</w:t>
            </w:r>
            <w:r>
              <w:rPr>
                <w:rFonts w:hint="eastAsia" w:ascii="华文细黑" w:hAnsi="华文细黑" w:eastAsia="华文细黑"/>
                <w:sz w:val="18"/>
                <w:szCs w:val="18"/>
              </w:rPr>
              <w:t>月）</w:t>
            </w:r>
          </w:p>
        </w:tc>
        <w:tc>
          <w:tcPr>
            <w:tcW w:w="897" w:type="pct"/>
            <w:tcBorders>
              <w:top w:val="single" w:color="auto" w:sz="4" w:space="0"/>
              <w:left w:val="nil"/>
              <w:bottom w:val="single" w:color="auto" w:sz="4" w:space="0"/>
              <w:right w:val="single" w:color="auto" w:sz="4" w:space="0"/>
            </w:tcBorders>
            <w:vAlign w:val="center"/>
          </w:tcPr>
          <w:p w14:paraId="76148074">
            <w:pPr>
              <w:spacing w:line="240" w:lineRule="auto"/>
              <w:jc w:val="center"/>
              <w:rPr>
                <w:rFonts w:ascii="Arial" w:hAnsi="Arial" w:cs="Arial"/>
                <w:sz w:val="18"/>
                <w:szCs w:val="18"/>
              </w:rPr>
            </w:pPr>
            <w:r>
              <w:rPr>
                <w:rFonts w:ascii="Arial" w:hAnsi="Arial" w:cs="Arial"/>
                <w:sz w:val="18"/>
                <w:szCs w:val="18"/>
              </w:rPr>
              <w:t>62.17</w:t>
            </w:r>
          </w:p>
        </w:tc>
        <w:tc>
          <w:tcPr>
            <w:tcW w:w="897" w:type="pct"/>
            <w:tcBorders>
              <w:top w:val="single" w:color="auto" w:sz="4" w:space="0"/>
              <w:left w:val="nil"/>
              <w:bottom w:val="single" w:color="auto" w:sz="4" w:space="0"/>
              <w:right w:val="single" w:color="auto" w:sz="4" w:space="0"/>
            </w:tcBorders>
            <w:vAlign w:val="center"/>
          </w:tcPr>
          <w:p w14:paraId="0B90CBF1">
            <w:pPr>
              <w:spacing w:line="240" w:lineRule="auto"/>
              <w:jc w:val="center"/>
              <w:rPr>
                <w:rFonts w:ascii="Arial" w:hAnsi="Arial" w:cs="Arial"/>
                <w:sz w:val="18"/>
                <w:szCs w:val="18"/>
              </w:rPr>
            </w:pPr>
            <w:r>
              <w:rPr>
                <w:rFonts w:ascii="Arial" w:hAnsi="Arial" w:cs="Arial"/>
                <w:sz w:val="18"/>
                <w:szCs w:val="18"/>
              </w:rPr>
              <w:t>56.48</w:t>
            </w:r>
          </w:p>
        </w:tc>
        <w:tc>
          <w:tcPr>
            <w:tcW w:w="896" w:type="pct"/>
            <w:tcBorders>
              <w:top w:val="single" w:color="auto" w:sz="4" w:space="0"/>
              <w:left w:val="nil"/>
              <w:bottom w:val="single" w:color="auto" w:sz="4" w:space="0"/>
              <w:right w:val="single" w:color="auto" w:sz="4" w:space="0"/>
            </w:tcBorders>
            <w:vAlign w:val="center"/>
          </w:tcPr>
          <w:p w14:paraId="4CECA24F">
            <w:pPr>
              <w:spacing w:line="240" w:lineRule="auto"/>
              <w:jc w:val="center"/>
              <w:rPr>
                <w:rFonts w:ascii="Arial" w:hAnsi="Arial" w:cs="Arial"/>
                <w:sz w:val="18"/>
                <w:szCs w:val="18"/>
              </w:rPr>
            </w:pPr>
            <w:r>
              <w:rPr>
                <w:rFonts w:ascii="Arial" w:hAnsi="Arial" w:cs="Arial"/>
                <w:sz w:val="18"/>
                <w:szCs w:val="18"/>
              </w:rPr>
              <w:t>48.37</w:t>
            </w:r>
          </w:p>
        </w:tc>
      </w:tr>
    </w:tbl>
    <w:p w14:paraId="153CBAB2">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55D2F53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915FB73">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w:t>
      </w:r>
      <w:r>
        <w:rPr>
          <w:rFonts w:hint="eastAsia" w:ascii="Arial" w:hAnsi="Arial" w:cs="Arial"/>
          <w:kern w:val="2"/>
          <w:sz w:val="21"/>
          <w:szCs w:val="21"/>
        </w:rPr>
        <w:t>燕保·高米店家园公租房项目</w:t>
      </w:r>
      <w:r>
        <w:rPr>
          <w:rFonts w:ascii="Arial" w:hAnsi="Arial"/>
          <w:sz w:val="21"/>
          <w:szCs w:val="21"/>
        </w:rPr>
        <w:t>的评估价格</w:t>
      </w:r>
      <w:r>
        <w:rPr>
          <w:rFonts w:hint="eastAsia" w:ascii="Arial" w:hAnsi="Arial"/>
          <w:sz w:val="21"/>
          <w:szCs w:val="21"/>
        </w:rPr>
        <w:t>。</w:t>
      </w:r>
    </w:p>
    <w:p w14:paraId="1B5CEE9F">
      <w:pPr>
        <w:wordWrap w:val="0"/>
        <w:overflowPunct w:val="0"/>
        <w:spacing w:line="480" w:lineRule="auto"/>
        <w:ind w:firstLine="420" w:firstLineChars="200"/>
        <w:rPr>
          <w:rFonts w:ascii="Arial" w:hAnsi="Arial"/>
          <w:sz w:val="21"/>
          <w:szCs w:val="21"/>
        </w:rPr>
      </w:pPr>
      <w:r>
        <w:rPr>
          <w:rFonts w:hint="eastAsia" w:ascii="Arial" w:hAnsi="Arial"/>
          <w:sz w:val="21"/>
          <w:szCs w:val="21"/>
        </w:rPr>
        <w:t>即：（</w:t>
      </w:r>
      <w:r>
        <w:rPr>
          <w:rFonts w:ascii="Arial" w:hAnsi="Arial"/>
          <w:sz w:val="21"/>
          <w:szCs w:val="21"/>
        </w:rPr>
        <w:t>62.17</w:t>
      </w:r>
      <w:r>
        <w:rPr>
          <w:rFonts w:hint="eastAsia" w:ascii="Arial" w:hAnsi="Arial"/>
          <w:sz w:val="21"/>
          <w:szCs w:val="21"/>
        </w:rPr>
        <w:t>+</w:t>
      </w:r>
      <w:r>
        <w:rPr>
          <w:rFonts w:ascii="Arial" w:hAnsi="Arial"/>
          <w:sz w:val="21"/>
          <w:szCs w:val="21"/>
        </w:rPr>
        <w:t>56.48</w:t>
      </w:r>
      <w:r>
        <w:rPr>
          <w:rFonts w:hint="eastAsia" w:ascii="Arial" w:hAnsi="Arial"/>
          <w:sz w:val="21"/>
          <w:szCs w:val="21"/>
        </w:rPr>
        <w:t>+</w:t>
      </w:r>
      <w:r>
        <w:rPr>
          <w:rFonts w:ascii="Arial" w:hAnsi="Arial"/>
          <w:sz w:val="21"/>
          <w:szCs w:val="21"/>
        </w:rPr>
        <w:t>48.37</w:t>
      </w:r>
      <w:r>
        <w:rPr>
          <w:rFonts w:hint="eastAsia" w:ascii="Arial" w:hAnsi="Arial"/>
          <w:sz w:val="21"/>
          <w:szCs w:val="21"/>
        </w:rPr>
        <w:t>）÷3=</w:t>
      </w:r>
      <w:r>
        <w:rPr>
          <w:rFonts w:ascii="Arial" w:hAnsi="Arial"/>
          <w:sz w:val="21"/>
          <w:szCs w:val="21"/>
        </w:rPr>
        <w:t>55.67</w:t>
      </w:r>
      <w:r>
        <w:rPr>
          <w:rFonts w:hint="eastAsia" w:ascii="Arial" w:hAnsi="Arial"/>
          <w:sz w:val="21"/>
          <w:szCs w:val="21"/>
        </w:rPr>
        <w:t>（元/平方米·月）</w:t>
      </w:r>
    </w:p>
    <w:p w14:paraId="573AF84B">
      <w:pPr>
        <w:wordWrap w:val="0"/>
        <w:overflowPunct w:val="0"/>
        <w:spacing w:line="480" w:lineRule="auto"/>
        <w:ind w:firstLine="420" w:firstLineChars="200"/>
        <w:jc w:val="both"/>
        <w:rPr>
          <w:rFonts w:ascii="Arial" w:hAnsi="Arial"/>
          <w:sz w:val="21"/>
          <w:szCs w:val="21"/>
        </w:rPr>
      </w:pPr>
      <w:r>
        <w:rPr>
          <w:rFonts w:hint="eastAsia" w:ascii="Arial" w:hAnsi="Arial"/>
          <w:sz w:val="21"/>
          <w:szCs w:val="21"/>
        </w:rPr>
        <w:t>根据不动产权利人提供《物业服务合同》[2024年2月，估价对象的物业费为</w:t>
      </w:r>
      <w:r>
        <w:rPr>
          <w:rFonts w:ascii="Arial" w:hAnsi="Arial"/>
          <w:sz w:val="21"/>
          <w:szCs w:val="21"/>
        </w:rPr>
        <w:t>3.2</w:t>
      </w:r>
      <w:r>
        <w:rPr>
          <w:rFonts w:hint="eastAsia" w:ascii="Arial" w:hAnsi="Arial"/>
          <w:sz w:val="21"/>
          <w:szCs w:val="21"/>
        </w:rPr>
        <w:t>元/平方米·月，本次评估估价对象含物业费、不含供暖费、不含租金税费的区域市场租金单价：</w:t>
      </w:r>
    </w:p>
    <w:p w14:paraId="0C54275F">
      <w:pPr>
        <w:wordWrap w:val="0"/>
        <w:overflowPunct w:val="0"/>
        <w:spacing w:line="480" w:lineRule="auto"/>
        <w:ind w:firstLine="420" w:firstLineChars="200"/>
        <w:rPr>
          <w:rFonts w:ascii="Arial" w:hAnsi="Arial"/>
          <w:sz w:val="21"/>
          <w:szCs w:val="21"/>
        </w:rPr>
      </w:pPr>
      <w:r>
        <w:rPr>
          <w:rFonts w:ascii="Arial" w:hAnsi="Arial"/>
          <w:sz w:val="21"/>
          <w:szCs w:val="21"/>
        </w:rPr>
        <w:t>55.67</w:t>
      </w:r>
      <w:r>
        <w:rPr>
          <w:rFonts w:hint="eastAsia" w:ascii="Arial" w:hAnsi="Arial"/>
          <w:sz w:val="21"/>
          <w:szCs w:val="21"/>
        </w:rPr>
        <w:t>+</w:t>
      </w:r>
      <w:r>
        <w:rPr>
          <w:rFonts w:ascii="Arial" w:hAnsi="Arial"/>
          <w:sz w:val="21"/>
          <w:szCs w:val="21"/>
        </w:rPr>
        <w:t>3.2</w:t>
      </w:r>
      <w:r>
        <w:rPr>
          <w:rFonts w:hint="eastAsia" w:ascii="Arial" w:hAnsi="Arial"/>
          <w:sz w:val="21"/>
          <w:szCs w:val="21"/>
        </w:rPr>
        <w:t>=</w:t>
      </w:r>
      <w:r>
        <w:rPr>
          <w:rFonts w:ascii="Arial" w:hAnsi="Arial"/>
          <w:sz w:val="21"/>
          <w:szCs w:val="21"/>
        </w:rPr>
        <w:t>58.87</w:t>
      </w:r>
      <w:r>
        <w:rPr>
          <w:rFonts w:hint="eastAsia" w:ascii="Arial" w:hAnsi="Arial"/>
          <w:sz w:val="21"/>
          <w:szCs w:val="21"/>
        </w:rPr>
        <w:t>（元/平方米·月）</w:t>
      </w:r>
    </w:p>
    <w:p w14:paraId="347A1A74">
      <w:pPr>
        <w:spacing w:line="480" w:lineRule="auto"/>
        <w:ind w:firstLine="420" w:firstLineChars="200"/>
        <w:rPr>
          <w:rFonts w:ascii="Arial" w:hAnsi="Arial" w:cs="Arial"/>
          <w:sz w:val="21"/>
          <w:szCs w:val="21"/>
        </w:rPr>
      </w:pPr>
      <w:r>
        <w:rPr>
          <w:rFonts w:ascii="Arial" w:hAnsi="Arial" w:cs="Arial"/>
          <w:sz w:val="21"/>
          <w:szCs w:val="21"/>
        </w:rPr>
        <w:t>（转下页）</w:t>
      </w:r>
    </w:p>
    <w:p w14:paraId="1823E7A3">
      <w:pPr>
        <w:wordWrap w:val="0"/>
        <w:overflowPunct w:val="0"/>
        <w:spacing w:line="480" w:lineRule="auto"/>
        <w:ind w:firstLine="420" w:firstLineChars="200"/>
        <w:rPr>
          <w:rFonts w:ascii="Arial" w:hAnsi="Arial"/>
          <w:sz w:val="21"/>
          <w:szCs w:val="21"/>
        </w:rPr>
      </w:pPr>
    </w:p>
    <w:p w14:paraId="2E4E7601">
      <w:pPr>
        <w:wordWrap w:val="0"/>
        <w:overflowPunct w:val="0"/>
        <w:spacing w:line="480" w:lineRule="auto"/>
        <w:ind w:firstLine="422" w:firstLineChars="200"/>
        <w:rPr>
          <w:rFonts w:ascii="Arial" w:hAnsi="Arial" w:cs="Arial"/>
          <w:b/>
          <w:sz w:val="21"/>
          <w:szCs w:val="21"/>
        </w:rPr>
      </w:pPr>
      <w:r>
        <w:rPr>
          <w:rFonts w:ascii="Arial" w:hAnsi="Arial" w:cs="Arial"/>
          <w:b/>
          <w:sz w:val="21"/>
          <w:szCs w:val="21"/>
        </w:rPr>
        <w:br w:type="page"/>
      </w:r>
    </w:p>
    <w:p w14:paraId="13771DFD">
      <w:pPr>
        <w:wordWrap w:val="0"/>
        <w:overflowPunct w:val="0"/>
        <w:spacing w:line="480" w:lineRule="auto"/>
        <w:ind w:firstLine="422" w:firstLineChars="200"/>
        <w:rPr>
          <w:rFonts w:ascii="Arial" w:hAnsi="Arial"/>
          <w:sz w:val="21"/>
          <w:szCs w:val="21"/>
        </w:rPr>
      </w:pPr>
      <w:r>
        <w:rPr>
          <w:rFonts w:hint="eastAsia" w:ascii="Arial" w:hAnsi="Arial" w:cs="Arial"/>
          <w:b/>
          <w:sz w:val="21"/>
          <w:szCs w:val="21"/>
        </w:rPr>
        <w:t>（三）成本收益静态分析</w:t>
      </w:r>
    </w:p>
    <w:p w14:paraId="5BC62868">
      <w:pPr>
        <w:wordWrap w:val="0"/>
        <w:overflowPunct w:val="0"/>
        <w:spacing w:line="480" w:lineRule="auto"/>
        <w:ind w:firstLine="420" w:firstLineChars="200"/>
        <w:rPr>
          <w:rFonts w:ascii="Arial" w:hAnsi="Arial"/>
          <w:sz w:val="21"/>
          <w:szCs w:val="21"/>
        </w:rPr>
      </w:pPr>
      <w:r>
        <w:rPr>
          <w:rFonts w:hint="eastAsia" w:ascii="Arial" w:hAnsi="Arial"/>
          <w:sz w:val="21"/>
          <w:szCs w:val="21"/>
        </w:rPr>
        <w:t>本次选用成本法测算项目各项成本，并进行成本静态分析，公共租赁住房项目成本由建设、运营和管理费用构成。</w:t>
      </w:r>
    </w:p>
    <w:p w14:paraId="5C091225">
      <w:pPr>
        <w:wordWrap w:val="0"/>
        <w:overflowPunct w:val="0"/>
        <w:spacing w:line="480" w:lineRule="auto"/>
        <w:ind w:firstLine="420" w:firstLineChars="200"/>
        <w:rPr>
          <w:rFonts w:ascii="Arial" w:hAnsi="Arial"/>
          <w:sz w:val="21"/>
          <w:szCs w:val="21"/>
        </w:rPr>
      </w:pPr>
      <w:r>
        <w:rPr>
          <w:rFonts w:hint="eastAsia" w:ascii="Arial" w:hAnsi="Arial"/>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pPr>
        <w:wordWrap w:val="0"/>
        <w:overflowPunct w:val="0"/>
        <w:spacing w:line="480" w:lineRule="auto"/>
        <w:jc w:val="center"/>
      </w:pPr>
      <w:r>
        <w:drawing>
          <wp:inline distT="0" distB="0" distL="0" distR="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03930" cy="497840"/>
                    </a:xfrm>
                    <a:prstGeom prst="rect">
                      <a:avLst/>
                    </a:prstGeom>
                    <a:noFill/>
                    <a:ln>
                      <a:noFill/>
                    </a:ln>
                    <a:effectLst/>
                  </pic:spPr>
                </pic:pic>
              </a:graphicData>
            </a:graphic>
          </wp:inline>
        </w:drawing>
      </w:r>
    </w:p>
    <w:p w14:paraId="3F62317C">
      <w:pPr>
        <w:wordWrap w:val="0"/>
        <w:overflowPunct w:val="0"/>
        <w:spacing w:line="480" w:lineRule="auto"/>
        <w:ind w:firstLine="420" w:firstLineChars="200"/>
        <w:rPr>
          <w:rFonts w:ascii="Arial" w:hAnsi="Arial"/>
          <w:sz w:val="21"/>
          <w:szCs w:val="21"/>
        </w:rPr>
      </w:pPr>
      <w:r>
        <w:rPr>
          <w:rFonts w:hint="eastAsia" w:ascii="Arial" w:hAnsi="Arial"/>
          <w:sz w:val="21"/>
          <w:szCs w:val="21"/>
        </w:rPr>
        <w:t xml:space="preserve">具体测算过程如下： </w:t>
      </w:r>
    </w:p>
    <w:tbl>
      <w:tblPr>
        <w:tblStyle w:val="23"/>
        <w:tblW w:w="9298" w:type="dxa"/>
        <w:jc w:val="center"/>
        <w:tblLayout w:type="fixed"/>
        <w:tblCellMar>
          <w:top w:w="0" w:type="dxa"/>
          <w:left w:w="108" w:type="dxa"/>
          <w:bottom w:w="0" w:type="dxa"/>
          <w:right w:w="108" w:type="dxa"/>
        </w:tblCellMar>
      </w:tblPr>
      <w:tblGrid>
        <w:gridCol w:w="709"/>
        <w:gridCol w:w="1559"/>
        <w:gridCol w:w="993"/>
        <w:gridCol w:w="6037"/>
      </w:tblGrid>
      <w:tr w14:paraId="685C4BCC">
        <w:tblPrEx>
          <w:tblCellMar>
            <w:top w:w="0" w:type="dxa"/>
            <w:left w:w="108" w:type="dxa"/>
            <w:bottom w:w="0" w:type="dxa"/>
            <w:right w:w="108" w:type="dxa"/>
          </w:tblCellMar>
        </w:tblPrEx>
        <w:trPr>
          <w:trHeight w:val="270" w:hRule="atLeast"/>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14:paraId="35114122">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序号</w:t>
            </w:r>
          </w:p>
        </w:tc>
        <w:tc>
          <w:tcPr>
            <w:tcW w:w="1559" w:type="dxa"/>
            <w:tcBorders>
              <w:top w:val="single" w:color="auto" w:sz="4" w:space="0"/>
              <w:left w:val="single" w:color="auto" w:sz="4" w:space="0"/>
              <w:bottom w:val="single" w:color="auto" w:sz="4" w:space="0"/>
              <w:right w:val="single" w:color="auto" w:sz="4" w:space="0"/>
            </w:tcBorders>
            <w:vAlign w:val="center"/>
          </w:tcPr>
          <w:p w14:paraId="71FC7C15">
            <w:pPr>
              <w:widowControl/>
              <w:spacing w:line="240" w:lineRule="auto"/>
              <w:jc w:val="center"/>
              <w:textAlignment w:val="center"/>
              <w:rPr>
                <w:rFonts w:ascii="宋体" w:hAnsi="宋体" w:cs="Arial"/>
                <w:sz w:val="18"/>
                <w:szCs w:val="18"/>
              </w:rPr>
            </w:pPr>
            <w:r>
              <w:rPr>
                <w:rFonts w:ascii="宋体" w:hAnsi="宋体" w:cs="Arial"/>
                <w:sz w:val="18"/>
                <w:szCs w:val="18"/>
                <w:lang w:bidi="ar"/>
              </w:rPr>
              <w:t>项目</w:t>
            </w:r>
          </w:p>
        </w:tc>
        <w:tc>
          <w:tcPr>
            <w:tcW w:w="993" w:type="dxa"/>
            <w:tcBorders>
              <w:top w:val="single" w:color="auto" w:sz="4" w:space="0"/>
              <w:left w:val="single" w:color="auto" w:sz="4" w:space="0"/>
              <w:bottom w:val="single" w:color="auto" w:sz="4" w:space="0"/>
              <w:right w:val="single" w:color="auto" w:sz="4" w:space="0"/>
            </w:tcBorders>
            <w:vAlign w:val="center"/>
          </w:tcPr>
          <w:p w14:paraId="7E311D72">
            <w:pPr>
              <w:widowControl/>
              <w:spacing w:line="240" w:lineRule="auto"/>
              <w:jc w:val="center"/>
              <w:textAlignment w:val="center"/>
              <w:rPr>
                <w:rFonts w:ascii="宋体" w:hAnsi="宋体" w:cs="Arial"/>
                <w:sz w:val="18"/>
                <w:szCs w:val="18"/>
              </w:rPr>
            </w:pPr>
            <w:r>
              <w:rPr>
                <w:rFonts w:ascii="宋体" w:hAnsi="宋体" w:cs="Arial"/>
                <w:sz w:val="18"/>
                <w:szCs w:val="18"/>
                <w:lang w:bidi="ar"/>
              </w:rPr>
              <w:t>测算值</w:t>
            </w:r>
          </w:p>
        </w:tc>
        <w:tc>
          <w:tcPr>
            <w:tcW w:w="6037" w:type="dxa"/>
            <w:tcBorders>
              <w:top w:val="single" w:color="auto" w:sz="4" w:space="0"/>
              <w:left w:val="single" w:color="auto" w:sz="4" w:space="0"/>
              <w:bottom w:val="single" w:color="auto" w:sz="4" w:space="0"/>
              <w:right w:val="single" w:color="auto" w:sz="4" w:space="0"/>
            </w:tcBorders>
            <w:vAlign w:val="center"/>
          </w:tcPr>
          <w:p w14:paraId="3D43AD4E">
            <w:pPr>
              <w:widowControl/>
              <w:spacing w:line="240" w:lineRule="auto"/>
              <w:jc w:val="center"/>
              <w:textAlignment w:val="center"/>
              <w:rPr>
                <w:rFonts w:ascii="宋体" w:hAnsi="宋体" w:cs="Arial"/>
                <w:sz w:val="18"/>
                <w:szCs w:val="18"/>
              </w:rPr>
            </w:pPr>
            <w:r>
              <w:rPr>
                <w:rFonts w:ascii="宋体" w:hAnsi="宋体" w:cs="Arial"/>
                <w:sz w:val="18"/>
                <w:szCs w:val="18"/>
                <w:lang w:bidi="ar"/>
              </w:rPr>
              <w:t>说明</w:t>
            </w:r>
          </w:p>
        </w:tc>
      </w:tr>
      <w:tr w14:paraId="6CAD46DA">
        <w:tblPrEx>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7D4AF5F">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1</w:t>
            </w:r>
          </w:p>
        </w:tc>
        <w:tc>
          <w:tcPr>
            <w:tcW w:w="1559" w:type="dxa"/>
            <w:tcBorders>
              <w:top w:val="single" w:color="auto" w:sz="4" w:space="0"/>
              <w:left w:val="single" w:color="auto" w:sz="4" w:space="0"/>
              <w:bottom w:val="single" w:color="auto" w:sz="4" w:space="0"/>
              <w:right w:val="single" w:color="auto" w:sz="4" w:space="0"/>
            </w:tcBorders>
            <w:vAlign w:val="center"/>
          </w:tcPr>
          <w:p w14:paraId="75589651">
            <w:pPr>
              <w:widowControl/>
              <w:spacing w:line="240" w:lineRule="auto"/>
              <w:jc w:val="center"/>
              <w:textAlignment w:val="center"/>
              <w:rPr>
                <w:rFonts w:ascii="宋体" w:hAnsi="宋体" w:cs="Arial"/>
                <w:sz w:val="18"/>
                <w:szCs w:val="18"/>
              </w:rPr>
            </w:pPr>
            <w:r>
              <w:rPr>
                <w:rFonts w:ascii="宋体" w:hAnsi="宋体" w:cs="Arial"/>
                <w:sz w:val="18"/>
                <w:szCs w:val="18"/>
                <w:lang w:bidi="ar"/>
              </w:rPr>
              <w:t>折旧及摊销成本</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8B9437">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1050.63</w:t>
            </w:r>
          </w:p>
        </w:tc>
        <w:tc>
          <w:tcPr>
            <w:tcW w:w="6037" w:type="dxa"/>
            <w:tcBorders>
              <w:top w:val="single" w:color="auto" w:sz="4" w:space="0"/>
              <w:left w:val="single" w:color="auto" w:sz="4" w:space="0"/>
              <w:bottom w:val="single" w:color="auto" w:sz="4" w:space="0"/>
              <w:right w:val="single" w:color="auto" w:sz="4" w:space="0"/>
            </w:tcBorders>
            <w:vAlign w:val="center"/>
          </w:tcPr>
          <w:p w14:paraId="1FC1E650">
            <w:pPr>
              <w:widowControl/>
              <w:adjustRightInd/>
              <w:spacing w:line="240" w:lineRule="auto"/>
              <w:jc w:val="center"/>
              <w:textAlignment w:val="auto"/>
              <w:rPr>
                <w:rFonts w:ascii="宋体" w:hAnsi="宋体" w:cs="Arial"/>
                <w:sz w:val="18"/>
                <w:szCs w:val="18"/>
                <w:lang w:bidi="ar"/>
              </w:rPr>
            </w:pPr>
            <w:r>
              <w:rPr>
                <w:rFonts w:hint="eastAsia" w:ascii="宋体" w:hAnsi="宋体"/>
                <w:sz w:val="18"/>
                <w:szCs w:val="18"/>
              </w:rPr>
              <w:t>根据估价委托人提供的《燕保•高米店家园公租房项目各项费用说明》及介绍，该项目总开发建设成本约为</w:t>
            </w:r>
            <w:r>
              <w:rPr>
                <w:rFonts w:ascii="宋体" w:hAnsi="宋体" w:cs="Arial"/>
                <w:sz w:val="18"/>
                <w:szCs w:val="18"/>
              </w:rPr>
              <w:t>63037.712096</w:t>
            </w:r>
            <w:r>
              <w:rPr>
                <w:rFonts w:hint="eastAsia" w:ascii="宋体" w:hAnsi="宋体"/>
                <w:sz w:val="18"/>
                <w:szCs w:val="18"/>
              </w:rPr>
              <w:t>万元。该项目为剪力墙（钢混）结构，非生产用房经济耐用年限为</w:t>
            </w:r>
            <w:r>
              <w:rPr>
                <w:rFonts w:ascii="宋体" w:hAnsi="宋体" w:cs="Arial"/>
                <w:sz w:val="18"/>
                <w:szCs w:val="18"/>
              </w:rPr>
              <w:t xml:space="preserve"> 60 </w:t>
            </w:r>
            <w:r>
              <w:rPr>
                <w:rFonts w:hint="eastAsia" w:ascii="宋体" w:hAnsi="宋体"/>
                <w:sz w:val="18"/>
                <w:szCs w:val="18"/>
              </w:rPr>
              <w:t>年，根据项目剩余经济耐用年限，将开发建设成本按直线法折算至每年。</w:t>
            </w:r>
          </w:p>
        </w:tc>
      </w:tr>
      <w:tr w14:paraId="271B8595">
        <w:tblPrEx>
          <w:tblCellMar>
            <w:top w:w="0" w:type="dxa"/>
            <w:left w:w="108" w:type="dxa"/>
            <w:bottom w:w="0" w:type="dxa"/>
            <w:right w:w="108" w:type="dxa"/>
          </w:tblCellMar>
        </w:tblPrEx>
        <w:trPr>
          <w:trHeight w:val="26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E841773">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2</w:t>
            </w:r>
          </w:p>
        </w:tc>
        <w:tc>
          <w:tcPr>
            <w:tcW w:w="1559" w:type="dxa"/>
            <w:tcBorders>
              <w:top w:val="single" w:color="auto" w:sz="4" w:space="0"/>
              <w:left w:val="single" w:color="auto" w:sz="4" w:space="0"/>
              <w:bottom w:val="single" w:color="auto" w:sz="4" w:space="0"/>
              <w:right w:val="single" w:color="auto" w:sz="4" w:space="0"/>
            </w:tcBorders>
            <w:vAlign w:val="center"/>
          </w:tcPr>
          <w:p w14:paraId="3C84732A">
            <w:pPr>
              <w:widowControl/>
              <w:spacing w:line="240" w:lineRule="auto"/>
              <w:jc w:val="center"/>
              <w:textAlignment w:val="center"/>
              <w:rPr>
                <w:rFonts w:ascii="宋体" w:hAnsi="宋体" w:cs="Arial"/>
                <w:sz w:val="18"/>
                <w:szCs w:val="18"/>
              </w:rPr>
            </w:pPr>
            <w:r>
              <w:rPr>
                <w:rFonts w:ascii="宋体" w:hAnsi="宋体" w:cs="Arial"/>
                <w:sz w:val="18"/>
                <w:szCs w:val="18"/>
                <w:lang w:bidi="ar"/>
              </w:rPr>
              <w:t>运营费用（</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4042EAAC">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416.16</w:t>
            </w:r>
          </w:p>
        </w:tc>
        <w:tc>
          <w:tcPr>
            <w:tcW w:w="6037" w:type="dxa"/>
            <w:tcBorders>
              <w:top w:val="single" w:color="auto" w:sz="4" w:space="0"/>
              <w:left w:val="single" w:color="auto" w:sz="4" w:space="0"/>
              <w:bottom w:val="single" w:color="auto" w:sz="4" w:space="0"/>
              <w:right w:val="single" w:color="auto" w:sz="4" w:space="0"/>
            </w:tcBorders>
            <w:vAlign w:val="center"/>
          </w:tcPr>
          <w:p w14:paraId="6231AF36">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2=2.1+2.2+2.3</w:t>
            </w:r>
          </w:p>
        </w:tc>
      </w:tr>
      <w:tr w14:paraId="41A24CDD">
        <w:tblPrEx>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5E06C3C">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2.1</w:t>
            </w:r>
          </w:p>
        </w:tc>
        <w:tc>
          <w:tcPr>
            <w:tcW w:w="1559" w:type="dxa"/>
            <w:tcBorders>
              <w:top w:val="single" w:color="auto" w:sz="4" w:space="0"/>
              <w:left w:val="single" w:color="auto" w:sz="4" w:space="0"/>
              <w:bottom w:val="single" w:color="auto" w:sz="4" w:space="0"/>
              <w:right w:val="single" w:color="auto" w:sz="4" w:space="0"/>
            </w:tcBorders>
            <w:vAlign w:val="center"/>
          </w:tcPr>
          <w:p w14:paraId="6DA52218">
            <w:pPr>
              <w:widowControl/>
              <w:spacing w:line="240" w:lineRule="auto"/>
              <w:jc w:val="center"/>
              <w:textAlignment w:val="center"/>
              <w:rPr>
                <w:rFonts w:ascii="宋体" w:hAnsi="宋体" w:cs="Arial"/>
                <w:sz w:val="18"/>
                <w:szCs w:val="18"/>
              </w:rPr>
            </w:pPr>
            <w:r>
              <w:rPr>
                <w:rFonts w:ascii="宋体" w:hAnsi="宋体" w:cs="Arial"/>
                <w:sz w:val="18"/>
                <w:szCs w:val="18"/>
                <w:lang w:bidi="ar"/>
              </w:rPr>
              <w:t>维修费（</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7319ECED">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61.63</w:t>
            </w:r>
          </w:p>
        </w:tc>
        <w:tc>
          <w:tcPr>
            <w:tcW w:w="6037" w:type="dxa"/>
            <w:tcBorders>
              <w:top w:val="single" w:color="auto" w:sz="4" w:space="0"/>
              <w:left w:val="single" w:color="auto" w:sz="4" w:space="0"/>
              <w:bottom w:val="single" w:color="auto" w:sz="4" w:space="0"/>
              <w:right w:val="single" w:color="auto" w:sz="4" w:space="0"/>
            </w:tcBorders>
            <w:vAlign w:val="center"/>
          </w:tcPr>
          <w:p w14:paraId="44A323D4">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主要包括室内部分及附属设施设备、公用部位 和共用设施设备及相关场地的维修运行费用，</w:t>
            </w:r>
            <w:r>
              <w:rPr>
                <w:rFonts w:hint="eastAsia" w:ascii="宋体" w:hAnsi="宋体"/>
                <w:sz w:val="18"/>
                <w:szCs w:val="18"/>
              </w:rPr>
              <w:t>根据估价委托人提供的《燕保•高米店家园公租房项目各项费用说明》及介绍，</w:t>
            </w:r>
            <w:r>
              <w:rPr>
                <w:rFonts w:hint="eastAsia" w:ascii="宋体" w:hAnsi="宋体" w:cs="Arial"/>
                <w:sz w:val="18"/>
                <w:szCs w:val="18"/>
                <w:lang w:bidi="ar"/>
              </w:rPr>
              <w:t>参考同类项目测算，维修费本次取值为</w:t>
            </w:r>
            <w:r>
              <w:rPr>
                <w:rFonts w:ascii="宋体" w:hAnsi="宋体" w:cs="Arial"/>
                <w:sz w:val="18"/>
                <w:szCs w:val="18"/>
                <w:lang w:bidi="ar"/>
              </w:rPr>
              <w:t>0.56</w:t>
            </w:r>
            <w:r>
              <w:rPr>
                <w:rFonts w:hint="eastAsia" w:ascii="宋体" w:hAnsi="宋体" w:cs="Arial"/>
                <w:sz w:val="18"/>
                <w:szCs w:val="18"/>
                <w:lang w:bidi="ar"/>
              </w:rPr>
              <w:t>元/平方米·月，则</w:t>
            </w:r>
            <w:r>
              <w:rPr>
                <w:rFonts w:ascii="宋体" w:hAnsi="宋体" w:cs="Arial"/>
                <w:sz w:val="18"/>
                <w:szCs w:val="18"/>
                <w:lang w:bidi="ar"/>
              </w:rPr>
              <w:t>0.56</w:t>
            </w:r>
            <w:r>
              <w:rPr>
                <w:rFonts w:hint="eastAsia" w:ascii="宋体" w:hAnsi="宋体" w:cs="Arial"/>
                <w:sz w:val="18"/>
                <w:szCs w:val="18"/>
                <w:lang w:bidi="ar"/>
              </w:rPr>
              <w:t>×12×</w:t>
            </w:r>
            <w:r>
              <w:rPr>
                <w:rFonts w:ascii="宋体" w:hAnsi="宋体" w:cs="Arial"/>
                <w:sz w:val="18"/>
                <w:szCs w:val="18"/>
                <w:lang w:bidi="ar"/>
              </w:rPr>
              <w:t>91711.82</w:t>
            </w:r>
            <w:r>
              <w:rPr>
                <w:rFonts w:hint="eastAsia" w:ascii="宋体" w:hAnsi="宋体" w:cs="Arial"/>
                <w:sz w:val="18"/>
                <w:szCs w:val="18"/>
                <w:lang w:bidi="ar"/>
              </w:rPr>
              <w:t>÷10000=</w:t>
            </w:r>
            <w:r>
              <w:rPr>
                <w:rFonts w:ascii="宋体" w:hAnsi="宋体" w:cs="Arial"/>
                <w:sz w:val="18"/>
                <w:szCs w:val="18"/>
                <w:lang w:bidi="ar"/>
              </w:rPr>
              <w:t>61.63</w:t>
            </w:r>
            <w:r>
              <w:rPr>
                <w:rFonts w:hint="eastAsia" w:ascii="宋体" w:hAnsi="宋体" w:cs="Arial"/>
                <w:sz w:val="18"/>
                <w:szCs w:val="18"/>
                <w:lang w:bidi="ar"/>
              </w:rPr>
              <w:t>万元。</w:t>
            </w:r>
          </w:p>
        </w:tc>
      </w:tr>
      <w:tr w14:paraId="5D9CE80D">
        <w:tblPrEx>
          <w:tblCellMar>
            <w:top w:w="0" w:type="dxa"/>
            <w:left w:w="108" w:type="dxa"/>
            <w:bottom w:w="0" w:type="dxa"/>
            <w:right w:w="108" w:type="dxa"/>
          </w:tblCellMar>
        </w:tblPrEx>
        <w:trPr>
          <w:trHeight w:val="106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A6B93C1">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2.2</w:t>
            </w:r>
          </w:p>
        </w:tc>
        <w:tc>
          <w:tcPr>
            <w:tcW w:w="1559" w:type="dxa"/>
            <w:tcBorders>
              <w:top w:val="single" w:color="auto" w:sz="4" w:space="0"/>
              <w:left w:val="single" w:color="auto" w:sz="4" w:space="0"/>
              <w:bottom w:val="single" w:color="auto" w:sz="4" w:space="0"/>
              <w:right w:val="single" w:color="auto" w:sz="4" w:space="0"/>
            </w:tcBorders>
            <w:vAlign w:val="center"/>
          </w:tcPr>
          <w:p w14:paraId="5C1001F1">
            <w:pPr>
              <w:widowControl/>
              <w:spacing w:line="240" w:lineRule="auto"/>
              <w:jc w:val="center"/>
              <w:textAlignment w:val="center"/>
              <w:rPr>
                <w:rFonts w:ascii="宋体" w:hAnsi="宋体" w:cs="Arial"/>
                <w:sz w:val="18"/>
                <w:szCs w:val="18"/>
              </w:rPr>
            </w:pPr>
            <w:r>
              <w:rPr>
                <w:rFonts w:ascii="宋体" w:hAnsi="宋体" w:cs="Arial"/>
                <w:sz w:val="18"/>
                <w:szCs w:val="18"/>
                <w:lang w:bidi="ar"/>
              </w:rPr>
              <w:t>保险费（</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noWrap/>
            <w:vAlign w:val="center"/>
          </w:tcPr>
          <w:p w14:paraId="6D27688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2.36</w:t>
            </w:r>
          </w:p>
        </w:tc>
        <w:tc>
          <w:tcPr>
            <w:tcW w:w="6037" w:type="dxa"/>
            <w:tcBorders>
              <w:top w:val="single" w:color="auto" w:sz="4" w:space="0"/>
              <w:left w:val="single" w:color="auto" w:sz="4" w:space="0"/>
              <w:bottom w:val="single" w:color="auto" w:sz="4" w:space="0"/>
              <w:right w:val="single" w:color="auto" w:sz="4" w:space="0"/>
            </w:tcBorders>
            <w:vAlign w:val="center"/>
          </w:tcPr>
          <w:p w14:paraId="1BE28F37">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指房屋产权人为使自己的房产避免意外损失而向保险公司支付的费用，</w:t>
            </w:r>
            <w:r>
              <w:rPr>
                <w:rFonts w:hint="eastAsia" w:ascii="宋体" w:hAnsi="宋体"/>
                <w:sz w:val="18"/>
                <w:szCs w:val="18"/>
              </w:rPr>
              <w:t>根据估价委托人介绍，估价对象保险费用约为2</w:t>
            </w:r>
            <w:r>
              <w:rPr>
                <w:rFonts w:ascii="宋体" w:hAnsi="宋体"/>
                <w:sz w:val="18"/>
                <w:szCs w:val="18"/>
              </w:rPr>
              <w:t>.36万元</w:t>
            </w:r>
            <w:r>
              <w:rPr>
                <w:rFonts w:hint="eastAsia" w:ascii="宋体" w:hAnsi="宋体" w:cs="Arial"/>
                <w:sz w:val="18"/>
                <w:szCs w:val="18"/>
                <w:lang w:bidi="ar"/>
              </w:rPr>
              <w:t>。</w:t>
            </w:r>
          </w:p>
        </w:tc>
      </w:tr>
      <w:tr w14:paraId="4F13ECD4">
        <w:tblPrEx>
          <w:tblCellMar>
            <w:top w:w="0" w:type="dxa"/>
            <w:left w:w="108" w:type="dxa"/>
            <w:bottom w:w="0" w:type="dxa"/>
            <w:right w:w="108" w:type="dxa"/>
          </w:tblCellMar>
        </w:tblPrEx>
        <w:trPr>
          <w:trHeight w:val="75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77F27F7">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2.3</w:t>
            </w:r>
          </w:p>
        </w:tc>
        <w:tc>
          <w:tcPr>
            <w:tcW w:w="1559" w:type="dxa"/>
            <w:tcBorders>
              <w:top w:val="single" w:color="auto" w:sz="4" w:space="0"/>
              <w:left w:val="single" w:color="auto" w:sz="4" w:space="0"/>
              <w:bottom w:val="single" w:color="auto" w:sz="4" w:space="0"/>
              <w:right w:val="single" w:color="auto" w:sz="4" w:space="0"/>
            </w:tcBorders>
            <w:vAlign w:val="center"/>
          </w:tcPr>
          <w:p w14:paraId="142D287E">
            <w:pPr>
              <w:widowControl/>
              <w:spacing w:line="240" w:lineRule="auto"/>
              <w:jc w:val="center"/>
              <w:textAlignment w:val="center"/>
              <w:rPr>
                <w:rFonts w:ascii="宋体" w:hAnsi="宋体" w:cs="Arial"/>
                <w:sz w:val="18"/>
                <w:szCs w:val="18"/>
              </w:rPr>
            </w:pPr>
            <w:r>
              <w:rPr>
                <w:rFonts w:ascii="宋体" w:hAnsi="宋体" w:cs="Arial"/>
                <w:sz w:val="18"/>
                <w:szCs w:val="18"/>
                <w:lang w:bidi="ar"/>
              </w:rPr>
              <w:t>物业费（</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2377239F">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352.17</w:t>
            </w:r>
          </w:p>
        </w:tc>
        <w:tc>
          <w:tcPr>
            <w:tcW w:w="6037" w:type="dxa"/>
            <w:tcBorders>
              <w:top w:val="single" w:color="auto" w:sz="4" w:space="0"/>
              <w:left w:val="single" w:color="auto" w:sz="4" w:space="0"/>
              <w:bottom w:val="single" w:color="auto" w:sz="4" w:space="0"/>
              <w:right w:val="single" w:color="auto" w:sz="4" w:space="0"/>
            </w:tcBorders>
            <w:vAlign w:val="center"/>
          </w:tcPr>
          <w:p w14:paraId="2C9E46EE">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该项目为公租房，根据</w:t>
            </w:r>
            <w:r>
              <w:rPr>
                <w:rFonts w:hint="eastAsia" w:ascii="宋体" w:hAnsi="宋体"/>
                <w:sz w:val="18"/>
                <w:szCs w:val="18"/>
              </w:rPr>
              <w:t>估价委</w:t>
            </w:r>
            <w:r>
              <w:rPr>
                <w:rFonts w:hint="eastAsia" w:ascii="宋体" w:hAnsi="宋体" w:cs="Arial"/>
                <w:sz w:val="18"/>
                <w:szCs w:val="18"/>
                <w:lang w:bidi="ar"/>
              </w:rPr>
              <w:t>托人提供的</w:t>
            </w:r>
            <w:r>
              <w:rPr>
                <w:rFonts w:ascii="宋体" w:hAnsi="宋体" w:cs="Arial"/>
                <w:sz w:val="18"/>
                <w:szCs w:val="18"/>
                <w:lang w:bidi="ar"/>
              </w:rPr>
              <w:t>提供的</w:t>
            </w:r>
            <w:r>
              <w:rPr>
                <w:rFonts w:hint="eastAsia" w:ascii="宋体" w:hAnsi="宋体" w:cs="Arial"/>
                <w:sz w:val="18"/>
                <w:szCs w:val="18"/>
                <w:lang w:bidi="ar"/>
              </w:rPr>
              <w:t>《物业服务合同》[2</w:t>
            </w:r>
            <w:r>
              <w:rPr>
                <w:rFonts w:ascii="宋体" w:hAnsi="宋体" w:cs="Arial"/>
                <w:sz w:val="18"/>
                <w:szCs w:val="18"/>
                <w:lang w:bidi="ar"/>
              </w:rPr>
              <w:t>024年</w:t>
            </w:r>
            <w:r>
              <w:rPr>
                <w:rFonts w:hint="eastAsia" w:ascii="宋体" w:hAnsi="宋体" w:cs="Arial"/>
                <w:sz w:val="18"/>
                <w:szCs w:val="18"/>
                <w:lang w:bidi="ar"/>
              </w:rPr>
              <w:t>2月]</w:t>
            </w:r>
            <w:r>
              <w:rPr>
                <w:rFonts w:ascii="宋体" w:hAnsi="宋体" w:cs="Arial"/>
                <w:sz w:val="18"/>
                <w:szCs w:val="18"/>
                <w:lang w:bidi="ar"/>
              </w:rPr>
              <w:t>，物业费水平为3.2元/平方米/月计算，则年物业费用为3.2×91711.82×12</w:t>
            </w:r>
            <w:r>
              <w:rPr>
                <w:rFonts w:hint="eastAsia" w:ascii="宋体" w:hAnsi="宋体" w:cs="Arial"/>
                <w:sz w:val="18"/>
                <w:szCs w:val="18"/>
                <w:lang w:bidi="ar"/>
              </w:rPr>
              <w:t>÷10000</w:t>
            </w:r>
            <w:r>
              <w:rPr>
                <w:rFonts w:ascii="宋体" w:hAnsi="宋体" w:cs="Arial"/>
                <w:sz w:val="18"/>
                <w:szCs w:val="18"/>
                <w:lang w:bidi="ar"/>
              </w:rPr>
              <w:t>=352.17</w:t>
            </w:r>
            <w:r>
              <w:rPr>
                <w:rFonts w:hint="eastAsia" w:ascii="宋体" w:hAnsi="宋体" w:cs="Arial"/>
                <w:sz w:val="18"/>
                <w:szCs w:val="18"/>
                <w:lang w:bidi="ar"/>
              </w:rPr>
              <w:t>万</w:t>
            </w:r>
            <w:r>
              <w:rPr>
                <w:rFonts w:ascii="宋体" w:hAnsi="宋体" w:cs="Arial"/>
                <w:sz w:val="18"/>
                <w:szCs w:val="18"/>
                <w:lang w:bidi="ar"/>
              </w:rPr>
              <w:t>元。</w:t>
            </w:r>
          </w:p>
        </w:tc>
      </w:tr>
      <w:tr w14:paraId="50F39DFD">
        <w:tblPrEx>
          <w:tblCellMar>
            <w:top w:w="0" w:type="dxa"/>
            <w:left w:w="108" w:type="dxa"/>
            <w:bottom w:w="0" w:type="dxa"/>
            <w:right w:w="108" w:type="dxa"/>
          </w:tblCellMar>
        </w:tblPrEx>
        <w:trPr>
          <w:trHeight w:val="2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A716F16">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3</w:t>
            </w:r>
          </w:p>
        </w:tc>
        <w:tc>
          <w:tcPr>
            <w:tcW w:w="1559" w:type="dxa"/>
            <w:tcBorders>
              <w:top w:val="single" w:color="auto" w:sz="4" w:space="0"/>
              <w:left w:val="single" w:color="auto" w:sz="4" w:space="0"/>
              <w:bottom w:val="single" w:color="auto" w:sz="4" w:space="0"/>
              <w:right w:val="single" w:color="auto" w:sz="4" w:space="0"/>
            </w:tcBorders>
            <w:vAlign w:val="center"/>
          </w:tcPr>
          <w:p w14:paraId="7CBF724F">
            <w:pPr>
              <w:widowControl/>
              <w:spacing w:line="240" w:lineRule="auto"/>
              <w:jc w:val="center"/>
              <w:textAlignment w:val="center"/>
              <w:rPr>
                <w:rFonts w:ascii="宋体" w:hAnsi="宋体" w:cs="Arial"/>
                <w:sz w:val="18"/>
                <w:szCs w:val="18"/>
              </w:rPr>
            </w:pPr>
            <w:r>
              <w:rPr>
                <w:rFonts w:ascii="宋体" w:hAnsi="宋体" w:cs="Arial"/>
                <w:sz w:val="18"/>
                <w:szCs w:val="18"/>
                <w:lang w:bidi="ar"/>
              </w:rPr>
              <w:t>管理成本（</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5791404D">
            <w:pPr>
              <w:widowControl/>
              <w:spacing w:line="240" w:lineRule="auto"/>
              <w:jc w:val="center"/>
              <w:textAlignment w:val="center"/>
              <w:rPr>
                <w:rFonts w:ascii="宋体" w:hAnsi="宋体" w:cs="Arial"/>
                <w:sz w:val="18"/>
                <w:szCs w:val="18"/>
                <w:lang w:bidi="ar"/>
              </w:rPr>
            </w:pPr>
            <w:r>
              <w:rPr>
                <w:rFonts w:hint="eastAsia" w:ascii="宋体" w:hAnsi="宋体" w:cs="Arial"/>
                <w:color w:val="000000"/>
                <w:sz w:val="18"/>
                <w:szCs w:val="18"/>
              </w:rPr>
              <w:t>3</w:t>
            </w:r>
            <w:r>
              <w:rPr>
                <w:rFonts w:ascii="宋体" w:hAnsi="宋体" w:cs="Arial"/>
                <w:color w:val="000000"/>
                <w:sz w:val="18"/>
                <w:szCs w:val="18"/>
              </w:rPr>
              <w:t>77.45</w:t>
            </w:r>
          </w:p>
        </w:tc>
        <w:tc>
          <w:tcPr>
            <w:tcW w:w="6037" w:type="dxa"/>
            <w:tcBorders>
              <w:top w:val="single" w:color="auto" w:sz="4" w:space="0"/>
              <w:left w:val="single" w:color="auto" w:sz="4" w:space="0"/>
              <w:bottom w:val="single" w:color="auto" w:sz="4" w:space="0"/>
              <w:right w:val="single" w:color="auto" w:sz="4" w:space="0"/>
            </w:tcBorders>
            <w:vAlign w:val="center"/>
          </w:tcPr>
          <w:p w14:paraId="7A5CB0B2">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3=3.1+3.2+3.3</w:t>
            </w:r>
          </w:p>
        </w:tc>
      </w:tr>
      <w:tr w14:paraId="7E3AD0DC">
        <w:tblPrEx>
          <w:tblCellMar>
            <w:top w:w="0" w:type="dxa"/>
            <w:left w:w="108" w:type="dxa"/>
            <w:bottom w:w="0" w:type="dxa"/>
            <w:right w:w="108" w:type="dxa"/>
          </w:tblCellMar>
        </w:tblPrEx>
        <w:trPr>
          <w:trHeight w:val="75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D00E088">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3.1</w:t>
            </w:r>
          </w:p>
        </w:tc>
        <w:tc>
          <w:tcPr>
            <w:tcW w:w="1559" w:type="dxa"/>
            <w:tcBorders>
              <w:top w:val="single" w:color="auto" w:sz="4" w:space="0"/>
              <w:left w:val="single" w:color="auto" w:sz="4" w:space="0"/>
              <w:bottom w:val="single" w:color="auto" w:sz="4" w:space="0"/>
              <w:right w:val="single" w:color="auto" w:sz="4" w:space="0"/>
            </w:tcBorders>
            <w:vAlign w:val="center"/>
          </w:tcPr>
          <w:p w14:paraId="15B29148">
            <w:pPr>
              <w:widowControl/>
              <w:spacing w:line="240" w:lineRule="auto"/>
              <w:jc w:val="center"/>
              <w:textAlignment w:val="center"/>
              <w:rPr>
                <w:rFonts w:ascii="宋体" w:hAnsi="宋体" w:cs="Arial"/>
                <w:sz w:val="18"/>
                <w:szCs w:val="18"/>
              </w:rPr>
            </w:pPr>
            <w:r>
              <w:rPr>
                <w:rFonts w:ascii="宋体" w:hAnsi="宋体" w:cs="Arial"/>
                <w:sz w:val="18"/>
                <w:szCs w:val="18"/>
                <w:lang w:bidi="ar"/>
              </w:rPr>
              <w:t>管理费（</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7E7C42C1">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323.94</w:t>
            </w:r>
          </w:p>
        </w:tc>
        <w:tc>
          <w:tcPr>
            <w:tcW w:w="6037" w:type="dxa"/>
            <w:tcBorders>
              <w:top w:val="single" w:color="auto" w:sz="4" w:space="0"/>
              <w:left w:val="single" w:color="auto" w:sz="4" w:space="0"/>
              <w:bottom w:val="single" w:color="auto" w:sz="4" w:space="0"/>
              <w:right w:val="single" w:color="auto" w:sz="4" w:space="0"/>
            </w:tcBorders>
            <w:vAlign w:val="center"/>
          </w:tcPr>
          <w:p w14:paraId="0019F0E2">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指运营管理机构人员、办公等的正常开支费用，参考同类项目测算，按年租金成本收益的</w:t>
            </w:r>
            <w:r>
              <w:rPr>
                <w:rFonts w:hint="eastAsia" w:ascii="宋体" w:hAnsi="宋体" w:cs="Arial"/>
                <w:sz w:val="18"/>
                <w:szCs w:val="18"/>
                <w:lang w:bidi="ar"/>
              </w:rPr>
              <w:t>5</w:t>
            </w:r>
            <w:r>
              <w:rPr>
                <w:rFonts w:ascii="宋体" w:hAnsi="宋体" w:cs="Arial"/>
                <w:sz w:val="18"/>
                <w:szCs w:val="18"/>
                <w:lang w:bidi="ar"/>
              </w:rPr>
              <w:t>%测算，即</w:t>
            </w:r>
            <w:r>
              <w:rPr>
                <w:rFonts w:hint="eastAsia" w:ascii="宋体" w:hAnsi="宋体" w:cs="Arial"/>
                <w:sz w:val="18"/>
                <w:szCs w:val="18"/>
                <w:lang w:bidi="ar"/>
              </w:rPr>
              <w:t>5</w:t>
            </w:r>
            <w:r>
              <w:rPr>
                <w:rFonts w:ascii="宋体" w:hAnsi="宋体" w:cs="Arial"/>
                <w:sz w:val="18"/>
                <w:szCs w:val="18"/>
                <w:lang w:bidi="ar"/>
              </w:rPr>
              <w:t>8.87×</w:t>
            </w:r>
            <w:r>
              <w:rPr>
                <w:rFonts w:hint="eastAsia" w:ascii="宋体" w:hAnsi="宋体" w:cs="Arial"/>
                <w:sz w:val="18"/>
                <w:szCs w:val="18"/>
                <w:lang w:bidi="ar"/>
              </w:rPr>
              <w:t>12</w:t>
            </w:r>
            <w:r>
              <w:rPr>
                <w:rFonts w:ascii="宋体" w:hAnsi="宋体" w:cs="Arial"/>
                <w:sz w:val="18"/>
                <w:szCs w:val="18"/>
                <w:lang w:bidi="ar"/>
              </w:rPr>
              <w:t>×91711.82×5%</w:t>
            </w:r>
            <w:r>
              <w:rPr>
                <w:rFonts w:hint="eastAsia" w:ascii="宋体" w:hAnsi="宋体" w:cs="Arial"/>
                <w:sz w:val="18"/>
                <w:szCs w:val="18"/>
                <w:lang w:bidi="ar"/>
              </w:rPr>
              <w:t>÷10000</w:t>
            </w:r>
            <w:r>
              <w:rPr>
                <w:rFonts w:ascii="宋体" w:hAnsi="宋体" w:cs="Arial"/>
                <w:sz w:val="18"/>
                <w:szCs w:val="18"/>
                <w:lang w:bidi="ar"/>
              </w:rPr>
              <w:t>=323.94元。</w:t>
            </w:r>
          </w:p>
        </w:tc>
      </w:tr>
      <w:tr w14:paraId="16D8D13F">
        <w:tblPrEx>
          <w:tblCellMar>
            <w:top w:w="0" w:type="dxa"/>
            <w:left w:w="108" w:type="dxa"/>
            <w:bottom w:w="0" w:type="dxa"/>
            <w:right w:w="108" w:type="dxa"/>
          </w:tblCellMar>
        </w:tblPrEx>
        <w:trPr>
          <w:trHeight w:val="2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16B820F">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3.2</w:t>
            </w:r>
          </w:p>
        </w:tc>
        <w:tc>
          <w:tcPr>
            <w:tcW w:w="1559" w:type="dxa"/>
            <w:tcBorders>
              <w:top w:val="single" w:color="auto" w:sz="4" w:space="0"/>
              <w:left w:val="single" w:color="auto" w:sz="4" w:space="0"/>
              <w:bottom w:val="single" w:color="auto" w:sz="4" w:space="0"/>
              <w:right w:val="single" w:color="auto" w:sz="4" w:space="0"/>
            </w:tcBorders>
            <w:vAlign w:val="center"/>
          </w:tcPr>
          <w:p w14:paraId="04693D90">
            <w:pPr>
              <w:widowControl/>
              <w:spacing w:line="240" w:lineRule="auto"/>
              <w:jc w:val="center"/>
              <w:textAlignment w:val="center"/>
              <w:rPr>
                <w:rFonts w:ascii="宋体" w:hAnsi="宋体" w:cs="Arial"/>
                <w:sz w:val="18"/>
                <w:szCs w:val="18"/>
              </w:rPr>
            </w:pPr>
            <w:r>
              <w:rPr>
                <w:rFonts w:ascii="宋体" w:hAnsi="宋体" w:cs="Arial"/>
                <w:sz w:val="18"/>
                <w:szCs w:val="18"/>
                <w:lang w:bidi="ar"/>
              </w:rPr>
              <w:t>利息（</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546B750F">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21.99</w:t>
            </w:r>
          </w:p>
        </w:tc>
        <w:tc>
          <w:tcPr>
            <w:tcW w:w="6037" w:type="dxa"/>
            <w:tcBorders>
              <w:top w:val="single" w:color="auto" w:sz="4" w:space="0"/>
              <w:left w:val="single" w:color="auto" w:sz="4" w:space="0"/>
              <w:bottom w:val="single" w:color="auto" w:sz="4" w:space="0"/>
              <w:right w:val="single" w:color="auto" w:sz="4" w:space="0"/>
            </w:tcBorders>
            <w:vAlign w:val="center"/>
          </w:tcPr>
          <w:p w14:paraId="39769FAF">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指新建、改建、收购公租房所需资金的资金成本，</w:t>
            </w:r>
            <w:r>
              <w:rPr>
                <w:rFonts w:hint="eastAsia" w:ascii="宋体" w:hAnsi="宋体"/>
                <w:sz w:val="18"/>
                <w:szCs w:val="18"/>
              </w:rPr>
              <w:t>根据估价委托人提供的《燕保•高米店家园公租房项目各项费用说明》及介绍</w:t>
            </w:r>
            <w:r>
              <w:rPr>
                <w:rFonts w:hint="eastAsia" w:ascii="宋体" w:hAnsi="宋体" w:cs="Arial"/>
                <w:sz w:val="18"/>
                <w:szCs w:val="18"/>
                <w:lang w:bidi="ar"/>
              </w:rPr>
              <w:t>，项目7</w:t>
            </w:r>
            <w:r>
              <w:rPr>
                <w:rFonts w:ascii="宋体" w:hAnsi="宋体" w:cs="Arial"/>
                <w:sz w:val="18"/>
                <w:szCs w:val="18"/>
                <w:lang w:bidi="ar"/>
              </w:rPr>
              <w:t>0%贷款比例，贷款利率为</w:t>
            </w:r>
            <w:r>
              <w:rPr>
                <w:rFonts w:hint="eastAsia" w:ascii="宋体" w:hAnsi="宋体" w:cs="Arial"/>
                <w:sz w:val="18"/>
                <w:szCs w:val="18"/>
                <w:lang w:bidi="ar"/>
              </w:rPr>
              <w:t>2</w:t>
            </w:r>
            <w:r>
              <w:rPr>
                <w:rFonts w:ascii="宋体" w:hAnsi="宋体" w:cs="Arial"/>
                <w:sz w:val="18"/>
                <w:szCs w:val="18"/>
                <w:lang w:bidi="ar"/>
              </w:rPr>
              <w:t>.99%</w:t>
            </w:r>
            <w:r>
              <w:rPr>
                <w:rFonts w:hint="eastAsia" w:ascii="宋体" w:hAnsi="宋体" w:cs="Arial"/>
                <w:sz w:val="18"/>
                <w:szCs w:val="18"/>
                <w:lang w:bidi="ar"/>
              </w:rPr>
              <w:t>。</w:t>
            </w:r>
          </w:p>
        </w:tc>
      </w:tr>
      <w:tr w14:paraId="640C44BE">
        <w:tblPrEx>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6E01B1B">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3.3</w:t>
            </w:r>
          </w:p>
        </w:tc>
        <w:tc>
          <w:tcPr>
            <w:tcW w:w="1559" w:type="dxa"/>
            <w:tcBorders>
              <w:top w:val="single" w:color="auto" w:sz="4" w:space="0"/>
              <w:left w:val="single" w:color="auto" w:sz="4" w:space="0"/>
              <w:bottom w:val="single" w:color="auto" w:sz="4" w:space="0"/>
              <w:right w:val="single" w:color="auto" w:sz="4" w:space="0"/>
            </w:tcBorders>
            <w:vAlign w:val="center"/>
          </w:tcPr>
          <w:p w14:paraId="2E7C9DA5">
            <w:pPr>
              <w:widowControl/>
              <w:spacing w:line="240" w:lineRule="auto"/>
              <w:jc w:val="center"/>
              <w:textAlignment w:val="center"/>
              <w:rPr>
                <w:rFonts w:ascii="宋体" w:hAnsi="宋体" w:cs="Arial"/>
                <w:sz w:val="18"/>
                <w:szCs w:val="18"/>
              </w:rPr>
            </w:pPr>
            <w:r>
              <w:rPr>
                <w:rFonts w:ascii="宋体" w:hAnsi="宋体" w:cs="Arial"/>
                <w:sz w:val="18"/>
                <w:szCs w:val="18"/>
                <w:lang w:bidi="ar"/>
              </w:rPr>
              <w:t>利润（</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7DB89DAD">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31.52</w:t>
            </w:r>
          </w:p>
        </w:tc>
        <w:tc>
          <w:tcPr>
            <w:tcW w:w="6037" w:type="dxa"/>
            <w:tcBorders>
              <w:top w:val="single" w:color="auto" w:sz="4" w:space="0"/>
              <w:left w:val="single" w:color="auto" w:sz="4" w:space="0"/>
              <w:bottom w:val="single" w:color="auto" w:sz="4" w:space="0"/>
              <w:right w:val="single" w:color="auto" w:sz="4" w:space="0"/>
            </w:tcBorders>
            <w:vAlign w:val="center"/>
          </w:tcPr>
          <w:p w14:paraId="2E85F4C7">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公共租赁住房项目属于保障性住房，不以获取利润为主要目的，按照保本微利原则记取利润率，以折旧及摊销成本为基数的3%。即</w:t>
            </w:r>
            <w:r>
              <w:rPr>
                <w:rFonts w:ascii="宋体" w:hAnsi="宋体" w:cs="Arial"/>
                <w:sz w:val="18"/>
                <w:szCs w:val="18"/>
                <w:lang w:bidi="ar"/>
              </w:rPr>
              <w:t>1050.63×</w:t>
            </w:r>
            <w:r>
              <w:rPr>
                <w:rFonts w:hint="eastAsia" w:ascii="宋体" w:hAnsi="宋体" w:cs="Arial"/>
                <w:sz w:val="18"/>
                <w:szCs w:val="18"/>
                <w:lang w:bidi="ar"/>
              </w:rPr>
              <w:t>3%=</w:t>
            </w:r>
            <w:r>
              <w:rPr>
                <w:rFonts w:ascii="宋体" w:hAnsi="宋体" w:cs="Arial"/>
                <w:sz w:val="18"/>
                <w:szCs w:val="18"/>
                <w:lang w:bidi="ar"/>
              </w:rPr>
              <w:t>31.52</w:t>
            </w:r>
            <w:r>
              <w:rPr>
                <w:rFonts w:hint="eastAsia" w:ascii="宋体" w:hAnsi="宋体" w:cs="Arial"/>
                <w:sz w:val="18"/>
                <w:szCs w:val="18"/>
                <w:lang w:bidi="ar"/>
              </w:rPr>
              <w:t>万元</w:t>
            </w:r>
          </w:p>
        </w:tc>
      </w:tr>
      <w:tr w14:paraId="23FF62B4">
        <w:tblPrEx>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5B60DAE">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4</w:t>
            </w:r>
          </w:p>
        </w:tc>
        <w:tc>
          <w:tcPr>
            <w:tcW w:w="1559" w:type="dxa"/>
            <w:tcBorders>
              <w:top w:val="single" w:color="auto" w:sz="4" w:space="0"/>
              <w:left w:val="single" w:color="auto" w:sz="4" w:space="0"/>
              <w:bottom w:val="single" w:color="auto" w:sz="4" w:space="0"/>
              <w:right w:val="single" w:color="auto" w:sz="4" w:space="0"/>
            </w:tcBorders>
            <w:vAlign w:val="center"/>
          </w:tcPr>
          <w:p w14:paraId="7437B22F">
            <w:pPr>
              <w:widowControl/>
              <w:spacing w:line="240" w:lineRule="auto"/>
              <w:jc w:val="center"/>
              <w:textAlignment w:val="center"/>
              <w:rPr>
                <w:rFonts w:ascii="宋体" w:hAnsi="宋体" w:cs="Arial"/>
                <w:sz w:val="18"/>
                <w:szCs w:val="18"/>
              </w:rPr>
            </w:pPr>
            <w:r>
              <w:rPr>
                <w:rFonts w:ascii="宋体" w:hAnsi="宋体" w:cs="Arial"/>
                <w:sz w:val="18"/>
                <w:szCs w:val="18"/>
                <w:lang w:bidi="ar"/>
              </w:rPr>
              <w:t>年成本收益（</w:t>
            </w:r>
            <w:r>
              <w:rPr>
                <w:rFonts w:hint="eastAsia" w:ascii="宋体" w:hAnsi="宋体" w:cs="Arial"/>
                <w:sz w:val="18"/>
                <w:szCs w:val="18"/>
                <w:lang w:bidi="ar"/>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17BBBD72">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1844.24</w:t>
            </w:r>
          </w:p>
        </w:tc>
        <w:tc>
          <w:tcPr>
            <w:tcW w:w="6037" w:type="dxa"/>
            <w:tcBorders>
              <w:top w:val="single" w:color="auto" w:sz="4" w:space="0"/>
              <w:left w:val="single" w:color="auto" w:sz="4" w:space="0"/>
              <w:bottom w:val="single" w:color="auto" w:sz="4" w:space="0"/>
              <w:right w:val="single" w:color="auto" w:sz="4" w:space="0"/>
            </w:tcBorders>
            <w:vAlign w:val="center"/>
          </w:tcPr>
          <w:p w14:paraId="185F885F">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4=1+2+3</w:t>
            </w:r>
          </w:p>
        </w:tc>
      </w:tr>
      <w:tr w14:paraId="317395D9">
        <w:tblPrEx>
          <w:tblCellMar>
            <w:top w:w="0" w:type="dxa"/>
            <w:left w:w="108" w:type="dxa"/>
            <w:bottom w:w="0" w:type="dxa"/>
            <w:right w:w="108" w:type="dxa"/>
          </w:tblCellMar>
        </w:tblPrEx>
        <w:trPr>
          <w:trHeight w:val="510" w:hRule="atLeast"/>
          <w:jc w:val="center"/>
        </w:trPr>
        <w:tc>
          <w:tcPr>
            <w:tcW w:w="709" w:type="dxa"/>
            <w:tcBorders>
              <w:top w:val="single" w:color="auto" w:sz="4" w:space="0"/>
              <w:left w:val="single" w:color="000000" w:sz="4" w:space="0"/>
              <w:bottom w:val="single" w:color="000000" w:sz="4" w:space="0"/>
              <w:right w:val="single" w:color="000000" w:sz="4" w:space="0"/>
            </w:tcBorders>
            <w:vAlign w:val="center"/>
          </w:tcPr>
          <w:p w14:paraId="177A6417">
            <w:pPr>
              <w:widowControl/>
              <w:spacing w:line="240" w:lineRule="auto"/>
              <w:jc w:val="center"/>
              <w:textAlignment w:val="center"/>
              <w:rPr>
                <w:rFonts w:ascii="宋体" w:hAnsi="宋体" w:cs="Arial"/>
                <w:sz w:val="18"/>
                <w:szCs w:val="18"/>
                <w:lang w:bidi="ar"/>
              </w:rPr>
            </w:pPr>
            <w:r>
              <w:rPr>
                <w:rFonts w:hint="eastAsia" w:ascii="宋体" w:hAnsi="宋体" w:cs="Arial"/>
                <w:sz w:val="18"/>
                <w:szCs w:val="18"/>
                <w:lang w:bidi="ar"/>
              </w:rPr>
              <w:t>5</w:t>
            </w:r>
          </w:p>
        </w:tc>
        <w:tc>
          <w:tcPr>
            <w:tcW w:w="1559" w:type="dxa"/>
            <w:tcBorders>
              <w:top w:val="single" w:color="auto" w:sz="4" w:space="0"/>
              <w:left w:val="single" w:color="000000" w:sz="4" w:space="0"/>
              <w:bottom w:val="single" w:color="000000" w:sz="4" w:space="0"/>
              <w:right w:val="single" w:color="000000" w:sz="4" w:space="0"/>
            </w:tcBorders>
            <w:vAlign w:val="center"/>
          </w:tcPr>
          <w:p w14:paraId="4D5E91E2">
            <w:pPr>
              <w:widowControl/>
              <w:spacing w:line="240" w:lineRule="auto"/>
              <w:jc w:val="center"/>
              <w:textAlignment w:val="center"/>
              <w:rPr>
                <w:rFonts w:ascii="宋体" w:hAnsi="宋体" w:cs="Arial"/>
                <w:sz w:val="18"/>
                <w:szCs w:val="18"/>
              </w:rPr>
            </w:pPr>
            <w:r>
              <w:rPr>
                <w:rFonts w:ascii="宋体" w:hAnsi="宋体" w:cs="Arial"/>
                <w:sz w:val="18"/>
                <w:szCs w:val="18"/>
                <w:lang w:bidi="ar"/>
              </w:rPr>
              <w:t>月成本收益(元/平方米·月)</w:t>
            </w:r>
          </w:p>
        </w:tc>
        <w:tc>
          <w:tcPr>
            <w:tcW w:w="993" w:type="dxa"/>
            <w:tcBorders>
              <w:top w:val="single" w:color="auto" w:sz="4" w:space="0"/>
              <w:left w:val="single" w:color="000000" w:sz="4" w:space="0"/>
              <w:bottom w:val="single" w:color="000000" w:sz="4" w:space="0"/>
              <w:right w:val="single" w:color="000000" w:sz="4" w:space="0"/>
            </w:tcBorders>
            <w:vAlign w:val="center"/>
          </w:tcPr>
          <w:p w14:paraId="400F688A">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17</w:t>
            </w:r>
          </w:p>
        </w:tc>
        <w:tc>
          <w:tcPr>
            <w:tcW w:w="6037" w:type="dxa"/>
            <w:tcBorders>
              <w:top w:val="single" w:color="auto" w:sz="4" w:space="0"/>
              <w:left w:val="single" w:color="000000" w:sz="4" w:space="0"/>
              <w:bottom w:val="single" w:color="000000" w:sz="4" w:space="0"/>
              <w:right w:val="single" w:color="000000" w:sz="4" w:space="0"/>
            </w:tcBorders>
            <w:vAlign w:val="center"/>
          </w:tcPr>
          <w:p w14:paraId="2A2A3D04">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5=4÷公租房建筑面积÷12个月</w:t>
            </w:r>
          </w:p>
        </w:tc>
      </w:tr>
    </w:tbl>
    <w:p w14:paraId="3A48860A">
      <w:pPr>
        <w:wordWrap w:val="0"/>
        <w:overflowPunct w:val="0"/>
        <w:spacing w:line="240" w:lineRule="auto"/>
        <w:rPr>
          <w:sz w:val="18"/>
          <w:szCs w:val="18"/>
        </w:rPr>
      </w:pPr>
    </w:p>
    <w:p w14:paraId="59B7EFA0">
      <w:pPr>
        <w:wordWrap w:val="0"/>
        <w:overflowPunct w:val="0"/>
        <w:spacing w:line="480" w:lineRule="auto"/>
        <w:ind w:firstLine="420" w:firstLineChars="200"/>
        <w:rPr>
          <w:rFonts w:ascii="Arial" w:hAnsi="Arial" w:cs="Arial"/>
          <w:sz w:val="21"/>
          <w:szCs w:val="21"/>
        </w:rPr>
      </w:pPr>
      <w:r>
        <w:rPr>
          <w:rFonts w:ascii="Arial" w:hAnsi="Arial" w:cs="Arial"/>
          <w:sz w:val="21"/>
          <w:szCs w:val="21"/>
        </w:rPr>
        <w:t>根据以上计算得出估价对象月成本租金为</w:t>
      </w:r>
      <w:r>
        <w:rPr>
          <w:rFonts w:hint="eastAsia" w:ascii="Arial" w:hAnsi="Arial" w:cs="Arial"/>
          <w:sz w:val="21"/>
          <w:szCs w:val="21"/>
        </w:rPr>
        <w:t>1</w:t>
      </w:r>
      <w:r>
        <w:rPr>
          <w:rFonts w:ascii="Arial" w:hAnsi="Arial" w:cs="Arial"/>
          <w:sz w:val="21"/>
          <w:szCs w:val="21"/>
        </w:rPr>
        <w:t>7元/平方米·</w:t>
      </w:r>
      <w:r>
        <w:rPr>
          <w:rFonts w:hint="eastAsia" w:ascii="Arial" w:hAnsi="Arial" w:cs="Arial"/>
          <w:sz w:val="21"/>
          <w:szCs w:val="21"/>
        </w:rPr>
        <w:t>月。</w:t>
      </w:r>
    </w:p>
    <w:p w14:paraId="0070BB33">
      <w:pPr>
        <w:pStyle w:val="3"/>
        <w:tabs>
          <w:tab w:val="left" w:pos="360"/>
        </w:tabs>
        <w:spacing w:line="480" w:lineRule="auto"/>
        <w:ind w:left="358" w:hanging="358" w:hangingChars="170"/>
        <w:jc w:val="both"/>
        <w:rPr>
          <w:rFonts w:eastAsia="宋体"/>
          <w:kern w:val="2"/>
          <w:sz w:val="21"/>
          <w:szCs w:val="21"/>
        </w:rPr>
      </w:pPr>
      <w:bookmarkStart w:id="59" w:name="_Toc525655441"/>
      <w:r>
        <w:rPr>
          <w:rFonts w:eastAsia="宋体"/>
          <w:kern w:val="2"/>
          <w:sz w:val="21"/>
          <w:szCs w:val="21"/>
        </w:rPr>
        <w:t>六、估价结果确定</w:t>
      </w:r>
      <w:bookmarkEnd w:id="59"/>
    </w:p>
    <w:p w14:paraId="7D38CCD1">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注册房地产估价师根据估价的目的，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同地段、同类型普通住宅房地产于价值时点</w:t>
      </w:r>
      <w:r>
        <w:rPr>
          <w:rFonts w:ascii="Arial" w:hAnsi="Arial" w:cs="Arial"/>
          <w:sz w:val="21"/>
          <w:szCs w:val="21"/>
        </w:rPr>
        <w:t>2025年5月1日</w:t>
      </w:r>
      <w:r>
        <w:rPr>
          <w:rFonts w:hint="eastAsia" w:ascii="Arial" w:hAnsi="Arial" w:cs="Arial"/>
          <w:sz w:val="21"/>
          <w:szCs w:val="21"/>
        </w:rPr>
        <w:t>前一年内（2024年5月1日至2025年4月30日）市场平均租金价格为：</w:t>
      </w:r>
    </w:p>
    <w:p w14:paraId="07166DD5">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估价对象市场租金：</w:t>
      </w:r>
      <w:r>
        <w:rPr>
          <w:rFonts w:ascii="Arial" w:hAnsi="Arial" w:cs="Arial"/>
          <w:b/>
          <w:bCs/>
          <w:sz w:val="21"/>
          <w:szCs w:val="21"/>
        </w:rPr>
        <w:t>58.87</w:t>
      </w:r>
      <w:r>
        <w:rPr>
          <w:rFonts w:hint="eastAsia" w:ascii="Arial" w:hAnsi="Arial" w:cs="Arial"/>
          <w:b/>
          <w:bCs/>
          <w:sz w:val="21"/>
          <w:szCs w:val="21"/>
        </w:rPr>
        <w:t>元/平方米·月（货币种类：人民币）</w:t>
      </w:r>
    </w:p>
    <w:p w14:paraId="02803A42">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0C479A18">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31EF5354">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1FE63F80">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4、估价结果包括地租、房屋折旧、设备折旧、维修费、保险费、物业费、</w:t>
      </w:r>
      <w:r>
        <w:rPr>
          <w:rFonts w:hint="eastAsia" w:ascii="Arial" w:hAnsi="Arial" w:cs="Arial"/>
          <w:sz w:val="18"/>
          <w:szCs w:val="18"/>
        </w:rPr>
        <w:t>管理费、</w:t>
      </w:r>
      <w:r>
        <w:rPr>
          <w:rFonts w:ascii="Arial" w:hAnsi="Arial" w:cs="Arial"/>
          <w:sz w:val="18"/>
          <w:szCs w:val="18"/>
        </w:rPr>
        <w:t>利息、利润等，不含供暖费、水电费、天然气费、通信费、有线电视费、上网宽带费和家具、家电租赁费及租赁税费等。</w:t>
      </w:r>
    </w:p>
    <w:p w14:paraId="5F1EE019">
      <w:pPr>
        <w:spacing w:line="240" w:lineRule="auto"/>
        <w:jc w:val="center"/>
        <w:rPr>
          <w:rFonts w:ascii="Arial" w:hAnsi="Arial" w:cs="Arial"/>
          <w:b/>
          <w:sz w:val="21"/>
          <w:szCs w:val="21"/>
        </w:rPr>
      </w:pPr>
    </w:p>
    <w:p w14:paraId="3E880DAD">
      <w:pPr>
        <w:spacing w:line="240" w:lineRule="auto"/>
        <w:jc w:val="center"/>
        <w:rPr>
          <w:rFonts w:ascii="Arial" w:hAnsi="Arial" w:cs="Arial"/>
          <w:b/>
          <w:sz w:val="21"/>
          <w:szCs w:val="21"/>
        </w:rPr>
        <w:sectPr>
          <w:footerReference r:id="rId18" w:type="default"/>
          <w:pgSz w:w="11907" w:h="16840"/>
          <w:pgMar w:top="1843" w:right="1134" w:bottom="1134" w:left="1134" w:header="1134" w:footer="907" w:gutter="340"/>
          <w:cols w:space="720" w:num="1"/>
          <w:docGrid w:linePitch="326" w:charSpace="0"/>
        </w:sectPr>
      </w:pPr>
    </w:p>
    <w:p w14:paraId="04818396">
      <w:pPr>
        <w:pStyle w:val="2"/>
        <w:spacing w:line="480" w:lineRule="auto"/>
        <w:jc w:val="center"/>
        <w:rPr>
          <w:rFonts w:eastAsia="方正黑体简体"/>
          <w:b w:val="0"/>
          <w:kern w:val="2"/>
          <w:sz w:val="32"/>
          <w:szCs w:val="32"/>
        </w:rPr>
      </w:pPr>
      <w:bookmarkStart w:id="60" w:name="_Toc525655442"/>
      <w:r>
        <w:rPr>
          <w:rFonts w:hint="eastAsia" w:eastAsia="方正黑体简体"/>
          <w:b w:val="0"/>
          <w:kern w:val="2"/>
          <w:sz w:val="32"/>
          <w:szCs w:val="32"/>
        </w:rPr>
        <w:t>附   件</w:t>
      </w:r>
      <w:bookmarkEnd w:id="60"/>
    </w:p>
    <w:p w14:paraId="2EDB69EF">
      <w:pPr>
        <w:numPr>
          <w:ilvl w:val="0"/>
          <w:numId w:val="9"/>
        </w:numPr>
        <w:spacing w:line="360" w:lineRule="auto"/>
        <w:jc w:val="both"/>
        <w:rPr>
          <w:rFonts w:ascii="Arial" w:hAnsi="Arial" w:cs="Arial"/>
          <w:sz w:val="21"/>
          <w:szCs w:val="21"/>
        </w:rPr>
      </w:pPr>
      <w:r>
        <w:rPr>
          <w:rFonts w:ascii="Arial" w:hAnsi="Arial" w:cs="Arial"/>
          <w:sz w:val="21"/>
          <w:szCs w:val="21"/>
        </w:rPr>
        <w:t>《关于</w:t>
      </w:r>
      <w:r>
        <w:rPr>
          <w:rFonts w:hint="eastAsia" w:ascii="Arial" w:hAnsi="Arial" w:cs="Arial"/>
          <w:sz w:val="21"/>
          <w:szCs w:val="21"/>
        </w:rPr>
        <w:t>燕保·高米店家园公租房项目市场租金委托评估函》复印件</w:t>
      </w:r>
    </w:p>
    <w:p w14:paraId="15644061">
      <w:pPr>
        <w:numPr>
          <w:ilvl w:val="0"/>
          <w:numId w:val="9"/>
        </w:numPr>
        <w:spacing w:line="360" w:lineRule="auto"/>
        <w:jc w:val="both"/>
        <w:rPr>
          <w:rFonts w:ascii="Arial" w:hAnsi="Arial" w:cs="Arial"/>
          <w:sz w:val="21"/>
          <w:szCs w:val="21"/>
        </w:rPr>
      </w:pPr>
      <w:r>
        <w:rPr>
          <w:rFonts w:ascii="Arial" w:hAnsi="Arial" w:cs="Arial"/>
          <w:sz w:val="21"/>
          <w:szCs w:val="21"/>
        </w:rPr>
        <w:t>估价对象所在位置示意图</w:t>
      </w:r>
    </w:p>
    <w:p w14:paraId="6E083783">
      <w:pPr>
        <w:numPr>
          <w:ilvl w:val="0"/>
          <w:numId w:val="9"/>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420684A8">
      <w:pPr>
        <w:numPr>
          <w:ilvl w:val="0"/>
          <w:numId w:val="9"/>
        </w:numPr>
        <w:spacing w:line="360" w:lineRule="auto"/>
        <w:jc w:val="both"/>
        <w:rPr>
          <w:rFonts w:ascii="Arial" w:hAnsi="Arial" w:cs="Arial"/>
          <w:sz w:val="21"/>
          <w:szCs w:val="21"/>
        </w:rPr>
      </w:pPr>
      <w:r>
        <w:rPr>
          <w:rFonts w:hint="eastAsia" w:ascii="Arial" w:hAnsi="Arial" w:cs="Arial"/>
          <w:sz w:val="21"/>
          <w:szCs w:val="21"/>
        </w:rPr>
        <w:t>《北京市发展和改革委员会 关于大兴区高米店公共租赁住房项目核准的批复》 [京发改（2</w:t>
      </w:r>
      <w:r>
        <w:rPr>
          <w:rFonts w:ascii="Arial" w:hAnsi="Arial" w:cs="Arial"/>
          <w:sz w:val="21"/>
          <w:szCs w:val="21"/>
        </w:rPr>
        <w:t>011）</w:t>
      </w:r>
      <w:r>
        <w:rPr>
          <w:rFonts w:hint="eastAsia" w:ascii="Arial" w:hAnsi="Arial" w:cs="Arial"/>
          <w:sz w:val="21"/>
          <w:szCs w:val="21"/>
        </w:rPr>
        <w:t>1</w:t>
      </w:r>
      <w:r>
        <w:rPr>
          <w:rFonts w:ascii="Arial" w:hAnsi="Arial" w:cs="Arial"/>
          <w:sz w:val="21"/>
          <w:szCs w:val="21"/>
        </w:rPr>
        <w:t>769号</w:t>
      </w:r>
      <w:r>
        <w:rPr>
          <w:rFonts w:hint="eastAsia" w:ascii="Arial" w:hAnsi="Arial" w:cs="Arial"/>
          <w:sz w:val="21"/>
          <w:szCs w:val="21"/>
        </w:rPr>
        <w:t>]及附件复印件</w:t>
      </w:r>
    </w:p>
    <w:p w14:paraId="1B27F8B2">
      <w:pPr>
        <w:numPr>
          <w:ilvl w:val="0"/>
          <w:numId w:val="9"/>
        </w:numPr>
        <w:spacing w:line="360" w:lineRule="auto"/>
        <w:jc w:val="both"/>
        <w:rPr>
          <w:rFonts w:ascii="Arial" w:hAnsi="Arial" w:cs="Arial"/>
          <w:sz w:val="21"/>
          <w:szCs w:val="21"/>
        </w:rPr>
      </w:pPr>
      <w:r>
        <w:rPr>
          <w:rFonts w:hint="eastAsia" w:ascii="Arial" w:hAnsi="Arial" w:cs="Arial"/>
          <w:sz w:val="21"/>
          <w:szCs w:val="21"/>
        </w:rPr>
        <w:t>《北京市发展和改革委员会 关于转发大兴区高米店公共租赁住房项目变更建设主体的批复的通知》[京兴发改转（2</w:t>
      </w:r>
      <w:r>
        <w:rPr>
          <w:rFonts w:ascii="Arial" w:hAnsi="Arial" w:cs="Arial"/>
          <w:sz w:val="21"/>
          <w:szCs w:val="21"/>
        </w:rPr>
        <w:t>012）</w:t>
      </w:r>
      <w:r>
        <w:rPr>
          <w:rFonts w:hint="eastAsia" w:ascii="Arial" w:hAnsi="Arial" w:cs="Arial"/>
          <w:sz w:val="21"/>
          <w:szCs w:val="21"/>
        </w:rPr>
        <w:t>5</w:t>
      </w:r>
      <w:r>
        <w:rPr>
          <w:rFonts w:ascii="Arial" w:hAnsi="Arial" w:cs="Arial"/>
          <w:sz w:val="21"/>
          <w:szCs w:val="21"/>
        </w:rPr>
        <w:t>1号</w:t>
      </w:r>
      <w:r>
        <w:rPr>
          <w:rFonts w:hint="eastAsia" w:ascii="Arial" w:hAnsi="Arial" w:cs="Arial"/>
          <w:sz w:val="21"/>
          <w:szCs w:val="21"/>
        </w:rPr>
        <w:t>]及附件复印件</w:t>
      </w:r>
    </w:p>
    <w:p w14:paraId="56CCF3CF">
      <w:pPr>
        <w:numPr>
          <w:ilvl w:val="0"/>
          <w:numId w:val="9"/>
        </w:numPr>
        <w:spacing w:line="360" w:lineRule="auto"/>
        <w:jc w:val="both"/>
        <w:rPr>
          <w:rFonts w:ascii="Arial" w:hAnsi="Arial" w:cs="Arial"/>
          <w:sz w:val="21"/>
          <w:szCs w:val="21"/>
        </w:rPr>
      </w:pPr>
      <w:r>
        <w:rPr>
          <w:rFonts w:hint="eastAsia" w:ascii="Arial" w:hAnsi="Arial" w:cs="Arial"/>
          <w:sz w:val="21"/>
          <w:szCs w:val="21"/>
        </w:rPr>
        <w:t>《北京市发展和改革委员会 关于转发大兴区高米店公共租赁住房项目延期的批复》[京发改（2</w:t>
      </w:r>
      <w:r>
        <w:rPr>
          <w:rFonts w:ascii="Arial" w:hAnsi="Arial" w:cs="Arial"/>
          <w:sz w:val="21"/>
          <w:szCs w:val="21"/>
        </w:rPr>
        <w:t>013）2004号</w:t>
      </w:r>
      <w:r>
        <w:rPr>
          <w:rFonts w:hint="eastAsia" w:ascii="Arial" w:hAnsi="Arial" w:cs="Arial"/>
          <w:sz w:val="21"/>
          <w:szCs w:val="21"/>
        </w:rPr>
        <w:t>]复印件</w:t>
      </w:r>
    </w:p>
    <w:p w14:paraId="3CAB0138">
      <w:pPr>
        <w:numPr>
          <w:ilvl w:val="0"/>
          <w:numId w:val="9"/>
        </w:numPr>
        <w:spacing w:line="360" w:lineRule="auto"/>
        <w:jc w:val="both"/>
        <w:rPr>
          <w:rFonts w:ascii="Arial" w:hAnsi="Arial" w:cs="Arial"/>
          <w:sz w:val="21"/>
          <w:szCs w:val="21"/>
        </w:rPr>
      </w:pPr>
      <w:r>
        <w:rPr>
          <w:rFonts w:hint="eastAsia" w:ascii="Arial" w:hAnsi="Arial" w:cs="Arial"/>
          <w:sz w:val="21"/>
          <w:szCs w:val="21"/>
        </w:rPr>
        <w:t>《建设用地规划许可证》[201</w:t>
      </w:r>
      <w:r>
        <w:rPr>
          <w:rFonts w:ascii="Arial" w:hAnsi="Arial" w:cs="Arial"/>
          <w:sz w:val="21"/>
          <w:szCs w:val="21"/>
        </w:rPr>
        <w:t>3</w:t>
      </w:r>
      <w:r>
        <w:rPr>
          <w:rFonts w:hint="eastAsia" w:ascii="Arial" w:hAnsi="Arial" w:cs="Arial"/>
          <w:sz w:val="21"/>
          <w:szCs w:val="21"/>
        </w:rPr>
        <w:t>规（大）地字</w:t>
      </w:r>
      <w:r>
        <w:rPr>
          <w:rFonts w:ascii="Arial" w:hAnsi="Arial" w:cs="Arial"/>
          <w:sz w:val="21"/>
          <w:szCs w:val="21"/>
        </w:rPr>
        <w:t>0006</w:t>
      </w:r>
      <w:r>
        <w:rPr>
          <w:rFonts w:hint="eastAsia" w:ascii="Arial" w:hAnsi="Arial" w:cs="Arial"/>
          <w:sz w:val="21"/>
          <w:szCs w:val="21"/>
        </w:rPr>
        <w:t>号]及附件复印件</w:t>
      </w:r>
    </w:p>
    <w:p w14:paraId="40CE1290">
      <w:pPr>
        <w:numPr>
          <w:ilvl w:val="0"/>
          <w:numId w:val="9"/>
        </w:numPr>
        <w:spacing w:line="360" w:lineRule="auto"/>
        <w:jc w:val="both"/>
        <w:rPr>
          <w:rFonts w:ascii="Arial" w:hAnsi="Arial" w:cs="Arial"/>
          <w:sz w:val="21"/>
          <w:szCs w:val="21"/>
        </w:rPr>
      </w:pPr>
      <w:r>
        <w:rPr>
          <w:rFonts w:hint="eastAsia" w:ascii="Arial" w:hAnsi="Arial" w:cs="Arial"/>
          <w:sz w:val="21"/>
          <w:szCs w:val="21"/>
        </w:rPr>
        <w:t>《建设工程规划许可证》[2013规（大）建字0113号]及附件附图复印件</w:t>
      </w:r>
    </w:p>
    <w:p w14:paraId="54167656">
      <w:pPr>
        <w:numPr>
          <w:ilvl w:val="0"/>
          <w:numId w:val="9"/>
        </w:numPr>
        <w:spacing w:line="360" w:lineRule="auto"/>
        <w:jc w:val="both"/>
        <w:rPr>
          <w:rFonts w:ascii="Arial" w:hAnsi="Arial" w:cs="Arial"/>
          <w:sz w:val="21"/>
          <w:szCs w:val="21"/>
        </w:rPr>
      </w:pPr>
      <w:r>
        <w:rPr>
          <w:rFonts w:ascii="Arial" w:hAnsi="Arial" w:cs="Arial"/>
          <w:sz w:val="21"/>
          <w:szCs w:val="21"/>
        </w:rPr>
        <w:t>《规划施工号与门牌、楼牌编号对照表</w:t>
      </w:r>
      <w:r>
        <w:rPr>
          <w:rFonts w:hint="eastAsia" w:ascii="Arial" w:hAnsi="Arial" w:cs="Arial"/>
          <w:sz w:val="21"/>
          <w:szCs w:val="21"/>
        </w:rPr>
        <w:t>》复印件</w:t>
      </w:r>
    </w:p>
    <w:p w14:paraId="694D86D0">
      <w:pPr>
        <w:numPr>
          <w:ilvl w:val="0"/>
          <w:numId w:val="9"/>
        </w:numPr>
        <w:spacing w:line="360" w:lineRule="auto"/>
        <w:jc w:val="both"/>
        <w:rPr>
          <w:rFonts w:ascii="Arial" w:hAnsi="Arial" w:cs="Arial"/>
          <w:sz w:val="21"/>
          <w:szCs w:val="21"/>
        </w:rPr>
      </w:pPr>
      <w:r>
        <w:rPr>
          <w:rFonts w:ascii="Arial" w:hAnsi="Arial" w:cs="Arial"/>
          <w:sz w:val="21"/>
          <w:szCs w:val="21"/>
        </w:rPr>
        <w:t>《建筑工程施工许可证》</w:t>
      </w:r>
      <w:r>
        <w:rPr>
          <w:rFonts w:hint="eastAsia" w:ascii="Arial" w:hAnsi="Arial" w:cs="Arial"/>
          <w:sz w:val="21"/>
          <w:szCs w:val="21"/>
        </w:rPr>
        <w:t>[（2</w:t>
      </w:r>
      <w:r>
        <w:rPr>
          <w:rFonts w:ascii="Arial" w:hAnsi="Arial" w:cs="Arial"/>
          <w:sz w:val="21"/>
          <w:szCs w:val="21"/>
        </w:rPr>
        <w:t>014）施建字</w:t>
      </w:r>
      <w:r>
        <w:rPr>
          <w:rFonts w:hint="eastAsia" w:ascii="Arial" w:hAnsi="Arial" w:cs="Arial"/>
          <w:sz w:val="21"/>
          <w:szCs w:val="21"/>
        </w:rPr>
        <w:t>0</w:t>
      </w:r>
      <w:r>
        <w:rPr>
          <w:rFonts w:ascii="Arial" w:hAnsi="Arial" w:cs="Arial"/>
          <w:sz w:val="21"/>
          <w:szCs w:val="21"/>
        </w:rPr>
        <w:t>386号]</w:t>
      </w:r>
      <w:r>
        <w:rPr>
          <w:rFonts w:hint="eastAsia" w:ascii="Arial" w:hAnsi="Arial" w:cs="Arial"/>
          <w:sz w:val="21"/>
          <w:szCs w:val="21"/>
        </w:rPr>
        <w:t>及附件复印件</w:t>
      </w:r>
    </w:p>
    <w:p w14:paraId="3A897421">
      <w:pPr>
        <w:numPr>
          <w:ilvl w:val="0"/>
          <w:numId w:val="9"/>
        </w:numPr>
        <w:spacing w:line="360" w:lineRule="auto"/>
        <w:jc w:val="both"/>
        <w:rPr>
          <w:rFonts w:ascii="Arial" w:hAnsi="Arial" w:cs="Arial"/>
          <w:sz w:val="21"/>
          <w:szCs w:val="21"/>
        </w:rPr>
      </w:pPr>
      <w:r>
        <w:rPr>
          <w:rFonts w:ascii="Arial" w:hAnsi="Arial" w:cs="Arial"/>
          <w:sz w:val="21"/>
          <w:szCs w:val="21"/>
        </w:rPr>
        <w:t>《北京市规划委员会 建设工程规划核验（验收）意见》</w:t>
      </w:r>
      <w:r>
        <w:rPr>
          <w:rFonts w:hint="eastAsia" w:ascii="Arial" w:hAnsi="Arial" w:cs="Arial"/>
          <w:sz w:val="21"/>
          <w:szCs w:val="21"/>
        </w:rPr>
        <w:t>[201</w:t>
      </w:r>
      <w:r>
        <w:rPr>
          <w:rFonts w:ascii="Arial" w:hAnsi="Arial" w:cs="Arial"/>
          <w:sz w:val="21"/>
          <w:szCs w:val="21"/>
        </w:rPr>
        <w:t>5</w:t>
      </w:r>
      <w:r>
        <w:rPr>
          <w:rFonts w:hint="eastAsia" w:ascii="Arial" w:hAnsi="Arial" w:cs="Arial"/>
          <w:sz w:val="21"/>
          <w:szCs w:val="21"/>
        </w:rPr>
        <w:t>规（大）竣字</w:t>
      </w:r>
      <w:r>
        <w:rPr>
          <w:rFonts w:ascii="Arial" w:hAnsi="Arial" w:cs="Arial"/>
          <w:sz w:val="21"/>
          <w:szCs w:val="21"/>
        </w:rPr>
        <w:t>0102</w:t>
      </w:r>
      <w:r>
        <w:rPr>
          <w:rFonts w:hint="eastAsia" w:ascii="Arial" w:hAnsi="Arial" w:cs="Arial"/>
          <w:sz w:val="21"/>
          <w:szCs w:val="21"/>
        </w:rPr>
        <w:t>号]复印件</w:t>
      </w:r>
    </w:p>
    <w:p w14:paraId="38833019">
      <w:pPr>
        <w:numPr>
          <w:ilvl w:val="0"/>
          <w:numId w:val="9"/>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hint="eastAsia" w:ascii="Arial" w:hAnsi="Arial" w:cs="Arial"/>
          <w:sz w:val="21"/>
          <w:szCs w:val="21"/>
        </w:rPr>
        <w:t>[编号：0</w:t>
      </w:r>
      <w:r>
        <w:rPr>
          <w:rFonts w:ascii="Arial" w:hAnsi="Arial" w:cs="Arial"/>
          <w:sz w:val="21"/>
          <w:szCs w:val="21"/>
        </w:rPr>
        <w:t>251大竣工</w:t>
      </w:r>
      <w:r>
        <w:rPr>
          <w:rFonts w:hint="eastAsia" w:ascii="Arial" w:hAnsi="Arial" w:cs="Arial"/>
          <w:sz w:val="21"/>
          <w:szCs w:val="21"/>
        </w:rPr>
        <w:t>2</w:t>
      </w:r>
      <w:r>
        <w:rPr>
          <w:rFonts w:ascii="Arial" w:hAnsi="Arial" w:cs="Arial"/>
          <w:sz w:val="21"/>
          <w:szCs w:val="21"/>
        </w:rPr>
        <w:t>018（建）</w:t>
      </w:r>
      <w:r>
        <w:rPr>
          <w:rFonts w:hint="eastAsia" w:ascii="Arial" w:hAnsi="Arial" w:cs="Arial"/>
          <w:sz w:val="21"/>
          <w:szCs w:val="21"/>
        </w:rPr>
        <w:t>0</w:t>
      </w:r>
      <w:r>
        <w:rPr>
          <w:rFonts w:ascii="Arial" w:hAnsi="Arial" w:cs="Arial"/>
          <w:sz w:val="21"/>
          <w:szCs w:val="21"/>
        </w:rPr>
        <w:t>036号]复印件</w:t>
      </w:r>
    </w:p>
    <w:p w14:paraId="00C25E07">
      <w:pPr>
        <w:numPr>
          <w:ilvl w:val="0"/>
          <w:numId w:val="9"/>
        </w:numPr>
        <w:spacing w:line="360" w:lineRule="auto"/>
        <w:jc w:val="both"/>
        <w:rPr>
          <w:rFonts w:ascii="Arial" w:hAnsi="Arial" w:cs="Arial"/>
          <w:sz w:val="21"/>
          <w:szCs w:val="21"/>
        </w:rPr>
      </w:pPr>
      <w:r>
        <w:rPr>
          <w:rFonts w:ascii="Arial" w:hAnsi="Arial" w:cs="Arial"/>
          <w:kern w:val="2"/>
          <w:sz w:val="21"/>
          <w:szCs w:val="21"/>
        </w:rPr>
        <w:t>《房屋面积测算</w:t>
      </w:r>
      <w:r>
        <w:rPr>
          <w:rFonts w:hint="eastAsia" w:ascii="Arial" w:hAnsi="Arial" w:cs="Arial"/>
          <w:kern w:val="2"/>
          <w:sz w:val="21"/>
          <w:szCs w:val="21"/>
        </w:rPr>
        <w:t>技术报告书（商品房类使用》复印件</w:t>
      </w:r>
    </w:p>
    <w:p w14:paraId="76AD8294">
      <w:pPr>
        <w:numPr>
          <w:ilvl w:val="0"/>
          <w:numId w:val="9"/>
        </w:numPr>
        <w:spacing w:line="360" w:lineRule="auto"/>
        <w:jc w:val="both"/>
        <w:rPr>
          <w:rFonts w:ascii="Arial" w:hAnsi="Arial" w:cs="Arial"/>
          <w:sz w:val="21"/>
          <w:szCs w:val="21"/>
        </w:rPr>
      </w:pPr>
      <w:r>
        <w:rPr>
          <w:rFonts w:hint="eastAsia" w:ascii="Arial" w:hAnsi="Arial" w:cs="Arial"/>
          <w:sz w:val="21"/>
          <w:szCs w:val="21"/>
        </w:rPr>
        <w:t>《燕保·高米店家园项目房源表》</w:t>
      </w:r>
      <w:r>
        <w:rPr>
          <w:rFonts w:ascii="Arial" w:hAnsi="Arial" w:cs="Arial"/>
          <w:sz w:val="21"/>
          <w:szCs w:val="21"/>
        </w:rPr>
        <w:t>复印件</w:t>
      </w:r>
    </w:p>
    <w:p w14:paraId="7977566E">
      <w:pPr>
        <w:numPr>
          <w:ilvl w:val="0"/>
          <w:numId w:val="9"/>
        </w:numPr>
        <w:spacing w:line="360" w:lineRule="auto"/>
        <w:jc w:val="both"/>
        <w:rPr>
          <w:rFonts w:ascii="Arial" w:hAnsi="Arial" w:cs="Arial"/>
          <w:sz w:val="21"/>
          <w:szCs w:val="21"/>
        </w:rPr>
      </w:pPr>
      <w:r>
        <w:rPr>
          <w:rFonts w:hint="eastAsia" w:ascii="Arial" w:hAnsi="Arial" w:cs="Arial"/>
          <w:sz w:val="21"/>
          <w:szCs w:val="21"/>
        </w:rPr>
        <w:t>《物业服务合同》[2</w:t>
      </w:r>
      <w:r>
        <w:rPr>
          <w:rFonts w:ascii="Arial" w:hAnsi="Arial" w:cs="Arial"/>
          <w:sz w:val="21"/>
          <w:szCs w:val="21"/>
        </w:rPr>
        <w:t>024年</w:t>
      </w:r>
      <w:r>
        <w:rPr>
          <w:rFonts w:hint="eastAsia" w:ascii="Arial" w:hAnsi="Arial" w:cs="Arial"/>
          <w:sz w:val="21"/>
          <w:szCs w:val="21"/>
        </w:rPr>
        <w:t>2月]复印件</w:t>
      </w:r>
    </w:p>
    <w:p w14:paraId="1726CEA8">
      <w:pPr>
        <w:numPr>
          <w:ilvl w:val="0"/>
          <w:numId w:val="9"/>
        </w:numPr>
        <w:spacing w:line="360" w:lineRule="auto"/>
        <w:jc w:val="both"/>
        <w:rPr>
          <w:rFonts w:ascii="Arial" w:hAnsi="Arial" w:cs="Arial"/>
          <w:sz w:val="21"/>
          <w:szCs w:val="21"/>
        </w:rPr>
      </w:pPr>
      <w:r>
        <w:rPr>
          <w:rFonts w:hint="eastAsia" w:ascii="Arial" w:hAnsi="Arial" w:cs="Arial"/>
          <w:sz w:val="21"/>
          <w:szCs w:val="21"/>
        </w:rPr>
        <w:t>《燕保·高米店家园公租房项目各项费用说明》复印件</w:t>
      </w:r>
    </w:p>
    <w:p w14:paraId="792293CF">
      <w:pPr>
        <w:numPr>
          <w:ilvl w:val="0"/>
          <w:numId w:val="9"/>
        </w:numPr>
        <w:spacing w:line="360" w:lineRule="auto"/>
        <w:jc w:val="both"/>
        <w:rPr>
          <w:rFonts w:ascii="Arial" w:hAnsi="Arial" w:cs="Arial"/>
          <w:sz w:val="21"/>
          <w:szCs w:val="21"/>
        </w:rPr>
      </w:pPr>
      <w:r>
        <w:rPr>
          <w:rFonts w:ascii="Arial" w:hAnsi="Arial" w:cs="Arial"/>
          <w:sz w:val="21"/>
          <w:szCs w:val="21"/>
        </w:rPr>
        <w:t>估价委托人《营业执照（副本）》复印件</w:t>
      </w:r>
    </w:p>
    <w:p w14:paraId="7A055C1F">
      <w:pPr>
        <w:numPr>
          <w:ilvl w:val="0"/>
          <w:numId w:val="9"/>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3AABFDD5">
      <w:pPr>
        <w:numPr>
          <w:ilvl w:val="0"/>
          <w:numId w:val="9"/>
        </w:numPr>
        <w:spacing w:line="360" w:lineRule="auto"/>
        <w:jc w:val="both"/>
        <w:rPr>
          <w:rFonts w:ascii="Arial" w:hAnsi="Arial" w:cs="Arial"/>
          <w:sz w:val="21"/>
          <w:szCs w:val="21"/>
        </w:rPr>
      </w:pPr>
      <w:r>
        <w:rPr>
          <w:rFonts w:ascii="Arial" w:hAnsi="Arial" w:cs="Arial"/>
          <w:sz w:val="21"/>
          <w:szCs w:val="21"/>
        </w:rPr>
        <w:t>房地产估价机构资质证书复印件</w:t>
      </w:r>
    </w:p>
    <w:p w14:paraId="7335B5DC">
      <w:pPr>
        <w:numPr>
          <w:ilvl w:val="0"/>
          <w:numId w:val="9"/>
        </w:numPr>
        <w:spacing w:line="360" w:lineRule="auto"/>
        <w:jc w:val="both"/>
        <w:rPr>
          <w:rFonts w:ascii="Arial" w:hAnsi="Arial" w:cs="Arial"/>
          <w:sz w:val="21"/>
          <w:szCs w:val="21"/>
        </w:rPr>
      </w:pPr>
      <w:r>
        <w:rPr>
          <w:rFonts w:hint="eastAsia" w:ascii="Arial" w:hAnsi="Arial" w:cs="Arial"/>
          <w:sz w:val="21"/>
          <w:szCs w:val="21"/>
        </w:rPr>
        <w:t>注册房地产估价师</w:t>
      </w:r>
      <w:r>
        <w:rPr>
          <w:rFonts w:ascii="Arial" w:hAnsi="Arial" w:cs="Arial"/>
          <w:sz w:val="21"/>
          <w:szCs w:val="21"/>
        </w:rPr>
        <w:t>执业证书复印件</w:t>
      </w:r>
    </w:p>
    <w:sectPr>
      <w:headerReference r:id="rId19" w:type="default"/>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 w:name="Liberation Serif">
    <w:altName w:val="宋体"/>
    <w:panose1 w:val="00000000000000000000"/>
    <w:charset w:val="86"/>
    <w:family w:val="roman"/>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Lucida Sans">
    <w:panose1 w:val="020B0602030504020204"/>
    <w:charset w:val="00"/>
    <w:family w:val="swiss"/>
    <w:pitch w:val="default"/>
    <w:sig w:usb0="00000003" w:usb1="00000000" w:usb2="00000000" w:usb3="00000000" w:csb0="20000001" w:csb1="00000000"/>
  </w:font>
  <w:font w:name="宋体;SimSun">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16430">
    <w:pPr>
      <w:pStyle w:val="17"/>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76FD5">
    <w:pPr>
      <w:pStyle w:val="17"/>
      <w:framePr w:wrap="around" w:vAnchor="text" w:hAnchor="margin" w:xAlign="center" w:y="1"/>
      <w:rPr>
        <w:rStyle w:val="27"/>
      </w:rPr>
    </w:pPr>
    <w:r>
      <w:fldChar w:fldCharType="begin"/>
    </w:r>
    <w:r>
      <w:rPr>
        <w:rStyle w:val="27"/>
      </w:rPr>
      <w:instrText xml:space="preserve">PAGE  </w:instrText>
    </w:r>
    <w:r>
      <w:fldChar w:fldCharType="end"/>
    </w:r>
  </w:p>
  <w:p w14:paraId="5D6A18AB">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166A5">
    <w:pPr>
      <w:pStyle w:val="1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0E11">
    <w:pPr>
      <w:pStyle w:val="17"/>
      <w:jc w:val="center"/>
    </w:pPr>
    <w:r>
      <w:fldChar w:fldCharType="begin"/>
    </w:r>
    <w:r>
      <w:instrText xml:space="preserve">PAGE   \* MERGEFORMAT</w:instrText>
    </w:r>
    <w:r>
      <w:fldChar w:fldCharType="separate"/>
    </w:r>
    <w:r>
      <w:rPr>
        <w:rFonts w:ascii="Arial" w:hAnsi="Arial"/>
        <w:lang w:val="zh-CN"/>
      </w:rPr>
      <w:t>12</w:t>
    </w:r>
    <w:r>
      <w:fldChar w:fldCharType="end"/>
    </w:r>
  </w:p>
  <w:p w14:paraId="64FF9A22">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8AB6">
    <w:pPr>
      <w:pStyle w:val="17"/>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27</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05C4D">
    <w:pPr>
      <w:pStyle w:val="17"/>
      <w:framePr w:wrap="around" w:vAnchor="text" w:hAnchor="margin" w:xAlign="center" w:y="1"/>
      <w:rPr>
        <w:rStyle w:val="27"/>
      </w:rPr>
    </w:pPr>
    <w:r>
      <w:fldChar w:fldCharType="begin"/>
    </w:r>
    <w:r>
      <w:rPr>
        <w:rStyle w:val="27"/>
      </w:rPr>
      <w:instrText xml:space="preserve">PAGE  </w:instrText>
    </w:r>
    <w:r>
      <w:fldChar w:fldCharType="end"/>
    </w:r>
  </w:p>
  <w:p w14:paraId="7C41C52B">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4831">
    <w:pPr>
      <w:pStyle w:val="17"/>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62</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1929">
    <w:pPr>
      <w:pStyle w:val="18"/>
      <w:pBdr>
        <w:bottom w:val="none" w:color="auto" w:sz="0" w:space="0"/>
      </w:pBdr>
    </w:pPr>
    <w:r>
      <w:drawing>
        <wp:inline distT="0" distB="0" distL="0" distR="0">
          <wp:extent cx="5907405" cy="289560"/>
          <wp:effectExtent l="0" t="0" r="0" b="0"/>
          <wp:docPr id="177271949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77271949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5A8A2">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A26D">
    <w:pPr>
      <w:pStyle w:val="18"/>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212763139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12763139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77D8">
    <w:pPr>
      <w:pStyle w:val="18"/>
      <w:pBdr>
        <w:bottom w:val="none" w:color="auto" w:sz="0" w:space="0"/>
      </w:pBdr>
    </w:pPr>
    <w:r>
      <w:drawing>
        <wp:inline distT="0" distB="0" distL="0" distR="0">
          <wp:extent cx="5907405" cy="289560"/>
          <wp:effectExtent l="0" t="0" r="0" b="0"/>
          <wp:docPr id="127741280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27741280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22AEA">
    <w:pPr>
      <w:pStyle w:val="18"/>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6912887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912887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578F4">
    <w:pPr>
      <w:pStyle w:val="18"/>
    </w:pPr>
    <w:r>
      <w:drawing>
        <wp:inline distT="0" distB="0" distL="0" distR="0">
          <wp:extent cx="5504815" cy="289560"/>
          <wp:effectExtent l="0" t="0" r="0" b="0"/>
          <wp:docPr id="212019121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12019121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A2811">
    <w:pPr>
      <w:pStyle w:val="18"/>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207930403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7930403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23F3">
    <w:pPr>
      <w:pStyle w:val="18"/>
      <w:pBdr>
        <w:bottom w:val="none" w:color="auto" w:sz="0" w:space="0"/>
      </w:pBdr>
    </w:pPr>
    <w:r>
      <w:drawing>
        <wp:inline distT="0" distB="0" distL="0" distR="0">
          <wp:extent cx="5907405" cy="289560"/>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EAE315"/>
    <w:multiLevelType w:val="singleLevel"/>
    <w:tmpl w:val="E9EAE315"/>
    <w:lvl w:ilvl="0" w:tentative="0">
      <w:start w:val="3"/>
      <w:numFmt w:val="decimal"/>
      <w:suff w:val="nothing"/>
      <w:lvlText w:val="%1）"/>
      <w:lvlJc w:val="left"/>
    </w:lvl>
  </w:abstractNum>
  <w:abstractNum w:abstractNumId="1">
    <w:nsid w:val="04431F8F"/>
    <w:multiLevelType w:val="multilevel"/>
    <w:tmpl w:val="04431F8F"/>
    <w:lvl w:ilvl="0" w:tentative="0">
      <w:start w:val="4"/>
      <w:numFmt w:val="japaneseCounting"/>
      <w:lvlText w:val="%1、"/>
      <w:lvlJc w:val="left"/>
      <w:pPr>
        <w:ind w:left="592" w:hanging="45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E042E46"/>
    <w:multiLevelType w:val="multilevel"/>
    <w:tmpl w:val="4E042E46"/>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2"/>
  </w:num>
  <w:num w:numId="2">
    <w:abstractNumId w:val="8"/>
  </w:num>
  <w:num w:numId="3">
    <w:abstractNumId w:val="7"/>
  </w:num>
  <w:num w:numId="4">
    <w:abstractNumId w:val="6"/>
  </w:num>
  <w:num w:numId="5">
    <w:abstractNumId w:val="4"/>
  </w:num>
  <w:num w:numId="6">
    <w:abstractNumId w:val="3"/>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5NjhhMGU2MmRhNWIwNDgwZGI2NmI2ZjFkMzUzMzkifQ=="/>
  </w:docVars>
  <w:rsids>
    <w:rsidRoot w:val="00AF4C5B"/>
    <w:rsid w:val="00000D1B"/>
    <w:rsid w:val="00001B36"/>
    <w:rsid w:val="00001FCE"/>
    <w:rsid w:val="00002687"/>
    <w:rsid w:val="00002BE8"/>
    <w:rsid w:val="00004CA5"/>
    <w:rsid w:val="00004D42"/>
    <w:rsid w:val="00006360"/>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67"/>
    <w:rsid w:val="000A7CE0"/>
    <w:rsid w:val="000B020C"/>
    <w:rsid w:val="000B0322"/>
    <w:rsid w:val="000B060E"/>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58B3"/>
    <w:rsid w:val="002E6BD0"/>
    <w:rsid w:val="002E7F97"/>
    <w:rsid w:val="002F03A2"/>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F05F6"/>
    <w:rsid w:val="003F0970"/>
    <w:rsid w:val="003F1603"/>
    <w:rsid w:val="003F17E9"/>
    <w:rsid w:val="003F3F74"/>
    <w:rsid w:val="003F40DD"/>
    <w:rsid w:val="003F4219"/>
    <w:rsid w:val="003F4811"/>
    <w:rsid w:val="003F576F"/>
    <w:rsid w:val="003F6E62"/>
    <w:rsid w:val="003F793E"/>
    <w:rsid w:val="003F7F99"/>
    <w:rsid w:val="004004FE"/>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A0D0F"/>
    <w:rsid w:val="004A1D05"/>
    <w:rsid w:val="004A42DB"/>
    <w:rsid w:val="004A4595"/>
    <w:rsid w:val="004A5240"/>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0F4"/>
    <w:rsid w:val="005925BC"/>
    <w:rsid w:val="005927D3"/>
    <w:rsid w:val="00592D96"/>
    <w:rsid w:val="005934D2"/>
    <w:rsid w:val="00596140"/>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7D1"/>
    <w:rsid w:val="005E2376"/>
    <w:rsid w:val="005E2619"/>
    <w:rsid w:val="005E285A"/>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999"/>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DA"/>
    <w:rsid w:val="00647F0E"/>
    <w:rsid w:val="00651A29"/>
    <w:rsid w:val="00651D21"/>
    <w:rsid w:val="0065275C"/>
    <w:rsid w:val="00652DD1"/>
    <w:rsid w:val="006531F5"/>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277D"/>
    <w:rsid w:val="00863238"/>
    <w:rsid w:val="00863C3A"/>
    <w:rsid w:val="00863CA5"/>
    <w:rsid w:val="00864428"/>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3B1D"/>
    <w:rsid w:val="008D408F"/>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5F6"/>
    <w:rsid w:val="009A2A1F"/>
    <w:rsid w:val="009A4437"/>
    <w:rsid w:val="009A47BD"/>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EF7"/>
    <w:rsid w:val="00AC0F69"/>
    <w:rsid w:val="00AC1219"/>
    <w:rsid w:val="00AC14FE"/>
    <w:rsid w:val="00AC1AE6"/>
    <w:rsid w:val="00AC2759"/>
    <w:rsid w:val="00AC2D1C"/>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917"/>
    <w:rsid w:val="00BB6A5D"/>
    <w:rsid w:val="00BB6CFF"/>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50DB"/>
    <w:rsid w:val="00C75946"/>
    <w:rsid w:val="00C80823"/>
    <w:rsid w:val="00C8196C"/>
    <w:rsid w:val="00C81C23"/>
    <w:rsid w:val="00C81EED"/>
    <w:rsid w:val="00C8580E"/>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A0EBA"/>
    <w:rsid w:val="00CA0FB4"/>
    <w:rsid w:val="00CA1F86"/>
    <w:rsid w:val="00CA2244"/>
    <w:rsid w:val="00CA2952"/>
    <w:rsid w:val="00CA3285"/>
    <w:rsid w:val="00CA3639"/>
    <w:rsid w:val="00CA36A2"/>
    <w:rsid w:val="00CA399B"/>
    <w:rsid w:val="00CA52EC"/>
    <w:rsid w:val="00CA53BD"/>
    <w:rsid w:val="00CA5FED"/>
    <w:rsid w:val="00CA63DD"/>
    <w:rsid w:val="00CA6FC6"/>
    <w:rsid w:val="00CA7BAC"/>
    <w:rsid w:val="00CB10BF"/>
    <w:rsid w:val="00CB14F5"/>
    <w:rsid w:val="00CB17D0"/>
    <w:rsid w:val="00CB1A59"/>
    <w:rsid w:val="00CB25CB"/>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80AD0"/>
    <w:rsid w:val="00D80E2E"/>
    <w:rsid w:val="00D81438"/>
    <w:rsid w:val="00D82581"/>
    <w:rsid w:val="00D842CD"/>
    <w:rsid w:val="00D85A3F"/>
    <w:rsid w:val="00D85D48"/>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92"/>
    <w:rsid w:val="00DF5BEE"/>
    <w:rsid w:val="00DF5D59"/>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97F"/>
    <w:rsid w:val="00EB1C4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49EA"/>
    <w:rsid w:val="00FF52C1"/>
    <w:rsid w:val="00FF6085"/>
    <w:rsid w:val="00FF706B"/>
    <w:rsid w:val="00FF7393"/>
    <w:rsid w:val="158936DC"/>
    <w:rsid w:val="20894FD0"/>
    <w:rsid w:val="22062E39"/>
    <w:rsid w:val="25DE5A77"/>
    <w:rsid w:val="264A43AC"/>
    <w:rsid w:val="28BD1858"/>
    <w:rsid w:val="32211DE1"/>
    <w:rsid w:val="33A96182"/>
    <w:rsid w:val="3CF278A5"/>
    <w:rsid w:val="3E5E7C97"/>
    <w:rsid w:val="3EFB68E7"/>
    <w:rsid w:val="422E4D37"/>
    <w:rsid w:val="43470FC7"/>
    <w:rsid w:val="4A215800"/>
    <w:rsid w:val="5501672C"/>
    <w:rsid w:val="59041BB9"/>
    <w:rsid w:val="621303AC"/>
    <w:rsid w:val="623B2F79"/>
    <w:rsid w:val="6BB11069"/>
    <w:rsid w:val="6F9255DB"/>
    <w:rsid w:val="704F663F"/>
    <w:rsid w:val="7DAC5273"/>
    <w:rsid w:val="7DDBCC09"/>
    <w:rsid w:val="7E7E7CFE"/>
    <w:rsid w:val="7F5D3D14"/>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1"/>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2"/>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8">
    <w:name w:val="caption"/>
    <w:basedOn w:val="1"/>
    <w:next w:val="1"/>
    <w:qFormat/>
    <w:uiPriority w:val="35"/>
    <w:rPr>
      <w:rFonts w:ascii="Cambria" w:hAnsi="Cambria" w:eastAsia="黑体"/>
      <w:sz w:val="20"/>
    </w:rPr>
  </w:style>
  <w:style w:type="paragraph" w:styleId="9">
    <w:name w:val="Document Map"/>
    <w:basedOn w:val="1"/>
    <w:link w:val="32"/>
    <w:semiHidden/>
    <w:qFormat/>
    <w:uiPriority w:val="0"/>
    <w:pPr>
      <w:shd w:val="clear" w:color="auto" w:fill="000080"/>
    </w:pPr>
  </w:style>
  <w:style w:type="paragraph" w:styleId="10">
    <w:name w:val="annotation text"/>
    <w:basedOn w:val="1"/>
    <w:link w:val="33"/>
    <w:qFormat/>
    <w:uiPriority w:val="0"/>
  </w:style>
  <w:style w:type="paragraph" w:styleId="11">
    <w:name w:val="Body Text"/>
    <w:basedOn w:val="1"/>
    <w:semiHidden/>
    <w:qFormat/>
    <w:uiPriority w:val="0"/>
    <w:rPr>
      <w:rFonts w:eastAsia="隶书"/>
      <w:sz w:val="52"/>
    </w:rPr>
  </w:style>
  <w:style w:type="paragraph" w:styleId="12">
    <w:name w:val="Body Text Indent"/>
    <w:basedOn w:val="1"/>
    <w:semiHidden/>
    <w:qFormat/>
    <w:uiPriority w:val="0"/>
    <w:pPr>
      <w:spacing w:before="120" w:line="360" w:lineRule="auto"/>
      <w:ind w:left="1145"/>
    </w:pPr>
    <w:rPr>
      <w:rFonts w:ascii="楷体_GB2312" w:eastAsia="楷体_GB2312"/>
      <w:kern w:val="2"/>
      <w:sz w:val="28"/>
    </w:rPr>
  </w:style>
  <w:style w:type="paragraph" w:styleId="13">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4">
    <w:name w:val="Date"/>
    <w:basedOn w:val="1"/>
    <w:next w:val="1"/>
    <w:semiHidden/>
    <w:qFormat/>
    <w:uiPriority w:val="0"/>
    <w:pPr>
      <w:jc w:val="both"/>
    </w:pPr>
    <w:rPr>
      <w:rFonts w:ascii="楷体_GB2312" w:eastAsia="楷体_GB2312"/>
      <w:b/>
      <w:sz w:val="28"/>
    </w:rPr>
  </w:style>
  <w:style w:type="paragraph" w:styleId="15">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16">
    <w:name w:val="Balloon Text"/>
    <w:basedOn w:val="1"/>
    <w:semiHidden/>
    <w:qFormat/>
    <w:uiPriority w:val="0"/>
    <w:rPr>
      <w:sz w:val="18"/>
      <w:szCs w:val="18"/>
    </w:rPr>
  </w:style>
  <w:style w:type="paragraph" w:styleId="17">
    <w:name w:val="footer"/>
    <w:basedOn w:val="1"/>
    <w:link w:val="37"/>
    <w:qFormat/>
    <w:uiPriority w:val="99"/>
    <w:pPr>
      <w:tabs>
        <w:tab w:val="center" w:pos="4153"/>
        <w:tab w:val="right" w:pos="8306"/>
      </w:tabs>
      <w:spacing w:line="240" w:lineRule="atLeast"/>
    </w:pPr>
    <w:rPr>
      <w:sz w:val="18"/>
    </w:rPr>
  </w:style>
  <w:style w:type="paragraph" w:styleId="18">
    <w:name w:val="header"/>
    <w:basedOn w:val="1"/>
    <w:link w:val="38"/>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19">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0">
    <w:name w:val="Body Text 2"/>
    <w:basedOn w:val="1"/>
    <w:semiHidden/>
    <w:qFormat/>
    <w:uiPriority w:val="0"/>
    <w:pPr>
      <w:spacing w:line="360" w:lineRule="auto"/>
      <w:ind w:right="2"/>
    </w:pPr>
    <w:rPr>
      <w:rFonts w:eastAsia="仿宋_GB2312"/>
      <w:sz w:val="28"/>
    </w:rPr>
  </w:style>
  <w:style w:type="paragraph" w:styleId="21">
    <w:name w:val="Normal (Web)"/>
    <w:basedOn w:val="1"/>
    <w:qFormat/>
    <w:uiPriority w:val="99"/>
    <w:pPr>
      <w:widowControl/>
      <w:adjustRightInd/>
      <w:spacing w:line="360" w:lineRule="auto"/>
      <w:textAlignment w:val="auto"/>
    </w:pPr>
    <w:rPr>
      <w:rFonts w:ascii="宋体" w:hAnsi="宋体"/>
      <w:sz w:val="18"/>
      <w:szCs w:val="18"/>
    </w:rPr>
  </w:style>
  <w:style w:type="paragraph" w:styleId="22">
    <w:name w:val="annotation subject"/>
    <w:basedOn w:val="10"/>
    <w:next w:val="10"/>
    <w:semiHidden/>
    <w:qFormat/>
    <w:uiPriority w:val="0"/>
    <w:rPr>
      <w:b/>
      <w:bCs/>
    </w:r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Strong"/>
    <w:qFormat/>
    <w:uiPriority w:val="22"/>
    <w:rPr>
      <w:b/>
      <w:bCs/>
    </w:rPr>
  </w:style>
  <w:style w:type="character" w:styleId="27">
    <w:name w:val="page number"/>
    <w:qFormat/>
    <w:uiPriority w:val="0"/>
  </w:style>
  <w:style w:type="character" w:styleId="28">
    <w:name w:val="FollowedHyperlink"/>
    <w:semiHidden/>
    <w:qFormat/>
    <w:uiPriority w:val="0"/>
    <w:rPr>
      <w:color w:val="800080"/>
      <w:u w:val="single"/>
    </w:rPr>
  </w:style>
  <w:style w:type="character" w:styleId="29">
    <w:name w:val="Hyperlink"/>
    <w:qFormat/>
    <w:uiPriority w:val="99"/>
    <w:rPr>
      <w:color w:val="0000FF"/>
      <w:u w:val="single"/>
    </w:rPr>
  </w:style>
  <w:style w:type="character" w:styleId="30">
    <w:name w:val="annotation reference"/>
    <w:semiHidden/>
    <w:qFormat/>
    <w:uiPriority w:val="99"/>
    <w:rPr>
      <w:sz w:val="21"/>
      <w:szCs w:val="21"/>
    </w:rPr>
  </w:style>
  <w:style w:type="paragraph" w:customStyle="1" w:styleId="31">
    <w:name w:val="目录 71"/>
    <w:basedOn w:val="1"/>
    <w:next w:val="1"/>
    <w:semiHidden/>
    <w:qFormat/>
    <w:uiPriority w:val="0"/>
    <w:pPr>
      <w:ind w:left="2520" w:leftChars="1200"/>
    </w:pPr>
  </w:style>
  <w:style w:type="character" w:customStyle="1" w:styleId="32">
    <w:name w:val="文档结构图 Char"/>
    <w:link w:val="9"/>
    <w:semiHidden/>
    <w:qFormat/>
    <w:uiPriority w:val="0"/>
    <w:rPr>
      <w:sz w:val="24"/>
      <w:shd w:val="clear" w:color="auto" w:fill="000080"/>
    </w:rPr>
  </w:style>
  <w:style w:type="character" w:customStyle="1" w:styleId="33">
    <w:name w:val="批注文字 Char"/>
    <w:link w:val="10"/>
    <w:qFormat/>
    <w:uiPriority w:val="0"/>
    <w:rPr>
      <w:sz w:val="24"/>
    </w:rPr>
  </w:style>
  <w:style w:type="paragraph" w:customStyle="1" w:styleId="34">
    <w:name w:val="目录 51"/>
    <w:basedOn w:val="1"/>
    <w:next w:val="1"/>
    <w:semiHidden/>
    <w:qFormat/>
    <w:uiPriority w:val="0"/>
    <w:pPr>
      <w:ind w:left="1680" w:leftChars="800"/>
    </w:pPr>
  </w:style>
  <w:style w:type="paragraph" w:customStyle="1" w:styleId="35">
    <w:name w:val="目录 31"/>
    <w:basedOn w:val="1"/>
    <w:next w:val="1"/>
    <w:semiHidden/>
    <w:qFormat/>
    <w:uiPriority w:val="0"/>
    <w:pPr>
      <w:ind w:left="840" w:leftChars="400"/>
    </w:pPr>
  </w:style>
  <w:style w:type="paragraph" w:customStyle="1" w:styleId="36">
    <w:name w:val="目录 81"/>
    <w:basedOn w:val="1"/>
    <w:next w:val="1"/>
    <w:semiHidden/>
    <w:qFormat/>
    <w:uiPriority w:val="0"/>
    <w:pPr>
      <w:ind w:left="2940" w:leftChars="1400"/>
    </w:pPr>
  </w:style>
  <w:style w:type="character" w:customStyle="1" w:styleId="37">
    <w:name w:val="页脚 Char"/>
    <w:link w:val="17"/>
    <w:qFormat/>
    <w:uiPriority w:val="99"/>
    <w:rPr>
      <w:sz w:val="18"/>
    </w:rPr>
  </w:style>
  <w:style w:type="character" w:customStyle="1" w:styleId="38">
    <w:name w:val="页眉 Char"/>
    <w:link w:val="18"/>
    <w:qFormat/>
    <w:uiPriority w:val="99"/>
    <w:rPr>
      <w:sz w:val="18"/>
    </w:rPr>
  </w:style>
  <w:style w:type="paragraph" w:customStyle="1" w:styleId="39">
    <w:name w:val="目录 11"/>
    <w:basedOn w:val="1"/>
    <w:next w:val="1"/>
    <w:qFormat/>
    <w:uiPriority w:val="39"/>
    <w:pPr>
      <w:tabs>
        <w:tab w:val="right" w:leader="dot" w:pos="9072"/>
      </w:tabs>
      <w:spacing w:line="360" w:lineRule="auto"/>
    </w:pPr>
    <w:rPr>
      <w:rFonts w:ascii="楷体_GB2312" w:eastAsia="楷体_GB2312"/>
      <w:b/>
      <w:bCs/>
      <w:sz w:val="30"/>
      <w:szCs w:val="30"/>
    </w:rPr>
  </w:style>
  <w:style w:type="paragraph" w:customStyle="1" w:styleId="40">
    <w:name w:val="目录 41"/>
    <w:basedOn w:val="1"/>
    <w:next w:val="1"/>
    <w:semiHidden/>
    <w:qFormat/>
    <w:uiPriority w:val="0"/>
    <w:pPr>
      <w:ind w:left="1260" w:leftChars="600"/>
    </w:pPr>
  </w:style>
  <w:style w:type="paragraph" w:customStyle="1" w:styleId="41">
    <w:name w:val="目录 61"/>
    <w:basedOn w:val="1"/>
    <w:next w:val="1"/>
    <w:semiHidden/>
    <w:qFormat/>
    <w:uiPriority w:val="0"/>
    <w:pPr>
      <w:ind w:left="2100" w:leftChars="1000"/>
    </w:pPr>
  </w:style>
  <w:style w:type="paragraph" w:customStyle="1" w:styleId="42">
    <w:name w:val="目录 21"/>
    <w:basedOn w:val="1"/>
    <w:next w:val="1"/>
    <w:qFormat/>
    <w:uiPriority w:val="39"/>
    <w:pPr>
      <w:tabs>
        <w:tab w:val="right" w:leader="dot" w:pos="9072"/>
      </w:tabs>
      <w:spacing w:line="360" w:lineRule="auto"/>
      <w:ind w:left="480" w:leftChars="200"/>
    </w:pPr>
    <w:rPr>
      <w:rFonts w:eastAsia="楷体_GB2312"/>
    </w:rPr>
  </w:style>
  <w:style w:type="paragraph" w:customStyle="1" w:styleId="43">
    <w:name w:val="目录 91"/>
    <w:basedOn w:val="1"/>
    <w:next w:val="1"/>
    <w:semiHidden/>
    <w:qFormat/>
    <w:uiPriority w:val="0"/>
    <w:pPr>
      <w:ind w:left="3360" w:leftChars="1600"/>
    </w:pPr>
  </w:style>
  <w:style w:type="paragraph" w:customStyle="1" w:styleId="44">
    <w:name w:val="正文首行缩进1"/>
    <w:basedOn w:val="11"/>
    <w:semiHidden/>
    <w:qFormat/>
    <w:uiPriority w:val="0"/>
    <w:pPr>
      <w:adjustRightInd/>
      <w:spacing w:after="120" w:line="240" w:lineRule="auto"/>
      <w:ind w:firstLine="420"/>
      <w:jc w:val="both"/>
      <w:textAlignment w:val="auto"/>
    </w:pPr>
    <w:rPr>
      <w:rFonts w:eastAsia="宋体"/>
      <w:kern w:val="2"/>
      <w:sz w:val="21"/>
    </w:rPr>
  </w:style>
  <w:style w:type="character" w:customStyle="1" w:styleId="45">
    <w:name w:val="标题 5 Char"/>
    <w:qFormat/>
    <w:uiPriority w:val="0"/>
    <w:rPr>
      <w:rFonts w:ascii="楷体_GB2312" w:eastAsia="楷体_GB2312"/>
      <w:color w:val="000000"/>
      <w:sz w:val="28"/>
    </w:rPr>
  </w:style>
  <w:style w:type="character" w:customStyle="1" w:styleId="46">
    <w:name w:val="text1"/>
    <w:qFormat/>
    <w:uiPriority w:val="0"/>
    <w:rPr>
      <w:spacing w:val="10"/>
      <w:sz w:val="28"/>
      <w:szCs w:val="28"/>
    </w:rPr>
  </w:style>
  <w:style w:type="character" w:customStyle="1" w:styleId="47">
    <w:name w:val="t12h291"/>
    <w:uiPriority w:val="0"/>
    <w:rPr>
      <w:color w:val="000000"/>
      <w:sz w:val="24"/>
      <w:szCs w:val="24"/>
    </w:rPr>
  </w:style>
  <w:style w:type="character" w:customStyle="1" w:styleId="48">
    <w:name w:val="unnamed11"/>
    <w:qFormat/>
    <w:uiPriority w:val="0"/>
    <w:rPr>
      <w:rFonts w:hint="eastAsia" w:ascii="宋体" w:hAnsi="宋体" w:eastAsia="宋体"/>
      <w:color w:val="000000"/>
      <w:sz w:val="18"/>
      <w:szCs w:val="18"/>
      <w:u w:val="none"/>
    </w:rPr>
  </w:style>
  <w:style w:type="character" w:customStyle="1" w:styleId="49">
    <w:name w:val="无间隔 Char"/>
    <w:link w:val="50"/>
    <w:qFormat/>
    <w:uiPriority w:val="1"/>
    <w:rPr>
      <w:rFonts w:ascii="Calibri" w:hAnsi="Calibri"/>
      <w:sz w:val="22"/>
      <w:szCs w:val="22"/>
      <w:lang w:bidi="ar-SA"/>
    </w:rPr>
  </w:style>
  <w:style w:type="paragraph" w:styleId="50">
    <w:name w:val="No Spacing"/>
    <w:link w:val="49"/>
    <w:qFormat/>
    <w:uiPriority w:val="1"/>
    <w:rPr>
      <w:rFonts w:ascii="Calibri" w:hAnsi="Calibri" w:eastAsia="宋体" w:cs="Times New Roman"/>
      <w:sz w:val="22"/>
      <w:szCs w:val="22"/>
      <w:lang w:val="en-US" w:eastAsia="zh-CN" w:bidi="ar-SA"/>
    </w:rPr>
  </w:style>
  <w:style w:type="character" w:customStyle="1" w:styleId="51">
    <w:name w:val="nr1"/>
    <w:qFormat/>
    <w:uiPriority w:val="0"/>
    <w:rPr>
      <w:rFonts w:hint="eastAsia" w:ascii="楷体_GB2312" w:eastAsia="楷体_GB2312"/>
      <w:color w:val="000000"/>
      <w:sz w:val="24"/>
      <w:szCs w:val="24"/>
    </w:rPr>
  </w:style>
  <w:style w:type="paragraph" w:customStyle="1" w:styleId="52">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53">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4">
    <w:name w:val="列出段落1"/>
    <w:basedOn w:val="1"/>
    <w:qFormat/>
    <w:uiPriority w:val="1"/>
    <w:pPr>
      <w:ind w:firstLine="420" w:firstLineChars="200"/>
    </w:pPr>
  </w:style>
  <w:style w:type="paragraph" w:customStyle="1" w:styleId="55">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6">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57">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60">
    <w:name w:val="正文1"/>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1">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2">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71"/>
    <w:qFormat/>
    <w:uiPriority w:val="0"/>
    <w:rPr>
      <w:rFonts w:hint="default" w:ascii="Arial" w:hAnsi="Arial" w:cs="Arial"/>
      <w:color w:val="000000"/>
      <w:sz w:val="20"/>
      <w:szCs w:val="20"/>
      <w:u w:val="none"/>
    </w:rPr>
  </w:style>
  <w:style w:type="paragraph" w:customStyle="1" w:styleId="66">
    <w:name w:val="Revision"/>
    <w:hidden/>
    <w:unhideWhenUsed/>
    <w:qFormat/>
    <w:uiPriority w:val="99"/>
    <w:rPr>
      <w:rFonts w:ascii="Times New Roman" w:hAnsi="Times New Roman" w:eastAsia="宋体" w:cs="Times New Roman"/>
      <w:sz w:val="24"/>
      <w:lang w:val="en-US" w:eastAsia="zh-CN" w:bidi="ar-SA"/>
    </w:rPr>
  </w:style>
  <w:style w:type="paragraph" w:customStyle="1" w:styleId="67">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styleId="68">
    <w:name w:val="List Paragraph"/>
    <w:basedOn w:val="1"/>
    <w:qFormat/>
    <w:uiPriority w:val="1"/>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chart" Target="charts/chart4.xml"/><Relationship Id="rId27" Type="http://schemas.openxmlformats.org/officeDocument/2006/relationships/chart" Target="charts/chart3.xml"/><Relationship Id="rId26" Type="http://schemas.openxmlformats.org/officeDocument/2006/relationships/chart" Target="charts/chart2.xml"/><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chart" Target="charts/chart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win10\Desktop\&#20844;&#31199;&#25151;\0623&#27979;&#31639;-&#39640;&#31859;&#24215;&#26356;&#26032;&#25151;&#28304;&#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win10\Desktop\&#20844;&#31199;&#25151;\0623&#27979;&#31639;-&#39640;&#31859;&#24215;&#26356;&#26032;&#25151;&#28304;&#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win10\Desktop\&#20844;&#31199;&#25151;\0623&#27979;&#31639;-&#39640;&#31859;&#24215;&#26356;&#26032;&#25151;&#2830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646570232"/>
        <c:axId val="646569840"/>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646569448"/>
        <c:axId val="646569056"/>
      </c:lineChart>
      <c:catAx>
        <c:axId val="6465702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46569840"/>
        <c:crosses val="autoZero"/>
        <c:auto val="1"/>
        <c:lblAlgn val="ctr"/>
        <c:lblOffset val="100"/>
        <c:noMultiLvlLbl val="0"/>
      </c:catAx>
      <c:valAx>
        <c:axId val="64656984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46570232"/>
        <c:crosses val="autoZero"/>
        <c:crossBetween val="between"/>
        <c:majorUnit val="500"/>
      </c:valAx>
      <c:catAx>
        <c:axId val="6465694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46569056"/>
        <c:crosses val="autoZero"/>
        <c:auto val="1"/>
        <c:lblAlgn val="ctr"/>
        <c:lblOffset val="100"/>
        <c:noMultiLvlLbl val="0"/>
      </c:catAx>
      <c:valAx>
        <c:axId val="64656905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4656944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96174b2f-f95c-45fb-92b5-f72d75c2b27d}"/>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保利茉莉公馆</a:t>
            </a:r>
            <a:endParaRPr lang="zh-CN" altLang="en-US"/>
          </a:p>
        </c:rich>
      </c:tx>
      <c:layout/>
      <c:overlay val="0"/>
      <c:spPr>
        <a:noFill/>
        <a:ln>
          <a:noFill/>
        </a:ln>
        <a:effectLst/>
      </c:spPr>
    </c:title>
    <c:autoTitleDeleted val="0"/>
    <c:plotArea>
      <c:layout/>
      <c:lineChart>
        <c:grouping val="standard"/>
        <c:varyColors val="0"/>
        <c:ser>
          <c:idx val="0"/>
          <c:order val="0"/>
          <c:tx>
            <c:strRef>
              <c:f>表!$C$2</c:f>
              <c:strCache>
                <c:ptCount val="1"/>
                <c:pt idx="0">
                  <c:v/>
                </c:pt>
              </c:strCache>
            </c:strRef>
          </c:tx>
          <c:spPr>
            <a:ln w="28575" cap="rnd">
              <a:solidFill>
                <a:schemeClr val="accent1"/>
              </a:solidFill>
              <a:round/>
            </a:ln>
            <a:effectLst/>
          </c:spPr>
          <c:marker>
            <c:symbol val="none"/>
          </c:marker>
          <c:dLbls>
            <c:delete val="1"/>
          </c:dLbls>
          <c:cat>
            <c:strRef>
              <c:f>表!$B$3:$B$7</c:f>
              <c:strCache>
                <c:ptCount val="5"/>
                <c:pt idx="0">
                  <c:v>2024年2季度（2024年5-6月）</c:v>
                </c:pt>
                <c:pt idx="1">
                  <c:v>2024年3季度</c:v>
                </c:pt>
                <c:pt idx="2">
                  <c:v>2024年4季度</c:v>
                </c:pt>
                <c:pt idx="3">
                  <c:v>2025年1季度</c:v>
                </c:pt>
                <c:pt idx="4">
                  <c:v>2025年2季度（2025年4月）</c:v>
                </c:pt>
              </c:strCache>
            </c:strRef>
          </c:cat>
          <c:val>
            <c:numRef>
              <c:f>表!$C$3:$C$7</c:f>
              <c:numCache>
                <c:formatCode>General</c:formatCode>
                <c:ptCount val="5"/>
              </c:numCache>
            </c:numRef>
          </c:val>
          <c:smooth val="0"/>
        </c:ser>
        <c:ser>
          <c:idx val="1"/>
          <c:order val="1"/>
          <c:tx>
            <c:strRef>
              <c:f>表!$D$2</c:f>
              <c:strCache>
                <c:ptCount val="1"/>
                <c:pt idx="0">
                  <c:v>估价机构监测数据</c:v>
                </c:pt>
              </c:strCache>
            </c:strRef>
          </c:tx>
          <c:spPr>
            <a:ln w="28575" cap="rnd">
              <a:solidFill>
                <a:schemeClr val="accent2"/>
              </a:solidFill>
              <a:round/>
            </a:ln>
            <a:effectLst/>
          </c:spPr>
          <c:marker>
            <c:symbol val="none"/>
          </c:marker>
          <c:dLbls>
            <c:delete val="1"/>
          </c:dLbls>
          <c:cat>
            <c:strRef>
              <c:f>表!$B$3:$B$7</c:f>
              <c:strCache>
                <c:ptCount val="5"/>
                <c:pt idx="0">
                  <c:v>2024年2季度（2024年5-6月）</c:v>
                </c:pt>
                <c:pt idx="1">
                  <c:v>2024年3季度</c:v>
                </c:pt>
                <c:pt idx="2">
                  <c:v>2024年4季度</c:v>
                </c:pt>
                <c:pt idx="3">
                  <c:v>2025年1季度</c:v>
                </c:pt>
                <c:pt idx="4">
                  <c:v>2025年2季度（2025年4月）</c:v>
                </c:pt>
              </c:strCache>
            </c:strRef>
          </c:cat>
          <c:val>
            <c:numRef>
              <c:f>表!$D$3:$D$7</c:f>
              <c:numCache>
                <c:formatCode>General</c:formatCode>
                <c:ptCount val="5"/>
                <c:pt idx="0">
                  <c:v>81.06</c:v>
                </c:pt>
                <c:pt idx="1">
                  <c:v>76.62</c:v>
                </c:pt>
                <c:pt idx="2">
                  <c:v>74.94</c:v>
                </c:pt>
                <c:pt idx="3">
                  <c:v>77.71</c:v>
                </c:pt>
                <c:pt idx="4">
                  <c:v>79.05</c:v>
                </c:pt>
              </c:numCache>
            </c:numRef>
          </c:val>
          <c:smooth val="0"/>
        </c:ser>
        <c:ser>
          <c:idx val="2"/>
          <c:order val="2"/>
          <c:tx>
            <c:strRef>
              <c:f>表!$E$2</c:f>
              <c:strCache>
                <c:ptCount val="1"/>
                <c:pt idx="0">
                  <c:v>估价机构市场调查</c:v>
                </c:pt>
              </c:strCache>
            </c:strRef>
          </c:tx>
          <c:spPr>
            <a:ln w="28575" cap="rnd">
              <a:solidFill>
                <a:schemeClr val="accent3"/>
              </a:solidFill>
              <a:round/>
            </a:ln>
            <a:effectLst/>
          </c:spPr>
          <c:marker>
            <c:symbol val="none"/>
          </c:marker>
          <c:dLbls>
            <c:delete val="1"/>
          </c:dLbls>
          <c:cat>
            <c:strRef>
              <c:f>表!$B$3:$B$7</c:f>
              <c:strCache>
                <c:ptCount val="5"/>
                <c:pt idx="0">
                  <c:v>2024年2季度（2024年5-6月）</c:v>
                </c:pt>
                <c:pt idx="1">
                  <c:v>2024年3季度</c:v>
                </c:pt>
                <c:pt idx="2">
                  <c:v>2024年4季度</c:v>
                </c:pt>
                <c:pt idx="3">
                  <c:v>2025年1季度</c:v>
                </c:pt>
                <c:pt idx="4">
                  <c:v>2025年2季度（2025年4月）</c:v>
                </c:pt>
              </c:strCache>
            </c:strRef>
          </c:cat>
          <c:val>
            <c:numRef>
              <c:f>表!$E$3:$E$7</c:f>
              <c:numCache>
                <c:formatCode>General</c:formatCode>
                <c:ptCount val="5"/>
                <c:pt idx="0">
                  <c:v>69.91</c:v>
                </c:pt>
                <c:pt idx="1">
                  <c:v>80.61</c:v>
                </c:pt>
                <c:pt idx="2">
                  <c:v>70.59</c:v>
                </c:pt>
                <c:pt idx="3">
                  <c:v>69.48</c:v>
                </c:pt>
                <c:pt idx="4">
                  <c:v>86.26</c:v>
                </c:pt>
              </c:numCache>
            </c:numRef>
          </c:val>
          <c:smooth val="0"/>
        </c:ser>
        <c:ser>
          <c:idx val="3"/>
          <c:order val="3"/>
          <c:tx>
            <c:strRef>
              <c:f>表!$F$2</c:f>
              <c:strCache>
                <c:ptCount val="1"/>
                <c:pt idx="0">
                  <c:v>行业主管部门（北京市房地产市场管理事务中心）监测数据</c:v>
                </c:pt>
              </c:strCache>
            </c:strRef>
          </c:tx>
          <c:spPr>
            <a:ln w="28575" cap="rnd">
              <a:solidFill>
                <a:schemeClr val="accent4"/>
              </a:solidFill>
              <a:round/>
            </a:ln>
            <a:effectLst/>
          </c:spPr>
          <c:marker>
            <c:symbol val="none"/>
          </c:marker>
          <c:dLbls>
            <c:delete val="1"/>
          </c:dLbls>
          <c:cat>
            <c:strRef>
              <c:f>表!$B$3:$B$7</c:f>
              <c:strCache>
                <c:ptCount val="5"/>
                <c:pt idx="0">
                  <c:v>2024年2季度（2024年5-6月）</c:v>
                </c:pt>
                <c:pt idx="1">
                  <c:v>2024年3季度</c:v>
                </c:pt>
                <c:pt idx="2">
                  <c:v>2024年4季度</c:v>
                </c:pt>
                <c:pt idx="3">
                  <c:v>2025年1季度</c:v>
                </c:pt>
                <c:pt idx="4">
                  <c:v>2025年2季度（2025年4月）</c:v>
                </c:pt>
              </c:strCache>
            </c:strRef>
          </c:cat>
          <c:val>
            <c:numRef>
              <c:f>表!$F$3:$F$7</c:f>
              <c:numCache>
                <c:formatCode>General</c:formatCode>
                <c:ptCount val="5"/>
                <c:pt idx="0">
                  <c:v>71.93</c:v>
                </c:pt>
                <c:pt idx="1">
                  <c:v>71.8</c:v>
                </c:pt>
                <c:pt idx="2">
                  <c:v>70.86</c:v>
                </c:pt>
                <c:pt idx="3">
                  <c:v>68.46</c:v>
                </c:pt>
                <c:pt idx="4">
                  <c:v>68.85</c:v>
                </c:pt>
              </c:numCache>
            </c:numRef>
          </c:val>
          <c:smooth val="0"/>
        </c:ser>
        <c:dLbls>
          <c:showLegendKey val="0"/>
          <c:showVal val="0"/>
          <c:showCatName val="0"/>
          <c:showSerName val="0"/>
          <c:showPercent val="0"/>
          <c:showBubbleSize val="0"/>
        </c:dLbls>
        <c:marker val="0"/>
        <c:smooth val="0"/>
        <c:axId val="646567488"/>
        <c:axId val="646567096"/>
      </c:lineChart>
      <c:catAx>
        <c:axId val="6465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567096"/>
        <c:crosses val="autoZero"/>
        <c:auto val="1"/>
        <c:lblAlgn val="ctr"/>
        <c:lblOffset val="100"/>
        <c:noMultiLvlLbl val="0"/>
      </c:catAx>
      <c:valAx>
        <c:axId val="64656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567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3e67eb-1054-4ce2-b4ad-0b65c8a0c4d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郁花园二里</a:t>
            </a:r>
            <a:endParaRPr lang="zh-CN" altLang="en-US"/>
          </a:p>
        </c:rich>
      </c:tx>
      <c:layout/>
      <c:overlay val="0"/>
      <c:spPr>
        <a:noFill/>
        <a:ln>
          <a:noFill/>
        </a:ln>
        <a:effectLst/>
      </c:spPr>
    </c:title>
    <c:autoTitleDeleted val="0"/>
    <c:plotArea>
      <c:layout/>
      <c:lineChart>
        <c:grouping val="standard"/>
        <c:varyColors val="0"/>
        <c:ser>
          <c:idx val="0"/>
          <c:order val="0"/>
          <c:tx>
            <c:strRef>
              <c:f>表!$C$13</c:f>
              <c:strCache>
                <c:ptCount val="1"/>
                <c:pt idx="0">
                  <c:v/>
                </c:pt>
              </c:strCache>
            </c:strRef>
          </c:tx>
          <c:spPr>
            <a:ln w="28575" cap="rnd">
              <a:solidFill>
                <a:schemeClr val="accent1"/>
              </a:solidFill>
              <a:round/>
            </a:ln>
            <a:effectLst/>
          </c:spPr>
          <c:marker>
            <c:symbol val="none"/>
          </c:marker>
          <c:dLbls>
            <c:delete val="1"/>
          </c:dLbls>
          <c:cat>
            <c:strRef>
              <c:f>表!$B$14:$B$18</c:f>
              <c:strCache>
                <c:ptCount val="5"/>
                <c:pt idx="0">
                  <c:v>2024年2季度（2024年5-6月）</c:v>
                </c:pt>
                <c:pt idx="1">
                  <c:v>2024年3季度</c:v>
                </c:pt>
                <c:pt idx="2">
                  <c:v>2024年4季度</c:v>
                </c:pt>
                <c:pt idx="3">
                  <c:v>2025年1季度</c:v>
                </c:pt>
                <c:pt idx="4">
                  <c:v>2025年2季度（2025年4月）</c:v>
                </c:pt>
              </c:strCache>
            </c:strRef>
          </c:cat>
          <c:val>
            <c:numRef>
              <c:f>表!$C$14:$C$18</c:f>
              <c:numCache>
                <c:formatCode>General</c:formatCode>
                <c:ptCount val="5"/>
              </c:numCache>
            </c:numRef>
          </c:val>
          <c:smooth val="0"/>
        </c:ser>
        <c:ser>
          <c:idx val="1"/>
          <c:order val="1"/>
          <c:tx>
            <c:strRef>
              <c:f>表!$D$13</c:f>
              <c:strCache>
                <c:ptCount val="1"/>
                <c:pt idx="0">
                  <c:v>估价机构监测数据</c:v>
                </c:pt>
              </c:strCache>
            </c:strRef>
          </c:tx>
          <c:spPr>
            <a:ln w="28575" cap="rnd">
              <a:solidFill>
                <a:schemeClr val="accent2"/>
              </a:solidFill>
              <a:round/>
            </a:ln>
            <a:effectLst/>
          </c:spPr>
          <c:marker>
            <c:symbol val="none"/>
          </c:marker>
          <c:dLbls>
            <c:delete val="1"/>
          </c:dLbls>
          <c:cat>
            <c:strRef>
              <c:f>表!$B$14:$B$18</c:f>
              <c:strCache>
                <c:ptCount val="5"/>
                <c:pt idx="0">
                  <c:v>2024年2季度（2024年5-6月）</c:v>
                </c:pt>
                <c:pt idx="1">
                  <c:v>2024年3季度</c:v>
                </c:pt>
                <c:pt idx="2">
                  <c:v>2024年4季度</c:v>
                </c:pt>
                <c:pt idx="3">
                  <c:v>2025年1季度</c:v>
                </c:pt>
                <c:pt idx="4">
                  <c:v>2025年2季度（2025年4月）</c:v>
                </c:pt>
              </c:strCache>
            </c:strRef>
          </c:cat>
          <c:val>
            <c:numRef>
              <c:f>表!$D$14:$D$18</c:f>
              <c:numCache>
                <c:formatCode>General</c:formatCode>
                <c:ptCount val="5"/>
                <c:pt idx="0">
                  <c:v>82</c:v>
                </c:pt>
                <c:pt idx="1">
                  <c:v>75.09</c:v>
                </c:pt>
                <c:pt idx="2">
                  <c:v>76.99</c:v>
                </c:pt>
                <c:pt idx="3">
                  <c:v>80.67</c:v>
                </c:pt>
                <c:pt idx="4">
                  <c:v>80.05</c:v>
                </c:pt>
              </c:numCache>
            </c:numRef>
          </c:val>
          <c:smooth val="0"/>
        </c:ser>
        <c:ser>
          <c:idx val="2"/>
          <c:order val="2"/>
          <c:tx>
            <c:strRef>
              <c:f>表!$E$13</c:f>
              <c:strCache>
                <c:ptCount val="1"/>
                <c:pt idx="0">
                  <c:v>估价机构市场调查</c:v>
                </c:pt>
              </c:strCache>
            </c:strRef>
          </c:tx>
          <c:spPr>
            <a:ln w="28575" cap="rnd">
              <a:solidFill>
                <a:schemeClr val="accent3"/>
              </a:solidFill>
              <a:round/>
            </a:ln>
            <a:effectLst/>
          </c:spPr>
          <c:marker>
            <c:symbol val="none"/>
          </c:marker>
          <c:dLbls>
            <c:delete val="1"/>
          </c:dLbls>
          <c:cat>
            <c:strRef>
              <c:f>表!$B$14:$B$18</c:f>
              <c:strCache>
                <c:ptCount val="5"/>
                <c:pt idx="0">
                  <c:v>2024年2季度（2024年5-6月）</c:v>
                </c:pt>
                <c:pt idx="1">
                  <c:v>2024年3季度</c:v>
                </c:pt>
                <c:pt idx="2">
                  <c:v>2024年4季度</c:v>
                </c:pt>
                <c:pt idx="3">
                  <c:v>2025年1季度</c:v>
                </c:pt>
                <c:pt idx="4">
                  <c:v>2025年2季度（2025年4月）</c:v>
                </c:pt>
              </c:strCache>
            </c:strRef>
          </c:cat>
          <c:val>
            <c:numRef>
              <c:f>表!$E$14:$E$18</c:f>
              <c:numCache>
                <c:formatCode>General</c:formatCode>
                <c:ptCount val="5"/>
                <c:pt idx="0">
                  <c:v>67.28</c:v>
                </c:pt>
                <c:pt idx="1">
                  <c:v>65.52</c:v>
                </c:pt>
                <c:pt idx="2">
                  <c:v>64.29</c:v>
                </c:pt>
                <c:pt idx="3">
                  <c:v>64.87</c:v>
                </c:pt>
                <c:pt idx="4">
                  <c:v>64.86</c:v>
                </c:pt>
              </c:numCache>
            </c:numRef>
          </c:val>
          <c:smooth val="0"/>
        </c:ser>
        <c:ser>
          <c:idx val="3"/>
          <c:order val="3"/>
          <c:tx>
            <c:strRef>
              <c:f>表!$F$13</c:f>
              <c:strCache>
                <c:ptCount val="1"/>
                <c:pt idx="0">
                  <c:v>行业主管部门（北京市房地产市场管理事务中心）监测数据</c:v>
                </c:pt>
              </c:strCache>
            </c:strRef>
          </c:tx>
          <c:spPr>
            <a:ln w="28575" cap="rnd">
              <a:solidFill>
                <a:schemeClr val="accent4"/>
              </a:solidFill>
              <a:round/>
            </a:ln>
            <a:effectLst/>
          </c:spPr>
          <c:marker>
            <c:symbol val="none"/>
          </c:marker>
          <c:dLbls>
            <c:delete val="1"/>
          </c:dLbls>
          <c:cat>
            <c:strRef>
              <c:f>表!$B$14:$B$18</c:f>
              <c:strCache>
                <c:ptCount val="5"/>
                <c:pt idx="0">
                  <c:v>2024年2季度（2024年5-6月）</c:v>
                </c:pt>
                <c:pt idx="1">
                  <c:v>2024年3季度</c:v>
                </c:pt>
                <c:pt idx="2">
                  <c:v>2024年4季度</c:v>
                </c:pt>
                <c:pt idx="3">
                  <c:v>2025年1季度</c:v>
                </c:pt>
                <c:pt idx="4">
                  <c:v>2025年2季度（2025年4月）</c:v>
                </c:pt>
              </c:strCache>
            </c:strRef>
          </c:cat>
          <c:val>
            <c:numRef>
              <c:f>表!$F$14:$F$18</c:f>
              <c:numCache>
                <c:formatCode>General</c:formatCode>
                <c:ptCount val="5"/>
                <c:pt idx="0">
                  <c:v>56.93</c:v>
                </c:pt>
                <c:pt idx="1">
                  <c:v>65.28</c:v>
                </c:pt>
                <c:pt idx="2">
                  <c:v>58.07</c:v>
                </c:pt>
                <c:pt idx="3">
                  <c:v>58.1</c:v>
                </c:pt>
                <c:pt idx="4">
                  <c:v>51.26</c:v>
                </c:pt>
              </c:numCache>
            </c:numRef>
          </c:val>
          <c:smooth val="0"/>
        </c:ser>
        <c:dLbls>
          <c:showLegendKey val="0"/>
          <c:showVal val="0"/>
          <c:showCatName val="0"/>
          <c:showSerName val="0"/>
          <c:showPercent val="0"/>
          <c:showBubbleSize val="0"/>
        </c:dLbls>
        <c:marker val="0"/>
        <c:smooth val="0"/>
        <c:axId val="296897144"/>
        <c:axId val="497128152"/>
      </c:lineChart>
      <c:catAx>
        <c:axId val="29689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128152"/>
        <c:crosses val="autoZero"/>
        <c:auto val="1"/>
        <c:lblAlgn val="ctr"/>
        <c:lblOffset val="100"/>
        <c:noMultiLvlLbl val="0"/>
      </c:catAx>
      <c:valAx>
        <c:axId val="497128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6897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b814921-c768-4625-88f2-7ed8299745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滨河西里南区</a:t>
            </a:r>
            <a:endParaRPr lang="zh-CN" altLang="en-US"/>
          </a:p>
        </c:rich>
      </c:tx>
      <c:layout/>
      <c:overlay val="0"/>
      <c:spPr>
        <a:noFill/>
        <a:ln>
          <a:noFill/>
        </a:ln>
        <a:effectLst/>
      </c:spPr>
    </c:title>
    <c:autoTitleDeleted val="0"/>
    <c:plotArea>
      <c:layout/>
      <c:lineChart>
        <c:grouping val="standard"/>
        <c:varyColors val="0"/>
        <c:ser>
          <c:idx val="0"/>
          <c:order val="0"/>
          <c:tx>
            <c:strRef>
              <c:f>表!$C$23</c:f>
              <c:strCache>
                <c:ptCount val="1"/>
                <c:pt idx="0">
                  <c:v/>
                </c:pt>
              </c:strCache>
            </c:strRef>
          </c:tx>
          <c:spPr>
            <a:ln w="28575" cap="rnd">
              <a:solidFill>
                <a:schemeClr val="accent1"/>
              </a:solidFill>
              <a:round/>
            </a:ln>
            <a:effectLst/>
          </c:spPr>
          <c:marker>
            <c:symbol val="none"/>
          </c:marker>
          <c:dLbls>
            <c:delete val="1"/>
          </c:dLbls>
          <c:cat>
            <c:strRef>
              <c:f>表!$B$24:$B$28</c:f>
              <c:strCache>
                <c:ptCount val="5"/>
                <c:pt idx="0">
                  <c:v>2024年2季度（2024年5-6月）</c:v>
                </c:pt>
                <c:pt idx="1">
                  <c:v>2024年3季度</c:v>
                </c:pt>
                <c:pt idx="2">
                  <c:v>2024年4季度</c:v>
                </c:pt>
                <c:pt idx="3">
                  <c:v>2025年1季度</c:v>
                </c:pt>
                <c:pt idx="4">
                  <c:v>2025年2季度（2025年4月）</c:v>
                </c:pt>
              </c:strCache>
            </c:strRef>
          </c:cat>
          <c:val>
            <c:numRef>
              <c:f>表!$C$24:$C$28</c:f>
              <c:numCache>
                <c:formatCode>General</c:formatCode>
                <c:ptCount val="5"/>
              </c:numCache>
            </c:numRef>
          </c:val>
          <c:smooth val="0"/>
        </c:ser>
        <c:ser>
          <c:idx val="1"/>
          <c:order val="1"/>
          <c:tx>
            <c:strRef>
              <c:f>表!$D$23</c:f>
              <c:strCache>
                <c:ptCount val="1"/>
                <c:pt idx="0">
                  <c:v>估价机构监测数据</c:v>
                </c:pt>
              </c:strCache>
            </c:strRef>
          </c:tx>
          <c:spPr>
            <a:ln w="28575" cap="rnd">
              <a:solidFill>
                <a:schemeClr val="accent2"/>
              </a:solidFill>
              <a:round/>
            </a:ln>
            <a:effectLst/>
          </c:spPr>
          <c:marker>
            <c:symbol val="none"/>
          </c:marker>
          <c:dLbls>
            <c:delete val="1"/>
          </c:dLbls>
          <c:cat>
            <c:strRef>
              <c:f>表!$B$24:$B$28</c:f>
              <c:strCache>
                <c:ptCount val="5"/>
                <c:pt idx="0">
                  <c:v>2024年2季度（2024年5-6月）</c:v>
                </c:pt>
                <c:pt idx="1">
                  <c:v>2024年3季度</c:v>
                </c:pt>
                <c:pt idx="2">
                  <c:v>2024年4季度</c:v>
                </c:pt>
                <c:pt idx="3">
                  <c:v>2025年1季度</c:v>
                </c:pt>
                <c:pt idx="4">
                  <c:v>2025年2季度（2025年4月）</c:v>
                </c:pt>
              </c:strCache>
            </c:strRef>
          </c:cat>
          <c:val>
            <c:numRef>
              <c:f>表!$D$24:$D$28</c:f>
              <c:numCache>
                <c:formatCode>General</c:formatCode>
                <c:ptCount val="5"/>
                <c:pt idx="0">
                  <c:v>67.09</c:v>
                </c:pt>
                <c:pt idx="1">
                  <c:v>67.91</c:v>
                </c:pt>
                <c:pt idx="2">
                  <c:v>62.06</c:v>
                </c:pt>
                <c:pt idx="3">
                  <c:v>64.75</c:v>
                </c:pt>
                <c:pt idx="4">
                  <c:v>66.67</c:v>
                </c:pt>
              </c:numCache>
            </c:numRef>
          </c:val>
          <c:smooth val="0"/>
        </c:ser>
        <c:ser>
          <c:idx val="2"/>
          <c:order val="2"/>
          <c:tx>
            <c:strRef>
              <c:f>表!$E$23</c:f>
              <c:strCache>
                <c:ptCount val="1"/>
                <c:pt idx="0">
                  <c:v>估价机构市场调查</c:v>
                </c:pt>
              </c:strCache>
            </c:strRef>
          </c:tx>
          <c:spPr>
            <a:ln w="28575" cap="rnd">
              <a:solidFill>
                <a:schemeClr val="accent3"/>
              </a:solidFill>
              <a:round/>
            </a:ln>
            <a:effectLst/>
          </c:spPr>
          <c:marker>
            <c:symbol val="none"/>
          </c:marker>
          <c:dLbls>
            <c:delete val="1"/>
          </c:dLbls>
          <c:cat>
            <c:strRef>
              <c:f>表!$B$24:$B$28</c:f>
              <c:strCache>
                <c:ptCount val="5"/>
                <c:pt idx="0">
                  <c:v>2024年2季度（2024年5-6月）</c:v>
                </c:pt>
                <c:pt idx="1">
                  <c:v>2024年3季度</c:v>
                </c:pt>
                <c:pt idx="2">
                  <c:v>2024年4季度</c:v>
                </c:pt>
                <c:pt idx="3">
                  <c:v>2025年1季度</c:v>
                </c:pt>
                <c:pt idx="4">
                  <c:v>2025年2季度（2025年4月）</c:v>
                </c:pt>
              </c:strCache>
            </c:strRef>
          </c:cat>
          <c:val>
            <c:numRef>
              <c:f>表!$E$24:$E$28</c:f>
              <c:numCache>
                <c:formatCode>General</c:formatCode>
                <c:ptCount val="5"/>
                <c:pt idx="0">
                  <c:v>60</c:v>
                </c:pt>
                <c:pt idx="1">
                  <c:v>54.8</c:v>
                </c:pt>
                <c:pt idx="2">
                  <c:v>60.66</c:v>
                </c:pt>
                <c:pt idx="3">
                  <c:v>57.28</c:v>
                </c:pt>
                <c:pt idx="4">
                  <c:v>56</c:v>
                </c:pt>
              </c:numCache>
            </c:numRef>
          </c:val>
          <c:smooth val="0"/>
        </c:ser>
        <c:ser>
          <c:idx val="3"/>
          <c:order val="3"/>
          <c:tx>
            <c:strRef>
              <c:f>表!$F$23</c:f>
              <c:strCache>
                <c:ptCount val="1"/>
                <c:pt idx="0">
                  <c:v>行业主管部门（北京市房地产市场管理事务中心）监测数据</c:v>
                </c:pt>
              </c:strCache>
            </c:strRef>
          </c:tx>
          <c:spPr>
            <a:ln w="28575" cap="rnd">
              <a:solidFill>
                <a:schemeClr val="accent4"/>
              </a:solidFill>
              <a:round/>
            </a:ln>
            <a:effectLst/>
          </c:spPr>
          <c:marker>
            <c:symbol val="none"/>
          </c:marker>
          <c:dLbls>
            <c:delete val="1"/>
          </c:dLbls>
          <c:cat>
            <c:strRef>
              <c:f>表!$B$24:$B$28</c:f>
              <c:strCache>
                <c:ptCount val="5"/>
                <c:pt idx="0">
                  <c:v>2024年2季度（2024年5-6月）</c:v>
                </c:pt>
                <c:pt idx="1">
                  <c:v>2024年3季度</c:v>
                </c:pt>
                <c:pt idx="2">
                  <c:v>2024年4季度</c:v>
                </c:pt>
                <c:pt idx="3">
                  <c:v>2025年1季度</c:v>
                </c:pt>
                <c:pt idx="4">
                  <c:v>2025年2季度（2025年4月）</c:v>
                </c:pt>
              </c:strCache>
            </c:strRef>
          </c:cat>
          <c:val>
            <c:numRef>
              <c:f>表!$F$24:$F$28</c:f>
              <c:numCache>
                <c:formatCode>General</c:formatCode>
                <c:ptCount val="5"/>
                <c:pt idx="0">
                  <c:v>56.65</c:v>
                </c:pt>
                <c:pt idx="1">
                  <c:v>53.97</c:v>
                </c:pt>
                <c:pt idx="2">
                  <c:v>53.02</c:v>
                </c:pt>
                <c:pt idx="3">
                  <c:v>53.18</c:v>
                </c:pt>
                <c:pt idx="4">
                  <c:v>56.28</c:v>
                </c:pt>
              </c:numCache>
            </c:numRef>
          </c:val>
          <c:smooth val="0"/>
        </c:ser>
        <c:dLbls>
          <c:showLegendKey val="0"/>
          <c:showVal val="0"/>
          <c:showCatName val="0"/>
          <c:showSerName val="0"/>
          <c:showPercent val="0"/>
          <c:showBubbleSize val="0"/>
        </c:dLbls>
        <c:marker val="0"/>
        <c:smooth val="0"/>
        <c:axId val="297240472"/>
        <c:axId val="297233416"/>
      </c:lineChart>
      <c:catAx>
        <c:axId val="29724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7233416"/>
        <c:crosses val="autoZero"/>
        <c:auto val="1"/>
        <c:lblAlgn val="ctr"/>
        <c:lblOffset val="100"/>
        <c:noMultiLvlLbl val="0"/>
      </c:catAx>
      <c:valAx>
        <c:axId val="29723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7240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159a93-07f7-4b03-b814-4aea9d57a32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2FC68-BCC9-4C4E-A88B-0DC6DD3DC3C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642</Words>
  <Characters>730</Characters>
  <Lines>332</Lines>
  <Paragraphs>93</Paragraphs>
  <TotalTime>1</TotalTime>
  <ScaleCrop>false</ScaleCrop>
  <LinksUpToDate>false</LinksUpToDate>
  <CharactersWithSpaces>733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2024-08-05T08:55:00Z</dcterms:created>
  <dc:creator>djg</dc:creator>
  <cp:lastModifiedBy>诗霖</cp:lastModifiedBy>
  <cp:lastPrinted>2025-06-26T06:39:00Z</cp:lastPrinted>
  <dcterms:modified xsi:type="dcterms:W3CDTF">2025-10-28T12:32:51Z</dcterms:modified>
  <dc:title>电 话：82253558  传真：82253565</dc:title>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8D26B555F7B0485EAD3FF15DAC9C1D9F_12</vt:lpwstr>
  </property>
  <property fmtid="{D5CDD505-2E9C-101B-9397-08002B2CF9AE}" pid="4" name="KSOTemplateDocerSaveRecord">
    <vt:lpwstr>eyJoZGlkIjoiOTcwMTMwZTgwZjBhOWY5ZDIzMzA3YjZmYWI3ZGQ5NjUiLCJ1c2VySWQiOiIyMDkxMDc5NzUifQ==</vt:lpwstr>
  </property>
</Properties>
</file>